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Pr="005B7CDB" w:rsidRDefault="00E84629" w:rsidP="006A5488">
      <w:pPr>
        <w:widowControl/>
        <w:spacing w:after="120"/>
        <w:ind w:left="3430"/>
        <w:rPr>
          <w:rFonts w:ascii="楷体" w:eastAsia="楷体" w:hAnsi="楷体" w:cs="Times New Roman"/>
          <w:b/>
          <w:bCs/>
          <w:color w:val="0070C0"/>
          <w:kern w:val="0"/>
          <w:sz w:val="24"/>
          <w:szCs w:val="20"/>
          <w:lang w:val="en-GB"/>
        </w:rPr>
      </w:pPr>
      <w:r w:rsidRPr="00E84629">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w:txbxContent>
                <w:p w:rsidR="005B0E69" w:rsidRPr="00635482" w:rsidRDefault="005B0E69" w:rsidP="005B0E69">
                  <w:pPr>
                    <w:rPr>
                      <w:rFonts w:ascii="楷体" w:eastAsia="楷体" w:hAnsi="楷体"/>
                      <w:b/>
                      <w:lang w:val="en-GB"/>
                    </w:rPr>
                  </w:pPr>
                  <w:proofErr w:type="gramStart"/>
                  <w:r w:rsidRPr="00635482">
                    <w:rPr>
                      <w:rFonts w:ascii="楷体" w:eastAsia="楷体" w:hAnsi="楷体"/>
                      <w:b/>
                      <w:lang w:val="en-GB"/>
                    </w:rPr>
                    <w:t>凯石工场</w:t>
                  </w:r>
                  <w:proofErr w:type="gramEnd"/>
                  <w:r w:rsidRPr="00635482">
                    <w:rPr>
                      <w:rFonts w:ascii="楷体" w:eastAsia="楷体" w:hAnsi="楷体"/>
                      <w:b/>
                      <w:lang w:val="en-GB"/>
                    </w:rPr>
                    <w:t>移动平台</w:t>
                  </w:r>
                  <w:r w:rsidRPr="00635482">
                    <w:rPr>
                      <w:rFonts w:ascii="楷体" w:eastAsia="楷体" w:hAnsi="楷体" w:hint="eastAsia"/>
                      <w:b/>
                      <w:lang w:val="en-GB"/>
                    </w:rPr>
                    <w:t>：</w:t>
                  </w:r>
                </w:p>
                <w:p w:rsidR="005B0E69" w:rsidRPr="00635482" w:rsidRDefault="005B0E69" w:rsidP="005B0E69">
                  <w:pPr>
                    <w:rPr>
                      <w:rFonts w:ascii="楷体" w:eastAsia="楷体" w:hAnsi="楷体"/>
                      <w:lang w:val="en-GB"/>
                    </w:rPr>
                  </w:pPr>
                </w:p>
                <w:p w:rsidR="005B0E69" w:rsidRPr="00635482" w:rsidRDefault="005B0E69" w:rsidP="005B0E69">
                  <w:r w:rsidRPr="00635482">
                    <w:rPr>
                      <w:rFonts w:ascii="楷体" w:eastAsia="楷体" w:hAnsi="楷体" w:hint="eastAsia"/>
                      <w:lang w:val="en-GB"/>
                    </w:rPr>
                    <w:t>官方微博：</w:t>
                  </w:r>
                </w:p>
                <w:p w:rsidR="005B0E69" w:rsidRPr="00635482" w:rsidRDefault="005B0E69" w:rsidP="005B0E6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石财富工场</w:t>
                  </w:r>
                </w:p>
                <w:p w:rsidR="005B0E69" w:rsidRDefault="005B0E69"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5B0E69" w:rsidRDefault="005B0E69" w:rsidP="005B0E69">
                  <w:pPr>
                    <w:rPr>
                      <w:rFonts w:ascii="楷体" w:eastAsia="楷体" w:hAnsi="楷体"/>
                      <w:b/>
                      <w:lang w:val="en-GB"/>
                    </w:rPr>
                  </w:pPr>
                </w:p>
                <w:p w:rsidR="005B0E69" w:rsidRPr="00635482" w:rsidRDefault="005B0E69" w:rsidP="005B0E69">
                  <w:pPr>
                    <w:rPr>
                      <w:rFonts w:ascii="楷体" w:eastAsia="楷体" w:hAnsi="楷体"/>
                      <w:lang w:val="en-GB"/>
                    </w:rPr>
                  </w:pPr>
                  <w:r w:rsidRPr="00635482">
                    <w:rPr>
                      <w:rFonts w:ascii="楷体" w:eastAsia="楷体" w:hAnsi="楷体" w:hint="eastAsia"/>
                      <w:lang w:val="en-GB"/>
                    </w:rPr>
                    <w:t>官方微信：</w:t>
                  </w:r>
                </w:p>
                <w:p w:rsidR="005B0E69" w:rsidRPr="00635482" w:rsidRDefault="005B0E69" w:rsidP="005B0E69">
                  <w:pPr>
                    <w:rPr>
                      <w:rFonts w:ascii="楷体" w:eastAsia="楷体" w:hAnsi="楷体"/>
                      <w:lang w:val="en-GB"/>
                    </w:rPr>
                  </w:pPr>
                  <w:proofErr w:type="gramStart"/>
                  <w:r w:rsidRPr="00635482">
                    <w:rPr>
                      <w:rFonts w:ascii="楷体" w:eastAsia="楷体" w:hAnsi="楷体" w:hint="eastAsia"/>
                      <w:lang w:val="en-GB"/>
                    </w:rPr>
                    <w:t>凯</w:t>
                  </w:r>
                  <w:proofErr w:type="gramEnd"/>
                  <w:r w:rsidRPr="00635482">
                    <w:rPr>
                      <w:rFonts w:ascii="楷体" w:eastAsia="楷体" w:hAnsi="楷体" w:hint="eastAsia"/>
                      <w:lang w:val="en-GB"/>
                    </w:rPr>
                    <w:t>石财富知音订阅号</w:t>
                  </w:r>
                </w:p>
                <w:p w:rsidR="005B0E69" w:rsidRDefault="005B0E69"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F218DD" w:rsidRPr="00C209B8" w:rsidRDefault="004520F9" w:rsidP="008F39C1">
      <w:pPr>
        <w:widowControl/>
        <w:spacing w:after="120"/>
        <w:ind w:left="3430" w:firstLineChars="200" w:firstLine="420"/>
        <w:rPr>
          <w:rFonts w:ascii="楷体" w:eastAsia="楷体" w:hAnsi="楷体" w:cs="宋体"/>
          <w:color w:val="FF0000"/>
        </w:rPr>
      </w:pPr>
      <w:r w:rsidRPr="004520F9">
        <w:rPr>
          <w:rFonts w:ascii="楷体" w:eastAsia="楷体" w:hAnsi="楷体" w:cs="Times New Roman" w:hint="eastAsia"/>
          <w:color w:val="000000"/>
          <w:kern w:val="0"/>
          <w:szCs w:val="21"/>
          <w:lang w:val="en-GB"/>
        </w:rPr>
        <w:t>上周（</w:t>
      </w:r>
      <w:r w:rsidR="00C209B8">
        <w:rPr>
          <w:rFonts w:ascii="楷体" w:eastAsia="楷体" w:hAnsi="楷体" w:cs="Times New Roman" w:hint="eastAsia"/>
          <w:color w:val="000000"/>
          <w:kern w:val="0"/>
          <w:szCs w:val="21"/>
          <w:lang w:val="en-GB"/>
        </w:rPr>
        <w:t>2014.03.31</w:t>
      </w:r>
      <w:r w:rsidRPr="004520F9">
        <w:rPr>
          <w:rFonts w:ascii="楷体" w:eastAsia="楷体" w:hAnsi="楷体" w:cs="Times New Roman" w:hint="eastAsia"/>
          <w:color w:val="000000"/>
          <w:kern w:val="0"/>
          <w:szCs w:val="21"/>
          <w:lang w:val="en-GB"/>
        </w:rPr>
        <w:t>~</w:t>
      </w:r>
      <w:r w:rsidR="00C209B8">
        <w:rPr>
          <w:rFonts w:ascii="楷体" w:eastAsia="楷体" w:hAnsi="楷体" w:cs="Times New Roman" w:hint="eastAsia"/>
          <w:color w:val="000000"/>
          <w:kern w:val="0"/>
          <w:szCs w:val="21"/>
          <w:lang w:val="en-GB"/>
        </w:rPr>
        <w:t>2014.04.0</w:t>
      </w:r>
      <w:r w:rsidR="00E618DE">
        <w:rPr>
          <w:rFonts w:ascii="楷体" w:eastAsia="楷体" w:hAnsi="楷体" w:cs="Times New Roman" w:hint="eastAsia"/>
          <w:color w:val="000000"/>
          <w:kern w:val="0"/>
          <w:szCs w:val="21"/>
          <w:lang w:val="en-GB"/>
        </w:rPr>
        <w:t>4</w:t>
      </w:r>
      <w:r w:rsidRPr="004520F9">
        <w:rPr>
          <w:rFonts w:ascii="楷体" w:eastAsia="楷体" w:hAnsi="楷体" w:cs="Times New Roman" w:hint="eastAsia"/>
          <w:color w:val="000000"/>
          <w:kern w:val="0"/>
          <w:szCs w:val="21"/>
          <w:lang w:val="en-GB"/>
        </w:rPr>
        <w:t>）</w:t>
      </w:r>
      <w:r w:rsidR="00B47874" w:rsidRPr="006C2CA2">
        <w:rPr>
          <w:rFonts w:ascii="楷体" w:eastAsia="楷体" w:hAnsi="楷体" w:hint="eastAsia"/>
          <w:szCs w:val="21"/>
        </w:rPr>
        <w:t>国务院</w:t>
      </w:r>
      <w:r w:rsidR="00B47874">
        <w:rPr>
          <w:rFonts w:ascii="楷体" w:eastAsia="楷体" w:hAnsi="楷体" w:hint="eastAsia"/>
          <w:szCs w:val="21"/>
        </w:rPr>
        <w:t>出台</w:t>
      </w:r>
      <w:r w:rsidR="00B47874" w:rsidRPr="006C2CA2">
        <w:rPr>
          <w:rFonts w:ascii="楷体" w:eastAsia="楷体" w:hAnsi="楷体" w:hint="eastAsia"/>
          <w:szCs w:val="21"/>
        </w:rPr>
        <w:t>一系列</w:t>
      </w:r>
      <w:proofErr w:type="gramStart"/>
      <w:r w:rsidR="00B47874" w:rsidRPr="006C2CA2">
        <w:rPr>
          <w:rFonts w:ascii="楷体" w:eastAsia="楷体" w:hAnsi="楷体" w:hint="eastAsia"/>
          <w:szCs w:val="21"/>
        </w:rPr>
        <w:t>稳增长</w:t>
      </w:r>
      <w:proofErr w:type="gramEnd"/>
      <w:r w:rsidR="00B47874" w:rsidRPr="006C2CA2">
        <w:rPr>
          <w:rFonts w:ascii="楷体" w:eastAsia="楷体" w:hAnsi="楷体" w:hint="eastAsia"/>
          <w:szCs w:val="21"/>
        </w:rPr>
        <w:t>政策</w:t>
      </w:r>
      <w:r w:rsidR="00B47874">
        <w:rPr>
          <w:rFonts w:ascii="楷体" w:eastAsia="楷体" w:hAnsi="楷体" w:hint="eastAsia"/>
          <w:szCs w:val="21"/>
        </w:rPr>
        <w:t>，涉及</w:t>
      </w:r>
      <w:r w:rsidR="00B47874" w:rsidRPr="006C2CA2">
        <w:rPr>
          <w:rFonts w:ascii="楷体" w:eastAsia="楷体" w:hAnsi="楷体" w:hint="eastAsia"/>
          <w:szCs w:val="21"/>
        </w:rPr>
        <w:t>棚户区改造</w:t>
      </w:r>
      <w:r w:rsidR="00B47874">
        <w:rPr>
          <w:rFonts w:ascii="楷体" w:eastAsia="楷体" w:hAnsi="楷体" w:hint="eastAsia"/>
          <w:szCs w:val="21"/>
        </w:rPr>
        <w:t>、</w:t>
      </w:r>
      <w:r w:rsidR="00B47874" w:rsidRPr="006C2CA2">
        <w:rPr>
          <w:rFonts w:ascii="楷体" w:eastAsia="楷体" w:hAnsi="楷体" w:hint="eastAsia"/>
          <w:szCs w:val="21"/>
        </w:rPr>
        <w:t>加快铁路建设</w:t>
      </w:r>
      <w:r w:rsidR="00B47874">
        <w:rPr>
          <w:rFonts w:ascii="楷体" w:eastAsia="楷体" w:hAnsi="楷体" w:hint="eastAsia"/>
          <w:szCs w:val="21"/>
        </w:rPr>
        <w:t>、</w:t>
      </w:r>
      <w:r w:rsidR="00B47874" w:rsidRPr="006C2CA2">
        <w:rPr>
          <w:rFonts w:ascii="楷体" w:eastAsia="楷体" w:hAnsi="楷体" w:hint="eastAsia"/>
          <w:szCs w:val="21"/>
        </w:rPr>
        <w:t>扩大小</w:t>
      </w:r>
      <w:proofErr w:type="gramStart"/>
      <w:r w:rsidR="00B47874" w:rsidRPr="006C2CA2">
        <w:rPr>
          <w:rFonts w:ascii="楷体" w:eastAsia="楷体" w:hAnsi="楷体" w:hint="eastAsia"/>
          <w:szCs w:val="21"/>
        </w:rPr>
        <w:t>微企业</w:t>
      </w:r>
      <w:proofErr w:type="gramEnd"/>
      <w:r w:rsidR="00B47874" w:rsidRPr="006C2CA2">
        <w:rPr>
          <w:rFonts w:ascii="楷体" w:eastAsia="楷体" w:hAnsi="楷体" w:hint="eastAsia"/>
          <w:szCs w:val="21"/>
        </w:rPr>
        <w:t>所得税优惠政策实施范围</w:t>
      </w:r>
      <w:r w:rsidR="00B47874">
        <w:rPr>
          <w:rFonts w:ascii="楷体" w:eastAsia="楷体" w:hAnsi="楷体" w:hint="eastAsia"/>
          <w:szCs w:val="21"/>
        </w:rPr>
        <w:t>等，</w:t>
      </w:r>
      <w:r w:rsidR="00B47874" w:rsidRPr="008148DF">
        <w:rPr>
          <w:rFonts w:ascii="楷体" w:eastAsia="楷体" w:hAnsi="楷体" w:hint="eastAsia"/>
          <w:szCs w:val="21"/>
        </w:rPr>
        <w:t>A</w:t>
      </w:r>
      <w:r w:rsidR="00B47874">
        <w:rPr>
          <w:rFonts w:ascii="楷体" w:eastAsia="楷体" w:hAnsi="楷体" w:hint="eastAsia"/>
          <w:szCs w:val="21"/>
        </w:rPr>
        <w:t>股市场注意力转移到“稳增长”题材，大小盘各类风格指数均翻红，沪深300上涨1.56%，</w:t>
      </w:r>
      <w:r w:rsidR="00B47874" w:rsidRPr="008148DF">
        <w:rPr>
          <w:rFonts w:ascii="楷体" w:eastAsia="楷体" w:hAnsi="楷体" w:hint="eastAsia"/>
        </w:rPr>
        <w:t>29个中信</w:t>
      </w:r>
      <w:proofErr w:type="gramStart"/>
      <w:r w:rsidR="00B47874" w:rsidRPr="008148DF">
        <w:rPr>
          <w:rFonts w:ascii="楷体" w:eastAsia="楷体" w:hAnsi="楷体" w:hint="eastAsia"/>
        </w:rPr>
        <w:t>一级行业</w:t>
      </w:r>
      <w:proofErr w:type="gramEnd"/>
      <w:r w:rsidR="00B47874">
        <w:rPr>
          <w:rFonts w:ascii="楷体" w:eastAsia="楷体" w:hAnsi="楷体" w:hint="eastAsia"/>
        </w:rPr>
        <w:t>除3个外均上涨。</w:t>
      </w:r>
      <w:r w:rsidR="001024F4">
        <w:rPr>
          <w:rFonts w:ascii="楷体" w:eastAsia="楷体" w:hAnsi="楷体" w:hint="eastAsia"/>
        </w:rPr>
        <w:t>海外市场方面，上周五公布的美国3</w:t>
      </w:r>
      <w:r w:rsidR="001024F4" w:rsidRPr="005D176B">
        <w:rPr>
          <w:rFonts w:ascii="楷体" w:eastAsia="楷体" w:hAnsi="楷体" w:hint="eastAsia"/>
        </w:rPr>
        <w:t>月</w:t>
      </w:r>
      <w:r w:rsidR="001024F4">
        <w:rPr>
          <w:rFonts w:ascii="楷体" w:eastAsia="楷体" w:hAnsi="楷体" w:hint="eastAsia"/>
        </w:rPr>
        <w:t>份</w:t>
      </w:r>
      <w:r w:rsidR="001024F4" w:rsidRPr="005D176B">
        <w:rPr>
          <w:rFonts w:ascii="楷体" w:eastAsia="楷体" w:hAnsi="楷体" w:hint="eastAsia"/>
        </w:rPr>
        <w:t>非农就业增长19.2万人,</w:t>
      </w:r>
      <w:r w:rsidR="001024F4">
        <w:rPr>
          <w:rFonts w:ascii="楷体" w:eastAsia="楷体" w:hAnsi="楷体" w:hint="eastAsia"/>
        </w:rPr>
        <w:t>失业率维持</w:t>
      </w:r>
      <w:r w:rsidR="001024F4" w:rsidRPr="005D176B">
        <w:rPr>
          <w:rFonts w:ascii="楷体" w:eastAsia="楷体" w:hAnsi="楷体" w:hint="eastAsia"/>
        </w:rPr>
        <w:t>6.7%</w:t>
      </w:r>
      <w:r w:rsidR="001024F4">
        <w:rPr>
          <w:rFonts w:ascii="楷体" w:eastAsia="楷体" w:hAnsi="楷体" w:hint="eastAsia"/>
        </w:rPr>
        <w:t>，显示美国就业市场</w:t>
      </w:r>
      <w:r w:rsidR="001024F4" w:rsidRPr="005D176B">
        <w:rPr>
          <w:rFonts w:ascii="楷体" w:eastAsia="楷体" w:hAnsi="楷体" w:hint="eastAsia"/>
        </w:rPr>
        <w:t>稳步复苏</w:t>
      </w:r>
      <w:r w:rsidR="001024F4">
        <w:rPr>
          <w:rFonts w:ascii="楷体" w:eastAsia="楷体" w:hAnsi="楷体" w:hint="eastAsia"/>
        </w:rPr>
        <w:t>。此外</w:t>
      </w:r>
      <w:r w:rsidR="001024F4" w:rsidRPr="005D176B">
        <w:rPr>
          <w:rFonts w:ascii="楷体" w:eastAsia="楷体" w:hAnsi="楷体" w:hint="eastAsia"/>
        </w:rPr>
        <w:t>美联储</w:t>
      </w:r>
      <w:r w:rsidR="001024F4">
        <w:rPr>
          <w:rFonts w:ascii="楷体" w:eastAsia="楷体" w:hAnsi="楷体" w:hint="eastAsia"/>
        </w:rPr>
        <w:t>表态</w:t>
      </w:r>
      <w:r w:rsidR="001024F4" w:rsidRPr="005D176B">
        <w:rPr>
          <w:rFonts w:ascii="楷体" w:eastAsia="楷体" w:hAnsi="楷体" w:hint="eastAsia"/>
        </w:rPr>
        <w:t>维持相对宽松政策</w:t>
      </w:r>
      <w:r w:rsidR="001024F4">
        <w:rPr>
          <w:rFonts w:ascii="楷体" w:eastAsia="楷体" w:hAnsi="楷体" w:hint="eastAsia"/>
        </w:rPr>
        <w:t>，令美股有所</w:t>
      </w:r>
      <w:r w:rsidR="001024F4" w:rsidRPr="005D176B">
        <w:rPr>
          <w:rFonts w:ascii="楷体" w:eastAsia="楷体" w:hAnsi="楷体" w:hint="eastAsia"/>
        </w:rPr>
        <w:t>反弹</w:t>
      </w:r>
      <w:r w:rsidR="001024F4">
        <w:rPr>
          <w:rFonts w:ascii="楷体" w:eastAsia="楷体" w:hAnsi="楷体" w:hint="eastAsia"/>
        </w:rPr>
        <w:t>。</w:t>
      </w:r>
      <w:r w:rsidR="001024F4" w:rsidRPr="001024F4">
        <w:rPr>
          <w:rFonts w:ascii="楷体" w:eastAsia="楷体" w:hAnsi="楷体" w:hint="eastAsia"/>
        </w:rPr>
        <w:t>欧洲和新兴市场表现</w:t>
      </w:r>
      <w:r w:rsidR="001024F4">
        <w:rPr>
          <w:rFonts w:ascii="楷体" w:eastAsia="楷体" w:hAnsi="楷体" w:hint="eastAsia"/>
        </w:rPr>
        <w:t>亦</w:t>
      </w:r>
      <w:r w:rsidR="001024F4" w:rsidRPr="001024F4">
        <w:rPr>
          <w:rFonts w:ascii="楷体" w:eastAsia="楷体" w:hAnsi="楷体" w:hint="eastAsia"/>
        </w:rPr>
        <w:t>较好,</w:t>
      </w:r>
      <w:r w:rsidR="001024F4">
        <w:rPr>
          <w:rFonts w:ascii="楷体" w:eastAsia="楷体" w:hAnsi="楷体" w:hint="eastAsia"/>
        </w:rPr>
        <w:t>而</w:t>
      </w:r>
      <w:r w:rsidR="001024F4" w:rsidRPr="001024F4">
        <w:rPr>
          <w:rFonts w:ascii="楷体" w:eastAsia="楷体" w:hAnsi="楷体" w:hint="eastAsia"/>
        </w:rPr>
        <w:t>能源商品价格略有下跌</w:t>
      </w:r>
      <w:r w:rsidR="001024F4">
        <w:rPr>
          <w:rFonts w:ascii="楷体" w:eastAsia="楷体" w:hAnsi="楷体" w:hint="eastAsia"/>
        </w:rPr>
        <w:t>。</w:t>
      </w:r>
    </w:p>
    <w:p w:rsidR="00B01410" w:rsidRPr="005B7CDB" w:rsidRDefault="001024F4" w:rsidP="008F39C1">
      <w:pPr>
        <w:widowControl/>
        <w:spacing w:after="120"/>
        <w:ind w:left="3430" w:firstLineChars="200" w:firstLine="420"/>
        <w:rPr>
          <w:rFonts w:ascii="楷体" w:eastAsia="楷体" w:hAnsi="楷体" w:cs="Times New Roman"/>
          <w:color w:val="000000"/>
          <w:kern w:val="0"/>
          <w:szCs w:val="21"/>
          <w:lang w:val="en-GB"/>
        </w:rPr>
      </w:pPr>
      <w:r>
        <w:rPr>
          <w:rFonts w:ascii="楷体" w:eastAsia="楷体" w:hAnsi="楷体" w:hint="eastAsia"/>
        </w:rPr>
        <w:t>在市场普</w:t>
      </w:r>
      <w:proofErr w:type="gramStart"/>
      <w:r>
        <w:rPr>
          <w:rFonts w:ascii="楷体" w:eastAsia="楷体" w:hAnsi="楷体" w:hint="eastAsia"/>
        </w:rPr>
        <w:t>涨环境</w:t>
      </w:r>
      <w:proofErr w:type="gramEnd"/>
      <w:r>
        <w:rPr>
          <w:rFonts w:ascii="楷体" w:eastAsia="楷体" w:hAnsi="楷体" w:hint="eastAsia"/>
        </w:rPr>
        <w:t>下，各类型权益类基金多数实现正收益，其中股票</w:t>
      </w:r>
      <w:proofErr w:type="gramStart"/>
      <w:r>
        <w:rPr>
          <w:rFonts w:ascii="楷体" w:eastAsia="楷体" w:hAnsi="楷体" w:hint="eastAsia"/>
        </w:rPr>
        <w:t>仓位</w:t>
      </w:r>
      <w:proofErr w:type="gramEnd"/>
      <w:r>
        <w:rPr>
          <w:rFonts w:ascii="楷体" w:eastAsia="楷体" w:hAnsi="楷体" w:hint="eastAsia"/>
        </w:rPr>
        <w:t>相对较重的股票-主动型、股票-指数型以及混合-</w:t>
      </w:r>
      <w:proofErr w:type="gramStart"/>
      <w:r>
        <w:rPr>
          <w:rFonts w:ascii="楷体" w:eastAsia="楷体" w:hAnsi="楷体" w:hint="eastAsia"/>
        </w:rPr>
        <w:t>偏股型平均周收益皆战胜</w:t>
      </w:r>
      <w:proofErr w:type="gramEnd"/>
      <w:r>
        <w:rPr>
          <w:rFonts w:ascii="楷体" w:eastAsia="楷体" w:hAnsi="楷体" w:hint="eastAsia"/>
        </w:rPr>
        <w:t>主板市场。从投资风格来看，</w:t>
      </w:r>
      <w:proofErr w:type="gramStart"/>
      <w:r>
        <w:rPr>
          <w:rFonts w:ascii="楷体" w:eastAsia="楷体" w:hAnsi="楷体" w:hint="eastAsia"/>
        </w:rPr>
        <w:t>偏成长</w:t>
      </w:r>
      <w:proofErr w:type="gramEnd"/>
      <w:r>
        <w:rPr>
          <w:rFonts w:ascii="楷体" w:eastAsia="楷体" w:hAnsi="楷体" w:hint="eastAsia"/>
        </w:rPr>
        <w:t>风格基金略胜一筹，如</w:t>
      </w:r>
      <w:r w:rsidRPr="003F15EB">
        <w:rPr>
          <w:rFonts w:ascii="楷体" w:eastAsia="楷体" w:hAnsi="楷体" w:hint="eastAsia"/>
        </w:rPr>
        <w:t>泰达宏利逆向策略</w:t>
      </w:r>
      <w:r>
        <w:rPr>
          <w:rFonts w:ascii="楷体" w:eastAsia="楷体" w:hAnsi="楷体" w:hint="eastAsia"/>
        </w:rPr>
        <w:t>（6.75%）、</w:t>
      </w:r>
      <w:r w:rsidRPr="003F15EB">
        <w:rPr>
          <w:rFonts w:ascii="楷体" w:eastAsia="楷体" w:hAnsi="楷体" w:hint="eastAsia"/>
        </w:rPr>
        <w:t>东吴新产业精选</w:t>
      </w:r>
      <w:r>
        <w:rPr>
          <w:rFonts w:ascii="楷体" w:eastAsia="楷体" w:hAnsi="楷体" w:hint="eastAsia"/>
        </w:rPr>
        <w:t>（5.07%）、</w:t>
      </w:r>
      <w:r w:rsidRPr="001024F4">
        <w:rPr>
          <w:rFonts w:ascii="楷体" w:eastAsia="楷体" w:hAnsi="楷体" w:hint="eastAsia"/>
        </w:rPr>
        <w:t>汇</w:t>
      </w:r>
      <w:proofErr w:type="gramStart"/>
      <w:r w:rsidRPr="001024F4">
        <w:rPr>
          <w:rFonts w:ascii="楷体" w:eastAsia="楷体" w:hAnsi="楷体" w:hint="eastAsia"/>
        </w:rPr>
        <w:t>丰晋信</w:t>
      </w:r>
      <w:proofErr w:type="gramEnd"/>
      <w:r w:rsidRPr="001024F4">
        <w:rPr>
          <w:rFonts w:ascii="楷体" w:eastAsia="楷体" w:hAnsi="楷体" w:hint="eastAsia"/>
        </w:rPr>
        <w:t>2026</w:t>
      </w:r>
      <w:r>
        <w:rPr>
          <w:rFonts w:ascii="楷体" w:eastAsia="楷体" w:hAnsi="楷体" w:hint="eastAsia"/>
        </w:rPr>
        <w:t>（5.25%）等。</w:t>
      </w:r>
      <w:r w:rsidRPr="005B7CDB">
        <w:rPr>
          <w:rFonts w:ascii="楷体" w:eastAsia="楷体" w:hAnsi="楷体" w:hint="eastAsia"/>
        </w:rPr>
        <w:t>79只QDII基金</w:t>
      </w:r>
      <w:r>
        <w:rPr>
          <w:rFonts w:ascii="楷体" w:eastAsia="楷体" w:hAnsi="楷体" w:hint="eastAsia"/>
        </w:rPr>
        <w:t>止跌回升，领涨者多为投资于亚太新兴市场的品种</w:t>
      </w:r>
      <w:r w:rsidRPr="005B7CDB">
        <w:rPr>
          <w:rFonts w:ascii="楷体" w:eastAsia="楷体" w:hAnsi="楷体" w:hint="eastAsia"/>
        </w:rPr>
        <w:t>。</w:t>
      </w:r>
      <w:r w:rsidRPr="00706C09">
        <w:rPr>
          <w:rFonts w:ascii="楷体" w:eastAsia="楷体" w:hAnsi="楷体" w:hint="eastAsia"/>
        </w:rPr>
        <w:t>货币基金</w:t>
      </w:r>
      <w:r>
        <w:rPr>
          <w:rFonts w:ascii="楷体" w:eastAsia="楷体" w:hAnsi="楷体" w:hint="eastAsia"/>
        </w:rPr>
        <w:t>收益</w:t>
      </w:r>
      <w:r w:rsidR="000E217B">
        <w:rPr>
          <w:rFonts w:ascii="楷体" w:eastAsia="楷体" w:hAnsi="楷体" w:hint="eastAsia"/>
        </w:rPr>
        <w:t>略有回温</w:t>
      </w:r>
      <w:r>
        <w:rPr>
          <w:rFonts w:ascii="楷体" w:eastAsia="楷体" w:hAnsi="楷体" w:hint="eastAsia"/>
        </w:rPr>
        <w:t>，但依旧在“4时代”徘徊，平</w:t>
      </w:r>
      <w:r w:rsidRPr="00706C09">
        <w:rPr>
          <w:rFonts w:ascii="楷体" w:eastAsia="楷体" w:hAnsi="楷体" w:hint="eastAsia"/>
        </w:rPr>
        <w:t>均7日折算年收益</w:t>
      </w:r>
      <w:r>
        <w:rPr>
          <w:rFonts w:ascii="楷体" w:eastAsia="楷体" w:hAnsi="楷体" w:hint="eastAsia"/>
        </w:rPr>
        <w:t>为4.73</w:t>
      </w:r>
      <w:r w:rsidRPr="00706C09">
        <w:rPr>
          <w:rFonts w:ascii="楷体" w:eastAsia="楷体" w:hAnsi="楷体" w:hint="eastAsia"/>
        </w:rPr>
        <w:t>%。</w:t>
      </w:r>
    </w:p>
    <w:p w:rsidR="0069249C" w:rsidRPr="005B7CDB" w:rsidRDefault="0069249C" w:rsidP="0069249C">
      <w:pPr>
        <w:widowControl/>
        <w:spacing w:after="120"/>
        <w:ind w:left="3430"/>
        <w:rPr>
          <w:rFonts w:ascii="楷体" w:eastAsia="楷体" w:hAnsi="楷体"/>
          <w:b/>
          <w:bCs/>
          <w:color w:val="0070C0"/>
          <w:kern w:val="0"/>
          <w:sz w:val="24"/>
          <w:szCs w:val="20"/>
          <w:lang w:val="en-GB"/>
        </w:rPr>
      </w:pPr>
      <w:proofErr w:type="gramStart"/>
      <w:r w:rsidRPr="005B7CDB">
        <w:rPr>
          <w:rFonts w:ascii="楷体" w:eastAsia="楷体" w:hAnsi="楷体" w:hint="eastAsia"/>
          <w:b/>
          <w:bCs/>
          <w:color w:val="0070C0"/>
          <w:kern w:val="0"/>
          <w:sz w:val="24"/>
          <w:szCs w:val="20"/>
          <w:lang w:val="en-GB"/>
        </w:rPr>
        <w:t>凯石工场</w:t>
      </w:r>
      <w:proofErr w:type="gramEnd"/>
      <w:r w:rsidRPr="005B7CDB">
        <w:rPr>
          <w:rFonts w:ascii="楷体" w:eastAsia="楷体" w:hAnsi="楷体" w:hint="eastAsia"/>
          <w:b/>
          <w:bCs/>
          <w:color w:val="0070C0"/>
          <w:kern w:val="0"/>
          <w:sz w:val="24"/>
          <w:szCs w:val="20"/>
          <w:lang w:val="en-GB"/>
        </w:rPr>
        <w:t>本周基金</w:t>
      </w:r>
      <w:r w:rsidR="001B1A86" w:rsidRPr="005B7CDB">
        <w:rPr>
          <w:rFonts w:ascii="楷体" w:eastAsia="楷体" w:hAnsi="楷体" w:hint="eastAsia"/>
          <w:b/>
          <w:bCs/>
          <w:color w:val="0070C0"/>
          <w:kern w:val="0"/>
          <w:sz w:val="24"/>
          <w:szCs w:val="20"/>
          <w:lang w:val="en-GB"/>
        </w:rPr>
        <w:t>投资</w:t>
      </w:r>
      <w:r w:rsidRPr="005B7CDB">
        <w:rPr>
          <w:rFonts w:ascii="楷体" w:eastAsia="楷体" w:hAnsi="楷体" w:hint="eastAsia"/>
          <w:b/>
          <w:bCs/>
          <w:color w:val="0070C0"/>
          <w:kern w:val="0"/>
          <w:sz w:val="24"/>
          <w:szCs w:val="20"/>
          <w:lang w:val="en-GB"/>
        </w:rPr>
        <w:t>策略：</w:t>
      </w:r>
      <w:r w:rsidR="00F00011">
        <w:rPr>
          <w:rFonts w:ascii="楷体" w:eastAsia="楷体" w:hAnsi="楷体" w:hint="eastAsia"/>
          <w:b/>
          <w:bCs/>
          <w:color w:val="0070C0"/>
          <w:kern w:val="0"/>
          <w:sz w:val="24"/>
          <w:szCs w:val="20"/>
          <w:lang w:val="en-GB"/>
        </w:rPr>
        <w:t>战略防御，均衡风格</w:t>
      </w:r>
    </w:p>
    <w:p w:rsidR="00F00011" w:rsidRPr="00F00011" w:rsidRDefault="00F00011" w:rsidP="00F00011">
      <w:pPr>
        <w:pStyle w:val="ab"/>
        <w:numPr>
          <w:ilvl w:val="4"/>
          <w:numId w:val="1"/>
        </w:numPr>
        <w:spacing w:after="163"/>
        <w:rPr>
          <w:rFonts w:ascii="楷体" w:eastAsia="楷体" w:hAnsi="楷体"/>
          <w:color w:val="auto"/>
        </w:rPr>
      </w:pPr>
      <w:r w:rsidRPr="00F00011">
        <w:rPr>
          <w:rFonts w:ascii="楷体" w:eastAsia="楷体" w:hAnsi="楷体" w:hint="eastAsia"/>
          <w:color w:val="auto"/>
        </w:rPr>
        <w:t>发达经济体继续向好。美国经济数据诸多利好，显示已摆脱严寒影响、复苏前景明朗；基于对经济回暖的信心，</w:t>
      </w:r>
      <w:r w:rsidRPr="00F00011">
        <w:rPr>
          <w:rFonts w:ascii="楷体" w:eastAsia="楷体" w:hAnsi="楷体"/>
          <w:color w:val="auto"/>
        </w:rPr>
        <w:t>QE</w:t>
      </w:r>
      <w:r w:rsidRPr="00F00011">
        <w:rPr>
          <w:rFonts w:ascii="楷体" w:eastAsia="楷体" w:hAnsi="楷体" w:hint="eastAsia"/>
          <w:color w:val="auto"/>
        </w:rPr>
        <w:t>退出或将提速，但美联储表示宽松政策仍将持续一段时间，纠正市场的“鹰派”解读。欧洲各国经济不同程度复苏，通</w:t>
      </w:r>
      <w:proofErr w:type="gramStart"/>
      <w:r w:rsidRPr="00F00011">
        <w:rPr>
          <w:rFonts w:ascii="楷体" w:eastAsia="楷体" w:hAnsi="楷体" w:hint="eastAsia"/>
          <w:color w:val="auto"/>
        </w:rPr>
        <w:t>缩压力</w:t>
      </w:r>
      <w:proofErr w:type="gramEnd"/>
      <w:r w:rsidRPr="00F00011">
        <w:rPr>
          <w:rFonts w:ascii="楷体" w:eastAsia="楷体" w:hAnsi="楷体" w:hint="eastAsia"/>
          <w:color w:val="auto"/>
        </w:rPr>
        <w:t>有望催生“欧版</w:t>
      </w:r>
      <w:r w:rsidRPr="00F00011">
        <w:rPr>
          <w:rFonts w:ascii="楷体" w:eastAsia="楷体" w:hAnsi="楷体"/>
          <w:color w:val="auto"/>
        </w:rPr>
        <w:t>QE”</w:t>
      </w:r>
      <w:r w:rsidRPr="00F00011">
        <w:rPr>
          <w:rFonts w:ascii="楷体" w:eastAsia="楷体" w:hAnsi="楷体" w:hint="eastAsia"/>
          <w:color w:val="auto"/>
        </w:rPr>
        <w:t>出台。此外乌克兰危机有所缓和，一定程度降低成熟市场避险情绪。</w:t>
      </w:r>
    </w:p>
    <w:p w:rsidR="00F00011" w:rsidRPr="00F00011" w:rsidRDefault="00F00011" w:rsidP="00F00011">
      <w:pPr>
        <w:pStyle w:val="ab"/>
        <w:numPr>
          <w:ilvl w:val="4"/>
          <w:numId w:val="1"/>
        </w:numPr>
        <w:spacing w:after="163"/>
        <w:rPr>
          <w:rFonts w:ascii="楷体" w:eastAsia="楷体" w:hAnsi="楷体"/>
          <w:color w:val="auto"/>
        </w:rPr>
      </w:pPr>
      <w:r w:rsidRPr="00F00011">
        <w:rPr>
          <w:rFonts w:ascii="楷体" w:eastAsia="楷体" w:hAnsi="楷体" w:hint="eastAsia"/>
          <w:color w:val="auto"/>
        </w:rPr>
        <w:t>国内经济下滑预期不断强化，在热钱加速流出以及央行“有限”放松下，市场流动性紧缩效果开始显现。在政府改革决心以及对经济下行容忍度提高背景下，对于政策预期不宜过度乐观，政策着力点预计更多沿着国企改革、新型城镇化、金融改革等方向推进，配以适当的货币和财政政策，兼顾转型与增长。综合两会后政策落实及导向，经济层面国企改革、新型城镇化等主题</w:t>
      </w:r>
      <w:proofErr w:type="gramStart"/>
      <w:r w:rsidRPr="00F00011">
        <w:rPr>
          <w:rFonts w:ascii="楷体" w:eastAsia="楷体" w:hAnsi="楷体" w:hint="eastAsia"/>
          <w:color w:val="auto"/>
        </w:rPr>
        <w:t>可阶段</w:t>
      </w:r>
      <w:proofErr w:type="gramEnd"/>
      <w:r w:rsidRPr="00F00011">
        <w:rPr>
          <w:rFonts w:ascii="楷体" w:eastAsia="楷体" w:hAnsi="楷体" w:hint="eastAsia"/>
          <w:color w:val="auto"/>
        </w:rPr>
        <w:t>侧重关注，市场层面优先股制度、并购重组等主题</w:t>
      </w:r>
      <w:proofErr w:type="gramStart"/>
      <w:r w:rsidRPr="00F00011">
        <w:rPr>
          <w:rFonts w:ascii="楷体" w:eastAsia="楷体" w:hAnsi="楷体" w:hint="eastAsia"/>
          <w:color w:val="auto"/>
        </w:rPr>
        <w:t>可阶段</w:t>
      </w:r>
      <w:proofErr w:type="gramEnd"/>
      <w:r w:rsidRPr="00F00011">
        <w:rPr>
          <w:rFonts w:ascii="楷体" w:eastAsia="楷体" w:hAnsi="楷体" w:hint="eastAsia"/>
          <w:color w:val="auto"/>
        </w:rPr>
        <w:t>侧重关注。</w:t>
      </w:r>
    </w:p>
    <w:p w:rsidR="0069249C" w:rsidRPr="00F00011" w:rsidRDefault="00F00011" w:rsidP="00F00011">
      <w:pPr>
        <w:pStyle w:val="ab"/>
        <w:numPr>
          <w:ilvl w:val="4"/>
          <w:numId w:val="1"/>
        </w:numPr>
        <w:spacing w:after="163"/>
        <w:rPr>
          <w:rFonts w:ascii="楷体" w:eastAsia="楷体" w:hAnsi="楷体"/>
          <w:color w:val="auto"/>
        </w:rPr>
      </w:pPr>
      <w:proofErr w:type="gramStart"/>
      <w:r w:rsidRPr="004520F9">
        <w:rPr>
          <w:rFonts w:ascii="楷体" w:eastAsia="楷体" w:hAnsi="楷体" w:hint="eastAsia"/>
          <w:b/>
          <w:color w:val="auto"/>
        </w:rPr>
        <w:t>凯石工场基金</w:t>
      </w:r>
      <w:proofErr w:type="gramEnd"/>
      <w:r w:rsidRPr="004520F9">
        <w:rPr>
          <w:rFonts w:ascii="楷体" w:eastAsia="楷体" w:hAnsi="楷体" w:hint="eastAsia"/>
          <w:b/>
          <w:color w:val="auto"/>
        </w:rPr>
        <w:t>投资建议：</w:t>
      </w:r>
      <w:r w:rsidRPr="00F00011">
        <w:rPr>
          <w:rFonts w:ascii="楷体" w:eastAsia="楷体" w:hAnsi="楷体" w:hint="eastAsia"/>
          <w:color w:val="auto"/>
        </w:rPr>
        <w:t>采取战略防御的操作策略，通过全球配置、降低整体资产中权益类资产实际</w:t>
      </w:r>
      <w:proofErr w:type="gramStart"/>
      <w:r w:rsidRPr="00F00011">
        <w:rPr>
          <w:rFonts w:ascii="楷体" w:eastAsia="楷体" w:hAnsi="楷体" w:hint="eastAsia"/>
          <w:color w:val="auto"/>
        </w:rPr>
        <w:t>仓位</w:t>
      </w:r>
      <w:proofErr w:type="gramEnd"/>
      <w:r w:rsidRPr="00F00011">
        <w:rPr>
          <w:rFonts w:ascii="楷体" w:eastAsia="楷体" w:hAnsi="楷体" w:hint="eastAsia"/>
          <w:color w:val="auto"/>
        </w:rPr>
        <w:t>、均衡风格搭配以及选择择时能力突出管理人管理的基金产品四方面来控制风险。风格上采取三类风格产品均衡搭配策略，兼顾防御与进取、短期和中长期：以重点投资增长确定性高的大消费板块以及传统行业中积极转型、业绩与估值均有上行空间企业基金为基础配置，此类基金短期净值或有波动，中长期投资价值显著；</w:t>
      </w:r>
      <w:proofErr w:type="gramStart"/>
      <w:r w:rsidRPr="00F00011">
        <w:rPr>
          <w:rFonts w:ascii="楷体" w:eastAsia="楷体" w:hAnsi="楷体" w:hint="eastAsia"/>
          <w:color w:val="auto"/>
        </w:rPr>
        <w:t>基于从</w:t>
      </w:r>
      <w:proofErr w:type="gramEnd"/>
      <w:r w:rsidRPr="00F00011">
        <w:rPr>
          <w:rFonts w:ascii="楷体" w:eastAsia="楷体" w:hAnsi="楷体" w:hint="eastAsia"/>
          <w:color w:val="auto"/>
        </w:rPr>
        <w:t>优先股等政策刺激及防范估值风险双重角度出发，增加大盘蓝</w:t>
      </w:r>
      <w:proofErr w:type="gramStart"/>
      <w:r w:rsidRPr="00F00011">
        <w:rPr>
          <w:rFonts w:ascii="楷体" w:eastAsia="楷体" w:hAnsi="楷体" w:hint="eastAsia"/>
          <w:color w:val="auto"/>
        </w:rPr>
        <w:t>筹风格</w:t>
      </w:r>
      <w:proofErr w:type="gramEnd"/>
      <w:r w:rsidRPr="00F00011">
        <w:rPr>
          <w:rFonts w:ascii="楷体" w:eastAsia="楷体" w:hAnsi="楷体" w:hint="eastAsia"/>
          <w:color w:val="auto"/>
        </w:rPr>
        <w:t>基金配置，此类产品或能在弱市下产生相对收益；进攻端配置上，结合市场主题风格（如国企改革主题、新型城镇</w:t>
      </w:r>
      <w:proofErr w:type="gramStart"/>
      <w:r w:rsidRPr="00F00011">
        <w:rPr>
          <w:rFonts w:ascii="楷体" w:eastAsia="楷体" w:hAnsi="楷体" w:hint="eastAsia"/>
          <w:color w:val="auto"/>
        </w:rPr>
        <w:t>化主题</w:t>
      </w:r>
      <w:proofErr w:type="gramEnd"/>
      <w:r w:rsidRPr="00F00011">
        <w:rPr>
          <w:rFonts w:ascii="楷体" w:eastAsia="楷体" w:hAnsi="楷体" w:hint="eastAsia"/>
          <w:color w:val="auto"/>
        </w:rPr>
        <w:t>等），选择符合对应风格的产品进行投资。</w:t>
      </w:r>
    </w:p>
    <w:p w:rsidR="0069249C" w:rsidRPr="005B7CDB" w:rsidRDefault="00B93424" w:rsidP="0046596D">
      <w:pPr>
        <w:widowControl/>
        <w:spacing w:beforeLines="500" w:after="120"/>
        <w:ind w:left="3430"/>
        <w:rPr>
          <w:rFonts w:ascii="楷体" w:eastAsia="楷体" w:hAnsi="楷体"/>
          <w:b/>
          <w:bCs/>
          <w:color w:val="0070C0"/>
          <w:kern w:val="0"/>
          <w:sz w:val="24"/>
          <w:szCs w:val="20"/>
          <w:lang w:val="en-GB"/>
        </w:rPr>
      </w:pPr>
      <w:proofErr w:type="gramStart"/>
      <w:r w:rsidRPr="005B7CDB">
        <w:rPr>
          <w:rFonts w:ascii="楷体" w:eastAsia="楷体" w:hAnsi="楷体" w:hint="eastAsia"/>
          <w:b/>
          <w:bCs/>
          <w:color w:val="0070C0"/>
          <w:kern w:val="0"/>
          <w:sz w:val="24"/>
          <w:szCs w:val="20"/>
          <w:lang w:val="en-GB"/>
        </w:rPr>
        <w:lastRenderedPageBreak/>
        <w:t>凯石每</w:t>
      </w:r>
      <w:proofErr w:type="gramEnd"/>
      <w:r w:rsidRPr="005B7CDB">
        <w:rPr>
          <w:rFonts w:ascii="楷体" w:eastAsia="楷体" w:hAnsi="楷体" w:hint="eastAsia"/>
          <w:b/>
          <w:bCs/>
          <w:color w:val="0070C0"/>
          <w:kern w:val="0"/>
          <w:sz w:val="24"/>
          <w:szCs w:val="20"/>
          <w:lang w:val="en-GB"/>
        </w:rPr>
        <w:t>周微点评</w:t>
      </w:r>
    </w:p>
    <w:tbl>
      <w:tblPr>
        <w:tblW w:w="11483" w:type="dxa"/>
        <w:tblInd w:w="-426"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5671"/>
        <w:gridCol w:w="5812"/>
      </w:tblGrid>
      <w:tr w:rsidR="0069249C" w:rsidRPr="005B7CDB" w:rsidTr="00901DFE">
        <w:trPr>
          <w:cantSplit/>
          <w:trHeight w:val="335"/>
        </w:trPr>
        <w:tc>
          <w:tcPr>
            <w:tcW w:w="11483" w:type="dxa"/>
            <w:gridSpan w:val="2"/>
            <w:tcBorders>
              <w:bottom w:val="single" w:sz="6" w:space="0" w:color="FF6600"/>
            </w:tcBorders>
            <w:shd w:val="clear" w:color="auto" w:fill="auto"/>
            <w:vAlign w:val="center"/>
          </w:tcPr>
          <w:p w:rsidR="0069249C" w:rsidRPr="005B7CDB" w:rsidRDefault="0069249C" w:rsidP="00517D66">
            <w:pPr>
              <w:pStyle w:val="SubTitleLargeTable"/>
              <w:pBdr>
                <w:top w:val="none" w:sz="0" w:space="0" w:color="auto"/>
              </w:pBdr>
              <w:rPr>
                <w:rFonts w:ascii="楷体" w:eastAsia="楷体" w:hAnsi="楷体"/>
                <w:b w:val="0"/>
              </w:rPr>
            </w:pPr>
            <w:r w:rsidRPr="005B7CDB">
              <w:rPr>
                <w:rFonts w:ascii="楷体" w:eastAsia="楷体" w:hAnsi="楷体"/>
                <w:color w:val="FF6600"/>
              </w:rPr>
              <w:t>图表</w:t>
            </w:r>
            <w:r w:rsidR="00537D72" w:rsidRPr="005B7CDB">
              <w:rPr>
                <w:rFonts w:ascii="楷体" w:eastAsia="楷体" w:hAnsi="楷体" w:hint="eastAsia"/>
                <w:color w:val="FF6600"/>
              </w:rPr>
              <w:t>1</w:t>
            </w:r>
            <w:r w:rsidRPr="005B7CDB">
              <w:rPr>
                <w:rFonts w:ascii="楷体" w:eastAsia="楷体" w:hAnsi="楷体" w:hint="eastAsia"/>
                <w:color w:val="FF6600"/>
              </w:rPr>
              <w:t>：</w:t>
            </w:r>
            <w:r w:rsidR="00B93424" w:rsidRPr="005B7CDB">
              <w:rPr>
                <w:rFonts w:ascii="楷体" w:eastAsia="楷体" w:hAnsi="楷体" w:hint="eastAsia"/>
                <w:color w:val="FF6600"/>
              </w:rPr>
              <w:t>基金</w:t>
            </w:r>
            <w:r w:rsidRPr="005B7CDB">
              <w:rPr>
                <w:rFonts w:ascii="楷体" w:eastAsia="楷体" w:hAnsi="楷体" w:hint="eastAsia"/>
                <w:color w:val="FF6600"/>
              </w:rPr>
              <w:t>行业近期动态及点评</w:t>
            </w:r>
          </w:p>
        </w:tc>
      </w:tr>
      <w:tr w:rsidR="0069249C" w:rsidRPr="005B7CDB" w:rsidTr="00965612">
        <w:trPr>
          <w:cantSplit/>
          <w:trHeight w:val="284"/>
        </w:trPr>
        <w:tc>
          <w:tcPr>
            <w:tcW w:w="5671" w:type="dxa"/>
            <w:tcBorders>
              <w:right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微新闻</w:t>
            </w:r>
          </w:p>
        </w:tc>
        <w:tc>
          <w:tcPr>
            <w:tcW w:w="5812" w:type="dxa"/>
            <w:tcBorders>
              <w:left w:val="single" w:sz="6" w:space="0" w:color="FF6600"/>
            </w:tcBorders>
            <w:shd w:val="clear" w:color="auto" w:fill="FDE9D9" w:themeFill="accent6" w:themeFillTint="33"/>
            <w:vAlign w:val="center"/>
          </w:tcPr>
          <w:p w:rsidR="0069249C" w:rsidRPr="005B7CDB" w:rsidRDefault="0069249C" w:rsidP="00517D66">
            <w:pPr>
              <w:snapToGrid w:val="0"/>
              <w:jc w:val="center"/>
              <w:rPr>
                <w:rFonts w:ascii="楷体" w:eastAsia="楷体" w:hAnsi="楷体"/>
                <w:b/>
                <w:sz w:val="18"/>
                <w:szCs w:val="18"/>
              </w:rPr>
            </w:pPr>
            <w:r w:rsidRPr="005B7CDB">
              <w:rPr>
                <w:rFonts w:ascii="楷体" w:eastAsia="楷体" w:hAnsi="楷体"/>
                <w:b/>
                <w:sz w:val="18"/>
                <w:szCs w:val="18"/>
              </w:rPr>
              <w:t>微点评</w:t>
            </w:r>
          </w:p>
        </w:tc>
      </w:tr>
      <w:tr w:rsidR="00884478" w:rsidRPr="005B7CDB" w:rsidTr="00965612">
        <w:trPr>
          <w:cantSplit/>
          <w:trHeight w:val="284"/>
        </w:trPr>
        <w:tc>
          <w:tcPr>
            <w:tcW w:w="5671" w:type="dxa"/>
            <w:tcBorders>
              <w:right w:val="single" w:sz="6" w:space="0" w:color="FF6600"/>
            </w:tcBorders>
            <w:shd w:val="clear" w:color="auto" w:fill="auto"/>
            <w:vAlign w:val="center"/>
          </w:tcPr>
          <w:p w:rsidR="00884478" w:rsidRPr="00884478" w:rsidRDefault="00C74913" w:rsidP="00C74913">
            <w:pPr>
              <w:snapToGrid w:val="0"/>
              <w:jc w:val="left"/>
              <w:rPr>
                <w:rFonts w:ascii="楷体" w:eastAsia="楷体" w:hAnsi="楷体"/>
                <w:sz w:val="18"/>
                <w:szCs w:val="18"/>
              </w:rPr>
            </w:pPr>
            <w:r w:rsidRPr="00C74913">
              <w:rPr>
                <w:rFonts w:ascii="楷体" w:eastAsia="楷体" w:hAnsi="楷体" w:hint="eastAsia"/>
                <w:sz w:val="18"/>
                <w:szCs w:val="18"/>
              </w:rPr>
              <w:t>统计显示，一季度189只基金分红总额超过160亿元，创下5年来新高。在大量分红的同时，部分基金公司开始主动减</w:t>
            </w:r>
            <w:proofErr w:type="gramStart"/>
            <w:r w:rsidRPr="00C74913">
              <w:rPr>
                <w:rFonts w:ascii="楷体" w:eastAsia="楷体" w:hAnsi="楷体" w:hint="eastAsia"/>
                <w:sz w:val="18"/>
                <w:szCs w:val="18"/>
              </w:rPr>
              <w:t>仓控制</w:t>
            </w:r>
            <w:proofErr w:type="gramEnd"/>
            <w:r w:rsidRPr="00C74913">
              <w:rPr>
                <w:rFonts w:ascii="楷体" w:eastAsia="楷体" w:hAnsi="楷体" w:hint="eastAsia"/>
                <w:sz w:val="18"/>
                <w:szCs w:val="18"/>
              </w:rPr>
              <w:t>投资风险。</w:t>
            </w:r>
          </w:p>
        </w:tc>
        <w:tc>
          <w:tcPr>
            <w:tcW w:w="5812" w:type="dxa"/>
            <w:tcBorders>
              <w:left w:val="single" w:sz="6" w:space="0" w:color="FF6600"/>
            </w:tcBorders>
            <w:shd w:val="clear" w:color="auto" w:fill="auto"/>
            <w:vAlign w:val="center"/>
          </w:tcPr>
          <w:p w:rsidR="00884478" w:rsidRPr="00884478" w:rsidRDefault="00C74913" w:rsidP="00884478">
            <w:pPr>
              <w:snapToGrid w:val="0"/>
              <w:jc w:val="left"/>
              <w:rPr>
                <w:rFonts w:ascii="楷体" w:eastAsia="楷体" w:hAnsi="楷体"/>
                <w:sz w:val="18"/>
                <w:szCs w:val="18"/>
              </w:rPr>
            </w:pPr>
            <w:r w:rsidRPr="00C74913">
              <w:rPr>
                <w:rFonts w:ascii="楷体" w:eastAsia="楷体" w:hAnsi="楷体" w:hint="eastAsia"/>
                <w:sz w:val="18"/>
                <w:szCs w:val="18"/>
              </w:rPr>
              <w:t>一季度A</w:t>
            </w:r>
            <w:r>
              <w:rPr>
                <w:rFonts w:ascii="楷体" w:eastAsia="楷体" w:hAnsi="楷体" w:hint="eastAsia"/>
                <w:sz w:val="18"/>
                <w:szCs w:val="18"/>
              </w:rPr>
              <w:t>股跌了近百点，但基金公司给投资者的回报</w:t>
            </w:r>
            <w:r w:rsidRPr="00C74913">
              <w:rPr>
                <w:rFonts w:ascii="楷体" w:eastAsia="楷体" w:hAnsi="楷体" w:hint="eastAsia"/>
                <w:sz w:val="18"/>
                <w:szCs w:val="18"/>
              </w:rPr>
              <w:t>没少。基金经理借分红</w:t>
            </w:r>
            <w:proofErr w:type="gramStart"/>
            <w:r w:rsidRPr="00C74913">
              <w:rPr>
                <w:rFonts w:ascii="楷体" w:eastAsia="楷体" w:hAnsi="楷体" w:hint="eastAsia"/>
                <w:sz w:val="18"/>
                <w:szCs w:val="18"/>
              </w:rPr>
              <w:t>大幅调仓换股</w:t>
            </w:r>
            <w:proofErr w:type="gramEnd"/>
            <w:r w:rsidRPr="00C74913">
              <w:rPr>
                <w:rFonts w:ascii="楷体" w:eastAsia="楷体" w:hAnsi="楷体" w:hint="eastAsia"/>
                <w:sz w:val="18"/>
                <w:szCs w:val="18"/>
              </w:rPr>
              <w:t>的意图较明显，投资者也应及时获利了结，提前锁定收益。</w:t>
            </w:r>
          </w:p>
        </w:tc>
      </w:tr>
      <w:tr w:rsidR="00B834DB" w:rsidRPr="005B7CDB" w:rsidTr="00965612">
        <w:trPr>
          <w:cantSplit/>
          <w:trHeight w:val="284"/>
        </w:trPr>
        <w:tc>
          <w:tcPr>
            <w:tcW w:w="5671" w:type="dxa"/>
            <w:tcBorders>
              <w:right w:val="single" w:sz="6" w:space="0" w:color="FF6600"/>
            </w:tcBorders>
            <w:shd w:val="clear" w:color="auto" w:fill="auto"/>
            <w:vAlign w:val="center"/>
          </w:tcPr>
          <w:p w:rsidR="00B834DB" w:rsidRPr="00884478" w:rsidRDefault="00C74913" w:rsidP="00C45F3C">
            <w:pPr>
              <w:snapToGrid w:val="0"/>
              <w:jc w:val="left"/>
              <w:rPr>
                <w:rFonts w:ascii="楷体" w:eastAsia="楷体" w:hAnsi="楷体"/>
                <w:sz w:val="18"/>
                <w:szCs w:val="18"/>
              </w:rPr>
            </w:pPr>
            <w:r>
              <w:rPr>
                <w:rFonts w:ascii="楷体" w:eastAsia="楷体" w:hAnsi="楷体"/>
                <w:sz w:val="18"/>
                <w:szCs w:val="18"/>
              </w:rPr>
              <w:t>上</w:t>
            </w:r>
            <w:r w:rsidRPr="00C74913">
              <w:rPr>
                <w:rFonts w:ascii="楷体" w:eastAsia="楷体" w:hAnsi="楷体" w:hint="eastAsia"/>
                <w:sz w:val="18"/>
                <w:szCs w:val="18"/>
              </w:rPr>
              <w:t>周</w:t>
            </w:r>
            <w:r w:rsidRPr="00C74913">
              <w:rPr>
                <w:rFonts w:ascii="楷体" w:eastAsia="楷体" w:hAnsi="楷体"/>
                <w:sz w:val="18"/>
                <w:szCs w:val="18"/>
              </w:rPr>
              <w:t>3</w:t>
            </w:r>
            <w:r w:rsidRPr="00C74913">
              <w:rPr>
                <w:rFonts w:ascii="楷体" w:eastAsia="楷体" w:hAnsi="楷体" w:hint="eastAsia"/>
                <w:sz w:val="18"/>
                <w:szCs w:val="18"/>
              </w:rPr>
              <w:t>只基金发布成立公告，</w:t>
            </w:r>
            <w:proofErr w:type="gramStart"/>
            <w:r w:rsidRPr="00C74913">
              <w:rPr>
                <w:rFonts w:ascii="楷体" w:eastAsia="楷体" w:hAnsi="楷体" w:hint="eastAsia"/>
                <w:sz w:val="18"/>
                <w:szCs w:val="18"/>
              </w:rPr>
              <w:t>华润元大</w:t>
            </w:r>
            <w:proofErr w:type="gramEnd"/>
            <w:r w:rsidRPr="00C74913">
              <w:rPr>
                <w:rFonts w:ascii="楷体" w:eastAsia="楷体" w:hAnsi="楷体" w:hint="eastAsia"/>
                <w:sz w:val="18"/>
                <w:szCs w:val="18"/>
              </w:rPr>
              <w:t>信息传媒科技股票型证券投资基金首募</w:t>
            </w:r>
            <w:r w:rsidRPr="00C74913">
              <w:rPr>
                <w:rFonts w:ascii="楷体" w:eastAsia="楷体" w:hAnsi="楷体"/>
                <w:sz w:val="18"/>
                <w:szCs w:val="18"/>
              </w:rPr>
              <w:t>2.48</w:t>
            </w:r>
            <w:r w:rsidRPr="00C74913">
              <w:rPr>
                <w:rFonts w:ascii="楷体" w:eastAsia="楷体" w:hAnsi="楷体" w:hint="eastAsia"/>
                <w:sz w:val="18"/>
                <w:szCs w:val="18"/>
              </w:rPr>
              <w:t>亿元；中银多策略灵活配置混合型证券投资基金首募</w:t>
            </w:r>
            <w:r w:rsidRPr="00C74913">
              <w:rPr>
                <w:rFonts w:ascii="楷体" w:eastAsia="楷体" w:hAnsi="楷体"/>
                <w:sz w:val="18"/>
                <w:szCs w:val="18"/>
              </w:rPr>
              <w:t>20.95</w:t>
            </w:r>
            <w:r w:rsidRPr="00C74913">
              <w:rPr>
                <w:rFonts w:ascii="楷体" w:eastAsia="楷体" w:hAnsi="楷体" w:hint="eastAsia"/>
                <w:sz w:val="18"/>
                <w:szCs w:val="18"/>
              </w:rPr>
              <w:t>亿元；华安新活力灵活配置混合型证券投资基金首募</w:t>
            </w:r>
            <w:r w:rsidRPr="00C74913">
              <w:rPr>
                <w:rFonts w:ascii="楷体" w:eastAsia="楷体" w:hAnsi="楷体"/>
                <w:sz w:val="18"/>
                <w:szCs w:val="18"/>
              </w:rPr>
              <w:t>9.94</w:t>
            </w:r>
            <w:r w:rsidRPr="00C74913">
              <w:rPr>
                <w:rFonts w:ascii="楷体" w:eastAsia="楷体" w:hAnsi="楷体" w:hint="eastAsia"/>
                <w:sz w:val="18"/>
                <w:szCs w:val="18"/>
              </w:rPr>
              <w:t>亿元。</w:t>
            </w:r>
          </w:p>
        </w:tc>
        <w:tc>
          <w:tcPr>
            <w:tcW w:w="5812" w:type="dxa"/>
            <w:tcBorders>
              <w:left w:val="single" w:sz="6" w:space="0" w:color="FF6600"/>
            </w:tcBorders>
            <w:shd w:val="clear" w:color="auto" w:fill="auto"/>
            <w:vAlign w:val="center"/>
          </w:tcPr>
          <w:p w:rsidR="00B834DB" w:rsidRDefault="003163A1" w:rsidP="003163A1">
            <w:pPr>
              <w:snapToGrid w:val="0"/>
              <w:jc w:val="left"/>
              <w:rPr>
                <w:rFonts w:ascii="楷体" w:eastAsia="楷体" w:hAnsi="楷体"/>
                <w:sz w:val="18"/>
                <w:szCs w:val="18"/>
              </w:rPr>
            </w:pPr>
            <w:r>
              <w:rPr>
                <w:rFonts w:ascii="楷体" w:eastAsia="楷体" w:hAnsi="楷体" w:hint="eastAsia"/>
                <w:sz w:val="18"/>
                <w:szCs w:val="18"/>
              </w:rPr>
              <w:t>基金</w:t>
            </w:r>
            <w:r w:rsidRPr="003163A1">
              <w:rPr>
                <w:rFonts w:ascii="楷体" w:eastAsia="楷体" w:hAnsi="楷体" w:hint="eastAsia"/>
                <w:sz w:val="18"/>
                <w:szCs w:val="18"/>
              </w:rPr>
              <w:t>设立热情依旧，且以权益</w:t>
            </w:r>
            <w:r>
              <w:rPr>
                <w:rFonts w:ascii="楷体" w:eastAsia="楷体" w:hAnsi="楷体" w:hint="eastAsia"/>
                <w:sz w:val="18"/>
                <w:szCs w:val="18"/>
              </w:rPr>
              <w:t>类为主，可见基金公司对后市</w:t>
            </w:r>
            <w:r w:rsidRPr="003163A1">
              <w:rPr>
                <w:rFonts w:ascii="楷体" w:eastAsia="楷体" w:hAnsi="楷体" w:hint="eastAsia"/>
                <w:sz w:val="18"/>
                <w:szCs w:val="18"/>
              </w:rPr>
              <w:t>普遍乐观。各类主题型产品充斥着权益类基金市场,</w:t>
            </w:r>
            <w:r>
              <w:rPr>
                <w:rFonts w:ascii="楷体" w:eastAsia="楷体" w:hAnsi="楷体" w:hint="eastAsia"/>
                <w:sz w:val="18"/>
                <w:szCs w:val="18"/>
              </w:rPr>
              <w:t>主要沿着两会提及的政策方向展开，大国新经济、节能环保、信息安全、军工等</w:t>
            </w:r>
            <w:r w:rsidRPr="003163A1">
              <w:rPr>
                <w:rFonts w:ascii="楷体" w:eastAsia="楷体" w:hAnsi="楷体" w:hint="eastAsia"/>
                <w:sz w:val="18"/>
                <w:szCs w:val="18"/>
              </w:rPr>
              <w:t>较为普遍。</w:t>
            </w:r>
          </w:p>
        </w:tc>
      </w:tr>
    </w:tbl>
    <w:p w:rsidR="0069249C" w:rsidRPr="005B7CDB" w:rsidRDefault="0069249C" w:rsidP="0069249C">
      <w:pPr>
        <w:pStyle w:val="FootnoteNoline"/>
        <w:ind w:left="0"/>
        <w:rPr>
          <w:rFonts w:ascii="楷体" w:eastAsia="楷体" w:hAnsi="楷体"/>
          <w:color w:val="FF6600"/>
          <w:lang w:val="en-US"/>
        </w:rPr>
      </w:pPr>
      <w:r w:rsidRPr="005B7CDB">
        <w:rPr>
          <w:rFonts w:ascii="楷体" w:eastAsia="楷体" w:hAnsi="楷体" w:hint="eastAsia"/>
          <w:color w:val="FF6600"/>
          <w:lang w:val="en-US"/>
        </w:rPr>
        <w:t>来源：</w:t>
      </w:r>
      <w:proofErr w:type="gramStart"/>
      <w:r w:rsidRPr="005B7CDB">
        <w:rPr>
          <w:rFonts w:ascii="楷体" w:eastAsia="楷体" w:hAnsi="楷体" w:hint="eastAsia"/>
          <w:color w:val="FF6600"/>
          <w:lang w:val="en-US"/>
        </w:rPr>
        <w:t>凯</w:t>
      </w:r>
      <w:proofErr w:type="gramEnd"/>
      <w:r w:rsidRPr="005B7CDB">
        <w:rPr>
          <w:rFonts w:ascii="楷体" w:eastAsia="楷体" w:hAnsi="楷体" w:hint="eastAsia"/>
          <w:color w:val="FF6600"/>
          <w:lang w:val="en-US"/>
        </w:rPr>
        <w:t>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w:t>
      </w:r>
      <w:proofErr w:type="gramStart"/>
      <w:r w:rsidRPr="005B7CDB">
        <w:rPr>
          <w:rFonts w:ascii="楷体" w:eastAsia="楷体" w:hAnsi="楷体" w:hint="eastAsia"/>
          <w:b/>
          <w:bCs/>
          <w:color w:val="0070C0"/>
          <w:kern w:val="0"/>
          <w:sz w:val="24"/>
          <w:szCs w:val="20"/>
          <w:lang w:val="en-GB"/>
        </w:rPr>
        <w:t>募</w:t>
      </w:r>
      <w:r w:rsidR="0062314B" w:rsidRPr="005B7CDB">
        <w:rPr>
          <w:rFonts w:ascii="楷体" w:eastAsia="楷体" w:hAnsi="楷体" w:hint="eastAsia"/>
          <w:b/>
          <w:bCs/>
          <w:color w:val="0070C0"/>
          <w:kern w:val="0"/>
          <w:sz w:val="24"/>
          <w:szCs w:val="20"/>
          <w:lang w:val="en-GB"/>
        </w:rPr>
        <w:t>基金</w:t>
      </w:r>
      <w:proofErr w:type="gramEnd"/>
      <w:r w:rsidR="0062314B" w:rsidRPr="005B7CDB">
        <w:rPr>
          <w:rFonts w:ascii="楷体" w:eastAsia="楷体" w:hAnsi="楷体" w:hint="eastAsia"/>
          <w:b/>
          <w:bCs/>
          <w:color w:val="0070C0"/>
          <w:kern w:val="0"/>
          <w:sz w:val="24"/>
          <w:szCs w:val="20"/>
          <w:lang w:val="en-GB"/>
        </w:rPr>
        <w:t>一周业绩</w:t>
      </w:r>
      <w:r w:rsidR="00060829" w:rsidRPr="005B7CDB">
        <w:rPr>
          <w:rFonts w:ascii="楷体" w:eastAsia="楷体" w:hAnsi="楷体" w:hint="eastAsia"/>
          <w:b/>
          <w:bCs/>
          <w:color w:val="0070C0"/>
          <w:kern w:val="0"/>
          <w:sz w:val="24"/>
          <w:szCs w:val="20"/>
          <w:lang w:val="en-GB"/>
        </w:rPr>
        <w:t>：</w:t>
      </w:r>
    </w:p>
    <w:p w:rsidR="00B10000" w:rsidRPr="005B7CDB" w:rsidRDefault="00E02B7C"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62314B" w:rsidRPr="005B7CDB">
        <w:rPr>
          <w:rFonts w:ascii="楷体" w:eastAsia="楷体" w:hAnsi="楷体" w:hint="eastAsia"/>
          <w:b/>
          <w:bCs/>
          <w:color w:val="0070C0"/>
          <w:kern w:val="0"/>
          <w:szCs w:val="21"/>
          <w:lang w:val="en-GB"/>
        </w:rPr>
        <w:t>一周表现：</w:t>
      </w:r>
      <w:r w:rsidR="00A62135">
        <w:rPr>
          <w:rFonts w:ascii="楷体" w:eastAsia="楷体" w:hAnsi="楷体" w:hint="eastAsia"/>
          <w:b/>
          <w:bCs/>
          <w:color w:val="0070C0"/>
          <w:kern w:val="0"/>
          <w:szCs w:val="21"/>
          <w:lang w:val="en-GB"/>
        </w:rPr>
        <w:t>海内外</w:t>
      </w:r>
      <w:r w:rsidR="00FB39E5">
        <w:rPr>
          <w:rFonts w:ascii="楷体" w:eastAsia="楷体" w:hAnsi="楷体" w:hint="eastAsia"/>
          <w:b/>
          <w:bCs/>
          <w:color w:val="0070C0"/>
          <w:kern w:val="0"/>
          <w:szCs w:val="21"/>
          <w:lang w:val="en-GB"/>
        </w:rPr>
        <w:t>市场</w:t>
      </w:r>
      <w:r w:rsidR="00A62135">
        <w:rPr>
          <w:rFonts w:ascii="楷体" w:eastAsia="楷体" w:hAnsi="楷体" w:hint="eastAsia"/>
          <w:b/>
          <w:bCs/>
          <w:color w:val="0070C0"/>
          <w:kern w:val="0"/>
          <w:szCs w:val="21"/>
          <w:lang w:val="en-GB"/>
        </w:rPr>
        <w:t>均</w:t>
      </w:r>
      <w:r w:rsidR="00FB39E5">
        <w:rPr>
          <w:rFonts w:ascii="楷体" w:eastAsia="楷体" w:hAnsi="楷体" w:hint="eastAsia"/>
          <w:b/>
          <w:bCs/>
          <w:color w:val="0070C0"/>
          <w:kern w:val="0"/>
          <w:szCs w:val="21"/>
          <w:lang w:val="en-GB"/>
        </w:rPr>
        <w:t>迎来普涨</w:t>
      </w:r>
    </w:p>
    <w:p w:rsidR="00B10000" w:rsidRPr="008148DF" w:rsidRDefault="00073843" w:rsidP="008148DF">
      <w:pPr>
        <w:pStyle w:val="ab"/>
        <w:numPr>
          <w:ilvl w:val="4"/>
          <w:numId w:val="1"/>
        </w:numPr>
        <w:spacing w:after="163"/>
        <w:rPr>
          <w:rFonts w:ascii="楷体" w:eastAsia="楷体" w:hAnsi="楷体"/>
          <w:szCs w:val="21"/>
        </w:rPr>
      </w:pPr>
      <w:r w:rsidRPr="004520F9">
        <w:rPr>
          <w:rFonts w:ascii="楷体" w:eastAsia="楷体" w:hAnsi="楷体" w:hint="eastAsia"/>
          <w:szCs w:val="21"/>
        </w:rPr>
        <w:t>上周（</w:t>
      </w:r>
      <w:r w:rsidR="00423456">
        <w:rPr>
          <w:rFonts w:ascii="楷体" w:eastAsia="楷体" w:hAnsi="楷体" w:hint="eastAsia"/>
          <w:szCs w:val="21"/>
        </w:rPr>
        <w:t>2014.03.31</w:t>
      </w:r>
      <w:r w:rsidRPr="004520F9">
        <w:rPr>
          <w:rFonts w:ascii="楷体" w:eastAsia="楷体" w:hAnsi="楷体" w:hint="eastAsia"/>
          <w:szCs w:val="21"/>
        </w:rPr>
        <w:t>~</w:t>
      </w:r>
      <w:r w:rsidR="00423456">
        <w:rPr>
          <w:rFonts w:ascii="楷体" w:eastAsia="楷体" w:hAnsi="楷体" w:hint="eastAsia"/>
          <w:szCs w:val="21"/>
        </w:rPr>
        <w:t>2014.04.0</w:t>
      </w:r>
      <w:r>
        <w:rPr>
          <w:rFonts w:ascii="楷体" w:eastAsia="楷体" w:hAnsi="楷体" w:hint="eastAsia"/>
          <w:szCs w:val="21"/>
        </w:rPr>
        <w:t>4</w:t>
      </w:r>
      <w:r w:rsidRPr="004520F9">
        <w:rPr>
          <w:rFonts w:ascii="楷体" w:eastAsia="楷体" w:hAnsi="楷体" w:hint="eastAsia"/>
          <w:szCs w:val="21"/>
        </w:rPr>
        <w:t>）</w:t>
      </w:r>
      <w:r w:rsidR="00612B6F">
        <w:rPr>
          <w:rFonts w:ascii="楷体" w:eastAsia="楷体" w:hAnsi="楷体" w:hint="eastAsia"/>
          <w:szCs w:val="21"/>
        </w:rPr>
        <w:t>大小盘各</w:t>
      </w:r>
      <w:r w:rsidR="00A62135">
        <w:rPr>
          <w:rFonts w:ascii="楷体" w:eastAsia="楷体" w:hAnsi="楷体" w:hint="eastAsia"/>
          <w:szCs w:val="21"/>
        </w:rPr>
        <w:t>类</w:t>
      </w:r>
      <w:r w:rsidR="00612B6F">
        <w:rPr>
          <w:rFonts w:ascii="楷体" w:eastAsia="楷体" w:hAnsi="楷体" w:hint="eastAsia"/>
          <w:szCs w:val="21"/>
        </w:rPr>
        <w:t>风格指数均翻红，沪深300上涨1.56%，中证500涨1.91%，中小板指收涨3.27%，创业板指小涨1.22%</w:t>
      </w:r>
      <w:r w:rsidR="006C2CA2">
        <w:rPr>
          <w:rFonts w:ascii="楷体" w:eastAsia="楷体" w:hAnsi="楷体" w:hint="eastAsia"/>
          <w:szCs w:val="21"/>
        </w:rPr>
        <w:t>。</w:t>
      </w:r>
      <w:r w:rsidR="006C2CA2" w:rsidRPr="006C2CA2">
        <w:rPr>
          <w:rFonts w:ascii="楷体" w:eastAsia="楷体" w:hAnsi="楷体" w:hint="eastAsia"/>
          <w:szCs w:val="21"/>
        </w:rPr>
        <w:t>4月2日国务院常务会议</w:t>
      </w:r>
      <w:r w:rsidR="006C2CA2">
        <w:rPr>
          <w:rFonts w:ascii="楷体" w:eastAsia="楷体" w:hAnsi="楷体" w:hint="eastAsia"/>
          <w:szCs w:val="21"/>
        </w:rPr>
        <w:t>出台</w:t>
      </w:r>
      <w:r w:rsidR="006C2CA2" w:rsidRPr="006C2CA2">
        <w:rPr>
          <w:rFonts w:ascii="楷体" w:eastAsia="楷体" w:hAnsi="楷体" w:hint="eastAsia"/>
          <w:szCs w:val="21"/>
        </w:rPr>
        <w:t>一系列</w:t>
      </w:r>
      <w:proofErr w:type="gramStart"/>
      <w:r w:rsidR="006C2CA2" w:rsidRPr="006C2CA2">
        <w:rPr>
          <w:rFonts w:ascii="楷体" w:eastAsia="楷体" w:hAnsi="楷体" w:hint="eastAsia"/>
          <w:szCs w:val="21"/>
        </w:rPr>
        <w:t>稳增长</w:t>
      </w:r>
      <w:proofErr w:type="gramEnd"/>
      <w:r w:rsidR="006C2CA2" w:rsidRPr="006C2CA2">
        <w:rPr>
          <w:rFonts w:ascii="楷体" w:eastAsia="楷体" w:hAnsi="楷体" w:hint="eastAsia"/>
          <w:szCs w:val="21"/>
        </w:rPr>
        <w:t>政策</w:t>
      </w:r>
      <w:r w:rsidR="006C2CA2">
        <w:rPr>
          <w:rFonts w:ascii="楷体" w:eastAsia="楷体" w:hAnsi="楷体" w:hint="eastAsia"/>
          <w:szCs w:val="21"/>
        </w:rPr>
        <w:t>，涉及</w:t>
      </w:r>
      <w:r w:rsidR="006C2CA2" w:rsidRPr="006C2CA2">
        <w:rPr>
          <w:rFonts w:ascii="楷体" w:eastAsia="楷体" w:hAnsi="楷体" w:hint="eastAsia"/>
          <w:szCs w:val="21"/>
        </w:rPr>
        <w:t>棚户区改造</w:t>
      </w:r>
      <w:r w:rsidR="006C2CA2">
        <w:rPr>
          <w:rFonts w:ascii="楷体" w:eastAsia="楷体" w:hAnsi="楷体" w:hint="eastAsia"/>
          <w:szCs w:val="21"/>
        </w:rPr>
        <w:t>、</w:t>
      </w:r>
      <w:r w:rsidR="006C2CA2" w:rsidRPr="006C2CA2">
        <w:rPr>
          <w:rFonts w:ascii="楷体" w:eastAsia="楷体" w:hAnsi="楷体" w:hint="eastAsia"/>
          <w:szCs w:val="21"/>
        </w:rPr>
        <w:t>加快铁路建设</w:t>
      </w:r>
      <w:r w:rsidR="006C2CA2">
        <w:rPr>
          <w:rFonts w:ascii="楷体" w:eastAsia="楷体" w:hAnsi="楷体" w:hint="eastAsia"/>
          <w:szCs w:val="21"/>
        </w:rPr>
        <w:t>、</w:t>
      </w:r>
      <w:r w:rsidR="006C2CA2" w:rsidRPr="006C2CA2">
        <w:rPr>
          <w:rFonts w:ascii="楷体" w:eastAsia="楷体" w:hAnsi="楷体" w:hint="eastAsia"/>
          <w:szCs w:val="21"/>
        </w:rPr>
        <w:t>扩大小</w:t>
      </w:r>
      <w:proofErr w:type="gramStart"/>
      <w:r w:rsidR="006C2CA2" w:rsidRPr="006C2CA2">
        <w:rPr>
          <w:rFonts w:ascii="楷体" w:eastAsia="楷体" w:hAnsi="楷体" w:hint="eastAsia"/>
          <w:szCs w:val="21"/>
        </w:rPr>
        <w:t>微企业</w:t>
      </w:r>
      <w:proofErr w:type="gramEnd"/>
      <w:r w:rsidR="006C2CA2" w:rsidRPr="006C2CA2">
        <w:rPr>
          <w:rFonts w:ascii="楷体" w:eastAsia="楷体" w:hAnsi="楷体" w:hint="eastAsia"/>
          <w:szCs w:val="21"/>
        </w:rPr>
        <w:t>所得税优惠政策实施范围</w:t>
      </w:r>
      <w:r w:rsidR="006C2CA2">
        <w:rPr>
          <w:rFonts w:ascii="楷体" w:eastAsia="楷体" w:hAnsi="楷体" w:hint="eastAsia"/>
          <w:szCs w:val="21"/>
        </w:rPr>
        <w:t>等</w:t>
      </w:r>
      <w:r w:rsidR="006C2CA2" w:rsidRPr="006C2CA2">
        <w:rPr>
          <w:rFonts w:ascii="楷体" w:eastAsia="楷体" w:hAnsi="楷体" w:hint="eastAsia"/>
          <w:szCs w:val="21"/>
        </w:rPr>
        <w:t>。</w:t>
      </w:r>
      <w:r w:rsidR="006C2CA2" w:rsidRPr="008148DF">
        <w:rPr>
          <w:rFonts w:ascii="楷体" w:eastAsia="楷体" w:hAnsi="楷体" w:hint="eastAsia"/>
          <w:szCs w:val="21"/>
        </w:rPr>
        <w:t>政策风向的变动在A</w:t>
      </w:r>
      <w:r w:rsidR="00612B6F">
        <w:rPr>
          <w:rFonts w:ascii="楷体" w:eastAsia="楷体" w:hAnsi="楷体" w:hint="eastAsia"/>
          <w:szCs w:val="21"/>
        </w:rPr>
        <w:t>股市场有所反应，</w:t>
      </w:r>
      <w:r w:rsidR="006C2CA2" w:rsidRPr="008148DF">
        <w:rPr>
          <w:rFonts w:ascii="楷体" w:eastAsia="楷体" w:hAnsi="楷体" w:hint="eastAsia"/>
          <w:szCs w:val="21"/>
        </w:rPr>
        <w:t>在股指由京津</w:t>
      </w:r>
      <w:proofErr w:type="gramStart"/>
      <w:r w:rsidR="006C2CA2" w:rsidRPr="008148DF">
        <w:rPr>
          <w:rFonts w:ascii="楷体" w:eastAsia="楷体" w:hAnsi="楷体" w:hint="eastAsia"/>
          <w:szCs w:val="21"/>
        </w:rPr>
        <w:t>冀概念</w:t>
      </w:r>
      <w:proofErr w:type="gramEnd"/>
      <w:r w:rsidR="006C2CA2" w:rsidRPr="008148DF">
        <w:rPr>
          <w:rFonts w:ascii="楷体" w:eastAsia="楷体" w:hAnsi="楷体" w:hint="eastAsia"/>
          <w:szCs w:val="21"/>
        </w:rPr>
        <w:t>股、水泥股、地产股</w:t>
      </w:r>
      <w:proofErr w:type="gramStart"/>
      <w:r w:rsidR="006C2CA2" w:rsidRPr="008148DF">
        <w:rPr>
          <w:rFonts w:ascii="楷体" w:eastAsia="楷体" w:hAnsi="楷体" w:hint="eastAsia"/>
          <w:szCs w:val="21"/>
        </w:rPr>
        <w:t>拉动回升</w:t>
      </w:r>
      <w:proofErr w:type="gramEnd"/>
      <w:r w:rsidR="006C2CA2" w:rsidRPr="008148DF">
        <w:rPr>
          <w:rFonts w:ascii="楷体" w:eastAsia="楷体" w:hAnsi="楷体" w:hint="eastAsia"/>
          <w:szCs w:val="21"/>
        </w:rPr>
        <w:t>的同时，市场的注意力已转移到“稳增长”题材当中。</w:t>
      </w:r>
      <w:r w:rsidR="00612B6F" w:rsidRPr="008148DF">
        <w:rPr>
          <w:rFonts w:ascii="楷体" w:eastAsia="楷体" w:hAnsi="楷体" w:hint="eastAsia"/>
          <w:color w:val="auto"/>
        </w:rPr>
        <w:t>29个中信</w:t>
      </w:r>
      <w:proofErr w:type="gramStart"/>
      <w:r w:rsidR="00612B6F" w:rsidRPr="008148DF">
        <w:rPr>
          <w:rFonts w:ascii="楷体" w:eastAsia="楷体" w:hAnsi="楷体" w:hint="eastAsia"/>
          <w:color w:val="auto"/>
        </w:rPr>
        <w:t>一级行业</w:t>
      </w:r>
      <w:proofErr w:type="gramEnd"/>
      <w:r w:rsidR="00612B6F">
        <w:rPr>
          <w:rFonts w:ascii="楷体" w:eastAsia="楷体" w:hAnsi="楷体" w:hint="eastAsia"/>
          <w:color w:val="auto"/>
        </w:rPr>
        <w:t>除3个外均上涨，电子元器件以接近5%涨幅领衔，食品饮料、家电、非</w:t>
      </w:r>
      <w:proofErr w:type="gramStart"/>
      <w:r w:rsidR="00612B6F">
        <w:rPr>
          <w:rFonts w:ascii="楷体" w:eastAsia="楷体" w:hAnsi="楷体" w:hint="eastAsia"/>
          <w:color w:val="auto"/>
        </w:rPr>
        <w:t>银金融</w:t>
      </w:r>
      <w:proofErr w:type="gramEnd"/>
      <w:r w:rsidR="00612B6F">
        <w:rPr>
          <w:rFonts w:ascii="楷体" w:eastAsia="楷体" w:hAnsi="楷体" w:hint="eastAsia"/>
          <w:color w:val="auto"/>
        </w:rPr>
        <w:t>等居前，绝大多数</w:t>
      </w:r>
      <w:proofErr w:type="gramStart"/>
      <w:r w:rsidR="00612B6F">
        <w:rPr>
          <w:rFonts w:ascii="楷体" w:eastAsia="楷体" w:hAnsi="楷体" w:hint="eastAsia"/>
          <w:color w:val="auto"/>
        </w:rPr>
        <w:t>行业涨幅</w:t>
      </w:r>
      <w:proofErr w:type="gramEnd"/>
      <w:r w:rsidR="00612B6F">
        <w:rPr>
          <w:rFonts w:ascii="楷体" w:eastAsia="楷体" w:hAnsi="楷体" w:hint="eastAsia"/>
          <w:color w:val="auto"/>
        </w:rPr>
        <w:t>超过1%。</w:t>
      </w:r>
    </w:p>
    <w:p w:rsidR="00E02B7C" w:rsidRPr="002919F1" w:rsidRDefault="005C43D1" w:rsidP="002919F1">
      <w:pPr>
        <w:pStyle w:val="ab"/>
        <w:numPr>
          <w:ilvl w:val="4"/>
          <w:numId w:val="1"/>
        </w:numPr>
        <w:spacing w:after="163"/>
        <w:rPr>
          <w:rFonts w:ascii="楷体" w:eastAsia="楷体" w:hAnsi="楷体"/>
          <w:color w:val="auto"/>
        </w:rPr>
      </w:pPr>
      <w:r>
        <w:rPr>
          <w:rFonts w:ascii="楷体" w:eastAsia="楷体" w:hAnsi="楷体" w:hint="eastAsia"/>
          <w:color w:val="auto"/>
        </w:rPr>
        <w:t>海外市场方面</w:t>
      </w:r>
      <w:r w:rsidR="00D7627F" w:rsidRPr="004520F9">
        <w:rPr>
          <w:rFonts w:ascii="楷体" w:eastAsia="楷体" w:hAnsi="楷体" w:hint="eastAsia"/>
          <w:szCs w:val="21"/>
        </w:rPr>
        <w:t>（</w:t>
      </w:r>
      <w:r w:rsidR="00423456">
        <w:rPr>
          <w:rFonts w:ascii="楷体" w:eastAsia="楷体" w:hAnsi="楷体" w:hint="eastAsia"/>
          <w:szCs w:val="21"/>
        </w:rPr>
        <w:t>2014.03.28</w:t>
      </w:r>
      <w:r w:rsidR="00D7627F" w:rsidRPr="004520F9">
        <w:rPr>
          <w:rFonts w:ascii="楷体" w:eastAsia="楷体" w:hAnsi="楷体" w:hint="eastAsia"/>
          <w:szCs w:val="21"/>
        </w:rPr>
        <w:t>~</w:t>
      </w:r>
      <w:r w:rsidR="00423456">
        <w:rPr>
          <w:rFonts w:ascii="楷体" w:eastAsia="楷体" w:hAnsi="楷体" w:hint="eastAsia"/>
          <w:szCs w:val="21"/>
        </w:rPr>
        <w:t>2014.04.03</w:t>
      </w:r>
      <w:r w:rsidR="00D7627F" w:rsidRPr="004520F9">
        <w:rPr>
          <w:rFonts w:ascii="楷体" w:eastAsia="楷体" w:hAnsi="楷体" w:hint="eastAsia"/>
          <w:szCs w:val="21"/>
        </w:rPr>
        <w:t>）</w:t>
      </w:r>
      <w:r>
        <w:rPr>
          <w:rFonts w:ascii="楷体" w:eastAsia="楷体" w:hAnsi="楷体" w:hint="eastAsia"/>
          <w:color w:val="auto"/>
        </w:rPr>
        <w:t>，</w:t>
      </w:r>
      <w:r w:rsidR="00751B67">
        <w:rPr>
          <w:rFonts w:ascii="楷体" w:eastAsia="楷体" w:hAnsi="楷体" w:hint="eastAsia"/>
          <w:color w:val="auto"/>
        </w:rPr>
        <w:t>上周五公布的美国3</w:t>
      </w:r>
      <w:r w:rsidR="005D176B" w:rsidRPr="005D176B">
        <w:rPr>
          <w:rFonts w:ascii="楷体" w:eastAsia="楷体" w:hAnsi="楷体" w:hint="eastAsia"/>
          <w:color w:val="auto"/>
        </w:rPr>
        <w:t>月</w:t>
      </w:r>
      <w:r w:rsidR="00751B67">
        <w:rPr>
          <w:rFonts w:ascii="楷体" w:eastAsia="楷体" w:hAnsi="楷体" w:hint="eastAsia"/>
          <w:color w:val="auto"/>
        </w:rPr>
        <w:t>份</w:t>
      </w:r>
      <w:r w:rsidR="005D176B" w:rsidRPr="005D176B">
        <w:rPr>
          <w:rFonts w:ascii="楷体" w:eastAsia="楷体" w:hAnsi="楷体" w:hint="eastAsia"/>
          <w:color w:val="auto"/>
        </w:rPr>
        <w:t>非农就业增长19.2万人,</w:t>
      </w:r>
      <w:r w:rsidR="00751B67">
        <w:rPr>
          <w:rFonts w:ascii="楷体" w:eastAsia="楷体" w:hAnsi="楷体" w:hint="eastAsia"/>
          <w:color w:val="auto"/>
        </w:rPr>
        <w:t>失业率维持</w:t>
      </w:r>
      <w:r w:rsidR="005D176B" w:rsidRPr="005D176B">
        <w:rPr>
          <w:rFonts w:ascii="楷体" w:eastAsia="楷体" w:hAnsi="楷体" w:hint="eastAsia"/>
          <w:color w:val="auto"/>
        </w:rPr>
        <w:t>6.7%</w:t>
      </w:r>
      <w:r w:rsidR="00751B67">
        <w:rPr>
          <w:rFonts w:ascii="楷体" w:eastAsia="楷体" w:hAnsi="楷体" w:hint="eastAsia"/>
          <w:color w:val="auto"/>
        </w:rPr>
        <w:t>，显示美国就业市场</w:t>
      </w:r>
      <w:r w:rsidR="005D176B" w:rsidRPr="005D176B">
        <w:rPr>
          <w:rFonts w:ascii="楷体" w:eastAsia="楷体" w:hAnsi="楷体" w:hint="eastAsia"/>
          <w:color w:val="auto"/>
        </w:rPr>
        <w:t>稳步复苏</w:t>
      </w:r>
      <w:r w:rsidR="00751B67">
        <w:rPr>
          <w:rFonts w:ascii="楷体" w:eastAsia="楷体" w:hAnsi="楷体" w:hint="eastAsia"/>
          <w:color w:val="auto"/>
        </w:rPr>
        <w:t>。此外</w:t>
      </w:r>
      <w:r w:rsidR="005D176B" w:rsidRPr="005D176B">
        <w:rPr>
          <w:rFonts w:ascii="楷体" w:eastAsia="楷体" w:hAnsi="楷体" w:hint="eastAsia"/>
          <w:color w:val="auto"/>
        </w:rPr>
        <w:t>美联储</w:t>
      </w:r>
      <w:r w:rsidR="00A45E8C">
        <w:rPr>
          <w:rFonts w:ascii="楷体" w:eastAsia="楷体" w:hAnsi="楷体" w:hint="eastAsia"/>
          <w:color w:val="auto"/>
        </w:rPr>
        <w:t>表态</w:t>
      </w:r>
      <w:r w:rsidR="005D176B" w:rsidRPr="005D176B">
        <w:rPr>
          <w:rFonts w:ascii="楷体" w:eastAsia="楷体" w:hAnsi="楷体" w:hint="eastAsia"/>
          <w:color w:val="auto"/>
        </w:rPr>
        <w:t>维持相对宽松政策</w:t>
      </w:r>
      <w:r w:rsidR="00A45E8C">
        <w:rPr>
          <w:rFonts w:ascii="楷体" w:eastAsia="楷体" w:hAnsi="楷体" w:hint="eastAsia"/>
          <w:color w:val="auto"/>
        </w:rPr>
        <w:t>，令美股有所</w:t>
      </w:r>
      <w:r w:rsidR="005D176B" w:rsidRPr="005D176B">
        <w:rPr>
          <w:rFonts w:ascii="楷体" w:eastAsia="楷体" w:hAnsi="楷体" w:hint="eastAsia"/>
          <w:color w:val="auto"/>
        </w:rPr>
        <w:t>反弹</w:t>
      </w:r>
      <w:r w:rsidR="00A45E8C">
        <w:rPr>
          <w:rFonts w:ascii="楷体" w:eastAsia="楷体" w:hAnsi="楷体" w:hint="eastAsia"/>
          <w:color w:val="auto"/>
        </w:rPr>
        <w:t>。</w:t>
      </w:r>
      <w:proofErr w:type="gramStart"/>
      <w:r w:rsidR="005D176B" w:rsidRPr="005D176B">
        <w:rPr>
          <w:rFonts w:ascii="楷体" w:eastAsia="楷体" w:hAnsi="楷体" w:hint="eastAsia"/>
          <w:color w:val="auto"/>
        </w:rPr>
        <w:t>标普</w:t>
      </w:r>
      <w:proofErr w:type="gramEnd"/>
      <w:r w:rsidR="005D176B" w:rsidRPr="005D176B">
        <w:rPr>
          <w:rFonts w:ascii="楷体" w:eastAsia="楷体" w:hAnsi="楷体" w:hint="eastAsia"/>
          <w:color w:val="auto"/>
        </w:rPr>
        <w:t>500</w:t>
      </w:r>
      <w:r w:rsidR="00A45E8C">
        <w:rPr>
          <w:rFonts w:ascii="楷体" w:eastAsia="楷体" w:hAnsi="楷体" w:hint="eastAsia"/>
          <w:color w:val="auto"/>
        </w:rPr>
        <w:t>指数</w:t>
      </w:r>
      <w:r w:rsidR="005D176B" w:rsidRPr="005D176B">
        <w:rPr>
          <w:rFonts w:ascii="楷体" w:eastAsia="楷体" w:hAnsi="楷体" w:hint="eastAsia"/>
          <w:color w:val="auto"/>
        </w:rPr>
        <w:t>涨</w:t>
      </w:r>
      <w:r w:rsidR="00A45E8C">
        <w:rPr>
          <w:rFonts w:ascii="楷体" w:eastAsia="楷体" w:hAnsi="楷体" w:hint="eastAsia"/>
          <w:color w:val="auto"/>
        </w:rPr>
        <w:t>2.15</w:t>
      </w:r>
      <w:r w:rsidR="005D176B" w:rsidRPr="005D176B">
        <w:rPr>
          <w:rFonts w:ascii="楷体" w:eastAsia="楷体" w:hAnsi="楷体" w:hint="eastAsia"/>
          <w:color w:val="auto"/>
        </w:rPr>
        <w:t>%,道琼斯工业指数上涨</w:t>
      </w:r>
      <w:r w:rsidR="00A45E8C">
        <w:rPr>
          <w:rFonts w:ascii="楷体" w:eastAsia="楷体" w:hAnsi="楷体" w:hint="eastAsia"/>
          <w:color w:val="auto"/>
        </w:rPr>
        <w:t>1.90</w:t>
      </w:r>
      <w:r w:rsidR="005D176B" w:rsidRPr="005D176B">
        <w:rPr>
          <w:rFonts w:ascii="楷体" w:eastAsia="楷体" w:hAnsi="楷体" w:hint="eastAsia"/>
          <w:color w:val="auto"/>
        </w:rPr>
        <w:t>%,</w:t>
      </w:r>
      <w:r w:rsidR="00A45E8C">
        <w:rPr>
          <w:rFonts w:ascii="楷体" w:eastAsia="楷体" w:hAnsi="楷体" w:hint="eastAsia"/>
          <w:color w:val="auto"/>
        </w:rPr>
        <w:t>纳斯达克指数涨2.09</w:t>
      </w:r>
      <w:r w:rsidR="005D176B" w:rsidRPr="005D176B">
        <w:rPr>
          <w:rFonts w:ascii="楷体" w:eastAsia="楷体" w:hAnsi="楷体" w:hint="eastAsia"/>
          <w:color w:val="auto"/>
        </w:rPr>
        <w:t>%。亚太股市方面,恒生指数上涨</w:t>
      </w:r>
      <w:r w:rsidR="00DB4C05">
        <w:rPr>
          <w:rFonts w:ascii="楷体" w:eastAsia="楷体" w:hAnsi="楷体" w:hint="eastAsia"/>
          <w:color w:val="auto"/>
        </w:rPr>
        <w:t>3.35</w:t>
      </w:r>
      <w:r w:rsidR="005D176B" w:rsidRPr="005D176B">
        <w:rPr>
          <w:rFonts w:ascii="楷体" w:eastAsia="楷体" w:hAnsi="楷体" w:hint="eastAsia"/>
          <w:color w:val="auto"/>
        </w:rPr>
        <w:t>%。商品市场方面,贵金属价格略有反弹,</w:t>
      </w:r>
      <w:r w:rsidR="005D176B">
        <w:rPr>
          <w:rFonts w:ascii="楷体" w:eastAsia="楷体" w:hAnsi="楷体" w:hint="eastAsia"/>
          <w:color w:val="auto"/>
        </w:rPr>
        <w:t>石油、天然气等能源商品价格略有下跌</w:t>
      </w:r>
      <w:r w:rsidRPr="00A37C07">
        <w:rPr>
          <w:rFonts w:ascii="楷体" w:eastAsia="楷体" w:hAnsi="楷体" w:hint="eastAsia"/>
          <w:color w:val="auto"/>
        </w:rPr>
        <w:t>。</w:t>
      </w:r>
    </w:p>
    <w:tbl>
      <w:tblPr>
        <w:tblW w:w="10915" w:type="dxa"/>
        <w:tblLayout w:type="fixed"/>
        <w:tblCellMar>
          <w:left w:w="0" w:type="dxa"/>
          <w:right w:w="0" w:type="dxa"/>
        </w:tblCellMar>
        <w:tblLook w:val="0000"/>
      </w:tblPr>
      <w:tblGrid>
        <w:gridCol w:w="5479"/>
        <w:gridCol w:w="191"/>
        <w:gridCol w:w="5245"/>
      </w:tblGrid>
      <w:tr w:rsidR="00BD0930" w:rsidRPr="005B7CDB" w:rsidTr="00DE7145">
        <w:trPr>
          <w:cantSplit/>
          <w:trHeight w:val="368"/>
        </w:trPr>
        <w:tc>
          <w:tcPr>
            <w:tcW w:w="5479" w:type="dxa"/>
            <w:tcBorders>
              <w:top w:val="single" w:sz="6" w:space="0" w:color="FF6600"/>
              <w:bottom w:val="single" w:sz="6" w:space="0" w:color="FF6600"/>
            </w:tcBorders>
            <w:shd w:val="clear" w:color="auto" w:fill="auto"/>
            <w:vAlign w:val="center"/>
          </w:tcPr>
          <w:p w:rsidR="00BD0930" w:rsidRPr="00057142" w:rsidRDefault="00BD0930" w:rsidP="00D7627F">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00A87530" w:rsidRPr="005B7CDB">
              <w:rPr>
                <w:rFonts w:ascii="楷体" w:eastAsia="楷体" w:hAnsi="楷体" w:hint="eastAsia"/>
                <w:color w:val="FF6600"/>
              </w:rPr>
              <w:t>2</w:t>
            </w:r>
            <w:r w:rsidRPr="005B7CDB">
              <w:rPr>
                <w:rFonts w:ascii="楷体" w:eastAsia="楷体" w:hAnsi="楷体" w:hint="eastAsia"/>
                <w:color w:val="FF6600"/>
              </w:rPr>
              <w:t>：</w:t>
            </w:r>
            <w:r w:rsidR="00091971" w:rsidRPr="005B7CDB">
              <w:rPr>
                <w:rFonts w:ascii="楷体" w:eastAsia="楷体" w:hAnsi="楷体" w:hint="eastAsia"/>
                <w:color w:val="FF6600"/>
              </w:rPr>
              <w:t>各类指数</w:t>
            </w:r>
            <w:r w:rsidR="006675F9" w:rsidRPr="005B7CDB">
              <w:rPr>
                <w:rFonts w:ascii="楷体" w:eastAsia="楷体" w:hAnsi="楷体" w:hint="eastAsia"/>
                <w:color w:val="FF6600"/>
              </w:rPr>
              <w:t>周涨跌</w:t>
            </w:r>
            <w:r w:rsidR="00057142">
              <w:rPr>
                <w:rFonts w:ascii="楷体" w:eastAsia="楷体" w:hAnsi="楷体" w:hint="eastAsia"/>
                <w:color w:val="FF6600"/>
              </w:rPr>
              <w:t>(</w:t>
            </w:r>
            <w:r w:rsidR="00C50AB2">
              <w:rPr>
                <w:rFonts w:ascii="楷体" w:eastAsia="楷体" w:hAnsi="楷体" w:hint="eastAsia"/>
                <w:color w:val="FF6600"/>
              </w:rPr>
              <w:t>0</w:t>
            </w:r>
            <w:r w:rsidR="00C209B8">
              <w:rPr>
                <w:rFonts w:ascii="楷体" w:eastAsia="楷体" w:hAnsi="楷体" w:hint="eastAsia"/>
                <w:color w:val="FF6600"/>
              </w:rPr>
              <w:t>3.3</w:t>
            </w:r>
            <w:r w:rsidR="00160B05">
              <w:rPr>
                <w:rFonts w:ascii="楷体" w:eastAsia="楷体" w:hAnsi="楷体" w:hint="eastAsia"/>
                <w:color w:val="FF6600"/>
              </w:rPr>
              <w:t>1</w:t>
            </w:r>
            <w:r w:rsidR="00C209B8">
              <w:rPr>
                <w:rFonts w:ascii="楷体" w:eastAsia="楷体" w:hAnsi="楷体" w:hint="eastAsia"/>
                <w:color w:val="FF6600"/>
              </w:rPr>
              <w:t>~</w:t>
            </w:r>
            <w:r w:rsidR="00C50AB2">
              <w:rPr>
                <w:rFonts w:ascii="楷体" w:eastAsia="楷体" w:hAnsi="楷体" w:hint="eastAsia"/>
                <w:color w:val="FF6600"/>
              </w:rPr>
              <w:t>0</w:t>
            </w:r>
            <w:r w:rsidR="00C209B8">
              <w:rPr>
                <w:rFonts w:ascii="楷体" w:eastAsia="楷体" w:hAnsi="楷体" w:hint="eastAsia"/>
                <w:color w:val="FF6600"/>
              </w:rPr>
              <w:t>4.</w:t>
            </w:r>
            <w:r w:rsidR="00C50AB2">
              <w:rPr>
                <w:rFonts w:ascii="楷体" w:eastAsia="楷体" w:hAnsi="楷体" w:hint="eastAsia"/>
                <w:color w:val="FF6600"/>
              </w:rPr>
              <w:t>0</w:t>
            </w:r>
            <w:r w:rsidR="00C209B8">
              <w:rPr>
                <w:rFonts w:ascii="楷体" w:eastAsia="楷体" w:hAnsi="楷体" w:hint="eastAsia"/>
                <w:color w:val="FF6600"/>
              </w:rPr>
              <w:t>4</w:t>
            </w:r>
            <w:r w:rsidR="00091971" w:rsidRPr="00057142">
              <w:rPr>
                <w:rFonts w:ascii="楷体" w:eastAsia="楷体" w:hAnsi="楷体" w:hint="eastAsia"/>
                <w:color w:val="FF6600"/>
              </w:rPr>
              <w:t>，海外指数</w:t>
            </w:r>
            <w:r w:rsidR="00C50AB2">
              <w:rPr>
                <w:rFonts w:ascii="楷体" w:eastAsia="楷体" w:hAnsi="楷体" w:hint="eastAsia"/>
                <w:color w:val="FF6600"/>
              </w:rPr>
              <w:t>0</w:t>
            </w:r>
            <w:r w:rsidR="00C209B8">
              <w:rPr>
                <w:rFonts w:ascii="楷体" w:eastAsia="楷体" w:hAnsi="楷体" w:hint="eastAsia"/>
                <w:color w:val="FF6600"/>
              </w:rPr>
              <w:t>3.28</w:t>
            </w:r>
            <w:r w:rsidR="00091971" w:rsidRPr="00057142">
              <w:rPr>
                <w:rFonts w:ascii="楷体" w:eastAsia="楷体" w:hAnsi="楷体" w:hint="eastAsia"/>
                <w:color w:val="FF6600"/>
              </w:rPr>
              <w:t>~</w:t>
            </w:r>
            <w:r w:rsidR="00C50AB2">
              <w:rPr>
                <w:rFonts w:ascii="楷体" w:eastAsia="楷体" w:hAnsi="楷体" w:hint="eastAsia"/>
                <w:color w:val="FF6600"/>
              </w:rPr>
              <w:t>0</w:t>
            </w:r>
            <w:r w:rsidR="00C209B8">
              <w:rPr>
                <w:rFonts w:ascii="楷体" w:eastAsia="楷体" w:hAnsi="楷体" w:hint="eastAsia"/>
                <w:color w:val="FF6600"/>
              </w:rPr>
              <w:t>4.</w:t>
            </w:r>
            <w:r w:rsidR="00C50AB2">
              <w:rPr>
                <w:rFonts w:ascii="楷体" w:eastAsia="楷体" w:hAnsi="楷体" w:hint="eastAsia"/>
                <w:color w:val="FF6600"/>
              </w:rPr>
              <w:t>0</w:t>
            </w:r>
            <w:r w:rsidR="00C209B8">
              <w:rPr>
                <w:rFonts w:ascii="楷体" w:eastAsia="楷体" w:hAnsi="楷体" w:hint="eastAsia"/>
                <w:color w:val="FF6600"/>
              </w:rPr>
              <w:t>3</w:t>
            </w:r>
            <w:r w:rsidR="00057142">
              <w:rPr>
                <w:rFonts w:ascii="楷体" w:eastAsia="楷体" w:hAnsi="楷体" w:hint="eastAsia"/>
                <w:color w:val="FF6600"/>
              </w:rPr>
              <w:t>)</w:t>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BD0930" w:rsidP="00EF0C15">
            <w:pPr>
              <w:pStyle w:val="SubTitleLargeTable"/>
              <w:pBdr>
                <w:top w:val="none" w:sz="0" w:space="0" w:color="auto"/>
              </w:pBdr>
              <w:rPr>
                <w:rFonts w:ascii="楷体" w:eastAsia="楷体" w:hAnsi="楷体"/>
              </w:rPr>
            </w:pPr>
            <w:r w:rsidRPr="005B7CDB">
              <w:rPr>
                <w:rFonts w:ascii="楷体" w:eastAsia="楷体" w:hAnsi="楷体"/>
                <w:color w:val="FF6600"/>
              </w:rPr>
              <w:t>图表</w:t>
            </w:r>
            <w:r w:rsidR="00A87530" w:rsidRPr="005B7CDB">
              <w:rPr>
                <w:rFonts w:ascii="楷体" w:eastAsia="楷体" w:hAnsi="楷体" w:hint="eastAsia"/>
                <w:color w:val="FF6600"/>
              </w:rPr>
              <w:t>3</w:t>
            </w:r>
            <w:r w:rsidRPr="005B7CDB">
              <w:rPr>
                <w:rFonts w:ascii="楷体" w:eastAsia="楷体" w:hAnsi="楷体" w:hint="eastAsia"/>
                <w:color w:val="FF6600"/>
              </w:rPr>
              <w:t>：</w:t>
            </w:r>
            <w:r w:rsidR="00091971" w:rsidRPr="005B7CDB">
              <w:rPr>
                <w:rFonts w:ascii="楷体" w:eastAsia="楷体" w:hAnsi="楷体" w:hint="eastAsia"/>
                <w:color w:val="FF6600"/>
              </w:rPr>
              <w:t>中信</w:t>
            </w:r>
            <w:proofErr w:type="gramStart"/>
            <w:r w:rsidR="00091971" w:rsidRPr="005B7CDB">
              <w:rPr>
                <w:rFonts w:ascii="楷体" w:eastAsia="楷体" w:hAnsi="楷体" w:hint="eastAsia"/>
                <w:color w:val="FF6600"/>
              </w:rPr>
              <w:t>一级行业板块周涨跌</w:t>
            </w:r>
            <w:proofErr w:type="gramEnd"/>
            <w:r w:rsidR="00091971" w:rsidRPr="005B7CDB">
              <w:rPr>
                <w:rFonts w:ascii="楷体" w:eastAsia="楷体" w:hAnsi="楷体" w:hint="eastAsia"/>
                <w:color w:val="FF6600"/>
              </w:rPr>
              <w:t>（</w:t>
            </w:r>
            <w:r w:rsidR="00C50AB2">
              <w:rPr>
                <w:rFonts w:ascii="楷体" w:eastAsia="楷体" w:hAnsi="楷体" w:hint="eastAsia"/>
                <w:color w:val="FF6600"/>
              </w:rPr>
              <w:t>0</w:t>
            </w:r>
            <w:r w:rsidR="00C209B8">
              <w:rPr>
                <w:rFonts w:ascii="楷体" w:eastAsia="楷体" w:hAnsi="楷体" w:hint="eastAsia"/>
                <w:color w:val="FF6600"/>
              </w:rPr>
              <w:t>3.3</w:t>
            </w:r>
            <w:r w:rsidR="00160B05">
              <w:rPr>
                <w:rFonts w:ascii="楷体" w:eastAsia="楷体" w:hAnsi="楷体" w:hint="eastAsia"/>
                <w:color w:val="FF6600"/>
              </w:rPr>
              <w:t>1</w:t>
            </w:r>
            <w:r w:rsidR="00C209B8">
              <w:rPr>
                <w:rFonts w:ascii="楷体" w:eastAsia="楷体" w:hAnsi="楷体" w:hint="eastAsia"/>
                <w:color w:val="FF6600"/>
              </w:rPr>
              <w:t>~</w:t>
            </w:r>
            <w:r w:rsidR="00C50AB2">
              <w:rPr>
                <w:rFonts w:ascii="楷体" w:eastAsia="楷体" w:hAnsi="楷体" w:hint="eastAsia"/>
                <w:color w:val="FF6600"/>
              </w:rPr>
              <w:t>0</w:t>
            </w:r>
            <w:r w:rsidR="00C209B8">
              <w:rPr>
                <w:rFonts w:ascii="楷体" w:eastAsia="楷体" w:hAnsi="楷体" w:hint="eastAsia"/>
                <w:color w:val="FF6600"/>
              </w:rPr>
              <w:t>4.</w:t>
            </w:r>
            <w:r w:rsidR="00C50AB2">
              <w:rPr>
                <w:rFonts w:ascii="楷体" w:eastAsia="楷体" w:hAnsi="楷体" w:hint="eastAsia"/>
                <w:color w:val="FF6600"/>
              </w:rPr>
              <w:t>0</w:t>
            </w:r>
            <w:r w:rsidR="00C209B8">
              <w:rPr>
                <w:rFonts w:ascii="楷体" w:eastAsia="楷体" w:hAnsi="楷体" w:hint="eastAsia"/>
                <w:color w:val="FF6600"/>
              </w:rPr>
              <w:t>4</w:t>
            </w:r>
            <w:r w:rsidR="00091971" w:rsidRPr="005B7CDB">
              <w:rPr>
                <w:rFonts w:ascii="楷体" w:eastAsia="楷体" w:hAnsi="楷体" w:hint="eastAsia"/>
                <w:color w:val="FF6600"/>
              </w:rPr>
              <w:t>）</w:t>
            </w:r>
          </w:p>
        </w:tc>
      </w:tr>
      <w:tr w:rsidR="00BD0930" w:rsidRPr="005B7CDB" w:rsidTr="00DE7145">
        <w:trPr>
          <w:cantSplit/>
          <w:trHeight w:val="2552"/>
        </w:trPr>
        <w:tc>
          <w:tcPr>
            <w:tcW w:w="5479" w:type="dxa"/>
            <w:tcBorders>
              <w:top w:val="single" w:sz="6" w:space="0" w:color="FF6600"/>
              <w:bottom w:val="single" w:sz="6" w:space="0" w:color="FF6600"/>
            </w:tcBorders>
            <w:shd w:val="clear" w:color="auto" w:fill="auto"/>
            <w:vAlign w:val="center"/>
          </w:tcPr>
          <w:p w:rsidR="00BD0930" w:rsidRPr="005B7CDB" w:rsidRDefault="00DA0029" w:rsidP="003B1409">
            <w:pPr>
              <w:jc w:val="center"/>
              <w:rPr>
                <w:rFonts w:ascii="楷体" w:eastAsia="楷体" w:hAnsi="楷体"/>
              </w:rPr>
            </w:pPr>
            <w:r>
              <w:rPr>
                <w:rFonts w:ascii="楷体" w:eastAsia="楷体" w:hAnsi="楷体"/>
                <w:noProof/>
              </w:rPr>
              <w:drawing>
                <wp:inline distT="0" distB="0" distL="0" distR="0">
                  <wp:extent cx="3448050" cy="2124075"/>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445194" cy="2122316"/>
                          </a:xfrm>
                          <a:prstGeom prst="rect">
                            <a:avLst/>
                          </a:prstGeom>
                          <a:noFill/>
                        </pic:spPr>
                      </pic:pic>
                    </a:graphicData>
                  </a:graphic>
                </wp:inline>
              </w:drawing>
            </w:r>
          </w:p>
        </w:tc>
        <w:tc>
          <w:tcPr>
            <w:tcW w:w="191" w:type="dxa"/>
            <w:vAlign w:val="center"/>
          </w:tcPr>
          <w:p w:rsidR="00BD0930" w:rsidRPr="005B7CDB" w:rsidRDefault="00BD0930" w:rsidP="003B1409">
            <w:pPr>
              <w:jc w:val="center"/>
              <w:rPr>
                <w:rFonts w:ascii="楷体" w:eastAsia="楷体" w:hAnsi="楷体"/>
              </w:rPr>
            </w:pPr>
          </w:p>
        </w:tc>
        <w:tc>
          <w:tcPr>
            <w:tcW w:w="5245" w:type="dxa"/>
            <w:tcBorders>
              <w:top w:val="single" w:sz="6" w:space="0" w:color="FF6600"/>
              <w:bottom w:val="single" w:sz="6" w:space="0" w:color="FF6600"/>
            </w:tcBorders>
            <w:shd w:val="clear" w:color="auto" w:fill="auto"/>
            <w:vAlign w:val="center"/>
          </w:tcPr>
          <w:p w:rsidR="00BD0930" w:rsidRPr="005B7CDB" w:rsidRDefault="00C50AB2" w:rsidP="003B1409">
            <w:pPr>
              <w:jc w:val="center"/>
              <w:rPr>
                <w:rFonts w:ascii="楷体" w:eastAsia="楷体" w:hAnsi="楷体"/>
              </w:rPr>
            </w:pPr>
            <w:r>
              <w:rPr>
                <w:rFonts w:ascii="楷体" w:eastAsia="楷体" w:hAnsi="楷体"/>
                <w:noProof/>
              </w:rPr>
              <w:drawing>
                <wp:inline distT="0" distB="0" distL="0" distR="0">
                  <wp:extent cx="3286125" cy="2169171"/>
                  <wp:effectExtent l="1905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292784" cy="2173567"/>
                          </a:xfrm>
                          <a:prstGeom prst="rect">
                            <a:avLst/>
                          </a:prstGeom>
                          <a:noFill/>
                        </pic:spPr>
                      </pic:pic>
                    </a:graphicData>
                  </a:graphic>
                </wp:inline>
              </w:drawing>
            </w:r>
          </w:p>
        </w:tc>
      </w:tr>
    </w:tbl>
    <w:p w:rsidR="00BD0930" w:rsidRPr="005B7CDB" w:rsidRDefault="00BD0930" w:rsidP="00BD0930">
      <w:pPr>
        <w:pStyle w:val="FootnoteNoline"/>
        <w:ind w:left="0"/>
        <w:jc w:val="left"/>
        <w:rPr>
          <w:rFonts w:ascii="楷体" w:eastAsia="楷体" w:hAnsi="楷体"/>
        </w:rPr>
      </w:pPr>
      <w:r w:rsidRPr="005B7CDB">
        <w:rPr>
          <w:rFonts w:ascii="楷体" w:eastAsia="楷体" w:hAnsi="楷体" w:hint="eastAsia"/>
          <w:color w:val="FF6600"/>
        </w:rPr>
        <w:t>来源：</w:t>
      </w:r>
      <w:proofErr w:type="gramStart"/>
      <w:r w:rsidRPr="005B7CDB">
        <w:rPr>
          <w:rFonts w:ascii="楷体" w:eastAsia="楷体" w:hAnsi="楷体" w:hint="eastAsia"/>
          <w:color w:val="FF6600"/>
        </w:rPr>
        <w:t>凯</w:t>
      </w:r>
      <w:proofErr w:type="gramEnd"/>
      <w:r w:rsidRPr="005B7CDB">
        <w:rPr>
          <w:rFonts w:ascii="楷体" w:eastAsia="楷体" w:hAnsi="楷体" w:hint="eastAsia"/>
          <w:color w:val="FF6600"/>
        </w:rPr>
        <w:t>石财富工场</w:t>
      </w:r>
      <w:r w:rsidRPr="005B7CDB">
        <w:rPr>
          <w:rFonts w:ascii="楷体" w:eastAsia="楷体" w:hAnsi="楷体" w:hint="eastAsia"/>
        </w:rPr>
        <w:t xml:space="preserve"> </w:t>
      </w:r>
    </w:p>
    <w:p w:rsidR="000D4A66" w:rsidRPr="005B7CDB" w:rsidRDefault="000D4A66" w:rsidP="00CB1BC1">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各类型公</w:t>
      </w:r>
      <w:proofErr w:type="gramStart"/>
      <w:r w:rsidRPr="005B7CDB">
        <w:rPr>
          <w:rFonts w:ascii="楷体" w:eastAsia="楷体" w:hAnsi="楷体" w:hint="eastAsia"/>
          <w:b/>
          <w:bCs/>
          <w:color w:val="0070C0"/>
          <w:kern w:val="0"/>
          <w:szCs w:val="21"/>
          <w:lang w:val="en-GB"/>
        </w:rPr>
        <w:t>募基金</w:t>
      </w:r>
      <w:proofErr w:type="gramEnd"/>
      <w:r w:rsidRPr="005B7CDB">
        <w:rPr>
          <w:rFonts w:ascii="楷体" w:eastAsia="楷体" w:hAnsi="楷体" w:hint="eastAsia"/>
          <w:b/>
          <w:bCs/>
          <w:color w:val="0070C0"/>
          <w:kern w:val="0"/>
          <w:szCs w:val="21"/>
          <w:lang w:val="en-GB"/>
        </w:rPr>
        <w:t>一周业绩：</w:t>
      </w:r>
    </w:p>
    <w:p w:rsidR="00B0398D" w:rsidRPr="00120197" w:rsidRDefault="00855FEC" w:rsidP="00120197">
      <w:pPr>
        <w:pStyle w:val="ab"/>
        <w:numPr>
          <w:ilvl w:val="4"/>
          <w:numId w:val="1"/>
        </w:numPr>
        <w:spacing w:after="163"/>
        <w:rPr>
          <w:rFonts w:ascii="楷体" w:eastAsia="楷体" w:hAnsi="楷体"/>
          <w:color w:val="auto"/>
        </w:rPr>
      </w:pPr>
      <w:r>
        <w:rPr>
          <w:rFonts w:ascii="楷体" w:eastAsia="楷体" w:hAnsi="楷体" w:hint="eastAsia"/>
          <w:color w:val="auto"/>
        </w:rPr>
        <w:t>上</w:t>
      </w:r>
      <w:r w:rsidR="000D4A66" w:rsidRPr="005B7CDB">
        <w:rPr>
          <w:rFonts w:ascii="楷体" w:eastAsia="楷体" w:hAnsi="楷体" w:hint="eastAsia"/>
          <w:color w:val="auto"/>
        </w:rPr>
        <w:t>周（</w:t>
      </w:r>
      <w:r w:rsidR="00720238">
        <w:rPr>
          <w:rFonts w:ascii="楷体" w:eastAsia="楷体" w:hAnsi="楷体" w:hint="eastAsia"/>
          <w:szCs w:val="21"/>
        </w:rPr>
        <w:t>2014.03.31</w:t>
      </w:r>
      <w:r w:rsidR="000D4A66" w:rsidRPr="005B7CDB">
        <w:rPr>
          <w:rFonts w:ascii="楷体" w:eastAsia="楷体" w:hAnsi="楷体" w:hint="eastAsia"/>
          <w:szCs w:val="21"/>
        </w:rPr>
        <w:t>~</w:t>
      </w:r>
      <w:r w:rsidR="00720238">
        <w:rPr>
          <w:rFonts w:ascii="楷体" w:eastAsia="楷体" w:hAnsi="楷体" w:hint="eastAsia"/>
          <w:szCs w:val="21"/>
        </w:rPr>
        <w:t>2014.04</w:t>
      </w:r>
      <w:r w:rsidR="00DE7145">
        <w:rPr>
          <w:rFonts w:ascii="楷体" w:eastAsia="楷体" w:hAnsi="楷体" w:hint="eastAsia"/>
          <w:szCs w:val="21"/>
        </w:rPr>
        <w:t>.</w:t>
      </w:r>
      <w:r w:rsidR="00720238">
        <w:rPr>
          <w:rFonts w:ascii="楷体" w:eastAsia="楷体" w:hAnsi="楷体" w:hint="eastAsia"/>
          <w:szCs w:val="21"/>
        </w:rPr>
        <w:t>0</w:t>
      </w:r>
      <w:r w:rsidR="006F3555">
        <w:rPr>
          <w:rFonts w:ascii="楷体" w:eastAsia="楷体" w:hAnsi="楷体" w:hint="eastAsia"/>
          <w:szCs w:val="21"/>
        </w:rPr>
        <w:t>4</w:t>
      </w:r>
      <w:r w:rsidR="000D4A66" w:rsidRPr="005B7CDB">
        <w:rPr>
          <w:rFonts w:ascii="楷体" w:eastAsia="楷体" w:hAnsi="楷体" w:hint="eastAsia"/>
          <w:szCs w:val="21"/>
        </w:rPr>
        <w:t>）</w:t>
      </w:r>
      <w:r w:rsidR="00ED5130">
        <w:rPr>
          <w:rFonts w:ascii="楷体" w:eastAsia="楷体" w:hAnsi="楷体" w:hint="eastAsia"/>
          <w:szCs w:val="21"/>
        </w:rPr>
        <w:t>A股市场大小盘</w:t>
      </w:r>
      <w:proofErr w:type="gramStart"/>
      <w:r w:rsidR="00ED5130">
        <w:rPr>
          <w:rFonts w:ascii="楷体" w:eastAsia="楷体" w:hAnsi="楷体" w:hint="eastAsia"/>
          <w:szCs w:val="21"/>
        </w:rPr>
        <w:t>指数</w:t>
      </w:r>
      <w:r w:rsidR="00B47874">
        <w:rPr>
          <w:rFonts w:ascii="楷体" w:eastAsia="楷体" w:hAnsi="楷体" w:hint="eastAsia"/>
          <w:szCs w:val="21"/>
        </w:rPr>
        <w:t>皆翻红</w:t>
      </w:r>
      <w:proofErr w:type="gramEnd"/>
      <w:r w:rsidR="00B47874">
        <w:rPr>
          <w:rFonts w:ascii="楷体" w:eastAsia="楷体" w:hAnsi="楷体" w:hint="eastAsia"/>
          <w:szCs w:val="21"/>
        </w:rPr>
        <w:t>，</w:t>
      </w:r>
      <w:proofErr w:type="gramStart"/>
      <w:r w:rsidR="000D4A66" w:rsidRPr="005B7CDB">
        <w:rPr>
          <w:rFonts w:ascii="楷体" w:eastAsia="楷体" w:hAnsi="楷体" w:hint="eastAsia"/>
          <w:szCs w:val="21"/>
        </w:rPr>
        <w:t>凯石工场</w:t>
      </w:r>
      <w:proofErr w:type="gramEnd"/>
      <w:r w:rsidR="000D4A66" w:rsidRPr="005B7CDB">
        <w:rPr>
          <w:rFonts w:ascii="楷体" w:eastAsia="楷体" w:hAnsi="楷体" w:hint="eastAsia"/>
          <w:szCs w:val="21"/>
        </w:rPr>
        <w:t>统计范围内的各类型公</w:t>
      </w:r>
      <w:proofErr w:type="gramStart"/>
      <w:r w:rsidR="000D4A66" w:rsidRPr="005B7CDB">
        <w:rPr>
          <w:rFonts w:ascii="楷体" w:eastAsia="楷体" w:hAnsi="楷体" w:hint="eastAsia"/>
          <w:szCs w:val="21"/>
        </w:rPr>
        <w:t>募基金</w:t>
      </w:r>
      <w:proofErr w:type="gramEnd"/>
      <w:r w:rsidR="00B47874">
        <w:rPr>
          <w:rFonts w:ascii="楷体" w:eastAsia="楷体" w:hAnsi="楷体" w:hint="eastAsia"/>
          <w:szCs w:val="21"/>
        </w:rPr>
        <w:t>多数涨声一片，其中权益类</w:t>
      </w:r>
      <w:proofErr w:type="gramStart"/>
      <w:r w:rsidR="00B47874">
        <w:rPr>
          <w:rFonts w:ascii="楷体" w:eastAsia="楷体" w:hAnsi="楷体" w:hint="eastAsia"/>
          <w:szCs w:val="21"/>
        </w:rPr>
        <w:t>仓位</w:t>
      </w:r>
      <w:proofErr w:type="gramEnd"/>
      <w:r w:rsidR="00B47874">
        <w:rPr>
          <w:rFonts w:ascii="楷体" w:eastAsia="楷体" w:hAnsi="楷体" w:hint="eastAsia"/>
          <w:szCs w:val="21"/>
        </w:rPr>
        <w:t>较重的</w:t>
      </w:r>
      <w:proofErr w:type="gramStart"/>
      <w:r w:rsidR="00B47874">
        <w:rPr>
          <w:rFonts w:ascii="楷体" w:eastAsia="楷体" w:hAnsi="楷体" w:hint="eastAsia"/>
          <w:szCs w:val="21"/>
        </w:rPr>
        <w:t>偏积极型产品收益居</w:t>
      </w:r>
      <w:proofErr w:type="gramEnd"/>
      <w:r w:rsidR="00B47874">
        <w:rPr>
          <w:rFonts w:ascii="楷体" w:eastAsia="楷体" w:hAnsi="楷体" w:hint="eastAsia"/>
          <w:szCs w:val="21"/>
        </w:rPr>
        <w:t>前</w:t>
      </w:r>
      <w:r w:rsidR="003936BE">
        <w:rPr>
          <w:rFonts w:ascii="楷体" w:eastAsia="楷体" w:hAnsi="楷体" w:hint="eastAsia"/>
          <w:szCs w:val="21"/>
        </w:rPr>
        <w:t>。</w:t>
      </w:r>
      <w:r w:rsidR="00E52315" w:rsidRPr="003936BE">
        <w:rPr>
          <w:rFonts w:ascii="楷体" w:eastAsia="楷体" w:hAnsi="楷体" w:hint="eastAsia"/>
          <w:szCs w:val="21"/>
        </w:rPr>
        <w:t>海外市场</w:t>
      </w:r>
      <w:r w:rsidR="003936BE" w:rsidRPr="003936BE">
        <w:rPr>
          <w:rFonts w:ascii="楷体" w:eastAsia="楷体" w:hAnsi="楷体" w:hint="eastAsia"/>
          <w:szCs w:val="21"/>
        </w:rPr>
        <w:t>各主要指数</w:t>
      </w:r>
      <w:r w:rsidR="00ED5130">
        <w:rPr>
          <w:rFonts w:ascii="楷体" w:eastAsia="楷体" w:hAnsi="楷体" w:hint="eastAsia"/>
          <w:szCs w:val="21"/>
        </w:rPr>
        <w:t>亦收涨</w:t>
      </w:r>
      <w:r w:rsidR="003936BE" w:rsidRPr="003936BE">
        <w:rPr>
          <w:rFonts w:ascii="楷体" w:eastAsia="楷体" w:hAnsi="楷体" w:hint="eastAsia"/>
          <w:szCs w:val="21"/>
        </w:rPr>
        <w:t>，</w:t>
      </w:r>
      <w:r w:rsidR="003936BE">
        <w:rPr>
          <w:rFonts w:ascii="楷体" w:eastAsia="楷体" w:hAnsi="楷体" w:hint="eastAsia"/>
          <w:color w:val="auto"/>
          <w:szCs w:val="21"/>
        </w:rPr>
        <w:t>QDII基金</w:t>
      </w:r>
      <w:r w:rsidR="00D7627F" w:rsidRPr="004520F9">
        <w:rPr>
          <w:rFonts w:ascii="楷体" w:eastAsia="楷体" w:hAnsi="楷体" w:hint="eastAsia"/>
          <w:szCs w:val="21"/>
        </w:rPr>
        <w:t>（</w:t>
      </w:r>
      <w:r w:rsidR="00ED5130">
        <w:rPr>
          <w:rFonts w:ascii="楷体" w:eastAsia="楷体" w:hAnsi="楷体" w:hint="eastAsia"/>
          <w:szCs w:val="21"/>
        </w:rPr>
        <w:t>2014.03.28</w:t>
      </w:r>
      <w:r w:rsidR="00D7627F" w:rsidRPr="004520F9">
        <w:rPr>
          <w:rFonts w:ascii="楷体" w:eastAsia="楷体" w:hAnsi="楷体" w:hint="eastAsia"/>
          <w:szCs w:val="21"/>
        </w:rPr>
        <w:t>~</w:t>
      </w:r>
      <w:r w:rsidR="00ED5130">
        <w:rPr>
          <w:rFonts w:ascii="楷体" w:eastAsia="楷体" w:hAnsi="楷体" w:hint="eastAsia"/>
          <w:szCs w:val="21"/>
        </w:rPr>
        <w:t>2014.04.03</w:t>
      </w:r>
      <w:r w:rsidR="00D7627F" w:rsidRPr="004520F9">
        <w:rPr>
          <w:rFonts w:ascii="楷体" w:eastAsia="楷体" w:hAnsi="楷体" w:hint="eastAsia"/>
          <w:szCs w:val="21"/>
        </w:rPr>
        <w:t>）</w:t>
      </w:r>
      <w:r w:rsidR="00ED5130">
        <w:rPr>
          <w:rFonts w:ascii="楷体" w:eastAsia="楷体" w:hAnsi="楷体" w:hint="eastAsia"/>
          <w:color w:val="auto"/>
          <w:szCs w:val="21"/>
        </w:rPr>
        <w:t>无论</w:t>
      </w:r>
      <w:proofErr w:type="gramStart"/>
      <w:r w:rsidR="00ED5130">
        <w:rPr>
          <w:rFonts w:ascii="楷体" w:eastAsia="楷体" w:hAnsi="楷体" w:hint="eastAsia"/>
          <w:color w:val="auto"/>
          <w:szCs w:val="21"/>
        </w:rPr>
        <w:t>投资美</w:t>
      </w:r>
      <w:proofErr w:type="gramEnd"/>
      <w:r w:rsidR="00ED5130">
        <w:rPr>
          <w:rFonts w:ascii="楷体" w:eastAsia="楷体" w:hAnsi="楷体" w:hint="eastAsia"/>
          <w:color w:val="auto"/>
          <w:szCs w:val="21"/>
        </w:rPr>
        <w:t>股或亚太均有斩获，但能源商品的下行造成商品基金多数小幅回调</w:t>
      </w:r>
      <w:r w:rsidR="003936BE">
        <w:rPr>
          <w:rFonts w:ascii="楷体" w:eastAsia="楷体" w:hAnsi="楷体" w:hint="eastAsia"/>
          <w:color w:val="auto"/>
          <w:szCs w:val="21"/>
        </w:rPr>
        <w:t>。</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1757D1">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lastRenderedPageBreak/>
              <w:t>图表</w:t>
            </w:r>
            <w:r w:rsidR="008F39C1" w:rsidRPr="005B7CDB">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7E0CA0">
              <w:rPr>
                <w:rFonts w:ascii="楷体" w:eastAsia="楷体" w:hAnsi="楷体" w:hint="eastAsia"/>
                <w:color w:val="FF6600"/>
              </w:rPr>
              <w:t>03.31~04.04</w:t>
            </w:r>
            <w:r w:rsidRPr="005B7CDB">
              <w:rPr>
                <w:rFonts w:ascii="楷体" w:eastAsia="楷体" w:hAnsi="楷体" w:cs="宋体" w:hint="eastAsia"/>
                <w:color w:val="FF6600"/>
              </w:rPr>
              <w:t>，</w:t>
            </w:r>
            <w:r w:rsidRPr="005B7CDB">
              <w:rPr>
                <w:rFonts w:ascii="楷体" w:eastAsia="楷体" w:hAnsi="楷体" w:hint="eastAsia"/>
                <w:color w:val="FF6600"/>
              </w:rPr>
              <w:t>QDII为</w:t>
            </w:r>
            <w:r w:rsidR="007E0CA0">
              <w:rPr>
                <w:rFonts w:ascii="楷体" w:eastAsia="楷体" w:hAnsi="楷体" w:hint="eastAsia"/>
                <w:color w:val="FF6600"/>
              </w:rPr>
              <w:t>03.28</w:t>
            </w:r>
            <w:r w:rsidRPr="005B7CDB">
              <w:rPr>
                <w:rFonts w:ascii="楷体" w:eastAsia="楷体" w:hAnsi="楷体" w:hint="eastAsia"/>
                <w:color w:val="FF6600"/>
              </w:rPr>
              <w:t>~</w:t>
            </w:r>
            <w:r w:rsidR="007E0CA0">
              <w:rPr>
                <w:rFonts w:ascii="楷体" w:eastAsia="楷体" w:hAnsi="楷体" w:hint="eastAsia"/>
                <w:color w:val="FF6600"/>
              </w:rPr>
              <w:t>04.03</w:t>
            </w:r>
            <w:r w:rsidR="00F60041" w:rsidRPr="005B7CDB">
              <w:rPr>
                <w:rFonts w:ascii="楷体" w:eastAsia="楷体" w:hAnsi="楷体" w:hint="eastAsia"/>
                <w:color w:val="FF6600"/>
              </w:rPr>
              <w:t>，货币基金为</w:t>
            </w:r>
            <w:proofErr w:type="gramStart"/>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proofErr w:type="gramEnd"/>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366935" w:rsidRPr="007E0CA0" w:rsidRDefault="007E0CA0" w:rsidP="009D6B40">
            <w:pPr>
              <w:snapToGrid w:val="0"/>
              <w:jc w:val="center"/>
              <w:rPr>
                <w:rFonts w:ascii="楷体" w:eastAsia="楷体" w:hAnsi="楷体"/>
                <w:sz w:val="18"/>
                <w:szCs w:val="18"/>
              </w:rPr>
            </w:pPr>
            <w:r>
              <w:rPr>
                <w:rFonts w:ascii="楷体" w:eastAsia="楷体" w:hAnsi="楷体" w:hint="eastAsia"/>
                <w:sz w:val="18"/>
                <w:szCs w:val="18"/>
              </w:rPr>
              <w:t>1.72</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纯债基金</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9748A1" w:rsidP="009D6B40">
            <w:pPr>
              <w:snapToGrid w:val="0"/>
              <w:jc w:val="center"/>
              <w:rPr>
                <w:rFonts w:ascii="楷体" w:eastAsia="楷体" w:hAnsi="楷体"/>
                <w:sz w:val="18"/>
                <w:szCs w:val="18"/>
              </w:rPr>
            </w:pPr>
            <w:r w:rsidRPr="007E0CA0">
              <w:rPr>
                <w:rFonts w:ascii="楷体" w:eastAsia="楷体" w:hAnsi="楷体" w:hint="eastAsia"/>
                <w:sz w:val="18"/>
                <w:szCs w:val="18"/>
              </w:rPr>
              <w:t>0.1</w:t>
            </w:r>
            <w:r w:rsidR="00007D8C">
              <w:rPr>
                <w:rFonts w:ascii="楷体" w:eastAsia="楷体" w:hAnsi="楷体" w:hint="eastAsia"/>
                <w:sz w:val="18"/>
                <w:szCs w:val="18"/>
              </w:rPr>
              <w:t>1</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b/>
                <w:sz w:val="18"/>
                <w:szCs w:val="18"/>
              </w:rPr>
              <w:t>货币市场基金</w:t>
            </w:r>
          </w:p>
        </w:tc>
        <w:tc>
          <w:tcPr>
            <w:tcW w:w="1197" w:type="dxa"/>
            <w:tcBorders>
              <w:left w:val="single" w:sz="6" w:space="0" w:color="FF6600"/>
            </w:tcBorders>
            <w:shd w:val="clear" w:color="auto" w:fill="auto"/>
            <w:vAlign w:val="center"/>
          </w:tcPr>
          <w:p w:rsidR="00366935" w:rsidRPr="007E0CA0" w:rsidRDefault="008D2D88" w:rsidP="00884478">
            <w:pPr>
              <w:snapToGrid w:val="0"/>
              <w:jc w:val="center"/>
              <w:rPr>
                <w:rFonts w:ascii="楷体" w:eastAsia="楷体" w:hAnsi="楷体"/>
                <w:sz w:val="18"/>
                <w:szCs w:val="18"/>
              </w:rPr>
            </w:pPr>
            <w:r w:rsidRPr="007E0CA0">
              <w:rPr>
                <w:rFonts w:ascii="楷体" w:eastAsia="楷体" w:hAnsi="楷体" w:hint="eastAsia"/>
                <w:sz w:val="18"/>
                <w:szCs w:val="18"/>
              </w:rPr>
              <w:t>4.</w:t>
            </w:r>
            <w:r w:rsidR="00C202CD">
              <w:rPr>
                <w:rFonts w:ascii="楷体" w:eastAsia="楷体" w:hAnsi="楷体" w:hint="eastAsia"/>
                <w:sz w:val="18"/>
                <w:szCs w:val="18"/>
              </w:rPr>
              <w:t>73</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366935" w:rsidRPr="007E0CA0" w:rsidRDefault="007E0CA0" w:rsidP="009D6B40">
            <w:pPr>
              <w:snapToGrid w:val="0"/>
              <w:jc w:val="center"/>
              <w:rPr>
                <w:rFonts w:ascii="楷体" w:eastAsia="楷体" w:hAnsi="楷体"/>
                <w:sz w:val="18"/>
                <w:szCs w:val="18"/>
              </w:rPr>
            </w:pPr>
            <w:r>
              <w:rPr>
                <w:rFonts w:ascii="楷体" w:eastAsia="楷体" w:hAnsi="楷体" w:hint="eastAsia"/>
                <w:sz w:val="18"/>
                <w:szCs w:val="18"/>
              </w:rPr>
              <w:t>1.66</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一级债基</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007D8C" w:rsidP="009D6B40">
            <w:pPr>
              <w:snapToGrid w:val="0"/>
              <w:jc w:val="center"/>
              <w:rPr>
                <w:rFonts w:ascii="楷体" w:eastAsia="楷体" w:hAnsi="楷体"/>
                <w:sz w:val="18"/>
                <w:szCs w:val="18"/>
              </w:rPr>
            </w:pPr>
            <w:r>
              <w:rPr>
                <w:rFonts w:ascii="楷体" w:eastAsia="楷体" w:hAnsi="楷体" w:hint="eastAsia"/>
                <w:sz w:val="18"/>
                <w:szCs w:val="18"/>
              </w:rPr>
              <w:t>0.12</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分级基金</w:t>
            </w:r>
          </w:p>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366935" w:rsidRPr="007E0CA0" w:rsidRDefault="001312C8" w:rsidP="009D6B40">
            <w:pPr>
              <w:snapToGrid w:val="0"/>
              <w:jc w:val="center"/>
              <w:rPr>
                <w:rFonts w:ascii="楷体" w:eastAsia="楷体" w:hAnsi="楷体"/>
                <w:sz w:val="18"/>
                <w:szCs w:val="18"/>
              </w:rPr>
            </w:pPr>
            <w:r w:rsidRPr="007E0CA0">
              <w:rPr>
                <w:rFonts w:ascii="楷体" w:eastAsia="楷体" w:hAnsi="楷体" w:hint="eastAsia"/>
                <w:sz w:val="18"/>
                <w:szCs w:val="18"/>
              </w:rPr>
              <w:t>0.</w:t>
            </w:r>
            <w:r w:rsidR="003F15EB">
              <w:rPr>
                <w:rFonts w:ascii="楷体" w:eastAsia="楷体" w:hAnsi="楷体" w:hint="eastAsia"/>
                <w:sz w:val="18"/>
                <w:szCs w:val="18"/>
              </w:rPr>
              <w:t>25</w:t>
            </w:r>
          </w:p>
        </w:tc>
      </w:tr>
      <w:tr w:rsidR="00366935" w:rsidRPr="005B7CDB"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proofErr w:type="gramStart"/>
            <w:r w:rsidR="00983990" w:rsidRPr="007E0CA0">
              <w:rPr>
                <w:rFonts w:ascii="楷体" w:eastAsia="楷体" w:hAnsi="楷体" w:hint="eastAsia"/>
                <w:b/>
                <w:bCs/>
                <w:sz w:val="18"/>
                <w:szCs w:val="18"/>
              </w:rPr>
              <w:t>偏股</w:t>
            </w:r>
            <w:r w:rsidRPr="007E0CA0">
              <w:rPr>
                <w:rFonts w:ascii="楷体" w:eastAsia="楷体" w:hAnsi="楷体" w:hint="eastAsia"/>
                <w:b/>
                <w:bCs/>
                <w:sz w:val="18"/>
                <w:szCs w:val="18"/>
              </w:rPr>
              <w:t>型</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CA44B3" w:rsidP="009D6B40">
            <w:pPr>
              <w:snapToGrid w:val="0"/>
              <w:jc w:val="center"/>
              <w:rPr>
                <w:rFonts w:ascii="楷体" w:eastAsia="楷体" w:hAnsi="楷体"/>
                <w:sz w:val="18"/>
                <w:szCs w:val="18"/>
              </w:rPr>
            </w:pPr>
            <w:r>
              <w:rPr>
                <w:rFonts w:ascii="楷体" w:eastAsia="楷体" w:hAnsi="楷体" w:hint="eastAsia"/>
                <w:sz w:val="18"/>
                <w:szCs w:val="18"/>
              </w:rPr>
              <w:t>1.80</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二级债基</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007D8C" w:rsidP="009D6B40">
            <w:pPr>
              <w:snapToGrid w:val="0"/>
              <w:jc w:val="center"/>
              <w:rPr>
                <w:rFonts w:ascii="楷体" w:eastAsia="楷体" w:hAnsi="楷体"/>
                <w:sz w:val="18"/>
                <w:szCs w:val="18"/>
              </w:rPr>
            </w:pPr>
            <w:r>
              <w:rPr>
                <w:rFonts w:ascii="楷体" w:eastAsia="楷体" w:hAnsi="楷体" w:hint="eastAsia"/>
                <w:sz w:val="18"/>
                <w:szCs w:val="18"/>
              </w:rPr>
              <w:t>0.22</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366935" w:rsidRPr="007E0CA0" w:rsidRDefault="003F15EB" w:rsidP="009D6B40">
            <w:pPr>
              <w:snapToGrid w:val="0"/>
              <w:jc w:val="center"/>
              <w:rPr>
                <w:rFonts w:ascii="楷体" w:eastAsia="楷体" w:hAnsi="楷体"/>
                <w:sz w:val="18"/>
                <w:szCs w:val="18"/>
              </w:rPr>
            </w:pPr>
            <w:r>
              <w:rPr>
                <w:rFonts w:ascii="楷体" w:eastAsia="楷体" w:hAnsi="楷体" w:hint="eastAsia"/>
                <w:sz w:val="18"/>
                <w:szCs w:val="18"/>
              </w:rPr>
              <w:t>3.93</w:t>
            </w:r>
          </w:p>
        </w:tc>
      </w:tr>
      <w:tr w:rsidR="00366935"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w:t>
            </w:r>
            <w:proofErr w:type="gramStart"/>
            <w:r w:rsidR="00983990" w:rsidRPr="007E0CA0">
              <w:rPr>
                <w:rFonts w:ascii="楷体" w:eastAsia="楷体" w:hAnsi="楷体" w:hint="eastAsia"/>
                <w:b/>
                <w:bCs/>
                <w:sz w:val="18"/>
                <w:szCs w:val="18"/>
              </w:rPr>
              <w:t>偏债</w:t>
            </w:r>
            <w:r w:rsidRPr="007E0CA0">
              <w:rPr>
                <w:rFonts w:ascii="楷体" w:eastAsia="楷体" w:hAnsi="楷体" w:hint="eastAsia"/>
                <w:b/>
                <w:bCs/>
                <w:sz w:val="18"/>
                <w:szCs w:val="18"/>
              </w:rPr>
              <w:t>型</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007D8C" w:rsidP="009D6B40">
            <w:pPr>
              <w:snapToGrid w:val="0"/>
              <w:jc w:val="center"/>
              <w:rPr>
                <w:rFonts w:ascii="楷体" w:eastAsia="楷体" w:hAnsi="楷体"/>
                <w:sz w:val="18"/>
                <w:szCs w:val="18"/>
              </w:rPr>
            </w:pPr>
            <w:r>
              <w:rPr>
                <w:rFonts w:ascii="楷体" w:eastAsia="楷体" w:hAnsi="楷体" w:hint="eastAsia"/>
                <w:sz w:val="18"/>
                <w:szCs w:val="18"/>
              </w:rPr>
              <w:t>0.58</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指数债基</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8E29BE" w:rsidP="009D6B40">
            <w:pPr>
              <w:snapToGrid w:val="0"/>
              <w:jc w:val="center"/>
              <w:rPr>
                <w:rFonts w:ascii="楷体" w:eastAsia="楷体" w:hAnsi="楷体"/>
                <w:sz w:val="18"/>
                <w:szCs w:val="18"/>
              </w:rPr>
            </w:pPr>
            <w:r>
              <w:rPr>
                <w:rFonts w:ascii="楷体" w:eastAsia="楷体" w:hAnsi="楷体" w:hint="eastAsia"/>
                <w:sz w:val="18"/>
                <w:szCs w:val="18"/>
              </w:rPr>
              <w:t>0.01</w:t>
            </w:r>
          </w:p>
        </w:tc>
        <w:tc>
          <w:tcPr>
            <w:tcW w:w="1041"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366935" w:rsidRPr="007E0CA0" w:rsidRDefault="00905090" w:rsidP="009D6B40">
            <w:pPr>
              <w:snapToGrid w:val="0"/>
              <w:jc w:val="center"/>
              <w:rPr>
                <w:rFonts w:ascii="楷体" w:eastAsia="楷体" w:hAnsi="楷体"/>
                <w:sz w:val="18"/>
                <w:szCs w:val="18"/>
              </w:rPr>
            </w:pPr>
            <w:r>
              <w:rPr>
                <w:rFonts w:ascii="楷体" w:eastAsia="楷体" w:hAnsi="楷体" w:hint="eastAsia"/>
                <w:sz w:val="18"/>
                <w:szCs w:val="18"/>
              </w:rPr>
              <w:t>0.09</w:t>
            </w:r>
          </w:p>
        </w:tc>
      </w:tr>
      <w:tr w:rsidR="00983990" w:rsidRPr="005B7CDB" w:rsidTr="009D6B40">
        <w:trPr>
          <w:cantSplit/>
          <w:trHeight w:val="284"/>
        </w:trPr>
        <w:tc>
          <w:tcPr>
            <w:tcW w:w="993" w:type="dxa"/>
            <w:vMerge/>
            <w:tcBorders>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884478">
            <w:pPr>
              <w:snapToGrid w:val="0"/>
              <w:jc w:val="center"/>
              <w:rPr>
                <w:rFonts w:ascii="楷体" w:eastAsia="楷体" w:hAnsi="楷体" w:cs="宋体"/>
                <w:b/>
                <w:bCs/>
                <w:sz w:val="18"/>
                <w:szCs w:val="18"/>
              </w:rPr>
            </w:pPr>
            <w:r w:rsidRPr="007E0CA0">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983990" w:rsidRPr="007E0CA0" w:rsidRDefault="00542F05" w:rsidP="00884478">
            <w:pPr>
              <w:snapToGrid w:val="0"/>
              <w:jc w:val="center"/>
              <w:rPr>
                <w:rFonts w:ascii="楷体" w:eastAsia="楷体" w:hAnsi="楷体"/>
                <w:sz w:val="18"/>
                <w:szCs w:val="18"/>
              </w:rPr>
            </w:pPr>
            <w:r>
              <w:rPr>
                <w:rFonts w:ascii="楷体" w:eastAsia="楷体" w:hAnsi="楷体" w:hint="eastAsia"/>
                <w:sz w:val="18"/>
                <w:szCs w:val="18"/>
              </w:rPr>
              <w:t>1.45</w:t>
            </w:r>
          </w:p>
        </w:tc>
        <w:tc>
          <w:tcPr>
            <w:tcW w:w="946"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可转债基</w:t>
            </w:r>
            <w:proofErr w:type="gramEnd"/>
          </w:p>
        </w:tc>
        <w:tc>
          <w:tcPr>
            <w:tcW w:w="1197" w:type="dxa"/>
            <w:tcBorders>
              <w:left w:val="single" w:sz="6" w:space="0" w:color="FF6600"/>
              <w:right w:val="single" w:sz="6" w:space="0" w:color="FF6600"/>
            </w:tcBorders>
            <w:shd w:val="clear" w:color="auto" w:fill="auto"/>
            <w:vAlign w:val="center"/>
          </w:tcPr>
          <w:p w:rsidR="00983990" w:rsidRPr="007E0CA0" w:rsidRDefault="00D15231" w:rsidP="009D6B40">
            <w:pPr>
              <w:snapToGrid w:val="0"/>
              <w:jc w:val="center"/>
              <w:rPr>
                <w:rFonts w:ascii="楷体" w:eastAsia="楷体" w:hAnsi="楷体"/>
                <w:sz w:val="18"/>
                <w:szCs w:val="18"/>
              </w:rPr>
            </w:pPr>
            <w:r>
              <w:rPr>
                <w:rFonts w:ascii="楷体" w:eastAsia="楷体" w:hAnsi="楷体" w:hint="eastAsia"/>
                <w:sz w:val="18"/>
                <w:szCs w:val="18"/>
              </w:rPr>
              <w:t>0.78</w:t>
            </w:r>
          </w:p>
        </w:tc>
        <w:tc>
          <w:tcPr>
            <w:tcW w:w="1041" w:type="dxa"/>
            <w:vMerge/>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983990" w:rsidRPr="007E0CA0" w:rsidRDefault="00983990" w:rsidP="009D6B40">
            <w:pPr>
              <w:snapToGrid w:val="0"/>
              <w:jc w:val="center"/>
              <w:rPr>
                <w:rFonts w:ascii="楷体" w:eastAsia="楷体" w:hAnsi="楷体"/>
                <w:b/>
                <w:sz w:val="18"/>
                <w:szCs w:val="18"/>
              </w:rPr>
            </w:pPr>
            <w:r w:rsidRPr="007E0CA0">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983990" w:rsidRPr="007E0CA0" w:rsidRDefault="007A3E07" w:rsidP="009D6B40">
            <w:pPr>
              <w:snapToGrid w:val="0"/>
              <w:jc w:val="center"/>
              <w:rPr>
                <w:rFonts w:ascii="楷体" w:eastAsia="楷体" w:hAnsi="楷体"/>
                <w:sz w:val="18"/>
                <w:szCs w:val="18"/>
              </w:rPr>
            </w:pPr>
            <w:r>
              <w:rPr>
                <w:rFonts w:ascii="楷体" w:eastAsia="楷体" w:hAnsi="楷体" w:hint="eastAsia"/>
                <w:sz w:val="18"/>
                <w:szCs w:val="18"/>
              </w:rPr>
              <w:t>0.35</w:t>
            </w:r>
          </w:p>
        </w:tc>
      </w:tr>
      <w:tr w:rsidR="00366935" w:rsidRPr="005B7CDB"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366935" w:rsidRPr="007E0CA0" w:rsidRDefault="00366935" w:rsidP="00884478">
            <w:pPr>
              <w:snapToGrid w:val="0"/>
              <w:jc w:val="center"/>
              <w:rPr>
                <w:rFonts w:ascii="楷体" w:eastAsia="楷体" w:hAnsi="楷体"/>
                <w:b/>
                <w:sz w:val="18"/>
                <w:szCs w:val="18"/>
              </w:rPr>
            </w:pPr>
            <w:r w:rsidRPr="007E0CA0">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366935" w:rsidRPr="007E0CA0" w:rsidRDefault="00542F05" w:rsidP="00884478">
            <w:pPr>
              <w:snapToGrid w:val="0"/>
              <w:jc w:val="center"/>
              <w:rPr>
                <w:rFonts w:ascii="楷体" w:eastAsia="楷体" w:hAnsi="楷体"/>
                <w:sz w:val="18"/>
                <w:szCs w:val="18"/>
              </w:rPr>
            </w:pPr>
            <w:r>
              <w:rPr>
                <w:rFonts w:ascii="楷体" w:eastAsia="楷体" w:hAnsi="楷体" w:hint="eastAsia"/>
                <w:sz w:val="18"/>
                <w:szCs w:val="18"/>
              </w:rPr>
              <w:t>2.29</w:t>
            </w:r>
          </w:p>
        </w:tc>
        <w:tc>
          <w:tcPr>
            <w:tcW w:w="946" w:type="dxa"/>
            <w:vMerge/>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cs="宋体"/>
                <w:b/>
                <w:bCs/>
                <w:sz w:val="18"/>
                <w:szCs w:val="18"/>
              </w:rPr>
            </w:pPr>
            <w:r w:rsidRPr="007E0CA0">
              <w:rPr>
                <w:rFonts w:ascii="楷体" w:eastAsia="楷体" w:hAnsi="楷体" w:hint="eastAsia"/>
                <w:b/>
                <w:bCs/>
                <w:sz w:val="18"/>
                <w:szCs w:val="18"/>
              </w:rPr>
              <w:t>债券-</w:t>
            </w:r>
            <w:proofErr w:type="gramStart"/>
            <w:r w:rsidRPr="007E0CA0">
              <w:rPr>
                <w:rFonts w:ascii="楷体" w:eastAsia="楷体" w:hAnsi="楷体" w:hint="eastAsia"/>
                <w:b/>
                <w:bCs/>
                <w:sz w:val="18"/>
                <w:szCs w:val="18"/>
              </w:rPr>
              <w:t>理财债基</w:t>
            </w:r>
            <w:proofErr w:type="gramEnd"/>
          </w:p>
        </w:tc>
        <w:tc>
          <w:tcPr>
            <w:tcW w:w="1197" w:type="dxa"/>
            <w:tcBorders>
              <w:left w:val="single" w:sz="6" w:space="0" w:color="FF6600"/>
              <w:right w:val="single" w:sz="6" w:space="0" w:color="FF6600"/>
            </w:tcBorders>
            <w:shd w:val="clear" w:color="auto" w:fill="auto"/>
            <w:vAlign w:val="center"/>
          </w:tcPr>
          <w:p w:rsidR="00366935" w:rsidRPr="007E0CA0" w:rsidRDefault="009748A1" w:rsidP="009D6B40">
            <w:pPr>
              <w:snapToGrid w:val="0"/>
              <w:jc w:val="center"/>
              <w:rPr>
                <w:rFonts w:ascii="楷体" w:eastAsia="楷体" w:hAnsi="楷体"/>
                <w:sz w:val="18"/>
                <w:szCs w:val="18"/>
              </w:rPr>
            </w:pPr>
            <w:r w:rsidRPr="007E0CA0">
              <w:rPr>
                <w:rFonts w:ascii="楷体" w:eastAsia="楷体" w:hAnsi="楷体" w:hint="eastAsia"/>
                <w:sz w:val="18"/>
                <w:szCs w:val="18"/>
              </w:rPr>
              <w:t>0.09</w:t>
            </w:r>
          </w:p>
        </w:tc>
        <w:tc>
          <w:tcPr>
            <w:tcW w:w="2394" w:type="dxa"/>
            <w:gridSpan w:val="2"/>
            <w:tcBorders>
              <w:left w:val="single" w:sz="6" w:space="0" w:color="FF6600"/>
              <w:right w:val="single" w:sz="6" w:space="0" w:color="FF6600"/>
            </w:tcBorders>
            <w:shd w:val="clear" w:color="auto" w:fill="FDE9D9" w:themeFill="accent6" w:themeFillTint="33"/>
            <w:vAlign w:val="center"/>
          </w:tcPr>
          <w:p w:rsidR="00366935" w:rsidRPr="007E0CA0" w:rsidRDefault="00366935" w:rsidP="009D6B40">
            <w:pPr>
              <w:snapToGrid w:val="0"/>
              <w:jc w:val="center"/>
              <w:rPr>
                <w:rFonts w:ascii="楷体" w:eastAsia="楷体" w:hAnsi="楷体"/>
                <w:b/>
                <w:sz w:val="18"/>
                <w:szCs w:val="18"/>
              </w:rPr>
            </w:pPr>
            <w:r w:rsidRPr="007E0CA0">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366935" w:rsidRPr="008549D1" w:rsidRDefault="008549D1" w:rsidP="009D6B40">
            <w:pPr>
              <w:snapToGrid w:val="0"/>
              <w:jc w:val="center"/>
              <w:rPr>
                <w:rFonts w:ascii="楷体" w:eastAsia="楷体" w:hAnsi="楷体"/>
                <w:color w:val="FF0000"/>
                <w:sz w:val="18"/>
                <w:szCs w:val="18"/>
              </w:rPr>
            </w:pPr>
            <w:r w:rsidRPr="008549D1">
              <w:rPr>
                <w:rFonts w:ascii="楷体" w:eastAsia="楷体" w:hAnsi="楷体"/>
                <w:color w:val="FF0000"/>
                <w:sz w:val="18"/>
                <w:szCs w:val="18"/>
              </w:rPr>
              <w:t>-</w:t>
            </w:r>
            <w:r w:rsidRPr="008549D1">
              <w:rPr>
                <w:rFonts w:ascii="楷体" w:eastAsia="楷体" w:hAnsi="楷体" w:hint="eastAsia"/>
                <w:color w:val="FF0000"/>
                <w:sz w:val="18"/>
                <w:szCs w:val="18"/>
              </w:rPr>
              <w:t>0.34</w:t>
            </w:r>
          </w:p>
        </w:tc>
      </w:tr>
    </w:tbl>
    <w:p w:rsidR="000D4A66" w:rsidRPr="005B7CDB" w:rsidRDefault="000D4A66" w:rsidP="000D4A66">
      <w:pPr>
        <w:pStyle w:val="FootnoteNoline"/>
        <w:ind w:left="0"/>
        <w:rPr>
          <w:rFonts w:ascii="楷体" w:eastAsia="楷体" w:hAnsi="楷体"/>
          <w:color w:val="FF6600"/>
          <w:lang w:val="en-US"/>
        </w:rPr>
      </w:pPr>
      <w:r w:rsidRPr="005B7CDB">
        <w:rPr>
          <w:rFonts w:ascii="楷体" w:eastAsia="楷体" w:hAnsi="楷体" w:cs="宋体" w:hint="eastAsia"/>
          <w:color w:val="FF6600"/>
          <w:lang w:val="en-US"/>
        </w:rPr>
        <w:t>来源：</w:t>
      </w:r>
      <w:proofErr w:type="gramStart"/>
      <w:r w:rsidRPr="005B7CDB">
        <w:rPr>
          <w:rFonts w:ascii="楷体" w:eastAsia="楷体" w:hAnsi="楷体" w:cs="宋体" w:hint="eastAsia"/>
          <w:color w:val="FF6600"/>
          <w:lang w:val="en-US"/>
        </w:rPr>
        <w:t>凯</w:t>
      </w:r>
      <w:proofErr w:type="gramEnd"/>
      <w:r w:rsidRPr="005B7CDB">
        <w:rPr>
          <w:rFonts w:ascii="楷体" w:eastAsia="楷体" w:hAnsi="楷体" w:cs="宋体" w:hint="eastAsia"/>
          <w:color w:val="FF6600"/>
          <w:lang w:val="en-US"/>
        </w:rPr>
        <w:t>石财富工场</w:t>
      </w:r>
    </w:p>
    <w:p w:rsidR="0062314B" w:rsidRPr="005B7CDB" w:rsidRDefault="00B06585" w:rsidP="00CB1BC1">
      <w:pPr>
        <w:widowControl/>
        <w:spacing w:after="120"/>
        <w:ind w:left="3430"/>
        <w:rPr>
          <w:rFonts w:ascii="楷体" w:eastAsia="楷体" w:hAnsi="楷体" w:cs="Times New Roman"/>
          <w:b/>
          <w:bCs/>
          <w:color w:val="0070C0"/>
          <w:kern w:val="0"/>
          <w:szCs w:val="21"/>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r w:rsidR="00091E0E">
        <w:rPr>
          <w:rFonts w:ascii="楷体" w:eastAsia="楷体" w:hAnsi="楷体" w:hint="eastAsia"/>
          <w:b/>
          <w:bCs/>
          <w:color w:val="0070C0"/>
          <w:kern w:val="0"/>
          <w:szCs w:val="21"/>
          <w:lang w:val="en-GB"/>
        </w:rPr>
        <w:t>股票型、混合</w:t>
      </w:r>
      <w:proofErr w:type="gramStart"/>
      <w:r w:rsidR="00091E0E">
        <w:rPr>
          <w:rFonts w:ascii="楷体" w:eastAsia="楷体" w:hAnsi="楷体" w:hint="eastAsia"/>
          <w:b/>
          <w:bCs/>
          <w:color w:val="0070C0"/>
          <w:kern w:val="0"/>
          <w:szCs w:val="21"/>
          <w:lang w:val="en-GB"/>
        </w:rPr>
        <w:t>偏股型跑赢基础</w:t>
      </w:r>
      <w:proofErr w:type="gramEnd"/>
      <w:r w:rsidR="00091E0E">
        <w:rPr>
          <w:rFonts w:ascii="楷体" w:eastAsia="楷体" w:hAnsi="楷体" w:hint="eastAsia"/>
          <w:b/>
          <w:bCs/>
          <w:color w:val="0070C0"/>
          <w:kern w:val="0"/>
          <w:szCs w:val="21"/>
          <w:lang w:val="en-GB"/>
        </w:rPr>
        <w:t>市场</w:t>
      </w:r>
    </w:p>
    <w:p w:rsidR="00703A45" w:rsidRPr="005B7CDB" w:rsidRDefault="00150FC3" w:rsidP="003F158A">
      <w:pPr>
        <w:pStyle w:val="ab"/>
        <w:numPr>
          <w:ilvl w:val="4"/>
          <w:numId w:val="1"/>
        </w:numPr>
        <w:spacing w:after="163"/>
        <w:rPr>
          <w:rFonts w:ascii="楷体" w:eastAsia="楷体" w:hAnsi="楷体"/>
        </w:rPr>
      </w:pPr>
      <w:r>
        <w:rPr>
          <w:rFonts w:ascii="楷体" w:eastAsia="楷体" w:hAnsi="楷体" w:hint="eastAsia"/>
          <w:color w:val="auto"/>
        </w:rPr>
        <w:t>在</w:t>
      </w:r>
      <w:r w:rsidR="00091E0E">
        <w:rPr>
          <w:rFonts w:ascii="楷体" w:eastAsia="楷体" w:hAnsi="楷体" w:hint="eastAsia"/>
          <w:color w:val="auto"/>
        </w:rPr>
        <w:t>市场</w:t>
      </w:r>
      <w:r w:rsidR="006B7C89">
        <w:rPr>
          <w:rFonts w:ascii="楷体" w:eastAsia="楷体" w:hAnsi="楷体" w:hint="eastAsia"/>
          <w:color w:val="auto"/>
        </w:rPr>
        <w:t>普</w:t>
      </w:r>
      <w:proofErr w:type="gramStart"/>
      <w:r w:rsidR="006B7C89">
        <w:rPr>
          <w:rFonts w:ascii="楷体" w:eastAsia="楷体" w:hAnsi="楷体" w:hint="eastAsia"/>
          <w:color w:val="auto"/>
        </w:rPr>
        <w:t>涨环境</w:t>
      </w:r>
      <w:proofErr w:type="gramEnd"/>
      <w:r w:rsidR="006B7C89">
        <w:rPr>
          <w:rFonts w:ascii="楷体" w:eastAsia="楷体" w:hAnsi="楷体" w:hint="eastAsia"/>
          <w:color w:val="auto"/>
        </w:rPr>
        <w:t>下，各类型权益类基金多数实现正收益</w:t>
      </w:r>
      <w:r w:rsidR="003F15EB">
        <w:rPr>
          <w:rFonts w:ascii="楷体" w:eastAsia="楷体" w:hAnsi="楷体" w:hint="eastAsia"/>
          <w:color w:val="auto"/>
        </w:rPr>
        <w:t>，其中股票</w:t>
      </w:r>
      <w:proofErr w:type="gramStart"/>
      <w:r w:rsidR="003F15EB">
        <w:rPr>
          <w:rFonts w:ascii="楷体" w:eastAsia="楷体" w:hAnsi="楷体" w:hint="eastAsia"/>
          <w:color w:val="auto"/>
        </w:rPr>
        <w:t>仓位</w:t>
      </w:r>
      <w:proofErr w:type="gramEnd"/>
      <w:r w:rsidR="003F15EB">
        <w:rPr>
          <w:rFonts w:ascii="楷体" w:eastAsia="楷体" w:hAnsi="楷体" w:hint="eastAsia"/>
          <w:color w:val="auto"/>
        </w:rPr>
        <w:t>相对较重的股票-主动型、股票-指数型以及混合-</w:t>
      </w:r>
      <w:proofErr w:type="gramStart"/>
      <w:r w:rsidR="003F15EB">
        <w:rPr>
          <w:rFonts w:ascii="楷体" w:eastAsia="楷体" w:hAnsi="楷体" w:hint="eastAsia"/>
          <w:color w:val="auto"/>
        </w:rPr>
        <w:t>偏股型平均周收益皆战胜</w:t>
      </w:r>
      <w:proofErr w:type="gramEnd"/>
      <w:r w:rsidR="003F15EB">
        <w:rPr>
          <w:rFonts w:ascii="楷体" w:eastAsia="楷体" w:hAnsi="楷体" w:hint="eastAsia"/>
          <w:color w:val="auto"/>
        </w:rPr>
        <w:t>主板市场</w:t>
      </w:r>
      <w:r w:rsidR="006B7C89">
        <w:rPr>
          <w:rFonts w:ascii="楷体" w:eastAsia="楷体" w:hAnsi="楷体" w:hint="eastAsia"/>
          <w:color w:val="auto"/>
        </w:rPr>
        <w:t>。</w:t>
      </w:r>
      <w:r w:rsidR="001D5DD8">
        <w:rPr>
          <w:rFonts w:ascii="楷体" w:eastAsia="楷体" w:hAnsi="楷体" w:hint="eastAsia"/>
          <w:color w:val="auto"/>
        </w:rPr>
        <w:t>从投资风格来看，</w:t>
      </w:r>
      <w:proofErr w:type="gramStart"/>
      <w:r w:rsidR="003F15EB">
        <w:rPr>
          <w:rFonts w:ascii="楷体" w:eastAsia="楷体" w:hAnsi="楷体" w:hint="eastAsia"/>
          <w:color w:val="auto"/>
        </w:rPr>
        <w:t>偏</w:t>
      </w:r>
      <w:r w:rsidR="001D5DD8">
        <w:rPr>
          <w:rFonts w:ascii="楷体" w:eastAsia="楷体" w:hAnsi="楷体" w:hint="eastAsia"/>
          <w:color w:val="auto"/>
        </w:rPr>
        <w:t>成长</w:t>
      </w:r>
      <w:proofErr w:type="gramEnd"/>
      <w:r w:rsidR="001D5DD8">
        <w:rPr>
          <w:rFonts w:ascii="楷体" w:eastAsia="楷体" w:hAnsi="楷体" w:hint="eastAsia"/>
          <w:color w:val="auto"/>
        </w:rPr>
        <w:t>风格基金略胜一筹</w:t>
      </w:r>
      <w:r w:rsidR="003F15EB">
        <w:rPr>
          <w:rFonts w:ascii="楷体" w:eastAsia="楷体" w:hAnsi="楷体" w:hint="eastAsia"/>
          <w:color w:val="auto"/>
        </w:rPr>
        <w:t>，如</w:t>
      </w:r>
      <w:r w:rsidR="003F15EB" w:rsidRPr="003F15EB">
        <w:rPr>
          <w:rFonts w:ascii="楷体" w:eastAsia="楷体" w:hAnsi="楷体" w:hint="eastAsia"/>
          <w:color w:val="auto"/>
        </w:rPr>
        <w:t>泰达宏利逆向策略</w:t>
      </w:r>
      <w:r w:rsidR="003F15EB">
        <w:rPr>
          <w:rFonts w:ascii="楷体" w:eastAsia="楷体" w:hAnsi="楷体" w:hint="eastAsia"/>
          <w:color w:val="auto"/>
        </w:rPr>
        <w:t>、</w:t>
      </w:r>
      <w:r w:rsidR="003F15EB" w:rsidRPr="003F15EB">
        <w:rPr>
          <w:rFonts w:ascii="楷体" w:eastAsia="楷体" w:hAnsi="楷体" w:hint="eastAsia"/>
          <w:color w:val="auto"/>
        </w:rPr>
        <w:t>东吴新产业精选</w:t>
      </w:r>
      <w:r w:rsidR="003F15EB">
        <w:rPr>
          <w:rFonts w:ascii="楷体" w:eastAsia="楷体" w:hAnsi="楷体" w:hint="eastAsia"/>
          <w:color w:val="auto"/>
        </w:rPr>
        <w:t>、</w:t>
      </w:r>
      <w:r w:rsidR="003F15EB" w:rsidRPr="003F15EB">
        <w:rPr>
          <w:rFonts w:ascii="楷体" w:eastAsia="楷体" w:hAnsi="楷体" w:hint="eastAsia"/>
          <w:color w:val="auto"/>
        </w:rPr>
        <w:t>泰达宏利成长</w:t>
      </w:r>
      <w:r w:rsidR="003F15EB">
        <w:rPr>
          <w:rFonts w:ascii="楷体" w:eastAsia="楷体" w:hAnsi="楷体" w:hint="eastAsia"/>
          <w:color w:val="auto"/>
        </w:rPr>
        <w:t>、</w:t>
      </w:r>
      <w:r w:rsidR="003F15EB" w:rsidRPr="003F15EB">
        <w:rPr>
          <w:rFonts w:ascii="楷体" w:eastAsia="楷体" w:hAnsi="楷体" w:hint="eastAsia"/>
          <w:color w:val="auto"/>
        </w:rPr>
        <w:t>长盛成长价值</w:t>
      </w:r>
      <w:r w:rsidR="003F15EB">
        <w:rPr>
          <w:rFonts w:ascii="楷体" w:eastAsia="楷体" w:hAnsi="楷体" w:hint="eastAsia"/>
          <w:color w:val="auto"/>
        </w:rPr>
        <w:t>等</w:t>
      </w:r>
      <w:r w:rsidR="001D5DD8">
        <w:rPr>
          <w:rFonts w:ascii="楷体" w:eastAsia="楷体" w:hAnsi="楷体" w:hint="eastAsia"/>
          <w:color w:val="auto"/>
        </w:rPr>
        <w:t>。</w:t>
      </w:r>
    </w:p>
    <w:p w:rsidR="00517D66" w:rsidRPr="005B7CDB" w:rsidRDefault="007E0CA0" w:rsidP="00703A45">
      <w:pPr>
        <w:pStyle w:val="ab"/>
        <w:numPr>
          <w:ilvl w:val="5"/>
          <w:numId w:val="2"/>
        </w:numPr>
        <w:spacing w:after="163"/>
        <w:ind w:left="4140" w:hanging="369"/>
        <w:rPr>
          <w:rFonts w:ascii="楷体" w:eastAsia="楷体" w:hAnsi="楷体"/>
        </w:rPr>
      </w:pPr>
      <w:r>
        <w:rPr>
          <w:rFonts w:ascii="楷体" w:eastAsia="楷体" w:hAnsi="楷体" w:hint="eastAsia"/>
          <w:color w:val="auto"/>
        </w:rPr>
        <w:t>379</w:t>
      </w:r>
      <w:r w:rsidR="00703A45" w:rsidRPr="005B7CDB">
        <w:rPr>
          <w:rFonts w:ascii="楷体" w:eastAsia="楷体" w:hAnsi="楷体" w:hint="eastAsia"/>
          <w:color w:val="auto"/>
        </w:rPr>
        <w:t>只</w:t>
      </w:r>
      <w:r w:rsidR="00DE55C4" w:rsidRPr="005B7CDB">
        <w:rPr>
          <w:rFonts w:ascii="楷体" w:eastAsia="楷体" w:hAnsi="楷体" w:hint="eastAsia"/>
          <w:color w:val="auto"/>
        </w:rPr>
        <w:t>股票-主动型</w:t>
      </w:r>
      <w:r>
        <w:rPr>
          <w:rFonts w:ascii="楷体" w:eastAsia="楷体" w:hAnsi="楷体" w:hint="eastAsia"/>
          <w:color w:val="auto"/>
        </w:rPr>
        <w:t>基金有367只实现持平或上涨</w:t>
      </w:r>
      <w:r w:rsidR="00DE55C4" w:rsidRPr="005B7CDB">
        <w:rPr>
          <w:rFonts w:ascii="楷体" w:eastAsia="楷体" w:hAnsi="楷体" w:hint="eastAsia"/>
          <w:color w:val="auto"/>
        </w:rPr>
        <w:t>，</w:t>
      </w:r>
      <w:r>
        <w:rPr>
          <w:rFonts w:ascii="楷体" w:eastAsia="楷体" w:hAnsi="楷体" w:hint="eastAsia"/>
          <w:color w:val="auto"/>
        </w:rPr>
        <w:t>其中</w:t>
      </w:r>
      <w:r w:rsidRPr="007E0CA0">
        <w:rPr>
          <w:rFonts w:ascii="楷体" w:eastAsia="楷体" w:hAnsi="楷体" w:hint="eastAsia"/>
          <w:color w:val="auto"/>
        </w:rPr>
        <w:t>泰达宏利逆向</w:t>
      </w:r>
      <w:proofErr w:type="gramStart"/>
      <w:r w:rsidRPr="007E0CA0">
        <w:rPr>
          <w:rFonts w:ascii="楷体" w:eastAsia="楷体" w:hAnsi="楷体" w:hint="eastAsia"/>
          <w:color w:val="auto"/>
        </w:rPr>
        <w:t>策略</w:t>
      </w:r>
      <w:r>
        <w:rPr>
          <w:rFonts w:ascii="楷体" w:eastAsia="楷体" w:hAnsi="楷体" w:hint="eastAsia"/>
          <w:color w:val="auto"/>
        </w:rPr>
        <w:t>周收益</w:t>
      </w:r>
      <w:proofErr w:type="gramEnd"/>
      <w:r>
        <w:rPr>
          <w:rFonts w:ascii="楷体" w:eastAsia="楷体" w:hAnsi="楷体" w:hint="eastAsia"/>
          <w:color w:val="auto"/>
        </w:rPr>
        <w:t>超过6%，</w:t>
      </w:r>
      <w:r w:rsidRPr="007E0CA0">
        <w:rPr>
          <w:rFonts w:ascii="楷体" w:eastAsia="楷体" w:hAnsi="楷体" w:hint="eastAsia"/>
          <w:color w:val="auto"/>
        </w:rPr>
        <w:t>东吴新产业精选</w:t>
      </w:r>
      <w:r>
        <w:rPr>
          <w:rFonts w:ascii="楷体" w:eastAsia="楷体" w:hAnsi="楷体" w:hint="eastAsia"/>
          <w:color w:val="auto"/>
        </w:rPr>
        <w:t>涨幅突破5%，此外</w:t>
      </w:r>
      <w:r w:rsidRPr="007E0CA0">
        <w:rPr>
          <w:rFonts w:ascii="楷体" w:eastAsia="楷体" w:hAnsi="楷体" w:hint="eastAsia"/>
          <w:color w:val="auto"/>
        </w:rPr>
        <w:t>天</w:t>
      </w:r>
      <w:proofErr w:type="gramStart"/>
      <w:r w:rsidRPr="007E0CA0">
        <w:rPr>
          <w:rFonts w:ascii="楷体" w:eastAsia="楷体" w:hAnsi="楷体" w:hint="eastAsia"/>
          <w:color w:val="auto"/>
        </w:rPr>
        <w:t>治创新</w:t>
      </w:r>
      <w:proofErr w:type="gramEnd"/>
      <w:r w:rsidRPr="007E0CA0">
        <w:rPr>
          <w:rFonts w:ascii="楷体" w:eastAsia="楷体" w:hAnsi="楷体" w:hint="eastAsia"/>
          <w:color w:val="auto"/>
        </w:rPr>
        <w:t>先锋</w:t>
      </w:r>
      <w:r>
        <w:rPr>
          <w:rFonts w:ascii="楷体" w:eastAsia="楷体" w:hAnsi="楷体" w:hint="eastAsia"/>
          <w:color w:val="auto"/>
        </w:rPr>
        <w:t>等7只收益在4%~5%之间</w:t>
      </w:r>
      <w:r w:rsidR="002D361E">
        <w:rPr>
          <w:rFonts w:ascii="楷体" w:eastAsia="楷体" w:hAnsi="楷体" w:hint="eastAsia"/>
          <w:color w:val="auto"/>
        </w:rPr>
        <w:t>。</w:t>
      </w:r>
      <w:r w:rsidR="00703A45" w:rsidRPr="005B7CDB">
        <w:rPr>
          <w:rFonts w:ascii="楷体" w:eastAsia="楷体" w:hAnsi="楷体" w:hint="eastAsia"/>
          <w:color w:val="auto"/>
        </w:rPr>
        <w:t>股票-指数型</w:t>
      </w:r>
      <w:r>
        <w:rPr>
          <w:rFonts w:ascii="楷体" w:eastAsia="楷体" w:hAnsi="楷体" w:hint="eastAsia"/>
          <w:color w:val="auto"/>
        </w:rPr>
        <w:t>240只仅有3只医药</w:t>
      </w:r>
      <w:r w:rsidR="00C97CE8">
        <w:rPr>
          <w:rFonts w:ascii="楷体" w:eastAsia="楷体" w:hAnsi="楷体" w:hint="eastAsia"/>
          <w:color w:val="auto"/>
        </w:rPr>
        <w:t>品种</w:t>
      </w:r>
      <w:r>
        <w:rPr>
          <w:rFonts w:ascii="楷体" w:eastAsia="楷体" w:hAnsi="楷体" w:hint="eastAsia"/>
          <w:color w:val="auto"/>
        </w:rPr>
        <w:t>下跌，</w:t>
      </w:r>
      <w:proofErr w:type="gramStart"/>
      <w:r w:rsidR="00C97CE8" w:rsidRPr="00C97CE8">
        <w:rPr>
          <w:rFonts w:ascii="楷体" w:eastAsia="楷体" w:hAnsi="楷体" w:hint="eastAsia"/>
          <w:color w:val="auto"/>
        </w:rPr>
        <w:t>招商深</w:t>
      </w:r>
      <w:proofErr w:type="gramEnd"/>
      <w:r w:rsidR="00C97CE8" w:rsidRPr="00C97CE8">
        <w:rPr>
          <w:rFonts w:ascii="楷体" w:eastAsia="楷体" w:hAnsi="楷体" w:hint="eastAsia"/>
          <w:color w:val="auto"/>
        </w:rPr>
        <w:t>证TMT50ETF</w:t>
      </w:r>
      <w:r w:rsidR="00C97CE8">
        <w:rPr>
          <w:rFonts w:ascii="楷体" w:eastAsia="楷体" w:hAnsi="楷体" w:hint="eastAsia"/>
          <w:color w:val="auto"/>
        </w:rPr>
        <w:t>及</w:t>
      </w:r>
      <w:r w:rsidR="0046596D" w:rsidRPr="0046596D">
        <w:rPr>
          <w:rFonts w:ascii="楷体" w:eastAsia="楷体" w:hAnsi="楷体" w:hint="eastAsia"/>
          <w:color w:val="auto"/>
        </w:rPr>
        <w:t>联接</w:t>
      </w:r>
      <w:r w:rsidR="00C97CE8">
        <w:rPr>
          <w:rFonts w:ascii="楷体" w:eastAsia="楷体" w:hAnsi="楷体" w:hint="eastAsia"/>
          <w:color w:val="auto"/>
        </w:rPr>
        <w:t>基金，以及前几周较为抗跌的</w:t>
      </w:r>
      <w:proofErr w:type="gramStart"/>
      <w:r w:rsidR="00150FC3" w:rsidRPr="00150FC3">
        <w:rPr>
          <w:rFonts w:ascii="楷体" w:eastAsia="楷体" w:hAnsi="楷体" w:hint="eastAsia"/>
          <w:color w:val="auto"/>
        </w:rPr>
        <w:t>大成深证成长</w:t>
      </w:r>
      <w:proofErr w:type="gramEnd"/>
      <w:r w:rsidR="00150FC3" w:rsidRPr="00150FC3">
        <w:rPr>
          <w:rFonts w:ascii="楷体" w:eastAsia="楷体" w:hAnsi="楷体" w:hint="eastAsia"/>
          <w:color w:val="auto"/>
        </w:rPr>
        <w:t>40ETF</w:t>
      </w:r>
      <w:r w:rsidR="00C97CE8">
        <w:rPr>
          <w:rFonts w:ascii="楷体" w:eastAsia="楷体" w:hAnsi="楷体" w:hint="eastAsia"/>
          <w:color w:val="auto"/>
        </w:rPr>
        <w:t>及</w:t>
      </w:r>
      <w:r w:rsidR="0046596D" w:rsidRPr="0046596D">
        <w:rPr>
          <w:rFonts w:ascii="楷体" w:eastAsia="楷体" w:hAnsi="楷体" w:hint="eastAsia"/>
          <w:color w:val="auto"/>
        </w:rPr>
        <w:t>联接</w:t>
      </w:r>
      <w:r w:rsidR="00C97CE8">
        <w:rPr>
          <w:rFonts w:ascii="楷体" w:eastAsia="楷体" w:hAnsi="楷体" w:hint="eastAsia"/>
          <w:color w:val="auto"/>
        </w:rPr>
        <w:t>基金业绩领先</w:t>
      </w:r>
      <w:r w:rsidR="00150FC3">
        <w:rPr>
          <w:rFonts w:ascii="楷体" w:eastAsia="楷体" w:hAnsi="楷体" w:hint="eastAsia"/>
          <w:color w:val="auto"/>
        </w:rPr>
        <w:t>。</w:t>
      </w:r>
    </w:p>
    <w:p w:rsidR="00703A45" w:rsidRPr="005B7CDB" w:rsidRDefault="00703A45" w:rsidP="00703A45">
      <w:pPr>
        <w:pStyle w:val="ab"/>
        <w:numPr>
          <w:ilvl w:val="5"/>
          <w:numId w:val="2"/>
        </w:numPr>
        <w:spacing w:after="163"/>
        <w:ind w:left="4140" w:hanging="369"/>
        <w:rPr>
          <w:rFonts w:ascii="楷体" w:eastAsia="楷体" w:hAnsi="楷体"/>
        </w:rPr>
      </w:pPr>
      <w:r w:rsidRPr="005B7CDB">
        <w:rPr>
          <w:rFonts w:ascii="楷体" w:eastAsia="楷体" w:hAnsi="楷体" w:hint="eastAsia"/>
          <w:color w:val="auto"/>
        </w:rPr>
        <w:t>混合型基金</w:t>
      </w:r>
      <w:r w:rsidR="00763E9C" w:rsidRPr="005B7CDB">
        <w:rPr>
          <w:rFonts w:ascii="楷体" w:eastAsia="楷体" w:hAnsi="楷体" w:hint="eastAsia"/>
          <w:color w:val="auto"/>
        </w:rPr>
        <w:t>中</w:t>
      </w:r>
      <w:r w:rsidRPr="005B7CDB">
        <w:rPr>
          <w:rFonts w:ascii="楷体" w:eastAsia="楷体" w:hAnsi="楷体" w:hint="eastAsia"/>
          <w:color w:val="auto"/>
        </w:rPr>
        <w:t>混合-</w:t>
      </w:r>
      <w:proofErr w:type="gramStart"/>
      <w:r w:rsidR="007E03D3">
        <w:rPr>
          <w:rFonts w:ascii="楷体" w:eastAsia="楷体" w:hAnsi="楷体" w:hint="eastAsia"/>
          <w:color w:val="auto"/>
        </w:rPr>
        <w:t>偏股</w:t>
      </w:r>
      <w:r w:rsidR="00763E9C" w:rsidRPr="005B7CDB">
        <w:rPr>
          <w:rFonts w:ascii="楷体" w:eastAsia="楷体" w:hAnsi="楷体" w:hint="eastAsia"/>
          <w:color w:val="auto"/>
        </w:rPr>
        <w:t>型</w:t>
      </w:r>
      <w:proofErr w:type="gramEnd"/>
      <w:r w:rsidR="001B3B9B">
        <w:rPr>
          <w:rFonts w:ascii="楷体" w:eastAsia="楷体" w:hAnsi="楷体" w:hint="eastAsia"/>
          <w:color w:val="auto"/>
        </w:rPr>
        <w:t>类别</w:t>
      </w:r>
      <w:r w:rsidR="0046596D">
        <w:rPr>
          <w:rFonts w:ascii="楷体" w:eastAsia="楷体" w:hAnsi="楷体" w:hint="eastAsia"/>
          <w:color w:val="auto"/>
        </w:rPr>
        <w:t>因权益类</w:t>
      </w:r>
      <w:proofErr w:type="gramStart"/>
      <w:r w:rsidR="0046596D">
        <w:rPr>
          <w:rFonts w:ascii="楷体" w:eastAsia="楷体" w:hAnsi="楷体" w:hint="eastAsia"/>
          <w:color w:val="auto"/>
        </w:rPr>
        <w:t>仓位</w:t>
      </w:r>
      <w:proofErr w:type="gramEnd"/>
      <w:r w:rsidR="0046596D">
        <w:rPr>
          <w:rFonts w:ascii="楷体" w:eastAsia="楷体" w:hAnsi="楷体" w:hint="eastAsia"/>
          <w:color w:val="auto"/>
        </w:rPr>
        <w:t>较</w:t>
      </w:r>
      <w:r w:rsidR="00542F05">
        <w:rPr>
          <w:rFonts w:ascii="楷体" w:eastAsia="楷体" w:hAnsi="楷体" w:hint="eastAsia"/>
          <w:color w:val="auto"/>
        </w:rPr>
        <w:t>高而涨幅领先，</w:t>
      </w:r>
      <w:r w:rsidR="007E5507">
        <w:rPr>
          <w:rFonts w:ascii="楷体" w:eastAsia="楷体" w:hAnsi="楷体" w:hint="eastAsia"/>
          <w:color w:val="auto"/>
        </w:rPr>
        <w:t>其中</w:t>
      </w:r>
      <w:r w:rsidR="00542F05" w:rsidRPr="00542F05">
        <w:rPr>
          <w:rFonts w:ascii="楷体" w:eastAsia="楷体" w:hAnsi="楷体" w:hint="eastAsia"/>
          <w:color w:val="auto"/>
        </w:rPr>
        <w:t>汇</w:t>
      </w:r>
      <w:proofErr w:type="gramStart"/>
      <w:r w:rsidR="00542F05" w:rsidRPr="00542F05">
        <w:rPr>
          <w:rFonts w:ascii="楷体" w:eastAsia="楷体" w:hAnsi="楷体" w:hint="eastAsia"/>
          <w:color w:val="auto"/>
        </w:rPr>
        <w:t>丰晋信</w:t>
      </w:r>
      <w:proofErr w:type="gramEnd"/>
      <w:r w:rsidR="00542F05" w:rsidRPr="00542F05">
        <w:rPr>
          <w:rFonts w:ascii="楷体" w:eastAsia="楷体" w:hAnsi="楷体" w:hint="eastAsia"/>
          <w:color w:val="auto"/>
        </w:rPr>
        <w:t>2026</w:t>
      </w:r>
      <w:r w:rsidR="00542F05">
        <w:rPr>
          <w:rFonts w:ascii="楷体" w:eastAsia="楷体" w:hAnsi="楷体" w:hint="eastAsia"/>
          <w:color w:val="auto"/>
        </w:rPr>
        <w:t>继前几周逆市上涨后，此番普涨中再度领跑，以5.25%</w:t>
      </w:r>
      <w:r w:rsidR="00C90F36">
        <w:rPr>
          <w:rFonts w:ascii="楷体" w:eastAsia="楷体" w:hAnsi="楷体" w:hint="eastAsia"/>
          <w:color w:val="auto"/>
        </w:rPr>
        <w:t>的</w:t>
      </w:r>
      <w:proofErr w:type="gramStart"/>
      <w:r w:rsidR="00C90F36">
        <w:rPr>
          <w:rFonts w:ascii="楷体" w:eastAsia="楷体" w:hAnsi="楷体" w:hint="eastAsia"/>
          <w:color w:val="auto"/>
        </w:rPr>
        <w:t>周收益</w:t>
      </w:r>
      <w:proofErr w:type="gramEnd"/>
      <w:r w:rsidR="00C90F36">
        <w:rPr>
          <w:rFonts w:ascii="楷体" w:eastAsia="楷体" w:hAnsi="楷体" w:hint="eastAsia"/>
          <w:color w:val="auto"/>
        </w:rPr>
        <w:t>在全体</w:t>
      </w:r>
      <w:r w:rsidR="00905090">
        <w:rPr>
          <w:rFonts w:ascii="楷体" w:eastAsia="楷体" w:hAnsi="楷体" w:hint="eastAsia"/>
          <w:color w:val="auto"/>
        </w:rPr>
        <w:t>基金中跻身</w:t>
      </w:r>
      <w:proofErr w:type="gramStart"/>
      <w:r w:rsidR="00905090">
        <w:rPr>
          <w:rFonts w:ascii="楷体" w:eastAsia="楷体" w:hAnsi="楷体" w:hint="eastAsia"/>
          <w:color w:val="auto"/>
        </w:rPr>
        <w:t>最</w:t>
      </w:r>
      <w:proofErr w:type="gramEnd"/>
      <w:r w:rsidR="00905090">
        <w:rPr>
          <w:rFonts w:ascii="楷体" w:eastAsia="楷体" w:hAnsi="楷体" w:hint="eastAsia"/>
          <w:color w:val="auto"/>
        </w:rPr>
        <w:t>前列</w:t>
      </w:r>
      <w:r w:rsidR="00542F05">
        <w:rPr>
          <w:rFonts w:ascii="楷体" w:eastAsia="楷体" w:hAnsi="楷体" w:hint="eastAsia"/>
          <w:color w:val="auto"/>
        </w:rPr>
        <w:t>。</w:t>
      </w:r>
      <w:proofErr w:type="gramStart"/>
      <w:r w:rsidR="00542F05">
        <w:rPr>
          <w:rFonts w:ascii="楷体" w:eastAsia="楷体" w:hAnsi="楷体" w:hint="eastAsia"/>
          <w:color w:val="auto"/>
        </w:rPr>
        <w:t>偏股型</w:t>
      </w:r>
      <w:proofErr w:type="gramEnd"/>
      <w:r w:rsidR="00542F05">
        <w:rPr>
          <w:rFonts w:ascii="楷体" w:eastAsia="楷体" w:hAnsi="楷体" w:hint="eastAsia"/>
          <w:color w:val="auto"/>
        </w:rPr>
        <w:t>的</w:t>
      </w:r>
      <w:r w:rsidR="00542F05" w:rsidRPr="00542F05">
        <w:rPr>
          <w:rFonts w:ascii="楷体" w:eastAsia="楷体" w:hAnsi="楷体" w:hint="eastAsia"/>
          <w:color w:val="auto"/>
        </w:rPr>
        <w:t>泰达宏利效率优选和</w:t>
      </w:r>
      <w:r w:rsidR="00542F05">
        <w:rPr>
          <w:rFonts w:ascii="楷体" w:eastAsia="楷体" w:hAnsi="楷体" w:hint="eastAsia"/>
          <w:color w:val="auto"/>
        </w:rPr>
        <w:t>灵活型</w:t>
      </w:r>
      <w:r w:rsidR="00190A08">
        <w:rPr>
          <w:rFonts w:ascii="楷体" w:eastAsia="楷体" w:hAnsi="楷体" w:hint="eastAsia"/>
          <w:color w:val="auto"/>
        </w:rPr>
        <w:t>的</w:t>
      </w:r>
      <w:r w:rsidR="00542F05" w:rsidRPr="00542F05">
        <w:rPr>
          <w:rFonts w:ascii="楷体" w:eastAsia="楷体" w:hAnsi="楷体" w:hint="eastAsia"/>
          <w:color w:val="auto"/>
        </w:rPr>
        <w:t>泰达宏利品质生活、天治品质优选</w:t>
      </w:r>
      <w:r w:rsidR="00190A08">
        <w:rPr>
          <w:rFonts w:ascii="楷体" w:eastAsia="楷体" w:hAnsi="楷体" w:hint="eastAsia"/>
          <w:color w:val="auto"/>
        </w:rPr>
        <w:t>收益</w:t>
      </w:r>
      <w:r w:rsidR="00542F05">
        <w:rPr>
          <w:rFonts w:ascii="楷体" w:eastAsia="楷体" w:hAnsi="楷体" w:hint="eastAsia"/>
          <w:color w:val="auto"/>
        </w:rPr>
        <w:t>超过4%。</w:t>
      </w:r>
    </w:p>
    <w:p w:rsidR="00072445" w:rsidRPr="005B7CDB" w:rsidRDefault="00542F05" w:rsidP="003F158A">
      <w:pPr>
        <w:pStyle w:val="ab"/>
        <w:numPr>
          <w:ilvl w:val="4"/>
          <w:numId w:val="1"/>
        </w:numPr>
        <w:spacing w:after="163"/>
        <w:rPr>
          <w:rFonts w:ascii="楷体" w:eastAsia="楷体" w:hAnsi="楷体"/>
        </w:rPr>
      </w:pPr>
      <w:r>
        <w:rPr>
          <w:rFonts w:ascii="楷体" w:eastAsia="楷体" w:hAnsi="楷体" w:hint="eastAsia"/>
          <w:color w:val="auto"/>
        </w:rPr>
        <w:t>随着海外主要股指普涨</w:t>
      </w:r>
      <w:r w:rsidR="00B834DB">
        <w:rPr>
          <w:rFonts w:ascii="楷体" w:eastAsia="楷体" w:hAnsi="楷体" w:hint="eastAsia"/>
          <w:color w:val="auto"/>
        </w:rPr>
        <w:t>，</w:t>
      </w:r>
      <w:r w:rsidR="000941BB" w:rsidRPr="005B7CDB">
        <w:rPr>
          <w:rFonts w:ascii="楷体" w:eastAsia="楷体" w:hAnsi="楷体" w:hint="eastAsia"/>
          <w:color w:val="auto"/>
        </w:rPr>
        <w:t>79只</w:t>
      </w:r>
      <w:r w:rsidR="00692594" w:rsidRPr="005B7CDB">
        <w:rPr>
          <w:rFonts w:ascii="楷体" w:eastAsia="楷体" w:hAnsi="楷体" w:hint="eastAsia"/>
          <w:color w:val="auto"/>
        </w:rPr>
        <w:t>QDII</w:t>
      </w:r>
      <w:r w:rsidR="000941BB" w:rsidRPr="005B7CDB">
        <w:rPr>
          <w:rFonts w:ascii="楷体" w:eastAsia="楷体" w:hAnsi="楷体" w:hint="eastAsia"/>
          <w:color w:val="auto"/>
        </w:rPr>
        <w:t>基金</w:t>
      </w:r>
      <w:r>
        <w:rPr>
          <w:rFonts w:ascii="楷体" w:eastAsia="楷体" w:hAnsi="楷体" w:hint="eastAsia"/>
          <w:color w:val="auto"/>
        </w:rPr>
        <w:t>止跌回升，</w:t>
      </w:r>
      <w:proofErr w:type="gramStart"/>
      <w:r w:rsidR="000941BB" w:rsidRPr="005B7CDB">
        <w:rPr>
          <w:rFonts w:ascii="楷体" w:eastAsia="楷体" w:hAnsi="楷体" w:hint="eastAsia"/>
          <w:color w:val="auto"/>
        </w:rPr>
        <w:t>周收益</w:t>
      </w:r>
      <w:proofErr w:type="gramEnd"/>
      <w:r w:rsidR="000941BB" w:rsidRPr="005B7CDB">
        <w:rPr>
          <w:rFonts w:ascii="楷体" w:eastAsia="楷体" w:hAnsi="楷体" w:hint="eastAsia"/>
          <w:color w:val="auto"/>
        </w:rPr>
        <w:t>平均</w:t>
      </w:r>
      <w:r>
        <w:rPr>
          <w:rFonts w:ascii="楷体" w:eastAsia="楷体" w:hAnsi="楷体" w:hint="eastAsia"/>
          <w:color w:val="auto"/>
        </w:rPr>
        <w:t>达到2.29</w:t>
      </w:r>
      <w:r w:rsidR="000941BB" w:rsidRPr="005B7CDB">
        <w:rPr>
          <w:rFonts w:ascii="楷体" w:eastAsia="楷体" w:hAnsi="楷体" w:hint="eastAsia"/>
          <w:color w:val="auto"/>
        </w:rPr>
        <w:t>%，</w:t>
      </w:r>
      <w:r w:rsidR="00505FA0" w:rsidRPr="005B7CDB">
        <w:rPr>
          <w:rFonts w:ascii="楷体" w:eastAsia="楷体" w:hAnsi="楷体" w:hint="eastAsia"/>
          <w:color w:val="auto"/>
        </w:rPr>
        <w:t>其中权益类</w:t>
      </w:r>
      <w:r w:rsidR="00C90F36">
        <w:rPr>
          <w:rFonts w:ascii="楷体" w:eastAsia="楷体" w:hAnsi="楷体" w:hint="eastAsia"/>
          <w:color w:val="auto"/>
        </w:rPr>
        <w:t>65只</w:t>
      </w:r>
      <w:r w:rsidR="00505FA0" w:rsidRPr="005B7CDB">
        <w:rPr>
          <w:rFonts w:ascii="楷体" w:eastAsia="楷体" w:hAnsi="楷体" w:hint="eastAsia"/>
          <w:color w:val="auto"/>
        </w:rPr>
        <w:t>QDII</w:t>
      </w:r>
      <w:r w:rsidR="00876BB7" w:rsidRPr="005B7CDB">
        <w:rPr>
          <w:rFonts w:ascii="楷体" w:eastAsia="楷体" w:hAnsi="楷体" w:hint="eastAsia"/>
          <w:color w:val="auto"/>
        </w:rPr>
        <w:t>平均</w:t>
      </w:r>
      <w:r w:rsidR="00C90F36">
        <w:rPr>
          <w:rFonts w:ascii="楷体" w:eastAsia="楷体" w:hAnsi="楷体" w:hint="eastAsia"/>
          <w:color w:val="auto"/>
        </w:rPr>
        <w:t>2.76</w:t>
      </w:r>
      <w:r w:rsidR="00876BB7" w:rsidRPr="005B7CDB">
        <w:rPr>
          <w:rFonts w:ascii="楷体" w:eastAsia="楷体" w:hAnsi="楷体" w:hint="eastAsia"/>
          <w:color w:val="auto"/>
        </w:rPr>
        <w:t>%。</w:t>
      </w:r>
      <w:r w:rsidR="00C90F36">
        <w:rPr>
          <w:rFonts w:ascii="楷体" w:eastAsia="楷体" w:hAnsi="楷体" w:hint="eastAsia"/>
          <w:color w:val="auto"/>
        </w:rPr>
        <w:t>领涨者多为投资于亚太新兴市场的品种，其中</w:t>
      </w:r>
      <w:r w:rsidR="00C90F36" w:rsidRPr="00C90F36">
        <w:rPr>
          <w:rFonts w:ascii="楷体" w:eastAsia="楷体" w:hAnsi="楷体" w:hint="eastAsia"/>
          <w:color w:val="auto"/>
        </w:rPr>
        <w:t>博时大中华亚太精选</w:t>
      </w:r>
      <w:r w:rsidR="00C90F36">
        <w:rPr>
          <w:rFonts w:ascii="楷体" w:eastAsia="楷体" w:hAnsi="楷体" w:hint="eastAsia"/>
          <w:color w:val="auto"/>
        </w:rPr>
        <w:t>周涨幅达6.07%，</w:t>
      </w:r>
      <w:r w:rsidR="00C90F36" w:rsidRPr="00FB6619">
        <w:rPr>
          <w:rFonts w:ascii="楷体" w:eastAsia="楷体" w:hAnsi="楷体" w:hint="eastAsia"/>
          <w:color w:val="auto"/>
        </w:rPr>
        <w:t>华宝兴业中国成长</w:t>
      </w:r>
      <w:r w:rsidR="00E00DD3">
        <w:rPr>
          <w:rFonts w:ascii="楷体" w:eastAsia="楷体" w:hAnsi="楷体" w:hint="eastAsia"/>
          <w:color w:val="auto"/>
        </w:rPr>
        <w:t>、</w:t>
      </w:r>
      <w:r w:rsidR="00E00DD3" w:rsidRPr="00E00DD3">
        <w:rPr>
          <w:rFonts w:ascii="楷体" w:eastAsia="楷体" w:hAnsi="楷体" w:hint="eastAsia"/>
          <w:color w:val="auto"/>
        </w:rPr>
        <w:t>海富通大中华精选</w:t>
      </w:r>
      <w:r w:rsidR="00E00DD3">
        <w:rPr>
          <w:rFonts w:ascii="楷体" w:eastAsia="楷体" w:hAnsi="楷体" w:hint="eastAsia"/>
          <w:color w:val="auto"/>
        </w:rPr>
        <w:t>、</w:t>
      </w:r>
      <w:r w:rsidR="00E00DD3" w:rsidRPr="00E00DD3">
        <w:rPr>
          <w:rFonts w:ascii="楷体" w:eastAsia="楷体" w:hAnsi="楷体" w:hint="eastAsia"/>
          <w:color w:val="auto"/>
        </w:rPr>
        <w:t>华安大中华升级</w:t>
      </w:r>
      <w:r w:rsidR="00E00DD3">
        <w:rPr>
          <w:rFonts w:ascii="楷体" w:eastAsia="楷体" w:hAnsi="楷体" w:hint="eastAsia"/>
          <w:color w:val="auto"/>
        </w:rPr>
        <w:t>涨幅超过5%</w:t>
      </w:r>
      <w:r w:rsidR="00C90F36" w:rsidRPr="00FB6619">
        <w:rPr>
          <w:rFonts w:ascii="楷体" w:eastAsia="楷体" w:hAnsi="楷体" w:hint="eastAsia"/>
          <w:color w:val="auto"/>
        </w:rPr>
        <w:t>。</w:t>
      </w:r>
      <w:r w:rsidR="00C90F36">
        <w:rPr>
          <w:rFonts w:ascii="楷体" w:eastAsia="楷体" w:hAnsi="楷体" w:hint="eastAsia"/>
          <w:color w:val="auto"/>
        </w:rPr>
        <w:t>而能源商品的下跌造成</w:t>
      </w:r>
      <w:r w:rsidR="00E00DD3">
        <w:rPr>
          <w:rFonts w:ascii="楷体" w:eastAsia="楷体" w:hAnsi="楷体" w:hint="eastAsia"/>
          <w:color w:val="auto"/>
        </w:rPr>
        <w:t>8只</w:t>
      </w:r>
      <w:r w:rsidR="00C90F36">
        <w:rPr>
          <w:rFonts w:ascii="楷体" w:eastAsia="楷体" w:hAnsi="楷体" w:hint="eastAsia"/>
          <w:color w:val="auto"/>
        </w:rPr>
        <w:t>商品类基金</w:t>
      </w:r>
      <w:r w:rsidR="00E00DD3">
        <w:rPr>
          <w:rFonts w:ascii="楷体" w:eastAsia="楷体" w:hAnsi="楷体" w:hint="eastAsia"/>
          <w:color w:val="auto"/>
        </w:rPr>
        <w:t>有7只</w:t>
      </w:r>
      <w:r w:rsidR="00C90F36">
        <w:rPr>
          <w:rFonts w:ascii="楷体" w:eastAsia="楷体" w:hAnsi="楷体" w:hint="eastAsia"/>
          <w:color w:val="auto"/>
        </w:rPr>
        <w:t>小幅下跌，跌幅不足1%</w:t>
      </w:r>
      <w:r w:rsidR="005D0786" w:rsidRPr="005B7CDB">
        <w:rPr>
          <w:rFonts w:ascii="楷体" w:eastAsia="楷体" w:hAnsi="楷体" w:hint="eastAsia"/>
          <w:color w:val="auto"/>
        </w:rPr>
        <w:t>。</w:t>
      </w:r>
    </w:p>
    <w:p w:rsidR="006A5488" w:rsidRPr="005B7CDB" w:rsidRDefault="00980F3B" w:rsidP="00CB1BC1">
      <w:pPr>
        <w:widowControl/>
        <w:spacing w:after="120"/>
        <w:ind w:left="3430"/>
        <w:rPr>
          <w:rFonts w:ascii="楷体" w:eastAsia="楷体" w:hAnsi="楷体" w:cs="Times New Roman"/>
        </w:rPr>
      </w:pPr>
      <w:r w:rsidRPr="005B7CDB">
        <w:rPr>
          <w:rFonts w:ascii="楷体" w:eastAsia="楷体" w:hAnsi="楷体" w:hint="eastAsia"/>
          <w:b/>
          <w:bCs/>
          <w:color w:val="0070C0"/>
          <w:kern w:val="0"/>
          <w:szCs w:val="21"/>
          <w:lang w:val="en-GB"/>
        </w:rPr>
        <w:t>固定收益类</w:t>
      </w:r>
      <w:r w:rsidR="00503057" w:rsidRPr="005B7CDB">
        <w:rPr>
          <w:rFonts w:ascii="楷体" w:eastAsia="楷体" w:hAnsi="楷体" w:hint="eastAsia"/>
          <w:b/>
          <w:bCs/>
          <w:color w:val="0070C0"/>
          <w:kern w:val="0"/>
          <w:szCs w:val="21"/>
          <w:lang w:val="en-GB"/>
        </w:rPr>
        <w:t>基金一周业绩：</w:t>
      </w:r>
      <w:r w:rsidR="001073F0">
        <w:rPr>
          <w:rFonts w:ascii="楷体" w:eastAsia="楷体" w:hAnsi="楷体" w:hint="eastAsia"/>
          <w:b/>
          <w:bCs/>
          <w:color w:val="0070C0"/>
          <w:kern w:val="0"/>
          <w:szCs w:val="21"/>
          <w:lang w:val="en-GB"/>
        </w:rPr>
        <w:t>资金总量或收紧，债市回暖有压力</w:t>
      </w:r>
    </w:p>
    <w:p w:rsidR="00532D30" w:rsidRDefault="00007D8C" w:rsidP="00026FF9">
      <w:pPr>
        <w:pStyle w:val="ab"/>
        <w:numPr>
          <w:ilvl w:val="4"/>
          <w:numId w:val="1"/>
        </w:numPr>
        <w:spacing w:after="163"/>
        <w:rPr>
          <w:rFonts w:ascii="楷体" w:eastAsia="楷体" w:hAnsi="楷体"/>
          <w:color w:val="auto"/>
        </w:rPr>
      </w:pPr>
      <w:r w:rsidRPr="00007D8C">
        <w:rPr>
          <w:rFonts w:ascii="楷体" w:eastAsia="楷体" w:hAnsi="楷体" w:hint="eastAsia"/>
        </w:rPr>
        <w:t>上周债市出现一定幅度的下跌,</w:t>
      </w:r>
      <w:proofErr w:type="gramStart"/>
      <w:r w:rsidRPr="00007D8C">
        <w:rPr>
          <w:rFonts w:ascii="楷体" w:eastAsia="楷体" w:hAnsi="楷体" w:hint="eastAsia"/>
        </w:rPr>
        <w:t>中债总净价</w:t>
      </w:r>
      <w:proofErr w:type="gramEnd"/>
      <w:r w:rsidRPr="00007D8C">
        <w:rPr>
          <w:rFonts w:ascii="楷体" w:eastAsia="楷体" w:hAnsi="楷体" w:hint="eastAsia"/>
        </w:rPr>
        <w:t>指数下跌0.17%,中债国债指数下跌0.06%,中</w:t>
      </w:r>
      <w:proofErr w:type="gramStart"/>
      <w:r w:rsidRPr="00007D8C">
        <w:rPr>
          <w:rFonts w:ascii="楷体" w:eastAsia="楷体" w:hAnsi="楷体" w:hint="eastAsia"/>
        </w:rPr>
        <w:t>债企业债指数</w:t>
      </w:r>
      <w:proofErr w:type="gramEnd"/>
      <w:r w:rsidRPr="00007D8C">
        <w:rPr>
          <w:rFonts w:ascii="楷体" w:eastAsia="楷体" w:hAnsi="楷体" w:hint="eastAsia"/>
        </w:rPr>
        <w:t>下跌0.06%,中标可转</w:t>
      </w:r>
      <w:proofErr w:type="gramStart"/>
      <w:r w:rsidRPr="00007D8C">
        <w:rPr>
          <w:rFonts w:ascii="楷体" w:eastAsia="楷体" w:hAnsi="楷体" w:hint="eastAsia"/>
        </w:rPr>
        <w:t>债指数</w:t>
      </w:r>
      <w:proofErr w:type="gramEnd"/>
      <w:r w:rsidRPr="00007D8C">
        <w:rPr>
          <w:rFonts w:ascii="楷体" w:eastAsia="楷体" w:hAnsi="楷体" w:hint="eastAsia"/>
        </w:rPr>
        <w:t>跟随股市上涨0.75%。</w:t>
      </w:r>
      <w:r w:rsidR="00E5085C">
        <w:rPr>
          <w:rFonts w:ascii="楷体" w:eastAsia="楷体" w:hAnsi="楷体" w:hint="eastAsia"/>
        </w:rPr>
        <w:t>上周四</w:t>
      </w:r>
      <w:r w:rsidR="00E5085C" w:rsidRPr="00775363">
        <w:rPr>
          <w:rFonts w:ascii="楷体" w:eastAsia="楷体" w:hAnsi="楷体" w:hint="eastAsia"/>
        </w:rPr>
        <w:t>央行</w:t>
      </w:r>
      <w:r w:rsidR="00E5085C">
        <w:rPr>
          <w:rFonts w:ascii="楷体" w:eastAsia="楷体" w:hAnsi="楷体" w:hint="eastAsia"/>
        </w:rPr>
        <w:t>开展</w:t>
      </w:r>
      <w:r w:rsidR="00E5085C" w:rsidRPr="00775363">
        <w:rPr>
          <w:rFonts w:ascii="楷体" w:eastAsia="楷体" w:hAnsi="楷体" w:hint="eastAsia"/>
        </w:rPr>
        <w:t>900亿元正</w:t>
      </w:r>
      <w:hyperlink r:id="rId12" w:tgtFrame="_blank" w:history="1">
        <w:r w:rsidR="00E5085C" w:rsidRPr="00775363">
          <w:rPr>
            <w:rFonts w:ascii="楷体" w:eastAsia="楷体" w:hAnsi="楷体" w:hint="eastAsia"/>
          </w:rPr>
          <w:t>回购</w:t>
        </w:r>
      </w:hyperlink>
      <w:r w:rsidR="00E5085C" w:rsidRPr="00775363">
        <w:rPr>
          <w:rFonts w:ascii="楷体" w:eastAsia="楷体" w:hAnsi="楷体" w:hint="eastAsia"/>
        </w:rPr>
        <w:t>操作，其中包括500亿元14天品种和400亿元28</w:t>
      </w:r>
      <w:r w:rsidR="00E5085C">
        <w:rPr>
          <w:rFonts w:ascii="楷体" w:eastAsia="楷体" w:hAnsi="楷体" w:hint="eastAsia"/>
        </w:rPr>
        <w:t>天品种。至此，上</w:t>
      </w:r>
      <w:r w:rsidR="00E5085C" w:rsidRPr="00775363">
        <w:rPr>
          <w:rFonts w:ascii="楷体" w:eastAsia="楷体" w:hAnsi="楷体" w:hint="eastAsia"/>
        </w:rPr>
        <w:t>周公开市场实现净回笼620亿元，为连续第八周净回笼操作。</w:t>
      </w:r>
      <w:r w:rsidR="00532D30">
        <w:rPr>
          <w:rFonts w:ascii="楷体" w:eastAsia="楷体" w:hAnsi="楷体" w:hint="eastAsia"/>
          <w:kern w:val="2"/>
          <w:szCs w:val="21"/>
          <w:lang w:val="en-US"/>
        </w:rPr>
        <w:t>4</w:t>
      </w:r>
      <w:r w:rsidR="00E5085C">
        <w:rPr>
          <w:rFonts w:ascii="楷体" w:eastAsia="楷体" w:hAnsi="楷体" w:hint="eastAsia"/>
          <w:kern w:val="2"/>
          <w:szCs w:val="21"/>
          <w:lang w:val="en-US"/>
        </w:rPr>
        <w:t>月份</w:t>
      </w:r>
      <w:r w:rsidR="00532D30">
        <w:rPr>
          <w:rFonts w:ascii="楷体" w:eastAsia="楷体" w:hAnsi="楷体" w:hint="eastAsia"/>
          <w:kern w:val="2"/>
          <w:szCs w:val="21"/>
          <w:lang w:val="en-US"/>
        </w:rPr>
        <w:t>资金面总量或将面临趋势收紧，给债市回暖走势带来压力。</w:t>
      </w:r>
      <w:r w:rsidR="00532D30" w:rsidRPr="00F853B2">
        <w:rPr>
          <w:rFonts w:ascii="楷体" w:eastAsia="楷体" w:hAnsi="楷体" w:hint="eastAsia"/>
          <w:kern w:val="2"/>
          <w:szCs w:val="21"/>
          <w:lang w:val="en-US"/>
        </w:rPr>
        <w:t>建议</w:t>
      </w:r>
      <w:r w:rsidR="00532D30">
        <w:rPr>
          <w:rFonts w:ascii="楷体" w:eastAsia="楷体" w:hAnsi="楷体" w:hint="eastAsia"/>
          <w:kern w:val="2"/>
          <w:szCs w:val="21"/>
          <w:lang w:val="en-US"/>
        </w:rPr>
        <w:t>投资者继续</w:t>
      </w:r>
      <w:r w:rsidR="00532D30" w:rsidRPr="00F853B2">
        <w:rPr>
          <w:rFonts w:ascii="楷体" w:eastAsia="楷体" w:hAnsi="楷体"/>
          <w:kern w:val="2"/>
          <w:szCs w:val="21"/>
          <w:lang w:val="en-US"/>
        </w:rPr>
        <w:t>维持稳健配置思路，</w:t>
      </w:r>
      <w:r w:rsidR="00532D30" w:rsidRPr="00F853B2">
        <w:rPr>
          <w:rFonts w:ascii="楷体" w:eastAsia="楷体" w:hAnsi="楷体" w:hint="eastAsia"/>
          <w:kern w:val="2"/>
          <w:szCs w:val="21"/>
          <w:lang w:val="en-US"/>
        </w:rPr>
        <w:t>重点投资收益稳定的高信用等级品种。</w:t>
      </w:r>
      <w:r w:rsidR="00532D30">
        <w:rPr>
          <w:rFonts w:ascii="楷体" w:eastAsia="楷体" w:hAnsi="楷体" w:hint="eastAsia"/>
          <w:kern w:val="2"/>
          <w:szCs w:val="21"/>
          <w:lang w:val="en-US"/>
        </w:rPr>
        <w:t>另外，</w:t>
      </w:r>
      <w:r w:rsidR="00532D30" w:rsidRPr="0030489E">
        <w:rPr>
          <w:rFonts w:ascii="楷体" w:eastAsia="楷体" w:hAnsi="楷体"/>
          <w:kern w:val="2"/>
          <w:szCs w:val="21"/>
          <w:lang w:val="en-US"/>
        </w:rPr>
        <w:t>投资灵活性高、基金经理管理能力强的优质产品</w:t>
      </w:r>
      <w:r w:rsidR="00532D30">
        <w:rPr>
          <w:rFonts w:ascii="楷体" w:eastAsia="楷体" w:hAnsi="楷体" w:hint="eastAsia"/>
          <w:kern w:val="2"/>
          <w:szCs w:val="21"/>
          <w:lang w:val="en-US"/>
        </w:rPr>
        <w:t>也具有投资价值</w:t>
      </w:r>
      <w:r w:rsidR="00532D30" w:rsidRPr="0030489E">
        <w:rPr>
          <w:rFonts w:ascii="楷体" w:eastAsia="楷体" w:hAnsi="楷体"/>
          <w:kern w:val="2"/>
          <w:szCs w:val="21"/>
          <w:lang w:val="en-US"/>
        </w:rPr>
        <w:t>。</w:t>
      </w:r>
    </w:p>
    <w:p w:rsidR="00805125" w:rsidRPr="005B7CDB" w:rsidRDefault="001B7AA9" w:rsidP="00026FF9">
      <w:pPr>
        <w:pStyle w:val="ab"/>
        <w:numPr>
          <w:ilvl w:val="4"/>
          <w:numId w:val="1"/>
        </w:numPr>
        <w:spacing w:after="163"/>
        <w:rPr>
          <w:rFonts w:ascii="楷体" w:eastAsia="楷体" w:hAnsi="楷体"/>
          <w:color w:val="auto"/>
        </w:rPr>
      </w:pPr>
      <w:r w:rsidRPr="005B7CDB">
        <w:rPr>
          <w:rFonts w:ascii="楷体" w:eastAsia="楷体" w:hAnsi="楷体" w:cs="宋体" w:hint="eastAsia"/>
          <w:bCs/>
        </w:rPr>
        <w:t>债券型基金方面，</w:t>
      </w:r>
      <w:r w:rsidRPr="005B7CDB">
        <w:rPr>
          <w:rFonts w:ascii="楷体" w:eastAsia="楷体" w:hAnsi="楷体" w:hint="eastAsia"/>
        </w:rPr>
        <w:t>上周共628只债券型基金平均收益</w:t>
      </w:r>
      <w:r w:rsidR="00007D8C">
        <w:rPr>
          <w:rFonts w:ascii="楷体" w:eastAsia="楷体" w:hAnsi="楷体" w:hint="eastAsia"/>
        </w:rPr>
        <w:t>0.15</w:t>
      </w:r>
      <w:r w:rsidRPr="005B7CDB">
        <w:rPr>
          <w:rFonts w:ascii="楷体" w:eastAsia="楷体" w:hAnsi="楷体" w:hint="eastAsia"/>
        </w:rPr>
        <w:t>%</w:t>
      </w:r>
      <w:r w:rsidR="00C202CD">
        <w:rPr>
          <w:rFonts w:ascii="楷体" w:eastAsia="楷体" w:hAnsi="楷体" w:hint="eastAsia"/>
        </w:rPr>
        <w:t>。</w:t>
      </w:r>
      <w:r w:rsidR="00471251" w:rsidRPr="00471251">
        <w:rPr>
          <w:rFonts w:ascii="楷体" w:eastAsia="楷体" w:hAnsi="楷体" w:hint="eastAsia"/>
        </w:rPr>
        <w:t>权益类资产</w:t>
      </w:r>
      <w:proofErr w:type="gramStart"/>
      <w:r w:rsidR="00471251" w:rsidRPr="00471251">
        <w:rPr>
          <w:rFonts w:ascii="楷体" w:eastAsia="楷体" w:hAnsi="楷体" w:hint="eastAsia"/>
        </w:rPr>
        <w:t>仓位</w:t>
      </w:r>
      <w:proofErr w:type="gramEnd"/>
      <w:r w:rsidR="00471251" w:rsidRPr="00471251">
        <w:rPr>
          <w:rFonts w:ascii="楷体" w:eastAsia="楷体" w:hAnsi="楷体" w:hint="eastAsia"/>
        </w:rPr>
        <w:t>较重</w:t>
      </w:r>
      <w:r w:rsidR="00471251">
        <w:rPr>
          <w:rFonts w:ascii="楷体" w:eastAsia="楷体" w:hAnsi="楷体" w:hint="eastAsia"/>
        </w:rPr>
        <w:t>的可转</w:t>
      </w:r>
      <w:proofErr w:type="gramStart"/>
      <w:r w:rsidR="00471251">
        <w:rPr>
          <w:rFonts w:ascii="楷体" w:eastAsia="楷体" w:hAnsi="楷体" w:hint="eastAsia"/>
        </w:rPr>
        <w:t>债</w:t>
      </w:r>
      <w:r w:rsidRPr="005B7CDB">
        <w:rPr>
          <w:rFonts w:ascii="楷体" w:eastAsia="楷体" w:hAnsi="楷体" w:hint="eastAsia"/>
        </w:rPr>
        <w:t>基金</w:t>
      </w:r>
      <w:proofErr w:type="gramEnd"/>
      <w:r w:rsidR="00C202CD">
        <w:rPr>
          <w:rFonts w:ascii="楷体" w:eastAsia="楷体" w:hAnsi="楷体" w:hint="eastAsia"/>
        </w:rPr>
        <w:t>在上行市场中收益具备优势，22只产品有7只</w:t>
      </w:r>
      <w:proofErr w:type="gramStart"/>
      <w:r w:rsidR="00C202CD">
        <w:rPr>
          <w:rFonts w:ascii="楷体" w:eastAsia="楷体" w:hAnsi="楷体" w:hint="eastAsia"/>
        </w:rPr>
        <w:t>周收益</w:t>
      </w:r>
      <w:proofErr w:type="gramEnd"/>
      <w:r w:rsidR="00C202CD">
        <w:rPr>
          <w:rFonts w:ascii="楷体" w:eastAsia="楷体" w:hAnsi="楷体" w:hint="eastAsia"/>
        </w:rPr>
        <w:t>在1%以上</w:t>
      </w:r>
      <w:r w:rsidRPr="005B7CDB">
        <w:rPr>
          <w:rFonts w:ascii="楷体" w:eastAsia="楷体" w:hAnsi="楷体" w:hint="eastAsia"/>
        </w:rPr>
        <w:t>。</w:t>
      </w:r>
      <w:r w:rsidR="0034351F" w:rsidRPr="00706C09">
        <w:rPr>
          <w:rFonts w:ascii="楷体" w:eastAsia="楷体" w:hAnsi="楷体" w:hint="eastAsia"/>
        </w:rPr>
        <w:t>货币基金</w:t>
      </w:r>
      <w:r w:rsidR="00D15231">
        <w:rPr>
          <w:rFonts w:ascii="楷体" w:eastAsia="楷体" w:hAnsi="楷体" w:hint="eastAsia"/>
        </w:rPr>
        <w:t>收益</w:t>
      </w:r>
      <w:r w:rsidR="00B954B9">
        <w:rPr>
          <w:rFonts w:ascii="楷体" w:eastAsia="楷体" w:hAnsi="楷体" w:hint="eastAsia"/>
        </w:rPr>
        <w:t>略有回升，但</w:t>
      </w:r>
      <w:r w:rsidR="00D15231">
        <w:rPr>
          <w:rFonts w:ascii="楷体" w:eastAsia="楷体" w:hAnsi="楷体" w:hint="eastAsia"/>
        </w:rPr>
        <w:t>依旧在“4时代”徘徊，</w:t>
      </w:r>
      <w:r w:rsidR="001073F0">
        <w:rPr>
          <w:rFonts w:ascii="楷体" w:eastAsia="楷体" w:hAnsi="楷体" w:hint="eastAsia"/>
        </w:rPr>
        <w:t>平</w:t>
      </w:r>
      <w:r w:rsidR="0034351F" w:rsidRPr="00706C09">
        <w:rPr>
          <w:rFonts w:ascii="楷体" w:eastAsia="楷体" w:hAnsi="楷体" w:hint="eastAsia"/>
        </w:rPr>
        <w:t>均7日折算年收益</w:t>
      </w:r>
      <w:r w:rsidR="001073F0">
        <w:rPr>
          <w:rFonts w:ascii="楷体" w:eastAsia="楷体" w:hAnsi="楷体" w:hint="eastAsia"/>
        </w:rPr>
        <w:t>为4.</w:t>
      </w:r>
      <w:r w:rsidR="00C202CD">
        <w:rPr>
          <w:rFonts w:ascii="楷体" w:eastAsia="楷体" w:hAnsi="楷体" w:hint="eastAsia"/>
        </w:rPr>
        <w:t>73</w:t>
      </w:r>
      <w:r w:rsidR="0034351F" w:rsidRPr="00706C09">
        <w:rPr>
          <w:rFonts w:ascii="楷体" w:eastAsia="楷体" w:hAnsi="楷体" w:hint="eastAsia"/>
        </w:rPr>
        <w:t>%。</w:t>
      </w:r>
    </w:p>
    <w:p w:rsidR="00D4319D" w:rsidRPr="005B7CDB" w:rsidRDefault="00954338" w:rsidP="00E62088">
      <w:pPr>
        <w:pStyle w:val="ab"/>
        <w:numPr>
          <w:ilvl w:val="5"/>
          <w:numId w:val="2"/>
        </w:numPr>
        <w:spacing w:after="163"/>
        <w:ind w:left="4140" w:hanging="369"/>
        <w:rPr>
          <w:rFonts w:ascii="楷体" w:eastAsia="楷体" w:hAnsi="楷体"/>
          <w:color w:val="auto"/>
        </w:rPr>
      </w:pPr>
      <w:r w:rsidRPr="005B7CDB">
        <w:rPr>
          <w:rFonts w:ascii="楷体" w:eastAsia="楷体" w:hAnsi="楷体" w:hint="eastAsia"/>
          <w:color w:val="auto"/>
        </w:rPr>
        <w:t>上周共</w:t>
      </w:r>
      <w:r w:rsidR="00297532">
        <w:rPr>
          <w:rFonts w:ascii="楷体" w:eastAsia="楷体" w:hAnsi="楷体" w:hint="eastAsia"/>
          <w:color w:val="auto"/>
        </w:rPr>
        <w:t>138</w:t>
      </w:r>
      <w:r w:rsidR="0034351F" w:rsidRPr="005B7CDB">
        <w:rPr>
          <w:rFonts w:ascii="楷体" w:eastAsia="楷体" w:hAnsi="楷体" w:hint="eastAsia"/>
          <w:color w:val="auto"/>
        </w:rPr>
        <w:t>只货币型基金纳入统计，</w:t>
      </w:r>
      <w:r w:rsidR="00C202CD">
        <w:rPr>
          <w:rFonts w:ascii="楷体" w:eastAsia="楷体" w:hAnsi="楷体" w:hint="eastAsia"/>
          <w:color w:val="auto"/>
        </w:rPr>
        <w:t>领先者收益较前几周有所突破：</w:t>
      </w:r>
      <w:r w:rsidR="00C202CD" w:rsidRPr="00C202CD">
        <w:rPr>
          <w:rFonts w:ascii="楷体" w:eastAsia="楷体" w:hAnsi="楷体" w:hint="eastAsia"/>
          <w:color w:val="auto"/>
        </w:rPr>
        <w:t>易方</w:t>
      </w:r>
      <w:proofErr w:type="gramStart"/>
      <w:r w:rsidR="00C202CD" w:rsidRPr="00C202CD">
        <w:rPr>
          <w:rFonts w:ascii="楷体" w:eastAsia="楷体" w:hAnsi="楷体" w:hint="eastAsia"/>
          <w:color w:val="auto"/>
        </w:rPr>
        <w:t>达货币</w:t>
      </w:r>
      <w:proofErr w:type="gramEnd"/>
      <w:r w:rsidR="00C202CD" w:rsidRPr="00C202CD">
        <w:rPr>
          <w:rFonts w:ascii="楷体" w:eastAsia="楷体" w:hAnsi="楷体" w:hint="eastAsia"/>
          <w:color w:val="auto"/>
        </w:rPr>
        <w:t>B、A以9.66%、9.43%的7日年收益居首，宝</w:t>
      </w:r>
      <w:proofErr w:type="gramStart"/>
      <w:r w:rsidR="00C202CD" w:rsidRPr="00C202CD">
        <w:rPr>
          <w:rFonts w:ascii="楷体" w:eastAsia="楷体" w:hAnsi="楷体" w:hint="eastAsia"/>
          <w:color w:val="auto"/>
        </w:rPr>
        <w:t>盈货币</w:t>
      </w:r>
      <w:proofErr w:type="gramEnd"/>
      <w:r w:rsidR="00C202CD" w:rsidRPr="00C202CD">
        <w:rPr>
          <w:rFonts w:ascii="楷体" w:eastAsia="楷体" w:hAnsi="楷体" w:hint="eastAsia"/>
          <w:color w:val="auto"/>
        </w:rPr>
        <w:t>B、A</w:t>
      </w:r>
      <w:r w:rsidR="00C202CD">
        <w:rPr>
          <w:rFonts w:ascii="楷体" w:eastAsia="楷体" w:hAnsi="楷体" w:hint="eastAsia"/>
          <w:color w:val="auto"/>
        </w:rPr>
        <w:t>收益</w:t>
      </w:r>
      <w:r w:rsidR="00C202CD" w:rsidRPr="00C202CD">
        <w:rPr>
          <w:rFonts w:ascii="楷体" w:eastAsia="楷体" w:hAnsi="楷体" w:hint="eastAsia"/>
          <w:color w:val="auto"/>
        </w:rPr>
        <w:t>超过8%</w:t>
      </w:r>
      <w:r w:rsidR="00297532">
        <w:rPr>
          <w:rFonts w:ascii="楷体" w:eastAsia="楷体" w:hAnsi="楷体" w:hint="eastAsia"/>
          <w:color w:val="auto"/>
        </w:rPr>
        <w:t>。</w:t>
      </w:r>
    </w:p>
    <w:p w:rsidR="00D000F8" w:rsidRPr="005B7CDB" w:rsidRDefault="00D000F8" w:rsidP="00D000F8">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分级基金</w:t>
      </w:r>
      <w:r w:rsidR="00226D20" w:rsidRPr="005B7CDB">
        <w:rPr>
          <w:rFonts w:ascii="楷体" w:eastAsia="楷体" w:hAnsi="楷体" w:hint="eastAsia"/>
          <w:b/>
          <w:bCs/>
          <w:color w:val="0070C0"/>
          <w:kern w:val="0"/>
          <w:szCs w:val="21"/>
          <w:lang w:val="en-GB"/>
        </w:rPr>
        <w:t>子份额一周业绩：积极型</w:t>
      </w:r>
      <w:r w:rsidR="00B24C73">
        <w:rPr>
          <w:rFonts w:ascii="楷体" w:eastAsia="楷体" w:hAnsi="楷体" w:hint="eastAsia"/>
          <w:b/>
          <w:bCs/>
          <w:color w:val="0070C0"/>
          <w:kern w:val="0"/>
          <w:szCs w:val="21"/>
          <w:lang w:val="en-GB"/>
        </w:rPr>
        <w:t>两极分化明显</w:t>
      </w:r>
    </w:p>
    <w:p w:rsidR="00475DD9" w:rsidRPr="005B7CDB" w:rsidRDefault="008A23AC" w:rsidP="006B48F2">
      <w:pPr>
        <w:pStyle w:val="ab"/>
        <w:numPr>
          <w:ilvl w:val="4"/>
          <w:numId w:val="1"/>
        </w:numPr>
        <w:spacing w:after="163"/>
        <w:rPr>
          <w:rFonts w:ascii="楷体" w:eastAsia="楷体" w:hAnsi="楷体"/>
        </w:rPr>
      </w:pPr>
      <w:r w:rsidRPr="005B7CDB">
        <w:rPr>
          <w:rFonts w:ascii="楷体" w:eastAsia="楷体" w:hAnsi="楷体" w:hint="eastAsia"/>
        </w:rPr>
        <w:t>股票型</w:t>
      </w:r>
      <w:r w:rsidR="008F52CD" w:rsidRPr="005B7CDB">
        <w:rPr>
          <w:rFonts w:ascii="楷体" w:eastAsia="楷体" w:hAnsi="楷体" w:hint="eastAsia"/>
        </w:rPr>
        <w:t>分级基金方面，</w:t>
      </w:r>
      <w:r w:rsidR="006B48F2" w:rsidRPr="005B7CDB">
        <w:rPr>
          <w:rFonts w:ascii="楷体" w:eastAsia="楷体" w:hAnsi="楷体" w:cs="宋体" w:hint="eastAsia"/>
        </w:rPr>
        <w:t>分级基金子份额</w:t>
      </w:r>
      <w:r w:rsidR="006B48F2" w:rsidRPr="005B7CDB">
        <w:rPr>
          <w:rFonts w:ascii="楷体" w:eastAsia="楷体" w:hAnsi="楷体" w:hint="eastAsia"/>
        </w:rPr>
        <w:t>-</w:t>
      </w:r>
      <w:r w:rsidR="006B48F2" w:rsidRPr="005B7CDB">
        <w:rPr>
          <w:rFonts w:ascii="楷体" w:eastAsia="楷体" w:hAnsi="楷体" w:cs="宋体" w:hint="eastAsia"/>
        </w:rPr>
        <w:t>股票稳健</w:t>
      </w:r>
      <w:r w:rsidR="00D511F2" w:rsidRPr="005B7CDB">
        <w:rPr>
          <w:rFonts w:ascii="楷体" w:eastAsia="楷体" w:hAnsi="楷体" w:hint="eastAsia"/>
        </w:rPr>
        <w:t>型</w:t>
      </w:r>
      <w:r w:rsidR="003F15EB">
        <w:rPr>
          <w:rFonts w:ascii="楷体" w:eastAsia="楷体" w:hAnsi="楷体" w:hint="eastAsia"/>
        </w:rPr>
        <w:t>全数取得正收益，平均为0.25</w:t>
      </w:r>
      <w:r w:rsidR="000B7C3D" w:rsidRPr="005B7CDB">
        <w:rPr>
          <w:rFonts w:ascii="楷体" w:eastAsia="楷体" w:hAnsi="楷体" w:hint="eastAsia"/>
        </w:rPr>
        <w:t>%</w:t>
      </w:r>
      <w:r w:rsidR="003F15EB">
        <w:rPr>
          <w:rFonts w:ascii="楷体" w:eastAsia="楷体" w:hAnsi="楷体" w:hint="eastAsia"/>
        </w:rPr>
        <w:t>，但除</w:t>
      </w:r>
      <w:proofErr w:type="gramStart"/>
      <w:r w:rsidR="003F15EB" w:rsidRPr="003F15EB">
        <w:rPr>
          <w:rFonts w:ascii="楷体" w:eastAsia="楷体" w:hAnsi="楷体" w:hint="eastAsia"/>
        </w:rPr>
        <w:t>申万菱</w:t>
      </w:r>
      <w:proofErr w:type="gramEnd"/>
      <w:r w:rsidR="003F15EB" w:rsidRPr="003F15EB">
        <w:rPr>
          <w:rFonts w:ascii="楷体" w:eastAsia="楷体" w:hAnsi="楷体" w:hint="eastAsia"/>
        </w:rPr>
        <w:t>信深成收益、兴全合润分级A、国</w:t>
      </w:r>
      <w:proofErr w:type="gramStart"/>
      <w:r w:rsidR="003F15EB" w:rsidRPr="003F15EB">
        <w:rPr>
          <w:rFonts w:ascii="楷体" w:eastAsia="楷体" w:hAnsi="楷体" w:hint="eastAsia"/>
        </w:rPr>
        <w:t>投瑞银瑞</w:t>
      </w:r>
      <w:proofErr w:type="gramEnd"/>
      <w:r w:rsidR="003F15EB" w:rsidRPr="003F15EB">
        <w:rPr>
          <w:rFonts w:ascii="楷体" w:eastAsia="楷体" w:hAnsi="楷体" w:hint="eastAsia"/>
        </w:rPr>
        <w:t>和小康这3只涨幅基本在1.5%以上</w:t>
      </w:r>
      <w:r w:rsidR="003F15EB">
        <w:rPr>
          <w:rFonts w:ascii="楷体" w:eastAsia="楷体" w:hAnsi="楷体" w:hint="eastAsia"/>
        </w:rPr>
        <w:t>之</w:t>
      </w:r>
      <w:r w:rsidR="003F15EB" w:rsidRPr="003F15EB">
        <w:rPr>
          <w:rFonts w:ascii="楷体" w:eastAsia="楷体" w:hAnsi="楷体" w:hint="eastAsia"/>
        </w:rPr>
        <w:t>外，其余皆不超过0.2%</w:t>
      </w:r>
      <w:r w:rsidR="001312C8">
        <w:rPr>
          <w:rFonts w:ascii="楷体" w:eastAsia="楷体" w:hAnsi="楷体" w:hint="eastAsia"/>
        </w:rPr>
        <w:t>。</w:t>
      </w:r>
      <w:r w:rsidR="000B7C3D" w:rsidRPr="005B7CDB">
        <w:rPr>
          <w:rFonts w:ascii="楷体" w:eastAsia="楷体" w:hAnsi="楷体" w:hint="eastAsia"/>
        </w:rPr>
        <w:t>分级基金-</w:t>
      </w:r>
      <w:r w:rsidR="00FF6917">
        <w:rPr>
          <w:rFonts w:ascii="楷体" w:eastAsia="楷体" w:hAnsi="楷体" w:hint="eastAsia"/>
        </w:rPr>
        <w:t>股票积极型</w:t>
      </w:r>
      <w:r w:rsidR="00FF6917">
        <w:rPr>
          <w:rFonts w:ascii="楷体" w:eastAsia="楷体" w:hAnsi="楷体" w:hint="eastAsia"/>
        </w:rPr>
        <w:lastRenderedPageBreak/>
        <w:t>份额</w:t>
      </w:r>
      <w:r w:rsidR="003F15EB">
        <w:rPr>
          <w:rFonts w:ascii="楷体" w:eastAsia="楷体" w:hAnsi="楷体" w:hint="eastAsia"/>
        </w:rPr>
        <w:t>平均涨幅达3.93</w:t>
      </w:r>
      <w:r w:rsidR="000B7C3D" w:rsidRPr="005B7CDB">
        <w:rPr>
          <w:rFonts w:ascii="楷体" w:eastAsia="楷体" w:hAnsi="楷体" w:hint="eastAsia"/>
        </w:rPr>
        <w:t>%</w:t>
      </w:r>
      <w:r w:rsidR="003F15EB">
        <w:rPr>
          <w:rFonts w:ascii="楷体" w:eastAsia="楷体" w:hAnsi="楷体" w:hint="eastAsia"/>
        </w:rPr>
        <w:t>，在各类基金中领先</w:t>
      </w:r>
      <w:r w:rsidR="004764E4">
        <w:rPr>
          <w:rFonts w:ascii="楷体" w:eastAsia="楷体" w:hAnsi="楷体" w:hint="eastAsia"/>
        </w:rPr>
        <w:t>，</w:t>
      </w:r>
      <w:r w:rsidR="001403F1">
        <w:rPr>
          <w:rFonts w:ascii="楷体" w:eastAsia="楷体" w:hAnsi="楷体" w:hint="eastAsia"/>
        </w:rPr>
        <w:t>除1只小幅下跌外均取得正收益，其中</w:t>
      </w:r>
      <w:r w:rsidR="001403F1" w:rsidRPr="001403F1">
        <w:rPr>
          <w:rFonts w:ascii="楷体" w:eastAsia="楷体" w:hAnsi="楷体" w:hint="eastAsia"/>
        </w:rPr>
        <w:t>银华锐进</w:t>
      </w:r>
      <w:r w:rsidR="00905090">
        <w:rPr>
          <w:rFonts w:ascii="楷体" w:eastAsia="楷体" w:hAnsi="楷体" w:hint="eastAsia"/>
        </w:rPr>
        <w:t>单周</w:t>
      </w:r>
      <w:r w:rsidR="001403F1" w:rsidRPr="001403F1">
        <w:rPr>
          <w:rFonts w:ascii="楷体" w:eastAsia="楷体" w:hAnsi="楷体" w:hint="eastAsia"/>
        </w:rPr>
        <w:t>上涨超过10个百分点</w:t>
      </w:r>
      <w:r w:rsidR="000B7C3D" w:rsidRPr="005B7CDB">
        <w:rPr>
          <w:rFonts w:ascii="楷体" w:eastAsia="楷体" w:hAnsi="楷体" w:hint="eastAsia"/>
          <w:lang w:val="en-US"/>
        </w:rPr>
        <w:t>。</w:t>
      </w:r>
    </w:p>
    <w:p w:rsidR="008177CF" w:rsidRPr="005B7CDB" w:rsidRDefault="008A23AC" w:rsidP="004049E1">
      <w:pPr>
        <w:pStyle w:val="ab"/>
        <w:numPr>
          <w:ilvl w:val="4"/>
          <w:numId w:val="1"/>
        </w:numPr>
        <w:spacing w:after="163"/>
        <w:rPr>
          <w:rFonts w:ascii="楷体" w:eastAsia="楷体" w:hAnsi="楷体"/>
          <w:lang w:val="en-US"/>
        </w:rPr>
      </w:pPr>
      <w:r w:rsidRPr="005B7CDB">
        <w:rPr>
          <w:rFonts w:ascii="楷体" w:eastAsia="楷体" w:hAnsi="楷体" w:hint="eastAsia"/>
          <w:lang w:val="en-US"/>
        </w:rPr>
        <w:t>分级基金子份额-债券稳健</w:t>
      </w:r>
      <w:r w:rsidR="002C5822" w:rsidRPr="005B7CDB">
        <w:rPr>
          <w:rFonts w:ascii="楷体" w:eastAsia="楷体" w:hAnsi="楷体" w:hint="eastAsia"/>
        </w:rPr>
        <w:t>周均录得收益</w:t>
      </w:r>
      <w:r w:rsidR="00754DEE">
        <w:rPr>
          <w:rFonts w:ascii="楷体" w:eastAsia="楷体" w:hAnsi="楷体" w:hint="eastAsia"/>
          <w:lang w:val="en-US"/>
        </w:rPr>
        <w:t>0.09</w:t>
      </w:r>
      <w:r w:rsidRPr="005B7CDB">
        <w:rPr>
          <w:rFonts w:ascii="楷体" w:eastAsia="楷体" w:hAnsi="楷体" w:hint="eastAsia"/>
          <w:lang w:val="en-US"/>
        </w:rPr>
        <w:t>%</w:t>
      </w:r>
      <w:r w:rsidR="004764E4">
        <w:rPr>
          <w:rFonts w:ascii="楷体" w:eastAsia="楷体" w:hAnsi="楷体" w:hint="eastAsia"/>
          <w:lang w:val="en-US"/>
        </w:rPr>
        <w:t>，长期以来保持平稳。</w:t>
      </w:r>
      <w:r w:rsidR="002C5822" w:rsidRPr="005B7CDB">
        <w:rPr>
          <w:rFonts w:ascii="楷体" w:eastAsia="楷体" w:hAnsi="楷体" w:hint="eastAsia"/>
        </w:rPr>
        <w:t>债券分级-积极</w:t>
      </w:r>
      <w:r w:rsidR="007A3E07">
        <w:rPr>
          <w:rFonts w:ascii="楷体" w:eastAsia="楷体" w:hAnsi="楷体" w:hint="eastAsia"/>
        </w:rPr>
        <w:t>除7只外</w:t>
      </w:r>
      <w:proofErr w:type="gramStart"/>
      <w:r w:rsidR="007A3E07">
        <w:rPr>
          <w:rFonts w:ascii="楷体" w:eastAsia="楷体" w:hAnsi="楷体" w:hint="eastAsia"/>
        </w:rPr>
        <w:t>均收益</w:t>
      </w:r>
      <w:proofErr w:type="gramEnd"/>
      <w:r w:rsidR="007A3E07">
        <w:rPr>
          <w:rFonts w:ascii="楷体" w:eastAsia="楷体" w:hAnsi="楷体" w:hint="eastAsia"/>
        </w:rPr>
        <w:t>为正，其中</w:t>
      </w:r>
      <w:r w:rsidR="007A3E07" w:rsidRPr="007A3E07">
        <w:rPr>
          <w:rFonts w:ascii="楷体" w:eastAsia="楷体" w:hAnsi="楷体" w:hint="eastAsia"/>
        </w:rPr>
        <w:t>银</w:t>
      </w:r>
      <w:proofErr w:type="gramStart"/>
      <w:r w:rsidR="007A3E07" w:rsidRPr="007A3E07">
        <w:rPr>
          <w:rFonts w:ascii="楷体" w:eastAsia="楷体" w:hAnsi="楷体" w:hint="eastAsia"/>
        </w:rPr>
        <w:t>华中证转债</w:t>
      </w:r>
      <w:proofErr w:type="gramEnd"/>
      <w:r w:rsidR="007A3E07" w:rsidRPr="007A3E07">
        <w:rPr>
          <w:rFonts w:ascii="楷体" w:eastAsia="楷体" w:hAnsi="楷体" w:hint="eastAsia"/>
        </w:rPr>
        <w:t>B</w:t>
      </w:r>
      <w:r w:rsidR="007A3E07">
        <w:rPr>
          <w:rFonts w:ascii="楷体" w:eastAsia="楷体" w:hAnsi="楷体" w:hint="eastAsia"/>
        </w:rPr>
        <w:t>、</w:t>
      </w:r>
      <w:r w:rsidR="007A3E07" w:rsidRPr="007A3E07">
        <w:rPr>
          <w:rFonts w:ascii="楷体" w:eastAsia="楷体" w:hAnsi="楷体" w:hint="eastAsia"/>
        </w:rPr>
        <w:t>嘉实多利进取</w:t>
      </w:r>
      <w:r w:rsidR="007A3E07">
        <w:rPr>
          <w:rFonts w:ascii="楷体" w:eastAsia="楷体" w:hAnsi="楷体" w:hint="eastAsia"/>
        </w:rPr>
        <w:t>的</w:t>
      </w:r>
      <w:proofErr w:type="gramStart"/>
      <w:r w:rsidR="00DD5E87">
        <w:rPr>
          <w:rFonts w:ascii="楷体" w:eastAsia="楷体" w:hAnsi="楷体" w:hint="eastAsia"/>
          <w:lang w:val="en-US"/>
        </w:rPr>
        <w:t>周收益</w:t>
      </w:r>
      <w:proofErr w:type="gramEnd"/>
      <w:r w:rsidR="00DD5E87">
        <w:rPr>
          <w:rFonts w:ascii="楷体" w:eastAsia="楷体" w:hAnsi="楷体" w:hint="eastAsia"/>
          <w:lang w:val="en-US"/>
        </w:rPr>
        <w:t>超过1个百分点</w:t>
      </w:r>
      <w:r w:rsidR="00797357">
        <w:rPr>
          <w:rFonts w:ascii="楷体" w:eastAsia="楷体" w:hAnsi="楷体" w:hint="eastAsia"/>
          <w:lang w:val="en-US"/>
        </w:rPr>
        <w:t>。</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851"/>
        <w:gridCol w:w="1984"/>
        <w:gridCol w:w="851"/>
        <w:gridCol w:w="991"/>
        <w:gridCol w:w="993"/>
        <w:gridCol w:w="992"/>
        <w:gridCol w:w="1843"/>
        <w:gridCol w:w="851"/>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2D2967">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BE3214" w:rsidRPr="005B7CDB">
              <w:rPr>
                <w:rFonts w:ascii="楷体" w:eastAsia="楷体" w:hAnsi="楷体" w:cs="宋体" w:hint="eastAsia"/>
                <w:color w:val="FF6600"/>
              </w:rPr>
              <w:t>（</w:t>
            </w:r>
            <w:r w:rsidR="007A3E07">
              <w:rPr>
                <w:rFonts w:ascii="楷体" w:eastAsia="楷体" w:hAnsi="楷体" w:hint="eastAsia"/>
                <w:color w:val="FF6600"/>
              </w:rPr>
              <w:t>03.31~04.04</w:t>
            </w:r>
            <w:r w:rsidR="00BE3214" w:rsidRPr="005B7CDB">
              <w:rPr>
                <w:rFonts w:ascii="楷体" w:eastAsia="楷体" w:hAnsi="楷体" w:cs="宋体" w:hint="eastAsia"/>
                <w:color w:val="FF6600"/>
              </w:rPr>
              <w:t>，</w:t>
            </w:r>
            <w:r w:rsidR="00BE3214" w:rsidRPr="005B7CDB">
              <w:rPr>
                <w:rFonts w:ascii="楷体" w:eastAsia="楷体" w:hAnsi="楷体" w:hint="eastAsia"/>
                <w:color w:val="FF6600"/>
              </w:rPr>
              <w:t>QDII为</w:t>
            </w:r>
            <w:r w:rsidR="007A3E07">
              <w:rPr>
                <w:rFonts w:ascii="楷体" w:eastAsia="楷体" w:hAnsi="楷体" w:hint="eastAsia"/>
                <w:color w:val="FF6600"/>
              </w:rPr>
              <w:t>03.28</w:t>
            </w:r>
            <w:r w:rsidR="00BE3214" w:rsidRPr="005B7CDB">
              <w:rPr>
                <w:rFonts w:ascii="楷体" w:eastAsia="楷体" w:hAnsi="楷体" w:hint="eastAsia"/>
                <w:color w:val="FF6600"/>
              </w:rPr>
              <w:t>~</w:t>
            </w:r>
            <w:r w:rsidR="007A3E07">
              <w:rPr>
                <w:rFonts w:ascii="楷体" w:eastAsia="楷体" w:hAnsi="楷体" w:hint="eastAsia"/>
                <w:color w:val="FF6600"/>
              </w:rPr>
              <w:t>04.03</w:t>
            </w:r>
            <w:r w:rsidR="002D2967" w:rsidRPr="005B7CDB">
              <w:rPr>
                <w:rFonts w:ascii="楷体" w:eastAsia="楷体" w:hAnsi="楷体" w:hint="eastAsia"/>
                <w:color w:val="FF6600"/>
              </w:rPr>
              <w:t>，</w:t>
            </w:r>
            <w:r w:rsidR="002D2967" w:rsidRPr="005B7CDB">
              <w:rPr>
                <w:rFonts w:ascii="楷体" w:eastAsia="楷体" w:hAnsi="楷体" w:cs="宋体" w:hint="eastAsia"/>
                <w:color w:val="FF6600"/>
              </w:rPr>
              <w:t>货币基金为</w:t>
            </w:r>
            <w:proofErr w:type="gramStart"/>
            <w:r w:rsidR="0034351F" w:rsidRPr="005B7CDB">
              <w:rPr>
                <w:rFonts w:ascii="楷体" w:eastAsia="楷体" w:hAnsi="楷体" w:hint="eastAsia"/>
                <w:color w:val="FF6600"/>
              </w:rPr>
              <w:t>7日年化收益</w:t>
            </w:r>
            <w:proofErr w:type="gramEnd"/>
            <w:r w:rsidR="00BE3214" w:rsidRPr="005B7CDB">
              <w:rPr>
                <w:rFonts w:ascii="楷体" w:eastAsia="楷体" w:hAnsi="楷体" w:cs="宋体" w:hint="eastAsia"/>
                <w:color w:val="FF6600"/>
              </w:rPr>
              <w:t>）</w:t>
            </w:r>
          </w:p>
        </w:tc>
      </w:tr>
      <w:tr w:rsidR="00CE01AE" w:rsidRPr="005B7CDB" w:rsidTr="000D1136">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984"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99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993"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凯</w:t>
            </w:r>
            <w:proofErr w:type="gramEnd"/>
            <w:r w:rsidRPr="005B7CDB">
              <w:rPr>
                <w:rFonts w:ascii="楷体" w:eastAsia="楷体" w:hAnsi="楷体"/>
                <w:b/>
                <w:sz w:val="18"/>
                <w:szCs w:val="18"/>
              </w:rPr>
              <w:t>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1843"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007D8C"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007D8C" w:rsidRPr="005B7CDB" w:rsidRDefault="00007D8C" w:rsidP="000D1136">
            <w:pPr>
              <w:snapToGrid w:val="0"/>
              <w:jc w:val="center"/>
              <w:rPr>
                <w:rFonts w:ascii="楷体" w:eastAsia="楷体" w:hAnsi="楷体"/>
                <w:b/>
                <w:sz w:val="18"/>
                <w:szCs w:val="18"/>
              </w:rPr>
            </w:pPr>
            <w:r w:rsidRPr="005B7CDB">
              <w:rPr>
                <w:rFonts w:ascii="楷体" w:eastAsia="楷体" w:hAnsi="楷体"/>
                <w:b/>
                <w:sz w:val="18"/>
                <w:szCs w:val="18"/>
              </w:rPr>
              <w:t>主动型</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229002</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泰达宏利逆向策略</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6.75</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r w:rsidRPr="005B7CDB">
              <w:rPr>
                <w:rFonts w:ascii="楷体" w:eastAsia="楷体" w:hAnsi="楷体"/>
                <w:b/>
                <w:sz w:val="18"/>
                <w:szCs w:val="18"/>
              </w:rPr>
              <w:t>债券-</w:t>
            </w:r>
          </w:p>
          <w:p w:rsidR="00007D8C" w:rsidRPr="005B7CDB" w:rsidRDefault="00007D8C" w:rsidP="000D1136">
            <w:pPr>
              <w:snapToGrid w:val="0"/>
              <w:jc w:val="center"/>
              <w:rPr>
                <w:rFonts w:ascii="楷体" w:eastAsia="楷体" w:hAnsi="楷体"/>
                <w:b/>
                <w:sz w:val="18"/>
                <w:szCs w:val="18"/>
              </w:rPr>
            </w:pPr>
            <w:proofErr w:type="gramStart"/>
            <w:r w:rsidRPr="005B7CDB">
              <w:rPr>
                <w:rFonts w:ascii="楷体" w:eastAsia="楷体" w:hAnsi="楷体"/>
                <w:b/>
                <w:sz w:val="18"/>
                <w:szCs w:val="18"/>
              </w:rPr>
              <w:t>纯债基金</w:t>
            </w:r>
            <w:proofErr w:type="gramEnd"/>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25</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大</w:t>
            </w:r>
            <w:proofErr w:type="gramStart"/>
            <w:r w:rsidRPr="00C202CD">
              <w:rPr>
                <w:rFonts w:ascii="楷体" w:eastAsia="楷体" w:hAnsi="楷体" w:hint="eastAsia"/>
                <w:color w:val="000000"/>
                <w:sz w:val="18"/>
                <w:szCs w:val="18"/>
              </w:rPr>
              <w:t>摩双利增强</w:t>
            </w:r>
            <w:proofErr w:type="gramEnd"/>
            <w:r w:rsidRPr="00C202CD">
              <w:rPr>
                <w:rFonts w:ascii="楷体" w:eastAsia="楷体" w:hAnsi="楷体" w:hint="eastAsia"/>
                <w:color w:val="000000"/>
                <w:sz w:val="18"/>
                <w:szCs w:val="18"/>
              </w:rPr>
              <w:t>C</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0.70</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580008</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东吴新产业精选</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5.07</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24</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大</w:t>
            </w:r>
            <w:proofErr w:type="gramStart"/>
            <w:r w:rsidRPr="00C202CD">
              <w:rPr>
                <w:rFonts w:ascii="楷体" w:eastAsia="楷体" w:hAnsi="楷体" w:hint="eastAsia"/>
                <w:color w:val="000000"/>
                <w:sz w:val="18"/>
                <w:szCs w:val="18"/>
              </w:rPr>
              <w:t>摩双利增强</w:t>
            </w:r>
            <w:proofErr w:type="gramEnd"/>
            <w:r w:rsidRPr="00C202CD">
              <w:rPr>
                <w:rFonts w:ascii="楷体" w:eastAsia="楷体" w:hAnsi="楷体" w:hint="eastAsia"/>
                <w:color w:val="000000"/>
                <w:sz w:val="18"/>
                <w:szCs w:val="18"/>
              </w:rPr>
              <w:t>A</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0.70</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162201</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泰达宏利成长</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4.54</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150</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华安双债添利</w:t>
            </w:r>
            <w:proofErr w:type="gramEnd"/>
            <w:r w:rsidRPr="00C202CD">
              <w:rPr>
                <w:rFonts w:ascii="楷体" w:eastAsia="楷体" w:hAnsi="楷体" w:hint="eastAsia"/>
                <w:color w:val="000000"/>
                <w:sz w:val="18"/>
                <w:szCs w:val="18"/>
              </w:rPr>
              <w:t>C</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0.52</w:t>
            </w:r>
          </w:p>
        </w:tc>
      </w:tr>
      <w:tr w:rsidR="00007D8C"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r w:rsidRPr="005B7CDB">
              <w:rPr>
                <w:rFonts w:ascii="楷体" w:eastAsia="楷体" w:hAnsi="楷体"/>
                <w:b/>
                <w:sz w:val="18"/>
                <w:szCs w:val="18"/>
              </w:rPr>
              <w:t>股票-</w:t>
            </w:r>
          </w:p>
          <w:p w:rsidR="00007D8C" w:rsidRPr="005B7CDB" w:rsidRDefault="00007D8C" w:rsidP="000D1136">
            <w:pPr>
              <w:snapToGrid w:val="0"/>
              <w:jc w:val="center"/>
              <w:rPr>
                <w:rFonts w:ascii="楷体" w:eastAsia="楷体" w:hAnsi="楷体"/>
                <w:b/>
                <w:sz w:val="18"/>
                <w:szCs w:val="18"/>
              </w:rPr>
            </w:pPr>
            <w:r w:rsidRPr="005B7CDB">
              <w:rPr>
                <w:rFonts w:ascii="楷体" w:eastAsia="楷体" w:hAnsi="楷体"/>
                <w:b/>
                <w:sz w:val="18"/>
                <w:szCs w:val="18"/>
              </w:rPr>
              <w:t>指数型</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159909</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招商深</w:t>
            </w:r>
            <w:proofErr w:type="gramEnd"/>
            <w:r w:rsidRPr="00C202CD">
              <w:rPr>
                <w:rFonts w:ascii="楷体" w:eastAsia="楷体" w:hAnsi="楷体" w:hint="eastAsia"/>
                <w:color w:val="000000"/>
                <w:sz w:val="18"/>
                <w:szCs w:val="18"/>
              </w:rPr>
              <w:t>证TMT50ETF</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3.84</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007D8C" w:rsidRPr="005B7CDB" w:rsidRDefault="00007D8C" w:rsidP="000D1136">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一级债基</w:t>
            </w:r>
            <w:proofErr w:type="gramEnd"/>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50006</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博时稳定价值B</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0.76</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217019</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招商深</w:t>
            </w:r>
            <w:proofErr w:type="gramEnd"/>
            <w:r w:rsidRPr="00C202CD">
              <w:rPr>
                <w:rFonts w:ascii="楷体" w:eastAsia="楷体" w:hAnsi="楷体" w:hint="eastAsia"/>
                <w:color w:val="000000"/>
                <w:sz w:val="18"/>
                <w:szCs w:val="18"/>
              </w:rPr>
              <w:t>证TMT50ETF联接</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3.69</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50106</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博时稳定价值A</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0.75</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159906</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大成深证成长</w:t>
            </w:r>
            <w:proofErr w:type="gramEnd"/>
            <w:r w:rsidRPr="00C202CD">
              <w:rPr>
                <w:rFonts w:ascii="楷体" w:eastAsia="楷体" w:hAnsi="楷体" w:hint="eastAsia"/>
                <w:color w:val="000000"/>
                <w:sz w:val="18"/>
                <w:szCs w:val="18"/>
              </w:rPr>
              <w:t>40ETF</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3.58</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410004</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华</w:t>
            </w:r>
            <w:proofErr w:type="gramStart"/>
            <w:r w:rsidRPr="00C202CD">
              <w:rPr>
                <w:rFonts w:ascii="楷体" w:eastAsia="楷体" w:hAnsi="楷体" w:hint="eastAsia"/>
                <w:color w:val="000000"/>
                <w:sz w:val="18"/>
                <w:szCs w:val="18"/>
              </w:rPr>
              <w:t>富收益</w:t>
            </w:r>
            <w:proofErr w:type="gramEnd"/>
            <w:r w:rsidRPr="00C202CD">
              <w:rPr>
                <w:rFonts w:ascii="楷体" w:eastAsia="楷体" w:hAnsi="楷体" w:hint="eastAsia"/>
                <w:color w:val="000000"/>
                <w:sz w:val="18"/>
                <w:szCs w:val="18"/>
              </w:rPr>
              <w:t>增强A</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0.57</w:t>
            </w:r>
          </w:p>
        </w:tc>
      </w:tr>
      <w:tr w:rsidR="00007D8C"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007D8C" w:rsidRPr="005B7CDB" w:rsidRDefault="00007D8C"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007D8C" w:rsidRPr="005B7CDB" w:rsidRDefault="00007D8C" w:rsidP="00884478">
            <w:pPr>
              <w:snapToGrid w:val="0"/>
              <w:jc w:val="center"/>
              <w:rPr>
                <w:rFonts w:ascii="楷体" w:eastAsia="楷体" w:hAnsi="楷体"/>
                <w:b/>
                <w:sz w:val="18"/>
                <w:szCs w:val="18"/>
              </w:rPr>
            </w:pPr>
            <w:proofErr w:type="gramStart"/>
            <w:r w:rsidRPr="005B7CDB">
              <w:rPr>
                <w:rFonts w:ascii="楷体" w:eastAsia="楷体" w:hAnsi="楷体" w:hint="eastAsia"/>
                <w:b/>
                <w:bCs/>
                <w:color w:val="000000"/>
                <w:sz w:val="18"/>
                <w:szCs w:val="18"/>
              </w:rPr>
              <w:t>偏股型</w:t>
            </w:r>
            <w:proofErr w:type="gramEnd"/>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540004</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汇</w:t>
            </w:r>
            <w:proofErr w:type="gramStart"/>
            <w:r w:rsidRPr="00C202CD">
              <w:rPr>
                <w:rFonts w:ascii="楷体" w:eastAsia="楷体" w:hAnsi="楷体" w:hint="eastAsia"/>
                <w:color w:val="000000"/>
                <w:sz w:val="18"/>
                <w:szCs w:val="18"/>
              </w:rPr>
              <w:t>丰晋信</w:t>
            </w:r>
            <w:proofErr w:type="gramEnd"/>
            <w:r w:rsidRPr="00C202CD">
              <w:rPr>
                <w:rFonts w:ascii="楷体" w:eastAsia="楷体" w:hAnsi="楷体" w:hint="eastAsia"/>
                <w:color w:val="000000"/>
                <w:sz w:val="18"/>
                <w:szCs w:val="18"/>
              </w:rPr>
              <w:t>2026</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5.25</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007D8C" w:rsidRPr="005B7CDB" w:rsidRDefault="00007D8C"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007D8C" w:rsidRPr="005B7CDB" w:rsidRDefault="00007D8C"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二级债基</w:t>
            </w:r>
            <w:proofErr w:type="gramEnd"/>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50111</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博时信用债券C</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1.70</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162207</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泰达宏利效率优选</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4.29</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50011</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博时信用债券A</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1.69</w:t>
            </w:r>
          </w:p>
        </w:tc>
      </w:tr>
      <w:tr w:rsidR="00007D8C"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80001</w:t>
            </w:r>
          </w:p>
        </w:tc>
        <w:tc>
          <w:tcPr>
            <w:tcW w:w="1984"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长盛成长价值</w:t>
            </w:r>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3.41</w:t>
            </w:r>
          </w:p>
        </w:tc>
        <w:tc>
          <w:tcPr>
            <w:tcW w:w="993" w:type="dxa"/>
            <w:vMerge/>
            <w:tcBorders>
              <w:left w:val="single" w:sz="6" w:space="0" w:color="FF6600"/>
              <w:right w:val="single" w:sz="6" w:space="0" w:color="FF6600"/>
            </w:tcBorders>
            <w:shd w:val="clear" w:color="auto" w:fill="FDE9D9" w:themeFill="accent6" w:themeFillTint="33"/>
            <w:vAlign w:val="center"/>
          </w:tcPr>
          <w:p w:rsidR="00007D8C" w:rsidRPr="005B7CDB" w:rsidRDefault="00007D8C"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350006</w:t>
            </w:r>
          </w:p>
        </w:tc>
        <w:tc>
          <w:tcPr>
            <w:tcW w:w="1843"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天治</w:t>
            </w:r>
            <w:proofErr w:type="gramStart"/>
            <w:r w:rsidRPr="00C202CD">
              <w:rPr>
                <w:rFonts w:ascii="楷体" w:eastAsia="楷体" w:hAnsi="楷体" w:hint="eastAsia"/>
                <w:color w:val="000000"/>
                <w:sz w:val="18"/>
                <w:szCs w:val="18"/>
              </w:rPr>
              <w:t>稳健双盈</w:t>
            </w:r>
            <w:proofErr w:type="gramEnd"/>
          </w:p>
        </w:tc>
        <w:tc>
          <w:tcPr>
            <w:tcW w:w="851" w:type="dxa"/>
            <w:tcBorders>
              <w:left w:val="single" w:sz="6" w:space="0" w:color="FF6600"/>
              <w:righ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007D8C" w:rsidRPr="00C202CD" w:rsidRDefault="00007D8C"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1.64</w:t>
            </w:r>
          </w:p>
        </w:tc>
      </w:tr>
      <w:tr w:rsidR="00906113"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906113" w:rsidRPr="005B7CDB" w:rsidRDefault="00906113"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906113" w:rsidRPr="005B7CDB" w:rsidRDefault="00906113" w:rsidP="00884478">
            <w:pPr>
              <w:snapToGrid w:val="0"/>
              <w:jc w:val="center"/>
              <w:rPr>
                <w:rFonts w:ascii="楷体" w:eastAsia="楷体" w:hAnsi="楷体"/>
                <w:b/>
                <w:sz w:val="18"/>
                <w:szCs w:val="18"/>
              </w:rPr>
            </w:pPr>
            <w:proofErr w:type="gramStart"/>
            <w:r w:rsidRPr="005B7CDB">
              <w:rPr>
                <w:rFonts w:ascii="楷体" w:eastAsia="楷体" w:hAnsi="楷体" w:hint="eastAsia"/>
                <w:b/>
                <w:bCs/>
                <w:color w:val="000000"/>
                <w:sz w:val="18"/>
                <w:szCs w:val="18"/>
              </w:rPr>
              <w:t>偏债型</w:t>
            </w:r>
            <w:proofErr w:type="gramEnd"/>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40004</w:t>
            </w:r>
          </w:p>
        </w:tc>
        <w:tc>
          <w:tcPr>
            <w:tcW w:w="1984"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华安宝利配置</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1.96</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906113" w:rsidRPr="005B7CDB" w:rsidRDefault="00906113"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906113" w:rsidRPr="005B7CDB" w:rsidRDefault="00906113"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理财债基</w:t>
            </w:r>
            <w:proofErr w:type="gramEnd"/>
          </w:p>
        </w:tc>
        <w:tc>
          <w:tcPr>
            <w:tcW w:w="992"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110051</w:t>
            </w:r>
          </w:p>
        </w:tc>
        <w:tc>
          <w:tcPr>
            <w:tcW w:w="1843"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易方达</w:t>
            </w:r>
            <w:proofErr w:type="gramStart"/>
            <w:r w:rsidRPr="00C202CD">
              <w:rPr>
                <w:rFonts w:ascii="楷体" w:eastAsia="楷体" w:hAnsi="楷体" w:hint="eastAsia"/>
                <w:color w:val="000000"/>
                <w:sz w:val="18"/>
                <w:szCs w:val="18"/>
              </w:rPr>
              <w:t>月</w:t>
            </w:r>
            <w:proofErr w:type="gramEnd"/>
            <w:r w:rsidRPr="00C202CD">
              <w:rPr>
                <w:rFonts w:ascii="楷体" w:eastAsia="楷体" w:hAnsi="楷体" w:hint="eastAsia"/>
                <w:color w:val="000000"/>
                <w:sz w:val="18"/>
                <w:szCs w:val="18"/>
              </w:rPr>
              <w:t>月利B</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0.19</w:t>
            </w:r>
          </w:p>
        </w:tc>
      </w:tr>
      <w:tr w:rsidR="00906113"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906113" w:rsidRPr="005B7CDB" w:rsidRDefault="00906113"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450001</w:t>
            </w:r>
          </w:p>
        </w:tc>
        <w:tc>
          <w:tcPr>
            <w:tcW w:w="1984"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国富中国收益</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1.70</w:t>
            </w:r>
          </w:p>
        </w:tc>
        <w:tc>
          <w:tcPr>
            <w:tcW w:w="993" w:type="dxa"/>
            <w:vMerge/>
            <w:tcBorders>
              <w:left w:val="single" w:sz="6" w:space="0" w:color="FF6600"/>
              <w:right w:val="single" w:sz="6" w:space="0" w:color="FF6600"/>
            </w:tcBorders>
            <w:shd w:val="clear" w:color="auto" w:fill="FDE9D9" w:themeFill="accent6" w:themeFillTint="33"/>
            <w:vAlign w:val="center"/>
          </w:tcPr>
          <w:p w:rsidR="00906113" w:rsidRPr="005B7CDB" w:rsidRDefault="00906113"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110050</w:t>
            </w:r>
          </w:p>
        </w:tc>
        <w:tc>
          <w:tcPr>
            <w:tcW w:w="1843"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易方达</w:t>
            </w:r>
            <w:proofErr w:type="gramStart"/>
            <w:r w:rsidRPr="00C202CD">
              <w:rPr>
                <w:rFonts w:ascii="楷体" w:eastAsia="楷体" w:hAnsi="楷体" w:hint="eastAsia"/>
                <w:color w:val="000000"/>
                <w:sz w:val="18"/>
                <w:szCs w:val="18"/>
              </w:rPr>
              <w:t>月</w:t>
            </w:r>
            <w:proofErr w:type="gramEnd"/>
            <w:r w:rsidRPr="00C202CD">
              <w:rPr>
                <w:rFonts w:ascii="楷体" w:eastAsia="楷体" w:hAnsi="楷体" w:hint="eastAsia"/>
                <w:color w:val="000000"/>
                <w:sz w:val="18"/>
                <w:szCs w:val="18"/>
              </w:rPr>
              <w:t>月利A</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0.19</w:t>
            </w:r>
          </w:p>
        </w:tc>
      </w:tr>
      <w:tr w:rsidR="00906113"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906113" w:rsidRPr="005B7CDB" w:rsidRDefault="00906113"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540001</w:t>
            </w:r>
          </w:p>
        </w:tc>
        <w:tc>
          <w:tcPr>
            <w:tcW w:w="1984"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汇</w:t>
            </w:r>
            <w:proofErr w:type="gramStart"/>
            <w:r w:rsidRPr="00C202CD">
              <w:rPr>
                <w:rFonts w:ascii="楷体" w:eastAsia="楷体" w:hAnsi="楷体" w:hint="eastAsia"/>
                <w:color w:val="000000"/>
                <w:sz w:val="18"/>
                <w:szCs w:val="18"/>
              </w:rPr>
              <w:t>丰晋信</w:t>
            </w:r>
            <w:proofErr w:type="gramEnd"/>
            <w:r w:rsidRPr="00C202CD">
              <w:rPr>
                <w:rFonts w:ascii="楷体" w:eastAsia="楷体" w:hAnsi="楷体" w:hint="eastAsia"/>
                <w:color w:val="000000"/>
                <w:sz w:val="18"/>
                <w:szCs w:val="18"/>
              </w:rPr>
              <w:t>2016</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1.34</w:t>
            </w:r>
          </w:p>
        </w:tc>
        <w:tc>
          <w:tcPr>
            <w:tcW w:w="993" w:type="dxa"/>
            <w:vMerge/>
            <w:tcBorders>
              <w:left w:val="single" w:sz="6" w:space="0" w:color="FF6600"/>
              <w:right w:val="single" w:sz="6" w:space="0" w:color="FF6600"/>
            </w:tcBorders>
            <w:shd w:val="clear" w:color="auto" w:fill="FDE9D9" w:themeFill="accent6" w:themeFillTint="33"/>
            <w:vAlign w:val="center"/>
          </w:tcPr>
          <w:p w:rsidR="00906113" w:rsidRPr="005B7CDB" w:rsidRDefault="00906113"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531030</w:t>
            </w:r>
          </w:p>
        </w:tc>
        <w:tc>
          <w:tcPr>
            <w:tcW w:w="1843"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建</w:t>
            </w:r>
            <w:proofErr w:type="gramStart"/>
            <w:r w:rsidRPr="00C202CD">
              <w:rPr>
                <w:rFonts w:ascii="楷体" w:eastAsia="楷体" w:hAnsi="楷体" w:hint="eastAsia"/>
                <w:color w:val="000000"/>
                <w:sz w:val="18"/>
                <w:szCs w:val="18"/>
              </w:rPr>
              <w:t>信周盈安心</w:t>
            </w:r>
            <w:proofErr w:type="gramEnd"/>
            <w:r w:rsidRPr="00C202CD">
              <w:rPr>
                <w:rFonts w:ascii="楷体" w:eastAsia="楷体" w:hAnsi="楷体" w:hint="eastAsia"/>
                <w:color w:val="000000"/>
                <w:sz w:val="18"/>
                <w:szCs w:val="18"/>
              </w:rPr>
              <w:t>理财B</w:t>
            </w:r>
          </w:p>
        </w:tc>
        <w:tc>
          <w:tcPr>
            <w:tcW w:w="851" w:type="dxa"/>
            <w:tcBorders>
              <w:left w:val="single" w:sz="6" w:space="0" w:color="FF6600"/>
              <w:righ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06113" w:rsidRPr="00C202CD" w:rsidRDefault="00906113"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0.14</w:t>
            </w:r>
          </w:p>
        </w:tc>
      </w:tr>
      <w:tr w:rsidR="008E29BE"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8E29BE" w:rsidRPr="005B7CDB" w:rsidRDefault="008E29B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8E29BE" w:rsidRPr="005B7CDB" w:rsidRDefault="008E29BE" w:rsidP="00884478">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162211</w:t>
            </w:r>
          </w:p>
        </w:tc>
        <w:tc>
          <w:tcPr>
            <w:tcW w:w="1984"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泰达宏利品质生活</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4.87</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8E29BE" w:rsidRPr="005B7CDB" w:rsidRDefault="008E29BE"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8E29BE" w:rsidRPr="005B7CDB" w:rsidRDefault="008E29BE"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指数债基</w:t>
            </w:r>
            <w:proofErr w:type="gramEnd"/>
          </w:p>
        </w:tc>
        <w:tc>
          <w:tcPr>
            <w:tcW w:w="992"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161826</w:t>
            </w:r>
          </w:p>
        </w:tc>
        <w:tc>
          <w:tcPr>
            <w:tcW w:w="1843"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银</w:t>
            </w:r>
            <w:proofErr w:type="gramStart"/>
            <w:r w:rsidRPr="00C202CD">
              <w:rPr>
                <w:rFonts w:ascii="楷体" w:eastAsia="楷体" w:hAnsi="楷体" w:hint="eastAsia"/>
                <w:color w:val="000000"/>
                <w:sz w:val="18"/>
                <w:szCs w:val="18"/>
              </w:rPr>
              <w:t>华中证转债</w:t>
            </w:r>
            <w:proofErr w:type="gramEnd"/>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0.87</w:t>
            </w:r>
          </w:p>
        </w:tc>
      </w:tr>
      <w:tr w:rsidR="008E29BE"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8E29BE" w:rsidRPr="005B7CDB" w:rsidRDefault="008E29B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350002</w:t>
            </w:r>
          </w:p>
        </w:tc>
        <w:tc>
          <w:tcPr>
            <w:tcW w:w="1984"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天治品质优选</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4.40</w:t>
            </w:r>
          </w:p>
        </w:tc>
        <w:tc>
          <w:tcPr>
            <w:tcW w:w="993" w:type="dxa"/>
            <w:vMerge/>
            <w:tcBorders>
              <w:left w:val="single" w:sz="6" w:space="0" w:color="FF6600"/>
              <w:right w:val="single" w:sz="6" w:space="0" w:color="FF6600"/>
            </w:tcBorders>
            <w:shd w:val="clear" w:color="auto" w:fill="FDE9D9" w:themeFill="accent6" w:themeFillTint="33"/>
            <w:vAlign w:val="center"/>
          </w:tcPr>
          <w:p w:rsidR="008E29BE" w:rsidRPr="005B7CDB" w:rsidRDefault="008E29B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161625</w:t>
            </w:r>
          </w:p>
        </w:tc>
        <w:tc>
          <w:tcPr>
            <w:tcW w:w="1843"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融通标普中国</w:t>
            </w:r>
            <w:proofErr w:type="gramEnd"/>
            <w:r w:rsidRPr="00C202CD">
              <w:rPr>
                <w:rFonts w:ascii="楷体" w:eastAsia="楷体" w:hAnsi="楷体" w:hint="eastAsia"/>
                <w:color w:val="000000"/>
                <w:sz w:val="18"/>
                <w:szCs w:val="18"/>
              </w:rPr>
              <w:t>可转债C</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0.78</w:t>
            </w:r>
          </w:p>
        </w:tc>
      </w:tr>
      <w:tr w:rsidR="008E29BE"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8E29BE" w:rsidRPr="005B7CDB" w:rsidRDefault="008E29BE"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350007</w:t>
            </w:r>
          </w:p>
        </w:tc>
        <w:tc>
          <w:tcPr>
            <w:tcW w:w="1984"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天</w:t>
            </w:r>
            <w:proofErr w:type="gramStart"/>
            <w:r w:rsidRPr="00C202CD">
              <w:rPr>
                <w:rFonts w:ascii="楷体" w:eastAsia="楷体" w:hAnsi="楷体" w:hint="eastAsia"/>
                <w:color w:val="000000"/>
                <w:sz w:val="18"/>
                <w:szCs w:val="18"/>
              </w:rPr>
              <w:t>治趋势</w:t>
            </w:r>
            <w:proofErr w:type="gramEnd"/>
            <w:r w:rsidRPr="00C202CD">
              <w:rPr>
                <w:rFonts w:ascii="楷体" w:eastAsia="楷体" w:hAnsi="楷体" w:hint="eastAsia"/>
                <w:color w:val="000000"/>
                <w:sz w:val="18"/>
                <w:szCs w:val="18"/>
              </w:rPr>
              <w:t>精选</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3.98</w:t>
            </w:r>
          </w:p>
        </w:tc>
        <w:tc>
          <w:tcPr>
            <w:tcW w:w="993" w:type="dxa"/>
            <w:vMerge/>
            <w:tcBorders>
              <w:left w:val="single" w:sz="6" w:space="0" w:color="FF6600"/>
              <w:right w:val="single" w:sz="6" w:space="0" w:color="FF6600"/>
            </w:tcBorders>
            <w:shd w:val="clear" w:color="auto" w:fill="FDE9D9" w:themeFill="accent6" w:themeFillTint="33"/>
            <w:vAlign w:val="center"/>
          </w:tcPr>
          <w:p w:rsidR="008E29BE" w:rsidRPr="005B7CDB" w:rsidRDefault="008E29BE"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161624</w:t>
            </w:r>
          </w:p>
        </w:tc>
        <w:tc>
          <w:tcPr>
            <w:tcW w:w="1843"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融通标普中国</w:t>
            </w:r>
            <w:proofErr w:type="gramEnd"/>
            <w:r w:rsidRPr="00C202CD">
              <w:rPr>
                <w:rFonts w:ascii="楷体" w:eastAsia="楷体" w:hAnsi="楷体" w:hint="eastAsia"/>
                <w:color w:val="000000"/>
                <w:sz w:val="18"/>
                <w:szCs w:val="18"/>
              </w:rPr>
              <w:t>可转债A</w:t>
            </w:r>
          </w:p>
        </w:tc>
        <w:tc>
          <w:tcPr>
            <w:tcW w:w="851" w:type="dxa"/>
            <w:tcBorders>
              <w:left w:val="single" w:sz="6" w:space="0" w:color="FF6600"/>
              <w:righ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8E29BE" w:rsidRPr="00C202CD" w:rsidRDefault="008E29BE"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0.66</w:t>
            </w:r>
          </w:p>
        </w:tc>
      </w:tr>
      <w:tr w:rsidR="00D15231"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D15231" w:rsidRPr="002F5B82" w:rsidRDefault="00D15231" w:rsidP="00884478">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50015</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博时大中华亚太精选</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6.07</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D15231" w:rsidRPr="005B7CDB" w:rsidRDefault="00D15231" w:rsidP="00884478">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D15231" w:rsidRPr="005B7CDB" w:rsidRDefault="00D15231" w:rsidP="00884478">
            <w:pPr>
              <w:snapToGrid w:val="0"/>
              <w:jc w:val="center"/>
              <w:rPr>
                <w:rFonts w:ascii="楷体" w:eastAsia="楷体" w:hAnsi="楷体" w:cs="宋体"/>
                <w:b/>
                <w:bCs/>
                <w:color w:val="000000"/>
                <w:sz w:val="18"/>
                <w:szCs w:val="18"/>
              </w:rPr>
            </w:pPr>
            <w:proofErr w:type="gramStart"/>
            <w:r w:rsidRPr="005B7CDB">
              <w:rPr>
                <w:rFonts w:ascii="楷体" w:eastAsia="楷体" w:hAnsi="楷体" w:hint="eastAsia"/>
                <w:b/>
                <w:bCs/>
                <w:color w:val="000000"/>
                <w:sz w:val="18"/>
                <w:szCs w:val="18"/>
              </w:rPr>
              <w:t>可转债基</w:t>
            </w:r>
            <w:proofErr w:type="gramEnd"/>
          </w:p>
        </w:tc>
        <w:tc>
          <w:tcPr>
            <w:tcW w:w="992"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470058</w:t>
            </w:r>
          </w:p>
        </w:tc>
        <w:tc>
          <w:tcPr>
            <w:tcW w:w="1843"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proofErr w:type="gramStart"/>
            <w:r w:rsidRPr="00C202CD">
              <w:rPr>
                <w:rFonts w:ascii="楷体" w:eastAsia="楷体" w:hAnsi="楷体" w:hint="eastAsia"/>
                <w:color w:val="000000"/>
                <w:sz w:val="18"/>
                <w:szCs w:val="18"/>
              </w:rPr>
              <w:t>汇添富</w:t>
            </w:r>
            <w:proofErr w:type="gramEnd"/>
            <w:r w:rsidRPr="00C202CD">
              <w:rPr>
                <w:rFonts w:ascii="楷体" w:eastAsia="楷体" w:hAnsi="楷体" w:hint="eastAsia"/>
                <w:color w:val="000000"/>
                <w:sz w:val="18"/>
                <w:szCs w:val="18"/>
              </w:rPr>
              <w:t>可转债A</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1.11</w:t>
            </w:r>
          </w:p>
        </w:tc>
      </w:tr>
      <w:tr w:rsidR="00D15231"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D15231" w:rsidRPr="006E55A6" w:rsidRDefault="00D15231"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241001</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华宝兴业中国成长</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5.89</w:t>
            </w:r>
          </w:p>
        </w:tc>
        <w:tc>
          <w:tcPr>
            <w:tcW w:w="993" w:type="dxa"/>
            <w:vMerge/>
            <w:tcBorders>
              <w:left w:val="single" w:sz="6" w:space="0" w:color="FF6600"/>
              <w:right w:val="single" w:sz="6" w:space="0" w:color="FF6600"/>
            </w:tcBorders>
            <w:shd w:val="clear" w:color="auto" w:fill="FDE9D9" w:themeFill="accent6" w:themeFillTint="33"/>
            <w:vAlign w:val="center"/>
          </w:tcPr>
          <w:p w:rsidR="00D15231" w:rsidRPr="005B7CDB" w:rsidRDefault="00D15231"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163817</w:t>
            </w:r>
          </w:p>
        </w:tc>
        <w:tc>
          <w:tcPr>
            <w:tcW w:w="1843"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中</w:t>
            </w:r>
            <w:proofErr w:type="gramStart"/>
            <w:r w:rsidRPr="00C202CD">
              <w:rPr>
                <w:rFonts w:ascii="楷体" w:eastAsia="楷体" w:hAnsi="楷体" w:hint="eastAsia"/>
                <w:color w:val="000000"/>
                <w:sz w:val="18"/>
                <w:szCs w:val="18"/>
              </w:rPr>
              <w:t>银转债增强</w:t>
            </w:r>
            <w:proofErr w:type="gramEnd"/>
            <w:r w:rsidRPr="00C202CD">
              <w:rPr>
                <w:rFonts w:ascii="楷体" w:eastAsia="楷体" w:hAnsi="楷体" w:hint="eastAsia"/>
                <w:color w:val="000000"/>
                <w:sz w:val="18"/>
                <w:szCs w:val="18"/>
              </w:rPr>
              <w:t>B</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w:t>
            </w:r>
          </w:p>
        </w:tc>
      </w:tr>
      <w:tr w:rsidR="00D15231"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D15231" w:rsidRPr="006E55A6" w:rsidRDefault="00D15231"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519602</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海富通大中华精选</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5.26</w:t>
            </w:r>
          </w:p>
        </w:tc>
        <w:tc>
          <w:tcPr>
            <w:tcW w:w="993" w:type="dxa"/>
            <w:vMerge/>
            <w:tcBorders>
              <w:left w:val="single" w:sz="6" w:space="0" w:color="FF6600"/>
              <w:right w:val="single" w:sz="6" w:space="0" w:color="FF6600"/>
            </w:tcBorders>
            <w:shd w:val="clear" w:color="auto" w:fill="FDE9D9" w:themeFill="accent6" w:themeFillTint="33"/>
            <w:vAlign w:val="center"/>
          </w:tcPr>
          <w:p w:rsidR="00D15231" w:rsidRPr="005B7CDB" w:rsidRDefault="00D15231"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50119</w:t>
            </w:r>
          </w:p>
        </w:tc>
        <w:tc>
          <w:tcPr>
            <w:tcW w:w="1843"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博时转债C</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w:t>
            </w:r>
          </w:p>
        </w:tc>
      </w:tr>
      <w:tr w:rsidR="003F15EB" w:rsidRPr="005B7CDB" w:rsidTr="001403F1">
        <w:trPr>
          <w:cantSplit/>
          <w:trHeight w:val="227"/>
        </w:trPr>
        <w:tc>
          <w:tcPr>
            <w:tcW w:w="851" w:type="dxa"/>
            <w:vMerge w:val="restart"/>
            <w:tcBorders>
              <w:right w:val="single" w:sz="6" w:space="0" w:color="FF6600"/>
            </w:tcBorders>
            <w:shd w:val="clear" w:color="auto" w:fill="FDE9D9" w:themeFill="accent6" w:themeFillTint="33"/>
            <w:vAlign w:val="center"/>
          </w:tcPr>
          <w:p w:rsidR="003F15EB" w:rsidRPr="005B7CDB" w:rsidRDefault="003F15EB"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3F15EB" w:rsidRPr="005B7CDB" w:rsidRDefault="003F15EB" w:rsidP="000D1136">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150022</w:t>
            </w:r>
          </w:p>
        </w:tc>
        <w:tc>
          <w:tcPr>
            <w:tcW w:w="1984"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proofErr w:type="gramStart"/>
            <w:r w:rsidRPr="001403F1">
              <w:rPr>
                <w:rFonts w:ascii="楷体" w:eastAsia="楷体" w:hAnsi="楷体" w:hint="eastAsia"/>
                <w:color w:val="000000"/>
                <w:sz w:val="18"/>
                <w:szCs w:val="18"/>
              </w:rPr>
              <w:t>申万菱</w:t>
            </w:r>
            <w:proofErr w:type="gramEnd"/>
            <w:r w:rsidRPr="001403F1">
              <w:rPr>
                <w:rFonts w:ascii="楷体" w:eastAsia="楷体" w:hAnsi="楷体" w:hint="eastAsia"/>
                <w:color w:val="000000"/>
                <w:sz w:val="18"/>
                <w:szCs w:val="18"/>
              </w:rPr>
              <w:t>信深</w:t>
            </w:r>
            <w:proofErr w:type="gramStart"/>
            <w:r w:rsidRPr="001403F1">
              <w:rPr>
                <w:rFonts w:ascii="楷体" w:eastAsia="楷体" w:hAnsi="楷体" w:hint="eastAsia"/>
                <w:color w:val="000000"/>
                <w:sz w:val="18"/>
                <w:szCs w:val="18"/>
              </w:rPr>
              <w:t>成收益</w:t>
            </w:r>
            <w:proofErr w:type="gramEnd"/>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2.66</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3F15EB" w:rsidRPr="00024C7D" w:rsidRDefault="003F15EB"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3F15EB" w:rsidRPr="00024C7D" w:rsidRDefault="003F15EB"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150019</w:t>
            </w:r>
          </w:p>
        </w:tc>
        <w:tc>
          <w:tcPr>
            <w:tcW w:w="1843"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银华锐进</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10.51</w:t>
            </w:r>
          </w:p>
        </w:tc>
      </w:tr>
      <w:tr w:rsidR="003F15EB" w:rsidRPr="005B7CDB" w:rsidTr="001403F1">
        <w:trPr>
          <w:cantSplit/>
          <w:trHeight w:val="227"/>
        </w:trPr>
        <w:tc>
          <w:tcPr>
            <w:tcW w:w="851" w:type="dxa"/>
            <w:vMerge/>
            <w:tcBorders>
              <w:right w:val="single" w:sz="6" w:space="0" w:color="FF6600"/>
            </w:tcBorders>
            <w:shd w:val="clear" w:color="auto" w:fill="FDE9D9" w:themeFill="accent6" w:themeFillTint="33"/>
            <w:vAlign w:val="center"/>
          </w:tcPr>
          <w:p w:rsidR="003F15EB" w:rsidRPr="005B7CDB" w:rsidRDefault="003F15EB"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150016</w:t>
            </w:r>
          </w:p>
        </w:tc>
        <w:tc>
          <w:tcPr>
            <w:tcW w:w="1984"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兴全合润分级A</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1.84</w:t>
            </w:r>
          </w:p>
        </w:tc>
        <w:tc>
          <w:tcPr>
            <w:tcW w:w="993" w:type="dxa"/>
            <w:vMerge/>
            <w:tcBorders>
              <w:left w:val="single" w:sz="6" w:space="0" w:color="FF6600"/>
              <w:right w:val="single" w:sz="6" w:space="0" w:color="FF6600"/>
            </w:tcBorders>
            <w:shd w:val="clear" w:color="auto" w:fill="FDE9D9" w:themeFill="accent6" w:themeFillTint="33"/>
            <w:vAlign w:val="center"/>
          </w:tcPr>
          <w:p w:rsidR="003F15EB" w:rsidRPr="00024C7D" w:rsidRDefault="003F15EB"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150084</w:t>
            </w:r>
          </w:p>
        </w:tc>
        <w:tc>
          <w:tcPr>
            <w:tcW w:w="1843"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proofErr w:type="gramStart"/>
            <w:r w:rsidRPr="001403F1">
              <w:rPr>
                <w:rFonts w:ascii="楷体" w:eastAsia="楷体" w:hAnsi="楷体" w:hint="eastAsia"/>
                <w:color w:val="000000"/>
                <w:sz w:val="18"/>
                <w:szCs w:val="18"/>
              </w:rPr>
              <w:t>广发深证</w:t>
            </w:r>
            <w:proofErr w:type="gramEnd"/>
            <w:r w:rsidRPr="001403F1">
              <w:rPr>
                <w:rFonts w:ascii="楷体" w:eastAsia="楷体" w:hAnsi="楷体" w:hint="eastAsia"/>
                <w:color w:val="000000"/>
                <w:sz w:val="18"/>
                <w:szCs w:val="18"/>
              </w:rPr>
              <w:t>100B</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7.52</w:t>
            </w:r>
          </w:p>
        </w:tc>
      </w:tr>
      <w:tr w:rsidR="003F15EB" w:rsidRPr="005B7CDB" w:rsidTr="001403F1">
        <w:trPr>
          <w:cantSplit/>
          <w:trHeight w:val="227"/>
        </w:trPr>
        <w:tc>
          <w:tcPr>
            <w:tcW w:w="851" w:type="dxa"/>
            <w:vMerge/>
            <w:tcBorders>
              <w:right w:val="single" w:sz="6" w:space="0" w:color="FF6600"/>
            </w:tcBorders>
            <w:shd w:val="clear" w:color="auto" w:fill="FDE9D9" w:themeFill="accent6" w:themeFillTint="33"/>
            <w:vAlign w:val="center"/>
          </w:tcPr>
          <w:p w:rsidR="003F15EB" w:rsidRPr="005B7CDB" w:rsidRDefault="003F15EB"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150008</w:t>
            </w:r>
          </w:p>
        </w:tc>
        <w:tc>
          <w:tcPr>
            <w:tcW w:w="1984"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国</w:t>
            </w:r>
            <w:proofErr w:type="gramStart"/>
            <w:r w:rsidRPr="001403F1">
              <w:rPr>
                <w:rFonts w:ascii="楷体" w:eastAsia="楷体" w:hAnsi="楷体" w:hint="eastAsia"/>
                <w:color w:val="000000"/>
                <w:sz w:val="18"/>
                <w:szCs w:val="18"/>
              </w:rPr>
              <w:t>投瑞银瑞</w:t>
            </w:r>
            <w:proofErr w:type="gramEnd"/>
            <w:r w:rsidRPr="001403F1">
              <w:rPr>
                <w:rFonts w:ascii="楷体" w:eastAsia="楷体" w:hAnsi="楷体" w:hint="eastAsia"/>
                <w:color w:val="000000"/>
                <w:sz w:val="18"/>
                <w:szCs w:val="18"/>
              </w:rPr>
              <w:t>和小康</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1.49</w:t>
            </w:r>
          </w:p>
        </w:tc>
        <w:tc>
          <w:tcPr>
            <w:tcW w:w="993" w:type="dxa"/>
            <w:vMerge/>
            <w:tcBorders>
              <w:left w:val="single" w:sz="6" w:space="0" w:color="FF6600"/>
              <w:right w:val="single" w:sz="6" w:space="0" w:color="FF6600"/>
            </w:tcBorders>
            <w:shd w:val="clear" w:color="auto" w:fill="FDE9D9" w:themeFill="accent6" w:themeFillTint="33"/>
            <w:vAlign w:val="center"/>
          </w:tcPr>
          <w:p w:rsidR="003F15EB" w:rsidRPr="00024C7D" w:rsidRDefault="003F15EB" w:rsidP="00797357">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150086</w:t>
            </w:r>
          </w:p>
        </w:tc>
        <w:tc>
          <w:tcPr>
            <w:tcW w:w="1843"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proofErr w:type="gramStart"/>
            <w:r w:rsidRPr="001403F1">
              <w:rPr>
                <w:rFonts w:ascii="楷体" w:eastAsia="楷体" w:hAnsi="楷体" w:hint="eastAsia"/>
                <w:color w:val="000000"/>
                <w:sz w:val="18"/>
                <w:szCs w:val="18"/>
              </w:rPr>
              <w:t>申万菱</w:t>
            </w:r>
            <w:proofErr w:type="gramEnd"/>
            <w:r w:rsidRPr="001403F1">
              <w:rPr>
                <w:rFonts w:ascii="楷体" w:eastAsia="楷体" w:hAnsi="楷体" w:hint="eastAsia"/>
                <w:color w:val="000000"/>
                <w:sz w:val="18"/>
                <w:szCs w:val="18"/>
              </w:rPr>
              <w:t>信中小板B</w:t>
            </w:r>
          </w:p>
        </w:tc>
        <w:tc>
          <w:tcPr>
            <w:tcW w:w="851" w:type="dxa"/>
            <w:tcBorders>
              <w:left w:val="single" w:sz="6" w:space="0" w:color="FF6600"/>
              <w:righ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3F15EB" w:rsidRPr="001403F1" w:rsidRDefault="003F15EB" w:rsidP="001403F1">
            <w:pPr>
              <w:snapToGrid w:val="0"/>
              <w:jc w:val="center"/>
              <w:rPr>
                <w:rFonts w:ascii="楷体" w:eastAsia="楷体" w:hAnsi="楷体"/>
                <w:color w:val="000000"/>
                <w:sz w:val="18"/>
                <w:szCs w:val="18"/>
              </w:rPr>
            </w:pPr>
            <w:r w:rsidRPr="001403F1">
              <w:rPr>
                <w:rFonts w:ascii="楷体" w:eastAsia="楷体" w:hAnsi="楷体" w:hint="eastAsia"/>
                <w:color w:val="000000"/>
                <w:sz w:val="18"/>
                <w:szCs w:val="18"/>
              </w:rPr>
              <w:t>6.89</w:t>
            </w:r>
          </w:p>
        </w:tc>
      </w:tr>
      <w:tr w:rsidR="00905090" w:rsidRPr="005B7CDB" w:rsidTr="00905090">
        <w:trPr>
          <w:cantSplit/>
          <w:trHeight w:val="227"/>
        </w:trPr>
        <w:tc>
          <w:tcPr>
            <w:tcW w:w="851" w:type="dxa"/>
            <w:vMerge w:val="restart"/>
            <w:tcBorders>
              <w:right w:val="single" w:sz="6" w:space="0" w:color="FF6600"/>
            </w:tcBorders>
            <w:shd w:val="clear" w:color="auto" w:fill="FDE9D9" w:themeFill="accent6" w:themeFillTint="33"/>
            <w:vAlign w:val="center"/>
          </w:tcPr>
          <w:p w:rsidR="00905090" w:rsidRPr="005B7CDB" w:rsidRDefault="00905090" w:rsidP="000D1136">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905090" w:rsidRPr="005B7CDB" w:rsidRDefault="00905090" w:rsidP="000D1136">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150032</w:t>
            </w:r>
          </w:p>
        </w:tc>
        <w:tc>
          <w:tcPr>
            <w:tcW w:w="1984"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嘉实多利优先</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0.10</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905090" w:rsidRPr="00024C7D" w:rsidRDefault="00905090"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905090" w:rsidRPr="00024C7D" w:rsidRDefault="00905090" w:rsidP="00797357">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150144</w:t>
            </w:r>
          </w:p>
        </w:tc>
        <w:tc>
          <w:tcPr>
            <w:tcW w:w="1843"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银</w:t>
            </w:r>
            <w:proofErr w:type="gramStart"/>
            <w:r w:rsidRPr="00905090">
              <w:rPr>
                <w:rFonts w:ascii="楷体" w:eastAsia="楷体" w:hAnsi="楷体" w:hint="eastAsia"/>
                <w:color w:val="000000"/>
                <w:sz w:val="18"/>
                <w:szCs w:val="18"/>
              </w:rPr>
              <w:t>华中证转债</w:t>
            </w:r>
            <w:proofErr w:type="gramEnd"/>
            <w:r w:rsidRPr="00905090">
              <w:rPr>
                <w:rFonts w:ascii="楷体" w:eastAsia="楷体" w:hAnsi="楷体" w:hint="eastAsia"/>
                <w:color w:val="000000"/>
                <w:sz w:val="18"/>
                <w:szCs w:val="18"/>
              </w:rPr>
              <w:t>B</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3.53</w:t>
            </w:r>
          </w:p>
        </w:tc>
      </w:tr>
      <w:tr w:rsidR="00905090" w:rsidRPr="005B7CDB" w:rsidTr="00905090">
        <w:trPr>
          <w:cantSplit/>
          <w:trHeight w:val="227"/>
        </w:trPr>
        <w:tc>
          <w:tcPr>
            <w:tcW w:w="851" w:type="dxa"/>
            <w:vMerge/>
            <w:tcBorders>
              <w:right w:val="single" w:sz="6" w:space="0" w:color="FF6600"/>
            </w:tcBorders>
            <w:shd w:val="clear" w:color="auto" w:fill="FDE9D9" w:themeFill="accent6" w:themeFillTint="33"/>
            <w:vAlign w:val="center"/>
          </w:tcPr>
          <w:p w:rsidR="00905090" w:rsidRPr="005B7CDB" w:rsidRDefault="0090509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163826</w:t>
            </w:r>
          </w:p>
        </w:tc>
        <w:tc>
          <w:tcPr>
            <w:tcW w:w="1984"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中银互利A</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0.10</w:t>
            </w:r>
          </w:p>
        </w:tc>
        <w:tc>
          <w:tcPr>
            <w:tcW w:w="993" w:type="dxa"/>
            <w:vMerge/>
            <w:tcBorders>
              <w:left w:val="single" w:sz="6" w:space="0" w:color="FF6600"/>
              <w:right w:val="single" w:sz="6" w:space="0" w:color="FF6600"/>
            </w:tcBorders>
            <w:shd w:val="clear" w:color="auto" w:fill="FDE9D9" w:themeFill="accent6" w:themeFillTint="33"/>
            <w:vAlign w:val="center"/>
          </w:tcPr>
          <w:p w:rsidR="00905090" w:rsidRPr="00797357" w:rsidRDefault="0090509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150033</w:t>
            </w:r>
          </w:p>
        </w:tc>
        <w:tc>
          <w:tcPr>
            <w:tcW w:w="1843"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嘉实多利进取</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开放式</w:t>
            </w:r>
          </w:p>
        </w:tc>
        <w:tc>
          <w:tcPr>
            <w:tcW w:w="850" w:type="dxa"/>
            <w:tcBorders>
              <w:lef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1.32</w:t>
            </w:r>
          </w:p>
        </w:tc>
      </w:tr>
      <w:tr w:rsidR="00905090" w:rsidRPr="005B7CDB" w:rsidTr="00905090">
        <w:trPr>
          <w:cantSplit/>
          <w:trHeight w:val="227"/>
        </w:trPr>
        <w:tc>
          <w:tcPr>
            <w:tcW w:w="851" w:type="dxa"/>
            <w:vMerge/>
            <w:tcBorders>
              <w:right w:val="single" w:sz="6" w:space="0" w:color="FF6600"/>
            </w:tcBorders>
            <w:shd w:val="clear" w:color="auto" w:fill="FDE9D9" w:themeFill="accent6" w:themeFillTint="33"/>
            <w:vAlign w:val="center"/>
          </w:tcPr>
          <w:p w:rsidR="00905090" w:rsidRPr="005B7CDB" w:rsidRDefault="00905090" w:rsidP="000D1136">
            <w:pPr>
              <w:snapToGrid w:val="0"/>
              <w:jc w:val="center"/>
              <w:rPr>
                <w:rFonts w:ascii="楷体" w:eastAsia="楷体" w:hAnsi="楷体"/>
                <w:b/>
                <w:sz w:val="18"/>
                <w:szCs w:val="18"/>
              </w:rPr>
            </w:pP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163910</w:t>
            </w:r>
          </w:p>
        </w:tc>
        <w:tc>
          <w:tcPr>
            <w:tcW w:w="1984"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中</w:t>
            </w:r>
            <w:proofErr w:type="gramStart"/>
            <w:r w:rsidRPr="00905090">
              <w:rPr>
                <w:rFonts w:ascii="楷体" w:eastAsia="楷体" w:hAnsi="楷体" w:hint="eastAsia"/>
                <w:color w:val="000000"/>
                <w:sz w:val="18"/>
                <w:szCs w:val="18"/>
              </w:rPr>
              <w:t>海惠丰纯债</w:t>
            </w:r>
            <w:proofErr w:type="gramEnd"/>
            <w:r w:rsidRPr="00905090">
              <w:rPr>
                <w:rFonts w:ascii="楷体" w:eastAsia="楷体" w:hAnsi="楷体" w:hint="eastAsia"/>
                <w:color w:val="000000"/>
                <w:sz w:val="18"/>
                <w:szCs w:val="18"/>
              </w:rPr>
              <w:t>A</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0.10</w:t>
            </w:r>
          </w:p>
        </w:tc>
        <w:tc>
          <w:tcPr>
            <w:tcW w:w="993" w:type="dxa"/>
            <w:vMerge/>
            <w:tcBorders>
              <w:left w:val="single" w:sz="6" w:space="0" w:color="FF6600"/>
              <w:right w:val="single" w:sz="6" w:space="0" w:color="FF6600"/>
            </w:tcBorders>
            <w:shd w:val="clear" w:color="auto" w:fill="FDE9D9" w:themeFill="accent6" w:themeFillTint="33"/>
            <w:vAlign w:val="center"/>
          </w:tcPr>
          <w:p w:rsidR="00905090" w:rsidRPr="00797357" w:rsidRDefault="00905090" w:rsidP="00797357">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150132</w:t>
            </w:r>
          </w:p>
        </w:tc>
        <w:tc>
          <w:tcPr>
            <w:tcW w:w="1843"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金鹰元盛分级B</w:t>
            </w:r>
          </w:p>
        </w:tc>
        <w:tc>
          <w:tcPr>
            <w:tcW w:w="851" w:type="dxa"/>
            <w:tcBorders>
              <w:left w:val="single" w:sz="6" w:space="0" w:color="FF6600"/>
              <w:righ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封闭式</w:t>
            </w:r>
          </w:p>
        </w:tc>
        <w:tc>
          <w:tcPr>
            <w:tcW w:w="850" w:type="dxa"/>
            <w:tcBorders>
              <w:left w:val="single" w:sz="6" w:space="0" w:color="FF6600"/>
            </w:tcBorders>
            <w:shd w:val="clear" w:color="auto" w:fill="auto"/>
            <w:vAlign w:val="center"/>
          </w:tcPr>
          <w:p w:rsidR="00905090" w:rsidRPr="00905090" w:rsidRDefault="00905090" w:rsidP="00905090">
            <w:pPr>
              <w:snapToGrid w:val="0"/>
              <w:jc w:val="center"/>
              <w:rPr>
                <w:rFonts w:ascii="楷体" w:eastAsia="楷体" w:hAnsi="楷体"/>
                <w:color w:val="000000"/>
                <w:sz w:val="18"/>
                <w:szCs w:val="18"/>
              </w:rPr>
            </w:pPr>
            <w:r w:rsidRPr="00905090">
              <w:rPr>
                <w:rFonts w:ascii="楷体" w:eastAsia="楷体" w:hAnsi="楷体" w:hint="eastAsia"/>
                <w:color w:val="000000"/>
                <w:sz w:val="18"/>
                <w:szCs w:val="18"/>
              </w:rPr>
              <w:t>0.82</w:t>
            </w:r>
          </w:p>
        </w:tc>
      </w:tr>
      <w:tr w:rsidR="00D15231" w:rsidRPr="005B7CDB" w:rsidTr="00C202CD">
        <w:trPr>
          <w:cantSplit/>
          <w:trHeight w:val="227"/>
        </w:trPr>
        <w:tc>
          <w:tcPr>
            <w:tcW w:w="851" w:type="dxa"/>
            <w:vMerge w:val="restart"/>
            <w:tcBorders>
              <w:right w:val="single" w:sz="6" w:space="0" w:color="FF6600"/>
            </w:tcBorders>
            <w:shd w:val="clear" w:color="auto" w:fill="FDE9D9" w:themeFill="accent6" w:themeFillTint="33"/>
            <w:vAlign w:val="center"/>
          </w:tcPr>
          <w:p w:rsidR="00D15231" w:rsidRPr="001B6D2E" w:rsidRDefault="00D15231" w:rsidP="00884478">
            <w:pPr>
              <w:snapToGrid w:val="0"/>
              <w:jc w:val="center"/>
              <w:rPr>
                <w:rFonts w:ascii="楷体" w:eastAsia="楷体" w:hAnsi="楷体"/>
                <w:b/>
                <w:sz w:val="18"/>
                <w:szCs w:val="18"/>
              </w:rPr>
            </w:pPr>
            <w:r w:rsidRPr="001B6D2E">
              <w:rPr>
                <w:rFonts w:ascii="楷体" w:eastAsia="楷体" w:hAnsi="楷体"/>
                <w:b/>
                <w:sz w:val="18"/>
                <w:szCs w:val="18"/>
              </w:rPr>
              <w:t>货币市场</w:t>
            </w:r>
          </w:p>
          <w:p w:rsidR="00D15231" w:rsidRPr="009E3A78" w:rsidRDefault="00D15231" w:rsidP="00884478">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110016</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易方达货币B</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9.66</w:t>
            </w:r>
          </w:p>
        </w:tc>
        <w:tc>
          <w:tcPr>
            <w:tcW w:w="993" w:type="dxa"/>
            <w:vMerge w:val="restart"/>
            <w:tcBorders>
              <w:left w:val="single" w:sz="6" w:space="0" w:color="FF6600"/>
              <w:right w:val="single" w:sz="6" w:space="0" w:color="FF6600"/>
            </w:tcBorders>
            <w:shd w:val="clear" w:color="auto" w:fill="FDE9D9" w:themeFill="accent6" w:themeFillTint="33"/>
            <w:vAlign w:val="center"/>
          </w:tcPr>
          <w:p w:rsidR="00D15231" w:rsidRPr="007E607C" w:rsidRDefault="00D15231" w:rsidP="007E607C">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shd w:val="clear" w:color="auto" w:fill="auto"/>
            <w:vAlign w:val="center"/>
          </w:tcPr>
          <w:p w:rsidR="00D15231" w:rsidRPr="005B7CDB" w:rsidRDefault="00D15231" w:rsidP="00884478">
            <w:pPr>
              <w:snapToGrid w:val="0"/>
              <w:jc w:val="center"/>
              <w:rPr>
                <w:rFonts w:ascii="楷体" w:eastAsia="楷体" w:hAnsi="楷体" w:cs="宋体"/>
                <w:color w:val="000000"/>
                <w:sz w:val="18"/>
                <w:szCs w:val="18"/>
              </w:rPr>
            </w:pPr>
          </w:p>
        </w:tc>
        <w:tc>
          <w:tcPr>
            <w:tcW w:w="1843" w:type="dxa"/>
            <w:tcBorders>
              <w:left w:val="single" w:sz="6" w:space="0" w:color="FF6600"/>
              <w:right w:val="single" w:sz="6" w:space="0" w:color="FF6600"/>
            </w:tcBorders>
            <w:shd w:val="clear" w:color="auto" w:fill="auto"/>
            <w:vAlign w:val="center"/>
          </w:tcPr>
          <w:p w:rsidR="00D15231" w:rsidRPr="005B7CDB" w:rsidRDefault="00D15231" w:rsidP="00884478">
            <w:pPr>
              <w:snapToGrid w:val="0"/>
              <w:jc w:val="center"/>
              <w:rPr>
                <w:rFonts w:ascii="楷体" w:eastAsia="楷体" w:hAnsi="楷体" w:cs="宋体"/>
                <w:color w:val="000000"/>
                <w:sz w:val="18"/>
                <w:szCs w:val="18"/>
              </w:rPr>
            </w:pPr>
          </w:p>
        </w:tc>
        <w:tc>
          <w:tcPr>
            <w:tcW w:w="851" w:type="dxa"/>
            <w:tcBorders>
              <w:left w:val="single" w:sz="6" w:space="0" w:color="FF6600"/>
              <w:right w:val="single" w:sz="6" w:space="0" w:color="FF6600"/>
            </w:tcBorders>
            <w:shd w:val="clear" w:color="auto" w:fill="auto"/>
            <w:vAlign w:val="center"/>
          </w:tcPr>
          <w:p w:rsidR="00D15231" w:rsidRPr="005B7CDB" w:rsidRDefault="00D15231" w:rsidP="00884478">
            <w:pPr>
              <w:snapToGrid w:val="0"/>
              <w:jc w:val="center"/>
              <w:rPr>
                <w:rFonts w:ascii="楷体" w:eastAsia="楷体" w:hAnsi="楷体" w:cs="宋体"/>
                <w:color w:val="000000"/>
                <w:sz w:val="18"/>
                <w:szCs w:val="18"/>
              </w:rPr>
            </w:pPr>
          </w:p>
        </w:tc>
        <w:tc>
          <w:tcPr>
            <w:tcW w:w="850" w:type="dxa"/>
            <w:tcBorders>
              <w:left w:val="single" w:sz="6" w:space="0" w:color="FF6600"/>
            </w:tcBorders>
            <w:shd w:val="clear" w:color="auto" w:fill="auto"/>
            <w:vAlign w:val="center"/>
          </w:tcPr>
          <w:p w:rsidR="00D15231" w:rsidRPr="005B7CDB" w:rsidRDefault="00D15231" w:rsidP="00884478">
            <w:pPr>
              <w:snapToGrid w:val="0"/>
              <w:jc w:val="center"/>
              <w:rPr>
                <w:rFonts w:ascii="楷体" w:eastAsia="楷体" w:hAnsi="楷体" w:cs="宋体"/>
                <w:color w:val="000000"/>
                <w:sz w:val="18"/>
                <w:szCs w:val="18"/>
              </w:rPr>
            </w:pPr>
          </w:p>
        </w:tc>
      </w:tr>
      <w:tr w:rsidR="00D15231"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D15231" w:rsidRPr="009E3A78" w:rsidRDefault="00D15231"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110006</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易方达货币A</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9.4</w:t>
            </w:r>
            <w:r w:rsidR="00C202CD" w:rsidRPr="00C202CD">
              <w:rPr>
                <w:rFonts w:ascii="楷体" w:eastAsia="楷体" w:hAnsi="楷体" w:hint="eastAsia"/>
                <w:color w:val="000000"/>
                <w:sz w:val="18"/>
                <w:szCs w:val="18"/>
              </w:rPr>
              <w:t>3</w:t>
            </w:r>
          </w:p>
        </w:tc>
        <w:tc>
          <w:tcPr>
            <w:tcW w:w="993" w:type="dxa"/>
            <w:vMerge/>
            <w:tcBorders>
              <w:left w:val="single" w:sz="6" w:space="0" w:color="FF6600"/>
              <w:right w:val="single" w:sz="6" w:space="0" w:color="FF6600"/>
            </w:tcBorders>
            <w:shd w:val="clear" w:color="auto" w:fill="FDE9D9" w:themeFill="accent6" w:themeFillTint="33"/>
            <w:vAlign w:val="center"/>
          </w:tcPr>
          <w:p w:rsidR="00D15231" w:rsidRPr="005B7CDB" w:rsidRDefault="00D15231"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r>
      <w:tr w:rsidR="00D15231" w:rsidRPr="005B7CDB" w:rsidTr="00C202CD">
        <w:trPr>
          <w:cantSplit/>
          <w:trHeight w:val="227"/>
        </w:trPr>
        <w:tc>
          <w:tcPr>
            <w:tcW w:w="851" w:type="dxa"/>
            <w:vMerge/>
            <w:tcBorders>
              <w:right w:val="single" w:sz="6" w:space="0" w:color="FF6600"/>
            </w:tcBorders>
            <w:shd w:val="clear" w:color="auto" w:fill="FDE9D9" w:themeFill="accent6" w:themeFillTint="33"/>
            <w:vAlign w:val="center"/>
          </w:tcPr>
          <w:p w:rsidR="00D15231" w:rsidRPr="009E3A78" w:rsidRDefault="00D15231" w:rsidP="000D1136">
            <w:pPr>
              <w:snapToGrid w:val="0"/>
              <w:jc w:val="center"/>
              <w:rPr>
                <w:rFonts w:ascii="楷体" w:eastAsia="楷体" w:hAnsi="楷体"/>
                <w:b/>
                <w:color w:val="FF0000"/>
                <w:sz w:val="18"/>
                <w:szCs w:val="18"/>
              </w:rPr>
            </w:pP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213909</w:t>
            </w:r>
          </w:p>
        </w:tc>
        <w:tc>
          <w:tcPr>
            <w:tcW w:w="1984"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宝</w:t>
            </w:r>
            <w:proofErr w:type="gramStart"/>
            <w:r w:rsidRPr="00C202CD">
              <w:rPr>
                <w:rFonts w:ascii="楷体" w:eastAsia="楷体" w:hAnsi="楷体" w:hint="eastAsia"/>
                <w:color w:val="000000"/>
                <w:sz w:val="18"/>
                <w:szCs w:val="18"/>
              </w:rPr>
              <w:t>盈货币</w:t>
            </w:r>
            <w:proofErr w:type="gramEnd"/>
            <w:r w:rsidRPr="00C202CD">
              <w:rPr>
                <w:rFonts w:ascii="楷体" w:eastAsia="楷体" w:hAnsi="楷体" w:hint="eastAsia"/>
                <w:color w:val="000000"/>
                <w:sz w:val="18"/>
                <w:szCs w:val="18"/>
              </w:rPr>
              <w:t>B</w:t>
            </w:r>
          </w:p>
        </w:tc>
        <w:tc>
          <w:tcPr>
            <w:tcW w:w="85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开放式</w:t>
            </w:r>
          </w:p>
        </w:tc>
        <w:tc>
          <w:tcPr>
            <w:tcW w:w="991" w:type="dxa"/>
            <w:tcBorders>
              <w:left w:val="single" w:sz="6" w:space="0" w:color="FF6600"/>
              <w:right w:val="single" w:sz="6" w:space="0" w:color="FF6600"/>
            </w:tcBorders>
            <w:shd w:val="clear" w:color="auto" w:fill="auto"/>
            <w:vAlign w:val="center"/>
          </w:tcPr>
          <w:p w:rsidR="00D15231" w:rsidRPr="00C202CD" w:rsidRDefault="00D15231" w:rsidP="00C202CD">
            <w:pPr>
              <w:snapToGrid w:val="0"/>
              <w:jc w:val="center"/>
              <w:rPr>
                <w:rFonts w:ascii="楷体" w:eastAsia="楷体" w:hAnsi="楷体"/>
                <w:color w:val="000000"/>
                <w:sz w:val="18"/>
                <w:szCs w:val="18"/>
              </w:rPr>
            </w:pPr>
            <w:r w:rsidRPr="00C202CD">
              <w:rPr>
                <w:rFonts w:ascii="楷体" w:eastAsia="楷体" w:hAnsi="楷体" w:hint="eastAsia"/>
                <w:color w:val="000000"/>
                <w:sz w:val="18"/>
                <w:szCs w:val="18"/>
              </w:rPr>
              <w:t>8.27</w:t>
            </w:r>
          </w:p>
        </w:tc>
        <w:tc>
          <w:tcPr>
            <w:tcW w:w="993" w:type="dxa"/>
            <w:vMerge/>
            <w:tcBorders>
              <w:left w:val="single" w:sz="6" w:space="0" w:color="FF6600"/>
              <w:right w:val="single" w:sz="6" w:space="0" w:color="FF6600"/>
            </w:tcBorders>
            <w:shd w:val="clear" w:color="auto" w:fill="FDE9D9" w:themeFill="accent6" w:themeFillTint="33"/>
            <w:vAlign w:val="center"/>
          </w:tcPr>
          <w:p w:rsidR="00D15231" w:rsidRPr="005B7CDB" w:rsidRDefault="00D15231" w:rsidP="000D1136">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c>
          <w:tcPr>
            <w:tcW w:w="1843"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c>
          <w:tcPr>
            <w:tcW w:w="851" w:type="dxa"/>
            <w:tcBorders>
              <w:left w:val="single" w:sz="6" w:space="0" w:color="FF6600"/>
              <w:right w:val="single" w:sz="6" w:space="0" w:color="FF6600"/>
            </w:tcBorders>
            <w:shd w:val="clear" w:color="auto" w:fill="auto"/>
            <w:vAlign w:val="center"/>
          </w:tcPr>
          <w:p w:rsidR="00D15231" w:rsidRPr="005B7CDB" w:rsidRDefault="00D15231" w:rsidP="000D1136">
            <w:pPr>
              <w:snapToGrid w:val="0"/>
              <w:jc w:val="center"/>
              <w:rPr>
                <w:rFonts w:ascii="楷体" w:eastAsia="楷体" w:hAnsi="楷体"/>
                <w:sz w:val="18"/>
                <w:szCs w:val="18"/>
              </w:rPr>
            </w:pPr>
          </w:p>
        </w:tc>
        <w:tc>
          <w:tcPr>
            <w:tcW w:w="850" w:type="dxa"/>
            <w:tcBorders>
              <w:left w:val="single" w:sz="6" w:space="0" w:color="FF6600"/>
            </w:tcBorders>
            <w:shd w:val="clear" w:color="auto" w:fill="auto"/>
            <w:vAlign w:val="center"/>
          </w:tcPr>
          <w:p w:rsidR="00D15231" w:rsidRPr="005B7CDB" w:rsidRDefault="00D15231" w:rsidP="000D1136">
            <w:pPr>
              <w:snapToGrid w:val="0"/>
              <w:jc w:val="center"/>
              <w:rPr>
                <w:rFonts w:ascii="楷体" w:eastAsia="楷体" w:hAnsi="楷体"/>
                <w:color w:val="000000"/>
                <w:sz w:val="18"/>
                <w:szCs w:val="18"/>
              </w:rPr>
            </w:pPr>
          </w:p>
        </w:tc>
      </w:tr>
    </w:tbl>
    <w:p w:rsidR="008177CF" w:rsidRPr="005B7CDB" w:rsidRDefault="008177CF" w:rsidP="008177CF">
      <w:pPr>
        <w:pStyle w:val="FootnoteNoline"/>
        <w:ind w:left="0"/>
        <w:rPr>
          <w:rFonts w:ascii="楷体" w:eastAsia="楷体" w:hAnsi="楷体"/>
          <w:color w:val="FF6600"/>
          <w:lang w:val="en-US"/>
        </w:rPr>
      </w:pPr>
      <w:r w:rsidRPr="005B7CDB">
        <w:rPr>
          <w:rFonts w:ascii="楷体" w:eastAsia="楷体" w:hAnsi="楷体" w:hint="eastAsia"/>
          <w:color w:val="FF6600"/>
          <w:lang w:val="en-US"/>
        </w:rPr>
        <w:t>来源：</w:t>
      </w:r>
      <w:proofErr w:type="gramStart"/>
      <w:r w:rsidRPr="005B7CDB">
        <w:rPr>
          <w:rFonts w:ascii="楷体" w:eastAsia="楷体" w:hAnsi="楷体" w:hint="eastAsia"/>
          <w:color w:val="FF6600"/>
          <w:lang w:val="en-US"/>
        </w:rPr>
        <w:t>凯</w:t>
      </w:r>
      <w:proofErr w:type="gramEnd"/>
      <w:r w:rsidRPr="005B7CDB">
        <w:rPr>
          <w:rFonts w:ascii="楷体" w:eastAsia="楷体" w:hAnsi="楷体" w:hint="eastAsia"/>
          <w:color w:val="FF6600"/>
          <w:lang w:val="en-US"/>
        </w:rPr>
        <w:t>石财富工场</w:t>
      </w:r>
    </w:p>
    <w:p w:rsidR="008177CF" w:rsidRPr="005B7CDB" w:rsidRDefault="008177CF" w:rsidP="00963262">
      <w:pPr>
        <w:pStyle w:val="ab"/>
        <w:spacing w:after="163"/>
        <w:ind w:left="3799"/>
        <w:rPr>
          <w:rFonts w:ascii="楷体" w:eastAsia="楷体" w:hAnsi="楷体"/>
        </w:rPr>
      </w:pPr>
    </w:p>
    <w:p w:rsidR="00B10000" w:rsidRPr="005B7CDB" w:rsidRDefault="00B10000" w:rsidP="009F0008">
      <w:pPr>
        <w:widowControl/>
        <w:jc w:val="left"/>
        <w:rPr>
          <w:rFonts w:ascii="楷体" w:eastAsia="楷体" w:hAnsi="楷体"/>
          <w:b/>
          <w:szCs w:val="21"/>
        </w:rPr>
      </w:pPr>
      <w:r w:rsidRPr="005B7CDB">
        <w:rPr>
          <w:rFonts w:ascii="楷体" w:eastAsia="楷体" w:hAnsi="楷体"/>
          <w:b/>
          <w:kern w:val="0"/>
          <w:szCs w:val="20"/>
          <w:lang w:val="en-GB"/>
        </w:rPr>
        <w:br w:type="page"/>
      </w:r>
      <w:r w:rsidRPr="005B7CDB">
        <w:rPr>
          <w:rFonts w:ascii="楷体" w:eastAsia="楷体" w:hAnsi="楷体" w:cs="宋体" w:hint="eastAsia"/>
          <w:b/>
          <w:kern w:val="0"/>
          <w:szCs w:val="20"/>
          <w:lang w:val="en-GB"/>
        </w:rPr>
        <w:lastRenderedPageBreak/>
        <w:t>特别声明：</w:t>
      </w:r>
    </w:p>
    <w:p w:rsidR="00B10000" w:rsidRPr="005B7CDB" w:rsidRDefault="00B10000" w:rsidP="0046596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46596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46596D">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3"/>
      <w:footerReference w:type="default" r:id="rId14"/>
      <w:headerReference w:type="first" r:id="rId15"/>
      <w:footerReference w:type="first" r:id="rId16"/>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FF7" w:rsidRDefault="00C02FF7" w:rsidP="00B10000">
      <w:r>
        <w:separator/>
      </w:r>
    </w:p>
  </w:endnote>
  <w:endnote w:type="continuationSeparator" w:id="0">
    <w:p w:rsidR="00C02FF7" w:rsidRDefault="00C02FF7"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05" w:rsidRDefault="00E84629">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542F05">
              <w:rPr>
                <w:lang w:val="zh-CN"/>
              </w:rPr>
              <w:t xml:space="preserve"> </w:t>
            </w:r>
            <w:r>
              <w:rPr>
                <w:b/>
                <w:sz w:val="24"/>
                <w:szCs w:val="24"/>
              </w:rPr>
              <w:fldChar w:fldCharType="begin"/>
            </w:r>
            <w:r w:rsidR="00542F05">
              <w:rPr>
                <w:b/>
              </w:rPr>
              <w:instrText>PAGE</w:instrText>
            </w:r>
            <w:r>
              <w:rPr>
                <w:b/>
                <w:sz w:val="24"/>
                <w:szCs w:val="24"/>
              </w:rPr>
              <w:fldChar w:fldCharType="separate"/>
            </w:r>
            <w:r w:rsidR="00965612">
              <w:rPr>
                <w:b/>
                <w:noProof/>
              </w:rPr>
              <w:t>2</w:t>
            </w:r>
            <w:r>
              <w:rPr>
                <w:b/>
                <w:sz w:val="24"/>
                <w:szCs w:val="24"/>
              </w:rPr>
              <w:fldChar w:fldCharType="end"/>
            </w:r>
            <w:r w:rsidR="00542F05">
              <w:rPr>
                <w:lang w:val="zh-CN"/>
              </w:rPr>
              <w:t xml:space="preserve"> / </w:t>
            </w:r>
            <w:r>
              <w:rPr>
                <w:b/>
                <w:sz w:val="24"/>
                <w:szCs w:val="24"/>
              </w:rPr>
              <w:fldChar w:fldCharType="begin"/>
            </w:r>
            <w:r w:rsidR="00542F05">
              <w:rPr>
                <w:b/>
              </w:rPr>
              <w:instrText>NUMPAGES</w:instrText>
            </w:r>
            <w:r>
              <w:rPr>
                <w:b/>
                <w:sz w:val="24"/>
                <w:szCs w:val="24"/>
              </w:rPr>
              <w:fldChar w:fldCharType="separate"/>
            </w:r>
            <w:r w:rsidR="00965612">
              <w:rPr>
                <w:b/>
                <w:noProof/>
              </w:rPr>
              <w:t>5</w:t>
            </w:r>
            <w:r>
              <w:rPr>
                <w:b/>
                <w:sz w:val="24"/>
                <w:szCs w:val="24"/>
              </w:rPr>
              <w:fldChar w:fldCharType="end"/>
            </w:r>
          </w:sdtContent>
        </w:sdt>
      </w:sdtContent>
    </w:sdt>
  </w:p>
  <w:p w:rsidR="00542F05" w:rsidRDefault="00542F0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542F05" w:rsidRDefault="00E84629">
            <w:pPr>
              <w:pStyle w:val="a4"/>
              <w:jc w:val="center"/>
            </w:pPr>
            <w:r>
              <w:pict>
                <v:rect id="_x0000_i1029" style="width:571.2pt;height:2pt" o:hralign="center" o:hrstd="t" o:hrnoshade="t" o:hr="t" fillcolor="#e7a631" stroked="f"/>
              </w:pict>
            </w:r>
            <w:r w:rsidR="00542F05">
              <w:rPr>
                <w:lang w:val="zh-CN"/>
              </w:rPr>
              <w:t xml:space="preserve"> </w:t>
            </w:r>
            <w:r>
              <w:rPr>
                <w:b/>
                <w:sz w:val="24"/>
                <w:szCs w:val="24"/>
              </w:rPr>
              <w:fldChar w:fldCharType="begin"/>
            </w:r>
            <w:r w:rsidR="00542F05">
              <w:rPr>
                <w:b/>
              </w:rPr>
              <w:instrText>PAGE</w:instrText>
            </w:r>
            <w:r>
              <w:rPr>
                <w:b/>
                <w:sz w:val="24"/>
                <w:szCs w:val="24"/>
              </w:rPr>
              <w:fldChar w:fldCharType="separate"/>
            </w:r>
            <w:r w:rsidR="00965612">
              <w:rPr>
                <w:b/>
                <w:noProof/>
              </w:rPr>
              <w:t>1</w:t>
            </w:r>
            <w:r>
              <w:rPr>
                <w:b/>
                <w:sz w:val="24"/>
                <w:szCs w:val="24"/>
              </w:rPr>
              <w:fldChar w:fldCharType="end"/>
            </w:r>
            <w:r w:rsidR="00542F05">
              <w:rPr>
                <w:lang w:val="zh-CN"/>
              </w:rPr>
              <w:t xml:space="preserve"> / </w:t>
            </w:r>
            <w:r>
              <w:rPr>
                <w:b/>
                <w:sz w:val="24"/>
                <w:szCs w:val="24"/>
              </w:rPr>
              <w:fldChar w:fldCharType="begin"/>
            </w:r>
            <w:r w:rsidR="00542F05">
              <w:rPr>
                <w:b/>
              </w:rPr>
              <w:instrText>NUMPAGES</w:instrText>
            </w:r>
            <w:r>
              <w:rPr>
                <w:b/>
                <w:sz w:val="24"/>
                <w:szCs w:val="24"/>
              </w:rPr>
              <w:fldChar w:fldCharType="separate"/>
            </w:r>
            <w:r w:rsidR="00965612">
              <w:rPr>
                <w:b/>
                <w:noProof/>
              </w:rPr>
              <w:t>5</w:t>
            </w:r>
            <w:r>
              <w:rPr>
                <w:b/>
                <w:sz w:val="24"/>
                <w:szCs w:val="24"/>
              </w:rPr>
              <w:fldChar w:fldCharType="end"/>
            </w:r>
          </w:p>
        </w:sdtContent>
      </w:sdt>
    </w:sdtContent>
  </w:sdt>
  <w:p w:rsidR="00542F05" w:rsidRDefault="00542F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FF7" w:rsidRDefault="00C02FF7" w:rsidP="00B10000">
      <w:r>
        <w:separator/>
      </w:r>
    </w:p>
  </w:footnote>
  <w:footnote w:type="continuationSeparator" w:id="0">
    <w:p w:rsidR="00C02FF7" w:rsidRDefault="00C02FF7"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05" w:rsidRDefault="00E84629"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542F05" w:rsidRDefault="00E84629" w:rsidP="00B10000">
                  <w:pPr>
                    <w:pStyle w:val="12"/>
                  </w:pPr>
                  <w:r w:rsidRPr="00E8462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542F05" w:rsidRPr="006E0F3C" w:rsidRDefault="00542F05" w:rsidP="00B10000">
                  <w:pPr>
                    <w:pStyle w:val="2"/>
                  </w:pPr>
                  <w:r>
                    <w:rPr>
                      <w:rFonts w:hint="eastAsia"/>
                    </w:rPr>
                    <w:t>公</w:t>
                  </w:r>
                  <w:proofErr w:type="gramStart"/>
                  <w:r>
                    <w:rPr>
                      <w:rFonts w:hint="eastAsia"/>
                    </w:rPr>
                    <w:t>募基金</w:t>
                  </w:r>
                  <w:proofErr w:type="gramEnd"/>
                  <w:r>
                    <w:rPr>
                      <w:rFonts w:hint="eastAsia"/>
                    </w:rPr>
                    <w:t>周报（2014.03.31~2014.04.04）</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F05" w:rsidRDefault="00E84629" w:rsidP="0046596D">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542F05" w:rsidRDefault="00E84629" w:rsidP="00B10000">
                  <w:pPr>
                    <w:pStyle w:val="a6"/>
                  </w:pPr>
                  <w:r w:rsidRPr="00E8462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542F05" w:rsidRPr="006E0F3C" w:rsidRDefault="00542F05" w:rsidP="008840A4">
                  <w:pPr>
                    <w:pStyle w:val="a5"/>
                    <w:spacing w:after="240"/>
                  </w:pPr>
                  <w:proofErr w:type="gramStart"/>
                  <w:r w:rsidRPr="006E0F3C">
                    <w:rPr>
                      <w:rFonts w:hint="eastAsia"/>
                    </w:rPr>
                    <w:t>凯石工场研究</w:t>
                  </w:r>
                  <w:proofErr w:type="gramEnd"/>
                  <w:r w:rsidRPr="006E0F3C">
                    <w:rPr>
                      <w:rFonts w:hint="eastAsia"/>
                    </w:rPr>
                    <w:t>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542F05" w:rsidRPr="006E0F3C" w:rsidRDefault="00542F05" w:rsidP="00B10000">
                  <w:pPr>
                    <w:pStyle w:val="a7"/>
                    <w:jc w:val="right"/>
                  </w:pPr>
                  <w:r>
                    <w:rPr>
                      <w:rFonts w:hint="eastAsia"/>
                    </w:rPr>
                    <w:t>2014</w:t>
                  </w:r>
                  <w:r w:rsidRPr="006E0F3C">
                    <w:rPr>
                      <w:rFonts w:hint="eastAsia"/>
                    </w:rPr>
                    <w:t>年</w:t>
                  </w:r>
                  <w:r>
                    <w:rPr>
                      <w:rFonts w:hint="eastAsia"/>
                    </w:rPr>
                    <w:t>04</w:t>
                  </w:r>
                  <w:r w:rsidRPr="006E0F3C">
                    <w:rPr>
                      <w:rFonts w:hint="eastAsia"/>
                    </w:rPr>
                    <w:t>月</w:t>
                  </w:r>
                  <w:r>
                    <w:rPr>
                      <w:rFonts w:hint="eastAsia"/>
                    </w:rPr>
                    <w:t>08</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542F05" w:rsidRDefault="00493237" w:rsidP="00B10000">
                  <w:pPr>
                    <w:pStyle w:val="a8"/>
                    <w:jc w:val="right"/>
                  </w:pPr>
                  <w:r>
                    <w:rPr>
                      <w:rFonts w:hint="eastAsia"/>
                    </w:rPr>
                    <w:t>海内外市场普涨，各类</w:t>
                  </w:r>
                  <w:proofErr w:type="gramStart"/>
                  <w:r>
                    <w:rPr>
                      <w:rFonts w:hint="eastAsia"/>
                    </w:rPr>
                    <w:t>基金皆翻红</w:t>
                  </w:r>
                  <w:proofErr w:type="gramEnd"/>
                </w:p>
                <w:p w:rsidR="00542F05" w:rsidRPr="00624366" w:rsidRDefault="00542F05" w:rsidP="00B10000">
                  <w:pPr>
                    <w:pStyle w:val="a8"/>
                    <w:jc w:val="right"/>
                    <w:rPr>
                      <w:sz w:val="28"/>
                      <w:szCs w:val="28"/>
                    </w:rPr>
                  </w:pPr>
                  <w:r w:rsidRPr="0095202C">
                    <w:rPr>
                      <w:rFonts w:hint="eastAsia"/>
                      <w:sz w:val="28"/>
                      <w:szCs w:val="28"/>
                    </w:rPr>
                    <w:t>公</w:t>
                  </w:r>
                  <w:proofErr w:type="gramStart"/>
                  <w:r w:rsidRPr="0095202C">
                    <w:rPr>
                      <w:rFonts w:hint="eastAsia"/>
                      <w:sz w:val="28"/>
                      <w:szCs w:val="28"/>
                    </w:rPr>
                    <w:t>募基金</w:t>
                  </w:r>
                  <w:proofErr w:type="gramEnd"/>
                  <w:r w:rsidRPr="0095202C">
                    <w:rPr>
                      <w:rFonts w:hint="eastAsia"/>
                      <w:sz w:val="28"/>
                      <w:szCs w:val="28"/>
                    </w:rPr>
                    <w:t>周报（</w:t>
                  </w:r>
                  <w:r>
                    <w:rPr>
                      <w:rFonts w:hint="eastAsia"/>
                      <w:sz w:val="28"/>
                      <w:szCs w:val="28"/>
                    </w:rPr>
                    <w:t>2014.03.31</w:t>
                  </w:r>
                  <w:r w:rsidRPr="0095202C">
                    <w:rPr>
                      <w:rFonts w:hint="eastAsia"/>
                      <w:sz w:val="28"/>
                      <w:szCs w:val="28"/>
                    </w:rPr>
                    <w:t>~</w:t>
                  </w:r>
                  <w:r>
                    <w:rPr>
                      <w:rFonts w:hint="eastAsia"/>
                      <w:sz w:val="28"/>
                      <w:szCs w:val="28"/>
                    </w:rPr>
                    <w:t>2014.04.04</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542F05" w:rsidRPr="006E0F3C" w:rsidRDefault="00542F05" w:rsidP="00B10000">
                  <w:pPr>
                    <w:pStyle w:val="a9"/>
                  </w:pPr>
                  <w:proofErr w:type="gramStart"/>
                  <w:r>
                    <w:rPr>
                      <w:rFonts w:hint="eastAsia"/>
                    </w:rPr>
                    <w:t>杨舒</w:t>
                  </w:r>
                  <w:proofErr w:type="gramEnd"/>
                  <w:r w:rsidRPr="006E0F3C">
                    <w:rPr>
                      <w:rFonts w:hint="eastAsia"/>
                    </w:rPr>
                    <w:t xml:space="preserve"> </w:t>
                  </w:r>
                  <w:r>
                    <w:rPr>
                      <w:rFonts w:hint="eastAsia"/>
                    </w:rPr>
                    <w:t>高级</w:t>
                  </w:r>
                  <w:r w:rsidRPr="006E0F3C">
                    <w:rPr>
                      <w:rFonts w:hint="eastAsia"/>
                    </w:rPr>
                    <w:t xml:space="preserve">分析师 </w:t>
                  </w: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0000"/>
    <w:rsid w:val="0000120D"/>
    <w:rsid w:val="00004B2E"/>
    <w:rsid w:val="00006269"/>
    <w:rsid w:val="00006540"/>
    <w:rsid w:val="00007D8C"/>
    <w:rsid w:val="00011851"/>
    <w:rsid w:val="00013790"/>
    <w:rsid w:val="00015E23"/>
    <w:rsid w:val="0001604D"/>
    <w:rsid w:val="000225B4"/>
    <w:rsid w:val="00024C7D"/>
    <w:rsid w:val="00026FF9"/>
    <w:rsid w:val="00034C20"/>
    <w:rsid w:val="00036038"/>
    <w:rsid w:val="00036AB5"/>
    <w:rsid w:val="00036BCD"/>
    <w:rsid w:val="00037BAF"/>
    <w:rsid w:val="0004751A"/>
    <w:rsid w:val="00057142"/>
    <w:rsid w:val="00060829"/>
    <w:rsid w:val="000621C7"/>
    <w:rsid w:val="0006243F"/>
    <w:rsid w:val="00064E08"/>
    <w:rsid w:val="00072445"/>
    <w:rsid w:val="00073843"/>
    <w:rsid w:val="00074E24"/>
    <w:rsid w:val="00075931"/>
    <w:rsid w:val="00081D63"/>
    <w:rsid w:val="000856DF"/>
    <w:rsid w:val="00091971"/>
    <w:rsid w:val="00091E0E"/>
    <w:rsid w:val="00092C5E"/>
    <w:rsid w:val="000941BB"/>
    <w:rsid w:val="00094650"/>
    <w:rsid w:val="000A2FAE"/>
    <w:rsid w:val="000B21FF"/>
    <w:rsid w:val="000B3641"/>
    <w:rsid w:val="000B6F70"/>
    <w:rsid w:val="000B7203"/>
    <w:rsid w:val="000B7C3D"/>
    <w:rsid w:val="000C0348"/>
    <w:rsid w:val="000C08C5"/>
    <w:rsid w:val="000C6B9E"/>
    <w:rsid w:val="000C7DF2"/>
    <w:rsid w:val="000D01F8"/>
    <w:rsid w:val="000D1136"/>
    <w:rsid w:val="000D27F8"/>
    <w:rsid w:val="000D4A66"/>
    <w:rsid w:val="000D73AB"/>
    <w:rsid w:val="000E17E0"/>
    <w:rsid w:val="000E217B"/>
    <w:rsid w:val="000E371E"/>
    <w:rsid w:val="000E6D9A"/>
    <w:rsid w:val="000E713F"/>
    <w:rsid w:val="000F0312"/>
    <w:rsid w:val="000F10CB"/>
    <w:rsid w:val="00100572"/>
    <w:rsid w:val="001024F4"/>
    <w:rsid w:val="00103C41"/>
    <w:rsid w:val="00104265"/>
    <w:rsid w:val="001064E7"/>
    <w:rsid w:val="00106D18"/>
    <w:rsid w:val="001073F0"/>
    <w:rsid w:val="001106F0"/>
    <w:rsid w:val="001130D2"/>
    <w:rsid w:val="00113E7A"/>
    <w:rsid w:val="00114389"/>
    <w:rsid w:val="001169B2"/>
    <w:rsid w:val="00120197"/>
    <w:rsid w:val="00120F16"/>
    <w:rsid w:val="00121295"/>
    <w:rsid w:val="001230AE"/>
    <w:rsid w:val="001312C8"/>
    <w:rsid w:val="0013294D"/>
    <w:rsid w:val="001403F1"/>
    <w:rsid w:val="00150FC3"/>
    <w:rsid w:val="001533D0"/>
    <w:rsid w:val="00154C4E"/>
    <w:rsid w:val="0015518D"/>
    <w:rsid w:val="00155E7B"/>
    <w:rsid w:val="00160A00"/>
    <w:rsid w:val="00160B05"/>
    <w:rsid w:val="001707EB"/>
    <w:rsid w:val="001732F3"/>
    <w:rsid w:val="001757D1"/>
    <w:rsid w:val="00176FFB"/>
    <w:rsid w:val="00181DC4"/>
    <w:rsid w:val="00181DE3"/>
    <w:rsid w:val="00185397"/>
    <w:rsid w:val="001866D5"/>
    <w:rsid w:val="00190A08"/>
    <w:rsid w:val="001913B3"/>
    <w:rsid w:val="00192281"/>
    <w:rsid w:val="00194A20"/>
    <w:rsid w:val="00196BC9"/>
    <w:rsid w:val="001A04CB"/>
    <w:rsid w:val="001A20EF"/>
    <w:rsid w:val="001B1A86"/>
    <w:rsid w:val="001B3B5C"/>
    <w:rsid w:val="001B3B9B"/>
    <w:rsid w:val="001B3E3A"/>
    <w:rsid w:val="001B6D17"/>
    <w:rsid w:val="001B6D2E"/>
    <w:rsid w:val="001B7AA9"/>
    <w:rsid w:val="001C2E66"/>
    <w:rsid w:val="001C343E"/>
    <w:rsid w:val="001D1F68"/>
    <w:rsid w:val="001D33CC"/>
    <w:rsid w:val="001D5DD8"/>
    <w:rsid w:val="001E182A"/>
    <w:rsid w:val="001E3FEC"/>
    <w:rsid w:val="001E5298"/>
    <w:rsid w:val="001E5E74"/>
    <w:rsid w:val="001F13E5"/>
    <w:rsid w:val="00215FD6"/>
    <w:rsid w:val="0021658D"/>
    <w:rsid w:val="00217252"/>
    <w:rsid w:val="00221A18"/>
    <w:rsid w:val="00223AC5"/>
    <w:rsid w:val="00225508"/>
    <w:rsid w:val="00226D20"/>
    <w:rsid w:val="00233AC4"/>
    <w:rsid w:val="00235525"/>
    <w:rsid w:val="00242D53"/>
    <w:rsid w:val="00242D8D"/>
    <w:rsid w:val="0025117A"/>
    <w:rsid w:val="0025195E"/>
    <w:rsid w:val="00252878"/>
    <w:rsid w:val="00257525"/>
    <w:rsid w:val="00257B4B"/>
    <w:rsid w:val="00257D31"/>
    <w:rsid w:val="0026029B"/>
    <w:rsid w:val="00261ADB"/>
    <w:rsid w:val="0026413E"/>
    <w:rsid w:val="002643C4"/>
    <w:rsid w:val="00265D17"/>
    <w:rsid w:val="0027079A"/>
    <w:rsid w:val="00273C1B"/>
    <w:rsid w:val="00276D8F"/>
    <w:rsid w:val="00281145"/>
    <w:rsid w:val="002840F1"/>
    <w:rsid w:val="00286F58"/>
    <w:rsid w:val="00290712"/>
    <w:rsid w:val="0029089C"/>
    <w:rsid w:val="00290EC1"/>
    <w:rsid w:val="002919F1"/>
    <w:rsid w:val="00291B5F"/>
    <w:rsid w:val="00292E2D"/>
    <w:rsid w:val="00293321"/>
    <w:rsid w:val="00294614"/>
    <w:rsid w:val="0029599D"/>
    <w:rsid w:val="00296C0E"/>
    <w:rsid w:val="00297532"/>
    <w:rsid w:val="002A3099"/>
    <w:rsid w:val="002A6AB8"/>
    <w:rsid w:val="002B0F8E"/>
    <w:rsid w:val="002B114E"/>
    <w:rsid w:val="002B368B"/>
    <w:rsid w:val="002C0245"/>
    <w:rsid w:val="002C095D"/>
    <w:rsid w:val="002C1257"/>
    <w:rsid w:val="002C2F59"/>
    <w:rsid w:val="002C5822"/>
    <w:rsid w:val="002D013F"/>
    <w:rsid w:val="002D2967"/>
    <w:rsid w:val="002D361E"/>
    <w:rsid w:val="002E1DB4"/>
    <w:rsid w:val="002E5B19"/>
    <w:rsid w:val="002E772B"/>
    <w:rsid w:val="002F1D00"/>
    <w:rsid w:val="002F4660"/>
    <w:rsid w:val="002F55EC"/>
    <w:rsid w:val="002F5B82"/>
    <w:rsid w:val="002F5E62"/>
    <w:rsid w:val="00303164"/>
    <w:rsid w:val="003069F4"/>
    <w:rsid w:val="003072D1"/>
    <w:rsid w:val="00311935"/>
    <w:rsid w:val="003163A1"/>
    <w:rsid w:val="003173B8"/>
    <w:rsid w:val="00322227"/>
    <w:rsid w:val="003253E4"/>
    <w:rsid w:val="00326DD8"/>
    <w:rsid w:val="00327C6B"/>
    <w:rsid w:val="0034351F"/>
    <w:rsid w:val="003440C8"/>
    <w:rsid w:val="00356092"/>
    <w:rsid w:val="003629A1"/>
    <w:rsid w:val="003630D1"/>
    <w:rsid w:val="0036352A"/>
    <w:rsid w:val="00363986"/>
    <w:rsid w:val="00364CD1"/>
    <w:rsid w:val="00366935"/>
    <w:rsid w:val="00366E94"/>
    <w:rsid w:val="00370A76"/>
    <w:rsid w:val="003737C6"/>
    <w:rsid w:val="003746B1"/>
    <w:rsid w:val="0037492D"/>
    <w:rsid w:val="00377F18"/>
    <w:rsid w:val="0038350E"/>
    <w:rsid w:val="00384812"/>
    <w:rsid w:val="003901F3"/>
    <w:rsid w:val="003903DA"/>
    <w:rsid w:val="00390A0F"/>
    <w:rsid w:val="003936BE"/>
    <w:rsid w:val="003940C0"/>
    <w:rsid w:val="0039511A"/>
    <w:rsid w:val="00397178"/>
    <w:rsid w:val="003A036D"/>
    <w:rsid w:val="003A0E58"/>
    <w:rsid w:val="003A2FAE"/>
    <w:rsid w:val="003A5C5F"/>
    <w:rsid w:val="003A6147"/>
    <w:rsid w:val="003B10CC"/>
    <w:rsid w:val="003B1409"/>
    <w:rsid w:val="003B35FC"/>
    <w:rsid w:val="003C1392"/>
    <w:rsid w:val="003C5C90"/>
    <w:rsid w:val="003C77A2"/>
    <w:rsid w:val="003D3780"/>
    <w:rsid w:val="003D3C89"/>
    <w:rsid w:val="003D4C21"/>
    <w:rsid w:val="003E0FE3"/>
    <w:rsid w:val="003F158A"/>
    <w:rsid w:val="003F15EB"/>
    <w:rsid w:val="003F18DA"/>
    <w:rsid w:val="003F7591"/>
    <w:rsid w:val="004010BD"/>
    <w:rsid w:val="004025B1"/>
    <w:rsid w:val="004049E1"/>
    <w:rsid w:val="00404A3A"/>
    <w:rsid w:val="00405C38"/>
    <w:rsid w:val="00406576"/>
    <w:rsid w:val="0040729F"/>
    <w:rsid w:val="0041361B"/>
    <w:rsid w:val="0041702F"/>
    <w:rsid w:val="00423456"/>
    <w:rsid w:val="00423975"/>
    <w:rsid w:val="004261CB"/>
    <w:rsid w:val="004305E5"/>
    <w:rsid w:val="00435E54"/>
    <w:rsid w:val="0044069B"/>
    <w:rsid w:val="00442AF1"/>
    <w:rsid w:val="00443354"/>
    <w:rsid w:val="00446E1B"/>
    <w:rsid w:val="00447E47"/>
    <w:rsid w:val="00450B25"/>
    <w:rsid w:val="00450EF2"/>
    <w:rsid w:val="00451967"/>
    <w:rsid w:val="004520F9"/>
    <w:rsid w:val="004534F9"/>
    <w:rsid w:val="004564B0"/>
    <w:rsid w:val="00464A8B"/>
    <w:rsid w:val="0046524C"/>
    <w:rsid w:val="004654CC"/>
    <w:rsid w:val="0046596D"/>
    <w:rsid w:val="00466D12"/>
    <w:rsid w:val="00471251"/>
    <w:rsid w:val="0047414F"/>
    <w:rsid w:val="00475DD9"/>
    <w:rsid w:val="004764E4"/>
    <w:rsid w:val="004855C1"/>
    <w:rsid w:val="00486443"/>
    <w:rsid w:val="00486C57"/>
    <w:rsid w:val="00493237"/>
    <w:rsid w:val="00495D2B"/>
    <w:rsid w:val="00497E95"/>
    <w:rsid w:val="004A3F1C"/>
    <w:rsid w:val="004B07FF"/>
    <w:rsid w:val="004B18C9"/>
    <w:rsid w:val="004B48A2"/>
    <w:rsid w:val="004B6C69"/>
    <w:rsid w:val="004B75E0"/>
    <w:rsid w:val="004C0B80"/>
    <w:rsid w:val="004C1F81"/>
    <w:rsid w:val="004C40C1"/>
    <w:rsid w:val="004C4741"/>
    <w:rsid w:val="004C486F"/>
    <w:rsid w:val="004D53BB"/>
    <w:rsid w:val="004D58DC"/>
    <w:rsid w:val="004D71B5"/>
    <w:rsid w:val="004D7ECB"/>
    <w:rsid w:val="004E0FEE"/>
    <w:rsid w:val="004E53AC"/>
    <w:rsid w:val="004E7938"/>
    <w:rsid w:val="004F47F8"/>
    <w:rsid w:val="00503057"/>
    <w:rsid w:val="0050406F"/>
    <w:rsid w:val="0050501E"/>
    <w:rsid w:val="00505FA0"/>
    <w:rsid w:val="005062CE"/>
    <w:rsid w:val="005127F0"/>
    <w:rsid w:val="00515278"/>
    <w:rsid w:val="00517D66"/>
    <w:rsid w:val="0052191D"/>
    <w:rsid w:val="005220A2"/>
    <w:rsid w:val="00522D48"/>
    <w:rsid w:val="00524732"/>
    <w:rsid w:val="00525658"/>
    <w:rsid w:val="00532D30"/>
    <w:rsid w:val="00533C19"/>
    <w:rsid w:val="00537D72"/>
    <w:rsid w:val="0054107C"/>
    <w:rsid w:val="00542F05"/>
    <w:rsid w:val="00544683"/>
    <w:rsid w:val="005502D0"/>
    <w:rsid w:val="00550466"/>
    <w:rsid w:val="0055078E"/>
    <w:rsid w:val="005543EB"/>
    <w:rsid w:val="00561462"/>
    <w:rsid w:val="00571FE3"/>
    <w:rsid w:val="00575212"/>
    <w:rsid w:val="00580A22"/>
    <w:rsid w:val="00581C8E"/>
    <w:rsid w:val="00586BF4"/>
    <w:rsid w:val="00593C20"/>
    <w:rsid w:val="00595F3E"/>
    <w:rsid w:val="00596573"/>
    <w:rsid w:val="00596BB8"/>
    <w:rsid w:val="00597250"/>
    <w:rsid w:val="005A0162"/>
    <w:rsid w:val="005A518A"/>
    <w:rsid w:val="005B020A"/>
    <w:rsid w:val="005B07A8"/>
    <w:rsid w:val="005B0C3F"/>
    <w:rsid w:val="005B0E69"/>
    <w:rsid w:val="005B24B5"/>
    <w:rsid w:val="005B2AF8"/>
    <w:rsid w:val="005B2B03"/>
    <w:rsid w:val="005B49EB"/>
    <w:rsid w:val="005B66D4"/>
    <w:rsid w:val="005B7CDB"/>
    <w:rsid w:val="005C3660"/>
    <w:rsid w:val="005C3964"/>
    <w:rsid w:val="005C43D1"/>
    <w:rsid w:val="005C4913"/>
    <w:rsid w:val="005C4AF6"/>
    <w:rsid w:val="005C62E8"/>
    <w:rsid w:val="005D0786"/>
    <w:rsid w:val="005D11C2"/>
    <w:rsid w:val="005D176B"/>
    <w:rsid w:val="005D1C90"/>
    <w:rsid w:val="005D5D07"/>
    <w:rsid w:val="005E4315"/>
    <w:rsid w:val="005E5835"/>
    <w:rsid w:val="005F2086"/>
    <w:rsid w:val="0060087D"/>
    <w:rsid w:val="00601790"/>
    <w:rsid w:val="00603CFF"/>
    <w:rsid w:val="00607AF3"/>
    <w:rsid w:val="00607D01"/>
    <w:rsid w:val="006115CD"/>
    <w:rsid w:val="00611ADA"/>
    <w:rsid w:val="00612B6F"/>
    <w:rsid w:val="00615FCF"/>
    <w:rsid w:val="0062314B"/>
    <w:rsid w:val="00623C62"/>
    <w:rsid w:val="006245AB"/>
    <w:rsid w:val="00624A77"/>
    <w:rsid w:val="00632F6E"/>
    <w:rsid w:val="006456A9"/>
    <w:rsid w:val="006551AF"/>
    <w:rsid w:val="006559C0"/>
    <w:rsid w:val="00656031"/>
    <w:rsid w:val="0066070E"/>
    <w:rsid w:val="006645C6"/>
    <w:rsid w:val="006670F3"/>
    <w:rsid w:val="006675F9"/>
    <w:rsid w:val="00674776"/>
    <w:rsid w:val="006772EB"/>
    <w:rsid w:val="006833F8"/>
    <w:rsid w:val="00683F7F"/>
    <w:rsid w:val="0069249C"/>
    <w:rsid w:val="00692594"/>
    <w:rsid w:val="006A028F"/>
    <w:rsid w:val="006A3423"/>
    <w:rsid w:val="006A3AA5"/>
    <w:rsid w:val="006A3CD2"/>
    <w:rsid w:val="006A53C2"/>
    <w:rsid w:val="006A5488"/>
    <w:rsid w:val="006A56CE"/>
    <w:rsid w:val="006A6E20"/>
    <w:rsid w:val="006B48F2"/>
    <w:rsid w:val="006B7C89"/>
    <w:rsid w:val="006C1F99"/>
    <w:rsid w:val="006C2CA2"/>
    <w:rsid w:val="006C7B1B"/>
    <w:rsid w:val="006C7FEC"/>
    <w:rsid w:val="006D654F"/>
    <w:rsid w:val="006E55A6"/>
    <w:rsid w:val="006E5C99"/>
    <w:rsid w:val="006E6961"/>
    <w:rsid w:val="006F1DAC"/>
    <w:rsid w:val="006F20D6"/>
    <w:rsid w:val="006F2C3A"/>
    <w:rsid w:val="006F3555"/>
    <w:rsid w:val="006F55B1"/>
    <w:rsid w:val="006F5EEB"/>
    <w:rsid w:val="006F6EAC"/>
    <w:rsid w:val="00700F29"/>
    <w:rsid w:val="00703A45"/>
    <w:rsid w:val="00704A54"/>
    <w:rsid w:val="00706C09"/>
    <w:rsid w:val="00720238"/>
    <w:rsid w:val="00721E16"/>
    <w:rsid w:val="00722312"/>
    <w:rsid w:val="0072299D"/>
    <w:rsid w:val="00722BF7"/>
    <w:rsid w:val="00723620"/>
    <w:rsid w:val="0072603A"/>
    <w:rsid w:val="00733A3E"/>
    <w:rsid w:val="00735A44"/>
    <w:rsid w:val="00741443"/>
    <w:rsid w:val="00745353"/>
    <w:rsid w:val="007474D9"/>
    <w:rsid w:val="00751B67"/>
    <w:rsid w:val="0075480C"/>
    <w:rsid w:val="00754DEE"/>
    <w:rsid w:val="00755F5C"/>
    <w:rsid w:val="00755F60"/>
    <w:rsid w:val="0075762B"/>
    <w:rsid w:val="00760A91"/>
    <w:rsid w:val="00763E9C"/>
    <w:rsid w:val="0077477F"/>
    <w:rsid w:val="00775DEE"/>
    <w:rsid w:val="007801B0"/>
    <w:rsid w:val="00784E7E"/>
    <w:rsid w:val="0078665A"/>
    <w:rsid w:val="00786FCC"/>
    <w:rsid w:val="00797357"/>
    <w:rsid w:val="007A3E07"/>
    <w:rsid w:val="007A75A8"/>
    <w:rsid w:val="007B0526"/>
    <w:rsid w:val="007B2BA9"/>
    <w:rsid w:val="007B4C9A"/>
    <w:rsid w:val="007B7F71"/>
    <w:rsid w:val="007C224E"/>
    <w:rsid w:val="007C23DF"/>
    <w:rsid w:val="007C40BC"/>
    <w:rsid w:val="007C531C"/>
    <w:rsid w:val="007D402F"/>
    <w:rsid w:val="007D556D"/>
    <w:rsid w:val="007D601B"/>
    <w:rsid w:val="007E03D3"/>
    <w:rsid w:val="007E0CA0"/>
    <w:rsid w:val="007E3800"/>
    <w:rsid w:val="007E5507"/>
    <w:rsid w:val="007E607C"/>
    <w:rsid w:val="007E6984"/>
    <w:rsid w:val="007F0F86"/>
    <w:rsid w:val="007F4290"/>
    <w:rsid w:val="008003B6"/>
    <w:rsid w:val="00805125"/>
    <w:rsid w:val="00805258"/>
    <w:rsid w:val="008062DE"/>
    <w:rsid w:val="0081385D"/>
    <w:rsid w:val="008148DF"/>
    <w:rsid w:val="008155EE"/>
    <w:rsid w:val="008177CF"/>
    <w:rsid w:val="008342BA"/>
    <w:rsid w:val="00834484"/>
    <w:rsid w:val="00834CE1"/>
    <w:rsid w:val="008412B5"/>
    <w:rsid w:val="00842CD8"/>
    <w:rsid w:val="00847F07"/>
    <w:rsid w:val="0085256A"/>
    <w:rsid w:val="008549D1"/>
    <w:rsid w:val="00854C8A"/>
    <w:rsid w:val="00855FEC"/>
    <w:rsid w:val="00856939"/>
    <w:rsid w:val="00862696"/>
    <w:rsid w:val="00863E99"/>
    <w:rsid w:val="008734AF"/>
    <w:rsid w:val="00873890"/>
    <w:rsid w:val="00876BB7"/>
    <w:rsid w:val="00877138"/>
    <w:rsid w:val="00880F80"/>
    <w:rsid w:val="008840A4"/>
    <w:rsid w:val="00884478"/>
    <w:rsid w:val="008863D8"/>
    <w:rsid w:val="00892FB2"/>
    <w:rsid w:val="00896183"/>
    <w:rsid w:val="008A23AC"/>
    <w:rsid w:val="008A2C49"/>
    <w:rsid w:val="008A2CED"/>
    <w:rsid w:val="008A5CDA"/>
    <w:rsid w:val="008A6F33"/>
    <w:rsid w:val="008A75F7"/>
    <w:rsid w:val="008B1BC9"/>
    <w:rsid w:val="008B3409"/>
    <w:rsid w:val="008B6ABC"/>
    <w:rsid w:val="008B7182"/>
    <w:rsid w:val="008B7D87"/>
    <w:rsid w:val="008D0CA2"/>
    <w:rsid w:val="008D2BB5"/>
    <w:rsid w:val="008D2D88"/>
    <w:rsid w:val="008D77B6"/>
    <w:rsid w:val="008E0997"/>
    <w:rsid w:val="008E29BE"/>
    <w:rsid w:val="008E3038"/>
    <w:rsid w:val="008E5755"/>
    <w:rsid w:val="008F2961"/>
    <w:rsid w:val="008F2C15"/>
    <w:rsid w:val="008F39C1"/>
    <w:rsid w:val="008F52CD"/>
    <w:rsid w:val="008F7A1B"/>
    <w:rsid w:val="00901DFE"/>
    <w:rsid w:val="00905090"/>
    <w:rsid w:val="00906113"/>
    <w:rsid w:val="009118F6"/>
    <w:rsid w:val="00912172"/>
    <w:rsid w:val="00912FF1"/>
    <w:rsid w:val="0091372A"/>
    <w:rsid w:val="009147AF"/>
    <w:rsid w:val="00916BB3"/>
    <w:rsid w:val="0094581C"/>
    <w:rsid w:val="0095202C"/>
    <w:rsid w:val="00954338"/>
    <w:rsid w:val="00956190"/>
    <w:rsid w:val="009574C2"/>
    <w:rsid w:val="0096159D"/>
    <w:rsid w:val="00963262"/>
    <w:rsid w:val="00965612"/>
    <w:rsid w:val="00967DBF"/>
    <w:rsid w:val="009740BC"/>
    <w:rsid w:val="009748A1"/>
    <w:rsid w:val="00980F3B"/>
    <w:rsid w:val="00983990"/>
    <w:rsid w:val="00993136"/>
    <w:rsid w:val="00994233"/>
    <w:rsid w:val="009A24FC"/>
    <w:rsid w:val="009A6261"/>
    <w:rsid w:val="009B08CA"/>
    <w:rsid w:val="009B1613"/>
    <w:rsid w:val="009B18AE"/>
    <w:rsid w:val="009B19DA"/>
    <w:rsid w:val="009B2883"/>
    <w:rsid w:val="009B4973"/>
    <w:rsid w:val="009C0A9C"/>
    <w:rsid w:val="009C11D0"/>
    <w:rsid w:val="009C32FE"/>
    <w:rsid w:val="009C67BD"/>
    <w:rsid w:val="009D4929"/>
    <w:rsid w:val="009D6B40"/>
    <w:rsid w:val="009D7B6F"/>
    <w:rsid w:val="009E3A78"/>
    <w:rsid w:val="009E3A7B"/>
    <w:rsid w:val="009E73DF"/>
    <w:rsid w:val="009F0008"/>
    <w:rsid w:val="009F59C0"/>
    <w:rsid w:val="009F5BC1"/>
    <w:rsid w:val="00A056CA"/>
    <w:rsid w:val="00A06D7E"/>
    <w:rsid w:val="00A13B06"/>
    <w:rsid w:val="00A15715"/>
    <w:rsid w:val="00A161CD"/>
    <w:rsid w:val="00A166DD"/>
    <w:rsid w:val="00A212C7"/>
    <w:rsid w:val="00A21A5A"/>
    <w:rsid w:val="00A23A7C"/>
    <w:rsid w:val="00A254F9"/>
    <w:rsid w:val="00A2679B"/>
    <w:rsid w:val="00A37C07"/>
    <w:rsid w:val="00A41994"/>
    <w:rsid w:val="00A44FB7"/>
    <w:rsid w:val="00A45E8C"/>
    <w:rsid w:val="00A505D2"/>
    <w:rsid w:val="00A54683"/>
    <w:rsid w:val="00A60808"/>
    <w:rsid w:val="00A62135"/>
    <w:rsid w:val="00A6545F"/>
    <w:rsid w:val="00A66E5F"/>
    <w:rsid w:val="00A677CB"/>
    <w:rsid w:val="00A67DA6"/>
    <w:rsid w:val="00A72EC2"/>
    <w:rsid w:val="00A742A7"/>
    <w:rsid w:val="00A77805"/>
    <w:rsid w:val="00A80F70"/>
    <w:rsid w:val="00A83266"/>
    <w:rsid w:val="00A845DE"/>
    <w:rsid w:val="00A87530"/>
    <w:rsid w:val="00AA427E"/>
    <w:rsid w:val="00AA5550"/>
    <w:rsid w:val="00AB7AF2"/>
    <w:rsid w:val="00AC1745"/>
    <w:rsid w:val="00AC3FC5"/>
    <w:rsid w:val="00AC5A10"/>
    <w:rsid w:val="00AD18CF"/>
    <w:rsid w:val="00AD3B62"/>
    <w:rsid w:val="00AE4171"/>
    <w:rsid w:val="00AE6ABD"/>
    <w:rsid w:val="00AF6733"/>
    <w:rsid w:val="00AF7784"/>
    <w:rsid w:val="00B01410"/>
    <w:rsid w:val="00B037AF"/>
    <w:rsid w:val="00B0398D"/>
    <w:rsid w:val="00B06585"/>
    <w:rsid w:val="00B10000"/>
    <w:rsid w:val="00B140AE"/>
    <w:rsid w:val="00B1762A"/>
    <w:rsid w:val="00B21FBC"/>
    <w:rsid w:val="00B24C73"/>
    <w:rsid w:val="00B24D62"/>
    <w:rsid w:val="00B3180C"/>
    <w:rsid w:val="00B33A94"/>
    <w:rsid w:val="00B33B4E"/>
    <w:rsid w:val="00B35046"/>
    <w:rsid w:val="00B36F04"/>
    <w:rsid w:val="00B37489"/>
    <w:rsid w:val="00B47874"/>
    <w:rsid w:val="00B53586"/>
    <w:rsid w:val="00B54726"/>
    <w:rsid w:val="00B62B2E"/>
    <w:rsid w:val="00B63AC6"/>
    <w:rsid w:val="00B6694F"/>
    <w:rsid w:val="00B67691"/>
    <w:rsid w:val="00B71AB2"/>
    <w:rsid w:val="00B802A9"/>
    <w:rsid w:val="00B81719"/>
    <w:rsid w:val="00B821A9"/>
    <w:rsid w:val="00B834DB"/>
    <w:rsid w:val="00B93424"/>
    <w:rsid w:val="00B954B9"/>
    <w:rsid w:val="00B96B05"/>
    <w:rsid w:val="00BA01FF"/>
    <w:rsid w:val="00BA67CE"/>
    <w:rsid w:val="00BA6A91"/>
    <w:rsid w:val="00BB38E2"/>
    <w:rsid w:val="00BB5CDC"/>
    <w:rsid w:val="00BB5D53"/>
    <w:rsid w:val="00BB7555"/>
    <w:rsid w:val="00BC62A9"/>
    <w:rsid w:val="00BD0930"/>
    <w:rsid w:val="00BD16DC"/>
    <w:rsid w:val="00BD391E"/>
    <w:rsid w:val="00BD72B6"/>
    <w:rsid w:val="00BD7E19"/>
    <w:rsid w:val="00BE2C01"/>
    <w:rsid w:val="00BE2D15"/>
    <w:rsid w:val="00BE3214"/>
    <w:rsid w:val="00BE4D64"/>
    <w:rsid w:val="00BF0C28"/>
    <w:rsid w:val="00BF20D2"/>
    <w:rsid w:val="00BF49D1"/>
    <w:rsid w:val="00C02FF7"/>
    <w:rsid w:val="00C04483"/>
    <w:rsid w:val="00C04D07"/>
    <w:rsid w:val="00C13400"/>
    <w:rsid w:val="00C163AE"/>
    <w:rsid w:val="00C1727C"/>
    <w:rsid w:val="00C202CD"/>
    <w:rsid w:val="00C209B8"/>
    <w:rsid w:val="00C22C7C"/>
    <w:rsid w:val="00C24B8C"/>
    <w:rsid w:val="00C30031"/>
    <w:rsid w:val="00C349A4"/>
    <w:rsid w:val="00C35DE8"/>
    <w:rsid w:val="00C36DFE"/>
    <w:rsid w:val="00C37F7B"/>
    <w:rsid w:val="00C40B7E"/>
    <w:rsid w:val="00C40E9C"/>
    <w:rsid w:val="00C449F6"/>
    <w:rsid w:val="00C45F3C"/>
    <w:rsid w:val="00C470EA"/>
    <w:rsid w:val="00C47A8C"/>
    <w:rsid w:val="00C50AB2"/>
    <w:rsid w:val="00C52B69"/>
    <w:rsid w:val="00C55441"/>
    <w:rsid w:val="00C60F63"/>
    <w:rsid w:val="00C62ABC"/>
    <w:rsid w:val="00C7205C"/>
    <w:rsid w:val="00C74913"/>
    <w:rsid w:val="00C806CE"/>
    <w:rsid w:val="00C86862"/>
    <w:rsid w:val="00C8768D"/>
    <w:rsid w:val="00C90F36"/>
    <w:rsid w:val="00C9545B"/>
    <w:rsid w:val="00C97CE8"/>
    <w:rsid w:val="00CA080F"/>
    <w:rsid w:val="00CA0BC4"/>
    <w:rsid w:val="00CA1DE9"/>
    <w:rsid w:val="00CA44B3"/>
    <w:rsid w:val="00CA6F9B"/>
    <w:rsid w:val="00CA7B06"/>
    <w:rsid w:val="00CB1148"/>
    <w:rsid w:val="00CB122D"/>
    <w:rsid w:val="00CB16EB"/>
    <w:rsid w:val="00CB1BC1"/>
    <w:rsid w:val="00CB335B"/>
    <w:rsid w:val="00CB4014"/>
    <w:rsid w:val="00CB45F2"/>
    <w:rsid w:val="00CB4A78"/>
    <w:rsid w:val="00CB63E7"/>
    <w:rsid w:val="00CC3F9C"/>
    <w:rsid w:val="00CD30CB"/>
    <w:rsid w:val="00CD61CA"/>
    <w:rsid w:val="00CD7C89"/>
    <w:rsid w:val="00CE01AE"/>
    <w:rsid w:val="00CF1497"/>
    <w:rsid w:val="00CF2615"/>
    <w:rsid w:val="00CF76E8"/>
    <w:rsid w:val="00D000F8"/>
    <w:rsid w:val="00D052E9"/>
    <w:rsid w:val="00D06160"/>
    <w:rsid w:val="00D110F3"/>
    <w:rsid w:val="00D15231"/>
    <w:rsid w:val="00D17A47"/>
    <w:rsid w:val="00D202CC"/>
    <w:rsid w:val="00D20515"/>
    <w:rsid w:val="00D27F88"/>
    <w:rsid w:val="00D3632C"/>
    <w:rsid w:val="00D4319D"/>
    <w:rsid w:val="00D4777D"/>
    <w:rsid w:val="00D50513"/>
    <w:rsid w:val="00D506B1"/>
    <w:rsid w:val="00D511F2"/>
    <w:rsid w:val="00D555E5"/>
    <w:rsid w:val="00D65C5B"/>
    <w:rsid w:val="00D66F57"/>
    <w:rsid w:val="00D70DC7"/>
    <w:rsid w:val="00D718F8"/>
    <w:rsid w:val="00D72A21"/>
    <w:rsid w:val="00D734FD"/>
    <w:rsid w:val="00D74EB1"/>
    <w:rsid w:val="00D7627F"/>
    <w:rsid w:val="00D84D48"/>
    <w:rsid w:val="00D85186"/>
    <w:rsid w:val="00D95EC8"/>
    <w:rsid w:val="00DA0029"/>
    <w:rsid w:val="00DA2762"/>
    <w:rsid w:val="00DA286B"/>
    <w:rsid w:val="00DA547F"/>
    <w:rsid w:val="00DA56E0"/>
    <w:rsid w:val="00DB0D85"/>
    <w:rsid w:val="00DB0F86"/>
    <w:rsid w:val="00DB496D"/>
    <w:rsid w:val="00DB4C05"/>
    <w:rsid w:val="00DB69CC"/>
    <w:rsid w:val="00DC64F5"/>
    <w:rsid w:val="00DD0781"/>
    <w:rsid w:val="00DD17DA"/>
    <w:rsid w:val="00DD4E34"/>
    <w:rsid w:val="00DD5E87"/>
    <w:rsid w:val="00DE5267"/>
    <w:rsid w:val="00DE55C4"/>
    <w:rsid w:val="00DE7145"/>
    <w:rsid w:val="00DE7565"/>
    <w:rsid w:val="00DF0896"/>
    <w:rsid w:val="00DF58E9"/>
    <w:rsid w:val="00E000D3"/>
    <w:rsid w:val="00E00DD3"/>
    <w:rsid w:val="00E00EFE"/>
    <w:rsid w:val="00E02B7C"/>
    <w:rsid w:val="00E0408E"/>
    <w:rsid w:val="00E1126A"/>
    <w:rsid w:val="00E12FA2"/>
    <w:rsid w:val="00E204CD"/>
    <w:rsid w:val="00E22E9F"/>
    <w:rsid w:val="00E24567"/>
    <w:rsid w:val="00E32F50"/>
    <w:rsid w:val="00E34731"/>
    <w:rsid w:val="00E35D2B"/>
    <w:rsid w:val="00E367B7"/>
    <w:rsid w:val="00E36993"/>
    <w:rsid w:val="00E40189"/>
    <w:rsid w:val="00E43103"/>
    <w:rsid w:val="00E5085C"/>
    <w:rsid w:val="00E51C7C"/>
    <w:rsid w:val="00E52315"/>
    <w:rsid w:val="00E52908"/>
    <w:rsid w:val="00E534CE"/>
    <w:rsid w:val="00E53FD1"/>
    <w:rsid w:val="00E55457"/>
    <w:rsid w:val="00E55D6F"/>
    <w:rsid w:val="00E560F3"/>
    <w:rsid w:val="00E61406"/>
    <w:rsid w:val="00E618DE"/>
    <w:rsid w:val="00E61E14"/>
    <w:rsid w:val="00E62088"/>
    <w:rsid w:val="00E6416C"/>
    <w:rsid w:val="00E64E19"/>
    <w:rsid w:val="00E64F61"/>
    <w:rsid w:val="00E675D6"/>
    <w:rsid w:val="00E71CAE"/>
    <w:rsid w:val="00E74790"/>
    <w:rsid w:val="00E84629"/>
    <w:rsid w:val="00E86859"/>
    <w:rsid w:val="00E97FCC"/>
    <w:rsid w:val="00EA0BAA"/>
    <w:rsid w:val="00EA434E"/>
    <w:rsid w:val="00EA5560"/>
    <w:rsid w:val="00EA71FE"/>
    <w:rsid w:val="00EA74CF"/>
    <w:rsid w:val="00EC528D"/>
    <w:rsid w:val="00EC5325"/>
    <w:rsid w:val="00EC5A59"/>
    <w:rsid w:val="00ED2B76"/>
    <w:rsid w:val="00ED2C45"/>
    <w:rsid w:val="00ED5130"/>
    <w:rsid w:val="00ED7FCF"/>
    <w:rsid w:val="00EE0B93"/>
    <w:rsid w:val="00EE70D1"/>
    <w:rsid w:val="00EF0C15"/>
    <w:rsid w:val="00EF1F23"/>
    <w:rsid w:val="00EF3207"/>
    <w:rsid w:val="00F00011"/>
    <w:rsid w:val="00F02AAE"/>
    <w:rsid w:val="00F0312B"/>
    <w:rsid w:val="00F04368"/>
    <w:rsid w:val="00F05498"/>
    <w:rsid w:val="00F07D8D"/>
    <w:rsid w:val="00F10BBD"/>
    <w:rsid w:val="00F11123"/>
    <w:rsid w:val="00F153D5"/>
    <w:rsid w:val="00F16449"/>
    <w:rsid w:val="00F218DD"/>
    <w:rsid w:val="00F30632"/>
    <w:rsid w:val="00F35D40"/>
    <w:rsid w:val="00F361BE"/>
    <w:rsid w:val="00F42AF0"/>
    <w:rsid w:val="00F4631A"/>
    <w:rsid w:val="00F5045F"/>
    <w:rsid w:val="00F51FF0"/>
    <w:rsid w:val="00F536A4"/>
    <w:rsid w:val="00F559B1"/>
    <w:rsid w:val="00F60041"/>
    <w:rsid w:val="00F66F82"/>
    <w:rsid w:val="00F67F4E"/>
    <w:rsid w:val="00F71A0A"/>
    <w:rsid w:val="00F7391D"/>
    <w:rsid w:val="00F73B44"/>
    <w:rsid w:val="00F82FDB"/>
    <w:rsid w:val="00F93A2D"/>
    <w:rsid w:val="00FA1E05"/>
    <w:rsid w:val="00FA1EFB"/>
    <w:rsid w:val="00FB0667"/>
    <w:rsid w:val="00FB39E5"/>
    <w:rsid w:val="00FB6619"/>
    <w:rsid w:val="00FC199A"/>
    <w:rsid w:val="00FC2404"/>
    <w:rsid w:val="00FC4753"/>
    <w:rsid w:val="00FC5C93"/>
    <w:rsid w:val="00FC5D84"/>
    <w:rsid w:val="00FC6E5F"/>
    <w:rsid w:val="00FD030A"/>
    <w:rsid w:val="00FF042E"/>
    <w:rsid w:val="00FF074C"/>
    <w:rsid w:val="00FF1B2A"/>
    <w:rsid w:val="00FF2A99"/>
    <w:rsid w:val="00FF2ADD"/>
    <w:rsid w:val="00FF3582"/>
    <w:rsid w:val="00FF40FC"/>
    <w:rsid w:val="00FF4FB8"/>
    <w:rsid w:val="00FF50B9"/>
    <w:rsid w:val="00FF6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s>
</file>

<file path=word/webSettings.xml><?xml version="1.0" encoding="utf-8"?>
<w:webSettings xmlns:r="http://schemas.openxmlformats.org/officeDocument/2006/relationships" xmlns:w="http://schemas.openxmlformats.org/wordprocessingml/2006/main">
  <w:divs>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nd.hexun.com/bond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C2FB2-2A7C-42DD-B921-8DF2C032E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3417</TotalTime>
  <Pages>5</Pages>
  <Words>903</Words>
  <Characters>5152</Characters>
  <Application>Microsoft Office Word</Application>
  <DocSecurity>0</DocSecurity>
  <Lines>42</Lines>
  <Paragraphs>12</Paragraphs>
  <ScaleCrop>false</ScaleCrop>
  <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shanghai vstone</cp:lastModifiedBy>
  <cp:revision>766</cp:revision>
  <dcterms:created xsi:type="dcterms:W3CDTF">2013-11-22T08:48:00Z</dcterms:created>
  <dcterms:modified xsi:type="dcterms:W3CDTF">2014-04-09T08:50:00Z</dcterms:modified>
</cp:coreProperties>
</file>