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398" w:rsidRPr="000F1C1F" w:rsidRDefault="002631AA" w:rsidP="004A2DC3">
      <w:pPr>
        <w:jc w:val="center"/>
        <w:rPr>
          <w:rFonts w:ascii="Arial" w:eastAsia="宋体" w:hAnsi="Arial" w:cs="Arial"/>
          <w:b/>
          <w:sz w:val="28"/>
          <w:szCs w:val="28"/>
        </w:rPr>
      </w:pPr>
      <w:proofErr w:type="gramStart"/>
      <w:r w:rsidRPr="000F1C1F">
        <w:rPr>
          <w:rFonts w:ascii="Arial" w:eastAsia="宋体" w:hAnsi="Arial" w:cs="Arial"/>
          <w:b/>
          <w:sz w:val="28"/>
          <w:szCs w:val="28"/>
        </w:rPr>
        <w:t>清科数据</w:t>
      </w:r>
      <w:proofErr w:type="gramEnd"/>
      <w:r w:rsidRPr="000F1C1F">
        <w:rPr>
          <w:rFonts w:ascii="Arial" w:eastAsia="宋体" w:hAnsi="Arial" w:cs="Arial"/>
          <w:b/>
          <w:sz w:val="28"/>
          <w:szCs w:val="28"/>
        </w:rPr>
        <w:t>：</w:t>
      </w:r>
      <w:r w:rsidR="00D00E00">
        <w:rPr>
          <w:rFonts w:ascii="Arial" w:eastAsia="宋体" w:hAnsi="Arial" w:cs="Arial"/>
          <w:b/>
          <w:sz w:val="28"/>
          <w:szCs w:val="28"/>
        </w:rPr>
        <w:t>201</w:t>
      </w:r>
      <w:r w:rsidR="00D00E00">
        <w:rPr>
          <w:rFonts w:ascii="Arial" w:eastAsia="宋体" w:hAnsi="Arial" w:cs="Arial" w:hint="eastAsia"/>
          <w:b/>
          <w:sz w:val="28"/>
          <w:szCs w:val="28"/>
        </w:rPr>
        <w:t>4</w:t>
      </w:r>
      <w:r w:rsidR="004A2DC3" w:rsidRPr="000F1C1F">
        <w:rPr>
          <w:rFonts w:ascii="Arial" w:eastAsia="宋体" w:hAnsi="Arial" w:cs="Arial"/>
          <w:b/>
          <w:sz w:val="28"/>
          <w:szCs w:val="28"/>
        </w:rPr>
        <w:t>年</w:t>
      </w:r>
      <w:r w:rsidR="00B628E9">
        <w:rPr>
          <w:rFonts w:ascii="Arial" w:eastAsia="宋体" w:hAnsi="Arial" w:cs="Arial" w:hint="eastAsia"/>
          <w:b/>
          <w:sz w:val="28"/>
          <w:szCs w:val="28"/>
        </w:rPr>
        <w:t>迎</w:t>
      </w:r>
      <w:r w:rsidR="006F1FBC">
        <w:rPr>
          <w:rFonts w:ascii="Arial" w:eastAsia="宋体" w:hAnsi="Arial" w:cs="Arial" w:hint="eastAsia"/>
          <w:b/>
          <w:sz w:val="28"/>
          <w:szCs w:val="28"/>
        </w:rPr>
        <w:t>并购市场的狂欢</w:t>
      </w:r>
      <w:r w:rsidR="004A2DC3" w:rsidRPr="000F1C1F">
        <w:rPr>
          <w:rFonts w:ascii="Arial" w:eastAsia="宋体" w:hAnsi="Arial" w:cs="Arial"/>
          <w:b/>
          <w:sz w:val="28"/>
          <w:szCs w:val="28"/>
        </w:rPr>
        <w:t>，</w:t>
      </w:r>
      <w:r w:rsidR="002A6CAC">
        <w:rPr>
          <w:rFonts w:ascii="Arial" w:eastAsia="宋体" w:hAnsi="Arial" w:cs="Arial" w:hint="eastAsia"/>
          <w:b/>
          <w:sz w:val="28"/>
          <w:szCs w:val="28"/>
        </w:rPr>
        <w:t>互联网并购市场贡献率扩大</w:t>
      </w:r>
    </w:p>
    <w:p w:rsidR="004A2DC3" w:rsidRPr="00A20CBE" w:rsidRDefault="004A2DC3" w:rsidP="000C7F7A">
      <w:pPr>
        <w:spacing w:line="360" w:lineRule="exact"/>
        <w:jc w:val="center"/>
        <w:outlineLvl w:val="0"/>
        <w:rPr>
          <w:rFonts w:ascii="Arial" w:eastAsia="宋体" w:hAnsi="Arial" w:cs="Arial"/>
          <w:szCs w:val="18"/>
          <w:shd w:val="clear" w:color="auto" w:fill="FFFFFF"/>
        </w:rPr>
      </w:pPr>
      <w:r w:rsidRPr="00A20CBE">
        <w:rPr>
          <w:rFonts w:ascii="Arial" w:eastAsia="宋体" w:hAnsi="Arial" w:cs="Arial"/>
          <w:szCs w:val="18"/>
          <w:shd w:val="clear" w:color="auto" w:fill="FFFFFF"/>
        </w:rPr>
        <w:t>201</w:t>
      </w:r>
      <w:r w:rsidR="00D00E00" w:rsidRPr="00A20CBE">
        <w:rPr>
          <w:rFonts w:ascii="Arial" w:eastAsia="宋体" w:hAnsi="Arial" w:cs="Arial" w:hint="eastAsia"/>
          <w:szCs w:val="18"/>
          <w:shd w:val="clear" w:color="auto" w:fill="FFFFFF"/>
        </w:rPr>
        <w:t>5</w:t>
      </w:r>
      <w:r w:rsidRPr="00A20CBE">
        <w:rPr>
          <w:rFonts w:ascii="Arial" w:eastAsia="宋体" w:hAnsi="Arial" w:cs="Arial"/>
          <w:szCs w:val="18"/>
          <w:shd w:val="clear" w:color="auto" w:fill="FFFFFF"/>
        </w:rPr>
        <w:t>-</w:t>
      </w:r>
      <w:r w:rsidR="00E33ACF" w:rsidRPr="00A20CBE">
        <w:rPr>
          <w:rFonts w:ascii="Arial" w:eastAsia="宋体" w:hAnsi="Arial" w:cs="Arial" w:hint="eastAsia"/>
          <w:szCs w:val="18"/>
          <w:shd w:val="clear" w:color="auto" w:fill="FFFFFF"/>
        </w:rPr>
        <w:t>01</w:t>
      </w:r>
      <w:r w:rsidR="00E33ACF" w:rsidRPr="00A20CBE">
        <w:rPr>
          <w:rFonts w:ascii="Arial" w:eastAsia="宋体" w:hAnsi="Arial" w:cs="Arial"/>
          <w:szCs w:val="18"/>
          <w:shd w:val="clear" w:color="auto" w:fill="FFFFFF"/>
        </w:rPr>
        <w:t>-</w:t>
      </w:r>
      <w:r w:rsidR="00A20CBE">
        <w:rPr>
          <w:rFonts w:ascii="Arial" w:eastAsia="宋体" w:hAnsi="Arial" w:cs="Arial" w:hint="eastAsia"/>
          <w:szCs w:val="18"/>
          <w:shd w:val="clear" w:color="auto" w:fill="FFFFFF"/>
        </w:rPr>
        <w:t xml:space="preserve">20 </w:t>
      </w:r>
      <w:proofErr w:type="gramStart"/>
      <w:r w:rsidRPr="00A20CBE">
        <w:rPr>
          <w:rFonts w:ascii="Arial" w:eastAsia="宋体" w:hAnsi="Arial" w:cs="Arial"/>
          <w:szCs w:val="18"/>
          <w:shd w:val="clear" w:color="auto" w:fill="FFFFFF"/>
        </w:rPr>
        <w:t>清科研究中心</w:t>
      </w:r>
      <w:proofErr w:type="gramEnd"/>
      <w:r w:rsidR="00A20CBE">
        <w:rPr>
          <w:rFonts w:ascii="Arial" w:eastAsia="宋体" w:hAnsi="Arial" w:cs="Arial" w:hint="eastAsia"/>
          <w:szCs w:val="18"/>
          <w:shd w:val="clear" w:color="auto" w:fill="FFFFFF"/>
        </w:rPr>
        <w:t xml:space="preserve"> </w:t>
      </w:r>
      <w:r w:rsidR="00D00E00" w:rsidRPr="00A20CBE">
        <w:rPr>
          <w:rFonts w:ascii="Arial" w:eastAsia="宋体" w:hAnsi="Arial" w:cs="Arial" w:hint="eastAsia"/>
          <w:szCs w:val="18"/>
          <w:shd w:val="clear" w:color="auto" w:fill="FFFFFF"/>
        </w:rPr>
        <w:t>闫鹏</w:t>
      </w:r>
    </w:p>
    <w:p w:rsidR="004A2DC3" w:rsidRPr="000F1C1F" w:rsidRDefault="004A2DC3" w:rsidP="004A2DC3">
      <w:pPr>
        <w:spacing w:line="360" w:lineRule="exact"/>
        <w:rPr>
          <w:rFonts w:ascii="Arial" w:eastAsia="宋体" w:hAnsi="Arial" w:cs="Arial"/>
          <w:b/>
          <w:sz w:val="28"/>
          <w:szCs w:val="28"/>
        </w:rPr>
      </w:pPr>
    </w:p>
    <w:p w:rsidR="005456BF" w:rsidRDefault="00D00E00" w:rsidP="00616637">
      <w:pPr>
        <w:spacing w:line="360" w:lineRule="exact"/>
        <w:ind w:firstLineChars="200" w:firstLine="420"/>
        <w:rPr>
          <w:rFonts w:ascii="Arial" w:eastAsia="宋体" w:hAnsi="Arial" w:cs="Arial"/>
          <w:szCs w:val="21"/>
        </w:rPr>
      </w:pPr>
      <w:r w:rsidRPr="00D00E00">
        <w:rPr>
          <w:rFonts w:ascii="Arial" w:eastAsia="宋体" w:hAnsi="Arial" w:cs="Arial" w:hint="eastAsia"/>
          <w:szCs w:val="21"/>
        </w:rPr>
        <w:t>2014</w:t>
      </w:r>
      <w:r w:rsidR="005456BF">
        <w:rPr>
          <w:rFonts w:ascii="Arial" w:eastAsia="宋体" w:hAnsi="Arial" w:cs="Arial" w:hint="eastAsia"/>
          <w:szCs w:val="21"/>
        </w:rPr>
        <w:t>年</w:t>
      </w:r>
      <w:r w:rsidR="00F44AFB">
        <w:rPr>
          <w:rFonts w:ascii="Arial" w:eastAsia="宋体" w:hAnsi="Arial" w:cs="Arial" w:hint="eastAsia"/>
          <w:szCs w:val="21"/>
        </w:rPr>
        <w:t>，中国经济</w:t>
      </w:r>
      <w:r>
        <w:rPr>
          <w:rFonts w:ascii="Arial" w:eastAsia="宋体" w:hAnsi="Arial" w:cs="Arial" w:hint="eastAsia"/>
          <w:szCs w:val="21"/>
        </w:rPr>
        <w:t>注定是不平凡的一年，</w:t>
      </w:r>
      <w:r w:rsidR="00F44AFB">
        <w:rPr>
          <w:rFonts w:ascii="Arial" w:eastAsia="宋体" w:hAnsi="Arial" w:cs="Arial" w:hint="eastAsia"/>
          <w:szCs w:val="21"/>
        </w:rPr>
        <w:t>由此</w:t>
      </w:r>
      <w:r w:rsidRPr="00D00E00">
        <w:rPr>
          <w:rFonts w:ascii="Arial" w:eastAsia="宋体" w:hAnsi="Arial" w:cs="Arial" w:hint="eastAsia"/>
          <w:szCs w:val="21"/>
        </w:rPr>
        <w:t>开启了一个全新的时代。</w:t>
      </w:r>
      <w:r w:rsidR="005456BF">
        <w:rPr>
          <w:rFonts w:ascii="Arial" w:eastAsia="宋体" w:hAnsi="Arial" w:cs="Arial" w:hint="eastAsia"/>
          <w:szCs w:val="21"/>
        </w:rPr>
        <w:t>2014</w:t>
      </w:r>
      <w:r w:rsidR="005456BF">
        <w:rPr>
          <w:rFonts w:ascii="Arial" w:eastAsia="宋体" w:hAnsi="Arial" w:cs="Arial" w:hint="eastAsia"/>
          <w:szCs w:val="21"/>
        </w:rPr>
        <w:t>年中国经济</w:t>
      </w:r>
      <w:r w:rsidR="005456BF" w:rsidRPr="00D00E00">
        <w:rPr>
          <w:rFonts w:ascii="Arial" w:eastAsia="宋体" w:hAnsi="Arial" w:cs="Arial" w:hint="eastAsia"/>
          <w:szCs w:val="21"/>
        </w:rPr>
        <w:t>告别了高歌猛进，面对增长速度换挡期、结构调整阵痛期</w:t>
      </w:r>
      <w:bookmarkStart w:id="0" w:name="_GoBack"/>
      <w:bookmarkEnd w:id="0"/>
      <w:r w:rsidR="005456BF" w:rsidRPr="00D00E00">
        <w:rPr>
          <w:rFonts w:ascii="Arial" w:eastAsia="宋体" w:hAnsi="Arial" w:cs="Arial" w:hint="eastAsia"/>
          <w:szCs w:val="21"/>
        </w:rPr>
        <w:t>、前期刺激政策消化期“三期”叠加，中国经济正步入新的运行轨道。</w:t>
      </w:r>
      <w:r w:rsidRPr="00D00E00">
        <w:rPr>
          <w:rFonts w:ascii="Arial" w:eastAsia="宋体" w:hAnsi="Arial" w:cs="Arial" w:hint="eastAsia"/>
          <w:szCs w:val="21"/>
        </w:rPr>
        <w:t>以</w:t>
      </w:r>
      <w:r w:rsidR="005456BF">
        <w:rPr>
          <w:rFonts w:ascii="Arial" w:eastAsia="宋体" w:hAnsi="Arial" w:cs="Arial" w:hint="eastAsia"/>
          <w:szCs w:val="21"/>
        </w:rPr>
        <w:t>习近平同志为总书记的党中央准确把握中国经济发展阶段性特征，</w:t>
      </w:r>
      <w:r w:rsidRPr="00D00E00">
        <w:rPr>
          <w:rFonts w:ascii="Arial" w:eastAsia="宋体" w:hAnsi="Arial" w:cs="Arial" w:hint="eastAsia"/>
          <w:szCs w:val="21"/>
        </w:rPr>
        <w:t>提出适应经济新常态。</w:t>
      </w:r>
      <w:r w:rsidR="005456BF">
        <w:rPr>
          <w:rFonts w:ascii="Arial" w:eastAsia="宋体" w:hAnsi="Arial" w:cs="Arial" w:hint="eastAsia"/>
          <w:szCs w:val="21"/>
        </w:rPr>
        <w:t>新常态下的中国经济</w:t>
      </w:r>
      <w:r w:rsidR="005456BF" w:rsidRPr="005456BF">
        <w:rPr>
          <w:rFonts w:ascii="Arial" w:eastAsia="宋体" w:hAnsi="Arial" w:cs="Arial" w:hint="eastAsia"/>
          <w:szCs w:val="21"/>
        </w:rPr>
        <w:t>有几个主要特点：速度——“从高速增长转为中高速增长”，结构——“经济结构不断优化升级”，动力——“从要素驱动、投资驱动转向创新驱动”。</w:t>
      </w:r>
      <w:r w:rsidRPr="00D00E00">
        <w:rPr>
          <w:rFonts w:ascii="Arial" w:eastAsia="宋体" w:hAnsi="Arial" w:cs="Arial" w:hint="eastAsia"/>
          <w:szCs w:val="21"/>
        </w:rPr>
        <w:t>2014</w:t>
      </w:r>
      <w:r w:rsidRPr="00D00E00">
        <w:rPr>
          <w:rFonts w:ascii="Arial" w:eastAsia="宋体" w:hAnsi="Arial" w:cs="Arial" w:hint="eastAsia"/>
          <w:szCs w:val="21"/>
        </w:rPr>
        <w:t>年，中国</w:t>
      </w:r>
      <w:r>
        <w:rPr>
          <w:rFonts w:ascii="Arial" w:eastAsia="宋体" w:hAnsi="Arial" w:cs="Arial" w:hint="eastAsia"/>
          <w:szCs w:val="21"/>
        </w:rPr>
        <w:t>在各个领域展开了改革的进程，这种全面的程度是改革以来绝无仅有的。特别是</w:t>
      </w:r>
      <w:r w:rsidRPr="00D00E00">
        <w:rPr>
          <w:rFonts w:ascii="Arial" w:eastAsia="宋体" w:hAnsi="Arial" w:cs="Arial" w:hint="eastAsia"/>
          <w:szCs w:val="21"/>
        </w:rPr>
        <w:t>金融、财税、价格</w:t>
      </w:r>
      <w:r>
        <w:rPr>
          <w:rFonts w:ascii="Arial" w:eastAsia="宋体" w:hAnsi="Arial" w:cs="Arial" w:hint="eastAsia"/>
          <w:szCs w:val="21"/>
        </w:rPr>
        <w:t>的</w:t>
      </w:r>
      <w:r w:rsidRPr="00D00E00">
        <w:rPr>
          <w:rFonts w:ascii="Arial" w:eastAsia="宋体" w:hAnsi="Arial" w:cs="Arial" w:hint="eastAsia"/>
          <w:szCs w:val="21"/>
        </w:rPr>
        <w:t>改革，让市场机制更“通”，受益面更大。</w:t>
      </w:r>
    </w:p>
    <w:p w:rsidR="00E76BDD" w:rsidRDefault="00E76BDD" w:rsidP="00616637">
      <w:pPr>
        <w:spacing w:line="360" w:lineRule="exact"/>
        <w:ind w:firstLineChars="200" w:firstLine="420"/>
        <w:rPr>
          <w:rFonts w:ascii="Arial" w:eastAsia="宋体" w:hAnsi="Arial" w:cs="Arial"/>
          <w:szCs w:val="21"/>
        </w:rPr>
      </w:pPr>
    </w:p>
    <w:p w:rsidR="00180F71" w:rsidRDefault="00D00E00" w:rsidP="00180F71">
      <w:pPr>
        <w:spacing w:line="360" w:lineRule="exact"/>
        <w:ind w:firstLineChars="200" w:firstLine="420"/>
        <w:rPr>
          <w:rFonts w:ascii="Arial" w:eastAsia="宋体" w:hAnsi="Arial" w:cs="Arial"/>
          <w:color w:val="FF0000"/>
          <w:szCs w:val="21"/>
          <w:shd w:val="clear" w:color="auto" w:fill="FFFFFF"/>
        </w:rPr>
      </w:pPr>
      <w:r>
        <w:rPr>
          <w:rFonts w:ascii="Arial" w:eastAsia="宋体" w:hAnsi="Arial" w:cs="Arial" w:hint="eastAsia"/>
          <w:szCs w:val="21"/>
        </w:rPr>
        <w:t>在国家经济转型的背景下，</w:t>
      </w:r>
      <w:r w:rsidR="00F44AFB">
        <w:rPr>
          <w:rFonts w:ascii="Arial" w:eastAsia="宋体" w:hAnsi="Arial" w:cs="Arial" w:hint="eastAsia"/>
          <w:szCs w:val="21"/>
        </w:rPr>
        <w:t>国务院</w:t>
      </w:r>
      <w:r w:rsidR="00F44AFB" w:rsidRPr="00D05FE5">
        <w:rPr>
          <w:rFonts w:ascii="Arial" w:eastAsia="宋体" w:hAnsi="Arial" w:cs="Arial" w:hint="eastAsia"/>
          <w:szCs w:val="21"/>
        </w:rPr>
        <w:t>《关于进一步优化企业兼并重组市场环境的意见》</w:t>
      </w:r>
      <w:r w:rsidR="00F44AFB">
        <w:rPr>
          <w:rFonts w:ascii="Arial" w:eastAsia="宋体" w:hAnsi="Arial" w:cs="Arial" w:hint="eastAsia"/>
          <w:szCs w:val="21"/>
        </w:rPr>
        <w:t>等促进</w:t>
      </w:r>
      <w:r w:rsidR="00F44AFB" w:rsidRPr="000F1C1F">
        <w:rPr>
          <w:rFonts w:ascii="Arial" w:eastAsia="宋体" w:hAnsi="Arial" w:cs="Arial" w:hint="eastAsia"/>
          <w:szCs w:val="21"/>
        </w:rPr>
        <w:t>兼并重组</w:t>
      </w:r>
      <w:r w:rsidR="00F44AFB">
        <w:rPr>
          <w:rFonts w:ascii="Arial" w:eastAsia="宋体" w:hAnsi="Arial" w:cs="Arial" w:hint="eastAsia"/>
          <w:szCs w:val="21"/>
        </w:rPr>
        <w:t>重大利好</w:t>
      </w:r>
      <w:r w:rsidR="00F44AFB" w:rsidRPr="000F1C1F">
        <w:rPr>
          <w:rFonts w:ascii="Arial" w:eastAsia="宋体" w:hAnsi="Arial" w:cs="Arial"/>
          <w:szCs w:val="21"/>
        </w:rPr>
        <w:t>政策的鼓励下</w:t>
      </w:r>
      <w:r w:rsidR="00F44AFB">
        <w:rPr>
          <w:rFonts w:ascii="Arial" w:eastAsia="宋体" w:hAnsi="Arial" w:cs="Arial" w:hint="eastAsia"/>
          <w:szCs w:val="21"/>
        </w:rPr>
        <w:t>，加之</w:t>
      </w:r>
      <w:r w:rsidR="006862A3" w:rsidRPr="006862A3">
        <w:rPr>
          <w:rFonts w:ascii="Arial" w:eastAsia="宋体" w:hAnsi="Arial" w:cs="Arial"/>
          <w:szCs w:val="21"/>
        </w:rPr>
        <w:t>国家</w:t>
      </w:r>
      <w:r w:rsidR="00E76BDD">
        <w:rPr>
          <w:rFonts w:ascii="Arial" w:eastAsia="宋体" w:hAnsi="Arial" w:cs="Arial" w:hint="eastAsia"/>
          <w:szCs w:val="21"/>
        </w:rPr>
        <w:t>“</w:t>
      </w:r>
      <w:r w:rsidR="006862A3" w:rsidRPr="006862A3">
        <w:rPr>
          <w:rFonts w:ascii="Arial" w:eastAsia="宋体" w:hAnsi="Arial" w:cs="Arial"/>
          <w:szCs w:val="21"/>
        </w:rPr>
        <w:t>走出去</w:t>
      </w:r>
      <w:r w:rsidR="00E76BDD">
        <w:rPr>
          <w:rFonts w:ascii="Arial" w:eastAsia="宋体" w:hAnsi="Arial" w:cs="Arial" w:hint="eastAsia"/>
          <w:szCs w:val="21"/>
        </w:rPr>
        <w:t>”</w:t>
      </w:r>
      <w:r w:rsidR="006862A3" w:rsidRPr="006862A3">
        <w:rPr>
          <w:rFonts w:ascii="Arial" w:eastAsia="宋体" w:hAnsi="Arial" w:cs="Arial"/>
          <w:szCs w:val="21"/>
        </w:rPr>
        <w:t>战略的推广及实施</w:t>
      </w:r>
      <w:r w:rsidR="00AA6D37" w:rsidRPr="000F1C1F">
        <w:rPr>
          <w:rFonts w:ascii="Arial" w:eastAsia="宋体" w:hAnsi="Arial" w:cs="Arial"/>
          <w:szCs w:val="21"/>
        </w:rPr>
        <w:t>，</w:t>
      </w:r>
      <w:r w:rsidR="00F14A27" w:rsidRPr="000F1C1F">
        <w:rPr>
          <w:rFonts w:ascii="Arial" w:eastAsia="宋体" w:hAnsi="Arial" w:cs="Arial" w:hint="eastAsia"/>
          <w:szCs w:val="21"/>
        </w:rPr>
        <w:t>中国</w:t>
      </w:r>
      <w:r w:rsidR="00AA6D37" w:rsidRPr="000F1C1F">
        <w:rPr>
          <w:rFonts w:ascii="Arial" w:eastAsia="宋体" w:hAnsi="Arial" w:cs="Arial"/>
          <w:szCs w:val="21"/>
        </w:rPr>
        <w:t>企业</w:t>
      </w:r>
      <w:r w:rsidR="00D05FE5">
        <w:rPr>
          <w:rFonts w:ascii="Arial" w:eastAsia="宋体" w:hAnsi="Arial" w:cs="Arial"/>
          <w:szCs w:val="21"/>
        </w:rPr>
        <w:t>兼并重组的</w:t>
      </w:r>
      <w:r w:rsidR="00D05FE5">
        <w:rPr>
          <w:rFonts w:ascii="Arial" w:eastAsia="宋体" w:hAnsi="Arial" w:cs="Arial" w:hint="eastAsia"/>
          <w:szCs w:val="21"/>
        </w:rPr>
        <w:t>步伐</w:t>
      </w:r>
      <w:r w:rsidR="00F44AFB">
        <w:rPr>
          <w:rFonts w:ascii="Arial" w:eastAsia="宋体" w:hAnsi="Arial" w:cs="Arial" w:hint="eastAsia"/>
          <w:szCs w:val="21"/>
        </w:rPr>
        <w:t>不断加快</w:t>
      </w:r>
      <w:r w:rsidR="00932E41" w:rsidRPr="000F1C1F">
        <w:rPr>
          <w:rFonts w:ascii="Arial" w:eastAsia="宋体" w:hAnsi="Arial" w:cs="Arial"/>
          <w:szCs w:val="21"/>
        </w:rPr>
        <w:t>，</w:t>
      </w:r>
      <w:r w:rsidR="00F44AFB">
        <w:rPr>
          <w:rFonts w:ascii="Arial" w:eastAsia="宋体" w:hAnsi="Arial" w:cs="Arial" w:hint="eastAsia"/>
          <w:szCs w:val="21"/>
        </w:rPr>
        <w:t>从而</w:t>
      </w:r>
      <w:r w:rsidR="00E76BDD">
        <w:rPr>
          <w:rFonts w:ascii="Arial" w:eastAsia="宋体" w:hAnsi="Arial" w:cs="Arial" w:hint="eastAsia"/>
          <w:szCs w:val="21"/>
        </w:rPr>
        <w:t>实现</w:t>
      </w:r>
      <w:r w:rsidR="00932E41" w:rsidRPr="000F1C1F">
        <w:rPr>
          <w:rFonts w:ascii="Arial" w:eastAsia="宋体" w:hAnsi="Arial" w:cs="Arial"/>
          <w:szCs w:val="21"/>
        </w:rPr>
        <w:t>优化资产配置、扩大企业规模、实现</w:t>
      </w:r>
      <w:r w:rsidR="005A1717" w:rsidRPr="000F1C1F">
        <w:rPr>
          <w:rFonts w:ascii="Arial" w:eastAsia="宋体" w:hAnsi="Arial" w:cs="Arial" w:hint="eastAsia"/>
          <w:szCs w:val="21"/>
        </w:rPr>
        <w:t>战略</w:t>
      </w:r>
      <w:r w:rsidR="00D05FE5">
        <w:rPr>
          <w:rFonts w:ascii="Arial" w:eastAsia="宋体" w:hAnsi="Arial" w:cs="Arial"/>
          <w:szCs w:val="21"/>
        </w:rPr>
        <w:t>转型</w:t>
      </w:r>
      <w:r w:rsidR="00D05FE5">
        <w:rPr>
          <w:rFonts w:ascii="Arial" w:eastAsia="宋体" w:hAnsi="Arial" w:cs="Arial" w:hint="eastAsia"/>
          <w:szCs w:val="21"/>
        </w:rPr>
        <w:t>、</w:t>
      </w:r>
      <w:r w:rsidR="00932E41" w:rsidRPr="000F1C1F">
        <w:rPr>
          <w:rFonts w:ascii="Arial" w:eastAsia="宋体" w:hAnsi="Arial" w:cs="Arial"/>
          <w:szCs w:val="21"/>
        </w:rPr>
        <w:t>产能</w:t>
      </w:r>
      <w:r w:rsidR="005A1717" w:rsidRPr="000F1C1F">
        <w:rPr>
          <w:rFonts w:ascii="Arial" w:eastAsia="宋体" w:hAnsi="Arial" w:cs="Arial" w:hint="eastAsia"/>
          <w:szCs w:val="21"/>
        </w:rPr>
        <w:t>结构调整</w:t>
      </w:r>
      <w:r w:rsidR="00E76BDD">
        <w:rPr>
          <w:rFonts w:ascii="Arial" w:eastAsia="宋体" w:hAnsi="Arial" w:cs="Arial" w:hint="eastAsia"/>
          <w:szCs w:val="21"/>
        </w:rPr>
        <w:t>等</w:t>
      </w:r>
      <w:r w:rsidR="00D05FE5">
        <w:rPr>
          <w:rFonts w:ascii="Arial" w:eastAsia="宋体" w:hAnsi="Arial" w:cs="Arial"/>
          <w:szCs w:val="21"/>
        </w:rPr>
        <w:t>目的。</w:t>
      </w:r>
      <w:r w:rsidR="00D05FE5">
        <w:rPr>
          <w:rFonts w:ascii="Arial" w:eastAsia="宋体" w:hAnsi="Arial" w:cs="Arial" w:hint="eastAsia"/>
          <w:szCs w:val="21"/>
        </w:rPr>
        <w:t>得益于改革的红利和</w:t>
      </w:r>
      <w:r w:rsidR="005456BF">
        <w:rPr>
          <w:rFonts w:ascii="Arial" w:eastAsia="宋体" w:hAnsi="Arial" w:cs="Arial" w:hint="eastAsia"/>
          <w:szCs w:val="21"/>
        </w:rPr>
        <w:t>兼并重组</w:t>
      </w:r>
      <w:r w:rsidR="00D05FE5">
        <w:rPr>
          <w:rFonts w:ascii="Arial" w:eastAsia="宋体" w:hAnsi="Arial" w:cs="Arial" w:hint="eastAsia"/>
          <w:szCs w:val="21"/>
        </w:rPr>
        <w:t>政策的支撑</w:t>
      </w:r>
      <w:r w:rsidR="00932E41" w:rsidRPr="000F1C1F">
        <w:rPr>
          <w:rFonts w:ascii="Arial" w:eastAsia="宋体" w:hAnsi="Arial" w:cs="Arial"/>
          <w:szCs w:val="21"/>
        </w:rPr>
        <w:t>，中国并购市场</w:t>
      </w:r>
      <w:r w:rsidR="00D05FE5">
        <w:rPr>
          <w:rFonts w:ascii="Arial" w:eastAsia="宋体" w:hAnsi="Arial" w:cs="Arial"/>
          <w:szCs w:val="21"/>
        </w:rPr>
        <w:t>201</w:t>
      </w:r>
      <w:r w:rsidR="00D05FE5">
        <w:rPr>
          <w:rFonts w:ascii="Arial" w:eastAsia="宋体" w:hAnsi="Arial" w:cs="Arial" w:hint="eastAsia"/>
          <w:szCs w:val="21"/>
        </w:rPr>
        <w:t>4</w:t>
      </w:r>
      <w:r w:rsidR="008A749E" w:rsidRPr="000F1C1F">
        <w:rPr>
          <w:rFonts w:ascii="Arial" w:eastAsia="宋体" w:hAnsi="Arial" w:cs="Arial"/>
          <w:szCs w:val="21"/>
        </w:rPr>
        <w:t>年</w:t>
      </w:r>
      <w:r w:rsidR="00D05FE5">
        <w:rPr>
          <w:rFonts w:ascii="Arial" w:eastAsia="宋体" w:hAnsi="Arial" w:cs="Arial" w:hint="eastAsia"/>
          <w:szCs w:val="21"/>
        </w:rPr>
        <w:t>再次</w:t>
      </w:r>
      <w:r w:rsidR="00932E41" w:rsidRPr="000F1C1F">
        <w:rPr>
          <w:rFonts w:ascii="Arial" w:eastAsia="宋体" w:hAnsi="Arial" w:cs="Arial"/>
          <w:szCs w:val="21"/>
        </w:rPr>
        <w:t>呈现爆发性增长，交易数量与金额双双冲破历史记录。</w:t>
      </w:r>
      <w:r w:rsidR="00932E41" w:rsidRPr="000F1C1F">
        <w:rPr>
          <w:rFonts w:ascii="Arial" w:eastAsia="宋体" w:hAnsi="Arial" w:cs="Arial"/>
          <w:szCs w:val="21"/>
          <w:shd w:val="clear" w:color="auto" w:fill="FFFFFF"/>
        </w:rPr>
        <w:t>大中华区著名股权</w:t>
      </w:r>
      <w:r w:rsidR="0099488D" w:rsidRPr="000F1C1F">
        <w:rPr>
          <w:rFonts w:ascii="Arial" w:eastAsia="宋体" w:hAnsi="Arial" w:cs="Arial" w:hint="eastAsia"/>
          <w:szCs w:val="21"/>
          <w:shd w:val="clear" w:color="auto" w:fill="FFFFFF"/>
        </w:rPr>
        <w:t>投资</w:t>
      </w:r>
      <w:r w:rsidR="00932E41" w:rsidRPr="000F1C1F">
        <w:rPr>
          <w:rFonts w:ascii="Arial" w:eastAsia="宋体" w:hAnsi="Arial" w:cs="Arial"/>
          <w:szCs w:val="21"/>
          <w:shd w:val="clear" w:color="auto" w:fill="FFFFFF"/>
        </w:rPr>
        <w:t>研究</w:t>
      </w:r>
      <w:proofErr w:type="gramStart"/>
      <w:r w:rsidR="00932E41" w:rsidRPr="000F1C1F">
        <w:rPr>
          <w:rFonts w:ascii="Arial" w:eastAsia="宋体" w:hAnsi="Arial" w:cs="Arial"/>
          <w:szCs w:val="21"/>
          <w:shd w:val="clear" w:color="auto" w:fill="FFFFFF"/>
        </w:rPr>
        <w:t>机构清科研究中心</w:t>
      </w:r>
      <w:proofErr w:type="gramEnd"/>
      <w:r w:rsidR="00932E41" w:rsidRPr="000F1C1F">
        <w:rPr>
          <w:rFonts w:ascii="Arial" w:eastAsia="宋体" w:hAnsi="Arial" w:cs="Arial"/>
          <w:szCs w:val="21"/>
          <w:shd w:val="clear" w:color="auto" w:fill="FFFFFF"/>
        </w:rPr>
        <w:t>最新数据显示：</w:t>
      </w:r>
      <w:r w:rsidR="00616637">
        <w:rPr>
          <w:rFonts w:ascii="Arial" w:eastAsia="宋体" w:hAnsi="Arial" w:cs="Arial" w:hint="eastAsia"/>
          <w:szCs w:val="21"/>
          <w:shd w:val="clear" w:color="auto" w:fill="FFFFFF"/>
        </w:rPr>
        <w:t>2014</w:t>
      </w:r>
      <w:r w:rsidR="00616637">
        <w:rPr>
          <w:rFonts w:ascii="Arial" w:eastAsia="宋体" w:hAnsi="Arial" w:cs="Arial" w:hint="eastAsia"/>
          <w:szCs w:val="21"/>
          <w:shd w:val="clear" w:color="auto" w:fill="FFFFFF"/>
        </w:rPr>
        <w:t>年中国并购市场共完成交易</w:t>
      </w:r>
      <w:r w:rsidR="00180F71">
        <w:rPr>
          <w:rFonts w:ascii="Arial" w:eastAsia="宋体" w:hAnsi="Arial" w:cs="Arial" w:hint="eastAsia"/>
          <w:szCs w:val="21"/>
          <w:shd w:val="clear" w:color="auto" w:fill="FFFFFF"/>
        </w:rPr>
        <w:t>1,929</w:t>
      </w:r>
      <w:r w:rsidR="00616637">
        <w:rPr>
          <w:rFonts w:ascii="Arial" w:eastAsia="宋体" w:hAnsi="Arial" w:cs="Arial" w:hint="eastAsia"/>
          <w:szCs w:val="21"/>
          <w:shd w:val="clear" w:color="auto" w:fill="FFFFFF"/>
        </w:rPr>
        <w:t>起，较</w:t>
      </w:r>
      <w:r w:rsidR="00616637">
        <w:rPr>
          <w:rFonts w:ascii="Arial" w:eastAsia="宋体" w:hAnsi="Arial" w:cs="Arial" w:hint="eastAsia"/>
          <w:szCs w:val="21"/>
          <w:shd w:val="clear" w:color="auto" w:fill="FFFFFF"/>
        </w:rPr>
        <w:t>2013</w:t>
      </w:r>
      <w:r w:rsidR="00616637" w:rsidRPr="00616637">
        <w:rPr>
          <w:rFonts w:ascii="Arial" w:eastAsia="宋体" w:hAnsi="Arial" w:cs="Arial" w:hint="eastAsia"/>
          <w:szCs w:val="21"/>
          <w:shd w:val="clear" w:color="auto" w:fill="FFFFFF"/>
        </w:rPr>
        <w:t>年的</w:t>
      </w:r>
      <w:r w:rsidR="00616637" w:rsidRPr="00616637">
        <w:rPr>
          <w:rFonts w:ascii="Arial" w:eastAsia="宋体" w:hAnsi="Arial" w:cs="Arial"/>
          <w:szCs w:val="21"/>
          <w:shd w:val="clear" w:color="auto" w:fill="FFFFFF"/>
        </w:rPr>
        <w:t>1,23</w:t>
      </w:r>
      <w:r w:rsidR="00616637" w:rsidRPr="00616637">
        <w:rPr>
          <w:rFonts w:ascii="Arial" w:eastAsia="宋体" w:hAnsi="Arial" w:cs="Arial" w:hint="eastAsia"/>
          <w:szCs w:val="21"/>
          <w:shd w:val="clear" w:color="auto" w:fill="FFFFFF"/>
        </w:rPr>
        <w:t>2</w:t>
      </w:r>
      <w:r w:rsidR="00616637" w:rsidRPr="00616637">
        <w:rPr>
          <w:rFonts w:ascii="Arial" w:eastAsia="宋体" w:hAnsi="Arial" w:cs="Arial"/>
          <w:szCs w:val="21"/>
          <w:shd w:val="clear" w:color="auto" w:fill="FFFFFF"/>
        </w:rPr>
        <w:t>起</w:t>
      </w:r>
      <w:r w:rsidR="00616637" w:rsidRPr="00616637">
        <w:rPr>
          <w:rFonts w:ascii="Arial" w:eastAsia="宋体" w:hAnsi="Arial" w:cs="Arial" w:hint="eastAsia"/>
          <w:szCs w:val="21"/>
          <w:shd w:val="clear" w:color="auto" w:fill="FFFFFF"/>
        </w:rPr>
        <w:t>增长</w:t>
      </w:r>
      <w:r w:rsidR="00180F71">
        <w:rPr>
          <w:rFonts w:ascii="Arial" w:eastAsia="宋体" w:hAnsi="Arial" w:cs="Arial" w:hint="eastAsia"/>
          <w:szCs w:val="21"/>
          <w:shd w:val="clear" w:color="auto" w:fill="FFFFFF"/>
        </w:rPr>
        <w:t>56.6</w:t>
      </w:r>
      <w:r w:rsidR="00616637" w:rsidRPr="00616637">
        <w:rPr>
          <w:rFonts w:ascii="Arial" w:eastAsia="宋体" w:hAnsi="Arial" w:cs="Arial" w:hint="eastAsia"/>
          <w:szCs w:val="21"/>
          <w:shd w:val="clear" w:color="auto" w:fill="FFFFFF"/>
        </w:rPr>
        <w:t>%</w:t>
      </w:r>
      <w:r w:rsidR="00616637" w:rsidRPr="00616637">
        <w:rPr>
          <w:rFonts w:ascii="Arial" w:eastAsia="宋体" w:hAnsi="Arial" w:cs="Arial" w:hint="eastAsia"/>
          <w:szCs w:val="21"/>
          <w:shd w:val="clear" w:color="auto" w:fill="FFFFFF"/>
        </w:rPr>
        <w:t>；</w:t>
      </w:r>
      <w:r w:rsidR="00616637" w:rsidRPr="00616637">
        <w:rPr>
          <w:rFonts w:ascii="Arial" w:eastAsia="宋体" w:hAnsi="Arial" w:cs="Arial"/>
          <w:szCs w:val="21"/>
          <w:shd w:val="clear" w:color="auto" w:fill="FFFFFF"/>
        </w:rPr>
        <w:t>披露金额的并购案例总计</w:t>
      </w:r>
      <w:r w:rsidR="00616637" w:rsidRPr="00616637">
        <w:rPr>
          <w:rFonts w:ascii="Arial" w:eastAsia="宋体" w:hAnsi="Arial" w:cs="Arial"/>
          <w:szCs w:val="21"/>
          <w:shd w:val="clear" w:color="auto" w:fill="FFFFFF"/>
        </w:rPr>
        <w:t>1,</w:t>
      </w:r>
      <w:r w:rsidR="00180F71">
        <w:rPr>
          <w:rFonts w:ascii="Arial" w:eastAsia="宋体" w:hAnsi="Arial" w:cs="Arial" w:hint="eastAsia"/>
          <w:szCs w:val="21"/>
          <w:shd w:val="clear" w:color="auto" w:fill="FFFFFF"/>
        </w:rPr>
        <w:t>815</w:t>
      </w:r>
      <w:r w:rsidR="00616637" w:rsidRPr="00616637">
        <w:rPr>
          <w:rFonts w:ascii="Arial" w:eastAsia="宋体" w:hAnsi="Arial" w:cs="Arial"/>
          <w:szCs w:val="21"/>
          <w:shd w:val="clear" w:color="auto" w:fill="FFFFFF"/>
        </w:rPr>
        <w:t>起，涉及交易金额共</w:t>
      </w:r>
      <w:r w:rsidR="00C75A6E">
        <w:rPr>
          <w:rFonts w:ascii="Arial" w:eastAsia="宋体" w:hAnsi="Arial" w:cs="Arial" w:hint="eastAsia"/>
          <w:szCs w:val="21"/>
          <w:shd w:val="clear" w:color="auto" w:fill="FFFFFF"/>
        </w:rPr>
        <w:t>1</w:t>
      </w:r>
      <w:r w:rsidR="00E76BDD">
        <w:rPr>
          <w:rFonts w:ascii="Arial" w:eastAsia="宋体" w:hAnsi="Arial" w:cs="Arial" w:hint="eastAsia"/>
          <w:szCs w:val="21"/>
          <w:shd w:val="clear" w:color="auto" w:fill="FFFFFF"/>
        </w:rPr>
        <w:t>,</w:t>
      </w:r>
      <w:r w:rsidR="00180F71">
        <w:rPr>
          <w:rFonts w:ascii="Arial" w:eastAsia="宋体" w:hAnsi="Arial" w:cs="Arial" w:hint="eastAsia"/>
          <w:szCs w:val="21"/>
          <w:shd w:val="clear" w:color="auto" w:fill="FFFFFF"/>
        </w:rPr>
        <w:t>184</w:t>
      </w:r>
      <w:r w:rsidR="00616637" w:rsidRPr="00616637">
        <w:rPr>
          <w:rFonts w:ascii="Arial" w:eastAsia="宋体" w:hAnsi="Arial" w:cs="Arial"/>
          <w:szCs w:val="21"/>
          <w:shd w:val="clear" w:color="auto" w:fill="FFFFFF"/>
        </w:rPr>
        <w:t>.</w:t>
      </w:r>
      <w:r w:rsidR="00180F71">
        <w:rPr>
          <w:rFonts w:ascii="Arial" w:eastAsia="宋体" w:hAnsi="Arial" w:cs="Arial" w:hint="eastAsia"/>
          <w:szCs w:val="21"/>
          <w:shd w:val="clear" w:color="auto" w:fill="FFFFFF"/>
        </w:rPr>
        <w:t>90</w:t>
      </w:r>
      <w:r w:rsidR="00616637" w:rsidRPr="00616637">
        <w:rPr>
          <w:rFonts w:ascii="Arial" w:eastAsia="宋体" w:hAnsi="Arial" w:cs="Arial"/>
          <w:szCs w:val="21"/>
          <w:shd w:val="clear" w:color="auto" w:fill="FFFFFF"/>
        </w:rPr>
        <w:t>亿美元</w:t>
      </w:r>
      <w:r w:rsidR="004846EF">
        <w:rPr>
          <w:rFonts w:ascii="Arial" w:eastAsia="宋体" w:hAnsi="Arial" w:cs="Arial" w:hint="eastAsia"/>
          <w:szCs w:val="21"/>
          <w:shd w:val="clear" w:color="auto" w:fill="FFFFFF"/>
        </w:rPr>
        <w:t>，同比增长</w:t>
      </w:r>
      <w:r w:rsidR="00180F71">
        <w:rPr>
          <w:rFonts w:ascii="Arial" w:eastAsia="宋体" w:hAnsi="Arial" w:cs="Arial" w:hint="eastAsia"/>
          <w:szCs w:val="21"/>
          <w:shd w:val="clear" w:color="auto" w:fill="FFFFFF"/>
        </w:rPr>
        <w:t>27.1</w:t>
      </w:r>
      <w:r w:rsidR="00616637">
        <w:rPr>
          <w:rFonts w:ascii="Arial" w:eastAsia="宋体" w:hAnsi="Arial" w:cs="Arial" w:hint="eastAsia"/>
          <w:szCs w:val="21"/>
          <w:shd w:val="clear" w:color="auto" w:fill="FFFFFF"/>
        </w:rPr>
        <w:t>%</w:t>
      </w:r>
      <w:r w:rsidR="00616637">
        <w:rPr>
          <w:rFonts w:ascii="Arial" w:eastAsia="宋体" w:hAnsi="Arial" w:cs="Arial" w:hint="eastAsia"/>
          <w:szCs w:val="21"/>
          <w:shd w:val="clear" w:color="auto" w:fill="FFFFFF"/>
        </w:rPr>
        <w:t>；平均并购金额为</w:t>
      </w:r>
      <w:r w:rsidR="00C75A6E">
        <w:rPr>
          <w:rFonts w:ascii="Arial" w:eastAsia="宋体" w:hAnsi="Arial" w:cs="Arial" w:hint="eastAsia"/>
          <w:szCs w:val="21"/>
          <w:shd w:val="clear" w:color="auto" w:fill="FFFFFF"/>
        </w:rPr>
        <w:t>6</w:t>
      </w:r>
      <w:r w:rsidR="00E76BDD">
        <w:rPr>
          <w:rFonts w:ascii="Arial" w:eastAsia="宋体" w:hAnsi="Arial" w:cs="Arial" w:hint="eastAsia"/>
          <w:szCs w:val="21"/>
          <w:shd w:val="clear" w:color="auto" w:fill="FFFFFF"/>
        </w:rPr>
        <w:t>,</w:t>
      </w:r>
      <w:r w:rsidR="00180F71">
        <w:rPr>
          <w:rFonts w:ascii="Arial" w:eastAsia="宋体" w:hAnsi="Arial" w:cs="Arial" w:hint="eastAsia"/>
          <w:szCs w:val="21"/>
          <w:shd w:val="clear" w:color="auto" w:fill="FFFFFF"/>
        </w:rPr>
        <w:t>528.35</w:t>
      </w:r>
      <w:r w:rsidR="00616637">
        <w:rPr>
          <w:rFonts w:ascii="Arial" w:eastAsia="宋体" w:hAnsi="Arial" w:cs="Arial" w:hint="eastAsia"/>
          <w:szCs w:val="21"/>
          <w:shd w:val="clear" w:color="auto" w:fill="FFFFFF"/>
        </w:rPr>
        <w:t>万美元。</w:t>
      </w:r>
    </w:p>
    <w:p w:rsidR="00180F71" w:rsidRDefault="00180F71" w:rsidP="00180F71">
      <w:pPr>
        <w:spacing w:line="360" w:lineRule="exact"/>
        <w:ind w:firstLineChars="200" w:firstLine="420"/>
        <w:rPr>
          <w:rFonts w:ascii="Arial" w:eastAsia="宋体" w:hAnsi="Arial" w:cs="Arial"/>
          <w:color w:val="FF0000"/>
          <w:szCs w:val="21"/>
          <w:shd w:val="clear" w:color="auto" w:fill="FFFFFF"/>
        </w:rPr>
      </w:pPr>
    </w:p>
    <w:p w:rsidR="00180F71" w:rsidRPr="00180F71" w:rsidRDefault="00180F71" w:rsidP="00180F71">
      <w:pPr>
        <w:spacing w:line="360" w:lineRule="exact"/>
        <w:ind w:firstLineChars="200" w:firstLine="420"/>
        <w:rPr>
          <w:rFonts w:ascii="Arial" w:eastAsia="宋体" w:hAnsi="Arial" w:cs="Arial"/>
          <w:color w:val="FF0000"/>
          <w:szCs w:val="21"/>
          <w:shd w:val="clear" w:color="auto" w:fill="FFFFFF"/>
        </w:rPr>
      </w:pPr>
      <w:proofErr w:type="gramStart"/>
      <w:r w:rsidRPr="00180F71">
        <w:rPr>
          <w:rFonts w:ascii="Arial" w:eastAsia="宋体" w:hAnsi="Arial" w:cs="Arial"/>
          <w:szCs w:val="21"/>
          <w:shd w:val="clear" w:color="auto" w:fill="FFFFFF"/>
        </w:rPr>
        <w:t>另据清科集团</w:t>
      </w:r>
      <w:proofErr w:type="gramEnd"/>
      <w:r w:rsidRPr="00180F71">
        <w:rPr>
          <w:rFonts w:ascii="Arial" w:eastAsia="宋体" w:hAnsi="Arial" w:cs="Arial"/>
          <w:szCs w:val="21"/>
          <w:shd w:val="clear" w:color="auto" w:fill="FFFFFF"/>
        </w:rPr>
        <w:t>旗下私募通数据显示，</w:t>
      </w:r>
      <w:r w:rsidRPr="00180F71">
        <w:rPr>
          <w:rFonts w:ascii="Arial" w:eastAsia="宋体" w:hAnsi="Arial" w:cs="Arial"/>
          <w:szCs w:val="21"/>
          <w:shd w:val="clear" w:color="auto" w:fill="FFFFFF"/>
        </w:rPr>
        <w:t>2014</w:t>
      </w:r>
      <w:r w:rsidRPr="00180F71">
        <w:rPr>
          <w:rFonts w:ascii="Arial" w:eastAsia="宋体" w:hAnsi="Arial" w:cs="Arial"/>
          <w:szCs w:val="21"/>
          <w:shd w:val="clear" w:color="auto" w:fill="FFFFFF"/>
        </w:rPr>
        <w:t>年已完成的所有交易中，关联交易的并购案例数达</w:t>
      </w:r>
      <w:r w:rsidRPr="00180F71">
        <w:rPr>
          <w:rFonts w:ascii="Arial" w:eastAsia="宋体" w:hAnsi="Arial" w:cs="Arial"/>
          <w:szCs w:val="21"/>
          <w:shd w:val="clear" w:color="auto" w:fill="FFFFFF"/>
        </w:rPr>
        <w:t>543</w:t>
      </w:r>
      <w:r w:rsidRPr="00180F71">
        <w:rPr>
          <w:rFonts w:ascii="Arial" w:eastAsia="宋体" w:hAnsi="Arial" w:cs="Arial"/>
          <w:szCs w:val="21"/>
          <w:shd w:val="clear" w:color="auto" w:fill="FFFFFF"/>
        </w:rPr>
        <w:t>起</w:t>
      </w:r>
      <w:r w:rsidRPr="00180F71">
        <w:rPr>
          <w:rFonts w:ascii="Arial" w:eastAsia="宋体" w:hAnsi="Arial" w:cs="Arial"/>
          <w:szCs w:val="21"/>
          <w:shd w:val="clear" w:color="auto" w:fill="FFFFFF"/>
        </w:rPr>
        <w:t>,</w:t>
      </w:r>
      <w:r w:rsidRPr="00180F71">
        <w:rPr>
          <w:rFonts w:ascii="Arial" w:eastAsia="宋体" w:hAnsi="Arial" w:cs="Arial"/>
          <w:szCs w:val="21"/>
          <w:shd w:val="clear" w:color="auto" w:fill="FFFFFF"/>
        </w:rPr>
        <w:t>全部披露金额的</w:t>
      </w:r>
      <w:r w:rsidRPr="00180F71">
        <w:rPr>
          <w:rFonts w:ascii="Arial" w:eastAsia="宋体" w:hAnsi="Arial" w:cs="Arial"/>
          <w:szCs w:val="21"/>
          <w:shd w:val="clear" w:color="auto" w:fill="FFFFFF"/>
        </w:rPr>
        <w:t>532</w:t>
      </w:r>
      <w:r w:rsidRPr="00180F71">
        <w:rPr>
          <w:rFonts w:ascii="Arial" w:eastAsia="宋体" w:hAnsi="Arial" w:cs="Arial"/>
          <w:szCs w:val="21"/>
          <w:shd w:val="clear" w:color="auto" w:fill="FFFFFF"/>
        </w:rPr>
        <w:t>起案例共涉及的交易金额达</w:t>
      </w:r>
      <w:r w:rsidRPr="00180F71">
        <w:rPr>
          <w:rFonts w:ascii="Arial" w:eastAsia="宋体" w:hAnsi="Arial" w:cs="Arial"/>
          <w:szCs w:val="21"/>
          <w:shd w:val="clear" w:color="auto" w:fill="FFFFFF"/>
        </w:rPr>
        <w:t>753.78</w:t>
      </w:r>
      <w:r w:rsidRPr="00180F71">
        <w:rPr>
          <w:rFonts w:ascii="Arial" w:eastAsia="宋体" w:hAnsi="Arial" w:cs="Arial"/>
          <w:szCs w:val="21"/>
          <w:shd w:val="clear" w:color="auto" w:fill="FFFFFF"/>
        </w:rPr>
        <w:t>亿美元</w:t>
      </w:r>
    </w:p>
    <w:p w:rsidR="0030058D" w:rsidRPr="000F1C1F" w:rsidRDefault="0030058D" w:rsidP="00932E41">
      <w:pPr>
        <w:spacing w:line="360" w:lineRule="exact"/>
        <w:ind w:firstLineChars="200" w:firstLine="420"/>
        <w:rPr>
          <w:rFonts w:ascii="Arial" w:eastAsia="宋体" w:hAnsi="Arial" w:cs="Arial"/>
          <w:szCs w:val="21"/>
          <w:shd w:val="clear" w:color="auto" w:fill="FFFFFF"/>
        </w:rPr>
      </w:pPr>
    </w:p>
    <w:p w:rsidR="000C7F7A" w:rsidRPr="000F1C1F" w:rsidRDefault="00887428" w:rsidP="000C7F7A">
      <w:pPr>
        <w:spacing w:line="360" w:lineRule="exact"/>
        <w:rPr>
          <w:rFonts w:ascii="Arial" w:eastAsia="宋体" w:hAnsi="Arial" w:cs="Arial"/>
          <w:b/>
          <w:szCs w:val="21"/>
          <w:shd w:val="clear" w:color="auto" w:fill="FFFFFF"/>
        </w:rPr>
      </w:pPr>
      <w:r w:rsidRPr="000F1C1F">
        <w:rPr>
          <w:rFonts w:ascii="Arial" w:eastAsia="宋体" w:hAnsi="Arial" w:cs="Arial" w:hint="eastAsia"/>
          <w:b/>
          <w:szCs w:val="21"/>
          <w:shd w:val="clear" w:color="auto" w:fill="FFFFFF"/>
        </w:rPr>
        <w:t>中国</w:t>
      </w:r>
      <w:r w:rsidR="00616637">
        <w:rPr>
          <w:rFonts w:ascii="Arial" w:eastAsia="宋体" w:hAnsi="Arial" w:cs="Arial"/>
          <w:b/>
          <w:szCs w:val="21"/>
          <w:shd w:val="clear" w:color="auto" w:fill="FFFFFF"/>
        </w:rPr>
        <w:t>并购交易量</w:t>
      </w:r>
      <w:r w:rsidR="00616637">
        <w:rPr>
          <w:rFonts w:ascii="Arial" w:eastAsia="宋体" w:hAnsi="Arial" w:cs="Arial" w:hint="eastAsia"/>
          <w:b/>
          <w:szCs w:val="21"/>
          <w:shd w:val="clear" w:color="auto" w:fill="FFFFFF"/>
        </w:rPr>
        <w:t>再创新</w:t>
      </w:r>
      <w:r w:rsidR="000C7F7A" w:rsidRPr="000F1C1F">
        <w:rPr>
          <w:rFonts w:ascii="Arial" w:eastAsia="宋体" w:hAnsi="Arial" w:cs="Arial"/>
          <w:b/>
          <w:szCs w:val="21"/>
          <w:shd w:val="clear" w:color="auto" w:fill="FFFFFF"/>
        </w:rPr>
        <w:t>高</w:t>
      </w:r>
      <w:r w:rsidR="0051267C">
        <w:rPr>
          <w:rFonts w:ascii="Arial" w:eastAsia="宋体" w:hAnsi="Arial" w:cs="Arial" w:hint="eastAsia"/>
          <w:b/>
          <w:szCs w:val="21"/>
          <w:shd w:val="clear" w:color="auto" w:fill="FFFFFF"/>
        </w:rPr>
        <w:t>，</w:t>
      </w:r>
      <w:r w:rsidRPr="000F1C1F">
        <w:rPr>
          <w:rFonts w:ascii="Arial" w:eastAsia="宋体" w:hAnsi="Arial" w:cs="Arial" w:hint="eastAsia"/>
          <w:b/>
          <w:szCs w:val="21"/>
          <w:shd w:val="clear" w:color="auto" w:fill="FFFFFF"/>
        </w:rPr>
        <w:t>国内</w:t>
      </w:r>
      <w:r w:rsidR="000A13B5" w:rsidRPr="000F1C1F">
        <w:rPr>
          <w:rFonts w:ascii="Arial" w:eastAsia="宋体" w:hAnsi="Arial" w:cs="Arial" w:hint="eastAsia"/>
          <w:b/>
          <w:szCs w:val="21"/>
          <w:shd w:val="clear" w:color="auto" w:fill="FFFFFF"/>
        </w:rPr>
        <w:t>并购</w:t>
      </w:r>
      <w:r w:rsidR="000C7F7A" w:rsidRPr="000F1C1F">
        <w:rPr>
          <w:rFonts w:ascii="Arial" w:eastAsia="宋体" w:hAnsi="Arial" w:cs="Arial"/>
          <w:b/>
          <w:szCs w:val="21"/>
          <w:shd w:val="clear" w:color="auto" w:fill="FFFFFF"/>
        </w:rPr>
        <w:t>交易金额同比</w:t>
      </w:r>
      <w:r w:rsidR="0018733C">
        <w:rPr>
          <w:rFonts w:ascii="Arial" w:eastAsia="宋体" w:hAnsi="Arial" w:cs="Arial" w:hint="eastAsia"/>
          <w:b/>
          <w:szCs w:val="21"/>
          <w:shd w:val="clear" w:color="auto" w:fill="FFFFFF"/>
        </w:rPr>
        <w:t>近乎</w:t>
      </w:r>
      <w:r w:rsidR="00312CDE" w:rsidRPr="000F1C1F">
        <w:rPr>
          <w:rFonts w:ascii="Arial" w:eastAsia="宋体" w:hAnsi="Arial" w:cs="Arial" w:hint="eastAsia"/>
          <w:b/>
          <w:szCs w:val="21"/>
          <w:shd w:val="clear" w:color="auto" w:fill="FFFFFF"/>
        </w:rPr>
        <w:t>翻番</w:t>
      </w:r>
    </w:p>
    <w:p w:rsidR="004A2DC3" w:rsidRPr="0018733C" w:rsidRDefault="004A2DC3" w:rsidP="00932E41">
      <w:pPr>
        <w:spacing w:line="360" w:lineRule="exact"/>
        <w:ind w:firstLineChars="200" w:firstLine="420"/>
        <w:rPr>
          <w:rFonts w:ascii="Arial" w:eastAsia="宋体" w:hAnsi="Arial" w:cs="Arial"/>
          <w:szCs w:val="21"/>
        </w:rPr>
      </w:pPr>
    </w:p>
    <w:p w:rsidR="0030058D" w:rsidRDefault="000C7F7A" w:rsidP="00330835">
      <w:pPr>
        <w:spacing w:line="360" w:lineRule="exact"/>
        <w:ind w:firstLineChars="200" w:firstLine="420"/>
        <w:rPr>
          <w:rFonts w:ascii="Arial" w:eastAsia="宋体" w:hAnsi="Arial" w:cs="Arial"/>
          <w:szCs w:val="21"/>
          <w:shd w:val="clear" w:color="auto" w:fill="FFFFFF"/>
        </w:rPr>
      </w:pPr>
      <w:r w:rsidRPr="000F1C1F">
        <w:rPr>
          <w:rFonts w:ascii="Arial" w:eastAsia="宋体" w:hAnsi="Arial" w:cs="Arial"/>
          <w:szCs w:val="21"/>
        </w:rPr>
        <w:t>中国并购市场</w:t>
      </w:r>
      <w:r w:rsidR="00DB5683">
        <w:rPr>
          <w:rFonts w:ascii="Arial" w:eastAsia="宋体" w:hAnsi="Arial" w:cs="Arial"/>
          <w:szCs w:val="21"/>
        </w:rPr>
        <w:t>201</w:t>
      </w:r>
      <w:r w:rsidR="00DB5683">
        <w:rPr>
          <w:rFonts w:ascii="Arial" w:eastAsia="宋体" w:hAnsi="Arial" w:cs="Arial" w:hint="eastAsia"/>
          <w:szCs w:val="21"/>
        </w:rPr>
        <w:t>4</w:t>
      </w:r>
      <w:r w:rsidR="008F2C59" w:rsidRPr="000F1C1F">
        <w:rPr>
          <w:rFonts w:ascii="Arial" w:eastAsia="宋体" w:hAnsi="Arial" w:cs="Arial"/>
          <w:szCs w:val="21"/>
        </w:rPr>
        <w:t>年</w:t>
      </w:r>
      <w:r w:rsidR="004846EF">
        <w:rPr>
          <w:rFonts w:ascii="Arial" w:eastAsia="宋体" w:hAnsi="Arial" w:cs="Arial" w:hint="eastAsia"/>
          <w:szCs w:val="21"/>
        </w:rPr>
        <w:t>延续了</w:t>
      </w:r>
      <w:r w:rsidR="004846EF">
        <w:rPr>
          <w:rFonts w:ascii="Arial" w:eastAsia="宋体" w:hAnsi="Arial" w:cs="Arial" w:hint="eastAsia"/>
          <w:szCs w:val="21"/>
        </w:rPr>
        <w:t>2013</w:t>
      </w:r>
      <w:r w:rsidR="004846EF">
        <w:rPr>
          <w:rFonts w:ascii="Arial" w:eastAsia="宋体" w:hAnsi="Arial" w:cs="Arial" w:hint="eastAsia"/>
          <w:szCs w:val="21"/>
        </w:rPr>
        <w:t>年的火热态势，在改革红利不断释放的大环境中和促进兼并重组政策的刺激作用下</w:t>
      </w:r>
      <w:r w:rsidRPr="000F1C1F">
        <w:rPr>
          <w:rFonts w:ascii="Arial" w:eastAsia="宋体" w:hAnsi="Arial" w:cs="Arial"/>
          <w:szCs w:val="21"/>
        </w:rPr>
        <w:t>，</w:t>
      </w:r>
      <w:r w:rsidR="004846EF">
        <w:rPr>
          <w:rFonts w:ascii="Arial" w:eastAsia="宋体" w:hAnsi="Arial" w:cs="Arial"/>
          <w:szCs w:val="21"/>
        </w:rPr>
        <w:t>并购</w:t>
      </w:r>
      <w:r w:rsidR="004846EF">
        <w:rPr>
          <w:rFonts w:ascii="Arial" w:eastAsia="宋体" w:hAnsi="Arial" w:cs="Arial" w:hint="eastAsia"/>
          <w:szCs w:val="21"/>
        </w:rPr>
        <w:t>活跃度</w:t>
      </w:r>
      <w:r w:rsidR="004846EF">
        <w:rPr>
          <w:rFonts w:ascii="Arial" w:eastAsia="宋体" w:hAnsi="Arial" w:cs="Arial"/>
          <w:szCs w:val="21"/>
        </w:rPr>
        <w:t>与</w:t>
      </w:r>
      <w:r w:rsidR="004846EF">
        <w:rPr>
          <w:rFonts w:ascii="Arial" w:eastAsia="宋体" w:hAnsi="Arial" w:cs="Arial" w:hint="eastAsia"/>
          <w:szCs w:val="21"/>
        </w:rPr>
        <w:t>交易</w:t>
      </w:r>
      <w:proofErr w:type="gramStart"/>
      <w:r w:rsidR="004846EF">
        <w:rPr>
          <w:rFonts w:ascii="Arial" w:eastAsia="宋体" w:hAnsi="Arial" w:cs="Arial" w:hint="eastAsia"/>
          <w:szCs w:val="21"/>
        </w:rPr>
        <w:t>规模继</w:t>
      </w:r>
      <w:proofErr w:type="gramEnd"/>
      <w:r w:rsidR="004846EF">
        <w:rPr>
          <w:rFonts w:ascii="Arial" w:eastAsia="宋体" w:hAnsi="Arial" w:cs="Arial" w:hint="eastAsia"/>
          <w:szCs w:val="21"/>
        </w:rPr>
        <w:t>2013</w:t>
      </w:r>
      <w:r w:rsidR="004846EF">
        <w:rPr>
          <w:rFonts w:ascii="Arial" w:eastAsia="宋体" w:hAnsi="Arial" w:cs="Arial" w:hint="eastAsia"/>
          <w:szCs w:val="21"/>
        </w:rPr>
        <w:t>年之后再创新高</w:t>
      </w:r>
      <w:r w:rsidR="00382519" w:rsidRPr="000F1C1F">
        <w:rPr>
          <w:rFonts w:ascii="Arial" w:eastAsia="宋体" w:hAnsi="Arial" w:cs="Arial"/>
          <w:szCs w:val="21"/>
        </w:rPr>
        <w:t>，</w:t>
      </w:r>
      <w:r w:rsidR="00846D0C" w:rsidRPr="000F1C1F">
        <w:rPr>
          <w:rFonts w:ascii="Arial" w:eastAsia="宋体" w:hAnsi="Arial" w:cs="Arial"/>
          <w:szCs w:val="21"/>
        </w:rPr>
        <w:t>堪称</w:t>
      </w:r>
      <w:r w:rsidR="00E76BDD">
        <w:rPr>
          <w:rFonts w:ascii="Arial" w:eastAsia="宋体" w:hAnsi="Arial" w:cs="Arial" w:hint="eastAsia"/>
          <w:szCs w:val="21"/>
        </w:rPr>
        <w:t>“</w:t>
      </w:r>
      <w:r w:rsidR="00DB5683">
        <w:rPr>
          <w:rFonts w:ascii="Arial" w:eastAsia="宋体" w:hAnsi="Arial" w:cs="Arial"/>
          <w:szCs w:val="21"/>
        </w:rPr>
        <w:t>中国并购</w:t>
      </w:r>
      <w:r w:rsidR="00C75A6E">
        <w:rPr>
          <w:rFonts w:ascii="Arial" w:eastAsia="宋体" w:hAnsi="Arial" w:cs="Arial" w:hint="eastAsia"/>
          <w:szCs w:val="21"/>
        </w:rPr>
        <w:t>市场的狂欢</w:t>
      </w:r>
      <w:r w:rsidR="00E76BDD">
        <w:rPr>
          <w:rFonts w:ascii="Arial" w:eastAsia="宋体" w:hAnsi="Arial" w:cs="Arial" w:hint="eastAsia"/>
          <w:szCs w:val="21"/>
        </w:rPr>
        <w:t>”</w:t>
      </w:r>
      <w:r w:rsidR="00846D0C" w:rsidRPr="000F1C1F">
        <w:rPr>
          <w:rFonts w:ascii="Arial" w:eastAsia="宋体" w:hAnsi="Arial" w:cs="Arial"/>
          <w:szCs w:val="21"/>
        </w:rPr>
        <w:t>。</w:t>
      </w:r>
      <w:proofErr w:type="gramStart"/>
      <w:r w:rsidR="00451CDE" w:rsidRPr="000F1C1F">
        <w:rPr>
          <w:rFonts w:ascii="Arial" w:eastAsia="宋体" w:hAnsi="Arial" w:cs="Arial"/>
          <w:szCs w:val="21"/>
        </w:rPr>
        <w:t>在清科研究中心</w:t>
      </w:r>
      <w:proofErr w:type="gramEnd"/>
      <w:r w:rsidR="00451CDE" w:rsidRPr="000F1C1F">
        <w:rPr>
          <w:rFonts w:ascii="Arial" w:eastAsia="宋体" w:hAnsi="Arial" w:cs="Arial"/>
          <w:szCs w:val="21"/>
        </w:rPr>
        <w:t>的研究范围内，</w:t>
      </w:r>
      <w:r w:rsidR="004846EF">
        <w:rPr>
          <w:rFonts w:ascii="Arial" w:eastAsia="宋体" w:hAnsi="Arial" w:cs="Arial" w:hint="eastAsia"/>
          <w:szCs w:val="21"/>
          <w:shd w:val="clear" w:color="auto" w:fill="FFFFFF"/>
        </w:rPr>
        <w:t>中国</w:t>
      </w:r>
      <w:r w:rsidR="00F44AFB">
        <w:rPr>
          <w:rFonts w:ascii="Arial" w:eastAsia="宋体" w:hAnsi="Arial" w:cs="Arial" w:hint="eastAsia"/>
          <w:szCs w:val="21"/>
          <w:shd w:val="clear" w:color="auto" w:fill="FFFFFF"/>
        </w:rPr>
        <w:t>并购</w:t>
      </w:r>
      <w:r w:rsidR="004846EF">
        <w:rPr>
          <w:rFonts w:ascii="Arial" w:eastAsia="宋体" w:hAnsi="Arial" w:cs="Arial" w:hint="eastAsia"/>
          <w:szCs w:val="21"/>
          <w:shd w:val="clear" w:color="auto" w:fill="FFFFFF"/>
        </w:rPr>
        <w:t>市场全年共完成交易</w:t>
      </w:r>
      <w:r w:rsidR="00180F71">
        <w:rPr>
          <w:rFonts w:ascii="Arial" w:eastAsia="宋体" w:hAnsi="Arial" w:cs="Arial" w:hint="eastAsia"/>
          <w:szCs w:val="21"/>
          <w:shd w:val="clear" w:color="auto" w:fill="FFFFFF"/>
        </w:rPr>
        <w:t>1,929</w:t>
      </w:r>
      <w:r w:rsidR="004846EF">
        <w:rPr>
          <w:rFonts w:ascii="Arial" w:eastAsia="宋体" w:hAnsi="Arial" w:cs="Arial" w:hint="eastAsia"/>
          <w:szCs w:val="21"/>
          <w:shd w:val="clear" w:color="auto" w:fill="FFFFFF"/>
        </w:rPr>
        <w:t>起，同比</w:t>
      </w:r>
      <w:r w:rsidR="004846EF" w:rsidRPr="00616637">
        <w:rPr>
          <w:rFonts w:ascii="Arial" w:eastAsia="宋体" w:hAnsi="Arial" w:cs="Arial" w:hint="eastAsia"/>
          <w:szCs w:val="21"/>
          <w:shd w:val="clear" w:color="auto" w:fill="FFFFFF"/>
        </w:rPr>
        <w:t>增长</w:t>
      </w:r>
      <w:r w:rsidR="00180F71">
        <w:rPr>
          <w:rFonts w:ascii="Arial" w:eastAsia="宋体" w:hAnsi="Arial" w:cs="Arial" w:hint="eastAsia"/>
          <w:szCs w:val="21"/>
          <w:shd w:val="clear" w:color="auto" w:fill="FFFFFF"/>
        </w:rPr>
        <w:t>超过五</w:t>
      </w:r>
      <w:r w:rsidR="004846EF">
        <w:rPr>
          <w:rFonts w:ascii="Arial" w:eastAsia="宋体" w:hAnsi="Arial" w:cs="Arial" w:hint="eastAsia"/>
          <w:szCs w:val="21"/>
          <w:shd w:val="clear" w:color="auto" w:fill="FFFFFF"/>
        </w:rPr>
        <w:t>成</w:t>
      </w:r>
      <w:r w:rsidR="004846EF" w:rsidRPr="00616637">
        <w:rPr>
          <w:rFonts w:ascii="Arial" w:eastAsia="宋体" w:hAnsi="Arial" w:cs="Arial" w:hint="eastAsia"/>
          <w:szCs w:val="21"/>
          <w:shd w:val="clear" w:color="auto" w:fill="FFFFFF"/>
        </w:rPr>
        <w:t>；</w:t>
      </w:r>
      <w:r w:rsidR="004846EF" w:rsidRPr="00616637">
        <w:rPr>
          <w:rFonts w:ascii="Arial" w:eastAsia="宋体" w:hAnsi="Arial" w:cs="Arial"/>
          <w:szCs w:val="21"/>
          <w:shd w:val="clear" w:color="auto" w:fill="FFFFFF"/>
        </w:rPr>
        <w:t>涉及</w:t>
      </w:r>
      <w:r w:rsidR="004846EF">
        <w:rPr>
          <w:rFonts w:ascii="Arial" w:eastAsia="宋体" w:hAnsi="Arial" w:cs="Arial" w:hint="eastAsia"/>
          <w:szCs w:val="21"/>
          <w:shd w:val="clear" w:color="auto" w:fill="FFFFFF"/>
        </w:rPr>
        <w:t>的并购</w:t>
      </w:r>
      <w:r w:rsidR="004846EF" w:rsidRPr="00616637">
        <w:rPr>
          <w:rFonts w:ascii="Arial" w:eastAsia="宋体" w:hAnsi="Arial" w:cs="Arial"/>
          <w:szCs w:val="21"/>
          <w:shd w:val="clear" w:color="auto" w:fill="FFFFFF"/>
        </w:rPr>
        <w:t>金额</w:t>
      </w:r>
      <w:r w:rsidR="004846EF">
        <w:rPr>
          <w:rFonts w:ascii="Arial" w:eastAsia="宋体" w:hAnsi="Arial" w:cs="Arial" w:hint="eastAsia"/>
          <w:szCs w:val="21"/>
          <w:shd w:val="clear" w:color="auto" w:fill="FFFFFF"/>
        </w:rPr>
        <w:t>合计</w:t>
      </w:r>
      <w:r w:rsidR="00180F71">
        <w:rPr>
          <w:rFonts w:ascii="Arial" w:eastAsia="宋体" w:hAnsi="Arial" w:cs="Arial" w:hint="eastAsia"/>
          <w:szCs w:val="21"/>
          <w:shd w:val="clear" w:color="auto" w:fill="FFFFFF"/>
        </w:rPr>
        <w:t>1,184</w:t>
      </w:r>
      <w:r w:rsidR="00180F71" w:rsidRPr="00616637">
        <w:rPr>
          <w:rFonts w:ascii="Arial" w:eastAsia="宋体" w:hAnsi="Arial" w:cs="Arial"/>
          <w:szCs w:val="21"/>
          <w:shd w:val="clear" w:color="auto" w:fill="FFFFFF"/>
        </w:rPr>
        <w:t>.</w:t>
      </w:r>
      <w:r w:rsidR="00180F71">
        <w:rPr>
          <w:rFonts w:ascii="Arial" w:eastAsia="宋体" w:hAnsi="Arial" w:cs="Arial" w:hint="eastAsia"/>
          <w:szCs w:val="21"/>
          <w:shd w:val="clear" w:color="auto" w:fill="FFFFFF"/>
        </w:rPr>
        <w:t>90</w:t>
      </w:r>
      <w:r w:rsidR="004846EF" w:rsidRPr="00616637">
        <w:rPr>
          <w:rFonts w:ascii="Arial" w:eastAsia="宋体" w:hAnsi="Arial" w:cs="Arial"/>
          <w:szCs w:val="21"/>
          <w:shd w:val="clear" w:color="auto" w:fill="FFFFFF"/>
        </w:rPr>
        <w:t>亿美元</w:t>
      </w:r>
      <w:r w:rsidR="004846EF">
        <w:rPr>
          <w:rFonts w:ascii="Arial" w:eastAsia="宋体" w:hAnsi="Arial" w:cs="Arial" w:hint="eastAsia"/>
          <w:szCs w:val="21"/>
          <w:shd w:val="clear" w:color="auto" w:fill="FFFFFF"/>
        </w:rPr>
        <w:t>，同比上升近三成</w:t>
      </w:r>
      <w:r w:rsidR="00A92923">
        <w:rPr>
          <w:rFonts w:ascii="Arial" w:eastAsia="宋体" w:hAnsi="Arial" w:cs="Arial" w:hint="eastAsia"/>
          <w:szCs w:val="21"/>
          <w:shd w:val="clear" w:color="auto" w:fill="FFFFFF"/>
        </w:rPr>
        <w:t>（见图</w:t>
      </w:r>
      <w:r w:rsidR="00A92923">
        <w:rPr>
          <w:rFonts w:ascii="Arial" w:eastAsia="宋体" w:hAnsi="Arial" w:cs="Arial" w:hint="eastAsia"/>
          <w:szCs w:val="21"/>
          <w:shd w:val="clear" w:color="auto" w:fill="FFFFFF"/>
        </w:rPr>
        <w:t>1</w:t>
      </w:r>
      <w:r w:rsidR="00A92923">
        <w:rPr>
          <w:rFonts w:ascii="Arial" w:eastAsia="宋体" w:hAnsi="Arial" w:cs="Arial" w:hint="eastAsia"/>
          <w:szCs w:val="21"/>
          <w:shd w:val="clear" w:color="auto" w:fill="FFFFFF"/>
        </w:rPr>
        <w:t>）</w:t>
      </w:r>
      <w:r w:rsidR="004846EF">
        <w:rPr>
          <w:rFonts w:ascii="Arial" w:eastAsia="宋体" w:hAnsi="Arial" w:cs="Arial" w:hint="eastAsia"/>
          <w:szCs w:val="21"/>
          <w:shd w:val="clear" w:color="auto" w:fill="FFFFFF"/>
        </w:rPr>
        <w:t>。其中</w:t>
      </w:r>
      <w:r w:rsidR="00D900DC">
        <w:rPr>
          <w:rFonts w:ascii="Arial" w:eastAsia="宋体" w:hAnsi="Arial" w:cs="Arial" w:hint="eastAsia"/>
          <w:szCs w:val="21"/>
          <w:shd w:val="clear" w:color="auto" w:fill="FFFFFF"/>
        </w:rPr>
        <w:t>，</w:t>
      </w:r>
      <w:r w:rsidR="004846EF">
        <w:rPr>
          <w:rFonts w:ascii="Arial" w:eastAsia="宋体" w:hAnsi="Arial" w:cs="Arial" w:hint="eastAsia"/>
          <w:szCs w:val="21"/>
          <w:shd w:val="clear" w:color="auto" w:fill="FFFFFF"/>
        </w:rPr>
        <w:t>国内并购</w:t>
      </w:r>
      <w:r w:rsidR="0018733C">
        <w:rPr>
          <w:rFonts w:ascii="Arial" w:eastAsia="宋体" w:hAnsi="Arial" w:cs="Arial" w:hint="eastAsia"/>
          <w:szCs w:val="21"/>
          <w:shd w:val="clear" w:color="auto" w:fill="FFFFFF"/>
        </w:rPr>
        <w:t>表现抢眼，</w:t>
      </w:r>
      <w:r w:rsidR="004846EF">
        <w:rPr>
          <w:rFonts w:ascii="Arial" w:eastAsia="宋体" w:hAnsi="Arial" w:cs="Arial" w:hint="eastAsia"/>
          <w:szCs w:val="21"/>
          <w:shd w:val="clear" w:color="auto" w:fill="FFFFFF"/>
        </w:rPr>
        <w:t>完成</w:t>
      </w:r>
      <w:r w:rsidR="0018733C">
        <w:rPr>
          <w:rFonts w:ascii="Arial" w:eastAsia="宋体" w:hAnsi="Arial" w:cs="Arial" w:hint="eastAsia"/>
          <w:szCs w:val="21"/>
          <w:shd w:val="clear" w:color="auto" w:fill="FFFFFF"/>
        </w:rPr>
        <w:t>并购案例</w:t>
      </w:r>
      <w:r w:rsidR="00180F71">
        <w:rPr>
          <w:rFonts w:ascii="Arial" w:eastAsia="宋体" w:hAnsi="Arial" w:cs="Arial" w:hint="eastAsia"/>
          <w:szCs w:val="21"/>
          <w:shd w:val="clear" w:color="auto" w:fill="FFFFFF"/>
        </w:rPr>
        <w:t>1,737</w:t>
      </w:r>
      <w:r w:rsidR="004846EF">
        <w:rPr>
          <w:rFonts w:ascii="Arial" w:eastAsia="宋体" w:hAnsi="Arial" w:cs="Arial" w:hint="eastAsia"/>
          <w:szCs w:val="21"/>
          <w:shd w:val="clear" w:color="auto" w:fill="FFFFFF"/>
        </w:rPr>
        <w:t>起</w:t>
      </w:r>
      <w:r w:rsidR="00D900DC">
        <w:rPr>
          <w:rFonts w:ascii="Arial" w:eastAsia="宋体" w:hAnsi="Arial" w:cs="Arial" w:hint="eastAsia"/>
          <w:szCs w:val="21"/>
          <w:shd w:val="clear" w:color="auto" w:fill="FFFFFF"/>
        </w:rPr>
        <w:t>，同比增长</w:t>
      </w:r>
      <w:r w:rsidR="00180F71">
        <w:rPr>
          <w:rFonts w:ascii="Arial" w:eastAsia="宋体" w:hAnsi="Arial" w:cs="Arial" w:hint="eastAsia"/>
          <w:szCs w:val="21"/>
          <w:shd w:val="clear" w:color="auto" w:fill="FFFFFF"/>
        </w:rPr>
        <w:t>58.8</w:t>
      </w:r>
      <w:r w:rsidR="00D900DC">
        <w:rPr>
          <w:rFonts w:ascii="Arial" w:eastAsia="宋体" w:hAnsi="Arial" w:cs="Arial" w:hint="eastAsia"/>
          <w:szCs w:val="21"/>
          <w:shd w:val="clear" w:color="auto" w:fill="FFFFFF"/>
        </w:rPr>
        <w:t>%</w:t>
      </w:r>
      <w:r w:rsidR="00D900DC">
        <w:rPr>
          <w:rFonts w:ascii="Arial" w:eastAsia="宋体" w:hAnsi="Arial" w:cs="Arial" w:hint="eastAsia"/>
          <w:szCs w:val="21"/>
          <w:shd w:val="clear" w:color="auto" w:fill="FFFFFF"/>
        </w:rPr>
        <w:t>，交易量占全部案例的</w:t>
      </w:r>
      <w:r w:rsidR="00180F71">
        <w:rPr>
          <w:rFonts w:ascii="Arial" w:eastAsia="宋体" w:hAnsi="Arial" w:cs="Arial" w:hint="eastAsia"/>
          <w:szCs w:val="21"/>
          <w:shd w:val="clear" w:color="auto" w:fill="FFFFFF"/>
        </w:rPr>
        <w:t>90.0</w:t>
      </w:r>
      <w:r w:rsidR="00D900DC">
        <w:rPr>
          <w:rFonts w:ascii="Arial" w:eastAsia="宋体" w:hAnsi="Arial" w:cs="Arial" w:hint="eastAsia"/>
          <w:szCs w:val="21"/>
          <w:shd w:val="clear" w:color="auto" w:fill="FFFFFF"/>
        </w:rPr>
        <w:t>%</w:t>
      </w:r>
      <w:r w:rsidR="00D900DC">
        <w:rPr>
          <w:rFonts w:ascii="Arial" w:eastAsia="宋体" w:hAnsi="Arial" w:cs="Arial" w:hint="eastAsia"/>
          <w:szCs w:val="21"/>
          <w:shd w:val="clear" w:color="auto" w:fill="FFFFFF"/>
        </w:rPr>
        <w:t>，共涉及交易金额</w:t>
      </w:r>
      <w:r w:rsidR="00180F71">
        <w:rPr>
          <w:rFonts w:ascii="Arial" w:eastAsia="宋体" w:hAnsi="Arial" w:cs="Arial" w:hint="eastAsia"/>
          <w:szCs w:val="21"/>
          <w:shd w:val="clear" w:color="auto" w:fill="FFFFFF"/>
        </w:rPr>
        <w:t>8</w:t>
      </w:r>
      <w:r w:rsidR="00C75A6E">
        <w:rPr>
          <w:rFonts w:ascii="Arial" w:eastAsia="宋体" w:hAnsi="Arial" w:cs="Arial" w:hint="eastAsia"/>
          <w:szCs w:val="21"/>
          <w:shd w:val="clear" w:color="auto" w:fill="FFFFFF"/>
        </w:rPr>
        <w:t>1</w:t>
      </w:r>
      <w:r w:rsidR="00180F71">
        <w:rPr>
          <w:rFonts w:ascii="Arial" w:eastAsia="宋体" w:hAnsi="Arial" w:cs="Arial" w:hint="eastAsia"/>
          <w:szCs w:val="21"/>
          <w:shd w:val="clear" w:color="auto" w:fill="FFFFFF"/>
        </w:rPr>
        <w:t>3.21</w:t>
      </w:r>
      <w:r w:rsidR="00C75A6E">
        <w:rPr>
          <w:rFonts w:ascii="Arial" w:eastAsia="宋体" w:hAnsi="Arial" w:cs="Arial" w:hint="eastAsia"/>
          <w:szCs w:val="21"/>
          <w:shd w:val="clear" w:color="auto" w:fill="FFFFFF"/>
        </w:rPr>
        <w:t>亿</w:t>
      </w:r>
      <w:r w:rsidR="00D900DC">
        <w:rPr>
          <w:rFonts w:ascii="Arial" w:eastAsia="宋体" w:hAnsi="Arial" w:cs="Arial" w:hint="eastAsia"/>
          <w:szCs w:val="21"/>
          <w:shd w:val="clear" w:color="auto" w:fill="FFFFFF"/>
        </w:rPr>
        <w:t>美元，较</w:t>
      </w:r>
      <w:r w:rsidR="00D900DC">
        <w:rPr>
          <w:rFonts w:ascii="Arial" w:eastAsia="宋体" w:hAnsi="Arial" w:cs="Arial" w:hint="eastAsia"/>
          <w:szCs w:val="21"/>
          <w:shd w:val="clear" w:color="auto" w:fill="FFFFFF"/>
        </w:rPr>
        <w:t>2013</w:t>
      </w:r>
      <w:r w:rsidR="00D900DC">
        <w:rPr>
          <w:rFonts w:ascii="Arial" w:eastAsia="宋体" w:hAnsi="Arial" w:cs="Arial" w:hint="eastAsia"/>
          <w:szCs w:val="21"/>
          <w:shd w:val="clear" w:color="auto" w:fill="FFFFFF"/>
        </w:rPr>
        <w:t>年大幅攀升</w:t>
      </w:r>
      <w:r w:rsidR="00180F71">
        <w:rPr>
          <w:rFonts w:ascii="Arial" w:eastAsia="宋体" w:hAnsi="Arial" w:cs="Arial" w:hint="eastAsia"/>
          <w:szCs w:val="21"/>
          <w:shd w:val="clear" w:color="auto" w:fill="FFFFFF"/>
        </w:rPr>
        <w:t>94.8</w:t>
      </w:r>
      <w:r w:rsidR="00D900DC">
        <w:rPr>
          <w:rFonts w:ascii="Arial" w:eastAsia="宋体" w:hAnsi="Arial" w:cs="Arial" w:hint="eastAsia"/>
          <w:szCs w:val="21"/>
          <w:shd w:val="clear" w:color="auto" w:fill="FFFFFF"/>
        </w:rPr>
        <w:t>%</w:t>
      </w:r>
      <w:r w:rsidR="00C62C77">
        <w:rPr>
          <w:rFonts w:ascii="Arial" w:eastAsia="宋体" w:hAnsi="Arial" w:cs="Arial" w:hint="eastAsia"/>
          <w:szCs w:val="21"/>
          <w:shd w:val="clear" w:color="auto" w:fill="FFFFFF"/>
        </w:rPr>
        <w:t>，</w:t>
      </w:r>
      <w:r w:rsidR="00D900DC">
        <w:rPr>
          <w:rFonts w:ascii="Arial" w:eastAsia="宋体" w:hAnsi="Arial" w:cs="Arial" w:hint="eastAsia"/>
          <w:szCs w:val="21"/>
          <w:shd w:val="clear" w:color="auto" w:fill="FFFFFF"/>
        </w:rPr>
        <w:t>占总交易金额的</w:t>
      </w:r>
      <w:r w:rsidR="00180F71">
        <w:rPr>
          <w:rFonts w:ascii="Arial" w:eastAsia="宋体" w:hAnsi="Arial" w:cs="Arial" w:hint="eastAsia"/>
          <w:szCs w:val="21"/>
          <w:shd w:val="clear" w:color="auto" w:fill="FFFFFF"/>
        </w:rPr>
        <w:t>68.6</w:t>
      </w:r>
      <w:r w:rsidR="00D900DC">
        <w:rPr>
          <w:rFonts w:ascii="Arial" w:eastAsia="宋体" w:hAnsi="Arial" w:cs="Arial" w:hint="eastAsia"/>
          <w:szCs w:val="21"/>
          <w:shd w:val="clear" w:color="auto" w:fill="FFFFFF"/>
        </w:rPr>
        <w:t>%</w:t>
      </w:r>
      <w:r w:rsidR="00D900DC">
        <w:rPr>
          <w:rFonts w:ascii="Arial" w:eastAsia="宋体" w:hAnsi="Arial" w:cs="Arial" w:hint="eastAsia"/>
          <w:szCs w:val="21"/>
          <w:shd w:val="clear" w:color="auto" w:fill="FFFFFF"/>
        </w:rPr>
        <w:t>；海外并购</w:t>
      </w:r>
      <w:r w:rsidR="0018733C">
        <w:rPr>
          <w:rFonts w:ascii="Arial" w:eastAsia="宋体" w:hAnsi="Arial" w:cs="Arial" w:hint="eastAsia"/>
          <w:szCs w:val="21"/>
          <w:shd w:val="clear" w:color="auto" w:fill="FFFFFF"/>
        </w:rPr>
        <w:t>发生</w:t>
      </w:r>
      <w:r w:rsidR="00180F71">
        <w:rPr>
          <w:rFonts w:ascii="Arial" w:eastAsia="宋体" w:hAnsi="Arial" w:cs="Arial" w:hint="eastAsia"/>
          <w:szCs w:val="21"/>
          <w:shd w:val="clear" w:color="auto" w:fill="FFFFFF"/>
        </w:rPr>
        <w:t>152</w:t>
      </w:r>
      <w:r w:rsidR="00D900DC">
        <w:rPr>
          <w:rFonts w:ascii="Arial" w:eastAsia="宋体" w:hAnsi="Arial" w:cs="Arial" w:hint="eastAsia"/>
          <w:szCs w:val="21"/>
          <w:shd w:val="clear" w:color="auto" w:fill="FFFFFF"/>
        </w:rPr>
        <w:t>起，同比增加</w:t>
      </w:r>
      <w:r w:rsidR="00180F71">
        <w:rPr>
          <w:rFonts w:ascii="Arial" w:eastAsia="宋体" w:hAnsi="Arial" w:cs="Arial" w:hint="eastAsia"/>
          <w:szCs w:val="21"/>
          <w:shd w:val="clear" w:color="auto" w:fill="FFFFFF"/>
        </w:rPr>
        <w:t>53</w:t>
      </w:r>
      <w:r w:rsidR="00D900DC">
        <w:rPr>
          <w:rFonts w:ascii="Arial" w:eastAsia="宋体" w:hAnsi="Arial" w:cs="Arial" w:hint="eastAsia"/>
          <w:szCs w:val="21"/>
          <w:shd w:val="clear" w:color="auto" w:fill="FFFFFF"/>
        </w:rPr>
        <w:t>起，增幅为</w:t>
      </w:r>
      <w:r w:rsidR="00180F71">
        <w:rPr>
          <w:rFonts w:ascii="Arial" w:eastAsia="宋体" w:hAnsi="Arial" w:cs="Arial" w:hint="eastAsia"/>
          <w:szCs w:val="21"/>
          <w:shd w:val="clear" w:color="auto" w:fill="FFFFFF"/>
        </w:rPr>
        <w:t>53.5</w:t>
      </w:r>
      <w:r w:rsidR="00D900DC">
        <w:rPr>
          <w:rFonts w:ascii="Arial" w:eastAsia="宋体" w:hAnsi="Arial" w:cs="Arial" w:hint="eastAsia"/>
          <w:szCs w:val="21"/>
          <w:shd w:val="clear" w:color="auto" w:fill="FFFFFF"/>
        </w:rPr>
        <w:t>%</w:t>
      </w:r>
      <w:r w:rsidR="00D900DC">
        <w:rPr>
          <w:rFonts w:ascii="Arial" w:eastAsia="宋体" w:hAnsi="Arial" w:cs="Arial" w:hint="eastAsia"/>
          <w:szCs w:val="21"/>
          <w:shd w:val="clear" w:color="auto" w:fill="FFFFFF"/>
        </w:rPr>
        <w:t>，案例数占比为</w:t>
      </w:r>
      <w:r w:rsidR="00180F71">
        <w:rPr>
          <w:rFonts w:ascii="Arial" w:eastAsia="宋体" w:hAnsi="Arial" w:cs="Arial" w:hint="eastAsia"/>
          <w:szCs w:val="21"/>
          <w:shd w:val="clear" w:color="auto" w:fill="FFFFFF"/>
        </w:rPr>
        <w:t>7.9</w:t>
      </w:r>
      <w:r w:rsidR="00D900DC">
        <w:rPr>
          <w:rFonts w:ascii="Arial" w:eastAsia="宋体" w:hAnsi="Arial" w:cs="Arial" w:hint="eastAsia"/>
          <w:szCs w:val="21"/>
          <w:shd w:val="clear" w:color="auto" w:fill="FFFFFF"/>
        </w:rPr>
        <w:t>%</w:t>
      </w:r>
      <w:r w:rsidR="00D900DC">
        <w:rPr>
          <w:rFonts w:ascii="Arial" w:eastAsia="宋体" w:hAnsi="Arial" w:cs="Arial" w:hint="eastAsia"/>
          <w:szCs w:val="21"/>
          <w:shd w:val="clear" w:color="auto" w:fill="FFFFFF"/>
        </w:rPr>
        <w:t>，较上年同期占比有所下滑，并购金额同比减少</w:t>
      </w:r>
      <w:r w:rsidR="00E4371E">
        <w:rPr>
          <w:rFonts w:ascii="Arial" w:eastAsia="宋体" w:hAnsi="Arial" w:cs="Arial" w:hint="eastAsia"/>
          <w:szCs w:val="21"/>
          <w:shd w:val="clear" w:color="auto" w:fill="FFFFFF"/>
        </w:rPr>
        <w:t>15.8</w:t>
      </w:r>
      <w:r w:rsidR="00D900DC">
        <w:rPr>
          <w:rFonts w:ascii="Arial" w:eastAsia="宋体" w:hAnsi="Arial" w:cs="Arial" w:hint="eastAsia"/>
          <w:szCs w:val="21"/>
          <w:shd w:val="clear" w:color="auto" w:fill="FFFFFF"/>
        </w:rPr>
        <w:t>%</w:t>
      </w:r>
      <w:r w:rsidR="00D900DC">
        <w:rPr>
          <w:rFonts w:ascii="Arial" w:eastAsia="宋体" w:hAnsi="Arial" w:cs="Arial" w:hint="eastAsia"/>
          <w:szCs w:val="21"/>
          <w:shd w:val="clear" w:color="auto" w:fill="FFFFFF"/>
        </w:rPr>
        <w:t>，由上年同期的</w:t>
      </w:r>
      <w:r w:rsidR="00D900DC">
        <w:rPr>
          <w:rFonts w:ascii="Arial" w:eastAsia="宋体" w:hAnsi="Arial" w:cs="Arial" w:hint="eastAsia"/>
          <w:szCs w:val="21"/>
          <w:shd w:val="clear" w:color="auto" w:fill="FFFFFF"/>
        </w:rPr>
        <w:t>384.95</w:t>
      </w:r>
      <w:r w:rsidR="00D900DC">
        <w:rPr>
          <w:rFonts w:ascii="Arial" w:eastAsia="宋体" w:hAnsi="Arial" w:cs="Arial" w:hint="eastAsia"/>
          <w:szCs w:val="21"/>
          <w:shd w:val="clear" w:color="auto" w:fill="FFFFFF"/>
        </w:rPr>
        <w:t>亿元降低至</w:t>
      </w:r>
      <w:r w:rsidR="00E4371E">
        <w:rPr>
          <w:rFonts w:ascii="Arial" w:eastAsia="宋体" w:hAnsi="Arial" w:cs="Arial" w:hint="eastAsia"/>
          <w:szCs w:val="21"/>
          <w:shd w:val="clear" w:color="auto" w:fill="FFFFFF"/>
        </w:rPr>
        <w:t>324.19</w:t>
      </w:r>
      <w:r w:rsidR="00D900DC">
        <w:rPr>
          <w:rFonts w:ascii="Arial" w:eastAsia="宋体" w:hAnsi="Arial" w:cs="Arial" w:hint="eastAsia"/>
          <w:szCs w:val="21"/>
          <w:shd w:val="clear" w:color="auto" w:fill="FFFFFF"/>
        </w:rPr>
        <w:t>亿美元</w:t>
      </w:r>
      <w:r w:rsidR="0018733C">
        <w:rPr>
          <w:rFonts w:ascii="Arial" w:eastAsia="宋体" w:hAnsi="Arial" w:cs="Arial" w:hint="eastAsia"/>
          <w:szCs w:val="21"/>
          <w:shd w:val="clear" w:color="auto" w:fill="FFFFFF"/>
        </w:rPr>
        <w:t>，呈现“量增价减”的态势；外资并购有所放缓，虽然全年完成并购案例</w:t>
      </w:r>
      <w:r w:rsidR="0018733C">
        <w:rPr>
          <w:rFonts w:ascii="Arial" w:eastAsia="宋体" w:hAnsi="Arial" w:cs="Arial" w:hint="eastAsia"/>
          <w:szCs w:val="21"/>
          <w:shd w:val="clear" w:color="auto" w:fill="FFFFFF"/>
        </w:rPr>
        <w:t>40</w:t>
      </w:r>
      <w:r w:rsidR="0018733C">
        <w:rPr>
          <w:rFonts w:ascii="Arial" w:eastAsia="宋体" w:hAnsi="Arial" w:cs="Arial" w:hint="eastAsia"/>
          <w:szCs w:val="21"/>
          <w:shd w:val="clear" w:color="auto" w:fill="FFFFFF"/>
        </w:rPr>
        <w:t>起，较</w:t>
      </w:r>
      <w:r w:rsidR="00154614">
        <w:rPr>
          <w:rFonts w:ascii="Arial" w:eastAsia="宋体" w:hAnsi="Arial" w:cs="Arial" w:hint="eastAsia"/>
          <w:szCs w:val="21"/>
          <w:shd w:val="clear" w:color="auto" w:fill="FFFFFF"/>
        </w:rPr>
        <w:t>2013</w:t>
      </w:r>
      <w:r w:rsidR="0018733C">
        <w:rPr>
          <w:rFonts w:ascii="Arial" w:eastAsia="宋体" w:hAnsi="Arial" w:cs="Arial" w:hint="eastAsia"/>
          <w:szCs w:val="21"/>
          <w:shd w:val="clear" w:color="auto" w:fill="FFFFFF"/>
        </w:rPr>
        <w:t>年同期增加</w:t>
      </w:r>
      <w:r w:rsidR="0018733C">
        <w:rPr>
          <w:rFonts w:ascii="Arial" w:eastAsia="宋体" w:hAnsi="Arial" w:cs="Arial" w:hint="eastAsia"/>
          <w:szCs w:val="21"/>
          <w:shd w:val="clear" w:color="auto" w:fill="FFFFFF"/>
        </w:rPr>
        <w:t>1</w:t>
      </w:r>
      <w:r w:rsidR="0018733C">
        <w:rPr>
          <w:rFonts w:ascii="Arial" w:eastAsia="宋体" w:hAnsi="Arial" w:cs="Arial" w:hint="eastAsia"/>
          <w:szCs w:val="21"/>
          <w:shd w:val="clear" w:color="auto" w:fill="FFFFFF"/>
        </w:rPr>
        <w:t>起，但交易金额较</w:t>
      </w:r>
      <w:r w:rsidR="00154614">
        <w:rPr>
          <w:rFonts w:ascii="Arial" w:eastAsia="宋体" w:hAnsi="Arial" w:cs="Arial" w:hint="eastAsia"/>
          <w:szCs w:val="21"/>
          <w:shd w:val="clear" w:color="auto" w:fill="FFFFFF"/>
        </w:rPr>
        <w:t>2013</w:t>
      </w:r>
      <w:r w:rsidR="0018733C">
        <w:rPr>
          <w:rFonts w:ascii="Arial" w:eastAsia="宋体" w:hAnsi="Arial" w:cs="Arial" w:hint="eastAsia"/>
          <w:szCs w:val="21"/>
          <w:shd w:val="clear" w:color="auto" w:fill="FFFFFF"/>
        </w:rPr>
        <w:t>年同期的</w:t>
      </w:r>
      <w:r w:rsidR="0018733C">
        <w:rPr>
          <w:rFonts w:ascii="Arial" w:eastAsia="宋体" w:hAnsi="Arial" w:cs="Arial" w:hint="eastAsia"/>
          <w:szCs w:val="21"/>
          <w:shd w:val="clear" w:color="auto" w:fill="FFFFFF"/>
        </w:rPr>
        <w:t>129.68</w:t>
      </w:r>
      <w:r w:rsidR="0018733C">
        <w:rPr>
          <w:rFonts w:ascii="Arial" w:eastAsia="宋体" w:hAnsi="Arial" w:cs="Arial" w:hint="eastAsia"/>
          <w:szCs w:val="21"/>
          <w:shd w:val="clear" w:color="auto" w:fill="FFFFFF"/>
        </w:rPr>
        <w:t>亿美元下降至</w:t>
      </w:r>
      <w:r w:rsidR="00E4371E">
        <w:rPr>
          <w:rFonts w:ascii="Arial" w:eastAsia="宋体" w:hAnsi="Arial" w:cs="Arial" w:hint="eastAsia"/>
          <w:szCs w:val="21"/>
          <w:shd w:val="clear" w:color="auto" w:fill="FFFFFF"/>
        </w:rPr>
        <w:t>47.49</w:t>
      </w:r>
      <w:r w:rsidR="0018733C">
        <w:rPr>
          <w:rFonts w:ascii="Arial" w:eastAsia="宋体" w:hAnsi="Arial" w:cs="Arial" w:hint="eastAsia"/>
          <w:szCs w:val="21"/>
          <w:shd w:val="clear" w:color="auto" w:fill="FFFFFF"/>
        </w:rPr>
        <w:t>亿美元，同比大跌</w:t>
      </w:r>
      <w:r w:rsidR="00E4371E">
        <w:rPr>
          <w:rFonts w:ascii="Arial" w:eastAsia="宋体" w:hAnsi="Arial" w:cs="Arial" w:hint="eastAsia"/>
          <w:szCs w:val="21"/>
          <w:shd w:val="clear" w:color="auto" w:fill="FFFFFF"/>
        </w:rPr>
        <w:t>63.4</w:t>
      </w:r>
      <w:r w:rsidR="0018733C">
        <w:rPr>
          <w:rFonts w:ascii="Arial" w:eastAsia="宋体" w:hAnsi="Arial" w:cs="Arial" w:hint="eastAsia"/>
          <w:szCs w:val="21"/>
          <w:shd w:val="clear" w:color="auto" w:fill="FFFFFF"/>
        </w:rPr>
        <w:t>%</w:t>
      </w:r>
      <w:r w:rsidR="00C62C77">
        <w:rPr>
          <w:rFonts w:ascii="Arial" w:eastAsia="宋体" w:hAnsi="Arial" w:cs="Arial" w:hint="eastAsia"/>
          <w:szCs w:val="21"/>
          <w:shd w:val="clear" w:color="auto" w:fill="FFFFFF"/>
        </w:rPr>
        <w:t>（见表</w:t>
      </w:r>
      <w:r w:rsidR="00E4371E">
        <w:rPr>
          <w:rFonts w:ascii="Arial" w:eastAsia="宋体" w:hAnsi="Arial" w:cs="Arial" w:hint="eastAsia"/>
          <w:szCs w:val="21"/>
          <w:shd w:val="clear" w:color="auto" w:fill="FFFFFF"/>
        </w:rPr>
        <w:t>1</w:t>
      </w:r>
      <w:r w:rsidR="00C62C77">
        <w:rPr>
          <w:rFonts w:ascii="Arial" w:eastAsia="宋体" w:hAnsi="Arial" w:cs="Arial" w:hint="eastAsia"/>
          <w:szCs w:val="21"/>
          <w:shd w:val="clear" w:color="auto" w:fill="FFFFFF"/>
        </w:rPr>
        <w:t>）</w:t>
      </w:r>
      <w:r w:rsidR="0018733C">
        <w:rPr>
          <w:rFonts w:ascii="Arial" w:eastAsia="宋体" w:hAnsi="Arial" w:cs="Arial" w:hint="eastAsia"/>
          <w:szCs w:val="21"/>
          <w:shd w:val="clear" w:color="auto" w:fill="FFFFFF"/>
        </w:rPr>
        <w:t>。</w:t>
      </w:r>
    </w:p>
    <w:p w:rsidR="00F44AFB" w:rsidRPr="00330835" w:rsidRDefault="00F44AFB" w:rsidP="00330835">
      <w:pPr>
        <w:spacing w:line="360" w:lineRule="exact"/>
        <w:ind w:firstLineChars="200" w:firstLine="420"/>
        <w:rPr>
          <w:rFonts w:ascii="Arial" w:eastAsia="宋体" w:hAnsi="Arial" w:cs="Arial"/>
          <w:szCs w:val="21"/>
        </w:rPr>
      </w:pPr>
    </w:p>
    <w:p w:rsidR="00F44AFB" w:rsidRPr="000F1C1F" w:rsidRDefault="00F44AFB" w:rsidP="00F44AFB">
      <w:pPr>
        <w:spacing w:line="360" w:lineRule="exact"/>
        <w:rPr>
          <w:rStyle w:val="a6"/>
          <w:rFonts w:ascii="Arial" w:eastAsia="宋体" w:hAnsi="Arial" w:cs="Arial"/>
          <w:sz w:val="18"/>
          <w:szCs w:val="18"/>
          <w:shd w:val="clear" w:color="auto" w:fill="FFFFFF"/>
        </w:rPr>
      </w:pPr>
      <w:r w:rsidRPr="000F1C1F">
        <w:rPr>
          <w:rStyle w:val="a6"/>
          <w:rFonts w:ascii="Arial" w:eastAsia="宋体" w:hAnsi="Arial" w:cs="Arial"/>
          <w:sz w:val="18"/>
          <w:szCs w:val="18"/>
          <w:shd w:val="clear" w:color="auto" w:fill="FFFFFF"/>
        </w:rPr>
        <w:t>图</w:t>
      </w:r>
      <w:r w:rsidRPr="000F1C1F">
        <w:rPr>
          <w:rStyle w:val="a6"/>
          <w:rFonts w:ascii="Arial" w:eastAsia="宋体" w:hAnsi="Arial" w:cs="Arial"/>
          <w:sz w:val="18"/>
          <w:szCs w:val="18"/>
          <w:shd w:val="clear" w:color="auto" w:fill="FFFFFF"/>
        </w:rPr>
        <w:t xml:space="preserve">1  </w:t>
      </w:r>
      <w:r>
        <w:rPr>
          <w:rStyle w:val="a6"/>
          <w:rFonts w:ascii="Arial" w:eastAsia="宋体" w:hAnsi="Arial" w:cs="Arial"/>
          <w:sz w:val="18"/>
          <w:szCs w:val="18"/>
          <w:shd w:val="clear" w:color="auto" w:fill="FFFFFF"/>
        </w:rPr>
        <w:t>2007-201</w:t>
      </w:r>
      <w:r>
        <w:rPr>
          <w:rStyle w:val="a6"/>
          <w:rFonts w:ascii="Arial" w:eastAsia="宋体" w:hAnsi="Arial" w:cs="Arial" w:hint="eastAsia"/>
          <w:sz w:val="18"/>
          <w:szCs w:val="18"/>
          <w:shd w:val="clear" w:color="auto" w:fill="FFFFFF"/>
        </w:rPr>
        <w:t>4</w:t>
      </w:r>
      <w:r w:rsidRPr="000F1C1F">
        <w:rPr>
          <w:rStyle w:val="a6"/>
          <w:rFonts w:ascii="Arial" w:eastAsia="宋体" w:hAnsi="Arial" w:cs="Arial"/>
          <w:sz w:val="18"/>
          <w:szCs w:val="18"/>
          <w:shd w:val="clear" w:color="auto" w:fill="FFFFFF"/>
        </w:rPr>
        <w:t>年中国并购市场发展趋势</w:t>
      </w:r>
    </w:p>
    <w:p w:rsidR="00F44AFB" w:rsidRPr="000F1C1F" w:rsidRDefault="005E714E" w:rsidP="00F44AFB">
      <w:pPr>
        <w:pStyle w:val="a8"/>
        <w:jc w:val="left"/>
        <w:rPr>
          <w:rStyle w:val="a6"/>
          <w:rFonts w:ascii="Arial" w:eastAsia="宋体" w:hAnsi="Arial" w:cs="Arial"/>
          <w:sz w:val="18"/>
          <w:szCs w:val="18"/>
          <w:shd w:val="clear" w:color="auto" w:fill="FFFFFF"/>
        </w:rPr>
      </w:pPr>
      <w:r>
        <w:rPr>
          <w:rStyle w:val="a6"/>
          <w:rFonts w:ascii="Arial" w:eastAsia="宋体" w:hAnsi="Arial" w:cs="Arial"/>
          <w:noProof/>
          <w:sz w:val="18"/>
          <w:szCs w:val="18"/>
          <w:shd w:val="clear" w:color="auto" w:fill="FFFFFF"/>
        </w:rPr>
        <w:lastRenderedPageBreak/>
        <w:drawing>
          <wp:inline distT="0" distB="0" distL="0" distR="0">
            <wp:extent cx="4791600" cy="3582000"/>
            <wp:effectExtent l="0" t="0" r="9525" b="0"/>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F44AFB" w:rsidRPr="000F1C1F" w:rsidRDefault="00F44AFB" w:rsidP="00F44AFB">
      <w:pPr>
        <w:pStyle w:val="a8"/>
        <w:rPr>
          <w:rStyle w:val="a6"/>
          <w:rFonts w:ascii="Arial" w:eastAsia="宋体" w:hAnsi="Arial" w:cs="Arial"/>
          <w:sz w:val="18"/>
          <w:szCs w:val="18"/>
          <w:shd w:val="clear" w:color="auto" w:fill="FFFFFF"/>
        </w:rPr>
      </w:pPr>
      <w:r w:rsidRPr="000F1C1F">
        <w:rPr>
          <w:rStyle w:val="a6"/>
          <w:rFonts w:ascii="Arial" w:eastAsia="宋体" w:hAnsi="Arial" w:cs="Arial"/>
          <w:sz w:val="18"/>
          <w:szCs w:val="18"/>
          <w:shd w:val="clear" w:color="auto" w:fill="FFFFFF"/>
        </w:rPr>
        <w:t>（</w:t>
      </w:r>
      <w:r w:rsidRPr="000F1C1F">
        <w:rPr>
          <w:rStyle w:val="a6"/>
          <w:rFonts w:ascii="Arial" w:eastAsia="宋体" w:hAnsi="Arial" w:cs="Arial"/>
          <w:sz w:val="18"/>
          <w:szCs w:val="18"/>
          <w:shd w:val="clear" w:color="auto" w:fill="FFFFFF"/>
        </w:rPr>
        <w:t>*</w:t>
      </w:r>
      <w:r w:rsidRPr="000F1C1F">
        <w:rPr>
          <w:rStyle w:val="a6"/>
          <w:rFonts w:ascii="Arial" w:eastAsia="宋体" w:hAnsi="Arial" w:cs="Arial"/>
          <w:sz w:val="18"/>
          <w:szCs w:val="18"/>
          <w:shd w:val="clear" w:color="auto" w:fill="FFFFFF"/>
        </w:rPr>
        <w:t>注：</w:t>
      </w:r>
      <w:proofErr w:type="gramStart"/>
      <w:r w:rsidRPr="000F1C1F">
        <w:rPr>
          <w:rStyle w:val="a6"/>
          <w:rFonts w:ascii="Arial" w:eastAsia="宋体" w:hAnsi="Arial" w:cs="Arial"/>
          <w:sz w:val="18"/>
          <w:szCs w:val="18"/>
          <w:shd w:val="clear" w:color="auto" w:fill="FFFFFF"/>
        </w:rPr>
        <w:t>清科研究中心</w:t>
      </w:r>
      <w:proofErr w:type="gramEnd"/>
      <w:r w:rsidRPr="000F1C1F">
        <w:rPr>
          <w:rStyle w:val="a6"/>
          <w:rFonts w:ascii="Arial" w:eastAsia="宋体" w:hAnsi="Arial" w:cs="Arial"/>
          <w:sz w:val="18"/>
          <w:szCs w:val="18"/>
          <w:shd w:val="clear" w:color="auto" w:fill="FFFFFF"/>
        </w:rPr>
        <w:t>对并购案例的收录不包括关联交易。）</w:t>
      </w:r>
    </w:p>
    <w:p w:rsidR="00F44AFB" w:rsidRPr="000F1C1F" w:rsidRDefault="00F44AFB" w:rsidP="00F44AFB">
      <w:pPr>
        <w:spacing w:line="360" w:lineRule="exact"/>
        <w:rPr>
          <w:rStyle w:val="a6"/>
          <w:rFonts w:ascii="Arial" w:eastAsia="宋体" w:hAnsi="Arial" w:cs="Arial"/>
          <w:sz w:val="18"/>
          <w:szCs w:val="18"/>
          <w:shd w:val="clear" w:color="auto" w:fill="FFFFFF"/>
        </w:rPr>
      </w:pPr>
    </w:p>
    <w:p w:rsidR="00F44AFB" w:rsidRPr="000F1C1F" w:rsidRDefault="00F44AFB" w:rsidP="00F44AFB">
      <w:pPr>
        <w:spacing w:line="360" w:lineRule="exact"/>
        <w:rPr>
          <w:rStyle w:val="a6"/>
          <w:rFonts w:ascii="Arial" w:eastAsia="宋体" w:hAnsi="Arial" w:cs="Arial"/>
          <w:sz w:val="18"/>
          <w:szCs w:val="18"/>
          <w:shd w:val="clear" w:color="auto" w:fill="FFFFFF"/>
        </w:rPr>
      </w:pPr>
      <w:r w:rsidRPr="000F1C1F">
        <w:rPr>
          <w:rStyle w:val="a6"/>
          <w:rFonts w:ascii="Arial" w:eastAsia="宋体" w:hAnsi="Arial" w:cs="Arial"/>
          <w:sz w:val="18"/>
          <w:szCs w:val="18"/>
          <w:shd w:val="clear" w:color="auto" w:fill="FFFFFF"/>
        </w:rPr>
        <w:t>表</w:t>
      </w:r>
      <w:r>
        <w:rPr>
          <w:rStyle w:val="a6"/>
          <w:rFonts w:ascii="Arial" w:eastAsia="宋体" w:hAnsi="Arial" w:cs="Arial" w:hint="eastAsia"/>
          <w:sz w:val="18"/>
          <w:szCs w:val="18"/>
          <w:shd w:val="clear" w:color="auto" w:fill="FFFFFF"/>
        </w:rPr>
        <w:t>1</w:t>
      </w:r>
      <w:r>
        <w:rPr>
          <w:rStyle w:val="a6"/>
          <w:rFonts w:ascii="Arial" w:eastAsia="宋体" w:hAnsi="Arial" w:cs="Arial"/>
          <w:sz w:val="18"/>
          <w:szCs w:val="18"/>
          <w:shd w:val="clear" w:color="auto" w:fill="FFFFFF"/>
        </w:rPr>
        <w:t>201</w:t>
      </w:r>
      <w:r>
        <w:rPr>
          <w:rStyle w:val="a6"/>
          <w:rFonts w:ascii="Arial" w:eastAsia="宋体" w:hAnsi="Arial" w:cs="Arial" w:hint="eastAsia"/>
          <w:sz w:val="18"/>
          <w:szCs w:val="18"/>
          <w:shd w:val="clear" w:color="auto" w:fill="FFFFFF"/>
        </w:rPr>
        <w:t>4</w:t>
      </w:r>
      <w:r w:rsidRPr="000F1C1F">
        <w:rPr>
          <w:rStyle w:val="a6"/>
          <w:rFonts w:ascii="Arial" w:eastAsia="宋体" w:hAnsi="Arial" w:cs="Arial"/>
          <w:sz w:val="18"/>
          <w:szCs w:val="18"/>
          <w:shd w:val="clear" w:color="auto" w:fill="FFFFFF"/>
        </w:rPr>
        <w:t>年中国并购市场类型分布</w:t>
      </w:r>
    </w:p>
    <w:tbl>
      <w:tblPr>
        <w:tblW w:w="9241" w:type="dxa"/>
        <w:tblInd w:w="108" w:type="dxa"/>
        <w:tblLook w:val="04A0"/>
      </w:tblPr>
      <w:tblGrid>
        <w:gridCol w:w="1293"/>
        <w:gridCol w:w="1340"/>
        <w:gridCol w:w="1317"/>
        <w:gridCol w:w="1293"/>
        <w:gridCol w:w="1412"/>
        <w:gridCol w:w="1293"/>
        <w:gridCol w:w="1293"/>
      </w:tblGrid>
      <w:tr w:rsidR="00F44AFB" w:rsidRPr="00180F71" w:rsidTr="00F44AFB">
        <w:trPr>
          <w:trHeight w:val="449"/>
        </w:trPr>
        <w:tc>
          <w:tcPr>
            <w:tcW w:w="1293" w:type="dxa"/>
            <w:tcBorders>
              <w:top w:val="single" w:sz="8" w:space="0" w:color="003366"/>
              <w:left w:val="nil"/>
              <w:bottom w:val="nil"/>
              <w:right w:val="nil"/>
            </w:tcBorders>
            <w:shd w:val="clear" w:color="000000" w:fill="FFFFFF"/>
            <w:vAlign w:val="center"/>
            <w:hideMark/>
          </w:tcPr>
          <w:p w:rsidR="00F44AFB" w:rsidRPr="00180F71" w:rsidRDefault="00F44AFB" w:rsidP="00F44AFB">
            <w:pPr>
              <w:widowControl/>
              <w:jc w:val="center"/>
              <w:rPr>
                <w:rFonts w:ascii="宋体" w:eastAsia="宋体" w:hAnsi="宋体" w:cs="宋体"/>
                <w:b/>
                <w:bCs/>
                <w:kern w:val="0"/>
                <w:sz w:val="18"/>
                <w:szCs w:val="18"/>
              </w:rPr>
            </w:pPr>
            <w:r w:rsidRPr="00180F71">
              <w:rPr>
                <w:rFonts w:ascii="宋体" w:eastAsia="宋体" w:hAnsi="宋体" w:cs="宋体" w:hint="eastAsia"/>
                <w:b/>
                <w:bCs/>
                <w:kern w:val="0"/>
                <w:sz w:val="18"/>
                <w:szCs w:val="18"/>
              </w:rPr>
              <w:t>并购类型</w:t>
            </w:r>
          </w:p>
        </w:tc>
        <w:tc>
          <w:tcPr>
            <w:tcW w:w="1340" w:type="dxa"/>
            <w:tcBorders>
              <w:top w:val="single" w:sz="8" w:space="0" w:color="003366"/>
              <w:left w:val="nil"/>
              <w:bottom w:val="nil"/>
              <w:right w:val="nil"/>
            </w:tcBorders>
            <w:shd w:val="clear" w:color="000000" w:fill="FFFFFF"/>
            <w:vAlign w:val="center"/>
            <w:hideMark/>
          </w:tcPr>
          <w:p w:rsidR="00F44AFB" w:rsidRPr="00180F71" w:rsidRDefault="00F44AFB" w:rsidP="00F44AFB">
            <w:pPr>
              <w:widowControl/>
              <w:jc w:val="center"/>
              <w:rPr>
                <w:rFonts w:ascii="宋体" w:eastAsia="宋体" w:hAnsi="宋体" w:cs="宋体"/>
                <w:b/>
                <w:bCs/>
                <w:kern w:val="0"/>
                <w:sz w:val="18"/>
                <w:szCs w:val="18"/>
              </w:rPr>
            </w:pPr>
            <w:r w:rsidRPr="00180F71">
              <w:rPr>
                <w:rFonts w:ascii="宋体" w:eastAsia="宋体" w:hAnsi="宋体" w:cs="宋体" w:hint="eastAsia"/>
                <w:b/>
                <w:bCs/>
                <w:kern w:val="0"/>
                <w:sz w:val="18"/>
                <w:szCs w:val="18"/>
              </w:rPr>
              <w:t>案例数</w:t>
            </w:r>
          </w:p>
        </w:tc>
        <w:tc>
          <w:tcPr>
            <w:tcW w:w="1317" w:type="dxa"/>
            <w:tcBorders>
              <w:top w:val="single" w:sz="8" w:space="0" w:color="003366"/>
              <w:left w:val="nil"/>
              <w:bottom w:val="nil"/>
              <w:right w:val="nil"/>
            </w:tcBorders>
            <w:shd w:val="clear" w:color="000000" w:fill="FFFFFF"/>
            <w:vAlign w:val="center"/>
            <w:hideMark/>
          </w:tcPr>
          <w:p w:rsidR="00F44AFB" w:rsidRPr="00180F71" w:rsidRDefault="00F44AFB" w:rsidP="00F44AFB">
            <w:pPr>
              <w:widowControl/>
              <w:jc w:val="center"/>
              <w:rPr>
                <w:rFonts w:ascii="宋体" w:eastAsia="宋体" w:hAnsi="宋体" w:cs="宋体"/>
                <w:b/>
                <w:bCs/>
                <w:kern w:val="0"/>
                <w:sz w:val="18"/>
                <w:szCs w:val="18"/>
              </w:rPr>
            </w:pPr>
            <w:r w:rsidRPr="00180F71">
              <w:rPr>
                <w:rFonts w:ascii="宋体" w:eastAsia="宋体" w:hAnsi="宋体" w:cs="宋体" w:hint="eastAsia"/>
                <w:b/>
                <w:bCs/>
                <w:kern w:val="0"/>
                <w:sz w:val="18"/>
                <w:szCs w:val="18"/>
              </w:rPr>
              <w:t>比例</w:t>
            </w:r>
          </w:p>
        </w:tc>
        <w:tc>
          <w:tcPr>
            <w:tcW w:w="1293" w:type="dxa"/>
            <w:tcBorders>
              <w:top w:val="single" w:sz="8" w:space="0" w:color="003366"/>
              <w:left w:val="nil"/>
              <w:bottom w:val="nil"/>
              <w:right w:val="nil"/>
            </w:tcBorders>
            <w:shd w:val="clear" w:color="000000" w:fill="FFFFFF"/>
            <w:vAlign w:val="center"/>
            <w:hideMark/>
          </w:tcPr>
          <w:p w:rsidR="00F44AFB" w:rsidRPr="00180F71" w:rsidRDefault="00F44AFB" w:rsidP="00F44AFB">
            <w:pPr>
              <w:widowControl/>
              <w:jc w:val="center"/>
              <w:rPr>
                <w:rFonts w:ascii="宋体" w:eastAsia="宋体" w:hAnsi="宋体" w:cs="宋体"/>
                <w:b/>
                <w:bCs/>
                <w:kern w:val="0"/>
                <w:sz w:val="18"/>
                <w:szCs w:val="18"/>
              </w:rPr>
            </w:pPr>
            <w:r w:rsidRPr="00180F71">
              <w:rPr>
                <w:rFonts w:ascii="宋体" w:eastAsia="宋体" w:hAnsi="宋体" w:cs="宋体" w:hint="eastAsia"/>
                <w:b/>
                <w:bCs/>
                <w:kern w:val="0"/>
                <w:sz w:val="18"/>
                <w:szCs w:val="18"/>
              </w:rPr>
              <w:t>案例数（金）</w:t>
            </w:r>
          </w:p>
        </w:tc>
        <w:tc>
          <w:tcPr>
            <w:tcW w:w="1412" w:type="dxa"/>
            <w:tcBorders>
              <w:top w:val="single" w:sz="8" w:space="0" w:color="003366"/>
              <w:left w:val="nil"/>
              <w:bottom w:val="nil"/>
              <w:right w:val="nil"/>
            </w:tcBorders>
            <w:shd w:val="clear" w:color="000000" w:fill="FFFFFF"/>
            <w:vAlign w:val="center"/>
            <w:hideMark/>
          </w:tcPr>
          <w:p w:rsidR="00F44AFB" w:rsidRPr="00180F71" w:rsidRDefault="00F44AFB" w:rsidP="00F44AFB">
            <w:pPr>
              <w:widowControl/>
              <w:jc w:val="center"/>
              <w:rPr>
                <w:rFonts w:ascii="宋体" w:eastAsia="宋体" w:hAnsi="宋体" w:cs="宋体"/>
                <w:b/>
                <w:bCs/>
                <w:kern w:val="0"/>
                <w:sz w:val="18"/>
                <w:szCs w:val="18"/>
              </w:rPr>
            </w:pPr>
            <w:r w:rsidRPr="00180F71">
              <w:rPr>
                <w:rFonts w:ascii="宋体" w:eastAsia="宋体" w:hAnsi="宋体" w:cs="宋体" w:hint="eastAsia"/>
                <w:b/>
                <w:bCs/>
                <w:kern w:val="0"/>
                <w:sz w:val="18"/>
                <w:szCs w:val="18"/>
              </w:rPr>
              <w:t>并购金额</w:t>
            </w:r>
            <w:r w:rsidRPr="00180F71">
              <w:rPr>
                <w:rFonts w:ascii="Arial" w:eastAsia="宋体" w:hAnsi="Arial" w:cs="Arial"/>
                <w:b/>
                <w:bCs/>
                <w:kern w:val="0"/>
                <w:sz w:val="18"/>
                <w:szCs w:val="18"/>
              </w:rPr>
              <w:t>(US$M)</w:t>
            </w:r>
          </w:p>
        </w:tc>
        <w:tc>
          <w:tcPr>
            <w:tcW w:w="1293" w:type="dxa"/>
            <w:tcBorders>
              <w:top w:val="single" w:sz="8" w:space="0" w:color="003366"/>
              <w:left w:val="nil"/>
              <w:bottom w:val="nil"/>
              <w:right w:val="nil"/>
            </w:tcBorders>
            <w:shd w:val="clear" w:color="000000" w:fill="FFFFFF"/>
            <w:vAlign w:val="center"/>
            <w:hideMark/>
          </w:tcPr>
          <w:p w:rsidR="00F44AFB" w:rsidRPr="00180F71" w:rsidRDefault="00F44AFB" w:rsidP="00F44AFB">
            <w:pPr>
              <w:widowControl/>
              <w:jc w:val="center"/>
              <w:rPr>
                <w:rFonts w:ascii="宋体" w:eastAsia="宋体" w:hAnsi="宋体" w:cs="宋体"/>
                <w:b/>
                <w:bCs/>
                <w:kern w:val="0"/>
                <w:sz w:val="18"/>
                <w:szCs w:val="18"/>
              </w:rPr>
            </w:pPr>
            <w:r w:rsidRPr="00180F71">
              <w:rPr>
                <w:rFonts w:ascii="宋体" w:eastAsia="宋体" w:hAnsi="宋体" w:cs="宋体" w:hint="eastAsia"/>
                <w:b/>
                <w:bCs/>
                <w:kern w:val="0"/>
                <w:sz w:val="18"/>
                <w:szCs w:val="18"/>
              </w:rPr>
              <w:t>比例</w:t>
            </w:r>
          </w:p>
        </w:tc>
        <w:tc>
          <w:tcPr>
            <w:tcW w:w="1293" w:type="dxa"/>
            <w:tcBorders>
              <w:top w:val="single" w:sz="8" w:space="0" w:color="003366"/>
              <w:left w:val="nil"/>
              <w:bottom w:val="nil"/>
              <w:right w:val="nil"/>
            </w:tcBorders>
            <w:shd w:val="clear" w:color="000000" w:fill="FFFFFF"/>
            <w:vAlign w:val="center"/>
            <w:hideMark/>
          </w:tcPr>
          <w:p w:rsidR="00F44AFB" w:rsidRPr="00180F71" w:rsidRDefault="00F44AFB" w:rsidP="00F44AFB">
            <w:pPr>
              <w:widowControl/>
              <w:jc w:val="center"/>
              <w:rPr>
                <w:rFonts w:ascii="宋体" w:eastAsia="宋体" w:hAnsi="宋体" w:cs="宋体"/>
                <w:b/>
                <w:bCs/>
                <w:kern w:val="0"/>
                <w:sz w:val="18"/>
                <w:szCs w:val="18"/>
              </w:rPr>
            </w:pPr>
            <w:r w:rsidRPr="00180F71">
              <w:rPr>
                <w:rFonts w:ascii="宋体" w:eastAsia="宋体" w:hAnsi="宋体" w:cs="宋体" w:hint="eastAsia"/>
                <w:b/>
                <w:bCs/>
                <w:kern w:val="0"/>
                <w:sz w:val="18"/>
                <w:szCs w:val="18"/>
              </w:rPr>
              <w:t>平均并购金额</w:t>
            </w:r>
            <w:r w:rsidRPr="00180F71">
              <w:rPr>
                <w:rFonts w:ascii="Arial" w:eastAsia="宋体" w:hAnsi="Arial" w:cs="Arial"/>
                <w:b/>
                <w:bCs/>
                <w:kern w:val="0"/>
                <w:sz w:val="18"/>
                <w:szCs w:val="18"/>
              </w:rPr>
              <w:t>(US$M)</w:t>
            </w:r>
          </w:p>
        </w:tc>
      </w:tr>
      <w:tr w:rsidR="00F44AFB" w:rsidRPr="00180F71" w:rsidTr="00F44AFB">
        <w:trPr>
          <w:trHeight w:val="232"/>
        </w:trPr>
        <w:tc>
          <w:tcPr>
            <w:tcW w:w="1293" w:type="dxa"/>
            <w:tcBorders>
              <w:top w:val="single" w:sz="4" w:space="0" w:color="003366"/>
              <w:left w:val="nil"/>
              <w:bottom w:val="nil"/>
              <w:right w:val="nil"/>
            </w:tcBorders>
            <w:shd w:val="clear" w:color="000000" w:fill="FFFFFF"/>
            <w:noWrap/>
            <w:vAlign w:val="center"/>
            <w:hideMark/>
          </w:tcPr>
          <w:p w:rsidR="00F44AFB" w:rsidRPr="00180F71" w:rsidRDefault="00F44AFB" w:rsidP="00F44AFB">
            <w:pPr>
              <w:widowControl/>
              <w:jc w:val="left"/>
              <w:rPr>
                <w:rFonts w:ascii="宋体" w:eastAsia="宋体" w:hAnsi="宋体" w:cs="宋体"/>
                <w:kern w:val="0"/>
                <w:sz w:val="18"/>
                <w:szCs w:val="18"/>
              </w:rPr>
            </w:pPr>
            <w:r w:rsidRPr="00180F71">
              <w:rPr>
                <w:rFonts w:ascii="宋体" w:eastAsia="宋体" w:hAnsi="宋体" w:cs="宋体" w:hint="eastAsia"/>
                <w:kern w:val="0"/>
                <w:sz w:val="18"/>
                <w:szCs w:val="18"/>
              </w:rPr>
              <w:t>国内并购</w:t>
            </w:r>
          </w:p>
        </w:tc>
        <w:tc>
          <w:tcPr>
            <w:tcW w:w="1340" w:type="dxa"/>
            <w:tcBorders>
              <w:top w:val="single" w:sz="4" w:space="0" w:color="003366"/>
              <w:left w:val="nil"/>
              <w:bottom w:val="nil"/>
              <w:right w:val="nil"/>
            </w:tcBorders>
            <w:shd w:val="clear" w:color="000000" w:fill="FFFFFF"/>
            <w:noWrap/>
            <w:vAlign w:val="center"/>
            <w:hideMark/>
          </w:tcPr>
          <w:p w:rsidR="00F44AFB" w:rsidRPr="00180F71" w:rsidRDefault="00F44AFB" w:rsidP="00F44AFB">
            <w:pPr>
              <w:widowControl/>
              <w:jc w:val="right"/>
              <w:rPr>
                <w:rFonts w:ascii="Arial" w:eastAsia="宋体" w:hAnsi="Arial" w:cs="Arial"/>
                <w:kern w:val="0"/>
                <w:sz w:val="18"/>
                <w:szCs w:val="18"/>
              </w:rPr>
            </w:pPr>
            <w:r w:rsidRPr="00180F71">
              <w:rPr>
                <w:rFonts w:ascii="Arial" w:eastAsia="宋体" w:hAnsi="Arial" w:cs="Arial"/>
                <w:kern w:val="0"/>
                <w:sz w:val="18"/>
                <w:szCs w:val="18"/>
              </w:rPr>
              <w:t xml:space="preserve">1,737 </w:t>
            </w:r>
          </w:p>
        </w:tc>
        <w:tc>
          <w:tcPr>
            <w:tcW w:w="1317" w:type="dxa"/>
            <w:tcBorders>
              <w:top w:val="single" w:sz="4" w:space="0" w:color="003366"/>
              <w:left w:val="nil"/>
              <w:bottom w:val="nil"/>
              <w:right w:val="nil"/>
            </w:tcBorders>
            <w:shd w:val="clear" w:color="000000" w:fill="FFFFFF"/>
            <w:noWrap/>
            <w:vAlign w:val="center"/>
            <w:hideMark/>
          </w:tcPr>
          <w:p w:rsidR="00F44AFB" w:rsidRPr="00180F71" w:rsidRDefault="00F44AFB" w:rsidP="00F44AFB">
            <w:pPr>
              <w:widowControl/>
              <w:jc w:val="right"/>
              <w:rPr>
                <w:rFonts w:ascii="Arial" w:eastAsia="宋体" w:hAnsi="Arial" w:cs="Arial"/>
                <w:kern w:val="0"/>
                <w:sz w:val="18"/>
                <w:szCs w:val="18"/>
              </w:rPr>
            </w:pPr>
            <w:r w:rsidRPr="00180F71">
              <w:rPr>
                <w:rFonts w:ascii="Arial" w:eastAsia="宋体" w:hAnsi="Arial" w:cs="Arial"/>
                <w:kern w:val="0"/>
                <w:sz w:val="18"/>
                <w:szCs w:val="18"/>
              </w:rPr>
              <w:t>90.0%</w:t>
            </w:r>
          </w:p>
        </w:tc>
        <w:tc>
          <w:tcPr>
            <w:tcW w:w="1293" w:type="dxa"/>
            <w:tcBorders>
              <w:top w:val="single" w:sz="4" w:space="0" w:color="003366"/>
              <w:left w:val="nil"/>
              <w:bottom w:val="nil"/>
              <w:right w:val="nil"/>
            </w:tcBorders>
            <w:shd w:val="clear" w:color="000000" w:fill="FFFFFF"/>
            <w:noWrap/>
            <w:vAlign w:val="center"/>
            <w:hideMark/>
          </w:tcPr>
          <w:p w:rsidR="00F44AFB" w:rsidRPr="00180F71" w:rsidRDefault="00F44AFB" w:rsidP="00F44AFB">
            <w:pPr>
              <w:widowControl/>
              <w:jc w:val="right"/>
              <w:rPr>
                <w:rFonts w:ascii="Arial" w:eastAsia="宋体" w:hAnsi="Arial" w:cs="Arial"/>
                <w:kern w:val="0"/>
                <w:sz w:val="18"/>
                <w:szCs w:val="18"/>
              </w:rPr>
            </w:pPr>
            <w:r w:rsidRPr="00180F71">
              <w:rPr>
                <w:rFonts w:ascii="Arial" w:eastAsia="宋体" w:hAnsi="Arial" w:cs="Arial"/>
                <w:kern w:val="0"/>
                <w:sz w:val="18"/>
                <w:szCs w:val="18"/>
              </w:rPr>
              <w:t xml:space="preserve">1,648 </w:t>
            </w:r>
          </w:p>
        </w:tc>
        <w:tc>
          <w:tcPr>
            <w:tcW w:w="1412" w:type="dxa"/>
            <w:tcBorders>
              <w:top w:val="single" w:sz="4" w:space="0" w:color="003366"/>
              <w:left w:val="nil"/>
              <w:bottom w:val="nil"/>
              <w:right w:val="nil"/>
            </w:tcBorders>
            <w:shd w:val="clear" w:color="000000" w:fill="FFFFFF"/>
            <w:noWrap/>
            <w:vAlign w:val="center"/>
            <w:hideMark/>
          </w:tcPr>
          <w:p w:rsidR="00F44AFB" w:rsidRPr="00180F71" w:rsidRDefault="00F44AFB" w:rsidP="00F44AFB">
            <w:pPr>
              <w:widowControl/>
              <w:jc w:val="right"/>
              <w:rPr>
                <w:rFonts w:ascii="Arial" w:eastAsia="宋体" w:hAnsi="Arial" w:cs="Arial"/>
                <w:kern w:val="0"/>
                <w:sz w:val="18"/>
                <w:szCs w:val="18"/>
              </w:rPr>
            </w:pPr>
            <w:r w:rsidRPr="00180F71">
              <w:rPr>
                <w:rFonts w:ascii="Arial" w:eastAsia="宋体" w:hAnsi="Arial" w:cs="Arial"/>
                <w:kern w:val="0"/>
                <w:sz w:val="18"/>
                <w:szCs w:val="18"/>
              </w:rPr>
              <w:t xml:space="preserve">81,321.26 </w:t>
            </w:r>
          </w:p>
        </w:tc>
        <w:tc>
          <w:tcPr>
            <w:tcW w:w="1293" w:type="dxa"/>
            <w:tcBorders>
              <w:top w:val="single" w:sz="4" w:space="0" w:color="003366"/>
              <w:left w:val="nil"/>
              <w:bottom w:val="nil"/>
              <w:right w:val="nil"/>
            </w:tcBorders>
            <w:shd w:val="clear" w:color="000000" w:fill="FFFFFF"/>
            <w:noWrap/>
            <w:vAlign w:val="center"/>
            <w:hideMark/>
          </w:tcPr>
          <w:p w:rsidR="00F44AFB" w:rsidRPr="00180F71" w:rsidRDefault="00F44AFB" w:rsidP="00F44AFB">
            <w:pPr>
              <w:widowControl/>
              <w:jc w:val="right"/>
              <w:rPr>
                <w:rFonts w:ascii="Arial" w:eastAsia="宋体" w:hAnsi="Arial" w:cs="Arial"/>
                <w:kern w:val="0"/>
                <w:sz w:val="18"/>
                <w:szCs w:val="18"/>
              </w:rPr>
            </w:pPr>
            <w:r w:rsidRPr="00180F71">
              <w:rPr>
                <w:rFonts w:ascii="Arial" w:eastAsia="宋体" w:hAnsi="Arial" w:cs="Arial"/>
                <w:kern w:val="0"/>
                <w:sz w:val="18"/>
                <w:szCs w:val="18"/>
              </w:rPr>
              <w:t>68.6%</w:t>
            </w:r>
          </w:p>
        </w:tc>
        <w:tc>
          <w:tcPr>
            <w:tcW w:w="1293" w:type="dxa"/>
            <w:tcBorders>
              <w:top w:val="single" w:sz="4" w:space="0" w:color="003366"/>
              <w:left w:val="nil"/>
              <w:bottom w:val="nil"/>
              <w:right w:val="nil"/>
            </w:tcBorders>
            <w:shd w:val="clear" w:color="000000" w:fill="FFFFFF"/>
            <w:noWrap/>
            <w:vAlign w:val="center"/>
            <w:hideMark/>
          </w:tcPr>
          <w:p w:rsidR="00F44AFB" w:rsidRPr="00180F71" w:rsidRDefault="00F44AFB" w:rsidP="00F44AFB">
            <w:pPr>
              <w:widowControl/>
              <w:jc w:val="right"/>
              <w:rPr>
                <w:rFonts w:ascii="Arial" w:eastAsia="宋体" w:hAnsi="Arial" w:cs="Arial"/>
                <w:kern w:val="0"/>
                <w:sz w:val="18"/>
                <w:szCs w:val="18"/>
              </w:rPr>
            </w:pPr>
            <w:r w:rsidRPr="00180F71">
              <w:rPr>
                <w:rFonts w:ascii="Arial" w:eastAsia="宋体" w:hAnsi="Arial" w:cs="Arial"/>
                <w:kern w:val="0"/>
                <w:sz w:val="18"/>
                <w:szCs w:val="18"/>
              </w:rPr>
              <w:t xml:space="preserve">49.35 </w:t>
            </w:r>
          </w:p>
        </w:tc>
      </w:tr>
      <w:tr w:rsidR="00F44AFB" w:rsidRPr="00180F71" w:rsidTr="00F44AFB">
        <w:trPr>
          <w:trHeight w:val="232"/>
        </w:trPr>
        <w:tc>
          <w:tcPr>
            <w:tcW w:w="1293" w:type="dxa"/>
            <w:tcBorders>
              <w:top w:val="nil"/>
              <w:left w:val="nil"/>
              <w:bottom w:val="nil"/>
              <w:right w:val="nil"/>
            </w:tcBorders>
            <w:shd w:val="clear" w:color="000000" w:fill="FFFFFF"/>
            <w:noWrap/>
            <w:vAlign w:val="center"/>
            <w:hideMark/>
          </w:tcPr>
          <w:p w:rsidR="00F44AFB" w:rsidRPr="00180F71" w:rsidRDefault="00F44AFB" w:rsidP="00F44AFB">
            <w:pPr>
              <w:widowControl/>
              <w:jc w:val="left"/>
              <w:rPr>
                <w:rFonts w:ascii="宋体" w:eastAsia="宋体" w:hAnsi="宋体" w:cs="宋体"/>
                <w:kern w:val="0"/>
                <w:sz w:val="18"/>
                <w:szCs w:val="18"/>
              </w:rPr>
            </w:pPr>
            <w:r w:rsidRPr="00180F71">
              <w:rPr>
                <w:rFonts w:ascii="宋体" w:eastAsia="宋体" w:hAnsi="宋体" w:cs="宋体" w:hint="eastAsia"/>
                <w:kern w:val="0"/>
                <w:sz w:val="18"/>
                <w:szCs w:val="18"/>
              </w:rPr>
              <w:t>海外并购</w:t>
            </w:r>
          </w:p>
        </w:tc>
        <w:tc>
          <w:tcPr>
            <w:tcW w:w="1340" w:type="dxa"/>
            <w:tcBorders>
              <w:top w:val="nil"/>
              <w:left w:val="nil"/>
              <w:bottom w:val="nil"/>
              <w:right w:val="nil"/>
            </w:tcBorders>
            <w:shd w:val="clear" w:color="000000" w:fill="FFFFFF"/>
            <w:noWrap/>
            <w:vAlign w:val="center"/>
            <w:hideMark/>
          </w:tcPr>
          <w:p w:rsidR="00F44AFB" w:rsidRPr="00180F71" w:rsidRDefault="00F44AFB" w:rsidP="00F44AFB">
            <w:pPr>
              <w:widowControl/>
              <w:jc w:val="right"/>
              <w:rPr>
                <w:rFonts w:ascii="Arial" w:eastAsia="宋体" w:hAnsi="Arial" w:cs="Arial"/>
                <w:kern w:val="0"/>
                <w:sz w:val="18"/>
                <w:szCs w:val="18"/>
              </w:rPr>
            </w:pPr>
            <w:r w:rsidRPr="00180F71">
              <w:rPr>
                <w:rFonts w:ascii="Arial" w:eastAsia="宋体" w:hAnsi="Arial" w:cs="Arial"/>
                <w:kern w:val="0"/>
                <w:sz w:val="18"/>
                <w:szCs w:val="18"/>
              </w:rPr>
              <w:t xml:space="preserve">152 </w:t>
            </w:r>
          </w:p>
        </w:tc>
        <w:tc>
          <w:tcPr>
            <w:tcW w:w="1317" w:type="dxa"/>
            <w:tcBorders>
              <w:top w:val="nil"/>
              <w:left w:val="nil"/>
              <w:bottom w:val="nil"/>
              <w:right w:val="nil"/>
            </w:tcBorders>
            <w:shd w:val="clear" w:color="000000" w:fill="FFFFFF"/>
            <w:noWrap/>
            <w:vAlign w:val="center"/>
            <w:hideMark/>
          </w:tcPr>
          <w:p w:rsidR="00F44AFB" w:rsidRPr="00180F71" w:rsidRDefault="00F44AFB" w:rsidP="00F44AFB">
            <w:pPr>
              <w:widowControl/>
              <w:jc w:val="right"/>
              <w:rPr>
                <w:rFonts w:ascii="Arial" w:eastAsia="宋体" w:hAnsi="Arial" w:cs="Arial"/>
                <w:kern w:val="0"/>
                <w:sz w:val="18"/>
                <w:szCs w:val="18"/>
              </w:rPr>
            </w:pPr>
            <w:r w:rsidRPr="00180F71">
              <w:rPr>
                <w:rFonts w:ascii="Arial" w:eastAsia="宋体" w:hAnsi="Arial" w:cs="Arial"/>
                <w:kern w:val="0"/>
                <w:sz w:val="18"/>
                <w:szCs w:val="18"/>
              </w:rPr>
              <w:t>7.9%</w:t>
            </w:r>
          </w:p>
        </w:tc>
        <w:tc>
          <w:tcPr>
            <w:tcW w:w="1293" w:type="dxa"/>
            <w:tcBorders>
              <w:top w:val="nil"/>
              <w:left w:val="nil"/>
              <w:bottom w:val="nil"/>
              <w:right w:val="nil"/>
            </w:tcBorders>
            <w:shd w:val="clear" w:color="000000" w:fill="FFFFFF"/>
            <w:noWrap/>
            <w:vAlign w:val="center"/>
            <w:hideMark/>
          </w:tcPr>
          <w:p w:rsidR="00F44AFB" w:rsidRPr="00180F71" w:rsidRDefault="00F44AFB" w:rsidP="00F44AFB">
            <w:pPr>
              <w:widowControl/>
              <w:jc w:val="right"/>
              <w:rPr>
                <w:rFonts w:ascii="Arial" w:eastAsia="宋体" w:hAnsi="Arial" w:cs="Arial"/>
                <w:kern w:val="0"/>
                <w:sz w:val="18"/>
                <w:szCs w:val="18"/>
              </w:rPr>
            </w:pPr>
            <w:r w:rsidRPr="00180F71">
              <w:rPr>
                <w:rFonts w:ascii="Arial" w:eastAsia="宋体" w:hAnsi="Arial" w:cs="Arial"/>
                <w:kern w:val="0"/>
                <w:sz w:val="18"/>
                <w:szCs w:val="18"/>
              </w:rPr>
              <w:t xml:space="preserve">133 </w:t>
            </w:r>
          </w:p>
        </w:tc>
        <w:tc>
          <w:tcPr>
            <w:tcW w:w="1412" w:type="dxa"/>
            <w:tcBorders>
              <w:top w:val="nil"/>
              <w:left w:val="nil"/>
              <w:bottom w:val="nil"/>
              <w:right w:val="nil"/>
            </w:tcBorders>
            <w:shd w:val="clear" w:color="000000" w:fill="FFFFFF"/>
            <w:noWrap/>
            <w:vAlign w:val="center"/>
            <w:hideMark/>
          </w:tcPr>
          <w:p w:rsidR="00F44AFB" w:rsidRPr="00180F71" w:rsidRDefault="00F44AFB" w:rsidP="00F44AFB">
            <w:pPr>
              <w:widowControl/>
              <w:jc w:val="right"/>
              <w:rPr>
                <w:rFonts w:ascii="Arial" w:eastAsia="宋体" w:hAnsi="Arial" w:cs="Arial"/>
                <w:kern w:val="0"/>
                <w:sz w:val="18"/>
                <w:szCs w:val="18"/>
              </w:rPr>
            </w:pPr>
            <w:r w:rsidRPr="00180F71">
              <w:rPr>
                <w:rFonts w:ascii="Arial" w:eastAsia="宋体" w:hAnsi="Arial" w:cs="Arial"/>
                <w:kern w:val="0"/>
                <w:sz w:val="18"/>
                <w:szCs w:val="18"/>
              </w:rPr>
              <w:t xml:space="preserve">32,418.82 </w:t>
            </w:r>
          </w:p>
        </w:tc>
        <w:tc>
          <w:tcPr>
            <w:tcW w:w="1293" w:type="dxa"/>
            <w:tcBorders>
              <w:top w:val="nil"/>
              <w:left w:val="nil"/>
              <w:bottom w:val="nil"/>
              <w:right w:val="nil"/>
            </w:tcBorders>
            <w:shd w:val="clear" w:color="000000" w:fill="FFFFFF"/>
            <w:noWrap/>
            <w:vAlign w:val="center"/>
            <w:hideMark/>
          </w:tcPr>
          <w:p w:rsidR="00F44AFB" w:rsidRPr="00180F71" w:rsidRDefault="00F44AFB" w:rsidP="00F44AFB">
            <w:pPr>
              <w:widowControl/>
              <w:jc w:val="right"/>
              <w:rPr>
                <w:rFonts w:ascii="Arial" w:eastAsia="宋体" w:hAnsi="Arial" w:cs="Arial"/>
                <w:kern w:val="0"/>
                <w:sz w:val="18"/>
                <w:szCs w:val="18"/>
              </w:rPr>
            </w:pPr>
            <w:r w:rsidRPr="00180F71">
              <w:rPr>
                <w:rFonts w:ascii="Arial" w:eastAsia="宋体" w:hAnsi="Arial" w:cs="Arial"/>
                <w:kern w:val="0"/>
                <w:sz w:val="18"/>
                <w:szCs w:val="18"/>
              </w:rPr>
              <w:t>27.4%</w:t>
            </w:r>
          </w:p>
        </w:tc>
        <w:tc>
          <w:tcPr>
            <w:tcW w:w="1293" w:type="dxa"/>
            <w:tcBorders>
              <w:top w:val="nil"/>
              <w:left w:val="nil"/>
              <w:bottom w:val="nil"/>
              <w:right w:val="nil"/>
            </w:tcBorders>
            <w:shd w:val="clear" w:color="000000" w:fill="FFFFFF"/>
            <w:noWrap/>
            <w:vAlign w:val="center"/>
            <w:hideMark/>
          </w:tcPr>
          <w:p w:rsidR="00F44AFB" w:rsidRPr="00180F71" w:rsidRDefault="00F44AFB" w:rsidP="00F44AFB">
            <w:pPr>
              <w:widowControl/>
              <w:jc w:val="right"/>
              <w:rPr>
                <w:rFonts w:ascii="Arial" w:eastAsia="宋体" w:hAnsi="Arial" w:cs="Arial"/>
                <w:kern w:val="0"/>
                <w:sz w:val="18"/>
                <w:szCs w:val="18"/>
              </w:rPr>
            </w:pPr>
            <w:r w:rsidRPr="00180F71">
              <w:rPr>
                <w:rFonts w:ascii="Arial" w:eastAsia="宋体" w:hAnsi="Arial" w:cs="Arial"/>
                <w:kern w:val="0"/>
                <w:sz w:val="18"/>
                <w:szCs w:val="18"/>
              </w:rPr>
              <w:t xml:space="preserve">243.75 </w:t>
            </w:r>
          </w:p>
        </w:tc>
      </w:tr>
      <w:tr w:rsidR="00F44AFB" w:rsidRPr="00180F71" w:rsidTr="00F44AFB">
        <w:trPr>
          <w:trHeight w:val="232"/>
        </w:trPr>
        <w:tc>
          <w:tcPr>
            <w:tcW w:w="1293" w:type="dxa"/>
            <w:tcBorders>
              <w:top w:val="nil"/>
              <w:left w:val="nil"/>
              <w:bottom w:val="single" w:sz="4" w:space="0" w:color="003366"/>
              <w:right w:val="nil"/>
            </w:tcBorders>
            <w:shd w:val="clear" w:color="000000" w:fill="FFFFFF"/>
            <w:noWrap/>
            <w:vAlign w:val="center"/>
            <w:hideMark/>
          </w:tcPr>
          <w:p w:rsidR="00F44AFB" w:rsidRPr="00180F71" w:rsidRDefault="00F44AFB" w:rsidP="00F44AFB">
            <w:pPr>
              <w:widowControl/>
              <w:jc w:val="left"/>
              <w:rPr>
                <w:rFonts w:ascii="宋体" w:eastAsia="宋体" w:hAnsi="宋体" w:cs="宋体"/>
                <w:kern w:val="0"/>
                <w:sz w:val="18"/>
                <w:szCs w:val="18"/>
              </w:rPr>
            </w:pPr>
            <w:r w:rsidRPr="00180F71">
              <w:rPr>
                <w:rFonts w:ascii="宋体" w:eastAsia="宋体" w:hAnsi="宋体" w:cs="宋体" w:hint="eastAsia"/>
                <w:kern w:val="0"/>
                <w:sz w:val="18"/>
                <w:szCs w:val="18"/>
              </w:rPr>
              <w:t>外资并购</w:t>
            </w:r>
          </w:p>
        </w:tc>
        <w:tc>
          <w:tcPr>
            <w:tcW w:w="1340" w:type="dxa"/>
            <w:tcBorders>
              <w:top w:val="nil"/>
              <w:left w:val="nil"/>
              <w:bottom w:val="single" w:sz="4" w:space="0" w:color="003366"/>
              <w:right w:val="nil"/>
            </w:tcBorders>
            <w:shd w:val="clear" w:color="000000" w:fill="FFFFFF"/>
            <w:noWrap/>
            <w:vAlign w:val="center"/>
            <w:hideMark/>
          </w:tcPr>
          <w:p w:rsidR="00F44AFB" w:rsidRPr="00180F71" w:rsidRDefault="00F44AFB" w:rsidP="00F44AFB">
            <w:pPr>
              <w:widowControl/>
              <w:jc w:val="right"/>
              <w:rPr>
                <w:rFonts w:ascii="Arial" w:eastAsia="宋体" w:hAnsi="Arial" w:cs="Arial"/>
                <w:kern w:val="0"/>
                <w:sz w:val="18"/>
                <w:szCs w:val="18"/>
              </w:rPr>
            </w:pPr>
            <w:r w:rsidRPr="00180F71">
              <w:rPr>
                <w:rFonts w:ascii="Arial" w:eastAsia="宋体" w:hAnsi="Arial" w:cs="Arial"/>
                <w:kern w:val="0"/>
                <w:sz w:val="18"/>
                <w:szCs w:val="18"/>
              </w:rPr>
              <w:t xml:space="preserve">40 </w:t>
            </w:r>
          </w:p>
        </w:tc>
        <w:tc>
          <w:tcPr>
            <w:tcW w:w="1317" w:type="dxa"/>
            <w:tcBorders>
              <w:top w:val="nil"/>
              <w:left w:val="nil"/>
              <w:bottom w:val="single" w:sz="4" w:space="0" w:color="003366"/>
              <w:right w:val="nil"/>
            </w:tcBorders>
            <w:shd w:val="clear" w:color="000000" w:fill="FFFFFF"/>
            <w:noWrap/>
            <w:vAlign w:val="center"/>
            <w:hideMark/>
          </w:tcPr>
          <w:p w:rsidR="00F44AFB" w:rsidRPr="00180F71" w:rsidRDefault="00F44AFB" w:rsidP="00F44AFB">
            <w:pPr>
              <w:widowControl/>
              <w:jc w:val="right"/>
              <w:rPr>
                <w:rFonts w:ascii="Arial" w:eastAsia="宋体" w:hAnsi="Arial" w:cs="Arial"/>
                <w:kern w:val="0"/>
                <w:sz w:val="18"/>
                <w:szCs w:val="18"/>
              </w:rPr>
            </w:pPr>
            <w:r w:rsidRPr="00180F71">
              <w:rPr>
                <w:rFonts w:ascii="Arial" w:eastAsia="宋体" w:hAnsi="Arial" w:cs="Arial"/>
                <w:kern w:val="0"/>
                <w:sz w:val="18"/>
                <w:szCs w:val="18"/>
              </w:rPr>
              <w:t>2.1%</w:t>
            </w:r>
          </w:p>
        </w:tc>
        <w:tc>
          <w:tcPr>
            <w:tcW w:w="1293" w:type="dxa"/>
            <w:tcBorders>
              <w:top w:val="nil"/>
              <w:left w:val="nil"/>
              <w:bottom w:val="single" w:sz="4" w:space="0" w:color="003366"/>
              <w:right w:val="nil"/>
            </w:tcBorders>
            <w:shd w:val="clear" w:color="000000" w:fill="FFFFFF"/>
            <w:noWrap/>
            <w:vAlign w:val="center"/>
            <w:hideMark/>
          </w:tcPr>
          <w:p w:rsidR="00F44AFB" w:rsidRPr="00180F71" w:rsidRDefault="00F44AFB" w:rsidP="00F44AFB">
            <w:pPr>
              <w:widowControl/>
              <w:jc w:val="right"/>
              <w:rPr>
                <w:rFonts w:ascii="Arial" w:eastAsia="宋体" w:hAnsi="Arial" w:cs="Arial"/>
                <w:kern w:val="0"/>
                <w:sz w:val="18"/>
                <w:szCs w:val="18"/>
              </w:rPr>
            </w:pPr>
            <w:r w:rsidRPr="00180F71">
              <w:rPr>
                <w:rFonts w:ascii="Arial" w:eastAsia="宋体" w:hAnsi="Arial" w:cs="Arial"/>
                <w:kern w:val="0"/>
                <w:sz w:val="18"/>
                <w:szCs w:val="18"/>
              </w:rPr>
              <w:t xml:space="preserve">34 </w:t>
            </w:r>
          </w:p>
        </w:tc>
        <w:tc>
          <w:tcPr>
            <w:tcW w:w="1412" w:type="dxa"/>
            <w:tcBorders>
              <w:top w:val="nil"/>
              <w:left w:val="nil"/>
              <w:bottom w:val="single" w:sz="4" w:space="0" w:color="003366"/>
              <w:right w:val="nil"/>
            </w:tcBorders>
            <w:shd w:val="clear" w:color="000000" w:fill="FFFFFF"/>
            <w:noWrap/>
            <w:vAlign w:val="center"/>
            <w:hideMark/>
          </w:tcPr>
          <w:p w:rsidR="00F44AFB" w:rsidRPr="00180F71" w:rsidRDefault="00F44AFB" w:rsidP="00F44AFB">
            <w:pPr>
              <w:widowControl/>
              <w:jc w:val="right"/>
              <w:rPr>
                <w:rFonts w:ascii="Arial" w:eastAsia="宋体" w:hAnsi="Arial" w:cs="Arial"/>
                <w:kern w:val="0"/>
                <w:sz w:val="18"/>
                <w:szCs w:val="18"/>
              </w:rPr>
            </w:pPr>
            <w:r w:rsidRPr="00180F71">
              <w:rPr>
                <w:rFonts w:ascii="Arial" w:eastAsia="宋体" w:hAnsi="Arial" w:cs="Arial"/>
                <w:kern w:val="0"/>
                <w:sz w:val="18"/>
                <w:szCs w:val="18"/>
              </w:rPr>
              <w:t xml:space="preserve">4,749.45 </w:t>
            </w:r>
          </w:p>
        </w:tc>
        <w:tc>
          <w:tcPr>
            <w:tcW w:w="1293" w:type="dxa"/>
            <w:tcBorders>
              <w:top w:val="nil"/>
              <w:left w:val="nil"/>
              <w:bottom w:val="single" w:sz="4" w:space="0" w:color="003366"/>
              <w:right w:val="nil"/>
            </w:tcBorders>
            <w:shd w:val="clear" w:color="000000" w:fill="FFFFFF"/>
            <w:noWrap/>
            <w:vAlign w:val="center"/>
            <w:hideMark/>
          </w:tcPr>
          <w:p w:rsidR="00F44AFB" w:rsidRPr="00180F71" w:rsidRDefault="00F44AFB" w:rsidP="00F44AFB">
            <w:pPr>
              <w:widowControl/>
              <w:jc w:val="right"/>
              <w:rPr>
                <w:rFonts w:ascii="Arial" w:eastAsia="宋体" w:hAnsi="Arial" w:cs="Arial"/>
                <w:kern w:val="0"/>
                <w:sz w:val="18"/>
                <w:szCs w:val="18"/>
              </w:rPr>
            </w:pPr>
            <w:r w:rsidRPr="00180F71">
              <w:rPr>
                <w:rFonts w:ascii="Arial" w:eastAsia="宋体" w:hAnsi="Arial" w:cs="Arial"/>
                <w:kern w:val="0"/>
                <w:sz w:val="18"/>
                <w:szCs w:val="18"/>
              </w:rPr>
              <w:t>4.0%</w:t>
            </w:r>
          </w:p>
        </w:tc>
        <w:tc>
          <w:tcPr>
            <w:tcW w:w="1293" w:type="dxa"/>
            <w:tcBorders>
              <w:top w:val="nil"/>
              <w:left w:val="nil"/>
              <w:bottom w:val="single" w:sz="4" w:space="0" w:color="003366"/>
              <w:right w:val="nil"/>
            </w:tcBorders>
            <w:shd w:val="clear" w:color="000000" w:fill="FFFFFF"/>
            <w:noWrap/>
            <w:vAlign w:val="center"/>
            <w:hideMark/>
          </w:tcPr>
          <w:p w:rsidR="00F44AFB" w:rsidRPr="00180F71" w:rsidRDefault="00F44AFB" w:rsidP="00F44AFB">
            <w:pPr>
              <w:widowControl/>
              <w:jc w:val="right"/>
              <w:rPr>
                <w:rFonts w:ascii="Arial" w:eastAsia="宋体" w:hAnsi="Arial" w:cs="Arial"/>
                <w:kern w:val="0"/>
                <w:sz w:val="18"/>
                <w:szCs w:val="18"/>
              </w:rPr>
            </w:pPr>
            <w:r w:rsidRPr="00180F71">
              <w:rPr>
                <w:rFonts w:ascii="Arial" w:eastAsia="宋体" w:hAnsi="Arial" w:cs="Arial"/>
                <w:kern w:val="0"/>
                <w:sz w:val="18"/>
                <w:szCs w:val="18"/>
              </w:rPr>
              <w:t xml:space="preserve">139.69 </w:t>
            </w:r>
          </w:p>
        </w:tc>
      </w:tr>
      <w:tr w:rsidR="00F44AFB" w:rsidRPr="00180F71" w:rsidTr="00F44AFB">
        <w:trPr>
          <w:trHeight w:val="246"/>
        </w:trPr>
        <w:tc>
          <w:tcPr>
            <w:tcW w:w="1293" w:type="dxa"/>
            <w:tcBorders>
              <w:top w:val="nil"/>
              <w:left w:val="nil"/>
              <w:bottom w:val="single" w:sz="8" w:space="0" w:color="003366"/>
              <w:right w:val="nil"/>
            </w:tcBorders>
            <w:shd w:val="clear" w:color="000000" w:fill="FFFFFF"/>
            <w:noWrap/>
            <w:vAlign w:val="center"/>
            <w:hideMark/>
          </w:tcPr>
          <w:p w:rsidR="00F44AFB" w:rsidRPr="00180F71" w:rsidRDefault="00F44AFB" w:rsidP="00F44AFB">
            <w:pPr>
              <w:widowControl/>
              <w:jc w:val="left"/>
              <w:rPr>
                <w:rFonts w:ascii="宋体" w:eastAsia="宋体" w:hAnsi="宋体" w:cs="宋体"/>
                <w:b/>
                <w:bCs/>
                <w:kern w:val="0"/>
                <w:sz w:val="18"/>
                <w:szCs w:val="18"/>
              </w:rPr>
            </w:pPr>
            <w:r w:rsidRPr="00180F71">
              <w:rPr>
                <w:rFonts w:ascii="宋体" w:eastAsia="宋体" w:hAnsi="宋体" w:cs="宋体" w:hint="eastAsia"/>
                <w:b/>
                <w:bCs/>
                <w:kern w:val="0"/>
                <w:sz w:val="18"/>
                <w:szCs w:val="18"/>
              </w:rPr>
              <w:t>合计</w:t>
            </w:r>
          </w:p>
        </w:tc>
        <w:tc>
          <w:tcPr>
            <w:tcW w:w="1340" w:type="dxa"/>
            <w:tcBorders>
              <w:top w:val="nil"/>
              <w:left w:val="nil"/>
              <w:bottom w:val="single" w:sz="8" w:space="0" w:color="003366"/>
              <w:right w:val="nil"/>
            </w:tcBorders>
            <w:shd w:val="clear" w:color="000000" w:fill="FFFFFF"/>
            <w:noWrap/>
            <w:vAlign w:val="center"/>
            <w:hideMark/>
          </w:tcPr>
          <w:p w:rsidR="00F44AFB" w:rsidRPr="00180F71" w:rsidRDefault="00F44AFB" w:rsidP="00F44AFB">
            <w:pPr>
              <w:widowControl/>
              <w:jc w:val="right"/>
              <w:rPr>
                <w:rFonts w:ascii="Arial" w:eastAsia="宋体" w:hAnsi="Arial" w:cs="Arial"/>
                <w:b/>
                <w:bCs/>
                <w:kern w:val="0"/>
                <w:sz w:val="18"/>
                <w:szCs w:val="18"/>
              </w:rPr>
            </w:pPr>
            <w:r w:rsidRPr="00180F71">
              <w:rPr>
                <w:rFonts w:ascii="Arial" w:eastAsia="宋体" w:hAnsi="Arial" w:cs="Arial"/>
                <w:b/>
                <w:bCs/>
                <w:kern w:val="0"/>
                <w:sz w:val="18"/>
                <w:szCs w:val="18"/>
              </w:rPr>
              <w:t xml:space="preserve">1,929 </w:t>
            </w:r>
          </w:p>
        </w:tc>
        <w:tc>
          <w:tcPr>
            <w:tcW w:w="1317" w:type="dxa"/>
            <w:tcBorders>
              <w:top w:val="nil"/>
              <w:left w:val="nil"/>
              <w:bottom w:val="single" w:sz="8" w:space="0" w:color="003366"/>
              <w:right w:val="nil"/>
            </w:tcBorders>
            <w:shd w:val="clear" w:color="000000" w:fill="FFFFFF"/>
            <w:noWrap/>
            <w:vAlign w:val="center"/>
            <w:hideMark/>
          </w:tcPr>
          <w:p w:rsidR="00F44AFB" w:rsidRPr="00180F71" w:rsidRDefault="00F44AFB" w:rsidP="00F44AFB">
            <w:pPr>
              <w:widowControl/>
              <w:jc w:val="right"/>
              <w:rPr>
                <w:rFonts w:ascii="Arial" w:eastAsia="宋体" w:hAnsi="Arial" w:cs="Arial"/>
                <w:b/>
                <w:bCs/>
                <w:kern w:val="0"/>
                <w:sz w:val="18"/>
                <w:szCs w:val="18"/>
              </w:rPr>
            </w:pPr>
            <w:r w:rsidRPr="00180F71">
              <w:rPr>
                <w:rFonts w:ascii="Arial" w:eastAsia="宋体" w:hAnsi="Arial" w:cs="Arial"/>
                <w:b/>
                <w:bCs/>
                <w:kern w:val="0"/>
                <w:sz w:val="18"/>
                <w:szCs w:val="18"/>
              </w:rPr>
              <w:t>100.0%</w:t>
            </w:r>
          </w:p>
        </w:tc>
        <w:tc>
          <w:tcPr>
            <w:tcW w:w="1293" w:type="dxa"/>
            <w:tcBorders>
              <w:top w:val="nil"/>
              <w:left w:val="nil"/>
              <w:bottom w:val="single" w:sz="8" w:space="0" w:color="003366"/>
              <w:right w:val="nil"/>
            </w:tcBorders>
            <w:shd w:val="clear" w:color="000000" w:fill="FFFFFF"/>
            <w:noWrap/>
            <w:vAlign w:val="center"/>
            <w:hideMark/>
          </w:tcPr>
          <w:p w:rsidR="00F44AFB" w:rsidRPr="00180F71" w:rsidRDefault="00F44AFB" w:rsidP="00F44AFB">
            <w:pPr>
              <w:widowControl/>
              <w:jc w:val="right"/>
              <w:rPr>
                <w:rFonts w:ascii="Arial" w:eastAsia="宋体" w:hAnsi="Arial" w:cs="Arial"/>
                <w:b/>
                <w:bCs/>
                <w:kern w:val="0"/>
                <w:sz w:val="18"/>
                <w:szCs w:val="18"/>
              </w:rPr>
            </w:pPr>
            <w:r w:rsidRPr="00180F71">
              <w:rPr>
                <w:rFonts w:ascii="Arial" w:eastAsia="宋体" w:hAnsi="Arial" w:cs="Arial"/>
                <w:b/>
                <w:bCs/>
                <w:kern w:val="0"/>
                <w:sz w:val="18"/>
                <w:szCs w:val="18"/>
              </w:rPr>
              <w:t xml:space="preserve">1,815 </w:t>
            </w:r>
          </w:p>
        </w:tc>
        <w:tc>
          <w:tcPr>
            <w:tcW w:w="1412" w:type="dxa"/>
            <w:tcBorders>
              <w:top w:val="nil"/>
              <w:left w:val="nil"/>
              <w:bottom w:val="single" w:sz="8" w:space="0" w:color="003366"/>
              <w:right w:val="nil"/>
            </w:tcBorders>
            <w:shd w:val="clear" w:color="000000" w:fill="FFFFFF"/>
            <w:noWrap/>
            <w:vAlign w:val="center"/>
            <w:hideMark/>
          </w:tcPr>
          <w:p w:rsidR="00F44AFB" w:rsidRPr="00180F71" w:rsidRDefault="00F44AFB" w:rsidP="00F44AFB">
            <w:pPr>
              <w:widowControl/>
              <w:jc w:val="right"/>
              <w:rPr>
                <w:rFonts w:ascii="Arial" w:eastAsia="宋体" w:hAnsi="Arial" w:cs="Arial"/>
                <w:b/>
                <w:bCs/>
                <w:kern w:val="0"/>
                <w:sz w:val="18"/>
                <w:szCs w:val="18"/>
              </w:rPr>
            </w:pPr>
            <w:r w:rsidRPr="00180F71">
              <w:rPr>
                <w:rFonts w:ascii="Arial" w:eastAsia="宋体" w:hAnsi="Arial" w:cs="Arial"/>
                <w:b/>
                <w:bCs/>
                <w:kern w:val="0"/>
                <w:sz w:val="18"/>
                <w:szCs w:val="18"/>
              </w:rPr>
              <w:t xml:space="preserve">118,489.54 </w:t>
            </w:r>
          </w:p>
        </w:tc>
        <w:tc>
          <w:tcPr>
            <w:tcW w:w="1293" w:type="dxa"/>
            <w:tcBorders>
              <w:top w:val="nil"/>
              <w:left w:val="nil"/>
              <w:bottom w:val="single" w:sz="8" w:space="0" w:color="003366"/>
              <w:right w:val="nil"/>
            </w:tcBorders>
            <w:shd w:val="clear" w:color="000000" w:fill="FFFFFF"/>
            <w:noWrap/>
            <w:vAlign w:val="center"/>
            <w:hideMark/>
          </w:tcPr>
          <w:p w:rsidR="00F44AFB" w:rsidRPr="00180F71" w:rsidRDefault="00F44AFB" w:rsidP="00F44AFB">
            <w:pPr>
              <w:widowControl/>
              <w:jc w:val="right"/>
              <w:rPr>
                <w:rFonts w:ascii="Arial" w:eastAsia="宋体" w:hAnsi="Arial" w:cs="Arial"/>
                <w:b/>
                <w:bCs/>
                <w:kern w:val="0"/>
                <w:sz w:val="18"/>
                <w:szCs w:val="18"/>
              </w:rPr>
            </w:pPr>
            <w:r w:rsidRPr="00180F71">
              <w:rPr>
                <w:rFonts w:ascii="Arial" w:eastAsia="宋体" w:hAnsi="Arial" w:cs="Arial"/>
                <w:b/>
                <w:bCs/>
                <w:kern w:val="0"/>
                <w:sz w:val="18"/>
                <w:szCs w:val="18"/>
              </w:rPr>
              <w:t>100.0%</w:t>
            </w:r>
          </w:p>
        </w:tc>
        <w:tc>
          <w:tcPr>
            <w:tcW w:w="1293" w:type="dxa"/>
            <w:tcBorders>
              <w:top w:val="nil"/>
              <w:left w:val="nil"/>
              <w:bottom w:val="single" w:sz="8" w:space="0" w:color="003366"/>
              <w:right w:val="nil"/>
            </w:tcBorders>
            <w:shd w:val="clear" w:color="000000" w:fill="FFFFFF"/>
            <w:noWrap/>
            <w:vAlign w:val="center"/>
            <w:hideMark/>
          </w:tcPr>
          <w:p w:rsidR="00F44AFB" w:rsidRPr="00180F71" w:rsidRDefault="00F44AFB" w:rsidP="00F44AFB">
            <w:pPr>
              <w:widowControl/>
              <w:jc w:val="right"/>
              <w:rPr>
                <w:rFonts w:ascii="Arial" w:eastAsia="宋体" w:hAnsi="Arial" w:cs="Arial"/>
                <w:b/>
                <w:bCs/>
                <w:kern w:val="0"/>
                <w:sz w:val="18"/>
                <w:szCs w:val="18"/>
              </w:rPr>
            </w:pPr>
            <w:r w:rsidRPr="00180F71">
              <w:rPr>
                <w:rFonts w:ascii="Arial" w:eastAsia="宋体" w:hAnsi="Arial" w:cs="Arial"/>
                <w:b/>
                <w:bCs/>
                <w:kern w:val="0"/>
                <w:sz w:val="18"/>
                <w:szCs w:val="18"/>
              </w:rPr>
              <w:t xml:space="preserve">65.28 </w:t>
            </w:r>
          </w:p>
        </w:tc>
      </w:tr>
    </w:tbl>
    <w:p w:rsidR="00F44AFB" w:rsidRPr="000F1C1F" w:rsidRDefault="00F44AFB" w:rsidP="00F44AFB">
      <w:pPr>
        <w:spacing w:line="360" w:lineRule="exact"/>
        <w:rPr>
          <w:rStyle w:val="a6"/>
          <w:rFonts w:ascii="Arial" w:eastAsia="宋体" w:hAnsi="Arial" w:cs="Arial"/>
          <w:sz w:val="18"/>
          <w:szCs w:val="18"/>
          <w:shd w:val="clear" w:color="auto" w:fill="FFFFFF"/>
        </w:rPr>
      </w:pPr>
      <w:r w:rsidRPr="000F1C1F">
        <w:rPr>
          <w:rFonts w:ascii="Arial" w:eastAsia="宋体" w:hAnsi="Arial" w:cs="Arial"/>
          <w:bCs/>
          <w:sz w:val="18"/>
          <w:szCs w:val="18"/>
          <w:shd w:val="clear" w:color="auto" w:fill="FFFFFF"/>
        </w:rPr>
        <w:t>来源：私募通</w:t>
      </w:r>
      <w:r>
        <w:rPr>
          <w:rFonts w:ascii="Arial" w:eastAsia="宋体" w:hAnsi="Arial" w:cs="Arial"/>
          <w:bCs/>
          <w:sz w:val="18"/>
          <w:szCs w:val="18"/>
          <w:shd w:val="clear" w:color="auto" w:fill="FFFFFF"/>
        </w:rPr>
        <w:t xml:space="preserve"> 201</w:t>
      </w:r>
      <w:r>
        <w:rPr>
          <w:rFonts w:ascii="Arial" w:eastAsia="宋体" w:hAnsi="Arial" w:cs="Arial" w:hint="eastAsia"/>
          <w:bCs/>
          <w:sz w:val="18"/>
          <w:szCs w:val="18"/>
          <w:shd w:val="clear" w:color="auto" w:fill="FFFFFF"/>
        </w:rPr>
        <w:t>5</w:t>
      </w:r>
      <w:r w:rsidRPr="000F1C1F">
        <w:rPr>
          <w:rFonts w:ascii="Arial" w:eastAsia="宋体" w:hAnsi="Arial" w:cs="Arial"/>
          <w:bCs/>
          <w:sz w:val="18"/>
          <w:szCs w:val="18"/>
          <w:shd w:val="clear" w:color="auto" w:fill="FFFFFF"/>
        </w:rPr>
        <w:t>.01</w:t>
      </w:r>
      <w:r w:rsidR="00A20CBE">
        <w:rPr>
          <w:rFonts w:ascii="Arial" w:eastAsia="宋体" w:hAnsi="Arial" w:cs="Arial" w:hint="eastAsia"/>
          <w:bCs/>
          <w:sz w:val="18"/>
          <w:szCs w:val="18"/>
          <w:shd w:val="clear" w:color="auto" w:fill="FFFFFF"/>
        </w:rPr>
        <w:t xml:space="preserve">                                                                   </w:t>
      </w:r>
      <w:r w:rsidR="00154614" w:rsidRPr="00154614">
        <w:rPr>
          <w:rFonts w:ascii="Arial" w:eastAsia="宋体" w:hAnsi="Arial" w:cs="Arial"/>
          <w:bCs/>
          <w:sz w:val="18"/>
          <w:szCs w:val="18"/>
          <w:shd w:val="clear" w:color="auto" w:fill="FFFFFF"/>
        </w:rPr>
        <w:t>www.pedata.cn</w:t>
      </w:r>
    </w:p>
    <w:p w:rsidR="0072507B" w:rsidRPr="000F1C1F" w:rsidRDefault="0072507B" w:rsidP="0030058D">
      <w:pPr>
        <w:spacing w:line="360" w:lineRule="exact"/>
        <w:ind w:firstLineChars="200" w:firstLine="420"/>
        <w:rPr>
          <w:rFonts w:ascii="Arial" w:eastAsia="宋体" w:hAnsi="Arial" w:cs="Arial"/>
          <w:szCs w:val="21"/>
          <w:shd w:val="clear" w:color="auto" w:fill="FFFFFF"/>
        </w:rPr>
      </w:pPr>
    </w:p>
    <w:p w:rsidR="0072507B" w:rsidRDefault="001D0000" w:rsidP="00A92923">
      <w:pPr>
        <w:spacing w:line="360" w:lineRule="exact"/>
        <w:ind w:firstLineChars="200" w:firstLine="420"/>
        <w:rPr>
          <w:rFonts w:ascii="Arial" w:eastAsia="宋体" w:hAnsi="Arial" w:cs="Arial"/>
          <w:szCs w:val="21"/>
          <w:shd w:val="clear" w:color="auto" w:fill="FFFFFF"/>
        </w:rPr>
      </w:pPr>
      <w:r w:rsidRPr="000F1C1F">
        <w:rPr>
          <w:rFonts w:ascii="Arial" w:eastAsia="宋体" w:hAnsi="Arial" w:cs="Arial"/>
          <w:szCs w:val="21"/>
          <w:shd w:val="clear" w:color="auto" w:fill="FFFFFF"/>
        </w:rPr>
        <w:t>纵观</w:t>
      </w:r>
      <w:r w:rsidR="006862A3">
        <w:rPr>
          <w:rFonts w:ascii="Arial" w:eastAsia="宋体" w:hAnsi="Arial" w:cs="Arial"/>
          <w:szCs w:val="21"/>
          <w:shd w:val="clear" w:color="auto" w:fill="FFFFFF"/>
        </w:rPr>
        <w:t>201</w:t>
      </w:r>
      <w:r w:rsidR="006862A3">
        <w:rPr>
          <w:rFonts w:ascii="Arial" w:eastAsia="宋体" w:hAnsi="Arial" w:cs="Arial" w:hint="eastAsia"/>
          <w:szCs w:val="21"/>
          <w:shd w:val="clear" w:color="auto" w:fill="FFFFFF"/>
        </w:rPr>
        <w:t>4</w:t>
      </w:r>
      <w:r w:rsidRPr="000F1C1F">
        <w:rPr>
          <w:rFonts w:ascii="Arial" w:eastAsia="宋体" w:hAnsi="Arial" w:cs="Arial"/>
          <w:szCs w:val="21"/>
          <w:shd w:val="clear" w:color="auto" w:fill="FFFFFF"/>
        </w:rPr>
        <w:t>年中国并购市场四个季度的交易，</w:t>
      </w:r>
      <w:r w:rsidR="0075773C" w:rsidRPr="000F1C1F">
        <w:rPr>
          <w:rFonts w:ascii="Arial" w:eastAsia="宋体" w:hAnsi="Arial" w:cs="Arial"/>
          <w:szCs w:val="21"/>
          <w:shd w:val="clear" w:color="auto" w:fill="FFFFFF"/>
        </w:rPr>
        <w:t>在数量上，</w:t>
      </w:r>
      <w:r w:rsidR="00D3283A" w:rsidRPr="000F1C1F">
        <w:rPr>
          <w:rFonts w:ascii="Arial" w:eastAsia="宋体" w:hAnsi="Arial" w:cs="Arial" w:hint="eastAsia"/>
          <w:szCs w:val="21"/>
          <w:shd w:val="clear" w:color="auto" w:fill="FFFFFF"/>
        </w:rPr>
        <w:t>呈现</w:t>
      </w:r>
      <w:r w:rsidRPr="000F1C1F">
        <w:rPr>
          <w:rFonts w:ascii="Arial" w:eastAsia="宋体" w:hAnsi="Arial" w:cs="Arial"/>
          <w:szCs w:val="21"/>
          <w:shd w:val="clear" w:color="auto" w:fill="FFFFFF"/>
        </w:rPr>
        <w:t>“</w:t>
      </w:r>
      <w:r w:rsidR="0075773C" w:rsidRPr="000F1C1F">
        <w:rPr>
          <w:rFonts w:ascii="Arial" w:eastAsia="宋体" w:hAnsi="Arial" w:cs="Arial"/>
          <w:szCs w:val="21"/>
          <w:shd w:val="clear" w:color="auto" w:fill="FFFFFF"/>
        </w:rPr>
        <w:t>循序渐进、逐渐增多</w:t>
      </w:r>
      <w:r w:rsidRPr="000F1C1F">
        <w:rPr>
          <w:rFonts w:ascii="Arial" w:eastAsia="宋体" w:hAnsi="Arial" w:cs="Arial"/>
          <w:szCs w:val="21"/>
          <w:shd w:val="clear" w:color="auto" w:fill="FFFFFF"/>
        </w:rPr>
        <w:t>”</w:t>
      </w:r>
      <w:r w:rsidRPr="000F1C1F">
        <w:rPr>
          <w:rFonts w:ascii="Arial" w:eastAsia="宋体" w:hAnsi="Arial" w:cs="Arial"/>
          <w:szCs w:val="21"/>
          <w:shd w:val="clear" w:color="auto" w:fill="FFFFFF"/>
        </w:rPr>
        <w:t>的</w:t>
      </w:r>
      <w:r w:rsidR="00381CA0" w:rsidRPr="000F1C1F">
        <w:rPr>
          <w:rFonts w:ascii="Arial" w:eastAsia="宋体" w:hAnsi="Arial" w:cs="Arial"/>
          <w:szCs w:val="21"/>
          <w:shd w:val="clear" w:color="auto" w:fill="FFFFFF"/>
        </w:rPr>
        <w:t>结构布局</w:t>
      </w:r>
      <w:r w:rsidR="0075773C" w:rsidRPr="000F1C1F">
        <w:rPr>
          <w:rFonts w:ascii="Arial" w:eastAsia="宋体" w:hAnsi="Arial" w:cs="Arial"/>
          <w:szCs w:val="21"/>
          <w:shd w:val="clear" w:color="auto" w:fill="FFFFFF"/>
        </w:rPr>
        <w:t>。</w:t>
      </w:r>
      <w:r w:rsidRPr="000F1C1F">
        <w:rPr>
          <w:rFonts w:ascii="Arial" w:eastAsia="宋体" w:hAnsi="Arial" w:cs="Arial"/>
          <w:szCs w:val="21"/>
          <w:shd w:val="clear" w:color="auto" w:fill="FFFFFF"/>
        </w:rPr>
        <w:t>这主要由</w:t>
      </w:r>
      <w:r w:rsidR="006862A3">
        <w:rPr>
          <w:rFonts w:ascii="Arial" w:eastAsia="宋体" w:hAnsi="Arial" w:cs="Arial" w:hint="eastAsia"/>
          <w:szCs w:val="21"/>
          <w:shd w:val="clear" w:color="auto" w:fill="FFFFFF"/>
        </w:rPr>
        <w:t>于</w:t>
      </w:r>
      <w:r w:rsidR="006862A3" w:rsidRPr="006862A3">
        <w:rPr>
          <w:rFonts w:ascii="Arial" w:eastAsia="宋体" w:hAnsi="Arial" w:cs="Arial"/>
          <w:szCs w:val="21"/>
          <w:shd w:val="clear" w:color="auto" w:fill="FFFFFF"/>
        </w:rPr>
        <w:t>2014</w:t>
      </w:r>
      <w:r w:rsidR="006862A3" w:rsidRPr="006862A3">
        <w:rPr>
          <w:rFonts w:ascii="Arial" w:eastAsia="宋体" w:hAnsi="Arial" w:cs="Arial"/>
          <w:szCs w:val="21"/>
          <w:shd w:val="clear" w:color="auto" w:fill="FFFFFF"/>
        </w:rPr>
        <w:t>年中国并购市场</w:t>
      </w:r>
      <w:r w:rsidR="006862A3">
        <w:rPr>
          <w:rFonts w:ascii="Arial" w:eastAsia="宋体" w:hAnsi="Arial" w:cs="Arial" w:hint="eastAsia"/>
          <w:szCs w:val="21"/>
          <w:shd w:val="clear" w:color="auto" w:fill="FFFFFF"/>
        </w:rPr>
        <w:t>逐步</w:t>
      </w:r>
      <w:r w:rsidR="006862A3">
        <w:rPr>
          <w:rFonts w:ascii="Arial" w:eastAsia="宋体" w:hAnsi="Arial" w:cs="Arial"/>
          <w:szCs w:val="21"/>
          <w:shd w:val="clear" w:color="auto" w:fill="FFFFFF"/>
        </w:rPr>
        <w:t>迎来</w:t>
      </w:r>
      <w:r w:rsidR="006862A3" w:rsidRPr="006862A3">
        <w:rPr>
          <w:rFonts w:ascii="Arial" w:eastAsia="宋体" w:hAnsi="Arial" w:cs="Arial"/>
          <w:szCs w:val="21"/>
          <w:shd w:val="clear" w:color="auto" w:fill="FFFFFF"/>
        </w:rPr>
        <w:t>利好，</w:t>
      </w:r>
      <w:r w:rsidR="006862A3" w:rsidRPr="006862A3">
        <w:rPr>
          <w:rFonts w:ascii="Arial" w:eastAsia="宋体" w:hAnsi="Arial" w:cs="Arial"/>
          <w:szCs w:val="21"/>
          <w:shd w:val="clear" w:color="auto" w:fill="FFFFFF"/>
        </w:rPr>
        <w:t>3</w:t>
      </w:r>
      <w:r w:rsidR="006862A3" w:rsidRPr="006862A3">
        <w:rPr>
          <w:rFonts w:ascii="Arial" w:eastAsia="宋体" w:hAnsi="Arial" w:cs="Arial"/>
          <w:szCs w:val="21"/>
          <w:shd w:val="clear" w:color="auto" w:fill="FFFFFF"/>
        </w:rPr>
        <w:t>月</w:t>
      </w:r>
      <w:r w:rsidR="006862A3" w:rsidRPr="006862A3">
        <w:rPr>
          <w:rFonts w:ascii="Arial" w:eastAsia="宋体" w:hAnsi="Arial" w:cs="Arial"/>
          <w:szCs w:val="21"/>
          <w:shd w:val="clear" w:color="auto" w:fill="FFFFFF"/>
        </w:rPr>
        <w:t>24</w:t>
      </w:r>
      <w:r w:rsidR="006862A3" w:rsidRPr="006862A3">
        <w:rPr>
          <w:rFonts w:ascii="Arial" w:eastAsia="宋体" w:hAnsi="Arial" w:cs="Arial"/>
          <w:szCs w:val="21"/>
          <w:shd w:val="clear" w:color="auto" w:fill="FFFFFF"/>
        </w:rPr>
        <w:t>日国务院公布《关于进一步优化企业兼并重组市场环境的意见》，这一重磅</w:t>
      </w:r>
      <w:proofErr w:type="gramStart"/>
      <w:r w:rsidR="006862A3" w:rsidRPr="006862A3">
        <w:rPr>
          <w:rFonts w:ascii="Arial" w:eastAsia="宋体" w:hAnsi="Arial" w:cs="Arial"/>
          <w:szCs w:val="21"/>
          <w:shd w:val="clear" w:color="auto" w:fill="FFFFFF"/>
        </w:rPr>
        <w:t>级政策</w:t>
      </w:r>
      <w:proofErr w:type="gramEnd"/>
      <w:r w:rsidR="006862A3" w:rsidRPr="006862A3">
        <w:rPr>
          <w:rFonts w:ascii="Arial" w:eastAsia="宋体" w:hAnsi="Arial" w:cs="Arial"/>
          <w:szCs w:val="21"/>
          <w:shd w:val="clear" w:color="auto" w:fill="FFFFFF"/>
        </w:rPr>
        <w:t>从行政审批、交易机制、金融支持、支付</w:t>
      </w:r>
      <w:r w:rsidR="006862A3">
        <w:rPr>
          <w:rFonts w:ascii="Arial" w:eastAsia="宋体" w:hAnsi="Arial" w:cs="Arial"/>
          <w:szCs w:val="21"/>
          <w:shd w:val="clear" w:color="auto" w:fill="FFFFFF"/>
        </w:rPr>
        <w:t>手段、产业引导等方面进行梳理革新，全面推进并购重组市场化改革。</w:t>
      </w:r>
      <w:r w:rsidR="006862A3" w:rsidRPr="006862A3">
        <w:rPr>
          <w:rFonts w:ascii="Arial" w:eastAsia="宋体" w:hAnsi="Arial" w:cs="Arial"/>
          <w:szCs w:val="21"/>
          <w:shd w:val="clear" w:color="auto" w:fill="FFFFFF"/>
        </w:rPr>
        <w:t>7</w:t>
      </w:r>
      <w:r w:rsidR="006862A3" w:rsidRPr="006862A3">
        <w:rPr>
          <w:rFonts w:ascii="Arial" w:eastAsia="宋体" w:hAnsi="Arial" w:cs="Arial"/>
          <w:szCs w:val="21"/>
          <w:shd w:val="clear" w:color="auto" w:fill="FFFFFF"/>
        </w:rPr>
        <w:t>月</w:t>
      </w:r>
      <w:r w:rsidR="006862A3" w:rsidRPr="006862A3">
        <w:rPr>
          <w:rFonts w:ascii="Arial" w:eastAsia="宋体" w:hAnsi="Arial" w:cs="Arial"/>
          <w:szCs w:val="21"/>
          <w:shd w:val="clear" w:color="auto" w:fill="FFFFFF"/>
        </w:rPr>
        <w:t>11</w:t>
      </w:r>
      <w:r w:rsidR="006862A3" w:rsidRPr="006862A3">
        <w:rPr>
          <w:rFonts w:ascii="Arial" w:eastAsia="宋体" w:hAnsi="Arial" w:cs="Arial"/>
          <w:szCs w:val="21"/>
          <w:shd w:val="clear" w:color="auto" w:fill="FFFFFF"/>
        </w:rPr>
        <w:t>日，中国证监会就修订《上市公司重大资产重组管理办法》、《上市公司收购管理办法》向社会公开征求意见，</w:t>
      </w:r>
      <w:r w:rsidR="00BD667F">
        <w:rPr>
          <w:rFonts w:hint="eastAsia"/>
          <w:color w:val="000000"/>
          <w:szCs w:val="21"/>
        </w:rPr>
        <w:t>提出将大幅取消对上市公司重大购买、出售、置换资产的审批，</w:t>
      </w:r>
      <w:r w:rsidR="006862A3">
        <w:rPr>
          <w:rFonts w:ascii="Arial" w:eastAsia="宋体" w:hAnsi="Arial" w:cs="Arial" w:hint="eastAsia"/>
          <w:szCs w:val="21"/>
          <w:shd w:val="clear" w:color="auto" w:fill="FFFFFF"/>
        </w:rPr>
        <w:t>进一步催生了兼并重组市场活跃度的走高，特别是上市公司的兼并重组</w:t>
      </w:r>
      <w:r w:rsidR="006862A3" w:rsidRPr="006862A3">
        <w:rPr>
          <w:rFonts w:ascii="Arial" w:eastAsia="宋体" w:hAnsi="Arial" w:cs="Arial"/>
          <w:szCs w:val="21"/>
          <w:shd w:val="clear" w:color="auto" w:fill="FFFFFF"/>
        </w:rPr>
        <w:t>。</w:t>
      </w:r>
      <w:r w:rsidR="00381CA0" w:rsidRPr="000F1C1F">
        <w:rPr>
          <w:rFonts w:ascii="Arial" w:eastAsia="宋体" w:hAnsi="Arial" w:cs="Arial"/>
          <w:szCs w:val="21"/>
          <w:shd w:val="clear" w:color="auto" w:fill="FFFFFF"/>
        </w:rPr>
        <w:t>在</w:t>
      </w:r>
      <w:r w:rsidR="006862A3">
        <w:rPr>
          <w:rFonts w:ascii="Arial" w:eastAsia="宋体" w:hAnsi="Arial" w:cs="Arial" w:hint="eastAsia"/>
          <w:szCs w:val="21"/>
          <w:shd w:val="clear" w:color="auto" w:fill="FFFFFF"/>
        </w:rPr>
        <w:t>交易</w:t>
      </w:r>
      <w:r w:rsidR="00381CA0" w:rsidRPr="000F1C1F">
        <w:rPr>
          <w:rFonts w:ascii="Arial" w:eastAsia="宋体" w:hAnsi="Arial" w:cs="Arial"/>
          <w:szCs w:val="21"/>
          <w:shd w:val="clear" w:color="auto" w:fill="FFFFFF"/>
        </w:rPr>
        <w:t>金额上，由于</w:t>
      </w:r>
      <w:r w:rsidR="006862A3">
        <w:rPr>
          <w:rFonts w:ascii="Arial" w:eastAsia="宋体" w:hAnsi="Arial" w:cs="Arial"/>
          <w:szCs w:val="21"/>
          <w:shd w:val="clear" w:color="auto" w:fill="FFFFFF"/>
        </w:rPr>
        <w:t>第</w:t>
      </w:r>
      <w:r w:rsidR="006862A3">
        <w:rPr>
          <w:rFonts w:ascii="Arial" w:eastAsia="宋体" w:hAnsi="Arial" w:cs="Arial" w:hint="eastAsia"/>
          <w:szCs w:val="21"/>
          <w:shd w:val="clear" w:color="auto" w:fill="FFFFFF"/>
        </w:rPr>
        <w:t>三</w:t>
      </w:r>
      <w:r w:rsidR="006862A3">
        <w:rPr>
          <w:rFonts w:ascii="Arial" w:eastAsia="宋体" w:hAnsi="Arial" w:cs="Arial"/>
          <w:szCs w:val="21"/>
          <w:shd w:val="clear" w:color="auto" w:fill="FFFFFF"/>
        </w:rPr>
        <w:t>季度</w:t>
      </w:r>
      <w:r w:rsidR="006862A3">
        <w:rPr>
          <w:rFonts w:ascii="Arial" w:eastAsia="宋体" w:hAnsi="Arial" w:cs="Arial" w:hint="eastAsia"/>
          <w:szCs w:val="21"/>
          <w:shd w:val="clear" w:color="auto" w:fill="FFFFFF"/>
        </w:rPr>
        <w:t>频繁</w:t>
      </w:r>
      <w:r w:rsidR="006862A3">
        <w:rPr>
          <w:rFonts w:ascii="Arial" w:eastAsia="宋体" w:hAnsi="Arial" w:cs="Arial"/>
          <w:szCs w:val="21"/>
          <w:shd w:val="clear" w:color="auto" w:fill="FFFFFF"/>
        </w:rPr>
        <w:t>出现</w:t>
      </w:r>
      <w:r w:rsidR="009803C4" w:rsidRPr="000F1C1F">
        <w:rPr>
          <w:rFonts w:ascii="Arial" w:eastAsia="宋体" w:hAnsi="Arial" w:cs="Arial"/>
          <w:szCs w:val="21"/>
          <w:shd w:val="clear" w:color="auto" w:fill="FFFFFF"/>
        </w:rPr>
        <w:t>大型交易</w:t>
      </w:r>
      <w:r w:rsidR="006862A3">
        <w:rPr>
          <w:rFonts w:ascii="Arial" w:eastAsia="宋体" w:hAnsi="Arial" w:cs="Arial"/>
          <w:szCs w:val="21"/>
          <w:shd w:val="clear" w:color="auto" w:fill="FFFFFF"/>
        </w:rPr>
        <w:t>，所以这</w:t>
      </w:r>
      <w:r w:rsidR="00451CDE" w:rsidRPr="000F1C1F">
        <w:rPr>
          <w:rFonts w:ascii="Arial" w:eastAsia="宋体" w:hAnsi="Arial" w:cs="Arial"/>
          <w:szCs w:val="21"/>
          <w:shd w:val="clear" w:color="auto" w:fill="FFFFFF"/>
        </w:rPr>
        <w:t>个季度并购金额</w:t>
      </w:r>
      <w:proofErr w:type="gramStart"/>
      <w:r w:rsidR="00451CDE" w:rsidRPr="000F1C1F">
        <w:rPr>
          <w:rFonts w:ascii="Arial" w:eastAsia="宋体" w:hAnsi="Arial" w:cs="Arial"/>
          <w:szCs w:val="21"/>
          <w:shd w:val="clear" w:color="auto" w:fill="FFFFFF"/>
        </w:rPr>
        <w:t>占比较</w:t>
      </w:r>
      <w:proofErr w:type="gramEnd"/>
      <w:r w:rsidR="00451CDE" w:rsidRPr="000F1C1F">
        <w:rPr>
          <w:rFonts w:ascii="Arial" w:eastAsia="宋体" w:hAnsi="Arial" w:cs="Arial"/>
          <w:szCs w:val="21"/>
          <w:shd w:val="clear" w:color="auto" w:fill="FFFFFF"/>
        </w:rPr>
        <w:t>大。</w:t>
      </w:r>
      <w:proofErr w:type="gramStart"/>
      <w:r w:rsidR="006862A3">
        <w:rPr>
          <w:rFonts w:ascii="Arial" w:eastAsia="宋体" w:hAnsi="Arial" w:cs="Arial" w:hint="eastAsia"/>
          <w:szCs w:val="21"/>
          <w:shd w:val="clear" w:color="auto" w:fill="FFFFFF"/>
        </w:rPr>
        <w:t>根据清科研究中心</w:t>
      </w:r>
      <w:proofErr w:type="gramEnd"/>
      <w:r w:rsidR="006862A3">
        <w:rPr>
          <w:rFonts w:ascii="Arial" w:eastAsia="宋体" w:hAnsi="Arial" w:cs="Arial" w:hint="eastAsia"/>
          <w:szCs w:val="21"/>
          <w:shd w:val="clear" w:color="auto" w:fill="FFFFFF"/>
        </w:rPr>
        <w:t>的数</w:t>
      </w:r>
      <w:r w:rsidR="006862A3" w:rsidRPr="006862A3">
        <w:rPr>
          <w:rFonts w:ascii="Arial" w:eastAsia="宋体" w:hAnsi="Arial" w:cs="Arial" w:hint="eastAsia"/>
          <w:szCs w:val="21"/>
          <w:shd w:val="clear" w:color="auto" w:fill="FFFFFF"/>
        </w:rPr>
        <w:t>据，</w:t>
      </w:r>
      <w:r w:rsidR="006862A3" w:rsidRPr="006862A3">
        <w:rPr>
          <w:rFonts w:ascii="Arial" w:eastAsia="宋体" w:hAnsi="Arial" w:cs="Arial"/>
          <w:szCs w:val="21"/>
          <w:shd w:val="clear" w:color="auto" w:fill="FFFFFF"/>
        </w:rPr>
        <w:t>第一季度，完成并购交易</w:t>
      </w:r>
      <w:r w:rsidR="00E4371E">
        <w:rPr>
          <w:rFonts w:ascii="Arial" w:eastAsia="宋体" w:hAnsi="Arial" w:cs="Arial" w:hint="eastAsia"/>
          <w:szCs w:val="21"/>
          <w:shd w:val="clear" w:color="auto" w:fill="FFFFFF"/>
        </w:rPr>
        <w:t>372</w:t>
      </w:r>
      <w:r w:rsidR="006862A3" w:rsidRPr="006862A3">
        <w:rPr>
          <w:rFonts w:ascii="Arial" w:eastAsia="宋体" w:hAnsi="Arial" w:cs="Arial"/>
          <w:szCs w:val="21"/>
          <w:shd w:val="clear" w:color="auto" w:fill="FFFFFF"/>
        </w:rPr>
        <w:t>起，占比</w:t>
      </w:r>
      <w:r w:rsidR="00A92923">
        <w:rPr>
          <w:rFonts w:ascii="Arial" w:eastAsia="宋体" w:hAnsi="Arial" w:cs="Arial"/>
          <w:szCs w:val="21"/>
          <w:shd w:val="clear" w:color="auto" w:fill="FFFFFF"/>
        </w:rPr>
        <w:t>1</w:t>
      </w:r>
      <w:r w:rsidR="00A92923">
        <w:rPr>
          <w:rFonts w:ascii="Arial" w:eastAsia="宋体" w:hAnsi="Arial" w:cs="Arial" w:hint="eastAsia"/>
          <w:szCs w:val="21"/>
          <w:shd w:val="clear" w:color="auto" w:fill="FFFFFF"/>
        </w:rPr>
        <w:t>9</w:t>
      </w:r>
      <w:r w:rsidR="00A92923">
        <w:rPr>
          <w:rFonts w:ascii="Arial" w:eastAsia="宋体" w:hAnsi="Arial" w:cs="Arial"/>
          <w:szCs w:val="21"/>
          <w:shd w:val="clear" w:color="auto" w:fill="FFFFFF"/>
        </w:rPr>
        <w:t>.</w:t>
      </w:r>
      <w:r w:rsidR="00A11792">
        <w:rPr>
          <w:rFonts w:ascii="Arial" w:eastAsia="宋体" w:hAnsi="Arial" w:cs="Arial" w:hint="eastAsia"/>
          <w:szCs w:val="21"/>
          <w:shd w:val="clear" w:color="auto" w:fill="FFFFFF"/>
        </w:rPr>
        <w:t>3</w:t>
      </w:r>
      <w:r w:rsidR="006862A3" w:rsidRPr="006862A3">
        <w:rPr>
          <w:rFonts w:ascii="Arial" w:eastAsia="宋体" w:hAnsi="Arial" w:cs="Arial"/>
          <w:szCs w:val="21"/>
          <w:shd w:val="clear" w:color="auto" w:fill="FFFFFF"/>
        </w:rPr>
        <w:t>%</w:t>
      </w:r>
      <w:r w:rsidR="006862A3" w:rsidRPr="006862A3">
        <w:rPr>
          <w:rFonts w:ascii="Arial" w:eastAsia="宋体" w:hAnsi="Arial" w:cs="Arial"/>
          <w:szCs w:val="21"/>
          <w:shd w:val="clear" w:color="auto" w:fill="FFFFFF"/>
        </w:rPr>
        <w:t>，涉及交易金额</w:t>
      </w:r>
      <w:r w:rsidR="00E4371E">
        <w:rPr>
          <w:rFonts w:ascii="Arial" w:eastAsia="宋体" w:hAnsi="Arial" w:cs="Arial" w:hint="eastAsia"/>
          <w:szCs w:val="21"/>
          <w:shd w:val="clear" w:color="auto" w:fill="FFFFFF"/>
        </w:rPr>
        <w:t>233</w:t>
      </w:r>
      <w:r w:rsidR="00A92923">
        <w:rPr>
          <w:rFonts w:ascii="Arial" w:eastAsia="宋体" w:hAnsi="Arial" w:cs="Arial"/>
          <w:szCs w:val="21"/>
          <w:shd w:val="clear" w:color="auto" w:fill="FFFFFF"/>
        </w:rPr>
        <w:t>.</w:t>
      </w:r>
      <w:r w:rsidR="00E4371E">
        <w:rPr>
          <w:rFonts w:ascii="Arial" w:eastAsia="宋体" w:hAnsi="Arial" w:cs="Arial" w:hint="eastAsia"/>
          <w:szCs w:val="21"/>
          <w:shd w:val="clear" w:color="auto" w:fill="FFFFFF"/>
        </w:rPr>
        <w:t>70</w:t>
      </w:r>
      <w:r w:rsidR="006862A3" w:rsidRPr="006862A3">
        <w:rPr>
          <w:rFonts w:ascii="Arial" w:eastAsia="宋体" w:hAnsi="Arial" w:cs="Arial"/>
          <w:szCs w:val="21"/>
          <w:shd w:val="clear" w:color="auto" w:fill="FFFFFF"/>
        </w:rPr>
        <w:t>亿美元，占比</w:t>
      </w:r>
      <w:r w:rsidR="00A92923">
        <w:rPr>
          <w:rFonts w:ascii="Arial" w:eastAsia="宋体" w:hAnsi="Arial" w:cs="Arial" w:hint="eastAsia"/>
          <w:szCs w:val="21"/>
          <w:shd w:val="clear" w:color="auto" w:fill="FFFFFF"/>
        </w:rPr>
        <w:t>19</w:t>
      </w:r>
      <w:r w:rsidR="006862A3" w:rsidRPr="006862A3">
        <w:rPr>
          <w:rFonts w:ascii="Arial" w:eastAsia="宋体" w:hAnsi="Arial" w:cs="Arial"/>
          <w:szCs w:val="21"/>
          <w:shd w:val="clear" w:color="auto" w:fill="FFFFFF"/>
        </w:rPr>
        <w:t>.</w:t>
      </w:r>
      <w:r w:rsidR="00A11792">
        <w:rPr>
          <w:rFonts w:ascii="Arial" w:eastAsia="宋体" w:hAnsi="Arial" w:cs="Arial" w:hint="eastAsia"/>
          <w:szCs w:val="21"/>
          <w:shd w:val="clear" w:color="auto" w:fill="FFFFFF"/>
        </w:rPr>
        <w:t>7</w:t>
      </w:r>
      <w:r w:rsidR="006862A3" w:rsidRPr="006862A3">
        <w:rPr>
          <w:rFonts w:ascii="Arial" w:eastAsia="宋体" w:hAnsi="Arial" w:cs="Arial"/>
          <w:szCs w:val="21"/>
          <w:shd w:val="clear" w:color="auto" w:fill="FFFFFF"/>
        </w:rPr>
        <w:t>%</w:t>
      </w:r>
      <w:r w:rsidR="006862A3" w:rsidRPr="006862A3">
        <w:rPr>
          <w:rFonts w:ascii="Arial" w:eastAsia="宋体" w:hAnsi="Arial" w:cs="Arial"/>
          <w:szCs w:val="21"/>
          <w:shd w:val="clear" w:color="auto" w:fill="FFFFFF"/>
        </w:rPr>
        <w:t>，；第二季度中国并购市场共完成交易</w:t>
      </w:r>
      <w:r w:rsidR="00E4371E">
        <w:rPr>
          <w:rFonts w:ascii="Arial" w:eastAsia="宋体" w:hAnsi="Arial" w:cs="Arial" w:hint="eastAsia"/>
          <w:szCs w:val="21"/>
          <w:shd w:val="clear" w:color="auto" w:fill="FFFFFF"/>
        </w:rPr>
        <w:t>434</w:t>
      </w:r>
      <w:r w:rsidR="006862A3" w:rsidRPr="006862A3">
        <w:rPr>
          <w:rFonts w:ascii="Arial" w:eastAsia="宋体" w:hAnsi="Arial" w:cs="Arial"/>
          <w:szCs w:val="21"/>
          <w:shd w:val="clear" w:color="auto" w:fill="FFFFFF"/>
        </w:rPr>
        <w:t>起，占比</w:t>
      </w:r>
      <w:r w:rsidR="00A92923">
        <w:rPr>
          <w:rFonts w:ascii="Arial" w:eastAsia="宋体" w:hAnsi="Arial" w:cs="Arial" w:hint="eastAsia"/>
          <w:szCs w:val="21"/>
          <w:shd w:val="clear" w:color="auto" w:fill="FFFFFF"/>
        </w:rPr>
        <w:t>22</w:t>
      </w:r>
      <w:r w:rsidR="00A92923">
        <w:rPr>
          <w:rFonts w:ascii="Arial" w:eastAsia="宋体" w:hAnsi="Arial" w:cs="Arial"/>
          <w:szCs w:val="21"/>
          <w:shd w:val="clear" w:color="auto" w:fill="FFFFFF"/>
        </w:rPr>
        <w:t>.</w:t>
      </w:r>
      <w:r w:rsidR="00E4371E">
        <w:rPr>
          <w:rFonts w:ascii="Arial" w:eastAsia="宋体" w:hAnsi="Arial" w:cs="Arial" w:hint="eastAsia"/>
          <w:szCs w:val="21"/>
          <w:shd w:val="clear" w:color="auto" w:fill="FFFFFF"/>
        </w:rPr>
        <w:t>5</w:t>
      </w:r>
      <w:r w:rsidR="006862A3" w:rsidRPr="006862A3">
        <w:rPr>
          <w:rFonts w:ascii="Arial" w:eastAsia="宋体" w:hAnsi="Arial" w:cs="Arial"/>
          <w:szCs w:val="21"/>
          <w:shd w:val="clear" w:color="auto" w:fill="FFFFFF"/>
        </w:rPr>
        <w:t>%</w:t>
      </w:r>
      <w:r w:rsidR="00A92923">
        <w:rPr>
          <w:rFonts w:ascii="Arial" w:eastAsia="宋体" w:hAnsi="Arial" w:cs="Arial"/>
          <w:szCs w:val="21"/>
          <w:shd w:val="clear" w:color="auto" w:fill="FFFFFF"/>
        </w:rPr>
        <w:t>，</w:t>
      </w:r>
      <w:r w:rsidR="00A92923">
        <w:rPr>
          <w:rFonts w:ascii="Arial" w:eastAsia="宋体" w:hAnsi="Arial" w:cs="Arial" w:hint="eastAsia"/>
          <w:szCs w:val="21"/>
          <w:shd w:val="clear" w:color="auto" w:fill="FFFFFF"/>
        </w:rPr>
        <w:t>涉及</w:t>
      </w:r>
      <w:r w:rsidR="00A92923">
        <w:rPr>
          <w:rFonts w:ascii="Arial" w:eastAsia="宋体" w:hAnsi="Arial" w:cs="Arial"/>
          <w:szCs w:val="21"/>
          <w:shd w:val="clear" w:color="auto" w:fill="FFFFFF"/>
        </w:rPr>
        <w:t>交易金额</w:t>
      </w:r>
      <w:r w:rsidR="00E4371E">
        <w:rPr>
          <w:rFonts w:ascii="Arial" w:eastAsia="宋体" w:hAnsi="Arial" w:cs="Arial" w:hint="eastAsia"/>
          <w:szCs w:val="21"/>
          <w:shd w:val="clear" w:color="auto" w:fill="FFFFFF"/>
        </w:rPr>
        <w:t>287</w:t>
      </w:r>
      <w:r w:rsidR="00A92923">
        <w:rPr>
          <w:rFonts w:ascii="Arial" w:eastAsia="宋体" w:hAnsi="Arial" w:cs="Arial"/>
          <w:szCs w:val="21"/>
          <w:shd w:val="clear" w:color="auto" w:fill="FFFFFF"/>
        </w:rPr>
        <w:t>.</w:t>
      </w:r>
      <w:r w:rsidR="00E4371E">
        <w:rPr>
          <w:rFonts w:ascii="Arial" w:eastAsia="宋体" w:hAnsi="Arial" w:cs="Arial" w:hint="eastAsia"/>
          <w:szCs w:val="21"/>
          <w:shd w:val="clear" w:color="auto" w:fill="FFFFFF"/>
        </w:rPr>
        <w:t>13</w:t>
      </w:r>
      <w:r w:rsidR="006862A3" w:rsidRPr="006862A3">
        <w:rPr>
          <w:rFonts w:ascii="Arial" w:eastAsia="宋体" w:hAnsi="Arial" w:cs="Arial"/>
          <w:szCs w:val="21"/>
          <w:shd w:val="clear" w:color="auto" w:fill="FFFFFF"/>
        </w:rPr>
        <w:t>亿美元，占比</w:t>
      </w:r>
      <w:r w:rsidR="00A92923">
        <w:rPr>
          <w:rFonts w:ascii="Arial" w:eastAsia="宋体" w:hAnsi="Arial" w:cs="Arial" w:hint="eastAsia"/>
          <w:szCs w:val="21"/>
          <w:shd w:val="clear" w:color="auto" w:fill="FFFFFF"/>
        </w:rPr>
        <w:t>24</w:t>
      </w:r>
      <w:r w:rsidR="00A92923">
        <w:rPr>
          <w:rFonts w:ascii="Arial" w:eastAsia="宋体" w:hAnsi="Arial" w:cs="Arial"/>
          <w:szCs w:val="21"/>
          <w:shd w:val="clear" w:color="auto" w:fill="FFFFFF"/>
        </w:rPr>
        <w:t>.</w:t>
      </w:r>
      <w:r w:rsidR="00E4371E">
        <w:rPr>
          <w:rFonts w:ascii="Arial" w:eastAsia="宋体" w:hAnsi="Arial" w:cs="Arial" w:hint="eastAsia"/>
          <w:szCs w:val="21"/>
          <w:shd w:val="clear" w:color="auto" w:fill="FFFFFF"/>
        </w:rPr>
        <w:t>2</w:t>
      </w:r>
      <w:r w:rsidR="006862A3" w:rsidRPr="006862A3">
        <w:rPr>
          <w:rFonts w:ascii="Arial" w:eastAsia="宋体" w:hAnsi="Arial" w:cs="Arial"/>
          <w:szCs w:val="21"/>
          <w:shd w:val="clear" w:color="auto" w:fill="FFFFFF"/>
        </w:rPr>
        <w:t>%</w:t>
      </w:r>
      <w:r w:rsidR="006862A3" w:rsidRPr="006862A3">
        <w:rPr>
          <w:rFonts w:ascii="Arial" w:eastAsia="宋体" w:hAnsi="Arial" w:cs="Arial"/>
          <w:szCs w:val="21"/>
          <w:shd w:val="clear" w:color="auto" w:fill="FFFFFF"/>
        </w:rPr>
        <w:t>；第三季度的</w:t>
      </w:r>
      <w:proofErr w:type="gramStart"/>
      <w:r w:rsidR="006862A3" w:rsidRPr="006862A3">
        <w:rPr>
          <w:rFonts w:ascii="Arial" w:eastAsia="宋体" w:hAnsi="Arial" w:cs="Arial"/>
          <w:szCs w:val="21"/>
          <w:shd w:val="clear" w:color="auto" w:fill="FFFFFF"/>
        </w:rPr>
        <w:t>并购数</w:t>
      </w:r>
      <w:proofErr w:type="gramEnd"/>
      <w:r w:rsidR="006862A3" w:rsidRPr="006862A3">
        <w:rPr>
          <w:rFonts w:ascii="Arial" w:eastAsia="宋体" w:hAnsi="Arial" w:cs="Arial"/>
          <w:szCs w:val="21"/>
          <w:shd w:val="clear" w:color="auto" w:fill="FFFFFF"/>
        </w:rPr>
        <w:t>为</w:t>
      </w:r>
      <w:r w:rsidR="00E4371E">
        <w:rPr>
          <w:rFonts w:ascii="Arial" w:eastAsia="宋体" w:hAnsi="Arial" w:cs="Arial" w:hint="eastAsia"/>
          <w:szCs w:val="21"/>
          <w:shd w:val="clear" w:color="auto" w:fill="FFFFFF"/>
        </w:rPr>
        <w:t>512</w:t>
      </w:r>
      <w:r w:rsidR="006862A3" w:rsidRPr="006862A3">
        <w:rPr>
          <w:rFonts w:ascii="Arial" w:eastAsia="宋体" w:hAnsi="Arial" w:cs="Arial"/>
          <w:szCs w:val="21"/>
          <w:shd w:val="clear" w:color="auto" w:fill="FFFFFF"/>
        </w:rPr>
        <w:t>起，占交易总量的</w:t>
      </w:r>
      <w:r w:rsidR="00A92923">
        <w:rPr>
          <w:rFonts w:ascii="Arial" w:eastAsia="宋体" w:hAnsi="Arial" w:cs="Arial"/>
          <w:szCs w:val="21"/>
          <w:shd w:val="clear" w:color="auto" w:fill="FFFFFF"/>
        </w:rPr>
        <w:t>2</w:t>
      </w:r>
      <w:r w:rsidR="00A92923">
        <w:rPr>
          <w:rFonts w:ascii="Arial" w:eastAsia="宋体" w:hAnsi="Arial" w:cs="Arial" w:hint="eastAsia"/>
          <w:szCs w:val="21"/>
          <w:shd w:val="clear" w:color="auto" w:fill="FFFFFF"/>
        </w:rPr>
        <w:t>6</w:t>
      </w:r>
      <w:r w:rsidR="006862A3" w:rsidRPr="006862A3">
        <w:rPr>
          <w:rFonts w:ascii="Arial" w:eastAsia="宋体" w:hAnsi="Arial" w:cs="Arial"/>
          <w:szCs w:val="21"/>
          <w:shd w:val="clear" w:color="auto" w:fill="FFFFFF"/>
        </w:rPr>
        <w:t>.</w:t>
      </w:r>
      <w:r w:rsidR="00E4371E">
        <w:rPr>
          <w:rFonts w:ascii="Arial" w:eastAsia="宋体" w:hAnsi="Arial" w:cs="Arial" w:hint="eastAsia"/>
          <w:szCs w:val="21"/>
          <w:shd w:val="clear" w:color="auto" w:fill="FFFFFF"/>
        </w:rPr>
        <w:t>5</w:t>
      </w:r>
      <w:r w:rsidR="006862A3" w:rsidRPr="006862A3">
        <w:rPr>
          <w:rFonts w:ascii="Arial" w:eastAsia="宋体" w:hAnsi="Arial" w:cs="Arial"/>
          <w:szCs w:val="21"/>
          <w:shd w:val="clear" w:color="auto" w:fill="FFFFFF"/>
        </w:rPr>
        <w:t>%</w:t>
      </w:r>
      <w:r w:rsidR="006862A3" w:rsidRPr="006862A3">
        <w:rPr>
          <w:rFonts w:ascii="Arial" w:eastAsia="宋体" w:hAnsi="Arial" w:cs="Arial"/>
          <w:szCs w:val="21"/>
          <w:shd w:val="clear" w:color="auto" w:fill="FFFFFF"/>
        </w:rPr>
        <w:t>，</w:t>
      </w:r>
      <w:r w:rsidR="00A92923">
        <w:rPr>
          <w:rFonts w:ascii="Arial" w:eastAsia="宋体" w:hAnsi="Arial" w:cs="Arial" w:hint="eastAsia"/>
          <w:szCs w:val="21"/>
          <w:shd w:val="clear" w:color="auto" w:fill="FFFFFF"/>
        </w:rPr>
        <w:t>涉及交易</w:t>
      </w:r>
      <w:r w:rsidR="006862A3" w:rsidRPr="006862A3">
        <w:rPr>
          <w:rFonts w:ascii="Arial" w:eastAsia="宋体" w:hAnsi="Arial" w:cs="Arial"/>
          <w:szCs w:val="21"/>
          <w:shd w:val="clear" w:color="auto" w:fill="FFFFFF"/>
        </w:rPr>
        <w:t>金额</w:t>
      </w:r>
      <w:r w:rsidR="00E4371E">
        <w:rPr>
          <w:rFonts w:ascii="Arial" w:eastAsia="宋体" w:hAnsi="Arial" w:cs="Arial" w:hint="eastAsia"/>
          <w:szCs w:val="21"/>
          <w:shd w:val="clear" w:color="auto" w:fill="FFFFFF"/>
        </w:rPr>
        <w:t>394</w:t>
      </w:r>
      <w:r w:rsidR="00A92923">
        <w:rPr>
          <w:rFonts w:ascii="Arial" w:eastAsia="宋体" w:hAnsi="Arial" w:cs="Arial"/>
          <w:szCs w:val="21"/>
          <w:shd w:val="clear" w:color="auto" w:fill="FFFFFF"/>
        </w:rPr>
        <w:t>.</w:t>
      </w:r>
      <w:r w:rsidR="00E4371E">
        <w:rPr>
          <w:rFonts w:ascii="Arial" w:eastAsia="宋体" w:hAnsi="Arial" w:cs="Arial" w:hint="eastAsia"/>
          <w:szCs w:val="21"/>
          <w:shd w:val="clear" w:color="auto" w:fill="FFFFFF"/>
        </w:rPr>
        <w:t>78</w:t>
      </w:r>
      <w:r w:rsidR="006862A3" w:rsidRPr="006862A3">
        <w:rPr>
          <w:rFonts w:ascii="Arial" w:eastAsia="宋体" w:hAnsi="Arial" w:cs="Arial"/>
          <w:szCs w:val="21"/>
          <w:shd w:val="clear" w:color="auto" w:fill="FFFFFF"/>
        </w:rPr>
        <w:t>亿美元，</w:t>
      </w:r>
      <w:r w:rsidR="00A92923">
        <w:rPr>
          <w:rFonts w:ascii="Arial" w:eastAsia="宋体" w:hAnsi="Arial" w:cs="Arial" w:hint="eastAsia"/>
          <w:szCs w:val="21"/>
          <w:shd w:val="clear" w:color="auto" w:fill="FFFFFF"/>
        </w:rPr>
        <w:t>达到各季度的峰值，</w:t>
      </w:r>
      <w:r w:rsidR="006862A3" w:rsidRPr="006862A3">
        <w:rPr>
          <w:rFonts w:ascii="Arial" w:eastAsia="宋体" w:hAnsi="Arial" w:cs="Arial"/>
          <w:szCs w:val="21"/>
          <w:shd w:val="clear" w:color="auto" w:fill="FFFFFF"/>
        </w:rPr>
        <w:t>占总额的</w:t>
      </w:r>
      <w:r w:rsidR="00A92923">
        <w:rPr>
          <w:rFonts w:ascii="Arial" w:eastAsia="宋体" w:hAnsi="Arial" w:cs="Arial" w:hint="eastAsia"/>
          <w:szCs w:val="21"/>
          <w:shd w:val="clear" w:color="auto" w:fill="FFFFFF"/>
        </w:rPr>
        <w:t>33</w:t>
      </w:r>
      <w:r w:rsidR="00A92923">
        <w:rPr>
          <w:rFonts w:ascii="Arial" w:eastAsia="宋体" w:hAnsi="Arial" w:cs="Arial"/>
          <w:szCs w:val="21"/>
          <w:shd w:val="clear" w:color="auto" w:fill="FFFFFF"/>
        </w:rPr>
        <w:t>.</w:t>
      </w:r>
      <w:r w:rsidR="00E4371E">
        <w:rPr>
          <w:rFonts w:ascii="Arial" w:eastAsia="宋体" w:hAnsi="Arial" w:cs="Arial" w:hint="eastAsia"/>
          <w:szCs w:val="21"/>
          <w:shd w:val="clear" w:color="auto" w:fill="FFFFFF"/>
        </w:rPr>
        <w:t>3</w:t>
      </w:r>
      <w:r w:rsidR="006862A3" w:rsidRPr="006862A3">
        <w:rPr>
          <w:rFonts w:ascii="Arial" w:eastAsia="宋体" w:hAnsi="Arial" w:cs="Arial"/>
          <w:szCs w:val="21"/>
          <w:shd w:val="clear" w:color="auto" w:fill="FFFFFF"/>
        </w:rPr>
        <w:t>%</w:t>
      </w:r>
      <w:r w:rsidR="00A92923">
        <w:rPr>
          <w:rFonts w:ascii="Arial" w:eastAsia="宋体" w:hAnsi="Arial" w:cs="Arial" w:hint="eastAsia"/>
          <w:szCs w:val="21"/>
          <w:shd w:val="clear" w:color="auto" w:fill="FFFFFF"/>
        </w:rPr>
        <w:t>，</w:t>
      </w:r>
      <w:r w:rsidR="00A92923" w:rsidRPr="006862A3">
        <w:rPr>
          <w:rFonts w:ascii="Arial" w:eastAsia="宋体" w:hAnsi="Arial" w:cs="Arial"/>
          <w:szCs w:val="21"/>
          <w:shd w:val="clear" w:color="auto" w:fill="FFFFFF"/>
        </w:rPr>
        <w:t>平均交易金额高达到</w:t>
      </w:r>
      <w:r w:rsidR="00A92923">
        <w:rPr>
          <w:rFonts w:ascii="Arial" w:eastAsia="宋体" w:hAnsi="Arial" w:cs="Arial" w:hint="eastAsia"/>
          <w:szCs w:val="21"/>
          <w:shd w:val="clear" w:color="auto" w:fill="FFFFFF"/>
        </w:rPr>
        <w:t>0</w:t>
      </w:r>
      <w:r w:rsidR="00A92923">
        <w:rPr>
          <w:rFonts w:ascii="Arial" w:eastAsia="宋体" w:hAnsi="Arial" w:cs="Arial"/>
          <w:szCs w:val="21"/>
          <w:shd w:val="clear" w:color="auto" w:fill="FFFFFF"/>
        </w:rPr>
        <w:t>.</w:t>
      </w:r>
      <w:r w:rsidR="00E4371E">
        <w:rPr>
          <w:rFonts w:ascii="Arial" w:eastAsia="宋体" w:hAnsi="Arial" w:cs="Arial" w:hint="eastAsia"/>
          <w:szCs w:val="21"/>
          <w:shd w:val="clear" w:color="auto" w:fill="FFFFFF"/>
        </w:rPr>
        <w:t>81</w:t>
      </w:r>
      <w:r w:rsidR="00A92923" w:rsidRPr="006862A3">
        <w:rPr>
          <w:rFonts w:ascii="Arial" w:eastAsia="宋体" w:hAnsi="Arial" w:cs="Arial"/>
          <w:szCs w:val="21"/>
          <w:shd w:val="clear" w:color="auto" w:fill="FFFFFF"/>
        </w:rPr>
        <w:t>亿美元</w:t>
      </w:r>
      <w:r w:rsidR="006862A3" w:rsidRPr="006862A3">
        <w:rPr>
          <w:rFonts w:ascii="Arial" w:eastAsia="宋体" w:hAnsi="Arial" w:cs="Arial"/>
          <w:szCs w:val="21"/>
          <w:shd w:val="clear" w:color="auto" w:fill="FFFFFF"/>
        </w:rPr>
        <w:t>；第四季度</w:t>
      </w:r>
      <w:r w:rsidR="00A92923">
        <w:rPr>
          <w:rFonts w:ascii="Arial" w:eastAsia="宋体" w:hAnsi="Arial" w:cs="Arial" w:hint="eastAsia"/>
          <w:szCs w:val="21"/>
          <w:shd w:val="clear" w:color="auto" w:fill="FFFFFF"/>
        </w:rPr>
        <w:t>案例数在全年各季度中位居首位</w:t>
      </w:r>
      <w:r w:rsidR="006862A3" w:rsidRPr="006862A3">
        <w:rPr>
          <w:rFonts w:ascii="Arial" w:eastAsia="宋体" w:hAnsi="Arial" w:cs="Arial"/>
          <w:szCs w:val="21"/>
          <w:shd w:val="clear" w:color="auto" w:fill="FFFFFF"/>
        </w:rPr>
        <w:t>，案例数</w:t>
      </w:r>
      <w:r w:rsidR="00E76BDD">
        <w:rPr>
          <w:rFonts w:ascii="Arial" w:eastAsia="宋体" w:hAnsi="Arial" w:cs="Arial" w:hint="eastAsia"/>
          <w:szCs w:val="21"/>
          <w:shd w:val="clear" w:color="auto" w:fill="FFFFFF"/>
        </w:rPr>
        <w:t>达</w:t>
      </w:r>
      <w:r w:rsidR="00A92923">
        <w:rPr>
          <w:rFonts w:ascii="Arial" w:eastAsia="宋体" w:hAnsi="Arial" w:cs="Arial" w:hint="eastAsia"/>
          <w:szCs w:val="21"/>
          <w:shd w:val="clear" w:color="auto" w:fill="FFFFFF"/>
        </w:rPr>
        <w:t>6</w:t>
      </w:r>
      <w:r w:rsidR="00E4371E">
        <w:rPr>
          <w:rFonts w:ascii="Arial" w:eastAsia="宋体" w:hAnsi="Arial" w:cs="Arial" w:hint="eastAsia"/>
          <w:szCs w:val="21"/>
          <w:shd w:val="clear" w:color="auto" w:fill="FFFFFF"/>
        </w:rPr>
        <w:t>11</w:t>
      </w:r>
      <w:r w:rsidR="00E76BDD">
        <w:rPr>
          <w:rFonts w:ascii="Arial" w:eastAsia="宋体" w:hAnsi="Arial" w:cs="Arial" w:hint="eastAsia"/>
          <w:szCs w:val="21"/>
          <w:shd w:val="clear" w:color="auto" w:fill="FFFFFF"/>
        </w:rPr>
        <w:t>起</w:t>
      </w:r>
      <w:r w:rsidR="006862A3" w:rsidRPr="006862A3">
        <w:rPr>
          <w:rFonts w:ascii="Arial" w:eastAsia="宋体" w:hAnsi="Arial" w:cs="Arial"/>
          <w:szCs w:val="21"/>
          <w:shd w:val="clear" w:color="auto" w:fill="FFFFFF"/>
        </w:rPr>
        <w:t>，占</w:t>
      </w:r>
      <w:proofErr w:type="gramStart"/>
      <w:r w:rsidR="006862A3" w:rsidRPr="006862A3">
        <w:rPr>
          <w:rFonts w:ascii="Arial" w:eastAsia="宋体" w:hAnsi="Arial" w:cs="Arial"/>
          <w:szCs w:val="21"/>
          <w:shd w:val="clear" w:color="auto" w:fill="FFFFFF"/>
        </w:rPr>
        <w:t>总完成</w:t>
      </w:r>
      <w:proofErr w:type="gramEnd"/>
      <w:r w:rsidR="006862A3" w:rsidRPr="006862A3">
        <w:rPr>
          <w:rFonts w:ascii="Arial" w:eastAsia="宋体" w:hAnsi="Arial" w:cs="Arial"/>
          <w:szCs w:val="21"/>
          <w:shd w:val="clear" w:color="auto" w:fill="FFFFFF"/>
        </w:rPr>
        <w:t>数量的</w:t>
      </w:r>
      <w:r w:rsidR="00A92923">
        <w:rPr>
          <w:rFonts w:ascii="Arial" w:eastAsia="宋体" w:hAnsi="Arial" w:cs="Arial"/>
          <w:szCs w:val="21"/>
          <w:shd w:val="clear" w:color="auto" w:fill="FFFFFF"/>
        </w:rPr>
        <w:t>3</w:t>
      </w:r>
      <w:r w:rsidR="00A92923">
        <w:rPr>
          <w:rFonts w:ascii="Arial" w:eastAsia="宋体" w:hAnsi="Arial" w:cs="Arial" w:hint="eastAsia"/>
          <w:szCs w:val="21"/>
          <w:shd w:val="clear" w:color="auto" w:fill="FFFFFF"/>
        </w:rPr>
        <w:t>1</w:t>
      </w:r>
      <w:r w:rsidR="006862A3" w:rsidRPr="006862A3">
        <w:rPr>
          <w:rFonts w:ascii="Arial" w:eastAsia="宋体" w:hAnsi="Arial" w:cs="Arial"/>
          <w:szCs w:val="21"/>
          <w:shd w:val="clear" w:color="auto" w:fill="FFFFFF"/>
        </w:rPr>
        <w:t>.</w:t>
      </w:r>
      <w:r w:rsidR="00E4371E">
        <w:rPr>
          <w:rFonts w:ascii="Arial" w:eastAsia="宋体" w:hAnsi="Arial" w:cs="Arial" w:hint="eastAsia"/>
          <w:szCs w:val="21"/>
          <w:shd w:val="clear" w:color="auto" w:fill="FFFFFF"/>
        </w:rPr>
        <w:t>7</w:t>
      </w:r>
      <w:r w:rsidR="006862A3" w:rsidRPr="006862A3">
        <w:rPr>
          <w:rFonts w:ascii="Arial" w:eastAsia="宋体" w:hAnsi="Arial" w:cs="Arial"/>
          <w:szCs w:val="21"/>
          <w:shd w:val="clear" w:color="auto" w:fill="FFFFFF"/>
        </w:rPr>
        <w:t>%</w:t>
      </w:r>
      <w:r w:rsidR="006862A3" w:rsidRPr="006862A3">
        <w:rPr>
          <w:rFonts w:ascii="Arial" w:eastAsia="宋体" w:hAnsi="Arial" w:cs="Arial"/>
          <w:szCs w:val="21"/>
          <w:shd w:val="clear" w:color="auto" w:fill="FFFFFF"/>
        </w:rPr>
        <w:t>，其中披露金额的</w:t>
      </w:r>
      <w:r w:rsidR="00E4371E">
        <w:rPr>
          <w:rFonts w:ascii="Arial" w:eastAsia="宋体" w:hAnsi="Arial" w:cs="Arial" w:hint="eastAsia"/>
          <w:szCs w:val="21"/>
          <w:shd w:val="clear" w:color="auto" w:fill="FFFFFF"/>
        </w:rPr>
        <w:t>588</w:t>
      </w:r>
      <w:r w:rsidR="006862A3" w:rsidRPr="006862A3">
        <w:rPr>
          <w:rFonts w:ascii="Arial" w:eastAsia="宋体" w:hAnsi="Arial" w:cs="Arial"/>
          <w:szCs w:val="21"/>
          <w:shd w:val="clear" w:color="auto" w:fill="FFFFFF"/>
        </w:rPr>
        <w:t>起案例共涉及交易额</w:t>
      </w:r>
      <w:r w:rsidR="00E4371E">
        <w:rPr>
          <w:rFonts w:ascii="Arial" w:eastAsia="宋体" w:hAnsi="Arial" w:cs="Arial" w:hint="eastAsia"/>
          <w:szCs w:val="21"/>
          <w:shd w:val="clear" w:color="auto" w:fill="FFFFFF"/>
        </w:rPr>
        <w:t>269</w:t>
      </w:r>
      <w:r w:rsidR="006862A3" w:rsidRPr="006862A3">
        <w:rPr>
          <w:rFonts w:ascii="Arial" w:eastAsia="宋体" w:hAnsi="Arial" w:cs="Arial"/>
          <w:szCs w:val="21"/>
          <w:shd w:val="clear" w:color="auto" w:fill="FFFFFF"/>
        </w:rPr>
        <w:t>.</w:t>
      </w:r>
      <w:r w:rsidR="00E4371E">
        <w:rPr>
          <w:rFonts w:ascii="Arial" w:eastAsia="宋体" w:hAnsi="Arial" w:cs="Arial" w:hint="eastAsia"/>
          <w:szCs w:val="21"/>
          <w:shd w:val="clear" w:color="auto" w:fill="FFFFFF"/>
        </w:rPr>
        <w:t>27</w:t>
      </w:r>
      <w:r w:rsidR="006862A3" w:rsidRPr="006862A3">
        <w:rPr>
          <w:rFonts w:ascii="Arial" w:eastAsia="宋体" w:hAnsi="Arial" w:cs="Arial"/>
          <w:szCs w:val="21"/>
          <w:shd w:val="clear" w:color="auto" w:fill="FFFFFF"/>
        </w:rPr>
        <w:t>亿</w:t>
      </w:r>
      <w:r w:rsidR="00A92923">
        <w:rPr>
          <w:rFonts w:ascii="Arial" w:eastAsia="宋体" w:hAnsi="Arial" w:cs="Arial" w:hint="eastAsia"/>
          <w:szCs w:val="21"/>
          <w:shd w:val="clear" w:color="auto" w:fill="FFFFFF"/>
        </w:rPr>
        <w:t>美</w:t>
      </w:r>
      <w:r w:rsidR="006862A3" w:rsidRPr="006862A3">
        <w:rPr>
          <w:rFonts w:ascii="Arial" w:eastAsia="宋体" w:hAnsi="Arial" w:cs="Arial"/>
          <w:szCs w:val="21"/>
          <w:shd w:val="clear" w:color="auto" w:fill="FFFFFF"/>
        </w:rPr>
        <w:t>元，占比</w:t>
      </w:r>
      <w:r w:rsidR="00A92923">
        <w:rPr>
          <w:rFonts w:ascii="Arial" w:eastAsia="宋体" w:hAnsi="Arial" w:cs="Arial" w:hint="eastAsia"/>
          <w:szCs w:val="21"/>
          <w:shd w:val="clear" w:color="auto" w:fill="FFFFFF"/>
        </w:rPr>
        <w:t>22</w:t>
      </w:r>
      <w:r w:rsidR="006862A3" w:rsidRPr="006862A3">
        <w:rPr>
          <w:rFonts w:ascii="Arial" w:eastAsia="宋体" w:hAnsi="Arial" w:cs="Arial"/>
          <w:szCs w:val="21"/>
          <w:shd w:val="clear" w:color="auto" w:fill="FFFFFF"/>
        </w:rPr>
        <w:t>.</w:t>
      </w:r>
      <w:r w:rsidR="00E4371E">
        <w:rPr>
          <w:rFonts w:ascii="Arial" w:eastAsia="宋体" w:hAnsi="Arial" w:cs="Arial" w:hint="eastAsia"/>
          <w:szCs w:val="21"/>
          <w:shd w:val="clear" w:color="auto" w:fill="FFFFFF"/>
        </w:rPr>
        <w:t>7</w:t>
      </w:r>
      <w:r w:rsidR="006862A3" w:rsidRPr="006862A3">
        <w:rPr>
          <w:rFonts w:ascii="Arial" w:eastAsia="宋体" w:hAnsi="Arial" w:cs="Arial"/>
          <w:szCs w:val="21"/>
          <w:shd w:val="clear" w:color="auto" w:fill="FFFFFF"/>
        </w:rPr>
        <w:t>%</w:t>
      </w:r>
      <w:r w:rsidR="00A92923">
        <w:rPr>
          <w:rFonts w:ascii="Arial" w:eastAsia="宋体" w:hAnsi="Arial" w:cs="Arial" w:hint="eastAsia"/>
          <w:szCs w:val="21"/>
          <w:shd w:val="clear" w:color="auto" w:fill="FFFFFF"/>
        </w:rPr>
        <w:t>（见表</w:t>
      </w:r>
      <w:r w:rsidR="00E4371E">
        <w:rPr>
          <w:rFonts w:ascii="Arial" w:eastAsia="宋体" w:hAnsi="Arial" w:cs="Arial" w:hint="eastAsia"/>
          <w:szCs w:val="21"/>
          <w:shd w:val="clear" w:color="auto" w:fill="FFFFFF"/>
        </w:rPr>
        <w:t>2</w:t>
      </w:r>
      <w:r w:rsidR="00A92923">
        <w:rPr>
          <w:rFonts w:ascii="Arial" w:eastAsia="宋体" w:hAnsi="Arial" w:cs="Arial" w:hint="eastAsia"/>
          <w:szCs w:val="21"/>
          <w:shd w:val="clear" w:color="auto" w:fill="FFFFFF"/>
        </w:rPr>
        <w:t>）</w:t>
      </w:r>
      <w:r w:rsidR="006862A3" w:rsidRPr="006862A3">
        <w:rPr>
          <w:rFonts w:ascii="Arial" w:eastAsia="宋体" w:hAnsi="Arial" w:cs="Arial"/>
          <w:szCs w:val="21"/>
          <w:shd w:val="clear" w:color="auto" w:fill="FFFFFF"/>
        </w:rPr>
        <w:t>。</w:t>
      </w:r>
    </w:p>
    <w:p w:rsidR="00F44AFB" w:rsidRPr="000F1C1F" w:rsidRDefault="00F44AFB" w:rsidP="00A92923">
      <w:pPr>
        <w:spacing w:line="360" w:lineRule="exact"/>
        <w:ind w:firstLineChars="200" w:firstLine="420"/>
        <w:rPr>
          <w:rFonts w:ascii="Arial" w:eastAsia="宋体" w:hAnsi="Arial" w:cs="Arial"/>
          <w:szCs w:val="21"/>
          <w:shd w:val="clear" w:color="auto" w:fill="FFFFFF"/>
        </w:rPr>
      </w:pPr>
    </w:p>
    <w:p w:rsidR="00F44AFB" w:rsidRPr="000F1C1F" w:rsidRDefault="00F44AFB" w:rsidP="00F44AFB">
      <w:pPr>
        <w:spacing w:line="360" w:lineRule="exact"/>
        <w:rPr>
          <w:rStyle w:val="a6"/>
          <w:rFonts w:ascii="Arial" w:eastAsia="宋体" w:hAnsi="Arial" w:cs="Arial"/>
          <w:sz w:val="18"/>
          <w:szCs w:val="18"/>
          <w:shd w:val="clear" w:color="auto" w:fill="FFFFFF"/>
        </w:rPr>
      </w:pPr>
      <w:r w:rsidRPr="000F1C1F">
        <w:rPr>
          <w:rStyle w:val="a6"/>
          <w:rFonts w:ascii="Arial" w:eastAsia="宋体" w:hAnsi="Arial" w:cs="Arial"/>
          <w:sz w:val="18"/>
          <w:szCs w:val="18"/>
          <w:shd w:val="clear" w:color="auto" w:fill="FFFFFF"/>
        </w:rPr>
        <w:t>表</w:t>
      </w:r>
      <w:r>
        <w:rPr>
          <w:rStyle w:val="a6"/>
          <w:rFonts w:ascii="Arial" w:eastAsia="宋体" w:hAnsi="Arial" w:cs="Arial" w:hint="eastAsia"/>
          <w:sz w:val="18"/>
          <w:szCs w:val="18"/>
          <w:shd w:val="clear" w:color="auto" w:fill="FFFFFF"/>
        </w:rPr>
        <w:t>2</w:t>
      </w:r>
      <w:r>
        <w:rPr>
          <w:rStyle w:val="a6"/>
          <w:rFonts w:ascii="Arial" w:eastAsia="宋体" w:hAnsi="Arial" w:cs="Arial"/>
          <w:sz w:val="18"/>
          <w:szCs w:val="18"/>
          <w:shd w:val="clear" w:color="auto" w:fill="FFFFFF"/>
        </w:rPr>
        <w:t>201</w:t>
      </w:r>
      <w:r>
        <w:rPr>
          <w:rStyle w:val="a6"/>
          <w:rFonts w:ascii="Arial" w:eastAsia="宋体" w:hAnsi="Arial" w:cs="Arial" w:hint="eastAsia"/>
          <w:sz w:val="18"/>
          <w:szCs w:val="18"/>
          <w:shd w:val="clear" w:color="auto" w:fill="FFFFFF"/>
        </w:rPr>
        <w:t>4</w:t>
      </w:r>
      <w:r w:rsidRPr="000F1C1F">
        <w:rPr>
          <w:rStyle w:val="a6"/>
          <w:rFonts w:ascii="Arial" w:eastAsia="宋体" w:hAnsi="Arial" w:cs="Arial"/>
          <w:sz w:val="18"/>
          <w:szCs w:val="18"/>
          <w:shd w:val="clear" w:color="auto" w:fill="FFFFFF"/>
        </w:rPr>
        <w:t>年中国并购市场季度分布</w:t>
      </w:r>
    </w:p>
    <w:tbl>
      <w:tblPr>
        <w:tblW w:w="9222" w:type="dxa"/>
        <w:tblInd w:w="108" w:type="dxa"/>
        <w:tblLook w:val="04A0"/>
      </w:tblPr>
      <w:tblGrid>
        <w:gridCol w:w="1290"/>
        <w:gridCol w:w="1338"/>
        <w:gridCol w:w="1314"/>
        <w:gridCol w:w="1290"/>
        <w:gridCol w:w="1410"/>
        <w:gridCol w:w="1290"/>
        <w:gridCol w:w="1290"/>
      </w:tblGrid>
      <w:tr w:rsidR="00F44AFB" w:rsidRPr="00E4371E" w:rsidTr="00F44AFB">
        <w:trPr>
          <w:trHeight w:val="465"/>
        </w:trPr>
        <w:tc>
          <w:tcPr>
            <w:tcW w:w="1290" w:type="dxa"/>
            <w:tcBorders>
              <w:top w:val="single" w:sz="8" w:space="0" w:color="003366"/>
              <w:left w:val="nil"/>
              <w:bottom w:val="nil"/>
              <w:right w:val="nil"/>
            </w:tcBorders>
            <w:shd w:val="clear" w:color="000000" w:fill="FFFFFF"/>
            <w:vAlign w:val="center"/>
            <w:hideMark/>
          </w:tcPr>
          <w:p w:rsidR="00F44AFB" w:rsidRPr="00E4371E" w:rsidRDefault="00F44AFB" w:rsidP="00F44AFB">
            <w:pPr>
              <w:widowControl/>
              <w:jc w:val="center"/>
              <w:rPr>
                <w:rFonts w:ascii="宋体" w:eastAsia="宋体" w:hAnsi="宋体" w:cs="宋体"/>
                <w:b/>
                <w:bCs/>
                <w:kern w:val="0"/>
                <w:sz w:val="18"/>
                <w:szCs w:val="18"/>
              </w:rPr>
            </w:pPr>
            <w:r w:rsidRPr="00E4371E">
              <w:rPr>
                <w:rFonts w:ascii="宋体" w:eastAsia="宋体" w:hAnsi="宋体" w:cs="宋体" w:hint="eastAsia"/>
                <w:b/>
                <w:bCs/>
                <w:kern w:val="0"/>
                <w:sz w:val="18"/>
                <w:szCs w:val="18"/>
              </w:rPr>
              <w:t>季度</w:t>
            </w:r>
          </w:p>
        </w:tc>
        <w:tc>
          <w:tcPr>
            <w:tcW w:w="1338" w:type="dxa"/>
            <w:tcBorders>
              <w:top w:val="single" w:sz="8" w:space="0" w:color="003366"/>
              <w:left w:val="nil"/>
              <w:bottom w:val="nil"/>
              <w:right w:val="nil"/>
            </w:tcBorders>
            <w:shd w:val="clear" w:color="000000" w:fill="FFFFFF"/>
            <w:vAlign w:val="center"/>
            <w:hideMark/>
          </w:tcPr>
          <w:p w:rsidR="00F44AFB" w:rsidRPr="00E4371E" w:rsidRDefault="00F44AFB" w:rsidP="00F44AFB">
            <w:pPr>
              <w:widowControl/>
              <w:jc w:val="center"/>
              <w:rPr>
                <w:rFonts w:ascii="宋体" w:eastAsia="宋体" w:hAnsi="宋体" w:cs="宋体"/>
                <w:b/>
                <w:bCs/>
                <w:kern w:val="0"/>
                <w:sz w:val="18"/>
                <w:szCs w:val="18"/>
              </w:rPr>
            </w:pPr>
            <w:r w:rsidRPr="00E4371E">
              <w:rPr>
                <w:rFonts w:ascii="宋体" w:eastAsia="宋体" w:hAnsi="宋体" w:cs="宋体" w:hint="eastAsia"/>
                <w:b/>
                <w:bCs/>
                <w:kern w:val="0"/>
                <w:sz w:val="18"/>
                <w:szCs w:val="18"/>
              </w:rPr>
              <w:t>案例数</w:t>
            </w:r>
          </w:p>
        </w:tc>
        <w:tc>
          <w:tcPr>
            <w:tcW w:w="1314" w:type="dxa"/>
            <w:tcBorders>
              <w:top w:val="single" w:sz="8" w:space="0" w:color="003366"/>
              <w:left w:val="nil"/>
              <w:bottom w:val="nil"/>
              <w:right w:val="nil"/>
            </w:tcBorders>
            <w:shd w:val="clear" w:color="000000" w:fill="FFFFFF"/>
            <w:vAlign w:val="center"/>
            <w:hideMark/>
          </w:tcPr>
          <w:p w:rsidR="00F44AFB" w:rsidRPr="00E4371E" w:rsidRDefault="00F44AFB" w:rsidP="00F44AFB">
            <w:pPr>
              <w:widowControl/>
              <w:jc w:val="center"/>
              <w:rPr>
                <w:rFonts w:ascii="宋体" w:eastAsia="宋体" w:hAnsi="宋体" w:cs="宋体"/>
                <w:b/>
                <w:bCs/>
                <w:kern w:val="0"/>
                <w:sz w:val="18"/>
                <w:szCs w:val="18"/>
              </w:rPr>
            </w:pPr>
            <w:r w:rsidRPr="00E4371E">
              <w:rPr>
                <w:rFonts w:ascii="宋体" w:eastAsia="宋体" w:hAnsi="宋体" w:cs="宋体" w:hint="eastAsia"/>
                <w:b/>
                <w:bCs/>
                <w:kern w:val="0"/>
                <w:sz w:val="18"/>
                <w:szCs w:val="18"/>
              </w:rPr>
              <w:t>比例</w:t>
            </w:r>
          </w:p>
        </w:tc>
        <w:tc>
          <w:tcPr>
            <w:tcW w:w="1290" w:type="dxa"/>
            <w:tcBorders>
              <w:top w:val="single" w:sz="8" w:space="0" w:color="003366"/>
              <w:left w:val="nil"/>
              <w:bottom w:val="nil"/>
              <w:right w:val="nil"/>
            </w:tcBorders>
            <w:shd w:val="clear" w:color="000000" w:fill="FFFFFF"/>
            <w:vAlign w:val="center"/>
            <w:hideMark/>
          </w:tcPr>
          <w:p w:rsidR="00F44AFB" w:rsidRPr="00E4371E" w:rsidRDefault="00F44AFB" w:rsidP="00F44AFB">
            <w:pPr>
              <w:widowControl/>
              <w:jc w:val="center"/>
              <w:rPr>
                <w:rFonts w:ascii="宋体" w:eastAsia="宋体" w:hAnsi="宋体" w:cs="宋体"/>
                <w:b/>
                <w:bCs/>
                <w:kern w:val="0"/>
                <w:sz w:val="18"/>
                <w:szCs w:val="18"/>
              </w:rPr>
            </w:pPr>
            <w:r w:rsidRPr="00E4371E">
              <w:rPr>
                <w:rFonts w:ascii="宋体" w:eastAsia="宋体" w:hAnsi="宋体" w:cs="宋体" w:hint="eastAsia"/>
                <w:b/>
                <w:bCs/>
                <w:kern w:val="0"/>
                <w:sz w:val="18"/>
                <w:szCs w:val="18"/>
              </w:rPr>
              <w:t>案例数（金）</w:t>
            </w:r>
          </w:p>
        </w:tc>
        <w:tc>
          <w:tcPr>
            <w:tcW w:w="1410" w:type="dxa"/>
            <w:tcBorders>
              <w:top w:val="single" w:sz="8" w:space="0" w:color="003366"/>
              <w:left w:val="nil"/>
              <w:bottom w:val="nil"/>
              <w:right w:val="nil"/>
            </w:tcBorders>
            <w:shd w:val="clear" w:color="000000" w:fill="FFFFFF"/>
            <w:vAlign w:val="center"/>
            <w:hideMark/>
          </w:tcPr>
          <w:p w:rsidR="00F44AFB" w:rsidRPr="00E4371E" w:rsidRDefault="00F44AFB" w:rsidP="00F44AFB">
            <w:pPr>
              <w:widowControl/>
              <w:jc w:val="center"/>
              <w:rPr>
                <w:rFonts w:ascii="宋体" w:eastAsia="宋体" w:hAnsi="宋体" w:cs="宋体"/>
                <w:b/>
                <w:bCs/>
                <w:kern w:val="0"/>
                <w:sz w:val="18"/>
                <w:szCs w:val="18"/>
              </w:rPr>
            </w:pPr>
            <w:r w:rsidRPr="00E4371E">
              <w:rPr>
                <w:rFonts w:ascii="宋体" w:eastAsia="宋体" w:hAnsi="宋体" w:cs="宋体" w:hint="eastAsia"/>
                <w:b/>
                <w:bCs/>
                <w:kern w:val="0"/>
                <w:sz w:val="18"/>
                <w:szCs w:val="18"/>
              </w:rPr>
              <w:t>并购金额</w:t>
            </w:r>
            <w:r w:rsidRPr="00E4371E">
              <w:rPr>
                <w:rFonts w:ascii="Arial" w:eastAsia="宋体" w:hAnsi="Arial" w:cs="Arial"/>
                <w:b/>
                <w:bCs/>
                <w:kern w:val="0"/>
                <w:sz w:val="18"/>
                <w:szCs w:val="18"/>
              </w:rPr>
              <w:t>(US$M)</w:t>
            </w:r>
          </w:p>
        </w:tc>
        <w:tc>
          <w:tcPr>
            <w:tcW w:w="1290" w:type="dxa"/>
            <w:tcBorders>
              <w:top w:val="single" w:sz="8" w:space="0" w:color="003366"/>
              <w:left w:val="nil"/>
              <w:bottom w:val="nil"/>
              <w:right w:val="nil"/>
            </w:tcBorders>
            <w:shd w:val="clear" w:color="000000" w:fill="FFFFFF"/>
            <w:vAlign w:val="center"/>
            <w:hideMark/>
          </w:tcPr>
          <w:p w:rsidR="00F44AFB" w:rsidRPr="00E4371E" w:rsidRDefault="00F44AFB" w:rsidP="00F44AFB">
            <w:pPr>
              <w:widowControl/>
              <w:jc w:val="center"/>
              <w:rPr>
                <w:rFonts w:ascii="宋体" w:eastAsia="宋体" w:hAnsi="宋体" w:cs="宋体"/>
                <w:b/>
                <w:bCs/>
                <w:kern w:val="0"/>
                <w:sz w:val="18"/>
                <w:szCs w:val="18"/>
              </w:rPr>
            </w:pPr>
            <w:r w:rsidRPr="00E4371E">
              <w:rPr>
                <w:rFonts w:ascii="宋体" w:eastAsia="宋体" w:hAnsi="宋体" w:cs="宋体" w:hint="eastAsia"/>
                <w:b/>
                <w:bCs/>
                <w:kern w:val="0"/>
                <w:sz w:val="18"/>
                <w:szCs w:val="18"/>
              </w:rPr>
              <w:t>比例</w:t>
            </w:r>
          </w:p>
        </w:tc>
        <w:tc>
          <w:tcPr>
            <w:tcW w:w="1290" w:type="dxa"/>
            <w:tcBorders>
              <w:top w:val="single" w:sz="8" w:space="0" w:color="003366"/>
              <w:left w:val="nil"/>
              <w:bottom w:val="nil"/>
              <w:right w:val="nil"/>
            </w:tcBorders>
            <w:shd w:val="clear" w:color="000000" w:fill="FFFFFF"/>
            <w:vAlign w:val="center"/>
            <w:hideMark/>
          </w:tcPr>
          <w:p w:rsidR="00F44AFB" w:rsidRPr="00E4371E" w:rsidRDefault="00F44AFB" w:rsidP="00F44AFB">
            <w:pPr>
              <w:widowControl/>
              <w:jc w:val="center"/>
              <w:rPr>
                <w:rFonts w:ascii="宋体" w:eastAsia="宋体" w:hAnsi="宋体" w:cs="宋体"/>
                <w:b/>
                <w:bCs/>
                <w:kern w:val="0"/>
                <w:sz w:val="18"/>
                <w:szCs w:val="18"/>
              </w:rPr>
            </w:pPr>
            <w:r w:rsidRPr="00E4371E">
              <w:rPr>
                <w:rFonts w:ascii="宋体" w:eastAsia="宋体" w:hAnsi="宋体" w:cs="宋体" w:hint="eastAsia"/>
                <w:b/>
                <w:bCs/>
                <w:kern w:val="0"/>
                <w:sz w:val="18"/>
                <w:szCs w:val="18"/>
              </w:rPr>
              <w:t>平均并购金额</w:t>
            </w:r>
            <w:r w:rsidRPr="00E4371E">
              <w:rPr>
                <w:rFonts w:ascii="Arial" w:eastAsia="宋体" w:hAnsi="Arial" w:cs="Arial"/>
                <w:b/>
                <w:bCs/>
                <w:kern w:val="0"/>
                <w:sz w:val="18"/>
                <w:szCs w:val="18"/>
              </w:rPr>
              <w:t>(US$M)</w:t>
            </w:r>
          </w:p>
        </w:tc>
      </w:tr>
      <w:tr w:rsidR="00F44AFB" w:rsidRPr="00E4371E" w:rsidTr="00F44AFB">
        <w:trPr>
          <w:trHeight w:val="240"/>
        </w:trPr>
        <w:tc>
          <w:tcPr>
            <w:tcW w:w="1290" w:type="dxa"/>
            <w:tcBorders>
              <w:top w:val="single" w:sz="4" w:space="0" w:color="003366"/>
              <w:left w:val="nil"/>
              <w:bottom w:val="nil"/>
              <w:right w:val="nil"/>
            </w:tcBorders>
            <w:shd w:val="clear" w:color="000000" w:fill="FFFFFF"/>
            <w:noWrap/>
            <w:vAlign w:val="center"/>
            <w:hideMark/>
          </w:tcPr>
          <w:p w:rsidR="00F44AFB" w:rsidRPr="00E4371E" w:rsidRDefault="00F44AFB" w:rsidP="00F44AFB">
            <w:pPr>
              <w:widowControl/>
              <w:jc w:val="center"/>
              <w:rPr>
                <w:rFonts w:ascii="Arial" w:eastAsia="宋体" w:hAnsi="Arial" w:cs="Arial"/>
                <w:kern w:val="0"/>
                <w:sz w:val="18"/>
                <w:szCs w:val="18"/>
              </w:rPr>
            </w:pPr>
            <w:r w:rsidRPr="00E4371E">
              <w:rPr>
                <w:rFonts w:ascii="Arial" w:eastAsia="宋体" w:hAnsi="Arial" w:cs="Arial"/>
                <w:kern w:val="0"/>
                <w:sz w:val="18"/>
                <w:szCs w:val="18"/>
              </w:rPr>
              <w:t>Q1</w:t>
            </w:r>
          </w:p>
        </w:tc>
        <w:tc>
          <w:tcPr>
            <w:tcW w:w="1338" w:type="dxa"/>
            <w:tcBorders>
              <w:top w:val="single" w:sz="4" w:space="0" w:color="003366"/>
              <w:left w:val="nil"/>
              <w:bottom w:val="nil"/>
              <w:right w:val="nil"/>
            </w:tcBorders>
            <w:shd w:val="clear" w:color="000000" w:fill="FFFFFF"/>
            <w:noWrap/>
            <w:vAlign w:val="center"/>
            <w:hideMark/>
          </w:tcPr>
          <w:p w:rsidR="00F44AFB" w:rsidRPr="00E4371E" w:rsidRDefault="00F44AFB" w:rsidP="00F44AFB">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372 </w:t>
            </w:r>
          </w:p>
        </w:tc>
        <w:tc>
          <w:tcPr>
            <w:tcW w:w="1314" w:type="dxa"/>
            <w:tcBorders>
              <w:top w:val="single" w:sz="4" w:space="0" w:color="003366"/>
              <w:left w:val="nil"/>
              <w:bottom w:val="nil"/>
              <w:right w:val="nil"/>
            </w:tcBorders>
            <w:shd w:val="clear" w:color="000000" w:fill="FFFFFF"/>
            <w:noWrap/>
            <w:vAlign w:val="center"/>
            <w:hideMark/>
          </w:tcPr>
          <w:p w:rsidR="00F44AFB" w:rsidRPr="00E4371E" w:rsidRDefault="00F44AFB" w:rsidP="00F44AFB">
            <w:pPr>
              <w:widowControl/>
              <w:jc w:val="right"/>
              <w:rPr>
                <w:rFonts w:ascii="Arial" w:eastAsia="宋体" w:hAnsi="Arial" w:cs="Arial"/>
                <w:kern w:val="0"/>
                <w:sz w:val="18"/>
                <w:szCs w:val="18"/>
              </w:rPr>
            </w:pPr>
            <w:r w:rsidRPr="00E4371E">
              <w:rPr>
                <w:rFonts w:ascii="Arial" w:eastAsia="宋体" w:hAnsi="Arial" w:cs="Arial"/>
                <w:kern w:val="0"/>
                <w:sz w:val="18"/>
                <w:szCs w:val="18"/>
              </w:rPr>
              <w:t>19.3%</w:t>
            </w:r>
          </w:p>
        </w:tc>
        <w:tc>
          <w:tcPr>
            <w:tcW w:w="1290" w:type="dxa"/>
            <w:tcBorders>
              <w:top w:val="single" w:sz="4" w:space="0" w:color="003366"/>
              <w:left w:val="nil"/>
              <w:bottom w:val="nil"/>
              <w:right w:val="nil"/>
            </w:tcBorders>
            <w:shd w:val="clear" w:color="000000" w:fill="FFFFFF"/>
            <w:noWrap/>
            <w:vAlign w:val="center"/>
            <w:hideMark/>
          </w:tcPr>
          <w:p w:rsidR="00F44AFB" w:rsidRPr="00E4371E" w:rsidRDefault="00F44AFB" w:rsidP="00F44AFB">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333 </w:t>
            </w:r>
          </w:p>
        </w:tc>
        <w:tc>
          <w:tcPr>
            <w:tcW w:w="1410" w:type="dxa"/>
            <w:tcBorders>
              <w:top w:val="single" w:sz="4" w:space="0" w:color="003366"/>
              <w:left w:val="nil"/>
              <w:bottom w:val="nil"/>
              <w:right w:val="nil"/>
            </w:tcBorders>
            <w:shd w:val="clear" w:color="000000" w:fill="FFFFFF"/>
            <w:noWrap/>
            <w:vAlign w:val="center"/>
            <w:hideMark/>
          </w:tcPr>
          <w:p w:rsidR="00F44AFB" w:rsidRPr="00E4371E" w:rsidRDefault="00F44AFB" w:rsidP="00F44AFB">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23,370.48 </w:t>
            </w:r>
          </w:p>
        </w:tc>
        <w:tc>
          <w:tcPr>
            <w:tcW w:w="1290" w:type="dxa"/>
            <w:tcBorders>
              <w:top w:val="single" w:sz="4" w:space="0" w:color="003366"/>
              <w:left w:val="nil"/>
              <w:bottom w:val="nil"/>
              <w:right w:val="nil"/>
            </w:tcBorders>
            <w:shd w:val="clear" w:color="000000" w:fill="FFFFFF"/>
            <w:noWrap/>
            <w:vAlign w:val="center"/>
            <w:hideMark/>
          </w:tcPr>
          <w:p w:rsidR="00F44AFB" w:rsidRPr="00E4371E" w:rsidRDefault="00F44AFB" w:rsidP="00F44AFB">
            <w:pPr>
              <w:widowControl/>
              <w:jc w:val="right"/>
              <w:rPr>
                <w:rFonts w:ascii="Arial" w:eastAsia="宋体" w:hAnsi="Arial" w:cs="Arial"/>
                <w:kern w:val="0"/>
                <w:sz w:val="18"/>
                <w:szCs w:val="18"/>
              </w:rPr>
            </w:pPr>
            <w:r w:rsidRPr="00E4371E">
              <w:rPr>
                <w:rFonts w:ascii="Arial" w:eastAsia="宋体" w:hAnsi="Arial" w:cs="Arial"/>
                <w:kern w:val="0"/>
                <w:sz w:val="18"/>
                <w:szCs w:val="18"/>
              </w:rPr>
              <w:t>19.7%</w:t>
            </w:r>
          </w:p>
        </w:tc>
        <w:tc>
          <w:tcPr>
            <w:tcW w:w="1290" w:type="dxa"/>
            <w:tcBorders>
              <w:top w:val="single" w:sz="4" w:space="0" w:color="003366"/>
              <w:left w:val="nil"/>
              <w:bottom w:val="nil"/>
              <w:right w:val="nil"/>
            </w:tcBorders>
            <w:shd w:val="clear" w:color="000000" w:fill="FFFFFF"/>
            <w:noWrap/>
            <w:vAlign w:val="center"/>
            <w:hideMark/>
          </w:tcPr>
          <w:p w:rsidR="00F44AFB" w:rsidRPr="00E4371E" w:rsidRDefault="00F44AFB" w:rsidP="00F44AFB">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70.18 </w:t>
            </w:r>
          </w:p>
        </w:tc>
      </w:tr>
      <w:tr w:rsidR="00F44AFB" w:rsidRPr="00E4371E" w:rsidTr="00F44AFB">
        <w:trPr>
          <w:trHeight w:val="240"/>
        </w:trPr>
        <w:tc>
          <w:tcPr>
            <w:tcW w:w="1290" w:type="dxa"/>
            <w:tcBorders>
              <w:top w:val="nil"/>
              <w:left w:val="nil"/>
              <w:bottom w:val="nil"/>
              <w:right w:val="nil"/>
            </w:tcBorders>
            <w:shd w:val="clear" w:color="000000" w:fill="FFFFFF"/>
            <w:noWrap/>
            <w:vAlign w:val="center"/>
            <w:hideMark/>
          </w:tcPr>
          <w:p w:rsidR="00F44AFB" w:rsidRPr="00E4371E" w:rsidRDefault="00F44AFB" w:rsidP="00F44AFB">
            <w:pPr>
              <w:widowControl/>
              <w:jc w:val="center"/>
              <w:rPr>
                <w:rFonts w:ascii="Arial" w:eastAsia="宋体" w:hAnsi="Arial" w:cs="Arial"/>
                <w:kern w:val="0"/>
                <w:sz w:val="18"/>
                <w:szCs w:val="18"/>
              </w:rPr>
            </w:pPr>
            <w:r w:rsidRPr="00E4371E">
              <w:rPr>
                <w:rFonts w:ascii="Arial" w:eastAsia="宋体" w:hAnsi="Arial" w:cs="Arial"/>
                <w:kern w:val="0"/>
                <w:sz w:val="18"/>
                <w:szCs w:val="18"/>
              </w:rPr>
              <w:t>Q2</w:t>
            </w:r>
          </w:p>
        </w:tc>
        <w:tc>
          <w:tcPr>
            <w:tcW w:w="1338" w:type="dxa"/>
            <w:tcBorders>
              <w:top w:val="nil"/>
              <w:left w:val="nil"/>
              <w:bottom w:val="nil"/>
              <w:right w:val="nil"/>
            </w:tcBorders>
            <w:shd w:val="clear" w:color="000000" w:fill="FFFFFF"/>
            <w:noWrap/>
            <w:vAlign w:val="center"/>
            <w:hideMark/>
          </w:tcPr>
          <w:p w:rsidR="00F44AFB" w:rsidRPr="00E4371E" w:rsidRDefault="00F44AFB" w:rsidP="00F44AFB">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434 </w:t>
            </w:r>
          </w:p>
        </w:tc>
        <w:tc>
          <w:tcPr>
            <w:tcW w:w="1314" w:type="dxa"/>
            <w:tcBorders>
              <w:top w:val="nil"/>
              <w:left w:val="nil"/>
              <w:bottom w:val="nil"/>
              <w:right w:val="nil"/>
            </w:tcBorders>
            <w:shd w:val="clear" w:color="000000" w:fill="FFFFFF"/>
            <w:noWrap/>
            <w:vAlign w:val="center"/>
            <w:hideMark/>
          </w:tcPr>
          <w:p w:rsidR="00F44AFB" w:rsidRPr="00E4371E" w:rsidRDefault="00F44AFB" w:rsidP="00F44AFB">
            <w:pPr>
              <w:widowControl/>
              <w:jc w:val="right"/>
              <w:rPr>
                <w:rFonts w:ascii="Arial" w:eastAsia="宋体" w:hAnsi="Arial" w:cs="Arial"/>
                <w:kern w:val="0"/>
                <w:sz w:val="18"/>
                <w:szCs w:val="18"/>
              </w:rPr>
            </w:pPr>
            <w:r w:rsidRPr="00E4371E">
              <w:rPr>
                <w:rFonts w:ascii="Arial" w:eastAsia="宋体" w:hAnsi="Arial" w:cs="Arial"/>
                <w:kern w:val="0"/>
                <w:sz w:val="18"/>
                <w:szCs w:val="18"/>
              </w:rPr>
              <w:t>22.5%</w:t>
            </w:r>
          </w:p>
        </w:tc>
        <w:tc>
          <w:tcPr>
            <w:tcW w:w="1290" w:type="dxa"/>
            <w:tcBorders>
              <w:top w:val="nil"/>
              <w:left w:val="nil"/>
              <w:bottom w:val="nil"/>
              <w:right w:val="nil"/>
            </w:tcBorders>
            <w:shd w:val="clear" w:color="000000" w:fill="FFFFFF"/>
            <w:noWrap/>
            <w:vAlign w:val="center"/>
            <w:hideMark/>
          </w:tcPr>
          <w:p w:rsidR="00F44AFB" w:rsidRPr="00E4371E" w:rsidRDefault="00F44AFB" w:rsidP="00F44AFB">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404 </w:t>
            </w:r>
          </w:p>
        </w:tc>
        <w:tc>
          <w:tcPr>
            <w:tcW w:w="1410" w:type="dxa"/>
            <w:tcBorders>
              <w:top w:val="nil"/>
              <w:left w:val="nil"/>
              <w:bottom w:val="nil"/>
              <w:right w:val="nil"/>
            </w:tcBorders>
            <w:shd w:val="clear" w:color="000000" w:fill="FFFFFF"/>
            <w:noWrap/>
            <w:vAlign w:val="center"/>
            <w:hideMark/>
          </w:tcPr>
          <w:p w:rsidR="00F44AFB" w:rsidRPr="00E4371E" w:rsidRDefault="00F44AFB" w:rsidP="00F44AFB">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28,713.46 </w:t>
            </w:r>
          </w:p>
        </w:tc>
        <w:tc>
          <w:tcPr>
            <w:tcW w:w="1290" w:type="dxa"/>
            <w:tcBorders>
              <w:top w:val="nil"/>
              <w:left w:val="nil"/>
              <w:bottom w:val="nil"/>
              <w:right w:val="nil"/>
            </w:tcBorders>
            <w:shd w:val="clear" w:color="000000" w:fill="FFFFFF"/>
            <w:noWrap/>
            <w:vAlign w:val="center"/>
            <w:hideMark/>
          </w:tcPr>
          <w:p w:rsidR="00F44AFB" w:rsidRPr="00E4371E" w:rsidRDefault="00F44AFB" w:rsidP="00F44AFB">
            <w:pPr>
              <w:widowControl/>
              <w:jc w:val="right"/>
              <w:rPr>
                <w:rFonts w:ascii="Arial" w:eastAsia="宋体" w:hAnsi="Arial" w:cs="Arial"/>
                <w:kern w:val="0"/>
                <w:sz w:val="18"/>
                <w:szCs w:val="18"/>
              </w:rPr>
            </w:pPr>
            <w:r w:rsidRPr="00E4371E">
              <w:rPr>
                <w:rFonts w:ascii="Arial" w:eastAsia="宋体" w:hAnsi="Arial" w:cs="Arial"/>
                <w:kern w:val="0"/>
                <w:sz w:val="18"/>
                <w:szCs w:val="18"/>
              </w:rPr>
              <w:t>24.2%</w:t>
            </w:r>
          </w:p>
        </w:tc>
        <w:tc>
          <w:tcPr>
            <w:tcW w:w="1290" w:type="dxa"/>
            <w:tcBorders>
              <w:top w:val="nil"/>
              <w:left w:val="nil"/>
              <w:bottom w:val="nil"/>
              <w:right w:val="nil"/>
            </w:tcBorders>
            <w:shd w:val="clear" w:color="000000" w:fill="FFFFFF"/>
            <w:noWrap/>
            <w:vAlign w:val="center"/>
            <w:hideMark/>
          </w:tcPr>
          <w:p w:rsidR="00F44AFB" w:rsidRPr="00E4371E" w:rsidRDefault="00F44AFB" w:rsidP="00F44AFB">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71.07 </w:t>
            </w:r>
          </w:p>
        </w:tc>
      </w:tr>
      <w:tr w:rsidR="00F44AFB" w:rsidRPr="00E4371E" w:rsidTr="00F44AFB">
        <w:trPr>
          <w:trHeight w:val="240"/>
        </w:trPr>
        <w:tc>
          <w:tcPr>
            <w:tcW w:w="1290" w:type="dxa"/>
            <w:tcBorders>
              <w:top w:val="nil"/>
              <w:left w:val="nil"/>
              <w:bottom w:val="nil"/>
              <w:right w:val="nil"/>
            </w:tcBorders>
            <w:shd w:val="clear" w:color="000000" w:fill="FFFFFF"/>
            <w:noWrap/>
            <w:vAlign w:val="center"/>
            <w:hideMark/>
          </w:tcPr>
          <w:p w:rsidR="00F44AFB" w:rsidRPr="00E4371E" w:rsidRDefault="00F44AFB" w:rsidP="00F44AFB">
            <w:pPr>
              <w:widowControl/>
              <w:jc w:val="center"/>
              <w:rPr>
                <w:rFonts w:ascii="Arial" w:eastAsia="宋体" w:hAnsi="Arial" w:cs="Arial"/>
                <w:kern w:val="0"/>
                <w:sz w:val="18"/>
                <w:szCs w:val="18"/>
              </w:rPr>
            </w:pPr>
            <w:r w:rsidRPr="00E4371E">
              <w:rPr>
                <w:rFonts w:ascii="Arial" w:eastAsia="宋体" w:hAnsi="Arial" w:cs="Arial"/>
                <w:kern w:val="0"/>
                <w:sz w:val="18"/>
                <w:szCs w:val="18"/>
              </w:rPr>
              <w:t>Q3</w:t>
            </w:r>
          </w:p>
        </w:tc>
        <w:tc>
          <w:tcPr>
            <w:tcW w:w="1338" w:type="dxa"/>
            <w:tcBorders>
              <w:top w:val="nil"/>
              <w:left w:val="nil"/>
              <w:bottom w:val="nil"/>
              <w:right w:val="nil"/>
            </w:tcBorders>
            <w:shd w:val="clear" w:color="000000" w:fill="FFFFFF"/>
            <w:noWrap/>
            <w:vAlign w:val="center"/>
            <w:hideMark/>
          </w:tcPr>
          <w:p w:rsidR="00F44AFB" w:rsidRPr="00E4371E" w:rsidRDefault="00F44AFB" w:rsidP="00F44AFB">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512 </w:t>
            </w:r>
          </w:p>
        </w:tc>
        <w:tc>
          <w:tcPr>
            <w:tcW w:w="1314" w:type="dxa"/>
            <w:tcBorders>
              <w:top w:val="nil"/>
              <w:left w:val="nil"/>
              <w:bottom w:val="nil"/>
              <w:right w:val="nil"/>
            </w:tcBorders>
            <w:shd w:val="clear" w:color="000000" w:fill="FFFFFF"/>
            <w:noWrap/>
            <w:vAlign w:val="center"/>
            <w:hideMark/>
          </w:tcPr>
          <w:p w:rsidR="00F44AFB" w:rsidRPr="00E4371E" w:rsidRDefault="00F44AFB" w:rsidP="00F44AFB">
            <w:pPr>
              <w:widowControl/>
              <w:jc w:val="right"/>
              <w:rPr>
                <w:rFonts w:ascii="Arial" w:eastAsia="宋体" w:hAnsi="Arial" w:cs="Arial"/>
                <w:kern w:val="0"/>
                <w:sz w:val="18"/>
                <w:szCs w:val="18"/>
              </w:rPr>
            </w:pPr>
            <w:r w:rsidRPr="00E4371E">
              <w:rPr>
                <w:rFonts w:ascii="Arial" w:eastAsia="宋体" w:hAnsi="Arial" w:cs="Arial"/>
                <w:kern w:val="0"/>
                <w:sz w:val="18"/>
                <w:szCs w:val="18"/>
              </w:rPr>
              <w:t>26.5%</w:t>
            </w:r>
          </w:p>
        </w:tc>
        <w:tc>
          <w:tcPr>
            <w:tcW w:w="1290" w:type="dxa"/>
            <w:tcBorders>
              <w:top w:val="nil"/>
              <w:left w:val="nil"/>
              <w:bottom w:val="nil"/>
              <w:right w:val="nil"/>
            </w:tcBorders>
            <w:shd w:val="clear" w:color="000000" w:fill="FFFFFF"/>
            <w:noWrap/>
            <w:vAlign w:val="center"/>
            <w:hideMark/>
          </w:tcPr>
          <w:p w:rsidR="00F44AFB" w:rsidRPr="00E4371E" w:rsidRDefault="00F44AFB" w:rsidP="00F44AFB">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490 </w:t>
            </w:r>
          </w:p>
        </w:tc>
        <w:tc>
          <w:tcPr>
            <w:tcW w:w="1410" w:type="dxa"/>
            <w:tcBorders>
              <w:top w:val="nil"/>
              <w:left w:val="nil"/>
              <w:bottom w:val="nil"/>
              <w:right w:val="nil"/>
            </w:tcBorders>
            <w:shd w:val="clear" w:color="000000" w:fill="FFFFFF"/>
            <w:noWrap/>
            <w:vAlign w:val="center"/>
            <w:hideMark/>
          </w:tcPr>
          <w:p w:rsidR="00F44AFB" w:rsidRPr="00E4371E" w:rsidRDefault="00F44AFB" w:rsidP="00F44AFB">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39,478.21 </w:t>
            </w:r>
          </w:p>
        </w:tc>
        <w:tc>
          <w:tcPr>
            <w:tcW w:w="1290" w:type="dxa"/>
            <w:tcBorders>
              <w:top w:val="nil"/>
              <w:left w:val="nil"/>
              <w:bottom w:val="nil"/>
              <w:right w:val="nil"/>
            </w:tcBorders>
            <w:shd w:val="clear" w:color="000000" w:fill="FFFFFF"/>
            <w:noWrap/>
            <w:vAlign w:val="center"/>
            <w:hideMark/>
          </w:tcPr>
          <w:p w:rsidR="00F44AFB" w:rsidRPr="00E4371E" w:rsidRDefault="00F44AFB" w:rsidP="00F44AFB">
            <w:pPr>
              <w:widowControl/>
              <w:jc w:val="right"/>
              <w:rPr>
                <w:rFonts w:ascii="Arial" w:eastAsia="宋体" w:hAnsi="Arial" w:cs="Arial"/>
                <w:kern w:val="0"/>
                <w:sz w:val="18"/>
                <w:szCs w:val="18"/>
              </w:rPr>
            </w:pPr>
            <w:r w:rsidRPr="00E4371E">
              <w:rPr>
                <w:rFonts w:ascii="Arial" w:eastAsia="宋体" w:hAnsi="Arial" w:cs="Arial"/>
                <w:kern w:val="0"/>
                <w:sz w:val="18"/>
                <w:szCs w:val="18"/>
              </w:rPr>
              <w:t>33.3%</w:t>
            </w:r>
          </w:p>
        </w:tc>
        <w:tc>
          <w:tcPr>
            <w:tcW w:w="1290" w:type="dxa"/>
            <w:tcBorders>
              <w:top w:val="nil"/>
              <w:left w:val="nil"/>
              <w:bottom w:val="nil"/>
              <w:right w:val="nil"/>
            </w:tcBorders>
            <w:shd w:val="clear" w:color="000000" w:fill="FFFFFF"/>
            <w:noWrap/>
            <w:vAlign w:val="center"/>
            <w:hideMark/>
          </w:tcPr>
          <w:p w:rsidR="00F44AFB" w:rsidRPr="00E4371E" w:rsidRDefault="00F44AFB" w:rsidP="00F44AFB">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80.57 </w:t>
            </w:r>
          </w:p>
        </w:tc>
      </w:tr>
      <w:tr w:rsidR="00F44AFB" w:rsidRPr="00E4371E" w:rsidTr="00F44AFB">
        <w:trPr>
          <w:trHeight w:val="240"/>
        </w:trPr>
        <w:tc>
          <w:tcPr>
            <w:tcW w:w="1290" w:type="dxa"/>
            <w:tcBorders>
              <w:top w:val="nil"/>
              <w:left w:val="nil"/>
              <w:bottom w:val="single" w:sz="4" w:space="0" w:color="auto"/>
              <w:right w:val="nil"/>
            </w:tcBorders>
            <w:shd w:val="clear" w:color="000000" w:fill="FFFFFF"/>
            <w:noWrap/>
            <w:vAlign w:val="center"/>
            <w:hideMark/>
          </w:tcPr>
          <w:p w:rsidR="00F44AFB" w:rsidRPr="00E4371E" w:rsidRDefault="00F44AFB" w:rsidP="00F44AFB">
            <w:pPr>
              <w:widowControl/>
              <w:jc w:val="center"/>
              <w:rPr>
                <w:rFonts w:ascii="Arial" w:eastAsia="宋体" w:hAnsi="Arial" w:cs="Arial"/>
                <w:kern w:val="0"/>
                <w:sz w:val="18"/>
                <w:szCs w:val="18"/>
              </w:rPr>
            </w:pPr>
            <w:r w:rsidRPr="00E4371E">
              <w:rPr>
                <w:rFonts w:ascii="Arial" w:eastAsia="宋体" w:hAnsi="Arial" w:cs="Arial"/>
                <w:kern w:val="0"/>
                <w:sz w:val="18"/>
                <w:szCs w:val="18"/>
              </w:rPr>
              <w:t>Q4</w:t>
            </w:r>
          </w:p>
        </w:tc>
        <w:tc>
          <w:tcPr>
            <w:tcW w:w="1338" w:type="dxa"/>
            <w:tcBorders>
              <w:top w:val="nil"/>
              <w:left w:val="nil"/>
              <w:bottom w:val="single" w:sz="4" w:space="0" w:color="auto"/>
              <w:right w:val="nil"/>
            </w:tcBorders>
            <w:shd w:val="clear" w:color="000000" w:fill="FFFFFF"/>
            <w:noWrap/>
            <w:vAlign w:val="center"/>
            <w:hideMark/>
          </w:tcPr>
          <w:p w:rsidR="00F44AFB" w:rsidRPr="00E4371E" w:rsidRDefault="00F44AFB" w:rsidP="00F44AFB">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611 </w:t>
            </w:r>
          </w:p>
        </w:tc>
        <w:tc>
          <w:tcPr>
            <w:tcW w:w="1314" w:type="dxa"/>
            <w:tcBorders>
              <w:top w:val="nil"/>
              <w:left w:val="nil"/>
              <w:bottom w:val="single" w:sz="4" w:space="0" w:color="auto"/>
              <w:right w:val="nil"/>
            </w:tcBorders>
            <w:shd w:val="clear" w:color="000000" w:fill="FFFFFF"/>
            <w:noWrap/>
            <w:vAlign w:val="center"/>
            <w:hideMark/>
          </w:tcPr>
          <w:p w:rsidR="00F44AFB" w:rsidRPr="00E4371E" w:rsidRDefault="00F44AFB" w:rsidP="00F44AFB">
            <w:pPr>
              <w:widowControl/>
              <w:jc w:val="right"/>
              <w:rPr>
                <w:rFonts w:ascii="Arial" w:eastAsia="宋体" w:hAnsi="Arial" w:cs="Arial"/>
                <w:kern w:val="0"/>
                <w:sz w:val="18"/>
                <w:szCs w:val="18"/>
              </w:rPr>
            </w:pPr>
            <w:r w:rsidRPr="00E4371E">
              <w:rPr>
                <w:rFonts w:ascii="Arial" w:eastAsia="宋体" w:hAnsi="Arial" w:cs="Arial"/>
                <w:kern w:val="0"/>
                <w:sz w:val="18"/>
                <w:szCs w:val="18"/>
              </w:rPr>
              <w:t>31.7%</w:t>
            </w:r>
          </w:p>
        </w:tc>
        <w:tc>
          <w:tcPr>
            <w:tcW w:w="1290" w:type="dxa"/>
            <w:tcBorders>
              <w:top w:val="nil"/>
              <w:left w:val="nil"/>
              <w:bottom w:val="single" w:sz="4" w:space="0" w:color="auto"/>
              <w:right w:val="nil"/>
            </w:tcBorders>
            <w:shd w:val="clear" w:color="000000" w:fill="FFFFFF"/>
            <w:noWrap/>
            <w:vAlign w:val="center"/>
            <w:hideMark/>
          </w:tcPr>
          <w:p w:rsidR="00F44AFB" w:rsidRPr="00E4371E" w:rsidRDefault="00F44AFB" w:rsidP="00F44AFB">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588 </w:t>
            </w:r>
          </w:p>
        </w:tc>
        <w:tc>
          <w:tcPr>
            <w:tcW w:w="1410" w:type="dxa"/>
            <w:tcBorders>
              <w:top w:val="nil"/>
              <w:left w:val="nil"/>
              <w:bottom w:val="single" w:sz="4" w:space="0" w:color="auto"/>
              <w:right w:val="nil"/>
            </w:tcBorders>
            <w:shd w:val="clear" w:color="000000" w:fill="FFFFFF"/>
            <w:noWrap/>
            <w:vAlign w:val="center"/>
            <w:hideMark/>
          </w:tcPr>
          <w:p w:rsidR="00F44AFB" w:rsidRPr="00E4371E" w:rsidRDefault="00F44AFB" w:rsidP="00F44AFB">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26,927.39 </w:t>
            </w:r>
          </w:p>
        </w:tc>
        <w:tc>
          <w:tcPr>
            <w:tcW w:w="1290" w:type="dxa"/>
            <w:tcBorders>
              <w:top w:val="nil"/>
              <w:left w:val="nil"/>
              <w:bottom w:val="single" w:sz="4" w:space="0" w:color="auto"/>
              <w:right w:val="nil"/>
            </w:tcBorders>
            <w:shd w:val="clear" w:color="000000" w:fill="FFFFFF"/>
            <w:noWrap/>
            <w:vAlign w:val="center"/>
            <w:hideMark/>
          </w:tcPr>
          <w:p w:rsidR="00F44AFB" w:rsidRPr="00E4371E" w:rsidRDefault="00F44AFB" w:rsidP="00F44AFB">
            <w:pPr>
              <w:widowControl/>
              <w:jc w:val="right"/>
              <w:rPr>
                <w:rFonts w:ascii="Arial" w:eastAsia="宋体" w:hAnsi="Arial" w:cs="Arial"/>
                <w:kern w:val="0"/>
                <w:sz w:val="18"/>
                <w:szCs w:val="18"/>
              </w:rPr>
            </w:pPr>
            <w:r w:rsidRPr="00E4371E">
              <w:rPr>
                <w:rFonts w:ascii="Arial" w:eastAsia="宋体" w:hAnsi="Arial" w:cs="Arial"/>
                <w:kern w:val="0"/>
                <w:sz w:val="18"/>
                <w:szCs w:val="18"/>
              </w:rPr>
              <w:t>22.7%</w:t>
            </w:r>
          </w:p>
        </w:tc>
        <w:tc>
          <w:tcPr>
            <w:tcW w:w="1290" w:type="dxa"/>
            <w:tcBorders>
              <w:top w:val="nil"/>
              <w:left w:val="nil"/>
              <w:bottom w:val="single" w:sz="4" w:space="0" w:color="auto"/>
              <w:right w:val="nil"/>
            </w:tcBorders>
            <w:shd w:val="clear" w:color="000000" w:fill="FFFFFF"/>
            <w:noWrap/>
            <w:vAlign w:val="center"/>
            <w:hideMark/>
          </w:tcPr>
          <w:p w:rsidR="00F44AFB" w:rsidRPr="00E4371E" w:rsidRDefault="00F44AFB" w:rsidP="00F44AFB">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45.79 </w:t>
            </w:r>
          </w:p>
        </w:tc>
      </w:tr>
      <w:tr w:rsidR="00F44AFB" w:rsidRPr="00E4371E" w:rsidTr="00F44AFB">
        <w:trPr>
          <w:trHeight w:val="255"/>
        </w:trPr>
        <w:tc>
          <w:tcPr>
            <w:tcW w:w="1290" w:type="dxa"/>
            <w:tcBorders>
              <w:top w:val="nil"/>
              <w:left w:val="nil"/>
              <w:bottom w:val="single" w:sz="8" w:space="0" w:color="003366"/>
              <w:right w:val="nil"/>
            </w:tcBorders>
            <w:shd w:val="clear" w:color="000000" w:fill="FFFFFF"/>
            <w:noWrap/>
            <w:vAlign w:val="center"/>
            <w:hideMark/>
          </w:tcPr>
          <w:p w:rsidR="00F44AFB" w:rsidRPr="00E4371E" w:rsidRDefault="00F44AFB" w:rsidP="00F44AFB">
            <w:pPr>
              <w:widowControl/>
              <w:jc w:val="center"/>
              <w:rPr>
                <w:rFonts w:ascii="宋体" w:eastAsia="宋体" w:hAnsi="宋体" w:cs="宋体"/>
                <w:b/>
                <w:bCs/>
                <w:kern w:val="0"/>
                <w:sz w:val="18"/>
                <w:szCs w:val="18"/>
              </w:rPr>
            </w:pPr>
            <w:r w:rsidRPr="00E4371E">
              <w:rPr>
                <w:rFonts w:ascii="宋体" w:eastAsia="宋体" w:hAnsi="宋体" w:cs="宋体" w:hint="eastAsia"/>
                <w:b/>
                <w:bCs/>
                <w:kern w:val="0"/>
                <w:sz w:val="18"/>
                <w:szCs w:val="18"/>
              </w:rPr>
              <w:t>合计</w:t>
            </w:r>
          </w:p>
        </w:tc>
        <w:tc>
          <w:tcPr>
            <w:tcW w:w="1338" w:type="dxa"/>
            <w:tcBorders>
              <w:top w:val="nil"/>
              <w:left w:val="nil"/>
              <w:bottom w:val="single" w:sz="8" w:space="0" w:color="003366"/>
              <w:right w:val="nil"/>
            </w:tcBorders>
            <w:shd w:val="clear" w:color="000000" w:fill="FFFFFF"/>
            <w:noWrap/>
            <w:vAlign w:val="center"/>
            <w:hideMark/>
          </w:tcPr>
          <w:p w:rsidR="00F44AFB" w:rsidRPr="00E4371E" w:rsidRDefault="00F44AFB" w:rsidP="00F44AFB">
            <w:pPr>
              <w:widowControl/>
              <w:jc w:val="right"/>
              <w:rPr>
                <w:rFonts w:ascii="Arial" w:eastAsia="宋体" w:hAnsi="Arial" w:cs="Arial"/>
                <w:b/>
                <w:bCs/>
                <w:kern w:val="0"/>
                <w:sz w:val="18"/>
                <w:szCs w:val="18"/>
              </w:rPr>
            </w:pPr>
            <w:r w:rsidRPr="00E4371E">
              <w:rPr>
                <w:rFonts w:ascii="Arial" w:eastAsia="宋体" w:hAnsi="Arial" w:cs="Arial"/>
                <w:b/>
                <w:bCs/>
                <w:kern w:val="0"/>
                <w:sz w:val="18"/>
                <w:szCs w:val="18"/>
              </w:rPr>
              <w:t xml:space="preserve">1,929 </w:t>
            </w:r>
          </w:p>
        </w:tc>
        <w:tc>
          <w:tcPr>
            <w:tcW w:w="1314" w:type="dxa"/>
            <w:tcBorders>
              <w:top w:val="nil"/>
              <w:left w:val="nil"/>
              <w:bottom w:val="single" w:sz="8" w:space="0" w:color="003366"/>
              <w:right w:val="nil"/>
            </w:tcBorders>
            <w:shd w:val="clear" w:color="000000" w:fill="FFFFFF"/>
            <w:noWrap/>
            <w:vAlign w:val="center"/>
            <w:hideMark/>
          </w:tcPr>
          <w:p w:rsidR="00F44AFB" w:rsidRPr="00E4371E" w:rsidRDefault="00F44AFB" w:rsidP="00F44AFB">
            <w:pPr>
              <w:widowControl/>
              <w:jc w:val="right"/>
              <w:rPr>
                <w:rFonts w:ascii="Arial" w:eastAsia="宋体" w:hAnsi="Arial" w:cs="Arial"/>
                <w:b/>
                <w:bCs/>
                <w:kern w:val="0"/>
                <w:sz w:val="18"/>
                <w:szCs w:val="18"/>
              </w:rPr>
            </w:pPr>
            <w:r w:rsidRPr="00E4371E">
              <w:rPr>
                <w:rFonts w:ascii="Arial" w:eastAsia="宋体" w:hAnsi="Arial" w:cs="Arial"/>
                <w:b/>
                <w:bCs/>
                <w:kern w:val="0"/>
                <w:sz w:val="18"/>
                <w:szCs w:val="18"/>
              </w:rPr>
              <w:t>100.0%</w:t>
            </w:r>
          </w:p>
        </w:tc>
        <w:tc>
          <w:tcPr>
            <w:tcW w:w="1290" w:type="dxa"/>
            <w:tcBorders>
              <w:top w:val="nil"/>
              <w:left w:val="nil"/>
              <w:bottom w:val="single" w:sz="8" w:space="0" w:color="003366"/>
              <w:right w:val="nil"/>
            </w:tcBorders>
            <w:shd w:val="clear" w:color="000000" w:fill="FFFFFF"/>
            <w:noWrap/>
            <w:vAlign w:val="center"/>
            <w:hideMark/>
          </w:tcPr>
          <w:p w:rsidR="00F44AFB" w:rsidRPr="00E4371E" w:rsidRDefault="00F44AFB" w:rsidP="00F44AFB">
            <w:pPr>
              <w:widowControl/>
              <w:jc w:val="right"/>
              <w:rPr>
                <w:rFonts w:ascii="Arial" w:eastAsia="宋体" w:hAnsi="Arial" w:cs="Arial"/>
                <w:b/>
                <w:bCs/>
                <w:kern w:val="0"/>
                <w:sz w:val="18"/>
                <w:szCs w:val="18"/>
              </w:rPr>
            </w:pPr>
            <w:r w:rsidRPr="00E4371E">
              <w:rPr>
                <w:rFonts w:ascii="Arial" w:eastAsia="宋体" w:hAnsi="Arial" w:cs="Arial"/>
                <w:b/>
                <w:bCs/>
                <w:kern w:val="0"/>
                <w:sz w:val="18"/>
                <w:szCs w:val="18"/>
              </w:rPr>
              <w:t xml:space="preserve">1,815 </w:t>
            </w:r>
          </w:p>
        </w:tc>
        <w:tc>
          <w:tcPr>
            <w:tcW w:w="1410" w:type="dxa"/>
            <w:tcBorders>
              <w:top w:val="nil"/>
              <w:left w:val="nil"/>
              <w:bottom w:val="single" w:sz="8" w:space="0" w:color="003366"/>
              <w:right w:val="nil"/>
            </w:tcBorders>
            <w:shd w:val="clear" w:color="000000" w:fill="FFFFFF"/>
            <w:noWrap/>
            <w:vAlign w:val="center"/>
            <w:hideMark/>
          </w:tcPr>
          <w:p w:rsidR="00F44AFB" w:rsidRPr="00E4371E" w:rsidRDefault="00F44AFB" w:rsidP="00F44AFB">
            <w:pPr>
              <w:widowControl/>
              <w:jc w:val="right"/>
              <w:rPr>
                <w:rFonts w:ascii="Arial" w:eastAsia="宋体" w:hAnsi="Arial" w:cs="Arial"/>
                <w:b/>
                <w:bCs/>
                <w:kern w:val="0"/>
                <w:sz w:val="18"/>
                <w:szCs w:val="18"/>
              </w:rPr>
            </w:pPr>
            <w:r w:rsidRPr="00E4371E">
              <w:rPr>
                <w:rFonts w:ascii="Arial" w:eastAsia="宋体" w:hAnsi="Arial" w:cs="Arial"/>
                <w:b/>
                <w:bCs/>
                <w:kern w:val="0"/>
                <w:sz w:val="18"/>
                <w:szCs w:val="18"/>
              </w:rPr>
              <w:t xml:space="preserve">118,489.54 </w:t>
            </w:r>
          </w:p>
        </w:tc>
        <w:tc>
          <w:tcPr>
            <w:tcW w:w="1290" w:type="dxa"/>
            <w:tcBorders>
              <w:top w:val="nil"/>
              <w:left w:val="nil"/>
              <w:bottom w:val="single" w:sz="8" w:space="0" w:color="003366"/>
              <w:right w:val="nil"/>
            </w:tcBorders>
            <w:shd w:val="clear" w:color="000000" w:fill="FFFFFF"/>
            <w:noWrap/>
            <w:vAlign w:val="center"/>
            <w:hideMark/>
          </w:tcPr>
          <w:p w:rsidR="00F44AFB" w:rsidRPr="00E4371E" w:rsidRDefault="00F44AFB" w:rsidP="00F44AFB">
            <w:pPr>
              <w:widowControl/>
              <w:jc w:val="right"/>
              <w:rPr>
                <w:rFonts w:ascii="Arial" w:eastAsia="宋体" w:hAnsi="Arial" w:cs="Arial"/>
                <w:b/>
                <w:bCs/>
                <w:kern w:val="0"/>
                <w:sz w:val="18"/>
                <w:szCs w:val="18"/>
              </w:rPr>
            </w:pPr>
            <w:r w:rsidRPr="00E4371E">
              <w:rPr>
                <w:rFonts w:ascii="Arial" w:eastAsia="宋体" w:hAnsi="Arial" w:cs="Arial"/>
                <w:b/>
                <w:bCs/>
                <w:kern w:val="0"/>
                <w:sz w:val="18"/>
                <w:szCs w:val="18"/>
              </w:rPr>
              <w:t>100.0%</w:t>
            </w:r>
          </w:p>
        </w:tc>
        <w:tc>
          <w:tcPr>
            <w:tcW w:w="1290" w:type="dxa"/>
            <w:tcBorders>
              <w:top w:val="nil"/>
              <w:left w:val="nil"/>
              <w:bottom w:val="single" w:sz="8" w:space="0" w:color="003366"/>
              <w:right w:val="nil"/>
            </w:tcBorders>
            <w:shd w:val="clear" w:color="000000" w:fill="FFFFFF"/>
            <w:noWrap/>
            <w:vAlign w:val="center"/>
            <w:hideMark/>
          </w:tcPr>
          <w:p w:rsidR="00F44AFB" w:rsidRPr="00E4371E" w:rsidRDefault="00F44AFB" w:rsidP="00F44AFB">
            <w:pPr>
              <w:widowControl/>
              <w:jc w:val="right"/>
              <w:rPr>
                <w:rFonts w:ascii="Arial" w:eastAsia="宋体" w:hAnsi="Arial" w:cs="Arial"/>
                <w:b/>
                <w:bCs/>
                <w:kern w:val="0"/>
                <w:sz w:val="18"/>
                <w:szCs w:val="18"/>
              </w:rPr>
            </w:pPr>
            <w:r w:rsidRPr="00E4371E">
              <w:rPr>
                <w:rFonts w:ascii="Arial" w:eastAsia="宋体" w:hAnsi="Arial" w:cs="Arial"/>
                <w:b/>
                <w:bCs/>
                <w:kern w:val="0"/>
                <w:sz w:val="18"/>
                <w:szCs w:val="18"/>
              </w:rPr>
              <w:t xml:space="preserve">65.28 </w:t>
            </w:r>
          </w:p>
        </w:tc>
      </w:tr>
    </w:tbl>
    <w:p w:rsidR="00F44AFB" w:rsidRPr="000F1C1F" w:rsidRDefault="00F44AFB" w:rsidP="00F44AFB">
      <w:pPr>
        <w:spacing w:line="360" w:lineRule="exact"/>
        <w:rPr>
          <w:rStyle w:val="a6"/>
          <w:rFonts w:ascii="Arial" w:eastAsia="宋体" w:hAnsi="Arial" w:cs="Arial"/>
          <w:sz w:val="18"/>
          <w:szCs w:val="18"/>
          <w:shd w:val="clear" w:color="auto" w:fill="FFFFFF"/>
        </w:rPr>
      </w:pPr>
      <w:r w:rsidRPr="000F1C1F">
        <w:rPr>
          <w:rFonts w:ascii="Arial" w:eastAsia="宋体" w:hAnsi="Arial" w:cs="Arial"/>
          <w:bCs/>
          <w:sz w:val="18"/>
          <w:szCs w:val="18"/>
          <w:shd w:val="clear" w:color="auto" w:fill="FFFFFF"/>
        </w:rPr>
        <w:t>来源：私募通</w:t>
      </w:r>
      <w:r>
        <w:rPr>
          <w:rFonts w:ascii="Arial" w:eastAsia="宋体" w:hAnsi="Arial" w:cs="Arial"/>
          <w:bCs/>
          <w:sz w:val="18"/>
          <w:szCs w:val="18"/>
          <w:shd w:val="clear" w:color="auto" w:fill="FFFFFF"/>
        </w:rPr>
        <w:t xml:space="preserve"> 201</w:t>
      </w:r>
      <w:r>
        <w:rPr>
          <w:rFonts w:ascii="Arial" w:eastAsia="宋体" w:hAnsi="Arial" w:cs="Arial" w:hint="eastAsia"/>
          <w:bCs/>
          <w:sz w:val="18"/>
          <w:szCs w:val="18"/>
          <w:shd w:val="clear" w:color="auto" w:fill="FFFFFF"/>
        </w:rPr>
        <w:t>5</w:t>
      </w:r>
      <w:r w:rsidRPr="000F1C1F">
        <w:rPr>
          <w:rFonts w:ascii="Arial" w:eastAsia="宋体" w:hAnsi="Arial" w:cs="Arial"/>
          <w:bCs/>
          <w:sz w:val="18"/>
          <w:szCs w:val="18"/>
          <w:shd w:val="clear" w:color="auto" w:fill="FFFFFF"/>
        </w:rPr>
        <w:t>.01</w:t>
      </w:r>
      <w:r w:rsidR="00A20CBE">
        <w:rPr>
          <w:rFonts w:ascii="Arial" w:eastAsia="宋体" w:hAnsi="Arial" w:cs="Arial" w:hint="eastAsia"/>
          <w:bCs/>
          <w:sz w:val="18"/>
          <w:szCs w:val="18"/>
          <w:shd w:val="clear" w:color="auto" w:fill="FFFFFF"/>
        </w:rPr>
        <w:t xml:space="preserve">                                                                  </w:t>
      </w:r>
      <w:r w:rsidR="00154614" w:rsidRPr="00154614">
        <w:rPr>
          <w:rFonts w:ascii="Arial" w:eastAsia="宋体" w:hAnsi="Arial" w:cs="Arial"/>
          <w:bCs/>
          <w:sz w:val="18"/>
          <w:szCs w:val="18"/>
          <w:shd w:val="clear" w:color="auto" w:fill="FFFFFF"/>
        </w:rPr>
        <w:t>www.pedata.cn</w:t>
      </w:r>
    </w:p>
    <w:p w:rsidR="00F44AFB" w:rsidRPr="000F1C1F" w:rsidRDefault="00F44AFB" w:rsidP="00F44AFB">
      <w:pPr>
        <w:spacing w:line="360" w:lineRule="exact"/>
        <w:rPr>
          <w:rStyle w:val="a6"/>
          <w:rFonts w:ascii="Arial" w:eastAsia="宋体" w:hAnsi="Arial" w:cs="Arial"/>
          <w:sz w:val="18"/>
          <w:szCs w:val="18"/>
          <w:shd w:val="clear" w:color="auto" w:fill="FFFFFF"/>
        </w:rPr>
      </w:pPr>
    </w:p>
    <w:p w:rsidR="0063368A" w:rsidRPr="000F1C1F" w:rsidRDefault="00984265" w:rsidP="00451CDE">
      <w:pPr>
        <w:spacing w:line="360" w:lineRule="exact"/>
        <w:ind w:firstLineChars="200" w:firstLine="420"/>
        <w:rPr>
          <w:rFonts w:ascii="Arial" w:eastAsia="宋体" w:hAnsi="Arial" w:cs="Arial"/>
          <w:szCs w:val="21"/>
        </w:rPr>
      </w:pPr>
      <w:r>
        <w:rPr>
          <w:rFonts w:ascii="Arial" w:eastAsia="宋体" w:hAnsi="Arial" w:cs="Arial" w:hint="eastAsia"/>
          <w:szCs w:val="21"/>
        </w:rPr>
        <w:t>2014</w:t>
      </w:r>
      <w:r>
        <w:rPr>
          <w:rFonts w:ascii="Arial" w:eastAsia="宋体" w:hAnsi="Arial" w:cs="Arial" w:hint="eastAsia"/>
          <w:szCs w:val="21"/>
        </w:rPr>
        <w:t>年，</w:t>
      </w:r>
      <w:r w:rsidR="00A92923">
        <w:rPr>
          <w:rFonts w:ascii="Arial" w:eastAsia="宋体" w:hAnsi="Arial" w:cs="Arial" w:hint="eastAsia"/>
          <w:szCs w:val="21"/>
        </w:rPr>
        <w:t>受</w:t>
      </w:r>
      <w:r>
        <w:rPr>
          <w:rFonts w:hint="eastAsia"/>
          <w:color w:val="000000"/>
          <w:szCs w:val="21"/>
          <w:shd w:val="clear" w:color="auto" w:fill="FFFFFF"/>
        </w:rPr>
        <w:t>国内兼并重组环境的改善</w:t>
      </w:r>
      <w:r w:rsidR="00BD667F">
        <w:rPr>
          <w:rFonts w:hint="eastAsia"/>
          <w:color w:val="000000"/>
          <w:szCs w:val="21"/>
          <w:shd w:val="clear" w:color="auto" w:fill="FFFFFF"/>
        </w:rPr>
        <w:t>、经济结构转型的要求</w:t>
      </w:r>
      <w:r>
        <w:rPr>
          <w:rFonts w:ascii="Arial" w:eastAsia="宋体" w:hAnsi="Arial" w:cs="Arial" w:hint="eastAsia"/>
          <w:szCs w:val="21"/>
        </w:rPr>
        <w:t>和企业“走出去”战略的加快推进</w:t>
      </w:r>
      <w:r w:rsidR="00E64C25" w:rsidRPr="000F1C1F">
        <w:rPr>
          <w:rFonts w:ascii="Arial" w:eastAsia="宋体" w:hAnsi="Arial" w:cs="Arial"/>
          <w:szCs w:val="21"/>
        </w:rPr>
        <w:t>，</w:t>
      </w:r>
      <w:r w:rsidR="00D575C7" w:rsidRPr="000F1C1F">
        <w:rPr>
          <w:rFonts w:ascii="Arial" w:eastAsia="宋体" w:hAnsi="Arial" w:cs="Arial"/>
          <w:szCs w:val="21"/>
        </w:rPr>
        <w:t>国内并购和跨境</w:t>
      </w:r>
      <w:proofErr w:type="gramStart"/>
      <w:r w:rsidR="00D575C7" w:rsidRPr="000F1C1F">
        <w:rPr>
          <w:rFonts w:ascii="Arial" w:eastAsia="宋体" w:hAnsi="Arial" w:cs="Arial"/>
          <w:szCs w:val="21"/>
        </w:rPr>
        <w:t>并购均</w:t>
      </w:r>
      <w:proofErr w:type="gramEnd"/>
      <w:r w:rsidR="00D575C7" w:rsidRPr="000F1C1F">
        <w:rPr>
          <w:rFonts w:ascii="Arial" w:eastAsia="宋体" w:hAnsi="Arial" w:cs="Arial"/>
          <w:szCs w:val="21"/>
        </w:rPr>
        <w:t>出现不同程度的增长。</w:t>
      </w:r>
      <w:r w:rsidR="00BD667F">
        <w:rPr>
          <w:rFonts w:ascii="Arial" w:eastAsia="宋体" w:hAnsi="Arial" w:cs="Arial" w:hint="eastAsia"/>
          <w:szCs w:val="21"/>
        </w:rPr>
        <w:t>随着行业</w:t>
      </w:r>
      <w:proofErr w:type="gramStart"/>
      <w:r w:rsidR="00BD667F">
        <w:rPr>
          <w:rFonts w:ascii="Arial" w:eastAsia="宋体" w:hAnsi="Arial" w:cs="Arial" w:hint="eastAsia"/>
          <w:szCs w:val="21"/>
        </w:rPr>
        <w:t>整合步伐</w:t>
      </w:r>
      <w:proofErr w:type="gramEnd"/>
      <w:r w:rsidR="00BD667F">
        <w:rPr>
          <w:rFonts w:ascii="Arial" w:eastAsia="宋体" w:hAnsi="Arial" w:cs="Arial" w:hint="eastAsia"/>
          <w:szCs w:val="21"/>
        </w:rPr>
        <w:t>的加快和上市公司</w:t>
      </w:r>
      <w:r w:rsidR="00E64C25" w:rsidRPr="000F1C1F">
        <w:rPr>
          <w:rFonts w:ascii="Arial" w:eastAsia="宋体" w:hAnsi="Arial" w:cs="Arial"/>
          <w:szCs w:val="21"/>
        </w:rPr>
        <w:t>重组</w:t>
      </w:r>
      <w:r w:rsidR="00BD667F">
        <w:rPr>
          <w:rFonts w:ascii="Arial" w:eastAsia="宋体" w:hAnsi="Arial" w:cs="Arial" w:hint="eastAsia"/>
          <w:szCs w:val="21"/>
        </w:rPr>
        <w:t>政策的松绑</w:t>
      </w:r>
      <w:r w:rsidR="00E64C25" w:rsidRPr="000F1C1F">
        <w:rPr>
          <w:rFonts w:ascii="Arial" w:eastAsia="宋体" w:hAnsi="Arial" w:cs="Arial"/>
          <w:szCs w:val="21"/>
        </w:rPr>
        <w:t>，国内并购市场在交易量和交易金额上爆发性突破历史高点，共完成并购案例</w:t>
      </w:r>
      <w:r w:rsidR="00E4371E">
        <w:rPr>
          <w:rFonts w:ascii="Arial" w:eastAsia="宋体" w:hAnsi="Arial" w:cs="Arial" w:hint="eastAsia"/>
          <w:szCs w:val="21"/>
          <w:shd w:val="clear" w:color="auto" w:fill="FFFFFF"/>
        </w:rPr>
        <w:t>1,737</w:t>
      </w:r>
      <w:r w:rsidR="00E64C25" w:rsidRPr="000F1C1F">
        <w:rPr>
          <w:rFonts w:ascii="Arial" w:eastAsia="宋体" w:hAnsi="Arial" w:cs="Arial"/>
          <w:szCs w:val="21"/>
        </w:rPr>
        <w:t>起，</w:t>
      </w:r>
      <w:r w:rsidR="00D575C7" w:rsidRPr="000F1C1F">
        <w:rPr>
          <w:rFonts w:ascii="Arial" w:eastAsia="宋体" w:hAnsi="Arial" w:cs="Arial"/>
          <w:szCs w:val="21"/>
        </w:rPr>
        <w:t>涉及金额</w:t>
      </w:r>
      <w:r w:rsidR="00E4371E">
        <w:rPr>
          <w:rFonts w:ascii="Arial" w:eastAsia="宋体" w:hAnsi="Arial" w:cs="Arial" w:hint="eastAsia"/>
          <w:szCs w:val="21"/>
          <w:shd w:val="clear" w:color="auto" w:fill="FFFFFF"/>
        </w:rPr>
        <w:t>813.21</w:t>
      </w:r>
      <w:r w:rsidR="00D575C7" w:rsidRPr="000F1C1F">
        <w:rPr>
          <w:rFonts w:ascii="Arial" w:eastAsia="宋体" w:hAnsi="Arial" w:cs="Arial"/>
          <w:szCs w:val="21"/>
        </w:rPr>
        <w:t>亿美元，平均交易额为</w:t>
      </w:r>
      <w:r w:rsidR="00E4371E">
        <w:rPr>
          <w:rFonts w:ascii="Arial" w:eastAsia="宋体" w:hAnsi="Arial" w:cs="Arial" w:hint="eastAsia"/>
          <w:szCs w:val="21"/>
        </w:rPr>
        <w:t>0.50</w:t>
      </w:r>
      <w:r w:rsidR="00ED5429">
        <w:rPr>
          <w:rFonts w:ascii="Arial" w:eastAsia="宋体" w:hAnsi="Arial" w:cs="Arial" w:hint="eastAsia"/>
          <w:szCs w:val="21"/>
        </w:rPr>
        <w:t>亿</w:t>
      </w:r>
      <w:r w:rsidR="00D575C7" w:rsidRPr="000F1C1F">
        <w:rPr>
          <w:rFonts w:ascii="Arial" w:eastAsia="宋体" w:hAnsi="Arial" w:cs="Arial"/>
          <w:szCs w:val="21"/>
        </w:rPr>
        <w:t>美元</w:t>
      </w:r>
      <w:r w:rsidR="00ED5429">
        <w:rPr>
          <w:rFonts w:ascii="Arial" w:eastAsia="宋体" w:hAnsi="Arial" w:cs="Arial" w:hint="eastAsia"/>
          <w:szCs w:val="21"/>
        </w:rPr>
        <w:t>，同比小幅上扬</w:t>
      </w:r>
      <w:r w:rsidR="00C62C77">
        <w:rPr>
          <w:rFonts w:ascii="Arial" w:eastAsia="宋体" w:hAnsi="Arial" w:cs="Arial" w:hint="eastAsia"/>
          <w:szCs w:val="21"/>
        </w:rPr>
        <w:t>（见图</w:t>
      </w:r>
      <w:r w:rsidR="00C62C77">
        <w:rPr>
          <w:rFonts w:ascii="Arial" w:eastAsia="宋体" w:hAnsi="Arial" w:cs="Arial" w:hint="eastAsia"/>
          <w:szCs w:val="21"/>
        </w:rPr>
        <w:t>2</w:t>
      </w:r>
      <w:r w:rsidR="00C62C77">
        <w:rPr>
          <w:rFonts w:ascii="Arial" w:eastAsia="宋体" w:hAnsi="Arial" w:cs="Arial" w:hint="eastAsia"/>
          <w:szCs w:val="21"/>
        </w:rPr>
        <w:t>）</w:t>
      </w:r>
      <w:r w:rsidR="00ED5429">
        <w:rPr>
          <w:rFonts w:ascii="Arial" w:eastAsia="宋体" w:hAnsi="Arial" w:cs="Arial"/>
          <w:szCs w:val="21"/>
        </w:rPr>
        <w:t>；跨境并购虽然活跃度</w:t>
      </w:r>
      <w:r w:rsidR="00ED5429">
        <w:rPr>
          <w:rFonts w:ascii="Arial" w:eastAsia="宋体" w:hAnsi="Arial" w:cs="Arial" w:hint="eastAsia"/>
          <w:szCs w:val="21"/>
        </w:rPr>
        <w:t>有所增长</w:t>
      </w:r>
      <w:r w:rsidR="00D575C7" w:rsidRPr="000F1C1F">
        <w:rPr>
          <w:rFonts w:ascii="Arial" w:eastAsia="宋体" w:hAnsi="Arial" w:cs="Arial"/>
          <w:szCs w:val="21"/>
        </w:rPr>
        <w:t>，但在</w:t>
      </w:r>
      <w:r w:rsidR="00ED5429">
        <w:rPr>
          <w:rFonts w:ascii="Arial" w:eastAsia="宋体" w:hAnsi="Arial" w:cs="Arial" w:hint="eastAsia"/>
          <w:szCs w:val="21"/>
        </w:rPr>
        <w:t>交易</w:t>
      </w:r>
      <w:r w:rsidR="00ED5429">
        <w:rPr>
          <w:rFonts w:ascii="Arial" w:eastAsia="宋体" w:hAnsi="Arial" w:cs="Arial"/>
          <w:szCs w:val="21"/>
        </w:rPr>
        <w:t>金额方面</w:t>
      </w:r>
      <w:r w:rsidR="00ED5429">
        <w:rPr>
          <w:rFonts w:ascii="Arial" w:eastAsia="宋体" w:hAnsi="Arial" w:cs="Arial" w:hint="eastAsia"/>
          <w:szCs w:val="21"/>
        </w:rPr>
        <w:t>出现下滑。</w:t>
      </w:r>
      <w:r w:rsidR="008A749E" w:rsidRPr="000F1C1F">
        <w:rPr>
          <w:rFonts w:ascii="Arial" w:eastAsia="宋体" w:hAnsi="Arial" w:cs="Arial"/>
          <w:szCs w:val="21"/>
        </w:rPr>
        <w:t>2013</w:t>
      </w:r>
      <w:r w:rsidR="008A749E" w:rsidRPr="000F1C1F">
        <w:rPr>
          <w:rFonts w:ascii="Arial" w:eastAsia="宋体" w:hAnsi="Arial" w:cs="Arial"/>
          <w:szCs w:val="21"/>
        </w:rPr>
        <w:t>年</w:t>
      </w:r>
      <w:r w:rsidR="00D575C7" w:rsidRPr="000F1C1F">
        <w:rPr>
          <w:rFonts w:ascii="Arial" w:eastAsia="宋体" w:hAnsi="Arial" w:cs="Arial"/>
          <w:szCs w:val="21"/>
        </w:rPr>
        <w:t>跨境并购共完成</w:t>
      </w:r>
      <w:r w:rsidR="00ED5429">
        <w:rPr>
          <w:rFonts w:ascii="Arial" w:eastAsia="宋体" w:hAnsi="Arial" w:cs="Arial"/>
          <w:szCs w:val="21"/>
        </w:rPr>
        <w:t>1</w:t>
      </w:r>
      <w:r w:rsidR="00E4371E">
        <w:rPr>
          <w:rFonts w:ascii="Arial" w:eastAsia="宋体" w:hAnsi="Arial" w:cs="Arial" w:hint="eastAsia"/>
          <w:szCs w:val="21"/>
        </w:rPr>
        <w:t>92</w:t>
      </w:r>
      <w:r w:rsidR="00D575C7" w:rsidRPr="000F1C1F">
        <w:rPr>
          <w:rFonts w:ascii="Arial" w:eastAsia="宋体" w:hAnsi="Arial" w:cs="Arial"/>
          <w:szCs w:val="21"/>
        </w:rPr>
        <w:t>起，</w:t>
      </w:r>
      <w:r w:rsidR="00ED5429">
        <w:rPr>
          <w:rFonts w:ascii="Arial" w:eastAsia="宋体" w:hAnsi="Arial" w:cs="Arial" w:hint="eastAsia"/>
          <w:szCs w:val="21"/>
        </w:rPr>
        <w:t>同比增加</w:t>
      </w:r>
      <w:r w:rsidR="00E4371E">
        <w:rPr>
          <w:rFonts w:ascii="Arial" w:eastAsia="宋体" w:hAnsi="Arial" w:cs="Arial" w:hint="eastAsia"/>
          <w:szCs w:val="21"/>
        </w:rPr>
        <w:t>55</w:t>
      </w:r>
      <w:r w:rsidR="00ED5429">
        <w:rPr>
          <w:rFonts w:ascii="Arial" w:eastAsia="宋体" w:hAnsi="Arial" w:cs="Arial" w:hint="eastAsia"/>
          <w:szCs w:val="21"/>
        </w:rPr>
        <w:t>起，</w:t>
      </w:r>
      <w:r w:rsidR="00D575C7" w:rsidRPr="000F1C1F">
        <w:rPr>
          <w:rFonts w:ascii="Arial" w:eastAsia="宋体" w:hAnsi="Arial" w:cs="Arial"/>
          <w:szCs w:val="21"/>
        </w:rPr>
        <w:t>涉及交易额</w:t>
      </w:r>
      <w:r w:rsidR="00E4371E">
        <w:rPr>
          <w:rFonts w:ascii="Arial" w:eastAsia="宋体" w:hAnsi="Arial" w:cs="Arial" w:hint="eastAsia"/>
          <w:szCs w:val="21"/>
        </w:rPr>
        <w:t>371</w:t>
      </w:r>
      <w:r w:rsidR="00ED5429">
        <w:rPr>
          <w:rFonts w:ascii="Arial" w:eastAsia="宋体" w:hAnsi="Arial" w:cs="Arial"/>
          <w:szCs w:val="21"/>
        </w:rPr>
        <w:t>.</w:t>
      </w:r>
      <w:r w:rsidR="00E4371E">
        <w:rPr>
          <w:rFonts w:ascii="Arial" w:eastAsia="宋体" w:hAnsi="Arial" w:cs="Arial" w:hint="eastAsia"/>
          <w:szCs w:val="21"/>
        </w:rPr>
        <w:t>68</w:t>
      </w:r>
      <w:r w:rsidR="00D575C7" w:rsidRPr="000F1C1F">
        <w:rPr>
          <w:rFonts w:ascii="Arial" w:eastAsia="宋体" w:hAnsi="Arial" w:cs="Arial"/>
          <w:szCs w:val="21"/>
        </w:rPr>
        <w:t>亿美元，</w:t>
      </w:r>
      <w:r w:rsidR="00ED5429">
        <w:rPr>
          <w:rFonts w:ascii="Arial" w:eastAsia="宋体" w:hAnsi="Arial" w:cs="Arial" w:hint="eastAsia"/>
          <w:szCs w:val="21"/>
        </w:rPr>
        <w:t>同比下跌</w:t>
      </w:r>
      <w:r w:rsidR="00E4371E">
        <w:rPr>
          <w:rFonts w:ascii="Arial" w:eastAsia="宋体" w:hAnsi="Arial" w:cs="Arial" w:hint="eastAsia"/>
          <w:szCs w:val="21"/>
        </w:rPr>
        <w:t>27.8</w:t>
      </w:r>
      <w:r w:rsidR="00ED5429">
        <w:rPr>
          <w:rFonts w:ascii="Arial" w:eastAsia="宋体" w:hAnsi="Arial" w:cs="Arial" w:hint="eastAsia"/>
          <w:szCs w:val="21"/>
        </w:rPr>
        <w:t>%</w:t>
      </w:r>
      <w:r w:rsidR="00ED5429">
        <w:rPr>
          <w:rFonts w:ascii="Arial" w:eastAsia="宋体" w:hAnsi="Arial" w:cs="Arial" w:hint="eastAsia"/>
          <w:szCs w:val="21"/>
        </w:rPr>
        <w:t>，</w:t>
      </w:r>
      <w:r w:rsidR="00ED5429">
        <w:rPr>
          <w:rFonts w:ascii="Arial" w:eastAsia="宋体" w:hAnsi="Arial" w:cs="Arial"/>
          <w:szCs w:val="21"/>
        </w:rPr>
        <w:t>平均交易金额</w:t>
      </w:r>
      <w:r w:rsidR="00ED5429">
        <w:rPr>
          <w:rFonts w:ascii="Arial" w:eastAsia="宋体" w:hAnsi="Arial" w:cs="Arial" w:hint="eastAsia"/>
          <w:szCs w:val="21"/>
        </w:rPr>
        <w:t>为</w:t>
      </w:r>
      <w:r w:rsidR="00ED5429">
        <w:rPr>
          <w:rFonts w:ascii="Arial" w:eastAsia="宋体" w:hAnsi="Arial" w:cs="Arial" w:hint="eastAsia"/>
          <w:szCs w:val="21"/>
        </w:rPr>
        <w:t>2</w:t>
      </w:r>
      <w:r w:rsidR="00ED5429">
        <w:rPr>
          <w:rFonts w:ascii="Arial" w:eastAsia="宋体" w:hAnsi="Arial" w:cs="Arial"/>
          <w:szCs w:val="21"/>
        </w:rPr>
        <w:t>.</w:t>
      </w:r>
      <w:r w:rsidR="00E4371E">
        <w:rPr>
          <w:rFonts w:ascii="Arial" w:eastAsia="宋体" w:hAnsi="Arial" w:cs="Arial" w:hint="eastAsia"/>
          <w:szCs w:val="21"/>
        </w:rPr>
        <w:t>23</w:t>
      </w:r>
      <w:r w:rsidR="00D575C7" w:rsidRPr="000F1C1F">
        <w:rPr>
          <w:rFonts w:ascii="Arial" w:eastAsia="宋体" w:hAnsi="Arial" w:cs="Arial"/>
          <w:szCs w:val="21"/>
        </w:rPr>
        <w:t>亿美元</w:t>
      </w:r>
      <w:r w:rsidR="00ED5429">
        <w:rPr>
          <w:rFonts w:ascii="Arial" w:eastAsia="宋体" w:hAnsi="Arial" w:cs="Arial" w:hint="eastAsia"/>
          <w:szCs w:val="21"/>
        </w:rPr>
        <w:t>，远低于</w:t>
      </w:r>
      <w:r w:rsidR="00ED5429">
        <w:rPr>
          <w:rFonts w:ascii="Arial" w:eastAsia="宋体" w:hAnsi="Arial" w:cs="Arial" w:hint="eastAsia"/>
          <w:szCs w:val="21"/>
        </w:rPr>
        <w:t>2013</w:t>
      </w:r>
      <w:r w:rsidR="00ED5429">
        <w:rPr>
          <w:rFonts w:ascii="Arial" w:eastAsia="宋体" w:hAnsi="Arial" w:cs="Arial" w:hint="eastAsia"/>
          <w:szCs w:val="21"/>
        </w:rPr>
        <w:t>年的</w:t>
      </w:r>
      <w:r w:rsidR="00ED5429">
        <w:rPr>
          <w:rFonts w:ascii="Arial" w:eastAsia="宋体" w:hAnsi="Arial" w:cs="Arial" w:hint="eastAsia"/>
          <w:szCs w:val="21"/>
        </w:rPr>
        <w:t>4.86</w:t>
      </w:r>
      <w:r w:rsidR="00ED5429">
        <w:rPr>
          <w:rFonts w:ascii="Arial" w:eastAsia="宋体" w:hAnsi="Arial" w:cs="Arial" w:hint="eastAsia"/>
          <w:szCs w:val="21"/>
        </w:rPr>
        <w:t>亿美元</w:t>
      </w:r>
      <w:r w:rsidR="00C62C77">
        <w:rPr>
          <w:rFonts w:ascii="Arial" w:eastAsia="宋体" w:hAnsi="Arial" w:cs="Arial" w:hint="eastAsia"/>
          <w:szCs w:val="21"/>
        </w:rPr>
        <w:t>（见图</w:t>
      </w:r>
      <w:r w:rsidR="00C62C77">
        <w:rPr>
          <w:rFonts w:ascii="Arial" w:eastAsia="宋体" w:hAnsi="Arial" w:cs="Arial" w:hint="eastAsia"/>
          <w:szCs w:val="21"/>
        </w:rPr>
        <w:t>3</w:t>
      </w:r>
      <w:r w:rsidR="00C62C77">
        <w:rPr>
          <w:rFonts w:ascii="Arial" w:eastAsia="宋体" w:hAnsi="Arial" w:cs="Arial" w:hint="eastAsia"/>
          <w:szCs w:val="21"/>
        </w:rPr>
        <w:t>、</w:t>
      </w:r>
      <w:r w:rsidR="00C62C77">
        <w:rPr>
          <w:rFonts w:ascii="Arial" w:eastAsia="宋体" w:hAnsi="Arial" w:cs="Arial" w:hint="eastAsia"/>
          <w:szCs w:val="21"/>
        </w:rPr>
        <w:t>4</w:t>
      </w:r>
      <w:r w:rsidR="00C62C77">
        <w:rPr>
          <w:rFonts w:ascii="Arial" w:eastAsia="宋体" w:hAnsi="Arial" w:cs="Arial" w:hint="eastAsia"/>
          <w:szCs w:val="21"/>
        </w:rPr>
        <w:t>）</w:t>
      </w:r>
      <w:r w:rsidR="00ED5429">
        <w:rPr>
          <w:rFonts w:ascii="Arial" w:eastAsia="宋体" w:hAnsi="Arial" w:cs="Arial"/>
          <w:szCs w:val="21"/>
        </w:rPr>
        <w:t>。造成</w:t>
      </w:r>
      <w:r w:rsidR="00ED5429">
        <w:rPr>
          <w:rFonts w:ascii="Arial" w:eastAsia="宋体" w:hAnsi="Arial" w:cs="Arial" w:hint="eastAsia"/>
          <w:szCs w:val="21"/>
        </w:rPr>
        <w:t>活跃度增加但交易金额规模减少</w:t>
      </w:r>
      <w:r w:rsidR="00D575C7" w:rsidRPr="000F1C1F">
        <w:rPr>
          <w:rFonts w:ascii="Arial" w:eastAsia="宋体" w:hAnsi="Arial" w:cs="Arial"/>
          <w:szCs w:val="21"/>
        </w:rPr>
        <w:t>现象的主要原</w:t>
      </w:r>
      <w:r w:rsidR="003E4548">
        <w:rPr>
          <w:rFonts w:ascii="Arial" w:eastAsia="宋体" w:hAnsi="Arial" w:cs="Arial"/>
          <w:szCs w:val="21"/>
        </w:rPr>
        <w:t>因有</w:t>
      </w:r>
      <w:r w:rsidR="003E4548">
        <w:rPr>
          <w:rFonts w:ascii="Arial" w:eastAsia="宋体" w:hAnsi="Arial" w:cs="Arial" w:hint="eastAsia"/>
          <w:szCs w:val="21"/>
        </w:rPr>
        <w:t>三</w:t>
      </w:r>
      <w:r w:rsidR="00717CAE" w:rsidRPr="000F1C1F">
        <w:rPr>
          <w:rFonts w:ascii="Arial" w:eastAsia="宋体" w:hAnsi="Arial" w:cs="Arial"/>
          <w:szCs w:val="21"/>
        </w:rPr>
        <w:t>个方面</w:t>
      </w:r>
      <w:r w:rsidR="00D3283A" w:rsidRPr="000F1C1F">
        <w:rPr>
          <w:rFonts w:ascii="Arial" w:eastAsia="宋体" w:hAnsi="Arial" w:cs="Arial" w:hint="eastAsia"/>
          <w:szCs w:val="21"/>
        </w:rPr>
        <w:t>：</w:t>
      </w:r>
      <w:r w:rsidR="00717CAE" w:rsidRPr="000F1C1F">
        <w:rPr>
          <w:rFonts w:ascii="Arial" w:eastAsia="宋体" w:hAnsi="Arial" w:cs="Arial"/>
          <w:szCs w:val="21"/>
        </w:rPr>
        <w:t>一、</w:t>
      </w:r>
      <w:r w:rsidR="009764E1">
        <w:rPr>
          <w:rFonts w:ascii="Arial" w:hAnsi="Arial" w:cs="Arial"/>
          <w:color w:val="2B2B2B"/>
          <w:szCs w:val="21"/>
          <w:shd w:val="clear" w:color="auto" w:fill="FFFFFF"/>
        </w:rPr>
        <w:t>过去中国企业海外</w:t>
      </w:r>
      <w:r w:rsidR="009764E1">
        <w:rPr>
          <w:rFonts w:ascii="Arial" w:hAnsi="Arial" w:cs="Arial" w:hint="eastAsia"/>
          <w:color w:val="2B2B2B"/>
          <w:szCs w:val="21"/>
          <w:shd w:val="clear" w:color="auto" w:fill="FFFFFF"/>
        </w:rPr>
        <w:t>并购</w:t>
      </w:r>
      <w:r w:rsidR="00ED5429">
        <w:rPr>
          <w:rFonts w:ascii="Arial" w:hAnsi="Arial" w:cs="Arial"/>
          <w:color w:val="2B2B2B"/>
          <w:szCs w:val="21"/>
          <w:shd w:val="clear" w:color="auto" w:fill="FFFFFF"/>
        </w:rPr>
        <w:t>时，往往集中在</w:t>
      </w:r>
      <w:r w:rsidR="00ED5429">
        <w:rPr>
          <w:rFonts w:ascii="Arial" w:hAnsi="Arial" w:cs="Arial" w:hint="eastAsia"/>
          <w:color w:val="2B2B2B"/>
          <w:szCs w:val="21"/>
          <w:shd w:val="clear" w:color="auto" w:fill="FFFFFF"/>
        </w:rPr>
        <w:t>大型国有企业</w:t>
      </w:r>
      <w:r w:rsidR="009764E1">
        <w:rPr>
          <w:rFonts w:ascii="Arial" w:hAnsi="Arial" w:cs="Arial" w:hint="eastAsia"/>
          <w:color w:val="2B2B2B"/>
          <w:szCs w:val="21"/>
          <w:shd w:val="clear" w:color="auto" w:fill="FFFFFF"/>
        </w:rPr>
        <w:t>，案例较少、交易金额较高</w:t>
      </w:r>
      <w:r w:rsidR="00ED5429">
        <w:rPr>
          <w:rFonts w:ascii="Arial" w:hAnsi="Arial" w:cs="Arial"/>
          <w:color w:val="2B2B2B"/>
          <w:szCs w:val="21"/>
          <w:shd w:val="clear" w:color="auto" w:fill="FFFFFF"/>
        </w:rPr>
        <w:t>。现在民营企业</w:t>
      </w:r>
      <w:r w:rsidR="00ED5429">
        <w:rPr>
          <w:rFonts w:ascii="Arial" w:hAnsi="Arial" w:cs="Arial" w:hint="eastAsia"/>
          <w:color w:val="2B2B2B"/>
          <w:szCs w:val="21"/>
          <w:shd w:val="clear" w:color="auto" w:fill="FFFFFF"/>
        </w:rPr>
        <w:t>的实力不断增强</w:t>
      </w:r>
      <w:r w:rsidR="00ED5429">
        <w:rPr>
          <w:rFonts w:ascii="Arial" w:hAnsi="Arial" w:cs="Arial"/>
          <w:color w:val="2B2B2B"/>
          <w:szCs w:val="21"/>
          <w:shd w:val="clear" w:color="auto" w:fill="FFFFFF"/>
        </w:rPr>
        <w:t>，这些效率更高、更会经营的主体更愿意去投资国外的品牌资源、科学技术和市场规模</w:t>
      </w:r>
      <w:r w:rsidR="00D575C7" w:rsidRPr="000F1C1F">
        <w:rPr>
          <w:rFonts w:ascii="Arial" w:eastAsia="宋体" w:hAnsi="Arial" w:cs="Arial"/>
          <w:szCs w:val="21"/>
        </w:rPr>
        <w:t>；二、</w:t>
      </w:r>
      <w:r w:rsidR="00ED5429">
        <w:rPr>
          <w:rFonts w:ascii="Arial" w:eastAsia="宋体" w:hAnsi="Arial" w:cs="Arial" w:hint="eastAsia"/>
          <w:szCs w:val="21"/>
        </w:rPr>
        <w:t>过去</w:t>
      </w:r>
      <w:r w:rsidR="00ED5429">
        <w:rPr>
          <w:rFonts w:ascii="Arial" w:hAnsi="Arial" w:cs="Arial" w:hint="eastAsia"/>
          <w:color w:val="2B2B2B"/>
          <w:szCs w:val="21"/>
          <w:shd w:val="clear" w:color="auto" w:fill="FFFFFF"/>
        </w:rPr>
        <w:t>大型国有</w:t>
      </w:r>
      <w:r w:rsidR="009764E1">
        <w:rPr>
          <w:rFonts w:ascii="Arial" w:hAnsi="Arial" w:cs="Arial"/>
          <w:color w:val="2B2B2B"/>
          <w:szCs w:val="21"/>
          <w:shd w:val="clear" w:color="auto" w:fill="FFFFFF"/>
        </w:rPr>
        <w:t>企业的海外</w:t>
      </w:r>
      <w:r w:rsidR="009764E1">
        <w:rPr>
          <w:rFonts w:ascii="Arial" w:hAnsi="Arial" w:cs="Arial" w:hint="eastAsia"/>
          <w:color w:val="2B2B2B"/>
          <w:szCs w:val="21"/>
          <w:shd w:val="clear" w:color="auto" w:fill="FFFFFF"/>
        </w:rPr>
        <w:t>并购</w:t>
      </w:r>
      <w:r w:rsidR="00ED5429">
        <w:rPr>
          <w:rFonts w:ascii="Arial" w:hAnsi="Arial" w:cs="Arial" w:hint="eastAsia"/>
          <w:color w:val="2B2B2B"/>
          <w:szCs w:val="21"/>
          <w:shd w:val="clear" w:color="auto" w:fill="FFFFFF"/>
        </w:rPr>
        <w:t>多数</w:t>
      </w:r>
      <w:r w:rsidR="00ED5429">
        <w:rPr>
          <w:rFonts w:ascii="Arial" w:hAnsi="Arial" w:cs="Arial"/>
          <w:color w:val="2B2B2B"/>
          <w:szCs w:val="21"/>
          <w:shd w:val="clear" w:color="auto" w:fill="FFFFFF"/>
        </w:rPr>
        <w:t>由政府主导</w:t>
      </w:r>
      <w:r w:rsidR="009764E1">
        <w:rPr>
          <w:rFonts w:ascii="Arial" w:hAnsi="Arial" w:cs="Arial" w:hint="eastAsia"/>
          <w:color w:val="2B2B2B"/>
          <w:szCs w:val="21"/>
          <w:shd w:val="clear" w:color="auto" w:fill="FFFFFF"/>
        </w:rPr>
        <w:t>，且集中于能源开发、基础设施建设和机械制造等重资产行业，交易</w:t>
      </w:r>
      <w:r w:rsidR="00ED5429">
        <w:rPr>
          <w:rFonts w:ascii="Arial" w:hAnsi="Arial" w:cs="Arial" w:hint="eastAsia"/>
          <w:color w:val="2B2B2B"/>
          <w:szCs w:val="21"/>
          <w:shd w:val="clear" w:color="auto" w:fill="FFFFFF"/>
        </w:rPr>
        <w:t>金额较高。现在民营企业走出去时更倾向于海外轻资产、收益高的行业</w:t>
      </w:r>
      <w:r w:rsidR="003E4548">
        <w:rPr>
          <w:rFonts w:ascii="Arial" w:hAnsi="Arial" w:cs="Arial" w:hint="eastAsia"/>
          <w:color w:val="2B2B2B"/>
          <w:szCs w:val="21"/>
          <w:shd w:val="clear" w:color="auto" w:fill="FFFFFF"/>
        </w:rPr>
        <w:t>，交易金额较以往大幅降低；三</w:t>
      </w:r>
      <w:r w:rsidR="00154614">
        <w:rPr>
          <w:rFonts w:ascii="Arial" w:hAnsi="Arial" w:cs="Arial" w:hint="eastAsia"/>
          <w:color w:val="2B2B2B"/>
          <w:szCs w:val="21"/>
          <w:shd w:val="clear" w:color="auto" w:fill="FFFFFF"/>
        </w:rPr>
        <w:t>、</w:t>
      </w:r>
      <w:r w:rsidR="00C62C77">
        <w:rPr>
          <w:rFonts w:ascii="Arial" w:hAnsi="Arial" w:cs="Arial" w:hint="eastAsia"/>
          <w:color w:val="2B2B2B"/>
          <w:szCs w:val="21"/>
          <w:shd w:val="clear" w:color="auto" w:fill="FFFFFF"/>
        </w:rPr>
        <w:t>发达经济体还处于经济复苏过程中，并购需求并未完全释放，且对华大</w:t>
      </w:r>
      <w:r w:rsidR="009764E1">
        <w:rPr>
          <w:rFonts w:ascii="Arial" w:hAnsi="Arial" w:cs="Arial" w:hint="eastAsia"/>
          <w:color w:val="2B2B2B"/>
          <w:szCs w:val="21"/>
          <w:shd w:val="clear" w:color="auto" w:fill="FFFFFF"/>
        </w:rPr>
        <w:t>型</w:t>
      </w:r>
      <w:r w:rsidR="00C62C77">
        <w:rPr>
          <w:rFonts w:ascii="Arial" w:hAnsi="Arial" w:cs="Arial" w:hint="eastAsia"/>
          <w:color w:val="2B2B2B"/>
          <w:szCs w:val="21"/>
          <w:shd w:val="clear" w:color="auto" w:fill="FFFFFF"/>
        </w:rPr>
        <w:t>资产标的</w:t>
      </w:r>
      <w:proofErr w:type="gramStart"/>
      <w:r w:rsidR="00C62C77">
        <w:rPr>
          <w:rFonts w:ascii="Arial" w:hAnsi="Arial" w:cs="Arial" w:hint="eastAsia"/>
          <w:color w:val="2B2B2B"/>
          <w:szCs w:val="21"/>
          <w:shd w:val="clear" w:color="auto" w:fill="FFFFFF"/>
        </w:rPr>
        <w:t>的</w:t>
      </w:r>
      <w:proofErr w:type="gramEnd"/>
      <w:r w:rsidR="00C62C77">
        <w:rPr>
          <w:rFonts w:ascii="Arial" w:hAnsi="Arial" w:cs="Arial" w:hint="eastAsia"/>
          <w:color w:val="2B2B2B"/>
          <w:szCs w:val="21"/>
          <w:shd w:val="clear" w:color="auto" w:fill="FFFFFF"/>
        </w:rPr>
        <w:t>青睐程度有所降低。</w:t>
      </w:r>
    </w:p>
    <w:p w:rsidR="00E64C25" w:rsidRPr="00ED5429" w:rsidRDefault="00E64C25" w:rsidP="00717CAE">
      <w:pPr>
        <w:spacing w:line="360" w:lineRule="exact"/>
        <w:rPr>
          <w:rFonts w:ascii="Arial" w:eastAsia="宋体" w:hAnsi="Arial" w:cs="Arial"/>
          <w:szCs w:val="21"/>
        </w:rPr>
      </w:pPr>
    </w:p>
    <w:p w:rsidR="002249D5" w:rsidRPr="000F1C1F" w:rsidRDefault="002249D5" w:rsidP="002249D5">
      <w:pPr>
        <w:spacing w:line="360" w:lineRule="exact"/>
        <w:rPr>
          <w:rStyle w:val="a6"/>
          <w:rFonts w:ascii="Arial" w:eastAsia="宋体" w:hAnsi="Arial" w:cs="Arial"/>
          <w:sz w:val="18"/>
          <w:szCs w:val="18"/>
          <w:shd w:val="clear" w:color="auto" w:fill="FFFFFF"/>
        </w:rPr>
      </w:pPr>
      <w:r w:rsidRPr="000F1C1F">
        <w:rPr>
          <w:rStyle w:val="a6"/>
          <w:rFonts w:ascii="Arial" w:eastAsia="宋体" w:hAnsi="Arial" w:cs="Arial"/>
          <w:sz w:val="18"/>
          <w:szCs w:val="18"/>
          <w:shd w:val="clear" w:color="auto" w:fill="FFFFFF"/>
        </w:rPr>
        <w:t>图</w:t>
      </w:r>
      <w:r w:rsidRPr="000F1C1F">
        <w:rPr>
          <w:rStyle w:val="a6"/>
          <w:rFonts w:ascii="Arial" w:eastAsia="宋体" w:hAnsi="Arial" w:cs="Arial"/>
          <w:sz w:val="18"/>
          <w:szCs w:val="18"/>
          <w:shd w:val="clear" w:color="auto" w:fill="FFFFFF"/>
        </w:rPr>
        <w:t>2</w:t>
      </w:r>
      <w:r w:rsidR="003E4548">
        <w:rPr>
          <w:rStyle w:val="a6"/>
          <w:rFonts w:ascii="Arial" w:eastAsia="宋体" w:hAnsi="Arial" w:cs="Arial"/>
          <w:sz w:val="18"/>
          <w:szCs w:val="18"/>
          <w:shd w:val="clear" w:color="auto" w:fill="FFFFFF"/>
        </w:rPr>
        <w:t>2007-201</w:t>
      </w:r>
      <w:r w:rsidR="003E4548">
        <w:rPr>
          <w:rStyle w:val="a6"/>
          <w:rFonts w:ascii="Arial" w:eastAsia="宋体" w:hAnsi="Arial" w:cs="Arial" w:hint="eastAsia"/>
          <w:sz w:val="18"/>
          <w:szCs w:val="18"/>
          <w:shd w:val="clear" w:color="auto" w:fill="FFFFFF"/>
        </w:rPr>
        <w:t>4</w:t>
      </w:r>
      <w:r w:rsidR="00440995">
        <w:rPr>
          <w:rStyle w:val="a6"/>
          <w:rFonts w:ascii="Arial" w:eastAsia="宋体" w:hAnsi="Arial" w:cs="Arial"/>
          <w:sz w:val="18"/>
          <w:szCs w:val="18"/>
          <w:shd w:val="clear" w:color="auto" w:fill="FFFFFF"/>
        </w:rPr>
        <w:t>年中国</w:t>
      </w:r>
      <w:r w:rsidR="00440995">
        <w:rPr>
          <w:rStyle w:val="a6"/>
          <w:rFonts w:ascii="Arial" w:eastAsia="宋体" w:hAnsi="Arial" w:cs="Arial" w:hint="eastAsia"/>
          <w:sz w:val="18"/>
          <w:szCs w:val="18"/>
          <w:shd w:val="clear" w:color="auto" w:fill="FFFFFF"/>
        </w:rPr>
        <w:t>并购市场</w:t>
      </w:r>
      <w:r w:rsidRPr="000F1C1F">
        <w:rPr>
          <w:rStyle w:val="a6"/>
          <w:rFonts w:ascii="Arial" w:eastAsia="宋体" w:hAnsi="Arial" w:cs="Arial"/>
          <w:sz w:val="18"/>
          <w:szCs w:val="18"/>
          <w:shd w:val="clear" w:color="auto" w:fill="FFFFFF"/>
        </w:rPr>
        <w:t>国内并购趋势</w:t>
      </w:r>
    </w:p>
    <w:p w:rsidR="00717CAE" w:rsidRPr="000F1C1F" w:rsidRDefault="00E4371E" w:rsidP="002249D5">
      <w:pPr>
        <w:pStyle w:val="a8"/>
        <w:rPr>
          <w:rStyle w:val="a6"/>
          <w:rFonts w:ascii="Arial" w:eastAsia="宋体" w:hAnsi="Arial" w:cs="Arial"/>
          <w:sz w:val="18"/>
          <w:szCs w:val="18"/>
          <w:shd w:val="clear" w:color="auto" w:fill="FFFFFF"/>
        </w:rPr>
      </w:pPr>
      <w:r w:rsidRPr="00E4371E">
        <w:rPr>
          <w:rStyle w:val="a6"/>
          <w:rFonts w:ascii="Arial" w:eastAsia="宋体" w:hAnsi="Arial" w:cs="Arial"/>
          <w:noProof/>
          <w:sz w:val="18"/>
          <w:szCs w:val="18"/>
          <w:shd w:val="clear" w:color="auto" w:fill="FFFFFF"/>
        </w:rPr>
        <w:lastRenderedPageBreak/>
        <w:drawing>
          <wp:inline distT="0" distB="0" distL="0" distR="0">
            <wp:extent cx="4791600" cy="3601050"/>
            <wp:effectExtent l="19050" t="0" r="47100" b="0"/>
            <wp:docPr id="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249D5" w:rsidRPr="000F1C1F" w:rsidRDefault="002249D5" w:rsidP="002249D5">
      <w:pPr>
        <w:pStyle w:val="a8"/>
        <w:rPr>
          <w:rStyle w:val="a6"/>
          <w:rFonts w:ascii="Arial" w:eastAsia="宋体" w:hAnsi="Arial" w:cs="Arial"/>
          <w:sz w:val="18"/>
          <w:szCs w:val="18"/>
          <w:shd w:val="clear" w:color="auto" w:fill="FFFFFF"/>
        </w:rPr>
      </w:pPr>
    </w:p>
    <w:p w:rsidR="002249D5" w:rsidRPr="000F1C1F" w:rsidRDefault="002249D5" w:rsidP="002249D5">
      <w:pPr>
        <w:spacing w:line="360" w:lineRule="exact"/>
        <w:rPr>
          <w:rStyle w:val="a6"/>
          <w:rFonts w:ascii="Arial" w:eastAsia="宋体" w:hAnsi="Arial" w:cs="Arial"/>
          <w:sz w:val="18"/>
          <w:szCs w:val="18"/>
          <w:shd w:val="clear" w:color="auto" w:fill="FFFFFF"/>
        </w:rPr>
      </w:pPr>
      <w:r w:rsidRPr="000F1C1F">
        <w:rPr>
          <w:rStyle w:val="a6"/>
          <w:rFonts w:ascii="Arial" w:eastAsia="宋体" w:hAnsi="Arial" w:cs="Arial"/>
          <w:sz w:val="18"/>
          <w:szCs w:val="18"/>
          <w:shd w:val="clear" w:color="auto" w:fill="FFFFFF"/>
        </w:rPr>
        <w:t>图</w:t>
      </w:r>
      <w:r w:rsidRPr="000F1C1F">
        <w:rPr>
          <w:rStyle w:val="a6"/>
          <w:rFonts w:ascii="Arial" w:eastAsia="宋体" w:hAnsi="Arial" w:cs="Arial"/>
          <w:sz w:val="18"/>
          <w:szCs w:val="18"/>
          <w:shd w:val="clear" w:color="auto" w:fill="FFFFFF"/>
        </w:rPr>
        <w:t>3</w:t>
      </w:r>
      <w:r w:rsidR="00C62C77">
        <w:rPr>
          <w:rStyle w:val="a6"/>
          <w:rFonts w:ascii="Arial" w:eastAsia="宋体" w:hAnsi="Arial" w:cs="Arial"/>
          <w:sz w:val="18"/>
          <w:szCs w:val="18"/>
          <w:shd w:val="clear" w:color="auto" w:fill="FFFFFF"/>
        </w:rPr>
        <w:t>2007-201</w:t>
      </w:r>
      <w:r w:rsidR="00C62C77">
        <w:rPr>
          <w:rStyle w:val="a6"/>
          <w:rFonts w:ascii="Arial" w:eastAsia="宋体" w:hAnsi="Arial" w:cs="Arial" w:hint="eastAsia"/>
          <w:sz w:val="18"/>
          <w:szCs w:val="18"/>
          <w:shd w:val="clear" w:color="auto" w:fill="FFFFFF"/>
        </w:rPr>
        <w:t>4</w:t>
      </w:r>
      <w:r w:rsidRPr="000F1C1F">
        <w:rPr>
          <w:rStyle w:val="a6"/>
          <w:rFonts w:ascii="Arial" w:eastAsia="宋体" w:hAnsi="Arial" w:cs="Arial"/>
          <w:sz w:val="18"/>
          <w:szCs w:val="18"/>
          <w:shd w:val="clear" w:color="auto" w:fill="FFFFFF"/>
        </w:rPr>
        <w:t>年中国</w:t>
      </w:r>
      <w:r w:rsidR="00440995">
        <w:rPr>
          <w:rStyle w:val="a6"/>
          <w:rFonts w:ascii="Arial" w:eastAsia="宋体" w:hAnsi="Arial" w:cs="Arial" w:hint="eastAsia"/>
          <w:sz w:val="18"/>
          <w:szCs w:val="18"/>
          <w:shd w:val="clear" w:color="auto" w:fill="FFFFFF"/>
        </w:rPr>
        <w:t>并购市场</w:t>
      </w:r>
      <w:r w:rsidRPr="000F1C1F">
        <w:rPr>
          <w:rStyle w:val="a6"/>
          <w:rFonts w:ascii="Arial" w:eastAsia="宋体" w:hAnsi="Arial" w:cs="Arial"/>
          <w:sz w:val="18"/>
          <w:szCs w:val="18"/>
          <w:shd w:val="clear" w:color="auto" w:fill="FFFFFF"/>
        </w:rPr>
        <w:t>海外并购趋势</w:t>
      </w:r>
    </w:p>
    <w:p w:rsidR="002249D5" w:rsidRPr="000F1C1F" w:rsidRDefault="00E4371E" w:rsidP="002249D5">
      <w:pPr>
        <w:pStyle w:val="a8"/>
        <w:rPr>
          <w:rStyle w:val="a6"/>
          <w:rFonts w:ascii="Arial" w:eastAsia="宋体" w:hAnsi="Arial" w:cs="Arial"/>
          <w:sz w:val="18"/>
          <w:szCs w:val="18"/>
          <w:shd w:val="clear" w:color="auto" w:fill="FFFFFF"/>
        </w:rPr>
      </w:pPr>
      <w:r w:rsidRPr="00E4371E">
        <w:rPr>
          <w:rStyle w:val="a6"/>
          <w:rFonts w:ascii="Arial" w:eastAsia="宋体" w:hAnsi="Arial" w:cs="Arial"/>
          <w:noProof/>
          <w:sz w:val="18"/>
          <w:szCs w:val="18"/>
          <w:shd w:val="clear" w:color="auto" w:fill="FFFFFF"/>
        </w:rPr>
        <w:drawing>
          <wp:inline distT="0" distB="0" distL="0" distR="0">
            <wp:extent cx="4791075" cy="3601050"/>
            <wp:effectExtent l="19050" t="0" r="28575" b="0"/>
            <wp:docPr id="8"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49D5" w:rsidRPr="000F1C1F" w:rsidRDefault="002249D5" w:rsidP="002249D5">
      <w:pPr>
        <w:pStyle w:val="a8"/>
        <w:rPr>
          <w:rStyle w:val="a6"/>
          <w:rFonts w:ascii="Arial" w:eastAsia="宋体" w:hAnsi="Arial" w:cs="Arial"/>
          <w:sz w:val="18"/>
          <w:szCs w:val="18"/>
          <w:shd w:val="clear" w:color="auto" w:fill="FFFFFF"/>
        </w:rPr>
      </w:pPr>
    </w:p>
    <w:p w:rsidR="002249D5" w:rsidRPr="000F1C1F" w:rsidRDefault="002249D5" w:rsidP="002249D5">
      <w:pPr>
        <w:spacing w:line="360" w:lineRule="exact"/>
        <w:rPr>
          <w:rStyle w:val="a6"/>
          <w:rFonts w:ascii="Arial" w:eastAsia="宋体" w:hAnsi="Arial" w:cs="Arial"/>
          <w:sz w:val="18"/>
          <w:szCs w:val="18"/>
          <w:shd w:val="clear" w:color="auto" w:fill="FFFFFF"/>
        </w:rPr>
      </w:pPr>
      <w:r w:rsidRPr="000F1C1F">
        <w:rPr>
          <w:rStyle w:val="a6"/>
          <w:rFonts w:ascii="Arial" w:eastAsia="宋体" w:hAnsi="Arial" w:cs="Arial"/>
          <w:sz w:val="18"/>
          <w:szCs w:val="18"/>
          <w:shd w:val="clear" w:color="auto" w:fill="FFFFFF"/>
        </w:rPr>
        <w:t>图</w:t>
      </w:r>
      <w:r w:rsidR="00AD7576" w:rsidRPr="000F1C1F">
        <w:rPr>
          <w:rStyle w:val="a6"/>
          <w:rFonts w:ascii="Arial" w:eastAsia="宋体" w:hAnsi="Arial" w:cs="Arial"/>
          <w:sz w:val="18"/>
          <w:szCs w:val="18"/>
          <w:shd w:val="clear" w:color="auto" w:fill="FFFFFF"/>
        </w:rPr>
        <w:t>4</w:t>
      </w:r>
      <w:r w:rsidR="00C62C77">
        <w:rPr>
          <w:rStyle w:val="a6"/>
          <w:rFonts w:ascii="Arial" w:eastAsia="宋体" w:hAnsi="Arial" w:cs="Arial"/>
          <w:sz w:val="18"/>
          <w:szCs w:val="18"/>
          <w:shd w:val="clear" w:color="auto" w:fill="FFFFFF"/>
        </w:rPr>
        <w:t>2007-201</w:t>
      </w:r>
      <w:r w:rsidR="00C62C77">
        <w:rPr>
          <w:rStyle w:val="a6"/>
          <w:rFonts w:ascii="Arial" w:eastAsia="宋体" w:hAnsi="Arial" w:cs="Arial" w:hint="eastAsia"/>
          <w:sz w:val="18"/>
          <w:szCs w:val="18"/>
          <w:shd w:val="clear" w:color="auto" w:fill="FFFFFF"/>
        </w:rPr>
        <w:t>4</w:t>
      </w:r>
      <w:r w:rsidRPr="000F1C1F">
        <w:rPr>
          <w:rStyle w:val="a6"/>
          <w:rFonts w:ascii="Arial" w:eastAsia="宋体" w:hAnsi="Arial" w:cs="Arial"/>
          <w:sz w:val="18"/>
          <w:szCs w:val="18"/>
          <w:shd w:val="clear" w:color="auto" w:fill="FFFFFF"/>
        </w:rPr>
        <w:t>年中国</w:t>
      </w:r>
      <w:r w:rsidR="00440995">
        <w:rPr>
          <w:rStyle w:val="a6"/>
          <w:rFonts w:ascii="Arial" w:eastAsia="宋体" w:hAnsi="Arial" w:cs="Arial" w:hint="eastAsia"/>
          <w:sz w:val="18"/>
          <w:szCs w:val="18"/>
          <w:shd w:val="clear" w:color="auto" w:fill="FFFFFF"/>
        </w:rPr>
        <w:t>并购市场</w:t>
      </w:r>
      <w:r w:rsidRPr="000F1C1F">
        <w:rPr>
          <w:rStyle w:val="a6"/>
          <w:rFonts w:ascii="Arial" w:eastAsia="宋体" w:hAnsi="Arial" w:cs="Arial"/>
          <w:sz w:val="18"/>
          <w:szCs w:val="18"/>
          <w:shd w:val="clear" w:color="auto" w:fill="FFFFFF"/>
        </w:rPr>
        <w:t>外资并购趋势</w:t>
      </w:r>
    </w:p>
    <w:p w:rsidR="002249D5" w:rsidRPr="000F1C1F" w:rsidRDefault="00E4371E" w:rsidP="002249D5">
      <w:pPr>
        <w:pStyle w:val="a8"/>
        <w:rPr>
          <w:rStyle w:val="a6"/>
          <w:rFonts w:ascii="Arial" w:eastAsia="宋体" w:hAnsi="Arial" w:cs="Arial"/>
          <w:sz w:val="18"/>
          <w:szCs w:val="18"/>
          <w:shd w:val="clear" w:color="auto" w:fill="FFFFFF"/>
        </w:rPr>
      </w:pPr>
      <w:r w:rsidRPr="00E4371E">
        <w:rPr>
          <w:rStyle w:val="a6"/>
          <w:rFonts w:ascii="Arial" w:eastAsia="宋体" w:hAnsi="Arial" w:cs="Arial"/>
          <w:noProof/>
          <w:sz w:val="18"/>
          <w:szCs w:val="18"/>
          <w:shd w:val="clear" w:color="auto" w:fill="FFFFFF"/>
        </w:rPr>
        <w:lastRenderedPageBreak/>
        <w:drawing>
          <wp:inline distT="0" distB="0" distL="0" distR="0">
            <wp:extent cx="4791075" cy="3610575"/>
            <wp:effectExtent l="19050" t="0" r="28575" b="8925"/>
            <wp:docPr id="10"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D7576" w:rsidRPr="000F1C1F" w:rsidRDefault="00AD7576" w:rsidP="002249D5">
      <w:pPr>
        <w:pStyle w:val="a8"/>
        <w:rPr>
          <w:rStyle w:val="a6"/>
          <w:rFonts w:ascii="Arial" w:eastAsia="宋体" w:hAnsi="Arial" w:cs="Arial"/>
          <w:sz w:val="18"/>
          <w:szCs w:val="18"/>
          <w:shd w:val="clear" w:color="auto" w:fill="FFFFFF"/>
        </w:rPr>
      </w:pPr>
    </w:p>
    <w:p w:rsidR="00AD7576" w:rsidRPr="000F1C1F" w:rsidRDefault="00271B82" w:rsidP="002249D5">
      <w:pPr>
        <w:pStyle w:val="a8"/>
        <w:rPr>
          <w:rFonts w:ascii="Arial" w:eastAsia="宋体" w:hAnsi="Arial" w:cs="Arial"/>
          <w:b/>
          <w:szCs w:val="21"/>
          <w:shd w:val="clear" w:color="auto" w:fill="FFFFFF"/>
        </w:rPr>
      </w:pPr>
      <w:r>
        <w:rPr>
          <w:rFonts w:ascii="Arial" w:eastAsia="宋体" w:hAnsi="Arial" w:cs="Arial"/>
          <w:b/>
          <w:szCs w:val="21"/>
          <w:shd w:val="clear" w:color="auto" w:fill="FFFFFF"/>
        </w:rPr>
        <w:t>传统产业</w:t>
      </w:r>
      <w:r>
        <w:rPr>
          <w:rFonts w:ascii="Arial" w:eastAsia="宋体" w:hAnsi="Arial" w:cs="Arial" w:hint="eastAsia"/>
          <w:b/>
          <w:szCs w:val="21"/>
          <w:shd w:val="clear" w:color="auto" w:fill="FFFFFF"/>
        </w:rPr>
        <w:t>加快整合</w:t>
      </w:r>
      <w:r w:rsidR="0051267C">
        <w:rPr>
          <w:rFonts w:ascii="Arial" w:eastAsia="宋体" w:hAnsi="Arial" w:cs="Arial" w:hint="eastAsia"/>
          <w:b/>
          <w:szCs w:val="21"/>
          <w:shd w:val="clear" w:color="auto" w:fill="FFFFFF"/>
        </w:rPr>
        <w:t>，</w:t>
      </w:r>
      <w:r w:rsidR="000A3E23" w:rsidRPr="000F1C1F">
        <w:rPr>
          <w:rFonts w:ascii="Arial" w:eastAsia="宋体" w:hAnsi="Arial" w:cs="Arial"/>
          <w:b/>
          <w:szCs w:val="21"/>
          <w:shd w:val="clear" w:color="auto" w:fill="FFFFFF"/>
        </w:rPr>
        <w:t>新兴产业</w:t>
      </w:r>
      <w:r w:rsidR="0051267C">
        <w:rPr>
          <w:rFonts w:ascii="Arial" w:eastAsia="宋体" w:hAnsi="Arial" w:cs="Arial" w:hint="eastAsia"/>
          <w:b/>
          <w:szCs w:val="21"/>
          <w:shd w:val="clear" w:color="auto" w:fill="FFFFFF"/>
        </w:rPr>
        <w:t>并购</w:t>
      </w:r>
      <w:r w:rsidR="009F2633">
        <w:rPr>
          <w:rFonts w:ascii="Arial" w:eastAsia="宋体" w:hAnsi="Arial" w:cs="Arial" w:hint="eastAsia"/>
          <w:b/>
          <w:szCs w:val="21"/>
          <w:shd w:val="clear" w:color="auto" w:fill="FFFFFF"/>
        </w:rPr>
        <w:t>成倍增长</w:t>
      </w:r>
    </w:p>
    <w:p w:rsidR="000A3E23" w:rsidRPr="000F1C1F" w:rsidRDefault="000A3E23" w:rsidP="000A3E23">
      <w:pPr>
        <w:spacing w:line="360" w:lineRule="exact"/>
        <w:rPr>
          <w:rFonts w:ascii="Arial" w:eastAsia="宋体" w:hAnsi="Arial" w:cs="Arial"/>
          <w:bCs/>
          <w:szCs w:val="21"/>
        </w:rPr>
      </w:pPr>
    </w:p>
    <w:p w:rsidR="00B71BCF" w:rsidRDefault="00271B82" w:rsidP="000A3E23">
      <w:pPr>
        <w:spacing w:line="360" w:lineRule="exact"/>
        <w:ind w:firstLineChars="200" w:firstLine="420"/>
        <w:rPr>
          <w:rFonts w:ascii="Arial" w:eastAsia="宋体" w:hAnsi="Arial" w:cs="Arial"/>
          <w:szCs w:val="21"/>
        </w:rPr>
      </w:pPr>
      <w:r>
        <w:rPr>
          <w:rFonts w:ascii="Arial" w:eastAsia="宋体" w:hAnsi="Arial" w:cs="Arial"/>
          <w:szCs w:val="21"/>
        </w:rPr>
        <w:t>201</w:t>
      </w:r>
      <w:r>
        <w:rPr>
          <w:rFonts w:ascii="Arial" w:eastAsia="宋体" w:hAnsi="Arial" w:cs="Arial" w:hint="eastAsia"/>
          <w:szCs w:val="21"/>
        </w:rPr>
        <w:t>4</w:t>
      </w:r>
      <w:r w:rsidR="000A3E23" w:rsidRPr="000F1C1F">
        <w:rPr>
          <w:rFonts w:ascii="Arial" w:eastAsia="宋体" w:hAnsi="Arial" w:cs="Arial"/>
          <w:szCs w:val="21"/>
        </w:rPr>
        <w:t>年，中国并购市场涉及了房地产、</w:t>
      </w:r>
      <w:r w:rsidR="00F97BD6" w:rsidRPr="000F1C1F">
        <w:rPr>
          <w:rFonts w:ascii="Arial" w:eastAsia="宋体" w:hAnsi="Arial" w:cs="Arial"/>
          <w:szCs w:val="21"/>
        </w:rPr>
        <w:t>机械制造、</w:t>
      </w:r>
      <w:r w:rsidR="000A3E23" w:rsidRPr="000F1C1F">
        <w:rPr>
          <w:rFonts w:ascii="Arial" w:eastAsia="宋体" w:hAnsi="Arial" w:cs="Arial"/>
          <w:szCs w:val="21"/>
        </w:rPr>
        <w:t>生物技术</w:t>
      </w:r>
      <w:r w:rsidR="000A3E23" w:rsidRPr="000F1C1F">
        <w:rPr>
          <w:rFonts w:ascii="Arial" w:eastAsia="宋体" w:hAnsi="Arial" w:cs="Arial"/>
          <w:szCs w:val="21"/>
        </w:rPr>
        <w:t>/</w:t>
      </w:r>
      <w:r w:rsidR="000A3E23" w:rsidRPr="000F1C1F">
        <w:rPr>
          <w:rFonts w:ascii="Arial" w:eastAsia="宋体" w:hAnsi="Arial" w:cs="Arial"/>
          <w:szCs w:val="21"/>
        </w:rPr>
        <w:t>医疗健康</w:t>
      </w:r>
      <w:r w:rsidR="00F97BD6" w:rsidRPr="000F1C1F">
        <w:rPr>
          <w:rFonts w:ascii="Arial" w:eastAsia="宋体" w:hAnsi="Arial" w:cs="Arial"/>
          <w:szCs w:val="21"/>
        </w:rPr>
        <w:t>、清洁技术</w:t>
      </w:r>
      <w:r>
        <w:rPr>
          <w:rFonts w:ascii="Arial" w:eastAsia="宋体" w:hAnsi="Arial" w:cs="Arial" w:hint="eastAsia"/>
          <w:szCs w:val="21"/>
        </w:rPr>
        <w:t>、</w:t>
      </w:r>
      <w:r>
        <w:rPr>
          <w:rFonts w:ascii="Arial" w:eastAsia="宋体" w:hAnsi="Arial" w:cs="Arial"/>
          <w:szCs w:val="21"/>
        </w:rPr>
        <w:t>能源及矿产</w:t>
      </w:r>
      <w:r w:rsidR="000A3E23" w:rsidRPr="000F1C1F">
        <w:rPr>
          <w:rFonts w:ascii="Arial" w:eastAsia="宋体" w:hAnsi="Arial" w:cs="Arial"/>
          <w:szCs w:val="21"/>
        </w:rPr>
        <w:t>等二十三个一级行业</w:t>
      </w:r>
      <w:r w:rsidR="004B0070">
        <w:rPr>
          <w:rFonts w:ascii="Arial" w:eastAsia="宋体" w:hAnsi="Arial" w:cs="Arial" w:hint="eastAsia"/>
          <w:szCs w:val="21"/>
        </w:rPr>
        <w:t>（见表</w:t>
      </w:r>
      <w:r w:rsidR="004B0070">
        <w:rPr>
          <w:rFonts w:ascii="Arial" w:eastAsia="宋体" w:hAnsi="Arial" w:cs="Arial" w:hint="eastAsia"/>
          <w:szCs w:val="21"/>
        </w:rPr>
        <w:t>3</w:t>
      </w:r>
      <w:r w:rsidR="004B0070">
        <w:rPr>
          <w:rFonts w:ascii="Arial" w:eastAsia="宋体" w:hAnsi="Arial" w:cs="Arial" w:hint="eastAsia"/>
          <w:szCs w:val="21"/>
        </w:rPr>
        <w:t>）</w:t>
      </w:r>
      <w:r w:rsidR="000A3E23" w:rsidRPr="000F1C1F">
        <w:rPr>
          <w:rFonts w:ascii="Arial" w:eastAsia="宋体" w:hAnsi="Arial" w:cs="Arial"/>
          <w:szCs w:val="21"/>
        </w:rPr>
        <w:t>。</w:t>
      </w:r>
      <w:r w:rsidR="00F802D0" w:rsidRPr="000F1C1F">
        <w:rPr>
          <w:rFonts w:ascii="Arial" w:eastAsia="宋体" w:hAnsi="Arial" w:cs="Arial"/>
          <w:szCs w:val="21"/>
        </w:rPr>
        <w:t>在并购数量方面</w:t>
      </w:r>
      <w:r w:rsidR="000A3E23" w:rsidRPr="000F1C1F">
        <w:rPr>
          <w:rFonts w:ascii="Arial" w:eastAsia="宋体" w:hAnsi="Arial" w:cs="Arial"/>
          <w:szCs w:val="21"/>
        </w:rPr>
        <w:t>，</w:t>
      </w:r>
      <w:r w:rsidR="00F802D0" w:rsidRPr="000F1C1F">
        <w:rPr>
          <w:rFonts w:ascii="Arial" w:eastAsia="宋体" w:hAnsi="Arial" w:cs="Arial"/>
          <w:szCs w:val="21"/>
        </w:rPr>
        <w:t>传统行业独占前三甲。</w:t>
      </w:r>
      <w:r>
        <w:rPr>
          <w:rFonts w:ascii="Arial" w:eastAsia="宋体" w:hAnsi="Arial" w:cs="Arial" w:hint="eastAsia"/>
          <w:szCs w:val="21"/>
        </w:rPr>
        <w:t>在国内房地产行业不景气的背景下，导致业内洗牌加速，房地产</w:t>
      </w:r>
      <w:r>
        <w:rPr>
          <w:rFonts w:ascii="Arial" w:eastAsia="宋体" w:hAnsi="Arial" w:cs="Arial"/>
          <w:szCs w:val="21"/>
        </w:rPr>
        <w:t>行业</w:t>
      </w:r>
      <w:r w:rsidR="002A6CAC">
        <w:rPr>
          <w:rFonts w:ascii="Arial" w:eastAsia="宋体" w:hAnsi="Arial" w:cs="Arial" w:hint="eastAsia"/>
          <w:szCs w:val="21"/>
        </w:rPr>
        <w:t>并购</w:t>
      </w:r>
      <w:r>
        <w:rPr>
          <w:rFonts w:ascii="Arial" w:eastAsia="宋体" w:hAnsi="Arial" w:cs="Arial" w:hint="eastAsia"/>
          <w:szCs w:val="21"/>
        </w:rPr>
        <w:t>活跃度跃</w:t>
      </w:r>
      <w:r w:rsidR="000A3E23" w:rsidRPr="000F1C1F">
        <w:rPr>
          <w:rFonts w:ascii="Arial" w:eastAsia="宋体" w:hAnsi="Arial" w:cs="Arial"/>
          <w:szCs w:val="21"/>
        </w:rPr>
        <w:t>居第一，共完成案例</w:t>
      </w:r>
      <w:r>
        <w:rPr>
          <w:rFonts w:ascii="Arial" w:eastAsia="宋体" w:hAnsi="Arial" w:cs="Arial"/>
          <w:szCs w:val="21"/>
        </w:rPr>
        <w:t>1</w:t>
      </w:r>
      <w:r w:rsidR="00E50918">
        <w:rPr>
          <w:rFonts w:ascii="Arial" w:eastAsia="宋体" w:hAnsi="Arial" w:cs="Arial" w:hint="eastAsia"/>
          <w:szCs w:val="21"/>
        </w:rPr>
        <w:t>87</w:t>
      </w:r>
      <w:r w:rsidR="000A3E23" w:rsidRPr="000F1C1F">
        <w:rPr>
          <w:rFonts w:ascii="Arial" w:eastAsia="宋体" w:hAnsi="Arial" w:cs="Arial"/>
          <w:szCs w:val="21"/>
        </w:rPr>
        <w:t>起，同比上涨</w:t>
      </w:r>
      <w:r w:rsidR="00E50918">
        <w:rPr>
          <w:rFonts w:ascii="Arial" w:eastAsia="宋体" w:hAnsi="Arial" w:cs="Arial" w:hint="eastAsia"/>
          <w:szCs w:val="21"/>
        </w:rPr>
        <w:t>26</w:t>
      </w:r>
      <w:r>
        <w:rPr>
          <w:rFonts w:ascii="Arial" w:eastAsia="宋体" w:hAnsi="Arial" w:cs="Arial"/>
          <w:szCs w:val="21"/>
        </w:rPr>
        <w:t>.</w:t>
      </w:r>
      <w:r w:rsidR="00E50918">
        <w:rPr>
          <w:rFonts w:ascii="Arial" w:eastAsia="宋体" w:hAnsi="Arial" w:cs="Arial" w:hint="eastAsia"/>
          <w:szCs w:val="21"/>
        </w:rPr>
        <w:t>4</w:t>
      </w:r>
      <w:r w:rsidR="000A3E23" w:rsidRPr="000F1C1F">
        <w:rPr>
          <w:rFonts w:ascii="Arial" w:eastAsia="宋体" w:hAnsi="Arial" w:cs="Arial"/>
          <w:szCs w:val="21"/>
        </w:rPr>
        <w:t>%</w:t>
      </w:r>
      <w:r w:rsidR="000A3E23" w:rsidRPr="000F1C1F">
        <w:rPr>
          <w:rFonts w:ascii="Arial" w:eastAsia="宋体" w:hAnsi="Arial" w:cs="Arial"/>
          <w:szCs w:val="21"/>
        </w:rPr>
        <w:t>，</w:t>
      </w:r>
      <w:r>
        <w:rPr>
          <w:rFonts w:ascii="Arial" w:eastAsia="宋体" w:hAnsi="Arial" w:cs="Arial"/>
          <w:szCs w:val="21"/>
        </w:rPr>
        <w:t>占</w:t>
      </w:r>
      <w:r>
        <w:rPr>
          <w:rFonts w:ascii="Arial" w:eastAsia="宋体" w:hAnsi="Arial" w:cs="Arial" w:hint="eastAsia"/>
          <w:szCs w:val="21"/>
        </w:rPr>
        <w:t>总案例数比例近</w:t>
      </w:r>
      <w:r>
        <w:rPr>
          <w:rFonts w:ascii="Arial" w:eastAsia="宋体" w:hAnsi="Arial" w:cs="Arial" w:hint="eastAsia"/>
          <w:szCs w:val="21"/>
        </w:rPr>
        <w:t>1</w:t>
      </w:r>
      <w:r>
        <w:rPr>
          <w:rFonts w:ascii="Arial" w:eastAsia="宋体" w:hAnsi="Arial" w:cs="Arial" w:hint="eastAsia"/>
          <w:szCs w:val="21"/>
        </w:rPr>
        <w:t>成</w:t>
      </w:r>
      <w:r w:rsidR="00F802D0" w:rsidRPr="000F1C1F">
        <w:rPr>
          <w:rFonts w:ascii="Arial" w:eastAsia="宋体" w:hAnsi="Arial" w:cs="Arial"/>
          <w:szCs w:val="21"/>
        </w:rPr>
        <w:t>；</w:t>
      </w:r>
      <w:r w:rsidR="00B71BCF">
        <w:rPr>
          <w:rFonts w:ascii="Arial" w:eastAsia="宋体" w:hAnsi="Arial" w:cs="Arial" w:hint="eastAsia"/>
          <w:szCs w:val="21"/>
        </w:rPr>
        <w:t>2014</w:t>
      </w:r>
      <w:r w:rsidR="00B71BCF">
        <w:rPr>
          <w:rFonts w:ascii="Arial" w:eastAsia="宋体" w:hAnsi="Arial" w:cs="Arial" w:hint="eastAsia"/>
          <w:szCs w:val="21"/>
        </w:rPr>
        <w:t>年</w:t>
      </w:r>
      <w:r w:rsidR="00B71BCF" w:rsidRPr="00B71BCF">
        <w:rPr>
          <w:rFonts w:ascii="Arial" w:eastAsia="宋体" w:hAnsi="Arial" w:cs="Arial" w:hint="eastAsia"/>
          <w:szCs w:val="21"/>
        </w:rPr>
        <w:t>机械</w:t>
      </w:r>
      <w:r w:rsidR="00B71BCF">
        <w:rPr>
          <w:rFonts w:ascii="Arial" w:eastAsia="宋体" w:hAnsi="Arial" w:cs="Arial" w:hint="eastAsia"/>
          <w:szCs w:val="21"/>
        </w:rPr>
        <w:t>制造</w:t>
      </w:r>
      <w:r w:rsidR="00B71BCF" w:rsidRPr="00B71BCF">
        <w:rPr>
          <w:rFonts w:ascii="Arial" w:eastAsia="宋体" w:hAnsi="Arial" w:cs="Arial" w:hint="eastAsia"/>
          <w:szCs w:val="21"/>
        </w:rPr>
        <w:t>行业经营业绩并不理想</w:t>
      </w:r>
      <w:r w:rsidR="00B71BCF">
        <w:rPr>
          <w:rFonts w:ascii="Arial" w:eastAsia="宋体" w:hAnsi="Arial" w:cs="Arial" w:hint="eastAsia"/>
          <w:szCs w:val="21"/>
        </w:rPr>
        <w:t>，在前几年</w:t>
      </w:r>
      <w:r w:rsidR="00B71BCF" w:rsidRPr="00B71BCF">
        <w:rPr>
          <w:rFonts w:ascii="Arial" w:eastAsia="宋体" w:hAnsi="Arial" w:cs="Arial" w:hint="eastAsia"/>
          <w:szCs w:val="21"/>
        </w:rPr>
        <w:t>经历高速增长后</w:t>
      </w:r>
      <w:r w:rsidR="00B71BCF">
        <w:rPr>
          <w:rFonts w:ascii="Arial" w:eastAsia="宋体" w:hAnsi="Arial" w:cs="Arial" w:hint="eastAsia"/>
          <w:szCs w:val="21"/>
        </w:rPr>
        <w:t>逐渐</w:t>
      </w:r>
      <w:r w:rsidR="00B71BCF" w:rsidRPr="00B71BCF">
        <w:rPr>
          <w:rFonts w:ascii="Arial" w:eastAsia="宋体" w:hAnsi="Arial" w:cs="Arial" w:hint="eastAsia"/>
          <w:szCs w:val="21"/>
        </w:rPr>
        <w:t>回归理性，</w:t>
      </w:r>
      <w:r w:rsidR="00B71BCF">
        <w:rPr>
          <w:rFonts w:ascii="Arial" w:eastAsia="宋体" w:hAnsi="Arial" w:cs="Arial" w:hint="eastAsia"/>
          <w:szCs w:val="21"/>
        </w:rPr>
        <w:t>开始</w:t>
      </w:r>
      <w:r w:rsidR="00B71BCF" w:rsidRPr="00B71BCF">
        <w:rPr>
          <w:rFonts w:ascii="Arial" w:eastAsia="宋体" w:hAnsi="Arial" w:cs="Arial" w:hint="eastAsia"/>
          <w:szCs w:val="21"/>
        </w:rPr>
        <w:t>进入品牌竞争的时代</w:t>
      </w:r>
      <w:r w:rsidR="00B71BCF">
        <w:rPr>
          <w:rFonts w:ascii="Arial" w:eastAsia="宋体" w:hAnsi="Arial" w:cs="Arial" w:hint="eastAsia"/>
          <w:szCs w:val="21"/>
        </w:rPr>
        <w:t>，直接导致该行业的</w:t>
      </w:r>
      <w:proofErr w:type="gramStart"/>
      <w:r w:rsidR="00B71BCF">
        <w:rPr>
          <w:rFonts w:ascii="Arial" w:eastAsia="宋体" w:hAnsi="Arial" w:cs="Arial" w:hint="eastAsia"/>
          <w:szCs w:val="21"/>
        </w:rPr>
        <w:t>整合步伐</w:t>
      </w:r>
      <w:proofErr w:type="gramEnd"/>
      <w:r w:rsidR="00B71BCF">
        <w:rPr>
          <w:rFonts w:ascii="Arial" w:eastAsia="宋体" w:hAnsi="Arial" w:cs="Arial" w:hint="eastAsia"/>
          <w:szCs w:val="21"/>
        </w:rPr>
        <w:t>加快。</w:t>
      </w:r>
      <w:r>
        <w:rPr>
          <w:rFonts w:ascii="Arial" w:eastAsia="宋体" w:hAnsi="Arial" w:cs="Arial" w:hint="eastAsia"/>
          <w:szCs w:val="21"/>
        </w:rPr>
        <w:t>机械制造</w:t>
      </w:r>
      <w:r w:rsidR="00B71BCF">
        <w:rPr>
          <w:rFonts w:ascii="Arial" w:eastAsia="宋体" w:hAnsi="Arial" w:cs="Arial" w:hint="eastAsia"/>
          <w:szCs w:val="21"/>
        </w:rPr>
        <w:t>活跃</w:t>
      </w:r>
      <w:proofErr w:type="gramStart"/>
      <w:r w:rsidR="00B71BCF">
        <w:rPr>
          <w:rFonts w:ascii="Arial" w:eastAsia="宋体" w:hAnsi="Arial" w:cs="Arial" w:hint="eastAsia"/>
          <w:szCs w:val="21"/>
        </w:rPr>
        <w:t>度</w:t>
      </w:r>
      <w:r>
        <w:rPr>
          <w:rFonts w:ascii="Arial" w:eastAsia="宋体" w:hAnsi="Arial" w:cs="Arial" w:hint="eastAsia"/>
          <w:szCs w:val="21"/>
        </w:rPr>
        <w:t>行业</w:t>
      </w:r>
      <w:proofErr w:type="gramEnd"/>
      <w:r>
        <w:rPr>
          <w:rFonts w:ascii="Arial" w:eastAsia="宋体" w:hAnsi="Arial" w:cs="Arial" w:hint="eastAsia"/>
          <w:szCs w:val="21"/>
        </w:rPr>
        <w:t>由</w:t>
      </w:r>
      <w:r>
        <w:rPr>
          <w:rFonts w:ascii="Arial" w:eastAsia="宋体" w:hAnsi="Arial" w:cs="Arial" w:hint="eastAsia"/>
          <w:szCs w:val="21"/>
        </w:rPr>
        <w:t>2013</w:t>
      </w:r>
      <w:r w:rsidR="00B71BCF">
        <w:rPr>
          <w:rFonts w:ascii="Arial" w:eastAsia="宋体" w:hAnsi="Arial" w:cs="Arial" w:hint="eastAsia"/>
          <w:szCs w:val="21"/>
        </w:rPr>
        <w:t>年的第三</w:t>
      </w:r>
      <w:r>
        <w:rPr>
          <w:rFonts w:ascii="Arial" w:eastAsia="宋体" w:hAnsi="Arial" w:cs="Arial" w:hint="eastAsia"/>
          <w:szCs w:val="21"/>
        </w:rPr>
        <w:t>上升至</w:t>
      </w:r>
      <w:r>
        <w:rPr>
          <w:rFonts w:ascii="Arial" w:eastAsia="宋体" w:hAnsi="Arial" w:cs="Arial" w:hint="eastAsia"/>
          <w:szCs w:val="21"/>
        </w:rPr>
        <w:t>2014</w:t>
      </w:r>
      <w:r>
        <w:rPr>
          <w:rFonts w:ascii="Arial" w:eastAsia="宋体" w:hAnsi="Arial" w:cs="Arial" w:hint="eastAsia"/>
          <w:szCs w:val="21"/>
        </w:rPr>
        <w:t>年的</w:t>
      </w:r>
      <w:r>
        <w:rPr>
          <w:rFonts w:ascii="Arial" w:eastAsia="宋体" w:hAnsi="Arial" w:cs="Arial"/>
          <w:szCs w:val="21"/>
        </w:rPr>
        <w:t>第二</w:t>
      </w:r>
      <w:r>
        <w:rPr>
          <w:rFonts w:ascii="Arial" w:eastAsia="宋体" w:hAnsi="Arial" w:cs="Arial" w:hint="eastAsia"/>
          <w:szCs w:val="21"/>
        </w:rPr>
        <w:t>，</w:t>
      </w:r>
      <w:r w:rsidR="00F802D0" w:rsidRPr="000F1C1F">
        <w:rPr>
          <w:rFonts w:ascii="Arial" w:eastAsia="宋体" w:hAnsi="Arial" w:cs="Arial"/>
          <w:szCs w:val="21"/>
        </w:rPr>
        <w:t>涉及案例</w:t>
      </w:r>
      <w:r w:rsidR="00B71BCF">
        <w:rPr>
          <w:rFonts w:ascii="Arial" w:eastAsia="宋体" w:hAnsi="Arial" w:cs="Arial"/>
          <w:szCs w:val="21"/>
        </w:rPr>
        <w:t>1</w:t>
      </w:r>
      <w:r w:rsidR="00E50918">
        <w:rPr>
          <w:rFonts w:ascii="Arial" w:eastAsia="宋体" w:hAnsi="Arial" w:cs="Arial" w:hint="eastAsia"/>
          <w:szCs w:val="21"/>
        </w:rPr>
        <w:t>71</w:t>
      </w:r>
      <w:r w:rsidR="00F802D0" w:rsidRPr="000F1C1F">
        <w:rPr>
          <w:rFonts w:ascii="Arial" w:eastAsia="宋体" w:hAnsi="Arial" w:cs="Arial"/>
          <w:szCs w:val="21"/>
        </w:rPr>
        <w:t>起，较</w:t>
      </w:r>
      <w:r w:rsidR="00B71BCF">
        <w:rPr>
          <w:rFonts w:ascii="Arial" w:eastAsia="宋体" w:hAnsi="Arial" w:cs="Arial" w:hint="eastAsia"/>
          <w:szCs w:val="21"/>
        </w:rPr>
        <w:t>2013</w:t>
      </w:r>
      <w:r w:rsidR="008A749E" w:rsidRPr="000F1C1F">
        <w:rPr>
          <w:rFonts w:ascii="Arial" w:eastAsia="宋体" w:hAnsi="Arial" w:cs="Arial" w:hint="eastAsia"/>
          <w:szCs w:val="21"/>
        </w:rPr>
        <w:t>年</w:t>
      </w:r>
      <w:r w:rsidR="00F802D0" w:rsidRPr="000F1C1F">
        <w:rPr>
          <w:rFonts w:ascii="Arial" w:eastAsia="宋体" w:hAnsi="Arial" w:cs="Arial"/>
          <w:szCs w:val="21"/>
        </w:rPr>
        <w:t>的</w:t>
      </w:r>
      <w:r w:rsidR="00B71BCF">
        <w:rPr>
          <w:rFonts w:ascii="Arial" w:eastAsia="宋体" w:hAnsi="Arial" w:cs="Arial"/>
          <w:szCs w:val="21"/>
        </w:rPr>
        <w:t>1</w:t>
      </w:r>
      <w:r w:rsidR="00B71BCF">
        <w:rPr>
          <w:rFonts w:ascii="Arial" w:eastAsia="宋体" w:hAnsi="Arial" w:cs="Arial" w:hint="eastAsia"/>
          <w:szCs w:val="21"/>
        </w:rPr>
        <w:t>12</w:t>
      </w:r>
      <w:r w:rsidR="00B71BCF">
        <w:rPr>
          <w:rFonts w:ascii="Arial" w:eastAsia="宋体" w:hAnsi="Arial" w:cs="Arial"/>
          <w:szCs w:val="21"/>
        </w:rPr>
        <w:t>起</w:t>
      </w:r>
      <w:r w:rsidR="00B71BCF">
        <w:rPr>
          <w:rFonts w:ascii="Arial" w:eastAsia="宋体" w:hAnsi="Arial" w:cs="Arial" w:hint="eastAsia"/>
          <w:szCs w:val="21"/>
        </w:rPr>
        <w:t>大涨增长</w:t>
      </w:r>
      <w:r w:rsidR="00E50918">
        <w:rPr>
          <w:rFonts w:ascii="Arial" w:eastAsia="宋体" w:hAnsi="Arial" w:cs="Arial" w:hint="eastAsia"/>
          <w:szCs w:val="21"/>
        </w:rPr>
        <w:t>47</w:t>
      </w:r>
      <w:r w:rsidR="00B71BCF">
        <w:rPr>
          <w:rFonts w:ascii="Arial" w:eastAsia="宋体" w:hAnsi="Arial" w:cs="Arial"/>
          <w:szCs w:val="21"/>
        </w:rPr>
        <w:t>.</w:t>
      </w:r>
      <w:r w:rsidR="00E50918">
        <w:rPr>
          <w:rFonts w:ascii="Arial" w:eastAsia="宋体" w:hAnsi="Arial" w:cs="Arial" w:hint="eastAsia"/>
          <w:szCs w:val="21"/>
        </w:rPr>
        <w:t>3</w:t>
      </w:r>
      <w:r w:rsidR="00F802D0" w:rsidRPr="000F1C1F">
        <w:rPr>
          <w:rFonts w:ascii="Arial" w:eastAsia="宋体" w:hAnsi="Arial" w:cs="Arial"/>
          <w:szCs w:val="21"/>
        </w:rPr>
        <w:t>%</w:t>
      </w:r>
      <w:r w:rsidR="00F802D0" w:rsidRPr="000F1C1F">
        <w:rPr>
          <w:rFonts w:ascii="Arial" w:eastAsia="宋体" w:hAnsi="Arial" w:cs="Arial"/>
          <w:szCs w:val="21"/>
        </w:rPr>
        <w:t>；</w:t>
      </w:r>
      <w:r w:rsidR="00B71BCF">
        <w:rPr>
          <w:rFonts w:ascii="Arial" w:eastAsia="宋体" w:hAnsi="Arial" w:cs="Arial" w:hint="eastAsia"/>
          <w:szCs w:val="21"/>
        </w:rPr>
        <w:t>随着生物技术的发展和人们对健康关注度的提升，</w:t>
      </w:r>
      <w:r w:rsidR="00B71BCF" w:rsidRPr="000F1C1F">
        <w:rPr>
          <w:rFonts w:ascii="Arial" w:eastAsia="宋体" w:hAnsi="Arial" w:cs="Arial"/>
          <w:szCs w:val="21"/>
        </w:rPr>
        <w:t>生物技术</w:t>
      </w:r>
      <w:r w:rsidR="00B71BCF" w:rsidRPr="000F1C1F">
        <w:rPr>
          <w:rFonts w:ascii="Arial" w:eastAsia="宋体" w:hAnsi="Arial" w:cs="Arial"/>
          <w:szCs w:val="21"/>
        </w:rPr>
        <w:t>/</w:t>
      </w:r>
      <w:r w:rsidR="00B71BCF" w:rsidRPr="000F1C1F">
        <w:rPr>
          <w:rFonts w:ascii="Arial" w:eastAsia="宋体" w:hAnsi="Arial" w:cs="Arial"/>
          <w:szCs w:val="21"/>
        </w:rPr>
        <w:t>医疗健康</w:t>
      </w:r>
      <w:r w:rsidR="00B71BCF">
        <w:rPr>
          <w:rFonts w:ascii="Arial" w:eastAsia="宋体" w:hAnsi="Arial" w:cs="Arial" w:hint="eastAsia"/>
          <w:szCs w:val="21"/>
        </w:rPr>
        <w:t>的并购数量近几年稳步增长，</w:t>
      </w:r>
      <w:r w:rsidR="00B71BCF">
        <w:rPr>
          <w:rFonts w:ascii="Arial" w:eastAsia="宋体" w:hAnsi="Arial" w:cs="Arial" w:hint="eastAsia"/>
          <w:szCs w:val="21"/>
        </w:rPr>
        <w:t>2014</w:t>
      </w:r>
      <w:r w:rsidR="00B71BCF">
        <w:rPr>
          <w:rFonts w:ascii="Arial" w:eastAsia="宋体" w:hAnsi="Arial" w:cs="Arial" w:hint="eastAsia"/>
          <w:szCs w:val="21"/>
        </w:rPr>
        <w:t>年该</w:t>
      </w:r>
      <w:r w:rsidR="00B71BCF">
        <w:rPr>
          <w:rFonts w:ascii="Arial" w:eastAsia="宋体" w:hAnsi="Arial" w:cs="Arial"/>
          <w:szCs w:val="21"/>
        </w:rPr>
        <w:t>行业</w:t>
      </w:r>
      <w:r w:rsidR="00B71BCF">
        <w:rPr>
          <w:rFonts w:ascii="Arial" w:eastAsia="宋体" w:hAnsi="Arial" w:cs="Arial" w:hint="eastAsia"/>
          <w:szCs w:val="21"/>
        </w:rPr>
        <w:t>的并购数量跻身前三甲，排名第三（上一年度排名第四）</w:t>
      </w:r>
      <w:r w:rsidR="00F802D0" w:rsidRPr="000F1C1F">
        <w:rPr>
          <w:rFonts w:ascii="Arial" w:eastAsia="宋体" w:hAnsi="Arial" w:cs="Arial"/>
          <w:szCs w:val="21"/>
        </w:rPr>
        <w:t>，</w:t>
      </w:r>
      <w:r w:rsidR="00B71BCF">
        <w:rPr>
          <w:rFonts w:ascii="Arial" w:eastAsia="宋体" w:hAnsi="Arial" w:cs="Arial"/>
          <w:szCs w:val="21"/>
        </w:rPr>
        <w:t>201</w:t>
      </w:r>
      <w:r w:rsidR="00B71BCF">
        <w:rPr>
          <w:rFonts w:ascii="Arial" w:eastAsia="宋体" w:hAnsi="Arial" w:cs="Arial" w:hint="eastAsia"/>
          <w:szCs w:val="21"/>
        </w:rPr>
        <w:t>4</w:t>
      </w:r>
      <w:r w:rsidR="008A749E" w:rsidRPr="000F1C1F">
        <w:rPr>
          <w:rFonts w:ascii="Arial" w:eastAsia="宋体" w:hAnsi="Arial" w:cs="Arial"/>
          <w:szCs w:val="21"/>
        </w:rPr>
        <w:t>年</w:t>
      </w:r>
      <w:r w:rsidR="00F802D0" w:rsidRPr="000F1C1F">
        <w:rPr>
          <w:rFonts w:ascii="Arial" w:eastAsia="宋体" w:hAnsi="Arial" w:cs="Arial"/>
          <w:szCs w:val="21"/>
        </w:rPr>
        <w:t>完成并购交易</w:t>
      </w:r>
      <w:r w:rsidR="00E50918">
        <w:rPr>
          <w:rFonts w:ascii="Arial" w:eastAsia="宋体" w:hAnsi="Arial" w:cs="Arial" w:hint="eastAsia"/>
          <w:szCs w:val="21"/>
        </w:rPr>
        <w:t>165</w:t>
      </w:r>
      <w:r w:rsidR="00F802D0" w:rsidRPr="000F1C1F">
        <w:rPr>
          <w:rFonts w:ascii="Arial" w:eastAsia="宋体" w:hAnsi="Arial" w:cs="Arial"/>
          <w:szCs w:val="21"/>
        </w:rPr>
        <w:t>起，</w:t>
      </w:r>
      <w:r w:rsidR="00B71BCF">
        <w:rPr>
          <w:rFonts w:ascii="Arial" w:eastAsia="宋体" w:hAnsi="Arial" w:cs="Arial" w:hint="eastAsia"/>
          <w:szCs w:val="21"/>
        </w:rPr>
        <w:t>较</w:t>
      </w:r>
      <w:r w:rsidR="00B71BCF">
        <w:rPr>
          <w:rFonts w:ascii="Arial" w:eastAsia="宋体" w:hAnsi="Arial" w:cs="Arial" w:hint="eastAsia"/>
          <w:szCs w:val="21"/>
        </w:rPr>
        <w:t>2013</w:t>
      </w:r>
      <w:r w:rsidR="00B71BCF">
        <w:rPr>
          <w:rFonts w:ascii="Arial" w:eastAsia="宋体" w:hAnsi="Arial" w:cs="Arial" w:hint="eastAsia"/>
          <w:szCs w:val="21"/>
        </w:rPr>
        <w:t>年的</w:t>
      </w:r>
      <w:r w:rsidR="00B71BCF">
        <w:rPr>
          <w:rFonts w:ascii="Arial" w:eastAsia="宋体" w:hAnsi="Arial" w:cs="Arial" w:hint="eastAsia"/>
          <w:szCs w:val="21"/>
        </w:rPr>
        <w:t>103</w:t>
      </w:r>
      <w:r w:rsidR="00B71BCF">
        <w:rPr>
          <w:rFonts w:ascii="Arial" w:eastAsia="宋体" w:hAnsi="Arial" w:cs="Arial" w:hint="eastAsia"/>
          <w:szCs w:val="21"/>
        </w:rPr>
        <w:t>起增加</w:t>
      </w:r>
      <w:r w:rsidR="00E50918">
        <w:rPr>
          <w:rFonts w:ascii="Arial" w:eastAsia="宋体" w:hAnsi="Arial" w:cs="Arial" w:hint="eastAsia"/>
          <w:szCs w:val="21"/>
        </w:rPr>
        <w:t>62</w:t>
      </w:r>
      <w:r w:rsidR="00B71BCF">
        <w:rPr>
          <w:rFonts w:ascii="Arial" w:eastAsia="宋体" w:hAnsi="Arial" w:cs="Arial" w:hint="eastAsia"/>
          <w:szCs w:val="21"/>
        </w:rPr>
        <w:t>起</w:t>
      </w:r>
      <w:r w:rsidR="00E50918">
        <w:rPr>
          <w:rFonts w:ascii="Arial" w:eastAsia="宋体" w:hAnsi="Arial" w:cs="Arial"/>
          <w:szCs w:val="21"/>
        </w:rPr>
        <w:t>，占总</w:t>
      </w:r>
      <w:r w:rsidR="00E50918">
        <w:rPr>
          <w:rFonts w:ascii="Arial" w:eastAsia="宋体" w:hAnsi="Arial" w:cs="Arial" w:hint="eastAsia"/>
          <w:szCs w:val="21"/>
        </w:rPr>
        <w:t>案例数比例为</w:t>
      </w:r>
      <w:r w:rsidR="00B71BCF">
        <w:rPr>
          <w:rFonts w:ascii="Arial" w:eastAsia="宋体" w:hAnsi="Arial" w:cs="Arial" w:hint="eastAsia"/>
          <w:szCs w:val="21"/>
        </w:rPr>
        <w:t>8</w:t>
      </w:r>
      <w:r w:rsidR="00B71BCF">
        <w:rPr>
          <w:rFonts w:ascii="Arial" w:eastAsia="宋体" w:hAnsi="Arial" w:cs="Arial"/>
          <w:szCs w:val="21"/>
        </w:rPr>
        <w:t>.</w:t>
      </w:r>
      <w:r w:rsidR="00E50918">
        <w:rPr>
          <w:rFonts w:ascii="Arial" w:eastAsia="宋体" w:hAnsi="Arial" w:cs="Arial" w:hint="eastAsia"/>
          <w:szCs w:val="21"/>
        </w:rPr>
        <w:t>6</w:t>
      </w:r>
      <w:r w:rsidR="00F802D0" w:rsidRPr="000F1C1F">
        <w:rPr>
          <w:rFonts w:ascii="Arial" w:eastAsia="宋体" w:hAnsi="Arial" w:cs="Arial"/>
          <w:szCs w:val="21"/>
        </w:rPr>
        <w:t>%</w:t>
      </w:r>
      <w:r w:rsidR="00F802D0" w:rsidRPr="000F1C1F">
        <w:rPr>
          <w:rFonts w:ascii="Arial" w:eastAsia="宋体" w:hAnsi="Arial" w:cs="Arial"/>
          <w:szCs w:val="21"/>
        </w:rPr>
        <w:t>。</w:t>
      </w:r>
    </w:p>
    <w:p w:rsidR="00154614" w:rsidRDefault="00154614" w:rsidP="000A3E23">
      <w:pPr>
        <w:spacing w:line="360" w:lineRule="exact"/>
        <w:ind w:firstLineChars="200" w:firstLine="420"/>
        <w:rPr>
          <w:rFonts w:ascii="Arial" w:eastAsia="宋体" w:hAnsi="Arial" w:cs="Arial"/>
          <w:szCs w:val="21"/>
        </w:rPr>
      </w:pPr>
    </w:p>
    <w:p w:rsidR="000A3E23" w:rsidRPr="000F1C1F" w:rsidRDefault="00F802D0" w:rsidP="000A3E23">
      <w:pPr>
        <w:spacing w:line="360" w:lineRule="exact"/>
        <w:ind w:firstLineChars="200" w:firstLine="420"/>
        <w:rPr>
          <w:rFonts w:ascii="Arial" w:eastAsia="宋体" w:hAnsi="Arial" w:cs="Arial"/>
          <w:bCs/>
          <w:szCs w:val="21"/>
        </w:rPr>
      </w:pPr>
      <w:r w:rsidRPr="000F1C1F">
        <w:rPr>
          <w:rFonts w:ascii="Arial" w:eastAsia="宋体" w:hAnsi="Arial" w:cs="Arial"/>
          <w:szCs w:val="21"/>
        </w:rPr>
        <w:t>在并购金额方面，能源及矿产行业</w:t>
      </w:r>
      <w:r w:rsidR="00B71BCF">
        <w:rPr>
          <w:rFonts w:ascii="Arial" w:eastAsia="宋体" w:hAnsi="Arial" w:cs="Arial" w:hint="eastAsia"/>
          <w:szCs w:val="21"/>
        </w:rPr>
        <w:t>由于重资产的属性，</w:t>
      </w:r>
      <w:r w:rsidRPr="000F1C1F">
        <w:rPr>
          <w:rFonts w:ascii="Arial" w:eastAsia="宋体" w:hAnsi="Arial" w:cs="Arial"/>
          <w:szCs w:val="21"/>
        </w:rPr>
        <w:t>依</w:t>
      </w:r>
      <w:r w:rsidR="009239A9" w:rsidRPr="000F1C1F">
        <w:rPr>
          <w:rFonts w:ascii="Arial" w:eastAsia="宋体" w:hAnsi="Arial" w:cs="Arial"/>
          <w:szCs w:val="21"/>
        </w:rPr>
        <w:t>然</w:t>
      </w:r>
      <w:r w:rsidR="00B71BCF">
        <w:rPr>
          <w:rFonts w:ascii="Arial" w:eastAsia="宋体" w:hAnsi="Arial" w:cs="Arial" w:hint="eastAsia"/>
          <w:szCs w:val="21"/>
        </w:rPr>
        <w:t>稳居</w:t>
      </w:r>
      <w:r w:rsidRPr="000F1C1F">
        <w:rPr>
          <w:rFonts w:ascii="Arial" w:eastAsia="宋体" w:hAnsi="Arial" w:cs="Arial"/>
          <w:szCs w:val="21"/>
        </w:rPr>
        <w:t>第一，披露金额的</w:t>
      </w:r>
      <w:r w:rsidR="00E50918">
        <w:rPr>
          <w:rFonts w:ascii="Arial" w:eastAsia="宋体" w:hAnsi="Arial" w:cs="Arial"/>
          <w:szCs w:val="21"/>
        </w:rPr>
        <w:t>1</w:t>
      </w:r>
      <w:r w:rsidR="00E50918">
        <w:rPr>
          <w:rFonts w:ascii="Arial" w:eastAsia="宋体" w:hAnsi="Arial" w:cs="Arial" w:hint="eastAsia"/>
          <w:szCs w:val="21"/>
        </w:rPr>
        <w:t>39</w:t>
      </w:r>
      <w:r w:rsidRPr="000F1C1F">
        <w:rPr>
          <w:rFonts w:ascii="Arial" w:eastAsia="宋体" w:hAnsi="Arial" w:cs="Arial"/>
          <w:szCs w:val="21"/>
        </w:rPr>
        <w:t>起案例涉及交易额</w:t>
      </w:r>
      <w:r w:rsidR="00E50918">
        <w:rPr>
          <w:rFonts w:ascii="Arial" w:eastAsia="宋体" w:hAnsi="Arial" w:cs="Arial" w:hint="eastAsia"/>
          <w:szCs w:val="21"/>
        </w:rPr>
        <w:t>205.</w:t>
      </w:r>
      <w:r w:rsidR="00B71BCF">
        <w:rPr>
          <w:rFonts w:ascii="Arial" w:eastAsia="宋体" w:hAnsi="Arial" w:cs="Arial" w:hint="eastAsia"/>
          <w:szCs w:val="21"/>
        </w:rPr>
        <w:t>7</w:t>
      </w:r>
      <w:r w:rsidR="00E50918">
        <w:rPr>
          <w:rFonts w:ascii="Arial" w:eastAsia="宋体" w:hAnsi="Arial" w:cs="Arial" w:hint="eastAsia"/>
          <w:szCs w:val="21"/>
        </w:rPr>
        <w:t>0</w:t>
      </w:r>
      <w:r w:rsidR="00B71BCF">
        <w:rPr>
          <w:rFonts w:ascii="Arial" w:eastAsia="宋体" w:hAnsi="Arial" w:cs="Arial" w:hint="eastAsia"/>
          <w:szCs w:val="21"/>
        </w:rPr>
        <w:t>亿美元，</w:t>
      </w:r>
      <w:r w:rsidR="005A6D8C">
        <w:rPr>
          <w:rFonts w:ascii="Arial" w:eastAsia="宋体" w:hAnsi="Arial" w:cs="Arial" w:hint="eastAsia"/>
          <w:szCs w:val="21"/>
        </w:rPr>
        <w:t>较</w:t>
      </w:r>
      <w:r w:rsidR="005A6D8C">
        <w:rPr>
          <w:rFonts w:ascii="Arial" w:eastAsia="宋体" w:hAnsi="Arial" w:cs="Arial" w:hint="eastAsia"/>
          <w:szCs w:val="21"/>
        </w:rPr>
        <w:t>2013</w:t>
      </w:r>
      <w:r w:rsidR="005A6D8C">
        <w:rPr>
          <w:rFonts w:ascii="Arial" w:eastAsia="宋体" w:hAnsi="Arial" w:cs="Arial" w:hint="eastAsia"/>
          <w:szCs w:val="21"/>
        </w:rPr>
        <w:t>年的</w:t>
      </w:r>
      <w:r w:rsidR="009239A9" w:rsidRPr="000F1C1F">
        <w:rPr>
          <w:rFonts w:ascii="Arial" w:eastAsia="宋体" w:hAnsi="Arial" w:cs="Arial"/>
          <w:szCs w:val="21"/>
        </w:rPr>
        <w:t>295.18</w:t>
      </w:r>
      <w:r w:rsidR="005A6D8C">
        <w:rPr>
          <w:rFonts w:ascii="Arial" w:eastAsia="宋体" w:hAnsi="Arial" w:cs="Arial"/>
          <w:szCs w:val="21"/>
        </w:rPr>
        <w:t>亿美元</w:t>
      </w:r>
      <w:r w:rsidR="005A6D8C">
        <w:rPr>
          <w:rFonts w:ascii="Arial" w:eastAsia="宋体" w:hAnsi="Arial" w:cs="Arial" w:hint="eastAsia"/>
          <w:szCs w:val="21"/>
        </w:rPr>
        <w:t>下跌</w:t>
      </w:r>
      <w:r w:rsidR="00E50918">
        <w:rPr>
          <w:rFonts w:ascii="Arial" w:eastAsia="宋体" w:hAnsi="Arial" w:cs="Arial"/>
          <w:szCs w:val="21"/>
        </w:rPr>
        <w:t>3</w:t>
      </w:r>
      <w:r w:rsidR="00E50918">
        <w:rPr>
          <w:rFonts w:ascii="Arial" w:eastAsia="宋体" w:hAnsi="Arial" w:cs="Arial" w:hint="eastAsia"/>
          <w:szCs w:val="21"/>
        </w:rPr>
        <w:t>0</w:t>
      </w:r>
      <w:r w:rsidR="00E50918">
        <w:rPr>
          <w:rFonts w:ascii="Arial" w:eastAsia="宋体" w:hAnsi="Arial" w:cs="Arial"/>
          <w:szCs w:val="21"/>
        </w:rPr>
        <w:t>.</w:t>
      </w:r>
      <w:r w:rsidR="00E50918">
        <w:rPr>
          <w:rFonts w:ascii="Arial" w:eastAsia="宋体" w:hAnsi="Arial" w:cs="Arial" w:hint="eastAsia"/>
          <w:szCs w:val="21"/>
        </w:rPr>
        <w:t>3</w:t>
      </w:r>
      <w:r w:rsidR="009239A9" w:rsidRPr="000F1C1F">
        <w:rPr>
          <w:rFonts w:ascii="Arial" w:eastAsia="宋体" w:hAnsi="Arial" w:cs="Arial"/>
          <w:szCs w:val="21"/>
        </w:rPr>
        <w:t>%</w:t>
      </w:r>
      <w:r w:rsidR="009239A9" w:rsidRPr="000F1C1F">
        <w:rPr>
          <w:rFonts w:ascii="Arial" w:eastAsia="宋体" w:hAnsi="Arial" w:cs="Arial"/>
          <w:szCs w:val="21"/>
        </w:rPr>
        <w:t>，占比</w:t>
      </w:r>
      <w:r w:rsidR="00884BA3">
        <w:rPr>
          <w:rFonts w:ascii="Arial" w:eastAsia="宋体" w:hAnsi="Arial" w:cs="Arial" w:hint="eastAsia"/>
          <w:szCs w:val="21"/>
        </w:rPr>
        <w:t>17</w:t>
      </w:r>
      <w:r w:rsidR="009239A9" w:rsidRPr="000F1C1F">
        <w:rPr>
          <w:rFonts w:ascii="Arial" w:eastAsia="宋体" w:hAnsi="Arial" w:cs="Arial"/>
          <w:szCs w:val="21"/>
        </w:rPr>
        <w:t>.</w:t>
      </w:r>
      <w:r w:rsidR="00E50918">
        <w:rPr>
          <w:rFonts w:ascii="Arial" w:eastAsia="宋体" w:hAnsi="Arial" w:cs="Arial" w:hint="eastAsia"/>
          <w:szCs w:val="21"/>
        </w:rPr>
        <w:t>4</w:t>
      </w:r>
      <w:r w:rsidR="009239A9" w:rsidRPr="000F1C1F">
        <w:rPr>
          <w:rFonts w:ascii="Arial" w:eastAsia="宋体" w:hAnsi="Arial" w:cs="Arial"/>
          <w:szCs w:val="21"/>
        </w:rPr>
        <w:t>%</w:t>
      </w:r>
      <w:r w:rsidR="00884BA3">
        <w:rPr>
          <w:rFonts w:ascii="Arial" w:eastAsia="宋体" w:hAnsi="Arial" w:cs="Arial"/>
          <w:szCs w:val="21"/>
        </w:rPr>
        <w:t>，这主要因为</w:t>
      </w:r>
      <w:r w:rsidR="009239A9" w:rsidRPr="000F1C1F">
        <w:rPr>
          <w:rFonts w:ascii="Arial" w:eastAsia="宋体" w:hAnsi="Arial" w:cs="Arial"/>
          <w:szCs w:val="21"/>
        </w:rPr>
        <w:t>大型并购案例</w:t>
      </w:r>
      <w:r w:rsidR="00E62708">
        <w:rPr>
          <w:rFonts w:ascii="Arial" w:eastAsia="宋体" w:hAnsi="Arial" w:cs="Arial" w:hint="eastAsia"/>
          <w:szCs w:val="21"/>
        </w:rPr>
        <w:t>（大于或等于</w:t>
      </w:r>
      <w:r w:rsidR="00E62708">
        <w:rPr>
          <w:rFonts w:ascii="Arial" w:eastAsia="宋体" w:hAnsi="Arial" w:cs="Arial" w:hint="eastAsia"/>
          <w:szCs w:val="21"/>
        </w:rPr>
        <w:t>10</w:t>
      </w:r>
      <w:r w:rsidR="00E62708">
        <w:rPr>
          <w:rFonts w:ascii="Arial" w:eastAsia="宋体" w:hAnsi="Arial" w:cs="Arial" w:hint="eastAsia"/>
          <w:szCs w:val="21"/>
        </w:rPr>
        <w:t>亿美元）</w:t>
      </w:r>
      <w:r w:rsidR="00884BA3">
        <w:rPr>
          <w:rFonts w:ascii="Arial" w:eastAsia="宋体" w:hAnsi="Arial" w:cs="Arial" w:hint="eastAsia"/>
          <w:szCs w:val="21"/>
        </w:rPr>
        <w:t>的交易总额较</w:t>
      </w:r>
      <w:r w:rsidR="00154614">
        <w:rPr>
          <w:rFonts w:ascii="Arial" w:eastAsia="宋体" w:hAnsi="Arial" w:cs="Arial" w:hint="eastAsia"/>
          <w:szCs w:val="21"/>
        </w:rPr>
        <w:t>2013</w:t>
      </w:r>
      <w:r w:rsidR="00884BA3">
        <w:rPr>
          <w:rFonts w:ascii="Arial" w:eastAsia="宋体" w:hAnsi="Arial" w:cs="Arial" w:hint="eastAsia"/>
          <w:szCs w:val="21"/>
        </w:rPr>
        <w:t>年有所减少</w:t>
      </w:r>
      <w:r w:rsidR="00884BA3">
        <w:rPr>
          <w:rFonts w:ascii="Arial" w:eastAsia="宋体" w:hAnsi="Arial" w:cs="Arial"/>
          <w:szCs w:val="21"/>
        </w:rPr>
        <w:t>；房地产行业</w:t>
      </w:r>
      <w:r w:rsidR="009239A9" w:rsidRPr="000F1C1F">
        <w:rPr>
          <w:rFonts w:ascii="Arial" w:eastAsia="宋体" w:hAnsi="Arial" w:cs="Arial"/>
          <w:szCs w:val="21"/>
        </w:rPr>
        <w:t>在并购金额方面</w:t>
      </w:r>
      <w:r w:rsidR="00884BA3">
        <w:rPr>
          <w:rFonts w:ascii="Arial" w:eastAsia="宋体" w:hAnsi="Arial" w:cs="Arial" w:hint="eastAsia"/>
          <w:szCs w:val="21"/>
        </w:rPr>
        <w:t>再次</w:t>
      </w:r>
      <w:r w:rsidR="00E62708">
        <w:rPr>
          <w:rFonts w:ascii="Arial" w:eastAsia="宋体" w:hAnsi="Arial" w:cs="Arial"/>
          <w:szCs w:val="21"/>
        </w:rPr>
        <w:t>摘得第二</w:t>
      </w:r>
      <w:r w:rsidR="00E62708">
        <w:rPr>
          <w:rFonts w:ascii="Arial" w:eastAsia="宋体" w:hAnsi="Arial" w:cs="Arial" w:hint="eastAsia"/>
          <w:szCs w:val="21"/>
        </w:rPr>
        <w:t>位</w:t>
      </w:r>
      <w:r w:rsidR="009239A9" w:rsidRPr="000F1C1F">
        <w:rPr>
          <w:rFonts w:ascii="Arial" w:eastAsia="宋体" w:hAnsi="Arial" w:cs="Arial"/>
          <w:szCs w:val="21"/>
        </w:rPr>
        <w:t>的桂冠，完成交易的金额为</w:t>
      </w:r>
      <w:r w:rsidR="00E50918">
        <w:rPr>
          <w:rFonts w:ascii="Arial" w:eastAsia="宋体" w:hAnsi="Arial" w:cs="Arial" w:hint="eastAsia"/>
          <w:szCs w:val="21"/>
        </w:rPr>
        <w:t>145.54</w:t>
      </w:r>
      <w:r w:rsidR="00884BA3">
        <w:rPr>
          <w:rFonts w:ascii="Arial" w:eastAsia="宋体" w:hAnsi="Arial" w:cs="Arial" w:hint="eastAsia"/>
          <w:szCs w:val="21"/>
        </w:rPr>
        <w:t>美元，</w:t>
      </w:r>
      <w:r w:rsidR="009239A9" w:rsidRPr="000F1C1F">
        <w:rPr>
          <w:rFonts w:ascii="Arial" w:eastAsia="宋体" w:hAnsi="Arial" w:cs="Arial"/>
          <w:szCs w:val="21"/>
        </w:rPr>
        <w:t>同比</w:t>
      </w:r>
      <w:r w:rsidR="00E50918">
        <w:rPr>
          <w:rFonts w:ascii="Arial" w:eastAsia="宋体" w:hAnsi="Arial" w:cs="Arial" w:hint="eastAsia"/>
          <w:szCs w:val="21"/>
        </w:rPr>
        <w:t>微</w:t>
      </w:r>
      <w:r w:rsidR="009239A9" w:rsidRPr="000F1C1F">
        <w:rPr>
          <w:rFonts w:ascii="Arial" w:eastAsia="宋体" w:hAnsi="Arial" w:cs="Arial"/>
          <w:szCs w:val="21"/>
        </w:rPr>
        <w:t>涨</w:t>
      </w:r>
      <w:r w:rsidR="00E50918">
        <w:rPr>
          <w:rFonts w:ascii="Arial" w:eastAsia="宋体" w:hAnsi="Arial" w:cs="Arial" w:hint="eastAsia"/>
          <w:szCs w:val="21"/>
        </w:rPr>
        <w:t>2</w:t>
      </w:r>
      <w:r w:rsidR="00884BA3">
        <w:rPr>
          <w:rFonts w:ascii="Arial" w:eastAsia="宋体" w:hAnsi="Arial" w:cs="Arial" w:hint="eastAsia"/>
          <w:szCs w:val="21"/>
        </w:rPr>
        <w:t>.</w:t>
      </w:r>
      <w:r w:rsidR="00E50918">
        <w:rPr>
          <w:rFonts w:ascii="Arial" w:eastAsia="宋体" w:hAnsi="Arial" w:cs="Arial" w:hint="eastAsia"/>
          <w:szCs w:val="21"/>
        </w:rPr>
        <w:t>0</w:t>
      </w:r>
      <w:r w:rsidR="009239A9" w:rsidRPr="000F1C1F">
        <w:rPr>
          <w:rFonts w:ascii="Arial" w:eastAsia="宋体" w:hAnsi="Arial" w:cs="Arial"/>
          <w:szCs w:val="21"/>
        </w:rPr>
        <w:t>%</w:t>
      </w:r>
      <w:r w:rsidR="009239A9" w:rsidRPr="000F1C1F">
        <w:rPr>
          <w:rFonts w:ascii="Arial" w:eastAsia="宋体" w:hAnsi="Arial" w:cs="Arial"/>
          <w:szCs w:val="21"/>
        </w:rPr>
        <w:t>，占总交易量的</w:t>
      </w:r>
      <w:r w:rsidR="00884BA3">
        <w:rPr>
          <w:rFonts w:ascii="Arial" w:eastAsia="宋体" w:hAnsi="Arial" w:cs="Arial"/>
          <w:szCs w:val="21"/>
        </w:rPr>
        <w:t>1</w:t>
      </w:r>
      <w:r w:rsidR="00884BA3">
        <w:rPr>
          <w:rFonts w:ascii="Arial" w:eastAsia="宋体" w:hAnsi="Arial" w:cs="Arial" w:hint="eastAsia"/>
          <w:szCs w:val="21"/>
        </w:rPr>
        <w:t>2</w:t>
      </w:r>
      <w:r w:rsidR="00A11792">
        <w:rPr>
          <w:rFonts w:ascii="Arial" w:eastAsia="宋体" w:hAnsi="Arial" w:cs="Arial"/>
          <w:szCs w:val="21"/>
        </w:rPr>
        <w:t>.</w:t>
      </w:r>
      <w:r w:rsidR="00E50918">
        <w:rPr>
          <w:rFonts w:ascii="Arial" w:eastAsia="宋体" w:hAnsi="Arial" w:cs="Arial" w:hint="eastAsia"/>
          <w:szCs w:val="21"/>
        </w:rPr>
        <w:t>3</w:t>
      </w:r>
      <w:r w:rsidR="009239A9" w:rsidRPr="000F1C1F">
        <w:rPr>
          <w:rFonts w:ascii="Arial" w:eastAsia="宋体" w:hAnsi="Arial" w:cs="Arial"/>
          <w:szCs w:val="21"/>
        </w:rPr>
        <w:t>%</w:t>
      </w:r>
      <w:r w:rsidR="004433BA" w:rsidRPr="000F1C1F">
        <w:rPr>
          <w:rFonts w:ascii="Arial" w:eastAsia="宋体" w:hAnsi="Arial" w:cs="Arial"/>
          <w:szCs w:val="21"/>
        </w:rPr>
        <w:t>，</w:t>
      </w:r>
      <w:r w:rsidR="00884BA3">
        <w:rPr>
          <w:rFonts w:ascii="Arial" w:eastAsia="宋体" w:hAnsi="Arial" w:cs="Arial" w:hint="eastAsia"/>
          <w:szCs w:val="21"/>
        </w:rPr>
        <w:t>但相比</w:t>
      </w:r>
      <w:r w:rsidR="00884BA3">
        <w:rPr>
          <w:rFonts w:ascii="Arial" w:eastAsia="宋体" w:hAnsi="Arial" w:cs="Arial" w:hint="eastAsia"/>
          <w:szCs w:val="21"/>
        </w:rPr>
        <w:t>2013</w:t>
      </w:r>
      <w:r w:rsidR="00884BA3">
        <w:rPr>
          <w:rFonts w:ascii="Arial" w:eastAsia="宋体" w:hAnsi="Arial" w:cs="Arial" w:hint="eastAsia"/>
          <w:szCs w:val="21"/>
        </w:rPr>
        <w:t>年</w:t>
      </w:r>
      <w:r w:rsidR="00E62708" w:rsidRPr="000F1C1F">
        <w:rPr>
          <w:rFonts w:ascii="Arial" w:eastAsia="宋体" w:hAnsi="Arial" w:cs="Arial"/>
          <w:szCs w:val="21"/>
        </w:rPr>
        <w:t>绿地集团</w:t>
      </w:r>
      <w:r w:rsidR="00E62708" w:rsidRPr="000F1C1F">
        <w:rPr>
          <w:rFonts w:ascii="Arial" w:eastAsia="宋体" w:hAnsi="Arial" w:cs="Arial"/>
          <w:szCs w:val="21"/>
        </w:rPr>
        <w:t>50</w:t>
      </w:r>
      <w:r w:rsidR="00E62708" w:rsidRPr="000F1C1F">
        <w:rPr>
          <w:rFonts w:ascii="Arial" w:eastAsia="宋体" w:hAnsi="Arial" w:cs="Arial"/>
          <w:szCs w:val="21"/>
        </w:rPr>
        <w:t>亿美元收购布鲁克林大西洋广场地产项目</w:t>
      </w:r>
      <w:r w:rsidR="00E62708">
        <w:rPr>
          <w:rFonts w:ascii="Arial" w:eastAsia="宋体" w:hAnsi="Arial" w:cs="Arial" w:hint="eastAsia"/>
          <w:szCs w:val="21"/>
        </w:rPr>
        <w:t>的大单，</w:t>
      </w:r>
      <w:r w:rsidR="00E62708">
        <w:rPr>
          <w:rFonts w:ascii="Arial" w:eastAsia="宋体" w:hAnsi="Arial" w:cs="Arial" w:hint="eastAsia"/>
          <w:szCs w:val="21"/>
        </w:rPr>
        <w:t>2014</w:t>
      </w:r>
      <w:r w:rsidR="00E62708">
        <w:rPr>
          <w:rFonts w:ascii="Arial" w:eastAsia="宋体" w:hAnsi="Arial" w:cs="Arial" w:hint="eastAsia"/>
          <w:szCs w:val="21"/>
        </w:rPr>
        <w:t>年房地产行业未出现大型并购交易</w:t>
      </w:r>
      <w:r w:rsidR="009239A9" w:rsidRPr="000F1C1F">
        <w:rPr>
          <w:rFonts w:ascii="Arial" w:eastAsia="宋体" w:hAnsi="Arial" w:cs="Arial"/>
          <w:szCs w:val="21"/>
        </w:rPr>
        <w:t>；金融行业</w:t>
      </w:r>
      <w:r w:rsidR="00E62708">
        <w:rPr>
          <w:rFonts w:ascii="Arial" w:eastAsia="宋体" w:hAnsi="Arial" w:cs="Arial" w:hint="eastAsia"/>
          <w:szCs w:val="21"/>
        </w:rPr>
        <w:t>2014</w:t>
      </w:r>
      <w:r w:rsidR="008038B2" w:rsidRPr="000F1C1F">
        <w:rPr>
          <w:rFonts w:ascii="Arial" w:eastAsia="宋体" w:hAnsi="Arial" w:cs="Arial" w:hint="eastAsia"/>
          <w:szCs w:val="21"/>
        </w:rPr>
        <w:t>年</w:t>
      </w:r>
      <w:r w:rsidR="00E62708">
        <w:rPr>
          <w:rFonts w:ascii="Arial" w:eastAsia="宋体" w:hAnsi="Arial" w:cs="Arial" w:hint="eastAsia"/>
          <w:szCs w:val="21"/>
        </w:rPr>
        <w:t>牢牢守住第三位</w:t>
      </w:r>
      <w:r w:rsidR="009239A9" w:rsidRPr="000F1C1F">
        <w:rPr>
          <w:rFonts w:ascii="Arial" w:eastAsia="宋体" w:hAnsi="Arial" w:cs="Arial"/>
          <w:szCs w:val="21"/>
        </w:rPr>
        <w:t>，完成交易的金额为</w:t>
      </w:r>
      <w:r w:rsidR="00E50918">
        <w:rPr>
          <w:rFonts w:ascii="Arial" w:eastAsia="宋体" w:hAnsi="Arial" w:cs="Arial" w:hint="eastAsia"/>
          <w:szCs w:val="21"/>
        </w:rPr>
        <w:t>111.27</w:t>
      </w:r>
      <w:r w:rsidR="00E62708">
        <w:rPr>
          <w:rFonts w:ascii="Arial" w:eastAsia="宋体" w:hAnsi="Arial" w:cs="Arial" w:hint="eastAsia"/>
          <w:szCs w:val="21"/>
        </w:rPr>
        <w:t>亿美元</w:t>
      </w:r>
      <w:r w:rsidR="009239A9" w:rsidRPr="000F1C1F">
        <w:rPr>
          <w:rFonts w:ascii="Arial" w:eastAsia="宋体" w:hAnsi="Arial" w:cs="Arial"/>
          <w:szCs w:val="21"/>
        </w:rPr>
        <w:t>，</w:t>
      </w:r>
      <w:r w:rsidR="004433BA" w:rsidRPr="000F1C1F">
        <w:rPr>
          <w:rFonts w:ascii="Arial" w:eastAsia="宋体" w:hAnsi="Arial" w:cs="Arial"/>
          <w:szCs w:val="21"/>
        </w:rPr>
        <w:t>较</w:t>
      </w:r>
      <w:r w:rsidR="00E62708">
        <w:rPr>
          <w:rFonts w:ascii="Arial" w:eastAsia="宋体" w:hAnsi="Arial" w:cs="Arial"/>
          <w:szCs w:val="21"/>
        </w:rPr>
        <w:t>201</w:t>
      </w:r>
      <w:r w:rsidR="00E62708">
        <w:rPr>
          <w:rFonts w:ascii="Arial" w:eastAsia="宋体" w:hAnsi="Arial" w:cs="Arial" w:hint="eastAsia"/>
          <w:szCs w:val="21"/>
        </w:rPr>
        <w:t>3</w:t>
      </w:r>
      <w:r w:rsidR="004433BA" w:rsidRPr="000F1C1F">
        <w:rPr>
          <w:rFonts w:ascii="Arial" w:eastAsia="宋体" w:hAnsi="Arial" w:cs="Arial"/>
          <w:szCs w:val="21"/>
        </w:rPr>
        <w:t>年的</w:t>
      </w:r>
      <w:r w:rsidR="00E62708" w:rsidRPr="000F1C1F">
        <w:rPr>
          <w:rFonts w:ascii="Arial" w:eastAsia="宋体" w:hAnsi="Arial" w:cs="Arial"/>
          <w:szCs w:val="21"/>
        </w:rPr>
        <w:t>135.44</w:t>
      </w:r>
      <w:r w:rsidR="00E62708" w:rsidRPr="000F1C1F">
        <w:rPr>
          <w:rFonts w:ascii="Arial" w:eastAsia="宋体" w:hAnsi="Arial" w:cs="Arial"/>
          <w:szCs w:val="21"/>
        </w:rPr>
        <w:t>亿美元</w:t>
      </w:r>
      <w:r w:rsidR="00E62708">
        <w:rPr>
          <w:rFonts w:ascii="Arial" w:eastAsia="宋体" w:hAnsi="Arial" w:cs="Arial" w:hint="eastAsia"/>
          <w:szCs w:val="21"/>
        </w:rPr>
        <w:t>降低</w:t>
      </w:r>
      <w:r w:rsidR="00E50918">
        <w:rPr>
          <w:rFonts w:ascii="Arial" w:eastAsia="宋体" w:hAnsi="Arial" w:cs="Arial" w:hint="eastAsia"/>
          <w:szCs w:val="21"/>
        </w:rPr>
        <w:t>17</w:t>
      </w:r>
      <w:r w:rsidR="00E62708">
        <w:rPr>
          <w:rFonts w:ascii="Arial" w:eastAsia="宋体" w:hAnsi="Arial" w:cs="Arial"/>
          <w:szCs w:val="21"/>
        </w:rPr>
        <w:t>.</w:t>
      </w:r>
      <w:r w:rsidR="00A11792">
        <w:rPr>
          <w:rFonts w:ascii="Arial" w:eastAsia="宋体" w:hAnsi="Arial" w:cs="Arial" w:hint="eastAsia"/>
          <w:szCs w:val="21"/>
        </w:rPr>
        <w:t>8</w:t>
      </w:r>
      <w:r w:rsidR="004433BA" w:rsidRPr="000F1C1F">
        <w:rPr>
          <w:rFonts w:ascii="Arial" w:eastAsia="宋体" w:hAnsi="Arial" w:cs="Arial"/>
          <w:szCs w:val="21"/>
        </w:rPr>
        <w:t>%</w:t>
      </w:r>
      <w:r w:rsidR="00FC56E4" w:rsidRPr="000F1C1F">
        <w:rPr>
          <w:rFonts w:ascii="Arial" w:eastAsia="宋体" w:hAnsi="Arial" w:cs="Arial" w:hint="eastAsia"/>
          <w:szCs w:val="21"/>
        </w:rPr>
        <w:t>，</w:t>
      </w:r>
      <w:r w:rsidR="00E62708">
        <w:rPr>
          <w:rFonts w:ascii="Arial" w:eastAsia="宋体" w:hAnsi="Arial" w:cs="Arial"/>
          <w:szCs w:val="21"/>
        </w:rPr>
        <w:t>主要原因</w:t>
      </w:r>
      <w:r w:rsidR="00E62708">
        <w:rPr>
          <w:rFonts w:ascii="Arial" w:eastAsia="宋体" w:hAnsi="Arial" w:cs="Arial" w:hint="eastAsia"/>
          <w:szCs w:val="21"/>
        </w:rPr>
        <w:t>为金融</w:t>
      </w:r>
      <w:r w:rsidR="00E50918">
        <w:rPr>
          <w:rFonts w:ascii="Arial" w:eastAsia="宋体" w:hAnsi="Arial" w:cs="Arial" w:hint="eastAsia"/>
          <w:szCs w:val="21"/>
        </w:rPr>
        <w:t>行业的并购标的由原来的传统金融机构居多转化为互联网金融企业受追捧</w:t>
      </w:r>
      <w:r w:rsidR="00E62708">
        <w:rPr>
          <w:rFonts w:ascii="Arial" w:eastAsia="宋体" w:hAnsi="Arial" w:cs="Arial" w:hint="eastAsia"/>
          <w:szCs w:val="21"/>
        </w:rPr>
        <w:t>，交易金额普遍下降</w:t>
      </w:r>
      <w:r w:rsidR="004433BA" w:rsidRPr="000F1C1F">
        <w:rPr>
          <w:rFonts w:ascii="Arial" w:eastAsia="宋体" w:hAnsi="Arial" w:cs="Arial"/>
          <w:szCs w:val="21"/>
        </w:rPr>
        <w:t>。</w:t>
      </w:r>
    </w:p>
    <w:p w:rsidR="000A3E23" w:rsidRPr="000F1C1F" w:rsidRDefault="000A3E23" w:rsidP="004433BA">
      <w:pPr>
        <w:spacing w:line="360" w:lineRule="exact"/>
        <w:rPr>
          <w:rFonts w:ascii="Arial" w:eastAsia="宋体" w:hAnsi="Arial" w:cs="Arial"/>
          <w:szCs w:val="21"/>
        </w:rPr>
      </w:pPr>
    </w:p>
    <w:p w:rsidR="00497109" w:rsidRDefault="00E62708">
      <w:pPr>
        <w:spacing w:line="360" w:lineRule="exact"/>
        <w:ind w:firstLineChars="200" w:firstLine="420"/>
        <w:jc w:val="center"/>
        <w:rPr>
          <w:rFonts w:ascii="Arial" w:eastAsia="宋体" w:hAnsi="Arial" w:cs="Arial"/>
          <w:szCs w:val="21"/>
        </w:rPr>
      </w:pPr>
      <w:r>
        <w:rPr>
          <w:rFonts w:ascii="Arial" w:eastAsia="宋体" w:hAnsi="Arial" w:cs="Arial"/>
          <w:szCs w:val="21"/>
        </w:rPr>
        <w:t>201</w:t>
      </w:r>
      <w:r>
        <w:rPr>
          <w:rFonts w:ascii="Arial" w:eastAsia="宋体" w:hAnsi="Arial" w:cs="Arial" w:hint="eastAsia"/>
          <w:szCs w:val="21"/>
        </w:rPr>
        <w:t>4</w:t>
      </w:r>
      <w:r w:rsidR="006B5251" w:rsidRPr="000F1C1F">
        <w:rPr>
          <w:rFonts w:ascii="Arial" w:eastAsia="宋体" w:hAnsi="Arial" w:cs="Arial"/>
          <w:szCs w:val="21"/>
        </w:rPr>
        <w:t>年，</w:t>
      </w:r>
      <w:r w:rsidR="003C5DC2" w:rsidRPr="000F1C1F">
        <w:rPr>
          <w:rFonts w:ascii="Arial" w:eastAsia="宋体" w:hAnsi="Arial" w:cs="Arial" w:hint="eastAsia"/>
          <w:szCs w:val="21"/>
        </w:rPr>
        <w:t>相比传统行业，</w:t>
      </w:r>
      <w:r w:rsidR="003C5DC2" w:rsidRPr="000F1C1F">
        <w:rPr>
          <w:rFonts w:ascii="Arial" w:eastAsia="宋体" w:hAnsi="Arial" w:cs="Arial"/>
          <w:szCs w:val="21"/>
        </w:rPr>
        <w:t>生物技术</w:t>
      </w:r>
      <w:r w:rsidR="003C5DC2" w:rsidRPr="000F1C1F">
        <w:rPr>
          <w:rFonts w:ascii="Arial" w:eastAsia="宋体" w:hAnsi="Arial" w:cs="Arial"/>
          <w:szCs w:val="21"/>
        </w:rPr>
        <w:t>/</w:t>
      </w:r>
      <w:r w:rsidR="003C5DC2" w:rsidRPr="000F1C1F">
        <w:rPr>
          <w:rFonts w:ascii="Arial" w:eastAsia="宋体" w:hAnsi="Arial" w:cs="Arial"/>
          <w:szCs w:val="21"/>
        </w:rPr>
        <w:t>医疗健康、清洁技术、互联网</w:t>
      </w:r>
      <w:r w:rsidR="003C5DC2" w:rsidRPr="000F1C1F">
        <w:rPr>
          <w:rFonts w:ascii="Arial" w:eastAsia="宋体" w:hAnsi="Arial" w:cs="Arial" w:hint="eastAsia"/>
          <w:szCs w:val="21"/>
        </w:rPr>
        <w:t>等新兴行业的并购活动表现</w:t>
      </w:r>
      <w:r>
        <w:rPr>
          <w:rFonts w:ascii="Arial" w:eastAsia="宋体" w:hAnsi="Arial" w:cs="Arial" w:hint="eastAsia"/>
          <w:szCs w:val="21"/>
        </w:rPr>
        <w:t>依旧</w:t>
      </w:r>
      <w:r w:rsidR="003C5DC2" w:rsidRPr="000F1C1F">
        <w:rPr>
          <w:rFonts w:ascii="Arial" w:eastAsia="宋体" w:hAnsi="Arial" w:cs="Arial" w:hint="eastAsia"/>
          <w:szCs w:val="21"/>
        </w:rPr>
        <w:t>抢</w:t>
      </w:r>
      <w:r w:rsidR="003C5DC2" w:rsidRPr="000F1C1F">
        <w:rPr>
          <w:rFonts w:ascii="Arial" w:eastAsia="宋体" w:hAnsi="Arial" w:cs="Arial" w:hint="eastAsia"/>
          <w:szCs w:val="21"/>
        </w:rPr>
        <w:lastRenderedPageBreak/>
        <w:t>眼，</w:t>
      </w:r>
      <w:r>
        <w:rPr>
          <w:rFonts w:ascii="Arial" w:eastAsia="宋体" w:hAnsi="Arial" w:cs="Arial" w:hint="eastAsia"/>
          <w:szCs w:val="21"/>
        </w:rPr>
        <w:t>案例数和并购金额较</w:t>
      </w:r>
      <w:r>
        <w:rPr>
          <w:rFonts w:ascii="Arial" w:eastAsia="宋体" w:hAnsi="Arial" w:cs="Arial" w:hint="eastAsia"/>
          <w:szCs w:val="21"/>
        </w:rPr>
        <w:t>2013</w:t>
      </w:r>
      <w:r>
        <w:rPr>
          <w:rFonts w:ascii="Arial" w:eastAsia="宋体" w:hAnsi="Arial" w:cs="Arial" w:hint="eastAsia"/>
          <w:szCs w:val="21"/>
        </w:rPr>
        <w:t>年均有大幅提高。在国家经济转型和倡导节能环保的大背景下，</w:t>
      </w:r>
      <w:r>
        <w:rPr>
          <w:rFonts w:hint="eastAsia"/>
          <w:color w:val="000000"/>
          <w:szCs w:val="21"/>
          <w:shd w:val="clear" w:color="auto" w:fill="FFFFFF"/>
        </w:rPr>
        <w:t>政府不可能再出台大规模的经济刺激政策，而制造业产能过剩现象仍然严重，</w:t>
      </w:r>
      <w:r w:rsidR="00C27148">
        <w:rPr>
          <w:rFonts w:hint="eastAsia"/>
          <w:color w:val="000000"/>
          <w:szCs w:val="21"/>
          <w:shd w:val="clear" w:color="auto" w:fill="FFFFFF"/>
        </w:rPr>
        <w:t>生产者物价指数（</w:t>
      </w:r>
      <w:r w:rsidR="00C27148">
        <w:rPr>
          <w:rFonts w:hint="eastAsia"/>
          <w:color w:val="000000"/>
          <w:szCs w:val="21"/>
          <w:shd w:val="clear" w:color="auto" w:fill="FFFFFF"/>
        </w:rPr>
        <w:t>PPI</w:t>
      </w:r>
      <w:r w:rsidR="00C27148">
        <w:rPr>
          <w:rFonts w:hint="eastAsia"/>
          <w:color w:val="000000"/>
          <w:szCs w:val="21"/>
          <w:shd w:val="clear" w:color="auto" w:fill="FFFFFF"/>
        </w:rPr>
        <w:t>）连续</w:t>
      </w:r>
      <w:r w:rsidR="00C27148">
        <w:rPr>
          <w:rFonts w:hint="eastAsia"/>
          <w:color w:val="000000"/>
          <w:szCs w:val="21"/>
          <w:shd w:val="clear" w:color="auto" w:fill="FFFFFF"/>
        </w:rPr>
        <w:t>34</w:t>
      </w:r>
      <w:r w:rsidR="00C27148">
        <w:rPr>
          <w:rFonts w:hint="eastAsia"/>
          <w:color w:val="000000"/>
          <w:szCs w:val="21"/>
          <w:shd w:val="clear" w:color="auto" w:fill="FFFFFF"/>
        </w:rPr>
        <w:t>个月下跌</w:t>
      </w:r>
      <w:r w:rsidR="00903F26" w:rsidRPr="00903F26">
        <w:rPr>
          <w:rFonts w:ascii="Arial" w:hAnsi="Arial" w:cs="Arial" w:hint="eastAsia"/>
          <w:color w:val="000000"/>
          <w:szCs w:val="21"/>
          <w:shd w:val="clear" w:color="auto" w:fill="FFFFFF"/>
        </w:rPr>
        <w:t>（截至到</w:t>
      </w:r>
      <w:r w:rsidR="00903F26" w:rsidRPr="00903F26">
        <w:rPr>
          <w:rFonts w:ascii="Arial" w:hAnsi="Arial" w:cs="Arial"/>
          <w:color w:val="000000"/>
          <w:szCs w:val="21"/>
          <w:shd w:val="clear" w:color="auto" w:fill="FFFFFF"/>
        </w:rPr>
        <w:t>2014</w:t>
      </w:r>
      <w:r w:rsidR="00903F26" w:rsidRPr="00903F26">
        <w:rPr>
          <w:rFonts w:ascii="Arial" w:hAnsi="Arial" w:cs="Arial" w:hint="eastAsia"/>
          <w:color w:val="000000"/>
          <w:szCs w:val="21"/>
          <w:shd w:val="clear" w:color="auto" w:fill="FFFFFF"/>
        </w:rPr>
        <w:t>年</w:t>
      </w:r>
      <w:r w:rsidR="00903F26" w:rsidRPr="00903F26">
        <w:rPr>
          <w:rFonts w:ascii="Arial" w:hAnsi="Arial" w:cs="Arial"/>
          <w:color w:val="000000"/>
          <w:szCs w:val="21"/>
          <w:shd w:val="clear" w:color="auto" w:fill="FFFFFF"/>
        </w:rPr>
        <w:t>12</w:t>
      </w:r>
      <w:r w:rsidR="00903F26" w:rsidRPr="00903F26">
        <w:rPr>
          <w:rFonts w:ascii="Arial" w:hAnsi="Arial" w:cs="Arial" w:hint="eastAsia"/>
          <w:color w:val="000000"/>
          <w:szCs w:val="21"/>
          <w:shd w:val="clear" w:color="auto" w:fill="FFFFFF"/>
        </w:rPr>
        <w:t>月），传</w:t>
      </w:r>
      <w:r>
        <w:rPr>
          <w:rFonts w:hint="eastAsia"/>
          <w:color w:val="000000"/>
          <w:szCs w:val="21"/>
          <w:shd w:val="clear" w:color="auto" w:fill="FFFFFF"/>
        </w:rPr>
        <w:t>统行业企业盈利改善的趋势仍不容乐观。</w:t>
      </w:r>
      <w:r w:rsidR="009F2633">
        <w:rPr>
          <w:rFonts w:ascii="Arial" w:eastAsia="宋体" w:hAnsi="Arial" w:cs="Arial" w:hint="eastAsia"/>
          <w:szCs w:val="21"/>
        </w:rPr>
        <w:t>新兴产业成为众多企业，特别是上市公司并购布局的热点，这样一来既可以涉足新兴领域，符合经济转型的方向，还可以通过优良资产的注入来提高公司的市值</w:t>
      </w:r>
      <w:r w:rsidR="00910409" w:rsidRPr="000F1C1F">
        <w:rPr>
          <w:rFonts w:ascii="Arial" w:eastAsia="宋体" w:hAnsi="Arial" w:cs="Arial" w:hint="eastAsia"/>
          <w:szCs w:val="21"/>
        </w:rPr>
        <w:t>。</w:t>
      </w:r>
      <w:r w:rsidR="009F2633">
        <w:rPr>
          <w:rFonts w:ascii="Arial" w:eastAsia="宋体" w:hAnsi="Arial" w:cs="Arial" w:hint="eastAsia"/>
          <w:szCs w:val="21"/>
        </w:rPr>
        <w:t>从具体表现来看，</w:t>
      </w:r>
      <w:r w:rsidR="009F2633">
        <w:rPr>
          <w:rFonts w:ascii="Arial" w:eastAsia="宋体" w:hAnsi="Arial" w:cs="Arial"/>
          <w:szCs w:val="21"/>
        </w:rPr>
        <w:t>201</w:t>
      </w:r>
      <w:r w:rsidR="009F2633">
        <w:rPr>
          <w:rFonts w:ascii="Arial" w:eastAsia="宋体" w:hAnsi="Arial" w:cs="Arial" w:hint="eastAsia"/>
          <w:szCs w:val="21"/>
        </w:rPr>
        <w:t>4</w:t>
      </w:r>
      <w:r w:rsidR="008A749E" w:rsidRPr="000F1C1F">
        <w:rPr>
          <w:rFonts w:ascii="Arial" w:eastAsia="宋体" w:hAnsi="Arial" w:cs="Arial"/>
          <w:szCs w:val="21"/>
        </w:rPr>
        <w:t>年</w:t>
      </w:r>
      <w:r w:rsidR="006141C5" w:rsidRPr="000F1C1F">
        <w:rPr>
          <w:rFonts w:ascii="Arial" w:eastAsia="宋体" w:hAnsi="Arial" w:cs="Arial"/>
          <w:szCs w:val="21"/>
        </w:rPr>
        <w:t>生物技术</w:t>
      </w:r>
      <w:r w:rsidR="006141C5" w:rsidRPr="000F1C1F">
        <w:rPr>
          <w:rFonts w:ascii="Arial" w:eastAsia="宋体" w:hAnsi="Arial" w:cs="Arial"/>
          <w:szCs w:val="21"/>
        </w:rPr>
        <w:t>/</w:t>
      </w:r>
      <w:r w:rsidR="006141C5" w:rsidRPr="000F1C1F">
        <w:rPr>
          <w:rFonts w:ascii="Arial" w:eastAsia="宋体" w:hAnsi="Arial" w:cs="Arial"/>
          <w:szCs w:val="21"/>
        </w:rPr>
        <w:t>医疗健康行业共完成</w:t>
      </w:r>
      <w:r w:rsidR="009F2633">
        <w:rPr>
          <w:rFonts w:ascii="Arial" w:eastAsia="宋体" w:hAnsi="Arial" w:cs="Arial"/>
          <w:szCs w:val="21"/>
        </w:rPr>
        <w:t>1</w:t>
      </w:r>
      <w:r w:rsidR="00E50918">
        <w:rPr>
          <w:rFonts w:ascii="Arial" w:eastAsia="宋体" w:hAnsi="Arial" w:cs="Arial" w:hint="eastAsia"/>
          <w:szCs w:val="21"/>
        </w:rPr>
        <w:t>65</w:t>
      </w:r>
      <w:r w:rsidR="006141C5" w:rsidRPr="000F1C1F">
        <w:rPr>
          <w:rFonts w:ascii="Arial" w:eastAsia="宋体" w:hAnsi="Arial" w:cs="Arial"/>
          <w:szCs w:val="21"/>
        </w:rPr>
        <w:t>起，涉及金额</w:t>
      </w:r>
      <w:r w:rsidR="00E50918">
        <w:rPr>
          <w:rFonts w:ascii="Arial" w:eastAsia="宋体" w:hAnsi="Arial" w:cs="Arial" w:hint="eastAsia"/>
          <w:szCs w:val="21"/>
        </w:rPr>
        <w:t>72.07</w:t>
      </w:r>
      <w:r w:rsidR="006141C5" w:rsidRPr="000F1C1F">
        <w:rPr>
          <w:rFonts w:ascii="Arial" w:eastAsia="宋体" w:hAnsi="Arial" w:cs="Arial"/>
          <w:szCs w:val="21"/>
        </w:rPr>
        <w:t>亿美元，同比分别上涨</w:t>
      </w:r>
      <w:r w:rsidR="00E50918">
        <w:rPr>
          <w:rFonts w:ascii="Arial" w:eastAsia="宋体" w:hAnsi="Arial" w:cs="Arial" w:hint="eastAsia"/>
          <w:szCs w:val="21"/>
        </w:rPr>
        <w:t>60</w:t>
      </w:r>
      <w:r w:rsidR="009F2633">
        <w:rPr>
          <w:rFonts w:ascii="Arial" w:eastAsia="宋体" w:hAnsi="Arial" w:cs="Arial"/>
          <w:szCs w:val="21"/>
        </w:rPr>
        <w:t>.</w:t>
      </w:r>
      <w:r w:rsidR="00E50918">
        <w:rPr>
          <w:rFonts w:ascii="Arial" w:eastAsia="宋体" w:hAnsi="Arial" w:cs="Arial" w:hint="eastAsia"/>
          <w:szCs w:val="21"/>
        </w:rPr>
        <w:t>2</w:t>
      </w:r>
      <w:r w:rsidR="006141C5" w:rsidRPr="000F1C1F">
        <w:rPr>
          <w:rFonts w:ascii="Arial" w:eastAsia="宋体" w:hAnsi="Arial" w:cs="Arial"/>
          <w:szCs w:val="21"/>
        </w:rPr>
        <w:t>%</w:t>
      </w:r>
      <w:r w:rsidR="006141C5" w:rsidRPr="000F1C1F">
        <w:rPr>
          <w:rFonts w:ascii="Arial" w:eastAsia="宋体" w:hAnsi="Arial" w:cs="Arial"/>
          <w:szCs w:val="21"/>
        </w:rPr>
        <w:t>、</w:t>
      </w:r>
      <w:r w:rsidR="009F2633">
        <w:rPr>
          <w:rFonts w:ascii="Arial" w:eastAsia="宋体" w:hAnsi="Arial" w:cs="Arial"/>
          <w:szCs w:val="21"/>
        </w:rPr>
        <w:t>2</w:t>
      </w:r>
      <w:r w:rsidR="00E50918">
        <w:rPr>
          <w:rFonts w:ascii="Arial" w:eastAsia="宋体" w:hAnsi="Arial" w:cs="Arial" w:hint="eastAsia"/>
          <w:szCs w:val="21"/>
        </w:rPr>
        <w:t>33</w:t>
      </w:r>
      <w:r w:rsidR="009F2633">
        <w:rPr>
          <w:rFonts w:ascii="Arial" w:eastAsia="宋体" w:hAnsi="Arial" w:cs="Arial"/>
          <w:szCs w:val="21"/>
        </w:rPr>
        <w:t>.</w:t>
      </w:r>
      <w:r w:rsidR="00E50918">
        <w:rPr>
          <w:rFonts w:ascii="Arial" w:eastAsia="宋体" w:hAnsi="Arial" w:cs="Arial" w:hint="eastAsia"/>
          <w:szCs w:val="21"/>
        </w:rPr>
        <w:t>1</w:t>
      </w:r>
      <w:r w:rsidR="006141C5" w:rsidRPr="000F1C1F">
        <w:rPr>
          <w:rFonts w:ascii="Arial" w:eastAsia="宋体" w:hAnsi="Arial" w:cs="Arial"/>
          <w:szCs w:val="21"/>
        </w:rPr>
        <w:t>%</w:t>
      </w:r>
      <w:r w:rsidR="006141C5" w:rsidRPr="000F1C1F">
        <w:rPr>
          <w:rFonts w:ascii="Arial" w:eastAsia="宋体" w:hAnsi="Arial" w:cs="Arial"/>
          <w:szCs w:val="21"/>
        </w:rPr>
        <w:t>；清洁技术行业交易量为</w:t>
      </w:r>
      <w:r w:rsidR="00E50918">
        <w:rPr>
          <w:rFonts w:ascii="Arial" w:eastAsia="宋体" w:hAnsi="Arial" w:cs="Arial" w:hint="eastAsia"/>
          <w:szCs w:val="21"/>
        </w:rPr>
        <w:t>158</w:t>
      </w:r>
      <w:r w:rsidR="006141C5" w:rsidRPr="000F1C1F">
        <w:rPr>
          <w:rFonts w:ascii="Arial" w:eastAsia="宋体" w:hAnsi="Arial" w:cs="Arial"/>
          <w:szCs w:val="21"/>
        </w:rPr>
        <w:t>起，交易金额为</w:t>
      </w:r>
      <w:r w:rsidR="00E50918">
        <w:rPr>
          <w:rFonts w:ascii="Arial" w:eastAsia="宋体" w:hAnsi="Arial" w:cs="Arial" w:hint="eastAsia"/>
          <w:szCs w:val="21"/>
        </w:rPr>
        <w:t>60</w:t>
      </w:r>
      <w:r w:rsidR="009F2633">
        <w:rPr>
          <w:rFonts w:ascii="Arial" w:eastAsia="宋体" w:hAnsi="Arial" w:cs="Arial"/>
          <w:szCs w:val="21"/>
        </w:rPr>
        <w:t>.</w:t>
      </w:r>
      <w:r w:rsidR="00E50918">
        <w:rPr>
          <w:rFonts w:ascii="Arial" w:eastAsia="宋体" w:hAnsi="Arial" w:cs="Arial" w:hint="eastAsia"/>
          <w:szCs w:val="21"/>
        </w:rPr>
        <w:t>69</w:t>
      </w:r>
      <w:r w:rsidR="006141C5" w:rsidRPr="000F1C1F">
        <w:rPr>
          <w:rFonts w:ascii="Arial" w:eastAsia="宋体" w:hAnsi="Arial" w:cs="Arial"/>
          <w:szCs w:val="21"/>
        </w:rPr>
        <w:t>亿美元，</w:t>
      </w:r>
      <w:r w:rsidR="00910409" w:rsidRPr="000F1C1F">
        <w:rPr>
          <w:rFonts w:ascii="Arial" w:eastAsia="宋体" w:hAnsi="Arial" w:cs="Arial" w:hint="eastAsia"/>
          <w:szCs w:val="21"/>
        </w:rPr>
        <w:t>同比</w:t>
      </w:r>
      <w:r w:rsidR="00A11792">
        <w:rPr>
          <w:rFonts w:ascii="Arial" w:eastAsia="宋体" w:hAnsi="Arial" w:cs="Arial" w:hint="eastAsia"/>
          <w:szCs w:val="21"/>
        </w:rPr>
        <w:t>分别</w:t>
      </w:r>
      <w:r w:rsidR="00910409" w:rsidRPr="000F1C1F">
        <w:rPr>
          <w:rFonts w:ascii="Arial" w:eastAsia="宋体" w:hAnsi="Arial" w:cs="Arial" w:hint="eastAsia"/>
          <w:szCs w:val="21"/>
        </w:rPr>
        <w:t>提升</w:t>
      </w:r>
      <w:r w:rsidR="00E50918">
        <w:rPr>
          <w:rFonts w:ascii="Arial" w:eastAsia="宋体" w:hAnsi="Arial" w:cs="Arial" w:hint="eastAsia"/>
          <w:szCs w:val="21"/>
        </w:rPr>
        <w:t>129.0</w:t>
      </w:r>
      <w:r w:rsidR="006141C5" w:rsidRPr="000F1C1F">
        <w:rPr>
          <w:rFonts w:ascii="Arial" w:eastAsia="宋体" w:hAnsi="Arial" w:cs="Arial"/>
          <w:szCs w:val="21"/>
        </w:rPr>
        <w:t>%</w:t>
      </w:r>
      <w:r w:rsidR="006141C5" w:rsidRPr="000F1C1F">
        <w:rPr>
          <w:rFonts w:ascii="Arial" w:eastAsia="宋体" w:hAnsi="Arial" w:cs="Arial"/>
          <w:szCs w:val="21"/>
        </w:rPr>
        <w:t>、</w:t>
      </w:r>
      <w:r w:rsidR="00E50918">
        <w:rPr>
          <w:rFonts w:ascii="Arial" w:eastAsia="宋体" w:hAnsi="Arial" w:cs="Arial" w:hint="eastAsia"/>
          <w:szCs w:val="21"/>
        </w:rPr>
        <w:t>219</w:t>
      </w:r>
      <w:r w:rsidR="009F2633">
        <w:rPr>
          <w:rFonts w:ascii="Arial" w:eastAsia="宋体" w:hAnsi="Arial" w:cs="Arial"/>
          <w:szCs w:val="21"/>
        </w:rPr>
        <w:t>.</w:t>
      </w:r>
      <w:r w:rsidR="00E50918">
        <w:rPr>
          <w:rFonts w:ascii="Arial" w:eastAsia="宋体" w:hAnsi="Arial" w:cs="Arial" w:hint="eastAsia"/>
          <w:szCs w:val="21"/>
        </w:rPr>
        <w:t>2</w:t>
      </w:r>
      <w:r w:rsidR="006141C5" w:rsidRPr="000F1C1F">
        <w:rPr>
          <w:rFonts w:ascii="Arial" w:eastAsia="宋体" w:hAnsi="Arial" w:cs="Arial"/>
          <w:szCs w:val="21"/>
        </w:rPr>
        <w:t>%</w:t>
      </w:r>
      <w:r w:rsidR="006141C5" w:rsidRPr="000F1C1F">
        <w:rPr>
          <w:rFonts w:ascii="Arial" w:eastAsia="宋体" w:hAnsi="Arial" w:cs="Arial"/>
          <w:szCs w:val="21"/>
        </w:rPr>
        <w:t>；互联网行业为</w:t>
      </w:r>
      <w:r w:rsidR="009F2633">
        <w:rPr>
          <w:rFonts w:ascii="Arial" w:eastAsia="宋体" w:hAnsi="Arial" w:cs="Arial" w:hint="eastAsia"/>
          <w:szCs w:val="21"/>
        </w:rPr>
        <w:t>2014</w:t>
      </w:r>
      <w:r w:rsidR="008038B2" w:rsidRPr="000F1C1F">
        <w:rPr>
          <w:rFonts w:ascii="Arial" w:eastAsia="宋体" w:hAnsi="Arial" w:cs="Arial"/>
          <w:szCs w:val="21"/>
        </w:rPr>
        <w:t>年度</w:t>
      </w:r>
      <w:r w:rsidR="009F2633">
        <w:rPr>
          <w:rFonts w:ascii="Arial" w:eastAsia="宋体" w:hAnsi="Arial" w:cs="Arial" w:hint="eastAsia"/>
          <w:szCs w:val="21"/>
        </w:rPr>
        <w:t>当之无愧的</w:t>
      </w:r>
      <w:r w:rsidR="006141C5" w:rsidRPr="000F1C1F">
        <w:rPr>
          <w:rFonts w:ascii="Arial" w:eastAsia="宋体" w:hAnsi="Arial" w:cs="Arial"/>
          <w:szCs w:val="21"/>
        </w:rPr>
        <w:t>黑马，</w:t>
      </w:r>
      <w:r w:rsidR="009F2633">
        <w:rPr>
          <w:rFonts w:ascii="Arial" w:eastAsia="宋体" w:hAnsi="Arial" w:cs="Arial" w:hint="eastAsia"/>
          <w:szCs w:val="21"/>
        </w:rPr>
        <w:t>案例数从</w:t>
      </w:r>
      <w:r w:rsidR="009F2633">
        <w:rPr>
          <w:rFonts w:ascii="Arial" w:eastAsia="宋体" w:hAnsi="Arial" w:cs="Arial" w:hint="eastAsia"/>
          <w:szCs w:val="21"/>
        </w:rPr>
        <w:t>2013</w:t>
      </w:r>
      <w:r w:rsidR="009F2633">
        <w:rPr>
          <w:rFonts w:ascii="Arial" w:eastAsia="宋体" w:hAnsi="Arial" w:cs="Arial" w:hint="eastAsia"/>
          <w:szCs w:val="21"/>
        </w:rPr>
        <w:t>年的第十三位</w:t>
      </w:r>
      <w:proofErr w:type="gramStart"/>
      <w:r w:rsidR="009F2633">
        <w:rPr>
          <w:rFonts w:ascii="Arial" w:eastAsia="宋体" w:hAnsi="Arial" w:cs="Arial" w:hint="eastAsia"/>
          <w:szCs w:val="21"/>
        </w:rPr>
        <w:t>蹿</w:t>
      </w:r>
      <w:proofErr w:type="gramEnd"/>
      <w:r w:rsidR="009F2633">
        <w:rPr>
          <w:rFonts w:ascii="Arial" w:eastAsia="宋体" w:hAnsi="Arial" w:cs="Arial" w:hint="eastAsia"/>
          <w:szCs w:val="21"/>
        </w:rPr>
        <w:t>升至</w:t>
      </w:r>
      <w:r w:rsidR="009F2633">
        <w:rPr>
          <w:rFonts w:ascii="Arial" w:eastAsia="宋体" w:hAnsi="Arial" w:cs="Arial" w:hint="eastAsia"/>
          <w:szCs w:val="21"/>
        </w:rPr>
        <w:t>2014</w:t>
      </w:r>
      <w:r w:rsidR="009F2633">
        <w:rPr>
          <w:rFonts w:ascii="Arial" w:eastAsia="宋体" w:hAnsi="Arial" w:cs="Arial" w:hint="eastAsia"/>
          <w:szCs w:val="21"/>
        </w:rPr>
        <w:t>年的第六位，主要得益于</w:t>
      </w:r>
      <w:r w:rsidR="009F2633">
        <w:rPr>
          <w:rFonts w:ascii="Arial" w:eastAsia="宋体" w:hAnsi="Arial" w:cs="Arial"/>
          <w:szCs w:val="21"/>
        </w:rPr>
        <w:t>移动互联网</w:t>
      </w:r>
      <w:r w:rsidR="009F2633">
        <w:rPr>
          <w:rFonts w:ascii="Arial" w:eastAsia="宋体" w:hAnsi="Arial" w:cs="Arial" w:hint="eastAsia"/>
          <w:szCs w:val="21"/>
        </w:rPr>
        <w:t>战场上的硝烟弥漫</w:t>
      </w:r>
      <w:r w:rsidR="00EE7D3B">
        <w:rPr>
          <w:rFonts w:ascii="Arial" w:eastAsia="宋体" w:hAnsi="Arial" w:cs="Arial" w:hint="eastAsia"/>
          <w:szCs w:val="21"/>
        </w:rPr>
        <w:t>。</w:t>
      </w:r>
      <w:r w:rsidR="009F2633">
        <w:rPr>
          <w:rFonts w:ascii="Arial" w:eastAsia="宋体" w:hAnsi="Arial" w:cs="Arial"/>
          <w:szCs w:val="21"/>
        </w:rPr>
        <w:t>201</w:t>
      </w:r>
      <w:r w:rsidR="009F2633">
        <w:rPr>
          <w:rFonts w:ascii="Arial" w:eastAsia="宋体" w:hAnsi="Arial" w:cs="Arial" w:hint="eastAsia"/>
          <w:szCs w:val="21"/>
        </w:rPr>
        <w:t>4</w:t>
      </w:r>
      <w:r w:rsidR="008A749E" w:rsidRPr="000F1C1F">
        <w:rPr>
          <w:rFonts w:ascii="Arial" w:eastAsia="宋体" w:hAnsi="Arial" w:cs="Arial"/>
          <w:szCs w:val="21"/>
        </w:rPr>
        <w:t>年</w:t>
      </w:r>
      <w:r w:rsidR="006141C5" w:rsidRPr="000F1C1F">
        <w:rPr>
          <w:rFonts w:ascii="Arial" w:eastAsia="宋体" w:hAnsi="Arial" w:cs="Arial"/>
          <w:szCs w:val="21"/>
        </w:rPr>
        <w:t>互联网行业共完成并购案例</w:t>
      </w:r>
      <w:r w:rsidR="00E50918">
        <w:rPr>
          <w:rFonts w:ascii="Arial" w:eastAsia="宋体" w:hAnsi="Arial" w:cs="Arial" w:hint="eastAsia"/>
          <w:szCs w:val="21"/>
        </w:rPr>
        <w:t>125</w:t>
      </w:r>
      <w:r w:rsidR="006141C5" w:rsidRPr="000F1C1F">
        <w:rPr>
          <w:rFonts w:ascii="Arial" w:eastAsia="宋体" w:hAnsi="Arial" w:cs="Arial"/>
          <w:szCs w:val="21"/>
        </w:rPr>
        <w:t>起，</w:t>
      </w:r>
      <w:r w:rsidR="002C6326" w:rsidRPr="000F1C1F">
        <w:rPr>
          <w:rFonts w:ascii="Arial" w:eastAsia="宋体" w:hAnsi="Arial" w:cs="Arial"/>
          <w:szCs w:val="21"/>
        </w:rPr>
        <w:t>同比上升</w:t>
      </w:r>
      <w:r w:rsidR="00E50918">
        <w:rPr>
          <w:rFonts w:ascii="Arial" w:eastAsia="宋体" w:hAnsi="Arial" w:cs="Arial" w:hint="eastAsia"/>
          <w:szCs w:val="21"/>
        </w:rPr>
        <w:t>184</w:t>
      </w:r>
      <w:r w:rsidR="009F2633">
        <w:rPr>
          <w:rFonts w:ascii="Arial" w:eastAsia="宋体" w:hAnsi="Arial" w:cs="Arial"/>
          <w:szCs w:val="21"/>
        </w:rPr>
        <w:t>.</w:t>
      </w:r>
      <w:r w:rsidR="00E50918">
        <w:rPr>
          <w:rFonts w:ascii="Arial" w:eastAsia="宋体" w:hAnsi="Arial" w:cs="Arial" w:hint="eastAsia"/>
          <w:szCs w:val="21"/>
        </w:rPr>
        <w:t>1</w:t>
      </w:r>
      <w:r w:rsidR="002C6326" w:rsidRPr="000F1C1F">
        <w:rPr>
          <w:rFonts w:ascii="Arial" w:eastAsia="宋体" w:hAnsi="Arial" w:cs="Arial"/>
          <w:szCs w:val="21"/>
        </w:rPr>
        <w:t>%</w:t>
      </w:r>
      <w:r w:rsidR="002C6326" w:rsidRPr="000F1C1F">
        <w:rPr>
          <w:rFonts w:ascii="Arial" w:eastAsia="宋体" w:hAnsi="Arial" w:cs="Arial"/>
          <w:szCs w:val="21"/>
        </w:rPr>
        <w:t>，</w:t>
      </w:r>
      <w:r w:rsidR="006141C5" w:rsidRPr="000F1C1F">
        <w:rPr>
          <w:rFonts w:ascii="Arial" w:eastAsia="宋体" w:hAnsi="Arial" w:cs="Arial"/>
          <w:szCs w:val="21"/>
        </w:rPr>
        <w:t>涉及并购金额</w:t>
      </w:r>
      <w:r w:rsidR="009F2633">
        <w:rPr>
          <w:rFonts w:ascii="Arial" w:eastAsia="宋体" w:hAnsi="Arial" w:cs="Arial" w:hint="eastAsia"/>
          <w:szCs w:val="21"/>
        </w:rPr>
        <w:t>86</w:t>
      </w:r>
      <w:r w:rsidR="00E50918">
        <w:rPr>
          <w:rFonts w:ascii="Arial" w:eastAsia="宋体" w:hAnsi="Arial" w:cs="Arial"/>
          <w:szCs w:val="21"/>
        </w:rPr>
        <w:t>.</w:t>
      </w:r>
      <w:r w:rsidR="00E50918">
        <w:rPr>
          <w:rFonts w:ascii="Arial" w:eastAsia="宋体" w:hAnsi="Arial" w:cs="Arial" w:hint="eastAsia"/>
          <w:szCs w:val="21"/>
        </w:rPr>
        <w:t>48</w:t>
      </w:r>
      <w:r w:rsidR="006141C5" w:rsidRPr="000F1C1F">
        <w:rPr>
          <w:rFonts w:ascii="Arial" w:eastAsia="宋体" w:hAnsi="Arial" w:cs="Arial"/>
          <w:szCs w:val="21"/>
        </w:rPr>
        <w:t>亿美元</w:t>
      </w:r>
      <w:r w:rsidR="002C6326" w:rsidRPr="000F1C1F">
        <w:rPr>
          <w:rFonts w:ascii="Arial" w:eastAsia="宋体" w:hAnsi="Arial" w:cs="Arial"/>
          <w:szCs w:val="21"/>
        </w:rPr>
        <w:t>，比</w:t>
      </w:r>
      <w:r w:rsidR="009F2633">
        <w:rPr>
          <w:rFonts w:ascii="Arial" w:eastAsia="宋体" w:hAnsi="Arial" w:cs="Arial"/>
          <w:szCs w:val="21"/>
        </w:rPr>
        <w:t>201</w:t>
      </w:r>
      <w:r w:rsidR="009F2633">
        <w:rPr>
          <w:rFonts w:ascii="Arial" w:eastAsia="宋体" w:hAnsi="Arial" w:cs="Arial" w:hint="eastAsia"/>
          <w:szCs w:val="21"/>
        </w:rPr>
        <w:t>3</w:t>
      </w:r>
      <w:r w:rsidR="002C6326" w:rsidRPr="000F1C1F">
        <w:rPr>
          <w:rFonts w:ascii="Arial" w:eastAsia="宋体" w:hAnsi="Arial" w:cs="Arial"/>
          <w:szCs w:val="21"/>
        </w:rPr>
        <w:t>年的</w:t>
      </w:r>
      <w:r w:rsidR="009F2633">
        <w:rPr>
          <w:rFonts w:ascii="Arial" w:eastAsia="宋体" w:hAnsi="Arial" w:cs="Arial"/>
          <w:szCs w:val="21"/>
        </w:rPr>
        <w:t>2</w:t>
      </w:r>
      <w:r w:rsidR="009F2633">
        <w:rPr>
          <w:rFonts w:ascii="Arial" w:eastAsia="宋体" w:hAnsi="Arial" w:cs="Arial" w:hint="eastAsia"/>
          <w:szCs w:val="21"/>
        </w:rPr>
        <w:t>7.51</w:t>
      </w:r>
      <w:r w:rsidR="002C6326" w:rsidRPr="000F1C1F">
        <w:rPr>
          <w:rFonts w:ascii="Arial" w:eastAsia="宋体" w:hAnsi="Arial" w:cs="Arial"/>
          <w:szCs w:val="21"/>
        </w:rPr>
        <w:t>亿美元暴涨</w:t>
      </w:r>
      <w:r w:rsidR="00A11792">
        <w:rPr>
          <w:rFonts w:ascii="Arial" w:eastAsia="宋体" w:hAnsi="Arial" w:cs="Arial" w:hint="eastAsia"/>
          <w:szCs w:val="21"/>
        </w:rPr>
        <w:t>214.4</w:t>
      </w:r>
      <w:r w:rsidR="002C6326" w:rsidRPr="000F1C1F">
        <w:rPr>
          <w:rFonts w:ascii="Arial" w:eastAsia="宋体" w:hAnsi="Arial" w:cs="Arial"/>
          <w:szCs w:val="21"/>
        </w:rPr>
        <w:t>%</w:t>
      </w:r>
      <w:r w:rsidR="009F2633">
        <w:rPr>
          <w:rFonts w:ascii="Arial" w:eastAsia="宋体" w:hAnsi="Arial" w:cs="Arial" w:hint="eastAsia"/>
          <w:szCs w:val="21"/>
        </w:rPr>
        <w:t>。</w:t>
      </w:r>
    </w:p>
    <w:p w:rsidR="006B5251" w:rsidRPr="000F1C1F" w:rsidRDefault="006B5251" w:rsidP="004433BA">
      <w:pPr>
        <w:spacing w:line="360" w:lineRule="exact"/>
        <w:rPr>
          <w:rFonts w:ascii="Arial" w:eastAsia="宋体" w:hAnsi="Arial" w:cs="Arial"/>
          <w:szCs w:val="21"/>
        </w:rPr>
      </w:pPr>
    </w:p>
    <w:p w:rsidR="002C6326" w:rsidRPr="000F1C1F" w:rsidRDefault="002C6326" w:rsidP="002C6326">
      <w:pPr>
        <w:spacing w:line="360" w:lineRule="exact"/>
        <w:rPr>
          <w:rStyle w:val="a6"/>
          <w:rFonts w:ascii="Arial" w:eastAsia="宋体" w:hAnsi="Arial" w:cs="Arial"/>
          <w:sz w:val="18"/>
          <w:szCs w:val="18"/>
          <w:shd w:val="clear" w:color="auto" w:fill="FFFFFF"/>
        </w:rPr>
      </w:pPr>
      <w:r w:rsidRPr="000F1C1F">
        <w:rPr>
          <w:rStyle w:val="a6"/>
          <w:rFonts w:ascii="Arial" w:eastAsia="宋体" w:hAnsi="Arial" w:cs="Arial"/>
          <w:bCs w:val="0"/>
          <w:sz w:val="18"/>
          <w:szCs w:val="18"/>
          <w:shd w:val="clear" w:color="auto" w:fill="FFFFFF"/>
        </w:rPr>
        <w:t>表</w:t>
      </w:r>
      <w:r w:rsidR="00271B82">
        <w:rPr>
          <w:rStyle w:val="a6"/>
          <w:rFonts w:ascii="Arial" w:eastAsia="宋体" w:hAnsi="Arial" w:cs="Arial"/>
          <w:sz w:val="18"/>
          <w:szCs w:val="18"/>
          <w:shd w:val="clear" w:color="auto" w:fill="FFFFFF"/>
        </w:rPr>
        <w:t>3  201</w:t>
      </w:r>
      <w:r w:rsidR="00271B82">
        <w:rPr>
          <w:rStyle w:val="a6"/>
          <w:rFonts w:ascii="Arial" w:eastAsia="宋体" w:hAnsi="Arial" w:cs="Arial" w:hint="eastAsia"/>
          <w:sz w:val="18"/>
          <w:szCs w:val="18"/>
          <w:shd w:val="clear" w:color="auto" w:fill="FFFFFF"/>
        </w:rPr>
        <w:t>4</w:t>
      </w:r>
      <w:r w:rsidRPr="000F1C1F">
        <w:rPr>
          <w:rStyle w:val="a6"/>
          <w:rFonts w:ascii="Arial" w:eastAsia="宋体" w:hAnsi="Arial" w:cs="Arial"/>
          <w:sz w:val="18"/>
          <w:szCs w:val="18"/>
          <w:shd w:val="clear" w:color="auto" w:fill="FFFFFF"/>
        </w:rPr>
        <w:t>年</w:t>
      </w:r>
      <w:r w:rsidRPr="000F1C1F">
        <w:rPr>
          <w:rStyle w:val="a6"/>
          <w:rFonts w:ascii="Arial" w:eastAsia="宋体" w:hAnsi="Arial" w:cs="Arial"/>
          <w:bCs w:val="0"/>
          <w:sz w:val="18"/>
          <w:szCs w:val="18"/>
          <w:shd w:val="clear" w:color="auto" w:fill="FFFFFF"/>
        </w:rPr>
        <w:t>中国并购市场行业分布（按被并购方）</w:t>
      </w:r>
    </w:p>
    <w:tbl>
      <w:tblPr>
        <w:tblW w:w="9285" w:type="dxa"/>
        <w:tblInd w:w="108" w:type="dxa"/>
        <w:tblLook w:val="04A0"/>
      </w:tblPr>
      <w:tblGrid>
        <w:gridCol w:w="1948"/>
        <w:gridCol w:w="1198"/>
        <w:gridCol w:w="1214"/>
        <w:gridCol w:w="1179"/>
        <w:gridCol w:w="1357"/>
        <w:gridCol w:w="1194"/>
        <w:gridCol w:w="1195"/>
      </w:tblGrid>
      <w:tr w:rsidR="00E4371E" w:rsidRPr="00E4371E" w:rsidTr="00E4371E">
        <w:trPr>
          <w:trHeight w:val="493"/>
        </w:trPr>
        <w:tc>
          <w:tcPr>
            <w:tcW w:w="1948" w:type="dxa"/>
            <w:tcBorders>
              <w:top w:val="single" w:sz="8" w:space="0" w:color="003366"/>
              <w:left w:val="nil"/>
              <w:bottom w:val="nil"/>
              <w:right w:val="nil"/>
            </w:tcBorders>
            <w:shd w:val="clear" w:color="000000" w:fill="FFFFFF"/>
            <w:vAlign w:val="center"/>
            <w:hideMark/>
          </w:tcPr>
          <w:p w:rsidR="00E4371E" w:rsidRPr="00E4371E" w:rsidRDefault="00E4371E" w:rsidP="00E4371E">
            <w:pPr>
              <w:widowControl/>
              <w:jc w:val="center"/>
              <w:rPr>
                <w:rFonts w:ascii="宋体" w:eastAsia="宋体" w:hAnsi="宋体" w:cs="宋体"/>
                <w:b/>
                <w:bCs/>
                <w:kern w:val="0"/>
                <w:sz w:val="18"/>
                <w:szCs w:val="18"/>
              </w:rPr>
            </w:pPr>
            <w:r w:rsidRPr="00E4371E">
              <w:rPr>
                <w:rFonts w:ascii="宋体" w:eastAsia="宋体" w:hAnsi="宋体" w:cs="宋体" w:hint="eastAsia"/>
                <w:b/>
                <w:bCs/>
                <w:kern w:val="0"/>
                <w:sz w:val="18"/>
                <w:szCs w:val="18"/>
              </w:rPr>
              <w:t>行业</w:t>
            </w:r>
          </w:p>
        </w:tc>
        <w:tc>
          <w:tcPr>
            <w:tcW w:w="1198" w:type="dxa"/>
            <w:tcBorders>
              <w:top w:val="single" w:sz="8" w:space="0" w:color="003366"/>
              <w:left w:val="nil"/>
              <w:bottom w:val="single" w:sz="4" w:space="0" w:color="auto"/>
              <w:right w:val="nil"/>
            </w:tcBorders>
            <w:shd w:val="clear" w:color="000000" w:fill="FFFFFF"/>
            <w:vAlign w:val="center"/>
            <w:hideMark/>
          </w:tcPr>
          <w:p w:rsidR="00E4371E" w:rsidRPr="00E4371E" w:rsidRDefault="00E4371E" w:rsidP="00E4371E">
            <w:pPr>
              <w:widowControl/>
              <w:jc w:val="center"/>
              <w:rPr>
                <w:rFonts w:ascii="宋体" w:eastAsia="宋体" w:hAnsi="宋体" w:cs="宋体"/>
                <w:b/>
                <w:bCs/>
                <w:kern w:val="0"/>
                <w:sz w:val="18"/>
                <w:szCs w:val="18"/>
              </w:rPr>
            </w:pPr>
            <w:r w:rsidRPr="00E4371E">
              <w:rPr>
                <w:rFonts w:ascii="宋体" w:eastAsia="宋体" w:hAnsi="宋体" w:cs="宋体" w:hint="eastAsia"/>
                <w:b/>
                <w:bCs/>
                <w:kern w:val="0"/>
                <w:sz w:val="18"/>
                <w:szCs w:val="18"/>
              </w:rPr>
              <w:t>案例数</w:t>
            </w:r>
          </w:p>
        </w:tc>
        <w:tc>
          <w:tcPr>
            <w:tcW w:w="1214" w:type="dxa"/>
            <w:tcBorders>
              <w:top w:val="single" w:sz="8" w:space="0" w:color="003366"/>
              <w:left w:val="nil"/>
              <w:bottom w:val="single" w:sz="4" w:space="0" w:color="auto"/>
              <w:right w:val="nil"/>
            </w:tcBorders>
            <w:shd w:val="clear" w:color="000000" w:fill="FFFFFF"/>
            <w:vAlign w:val="center"/>
            <w:hideMark/>
          </w:tcPr>
          <w:p w:rsidR="00E4371E" w:rsidRPr="00E4371E" w:rsidRDefault="00E4371E" w:rsidP="00E4371E">
            <w:pPr>
              <w:widowControl/>
              <w:jc w:val="center"/>
              <w:rPr>
                <w:rFonts w:ascii="宋体" w:eastAsia="宋体" w:hAnsi="宋体" w:cs="宋体"/>
                <w:b/>
                <w:bCs/>
                <w:kern w:val="0"/>
                <w:sz w:val="18"/>
                <w:szCs w:val="18"/>
              </w:rPr>
            </w:pPr>
            <w:r w:rsidRPr="00E4371E">
              <w:rPr>
                <w:rFonts w:ascii="宋体" w:eastAsia="宋体" w:hAnsi="宋体" w:cs="宋体" w:hint="eastAsia"/>
                <w:b/>
                <w:bCs/>
                <w:kern w:val="0"/>
                <w:sz w:val="18"/>
                <w:szCs w:val="18"/>
              </w:rPr>
              <w:t>比例</w:t>
            </w:r>
          </w:p>
        </w:tc>
        <w:tc>
          <w:tcPr>
            <w:tcW w:w="1179" w:type="dxa"/>
            <w:tcBorders>
              <w:top w:val="single" w:sz="8" w:space="0" w:color="003366"/>
              <w:left w:val="nil"/>
              <w:bottom w:val="single" w:sz="4" w:space="0" w:color="auto"/>
              <w:right w:val="nil"/>
            </w:tcBorders>
            <w:shd w:val="clear" w:color="000000" w:fill="FFFFFF"/>
            <w:vAlign w:val="center"/>
            <w:hideMark/>
          </w:tcPr>
          <w:p w:rsidR="00E4371E" w:rsidRPr="00E4371E" w:rsidRDefault="00E4371E" w:rsidP="00E4371E">
            <w:pPr>
              <w:widowControl/>
              <w:jc w:val="center"/>
              <w:rPr>
                <w:rFonts w:ascii="宋体" w:eastAsia="宋体" w:hAnsi="宋体" w:cs="宋体"/>
                <w:b/>
                <w:bCs/>
                <w:kern w:val="0"/>
                <w:sz w:val="18"/>
                <w:szCs w:val="18"/>
              </w:rPr>
            </w:pPr>
            <w:r w:rsidRPr="00E4371E">
              <w:rPr>
                <w:rFonts w:ascii="宋体" w:eastAsia="宋体" w:hAnsi="宋体" w:cs="宋体" w:hint="eastAsia"/>
                <w:b/>
                <w:bCs/>
                <w:kern w:val="0"/>
                <w:sz w:val="18"/>
                <w:szCs w:val="18"/>
              </w:rPr>
              <w:t>案例数（金）</w:t>
            </w:r>
          </w:p>
        </w:tc>
        <w:tc>
          <w:tcPr>
            <w:tcW w:w="1357" w:type="dxa"/>
            <w:tcBorders>
              <w:top w:val="single" w:sz="8" w:space="0" w:color="003366"/>
              <w:left w:val="nil"/>
              <w:bottom w:val="single" w:sz="4" w:space="0" w:color="auto"/>
              <w:right w:val="nil"/>
            </w:tcBorders>
            <w:shd w:val="clear" w:color="000000" w:fill="FFFFFF"/>
            <w:vAlign w:val="center"/>
            <w:hideMark/>
          </w:tcPr>
          <w:p w:rsidR="00E4371E" w:rsidRPr="00E4371E" w:rsidRDefault="00E4371E" w:rsidP="00E4371E">
            <w:pPr>
              <w:widowControl/>
              <w:jc w:val="center"/>
              <w:rPr>
                <w:rFonts w:ascii="宋体" w:eastAsia="宋体" w:hAnsi="宋体" w:cs="宋体"/>
                <w:b/>
                <w:bCs/>
                <w:kern w:val="0"/>
                <w:sz w:val="18"/>
                <w:szCs w:val="18"/>
              </w:rPr>
            </w:pPr>
            <w:r w:rsidRPr="00E4371E">
              <w:rPr>
                <w:rFonts w:ascii="宋体" w:eastAsia="宋体" w:hAnsi="宋体" w:cs="宋体" w:hint="eastAsia"/>
                <w:b/>
                <w:bCs/>
                <w:kern w:val="0"/>
                <w:sz w:val="18"/>
                <w:szCs w:val="18"/>
              </w:rPr>
              <w:t>并购金额</w:t>
            </w:r>
            <w:r w:rsidRPr="00E4371E">
              <w:rPr>
                <w:rFonts w:ascii="Arial" w:eastAsia="宋体" w:hAnsi="Arial" w:cs="Arial"/>
                <w:b/>
                <w:bCs/>
                <w:kern w:val="0"/>
                <w:sz w:val="18"/>
                <w:szCs w:val="18"/>
              </w:rPr>
              <w:t>(US$M)</w:t>
            </w:r>
          </w:p>
        </w:tc>
        <w:tc>
          <w:tcPr>
            <w:tcW w:w="1194" w:type="dxa"/>
            <w:tcBorders>
              <w:top w:val="single" w:sz="8" w:space="0" w:color="003366"/>
              <w:left w:val="nil"/>
              <w:bottom w:val="single" w:sz="4" w:space="0" w:color="auto"/>
              <w:right w:val="nil"/>
            </w:tcBorders>
            <w:shd w:val="clear" w:color="000000" w:fill="FFFFFF"/>
            <w:vAlign w:val="center"/>
            <w:hideMark/>
          </w:tcPr>
          <w:p w:rsidR="00E4371E" w:rsidRPr="00E4371E" w:rsidRDefault="00E4371E" w:rsidP="00E4371E">
            <w:pPr>
              <w:widowControl/>
              <w:jc w:val="center"/>
              <w:rPr>
                <w:rFonts w:ascii="宋体" w:eastAsia="宋体" w:hAnsi="宋体" w:cs="宋体"/>
                <w:b/>
                <w:bCs/>
                <w:kern w:val="0"/>
                <w:sz w:val="18"/>
                <w:szCs w:val="18"/>
              </w:rPr>
            </w:pPr>
            <w:r w:rsidRPr="00E4371E">
              <w:rPr>
                <w:rFonts w:ascii="宋体" w:eastAsia="宋体" w:hAnsi="宋体" w:cs="宋体" w:hint="eastAsia"/>
                <w:b/>
                <w:bCs/>
                <w:kern w:val="0"/>
                <w:sz w:val="18"/>
                <w:szCs w:val="18"/>
              </w:rPr>
              <w:t>比例</w:t>
            </w:r>
          </w:p>
        </w:tc>
        <w:tc>
          <w:tcPr>
            <w:tcW w:w="1195" w:type="dxa"/>
            <w:tcBorders>
              <w:top w:val="single" w:sz="8" w:space="0" w:color="003366"/>
              <w:left w:val="nil"/>
              <w:bottom w:val="single" w:sz="4" w:space="0" w:color="auto"/>
              <w:right w:val="nil"/>
            </w:tcBorders>
            <w:shd w:val="clear" w:color="000000" w:fill="FFFFFF"/>
            <w:vAlign w:val="center"/>
            <w:hideMark/>
          </w:tcPr>
          <w:p w:rsidR="00E4371E" w:rsidRPr="00E4371E" w:rsidRDefault="00E4371E" w:rsidP="00E4371E">
            <w:pPr>
              <w:widowControl/>
              <w:jc w:val="center"/>
              <w:rPr>
                <w:rFonts w:ascii="宋体" w:eastAsia="宋体" w:hAnsi="宋体" w:cs="宋体"/>
                <w:b/>
                <w:bCs/>
                <w:kern w:val="0"/>
                <w:sz w:val="18"/>
                <w:szCs w:val="18"/>
              </w:rPr>
            </w:pPr>
            <w:r w:rsidRPr="00E4371E">
              <w:rPr>
                <w:rFonts w:ascii="宋体" w:eastAsia="宋体" w:hAnsi="宋体" w:cs="宋体" w:hint="eastAsia"/>
                <w:b/>
                <w:bCs/>
                <w:kern w:val="0"/>
                <w:sz w:val="18"/>
                <w:szCs w:val="18"/>
              </w:rPr>
              <w:t>平均并购金额</w:t>
            </w:r>
            <w:r w:rsidRPr="00E4371E">
              <w:rPr>
                <w:rFonts w:ascii="Arial" w:eastAsia="宋体" w:hAnsi="Arial" w:cs="Arial"/>
                <w:b/>
                <w:bCs/>
                <w:kern w:val="0"/>
                <w:sz w:val="18"/>
                <w:szCs w:val="18"/>
              </w:rPr>
              <w:t>(US$M)</w:t>
            </w:r>
          </w:p>
        </w:tc>
      </w:tr>
      <w:tr w:rsidR="00E4371E" w:rsidRPr="00E4371E" w:rsidTr="00E4371E">
        <w:trPr>
          <w:trHeight w:val="277"/>
        </w:trPr>
        <w:tc>
          <w:tcPr>
            <w:tcW w:w="1948" w:type="dxa"/>
            <w:tcBorders>
              <w:top w:val="single" w:sz="4" w:space="0" w:color="000000"/>
              <w:left w:val="nil"/>
              <w:bottom w:val="nil"/>
              <w:right w:val="nil"/>
            </w:tcBorders>
            <w:shd w:val="clear" w:color="000000" w:fill="FFFFFF"/>
            <w:noWrap/>
            <w:vAlign w:val="bottom"/>
            <w:hideMark/>
          </w:tcPr>
          <w:p w:rsidR="00E4371E" w:rsidRPr="00E4371E" w:rsidRDefault="00E4371E" w:rsidP="00E4371E">
            <w:pPr>
              <w:widowControl/>
              <w:jc w:val="left"/>
              <w:rPr>
                <w:rFonts w:ascii="Arial" w:eastAsia="宋体" w:hAnsi="Arial" w:cs="Arial"/>
                <w:kern w:val="0"/>
                <w:sz w:val="18"/>
                <w:szCs w:val="18"/>
              </w:rPr>
            </w:pPr>
            <w:r w:rsidRPr="00E4371E">
              <w:rPr>
                <w:rFonts w:ascii="Arial" w:eastAsia="宋体" w:hAnsi="Arial" w:cs="Arial"/>
                <w:kern w:val="0"/>
                <w:sz w:val="18"/>
                <w:szCs w:val="18"/>
              </w:rPr>
              <w:t>房地产</w:t>
            </w:r>
          </w:p>
        </w:tc>
        <w:tc>
          <w:tcPr>
            <w:tcW w:w="1198"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187 </w:t>
            </w:r>
          </w:p>
        </w:tc>
        <w:tc>
          <w:tcPr>
            <w:tcW w:w="1214"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9.7%</w:t>
            </w:r>
          </w:p>
        </w:tc>
        <w:tc>
          <w:tcPr>
            <w:tcW w:w="1179"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177 </w:t>
            </w:r>
          </w:p>
        </w:tc>
        <w:tc>
          <w:tcPr>
            <w:tcW w:w="1357"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14,553.77 </w:t>
            </w:r>
          </w:p>
        </w:tc>
        <w:tc>
          <w:tcPr>
            <w:tcW w:w="1194"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12.3%</w:t>
            </w:r>
          </w:p>
        </w:tc>
        <w:tc>
          <w:tcPr>
            <w:tcW w:w="1195"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82.22 </w:t>
            </w:r>
          </w:p>
        </w:tc>
      </w:tr>
      <w:tr w:rsidR="00E4371E" w:rsidRPr="00E4371E" w:rsidTr="00E4371E">
        <w:trPr>
          <w:trHeight w:val="277"/>
        </w:trPr>
        <w:tc>
          <w:tcPr>
            <w:tcW w:w="1948" w:type="dxa"/>
            <w:tcBorders>
              <w:top w:val="nil"/>
              <w:left w:val="nil"/>
              <w:bottom w:val="nil"/>
              <w:right w:val="nil"/>
            </w:tcBorders>
            <w:shd w:val="clear" w:color="000000" w:fill="FFFFFF"/>
            <w:noWrap/>
            <w:vAlign w:val="bottom"/>
            <w:hideMark/>
          </w:tcPr>
          <w:p w:rsidR="00E4371E" w:rsidRPr="00E4371E" w:rsidRDefault="00E4371E" w:rsidP="00E4371E">
            <w:pPr>
              <w:widowControl/>
              <w:jc w:val="left"/>
              <w:rPr>
                <w:rFonts w:ascii="Arial" w:eastAsia="宋体" w:hAnsi="Arial" w:cs="Arial"/>
                <w:kern w:val="0"/>
                <w:sz w:val="18"/>
                <w:szCs w:val="18"/>
              </w:rPr>
            </w:pPr>
            <w:r w:rsidRPr="00E4371E">
              <w:rPr>
                <w:rFonts w:ascii="Arial" w:eastAsia="宋体" w:hAnsi="Arial" w:cs="Arial"/>
                <w:kern w:val="0"/>
                <w:sz w:val="18"/>
                <w:szCs w:val="18"/>
              </w:rPr>
              <w:t>机械制造</w:t>
            </w:r>
          </w:p>
        </w:tc>
        <w:tc>
          <w:tcPr>
            <w:tcW w:w="1198"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171 </w:t>
            </w:r>
          </w:p>
        </w:tc>
        <w:tc>
          <w:tcPr>
            <w:tcW w:w="1214"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8.9%</w:t>
            </w:r>
          </w:p>
        </w:tc>
        <w:tc>
          <w:tcPr>
            <w:tcW w:w="1179"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162 </w:t>
            </w:r>
          </w:p>
        </w:tc>
        <w:tc>
          <w:tcPr>
            <w:tcW w:w="1357"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5,983.10 </w:t>
            </w:r>
          </w:p>
        </w:tc>
        <w:tc>
          <w:tcPr>
            <w:tcW w:w="1194"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5.0%</w:t>
            </w:r>
          </w:p>
        </w:tc>
        <w:tc>
          <w:tcPr>
            <w:tcW w:w="1195"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36.93 </w:t>
            </w:r>
          </w:p>
        </w:tc>
      </w:tr>
      <w:tr w:rsidR="00E4371E" w:rsidRPr="00E4371E" w:rsidTr="00E4371E">
        <w:trPr>
          <w:trHeight w:val="277"/>
        </w:trPr>
        <w:tc>
          <w:tcPr>
            <w:tcW w:w="1948" w:type="dxa"/>
            <w:tcBorders>
              <w:top w:val="nil"/>
              <w:left w:val="nil"/>
              <w:bottom w:val="nil"/>
              <w:right w:val="nil"/>
            </w:tcBorders>
            <w:shd w:val="clear" w:color="000000" w:fill="FFFFFF"/>
            <w:noWrap/>
            <w:vAlign w:val="bottom"/>
            <w:hideMark/>
          </w:tcPr>
          <w:p w:rsidR="00E4371E" w:rsidRPr="00E4371E" w:rsidRDefault="00E4371E" w:rsidP="00E4371E">
            <w:pPr>
              <w:widowControl/>
              <w:jc w:val="left"/>
              <w:rPr>
                <w:rFonts w:ascii="Arial" w:eastAsia="宋体" w:hAnsi="Arial" w:cs="Arial"/>
                <w:kern w:val="0"/>
                <w:sz w:val="18"/>
                <w:szCs w:val="18"/>
              </w:rPr>
            </w:pPr>
            <w:r w:rsidRPr="00E4371E">
              <w:rPr>
                <w:rFonts w:ascii="Arial" w:eastAsia="宋体" w:hAnsi="Arial" w:cs="Arial"/>
                <w:kern w:val="0"/>
                <w:sz w:val="18"/>
                <w:szCs w:val="18"/>
              </w:rPr>
              <w:t>生物技术</w:t>
            </w:r>
            <w:r w:rsidRPr="00E4371E">
              <w:rPr>
                <w:rFonts w:ascii="Arial" w:eastAsia="宋体" w:hAnsi="Arial" w:cs="Arial"/>
                <w:kern w:val="0"/>
                <w:sz w:val="18"/>
                <w:szCs w:val="18"/>
              </w:rPr>
              <w:t>/</w:t>
            </w:r>
            <w:r w:rsidRPr="00E4371E">
              <w:rPr>
                <w:rFonts w:ascii="Arial" w:eastAsia="宋体" w:hAnsi="Arial" w:cs="Arial"/>
                <w:kern w:val="0"/>
                <w:sz w:val="18"/>
                <w:szCs w:val="18"/>
              </w:rPr>
              <w:t>医疗健康</w:t>
            </w:r>
          </w:p>
        </w:tc>
        <w:tc>
          <w:tcPr>
            <w:tcW w:w="1198"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165 </w:t>
            </w:r>
          </w:p>
        </w:tc>
        <w:tc>
          <w:tcPr>
            <w:tcW w:w="1214"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8.6%</w:t>
            </w:r>
          </w:p>
        </w:tc>
        <w:tc>
          <w:tcPr>
            <w:tcW w:w="1179"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159 </w:t>
            </w:r>
          </w:p>
        </w:tc>
        <w:tc>
          <w:tcPr>
            <w:tcW w:w="1357"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7,207.07 </w:t>
            </w:r>
          </w:p>
        </w:tc>
        <w:tc>
          <w:tcPr>
            <w:tcW w:w="1194"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6.1%</w:t>
            </w:r>
          </w:p>
        </w:tc>
        <w:tc>
          <w:tcPr>
            <w:tcW w:w="1195"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45.33 </w:t>
            </w:r>
          </w:p>
        </w:tc>
      </w:tr>
      <w:tr w:rsidR="00E4371E" w:rsidRPr="00E4371E" w:rsidTr="00E4371E">
        <w:trPr>
          <w:trHeight w:val="277"/>
        </w:trPr>
        <w:tc>
          <w:tcPr>
            <w:tcW w:w="1948" w:type="dxa"/>
            <w:tcBorders>
              <w:top w:val="nil"/>
              <w:left w:val="nil"/>
              <w:bottom w:val="nil"/>
              <w:right w:val="nil"/>
            </w:tcBorders>
            <w:shd w:val="clear" w:color="000000" w:fill="FFFFFF"/>
            <w:noWrap/>
            <w:vAlign w:val="bottom"/>
            <w:hideMark/>
          </w:tcPr>
          <w:p w:rsidR="00E4371E" w:rsidRPr="00E4371E" w:rsidRDefault="00E4371E" w:rsidP="00E4371E">
            <w:pPr>
              <w:widowControl/>
              <w:jc w:val="left"/>
              <w:rPr>
                <w:rFonts w:ascii="Arial" w:eastAsia="宋体" w:hAnsi="Arial" w:cs="Arial"/>
                <w:kern w:val="0"/>
                <w:sz w:val="18"/>
                <w:szCs w:val="18"/>
              </w:rPr>
            </w:pPr>
            <w:r w:rsidRPr="00E4371E">
              <w:rPr>
                <w:rFonts w:ascii="Arial" w:eastAsia="宋体" w:hAnsi="Arial" w:cs="Arial"/>
                <w:kern w:val="0"/>
                <w:sz w:val="18"/>
                <w:szCs w:val="18"/>
              </w:rPr>
              <w:t>清洁技术</w:t>
            </w:r>
          </w:p>
        </w:tc>
        <w:tc>
          <w:tcPr>
            <w:tcW w:w="1198"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158 </w:t>
            </w:r>
          </w:p>
        </w:tc>
        <w:tc>
          <w:tcPr>
            <w:tcW w:w="1214"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8.2%</w:t>
            </w:r>
          </w:p>
        </w:tc>
        <w:tc>
          <w:tcPr>
            <w:tcW w:w="1179"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147 </w:t>
            </w:r>
          </w:p>
        </w:tc>
        <w:tc>
          <w:tcPr>
            <w:tcW w:w="1357"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6,068.62 </w:t>
            </w:r>
          </w:p>
        </w:tc>
        <w:tc>
          <w:tcPr>
            <w:tcW w:w="1194"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5.1%</w:t>
            </w:r>
          </w:p>
        </w:tc>
        <w:tc>
          <w:tcPr>
            <w:tcW w:w="1195"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41.28 </w:t>
            </w:r>
          </w:p>
        </w:tc>
      </w:tr>
      <w:tr w:rsidR="00E4371E" w:rsidRPr="00E4371E" w:rsidTr="00E4371E">
        <w:trPr>
          <w:trHeight w:val="277"/>
        </w:trPr>
        <w:tc>
          <w:tcPr>
            <w:tcW w:w="1948" w:type="dxa"/>
            <w:tcBorders>
              <w:top w:val="nil"/>
              <w:left w:val="nil"/>
              <w:bottom w:val="nil"/>
              <w:right w:val="nil"/>
            </w:tcBorders>
            <w:shd w:val="clear" w:color="000000" w:fill="FFFFFF"/>
            <w:noWrap/>
            <w:vAlign w:val="bottom"/>
            <w:hideMark/>
          </w:tcPr>
          <w:p w:rsidR="00E4371E" w:rsidRPr="00E4371E" w:rsidRDefault="00E4371E" w:rsidP="00E4371E">
            <w:pPr>
              <w:widowControl/>
              <w:jc w:val="left"/>
              <w:rPr>
                <w:rFonts w:ascii="Arial" w:eastAsia="宋体" w:hAnsi="Arial" w:cs="Arial"/>
                <w:kern w:val="0"/>
                <w:sz w:val="18"/>
                <w:szCs w:val="18"/>
              </w:rPr>
            </w:pPr>
            <w:r w:rsidRPr="00E4371E">
              <w:rPr>
                <w:rFonts w:ascii="Arial" w:eastAsia="宋体" w:hAnsi="Arial" w:cs="Arial"/>
                <w:kern w:val="0"/>
                <w:sz w:val="18"/>
                <w:szCs w:val="18"/>
              </w:rPr>
              <w:t>能源及矿产</w:t>
            </w:r>
          </w:p>
        </w:tc>
        <w:tc>
          <w:tcPr>
            <w:tcW w:w="1198"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144 </w:t>
            </w:r>
          </w:p>
        </w:tc>
        <w:tc>
          <w:tcPr>
            <w:tcW w:w="1214"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7.5%</w:t>
            </w:r>
          </w:p>
        </w:tc>
        <w:tc>
          <w:tcPr>
            <w:tcW w:w="1179"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139 </w:t>
            </w:r>
          </w:p>
        </w:tc>
        <w:tc>
          <w:tcPr>
            <w:tcW w:w="1357"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20,570.01 </w:t>
            </w:r>
          </w:p>
        </w:tc>
        <w:tc>
          <w:tcPr>
            <w:tcW w:w="1194"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17.4%</w:t>
            </w:r>
          </w:p>
        </w:tc>
        <w:tc>
          <w:tcPr>
            <w:tcW w:w="1195"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147.99 </w:t>
            </w:r>
          </w:p>
        </w:tc>
      </w:tr>
      <w:tr w:rsidR="00E4371E" w:rsidRPr="00E4371E" w:rsidTr="00E4371E">
        <w:trPr>
          <w:trHeight w:val="277"/>
        </w:trPr>
        <w:tc>
          <w:tcPr>
            <w:tcW w:w="1948" w:type="dxa"/>
            <w:tcBorders>
              <w:top w:val="nil"/>
              <w:left w:val="nil"/>
              <w:bottom w:val="nil"/>
              <w:right w:val="nil"/>
            </w:tcBorders>
            <w:shd w:val="clear" w:color="000000" w:fill="FFFFFF"/>
            <w:noWrap/>
            <w:vAlign w:val="bottom"/>
            <w:hideMark/>
          </w:tcPr>
          <w:p w:rsidR="00E4371E" w:rsidRPr="00E4371E" w:rsidRDefault="00E4371E" w:rsidP="00E4371E">
            <w:pPr>
              <w:widowControl/>
              <w:jc w:val="left"/>
              <w:rPr>
                <w:rFonts w:ascii="Arial" w:eastAsia="宋体" w:hAnsi="Arial" w:cs="Arial"/>
                <w:kern w:val="0"/>
                <w:sz w:val="18"/>
                <w:szCs w:val="18"/>
              </w:rPr>
            </w:pPr>
            <w:r w:rsidRPr="00E4371E">
              <w:rPr>
                <w:rFonts w:ascii="Arial" w:eastAsia="宋体" w:hAnsi="Arial" w:cs="Arial"/>
                <w:kern w:val="0"/>
                <w:sz w:val="18"/>
                <w:szCs w:val="18"/>
              </w:rPr>
              <w:t>互联网</w:t>
            </w:r>
          </w:p>
        </w:tc>
        <w:tc>
          <w:tcPr>
            <w:tcW w:w="1198"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125 </w:t>
            </w:r>
          </w:p>
        </w:tc>
        <w:tc>
          <w:tcPr>
            <w:tcW w:w="1214"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6.5%</w:t>
            </w:r>
          </w:p>
        </w:tc>
        <w:tc>
          <w:tcPr>
            <w:tcW w:w="1179"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103 </w:t>
            </w:r>
          </w:p>
        </w:tc>
        <w:tc>
          <w:tcPr>
            <w:tcW w:w="1357"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8,648.48 </w:t>
            </w:r>
          </w:p>
        </w:tc>
        <w:tc>
          <w:tcPr>
            <w:tcW w:w="1194"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7.3%</w:t>
            </w:r>
          </w:p>
        </w:tc>
        <w:tc>
          <w:tcPr>
            <w:tcW w:w="1195"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83.97 </w:t>
            </w:r>
          </w:p>
        </w:tc>
      </w:tr>
      <w:tr w:rsidR="00E4371E" w:rsidRPr="00E4371E" w:rsidTr="00E4371E">
        <w:trPr>
          <w:trHeight w:val="277"/>
        </w:trPr>
        <w:tc>
          <w:tcPr>
            <w:tcW w:w="1948" w:type="dxa"/>
            <w:tcBorders>
              <w:top w:val="nil"/>
              <w:left w:val="nil"/>
              <w:bottom w:val="nil"/>
              <w:right w:val="nil"/>
            </w:tcBorders>
            <w:shd w:val="clear" w:color="000000" w:fill="FFFFFF"/>
            <w:noWrap/>
            <w:vAlign w:val="bottom"/>
            <w:hideMark/>
          </w:tcPr>
          <w:p w:rsidR="00E4371E" w:rsidRPr="00E4371E" w:rsidRDefault="00E4371E" w:rsidP="00E4371E">
            <w:pPr>
              <w:widowControl/>
              <w:jc w:val="left"/>
              <w:rPr>
                <w:rFonts w:ascii="Arial" w:eastAsia="宋体" w:hAnsi="Arial" w:cs="Arial"/>
                <w:kern w:val="0"/>
                <w:sz w:val="18"/>
                <w:szCs w:val="18"/>
              </w:rPr>
            </w:pPr>
            <w:r w:rsidRPr="00E4371E">
              <w:rPr>
                <w:rFonts w:ascii="Arial" w:eastAsia="宋体" w:hAnsi="Arial" w:cs="Arial"/>
                <w:kern w:val="0"/>
                <w:sz w:val="18"/>
                <w:szCs w:val="18"/>
              </w:rPr>
              <w:t>电子及光电设备</w:t>
            </w:r>
          </w:p>
        </w:tc>
        <w:tc>
          <w:tcPr>
            <w:tcW w:w="1198"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120 </w:t>
            </w:r>
          </w:p>
        </w:tc>
        <w:tc>
          <w:tcPr>
            <w:tcW w:w="1214"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6.2%</w:t>
            </w:r>
          </w:p>
        </w:tc>
        <w:tc>
          <w:tcPr>
            <w:tcW w:w="1179"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117 </w:t>
            </w:r>
          </w:p>
        </w:tc>
        <w:tc>
          <w:tcPr>
            <w:tcW w:w="1357"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9,115.22 </w:t>
            </w:r>
          </w:p>
        </w:tc>
        <w:tc>
          <w:tcPr>
            <w:tcW w:w="1194"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7.7%</w:t>
            </w:r>
          </w:p>
        </w:tc>
        <w:tc>
          <w:tcPr>
            <w:tcW w:w="1195"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77.91 </w:t>
            </w:r>
          </w:p>
        </w:tc>
      </w:tr>
      <w:tr w:rsidR="00E4371E" w:rsidRPr="00E4371E" w:rsidTr="00E4371E">
        <w:trPr>
          <w:trHeight w:val="277"/>
        </w:trPr>
        <w:tc>
          <w:tcPr>
            <w:tcW w:w="1948" w:type="dxa"/>
            <w:tcBorders>
              <w:top w:val="nil"/>
              <w:left w:val="nil"/>
              <w:bottom w:val="nil"/>
              <w:right w:val="nil"/>
            </w:tcBorders>
            <w:shd w:val="clear" w:color="000000" w:fill="FFFFFF"/>
            <w:noWrap/>
            <w:vAlign w:val="bottom"/>
            <w:hideMark/>
          </w:tcPr>
          <w:p w:rsidR="00E4371E" w:rsidRPr="00E4371E" w:rsidRDefault="00E4371E" w:rsidP="00E4371E">
            <w:pPr>
              <w:widowControl/>
              <w:jc w:val="left"/>
              <w:rPr>
                <w:rFonts w:ascii="Arial" w:eastAsia="宋体" w:hAnsi="Arial" w:cs="Arial"/>
                <w:kern w:val="0"/>
                <w:sz w:val="18"/>
                <w:szCs w:val="18"/>
              </w:rPr>
            </w:pPr>
            <w:r w:rsidRPr="00E4371E">
              <w:rPr>
                <w:rFonts w:ascii="Arial" w:eastAsia="宋体" w:hAnsi="Arial" w:cs="Arial"/>
                <w:kern w:val="0"/>
                <w:sz w:val="18"/>
                <w:szCs w:val="18"/>
              </w:rPr>
              <w:t>IT</w:t>
            </w:r>
          </w:p>
        </w:tc>
        <w:tc>
          <w:tcPr>
            <w:tcW w:w="1198"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115 </w:t>
            </w:r>
          </w:p>
        </w:tc>
        <w:tc>
          <w:tcPr>
            <w:tcW w:w="1214"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6.0%</w:t>
            </w:r>
          </w:p>
        </w:tc>
        <w:tc>
          <w:tcPr>
            <w:tcW w:w="1179"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110 </w:t>
            </w:r>
          </w:p>
        </w:tc>
        <w:tc>
          <w:tcPr>
            <w:tcW w:w="1357"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3,036.15 </w:t>
            </w:r>
          </w:p>
        </w:tc>
        <w:tc>
          <w:tcPr>
            <w:tcW w:w="1194"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2.6%</w:t>
            </w:r>
          </w:p>
        </w:tc>
        <w:tc>
          <w:tcPr>
            <w:tcW w:w="1195"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27.60 </w:t>
            </w:r>
          </w:p>
        </w:tc>
      </w:tr>
      <w:tr w:rsidR="00E4371E" w:rsidRPr="00E4371E" w:rsidTr="00E4371E">
        <w:trPr>
          <w:trHeight w:val="293"/>
        </w:trPr>
        <w:tc>
          <w:tcPr>
            <w:tcW w:w="1948" w:type="dxa"/>
            <w:tcBorders>
              <w:top w:val="nil"/>
              <w:left w:val="nil"/>
              <w:bottom w:val="nil"/>
              <w:right w:val="nil"/>
            </w:tcBorders>
            <w:shd w:val="clear" w:color="000000" w:fill="FFFFFF"/>
            <w:noWrap/>
            <w:vAlign w:val="bottom"/>
            <w:hideMark/>
          </w:tcPr>
          <w:p w:rsidR="00E4371E" w:rsidRPr="00E4371E" w:rsidRDefault="00E4371E" w:rsidP="00E4371E">
            <w:pPr>
              <w:widowControl/>
              <w:jc w:val="left"/>
              <w:rPr>
                <w:rFonts w:ascii="Arial" w:eastAsia="宋体" w:hAnsi="Arial" w:cs="Arial"/>
                <w:kern w:val="0"/>
                <w:sz w:val="18"/>
                <w:szCs w:val="18"/>
              </w:rPr>
            </w:pPr>
            <w:r w:rsidRPr="00E4371E">
              <w:rPr>
                <w:rFonts w:ascii="Arial" w:eastAsia="宋体" w:hAnsi="Arial" w:cs="Arial"/>
                <w:kern w:val="0"/>
                <w:sz w:val="18"/>
                <w:szCs w:val="18"/>
              </w:rPr>
              <w:t>化工原料及加工</w:t>
            </w:r>
          </w:p>
        </w:tc>
        <w:tc>
          <w:tcPr>
            <w:tcW w:w="1198"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108 </w:t>
            </w:r>
          </w:p>
        </w:tc>
        <w:tc>
          <w:tcPr>
            <w:tcW w:w="1214"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5.6%</w:t>
            </w:r>
          </w:p>
        </w:tc>
        <w:tc>
          <w:tcPr>
            <w:tcW w:w="1179"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107 </w:t>
            </w:r>
          </w:p>
        </w:tc>
        <w:tc>
          <w:tcPr>
            <w:tcW w:w="1357"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4,989.75 </w:t>
            </w:r>
          </w:p>
        </w:tc>
        <w:tc>
          <w:tcPr>
            <w:tcW w:w="1194"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4.2%</w:t>
            </w:r>
          </w:p>
        </w:tc>
        <w:tc>
          <w:tcPr>
            <w:tcW w:w="1195"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46.63 </w:t>
            </w:r>
          </w:p>
        </w:tc>
      </w:tr>
      <w:tr w:rsidR="00E4371E" w:rsidRPr="00E4371E" w:rsidTr="00E4371E">
        <w:trPr>
          <w:trHeight w:val="247"/>
        </w:trPr>
        <w:tc>
          <w:tcPr>
            <w:tcW w:w="1948" w:type="dxa"/>
            <w:tcBorders>
              <w:top w:val="nil"/>
              <w:left w:val="nil"/>
              <w:bottom w:val="nil"/>
              <w:right w:val="nil"/>
            </w:tcBorders>
            <w:shd w:val="clear" w:color="000000" w:fill="FFFFFF"/>
            <w:noWrap/>
            <w:vAlign w:val="bottom"/>
            <w:hideMark/>
          </w:tcPr>
          <w:p w:rsidR="00E4371E" w:rsidRPr="00E4371E" w:rsidRDefault="00E4371E" w:rsidP="00E4371E">
            <w:pPr>
              <w:widowControl/>
              <w:jc w:val="left"/>
              <w:rPr>
                <w:rFonts w:ascii="Arial" w:eastAsia="宋体" w:hAnsi="Arial" w:cs="Arial"/>
                <w:kern w:val="0"/>
                <w:sz w:val="18"/>
                <w:szCs w:val="18"/>
              </w:rPr>
            </w:pPr>
            <w:r w:rsidRPr="00E4371E">
              <w:rPr>
                <w:rFonts w:ascii="Arial" w:eastAsia="宋体" w:hAnsi="Arial" w:cs="Arial"/>
                <w:kern w:val="0"/>
                <w:sz w:val="18"/>
                <w:szCs w:val="18"/>
              </w:rPr>
              <w:t>建筑</w:t>
            </w:r>
            <w:r w:rsidRPr="00E4371E">
              <w:rPr>
                <w:rFonts w:ascii="Arial" w:eastAsia="宋体" w:hAnsi="Arial" w:cs="Arial"/>
                <w:kern w:val="0"/>
                <w:sz w:val="18"/>
                <w:szCs w:val="18"/>
              </w:rPr>
              <w:t>/</w:t>
            </w:r>
            <w:r w:rsidRPr="00E4371E">
              <w:rPr>
                <w:rFonts w:ascii="Arial" w:eastAsia="宋体" w:hAnsi="Arial" w:cs="Arial"/>
                <w:kern w:val="0"/>
                <w:sz w:val="18"/>
                <w:szCs w:val="18"/>
              </w:rPr>
              <w:t>工程</w:t>
            </w:r>
          </w:p>
        </w:tc>
        <w:tc>
          <w:tcPr>
            <w:tcW w:w="1198"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105 </w:t>
            </w:r>
          </w:p>
        </w:tc>
        <w:tc>
          <w:tcPr>
            <w:tcW w:w="1214"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5.4%</w:t>
            </w:r>
          </w:p>
        </w:tc>
        <w:tc>
          <w:tcPr>
            <w:tcW w:w="1179"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103 </w:t>
            </w:r>
          </w:p>
        </w:tc>
        <w:tc>
          <w:tcPr>
            <w:tcW w:w="1357"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4,145.45 </w:t>
            </w:r>
          </w:p>
        </w:tc>
        <w:tc>
          <w:tcPr>
            <w:tcW w:w="1194"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3.5%</w:t>
            </w:r>
          </w:p>
        </w:tc>
        <w:tc>
          <w:tcPr>
            <w:tcW w:w="1195"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40.25 </w:t>
            </w:r>
          </w:p>
        </w:tc>
      </w:tr>
      <w:tr w:rsidR="00E4371E" w:rsidRPr="00E4371E" w:rsidTr="00E4371E">
        <w:trPr>
          <w:trHeight w:val="247"/>
        </w:trPr>
        <w:tc>
          <w:tcPr>
            <w:tcW w:w="1948" w:type="dxa"/>
            <w:tcBorders>
              <w:top w:val="nil"/>
              <w:left w:val="nil"/>
              <w:bottom w:val="nil"/>
              <w:right w:val="nil"/>
            </w:tcBorders>
            <w:shd w:val="clear" w:color="000000" w:fill="FFFFFF"/>
            <w:noWrap/>
            <w:vAlign w:val="bottom"/>
            <w:hideMark/>
          </w:tcPr>
          <w:p w:rsidR="00E4371E" w:rsidRPr="00E4371E" w:rsidRDefault="00E4371E" w:rsidP="00E4371E">
            <w:pPr>
              <w:widowControl/>
              <w:jc w:val="left"/>
              <w:rPr>
                <w:rFonts w:ascii="Arial" w:eastAsia="宋体" w:hAnsi="Arial" w:cs="Arial"/>
                <w:kern w:val="0"/>
                <w:sz w:val="18"/>
                <w:szCs w:val="18"/>
              </w:rPr>
            </w:pPr>
            <w:r w:rsidRPr="00E4371E">
              <w:rPr>
                <w:rFonts w:ascii="Arial" w:eastAsia="宋体" w:hAnsi="Arial" w:cs="Arial"/>
                <w:kern w:val="0"/>
                <w:sz w:val="18"/>
                <w:szCs w:val="18"/>
              </w:rPr>
              <w:t>金融</w:t>
            </w:r>
          </w:p>
        </w:tc>
        <w:tc>
          <w:tcPr>
            <w:tcW w:w="1198"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102 </w:t>
            </w:r>
          </w:p>
        </w:tc>
        <w:tc>
          <w:tcPr>
            <w:tcW w:w="1214"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5.3%</w:t>
            </w:r>
          </w:p>
        </w:tc>
        <w:tc>
          <w:tcPr>
            <w:tcW w:w="1179"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96 </w:t>
            </w:r>
          </w:p>
        </w:tc>
        <w:tc>
          <w:tcPr>
            <w:tcW w:w="1357"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11,126.89 </w:t>
            </w:r>
          </w:p>
        </w:tc>
        <w:tc>
          <w:tcPr>
            <w:tcW w:w="1194"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9.4%</w:t>
            </w:r>
          </w:p>
        </w:tc>
        <w:tc>
          <w:tcPr>
            <w:tcW w:w="1195"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115.91 </w:t>
            </w:r>
          </w:p>
        </w:tc>
      </w:tr>
      <w:tr w:rsidR="00E4371E" w:rsidRPr="00E4371E" w:rsidTr="00E4371E">
        <w:trPr>
          <w:trHeight w:val="247"/>
        </w:trPr>
        <w:tc>
          <w:tcPr>
            <w:tcW w:w="1948" w:type="dxa"/>
            <w:tcBorders>
              <w:top w:val="nil"/>
              <w:left w:val="nil"/>
              <w:bottom w:val="nil"/>
              <w:right w:val="nil"/>
            </w:tcBorders>
            <w:shd w:val="clear" w:color="000000" w:fill="FFFFFF"/>
            <w:noWrap/>
            <w:vAlign w:val="bottom"/>
            <w:hideMark/>
          </w:tcPr>
          <w:p w:rsidR="00E4371E" w:rsidRPr="00E4371E" w:rsidRDefault="00E4371E" w:rsidP="00E4371E">
            <w:pPr>
              <w:widowControl/>
              <w:jc w:val="left"/>
              <w:rPr>
                <w:rFonts w:ascii="Arial" w:eastAsia="宋体" w:hAnsi="Arial" w:cs="Arial"/>
                <w:kern w:val="0"/>
                <w:sz w:val="18"/>
                <w:szCs w:val="18"/>
              </w:rPr>
            </w:pPr>
            <w:r w:rsidRPr="00E4371E">
              <w:rPr>
                <w:rFonts w:ascii="Arial" w:eastAsia="宋体" w:hAnsi="Arial" w:cs="Arial"/>
                <w:kern w:val="0"/>
                <w:sz w:val="18"/>
                <w:szCs w:val="18"/>
              </w:rPr>
              <w:t>电信及增值业务</w:t>
            </w:r>
          </w:p>
        </w:tc>
        <w:tc>
          <w:tcPr>
            <w:tcW w:w="1198"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71 </w:t>
            </w:r>
          </w:p>
        </w:tc>
        <w:tc>
          <w:tcPr>
            <w:tcW w:w="1214"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3.7%</w:t>
            </w:r>
          </w:p>
        </w:tc>
        <w:tc>
          <w:tcPr>
            <w:tcW w:w="1179"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61 </w:t>
            </w:r>
          </w:p>
        </w:tc>
        <w:tc>
          <w:tcPr>
            <w:tcW w:w="1357"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8,527.43 </w:t>
            </w:r>
          </w:p>
        </w:tc>
        <w:tc>
          <w:tcPr>
            <w:tcW w:w="1194"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7.2%</w:t>
            </w:r>
          </w:p>
        </w:tc>
        <w:tc>
          <w:tcPr>
            <w:tcW w:w="1195"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139.79 </w:t>
            </w:r>
          </w:p>
        </w:tc>
      </w:tr>
      <w:tr w:rsidR="00E4371E" w:rsidRPr="00E4371E" w:rsidTr="00E4371E">
        <w:trPr>
          <w:trHeight w:val="247"/>
        </w:trPr>
        <w:tc>
          <w:tcPr>
            <w:tcW w:w="1948" w:type="dxa"/>
            <w:tcBorders>
              <w:top w:val="nil"/>
              <w:left w:val="nil"/>
              <w:bottom w:val="nil"/>
              <w:right w:val="nil"/>
            </w:tcBorders>
            <w:shd w:val="clear" w:color="000000" w:fill="FFFFFF"/>
            <w:noWrap/>
            <w:vAlign w:val="bottom"/>
            <w:hideMark/>
          </w:tcPr>
          <w:p w:rsidR="00E4371E" w:rsidRPr="00E4371E" w:rsidRDefault="00E4371E" w:rsidP="00E4371E">
            <w:pPr>
              <w:widowControl/>
              <w:jc w:val="left"/>
              <w:rPr>
                <w:rFonts w:ascii="Arial" w:eastAsia="宋体" w:hAnsi="Arial" w:cs="Arial"/>
                <w:kern w:val="0"/>
                <w:sz w:val="18"/>
                <w:szCs w:val="18"/>
              </w:rPr>
            </w:pPr>
            <w:r w:rsidRPr="00E4371E">
              <w:rPr>
                <w:rFonts w:ascii="Arial" w:eastAsia="宋体" w:hAnsi="Arial" w:cs="Arial"/>
                <w:kern w:val="0"/>
                <w:sz w:val="18"/>
                <w:szCs w:val="18"/>
              </w:rPr>
              <w:t>娱乐传媒</w:t>
            </w:r>
          </w:p>
        </w:tc>
        <w:tc>
          <w:tcPr>
            <w:tcW w:w="1198"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54 </w:t>
            </w:r>
          </w:p>
        </w:tc>
        <w:tc>
          <w:tcPr>
            <w:tcW w:w="1214"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2.8%</w:t>
            </w:r>
          </w:p>
        </w:tc>
        <w:tc>
          <w:tcPr>
            <w:tcW w:w="1179"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51 </w:t>
            </w:r>
          </w:p>
        </w:tc>
        <w:tc>
          <w:tcPr>
            <w:tcW w:w="1357"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1,979.16 </w:t>
            </w:r>
          </w:p>
        </w:tc>
        <w:tc>
          <w:tcPr>
            <w:tcW w:w="1194"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1.7%</w:t>
            </w:r>
          </w:p>
        </w:tc>
        <w:tc>
          <w:tcPr>
            <w:tcW w:w="1195"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38.81 </w:t>
            </w:r>
          </w:p>
        </w:tc>
      </w:tr>
      <w:tr w:rsidR="00E4371E" w:rsidRPr="00E4371E" w:rsidTr="00E4371E">
        <w:trPr>
          <w:trHeight w:val="247"/>
        </w:trPr>
        <w:tc>
          <w:tcPr>
            <w:tcW w:w="1948" w:type="dxa"/>
            <w:tcBorders>
              <w:top w:val="nil"/>
              <w:left w:val="nil"/>
              <w:bottom w:val="nil"/>
              <w:right w:val="nil"/>
            </w:tcBorders>
            <w:shd w:val="clear" w:color="000000" w:fill="FFFFFF"/>
            <w:noWrap/>
            <w:vAlign w:val="bottom"/>
            <w:hideMark/>
          </w:tcPr>
          <w:p w:rsidR="00E4371E" w:rsidRPr="00E4371E" w:rsidRDefault="00E4371E" w:rsidP="00E4371E">
            <w:pPr>
              <w:widowControl/>
              <w:jc w:val="left"/>
              <w:rPr>
                <w:rFonts w:ascii="Arial" w:eastAsia="宋体" w:hAnsi="Arial" w:cs="Arial"/>
                <w:kern w:val="0"/>
                <w:sz w:val="18"/>
                <w:szCs w:val="18"/>
              </w:rPr>
            </w:pPr>
            <w:r w:rsidRPr="00E4371E">
              <w:rPr>
                <w:rFonts w:ascii="Arial" w:eastAsia="宋体" w:hAnsi="Arial" w:cs="Arial"/>
                <w:kern w:val="0"/>
                <w:sz w:val="18"/>
                <w:szCs w:val="18"/>
              </w:rPr>
              <w:t>连锁及零售</w:t>
            </w:r>
          </w:p>
        </w:tc>
        <w:tc>
          <w:tcPr>
            <w:tcW w:w="1198"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44 </w:t>
            </w:r>
          </w:p>
        </w:tc>
        <w:tc>
          <w:tcPr>
            <w:tcW w:w="1214"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2.3%</w:t>
            </w:r>
          </w:p>
        </w:tc>
        <w:tc>
          <w:tcPr>
            <w:tcW w:w="1179"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40 </w:t>
            </w:r>
          </w:p>
        </w:tc>
        <w:tc>
          <w:tcPr>
            <w:tcW w:w="1357"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3,861.59 </w:t>
            </w:r>
          </w:p>
        </w:tc>
        <w:tc>
          <w:tcPr>
            <w:tcW w:w="1194"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3.3%</w:t>
            </w:r>
          </w:p>
        </w:tc>
        <w:tc>
          <w:tcPr>
            <w:tcW w:w="1195"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96.54 </w:t>
            </w:r>
          </w:p>
        </w:tc>
      </w:tr>
      <w:tr w:rsidR="00E4371E" w:rsidRPr="00E4371E" w:rsidTr="00E4371E">
        <w:trPr>
          <w:trHeight w:val="247"/>
        </w:trPr>
        <w:tc>
          <w:tcPr>
            <w:tcW w:w="1948" w:type="dxa"/>
            <w:tcBorders>
              <w:top w:val="nil"/>
              <w:left w:val="nil"/>
              <w:bottom w:val="nil"/>
              <w:right w:val="nil"/>
            </w:tcBorders>
            <w:shd w:val="clear" w:color="000000" w:fill="FFFFFF"/>
            <w:noWrap/>
            <w:vAlign w:val="bottom"/>
            <w:hideMark/>
          </w:tcPr>
          <w:p w:rsidR="00E4371E" w:rsidRPr="00E4371E" w:rsidRDefault="00E4371E" w:rsidP="00E4371E">
            <w:pPr>
              <w:widowControl/>
              <w:jc w:val="left"/>
              <w:rPr>
                <w:rFonts w:ascii="Arial" w:eastAsia="宋体" w:hAnsi="Arial" w:cs="Arial"/>
                <w:kern w:val="0"/>
                <w:sz w:val="18"/>
                <w:szCs w:val="18"/>
              </w:rPr>
            </w:pPr>
            <w:r w:rsidRPr="00E4371E">
              <w:rPr>
                <w:rFonts w:ascii="Arial" w:eastAsia="宋体" w:hAnsi="Arial" w:cs="Arial"/>
                <w:kern w:val="0"/>
                <w:sz w:val="18"/>
                <w:szCs w:val="18"/>
              </w:rPr>
              <w:t>汽车</w:t>
            </w:r>
          </w:p>
        </w:tc>
        <w:tc>
          <w:tcPr>
            <w:tcW w:w="1198"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43 </w:t>
            </w:r>
          </w:p>
        </w:tc>
        <w:tc>
          <w:tcPr>
            <w:tcW w:w="1214"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2.2%</w:t>
            </w:r>
          </w:p>
        </w:tc>
        <w:tc>
          <w:tcPr>
            <w:tcW w:w="1179"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39 </w:t>
            </w:r>
          </w:p>
        </w:tc>
        <w:tc>
          <w:tcPr>
            <w:tcW w:w="1357"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1,342.61 </w:t>
            </w:r>
          </w:p>
        </w:tc>
        <w:tc>
          <w:tcPr>
            <w:tcW w:w="1194"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1.1%</w:t>
            </w:r>
          </w:p>
        </w:tc>
        <w:tc>
          <w:tcPr>
            <w:tcW w:w="1195"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34.43 </w:t>
            </w:r>
          </w:p>
        </w:tc>
      </w:tr>
      <w:tr w:rsidR="00E4371E" w:rsidRPr="00E4371E" w:rsidTr="00E4371E">
        <w:trPr>
          <w:trHeight w:val="247"/>
        </w:trPr>
        <w:tc>
          <w:tcPr>
            <w:tcW w:w="1948" w:type="dxa"/>
            <w:tcBorders>
              <w:top w:val="nil"/>
              <w:left w:val="nil"/>
              <w:bottom w:val="nil"/>
              <w:right w:val="nil"/>
            </w:tcBorders>
            <w:shd w:val="clear" w:color="000000" w:fill="FFFFFF"/>
            <w:noWrap/>
            <w:vAlign w:val="bottom"/>
            <w:hideMark/>
          </w:tcPr>
          <w:p w:rsidR="00E4371E" w:rsidRPr="00E4371E" w:rsidRDefault="00E4371E" w:rsidP="00E4371E">
            <w:pPr>
              <w:widowControl/>
              <w:jc w:val="left"/>
              <w:rPr>
                <w:rFonts w:ascii="Arial" w:eastAsia="宋体" w:hAnsi="Arial" w:cs="Arial"/>
                <w:kern w:val="0"/>
                <w:sz w:val="18"/>
                <w:szCs w:val="18"/>
              </w:rPr>
            </w:pPr>
            <w:r w:rsidRPr="00E4371E">
              <w:rPr>
                <w:rFonts w:ascii="Arial" w:eastAsia="宋体" w:hAnsi="Arial" w:cs="Arial"/>
                <w:kern w:val="0"/>
                <w:sz w:val="18"/>
                <w:szCs w:val="18"/>
              </w:rPr>
              <w:t>纺织及服装</w:t>
            </w:r>
          </w:p>
        </w:tc>
        <w:tc>
          <w:tcPr>
            <w:tcW w:w="1198"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37 </w:t>
            </w:r>
          </w:p>
        </w:tc>
        <w:tc>
          <w:tcPr>
            <w:tcW w:w="1214"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1.9%</w:t>
            </w:r>
          </w:p>
        </w:tc>
        <w:tc>
          <w:tcPr>
            <w:tcW w:w="1179"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34 </w:t>
            </w:r>
          </w:p>
        </w:tc>
        <w:tc>
          <w:tcPr>
            <w:tcW w:w="1357"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799.30 </w:t>
            </w:r>
          </w:p>
        </w:tc>
        <w:tc>
          <w:tcPr>
            <w:tcW w:w="1194"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0.7%</w:t>
            </w:r>
          </w:p>
        </w:tc>
        <w:tc>
          <w:tcPr>
            <w:tcW w:w="1195"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23.51 </w:t>
            </w:r>
          </w:p>
        </w:tc>
      </w:tr>
      <w:tr w:rsidR="00E4371E" w:rsidRPr="00E4371E" w:rsidTr="00E4371E">
        <w:trPr>
          <w:trHeight w:val="247"/>
        </w:trPr>
        <w:tc>
          <w:tcPr>
            <w:tcW w:w="1948" w:type="dxa"/>
            <w:tcBorders>
              <w:top w:val="nil"/>
              <w:left w:val="nil"/>
              <w:bottom w:val="nil"/>
              <w:right w:val="nil"/>
            </w:tcBorders>
            <w:shd w:val="clear" w:color="000000" w:fill="FFFFFF"/>
            <w:noWrap/>
            <w:vAlign w:val="bottom"/>
            <w:hideMark/>
          </w:tcPr>
          <w:p w:rsidR="00E4371E" w:rsidRPr="00E4371E" w:rsidRDefault="00E4371E" w:rsidP="00E4371E">
            <w:pPr>
              <w:widowControl/>
              <w:jc w:val="left"/>
              <w:rPr>
                <w:rFonts w:ascii="Arial" w:eastAsia="宋体" w:hAnsi="Arial" w:cs="Arial"/>
                <w:kern w:val="0"/>
                <w:sz w:val="18"/>
                <w:szCs w:val="18"/>
              </w:rPr>
            </w:pPr>
            <w:r w:rsidRPr="00E4371E">
              <w:rPr>
                <w:rFonts w:ascii="Arial" w:eastAsia="宋体" w:hAnsi="Arial" w:cs="Arial"/>
                <w:kern w:val="0"/>
                <w:sz w:val="18"/>
                <w:szCs w:val="18"/>
              </w:rPr>
              <w:t>农</w:t>
            </w:r>
            <w:r w:rsidRPr="00E4371E">
              <w:rPr>
                <w:rFonts w:ascii="Arial" w:eastAsia="宋体" w:hAnsi="Arial" w:cs="Arial"/>
                <w:kern w:val="0"/>
                <w:sz w:val="18"/>
                <w:szCs w:val="18"/>
              </w:rPr>
              <w:t>/</w:t>
            </w:r>
            <w:r w:rsidRPr="00E4371E">
              <w:rPr>
                <w:rFonts w:ascii="Arial" w:eastAsia="宋体" w:hAnsi="Arial" w:cs="Arial"/>
                <w:kern w:val="0"/>
                <w:sz w:val="18"/>
                <w:szCs w:val="18"/>
              </w:rPr>
              <w:t>林</w:t>
            </w:r>
            <w:r w:rsidRPr="00E4371E">
              <w:rPr>
                <w:rFonts w:ascii="Arial" w:eastAsia="宋体" w:hAnsi="Arial" w:cs="Arial"/>
                <w:kern w:val="0"/>
                <w:sz w:val="18"/>
                <w:szCs w:val="18"/>
              </w:rPr>
              <w:t>/</w:t>
            </w:r>
            <w:r w:rsidRPr="00E4371E">
              <w:rPr>
                <w:rFonts w:ascii="Arial" w:eastAsia="宋体" w:hAnsi="Arial" w:cs="Arial"/>
                <w:kern w:val="0"/>
                <w:sz w:val="18"/>
                <w:szCs w:val="18"/>
              </w:rPr>
              <w:t>牧</w:t>
            </w:r>
            <w:r w:rsidRPr="00E4371E">
              <w:rPr>
                <w:rFonts w:ascii="Arial" w:eastAsia="宋体" w:hAnsi="Arial" w:cs="Arial"/>
                <w:kern w:val="0"/>
                <w:sz w:val="18"/>
                <w:szCs w:val="18"/>
              </w:rPr>
              <w:t>/</w:t>
            </w:r>
            <w:r w:rsidRPr="00E4371E">
              <w:rPr>
                <w:rFonts w:ascii="Arial" w:eastAsia="宋体" w:hAnsi="Arial" w:cs="Arial"/>
                <w:kern w:val="0"/>
                <w:sz w:val="18"/>
                <w:szCs w:val="18"/>
              </w:rPr>
              <w:t>渔</w:t>
            </w:r>
          </w:p>
        </w:tc>
        <w:tc>
          <w:tcPr>
            <w:tcW w:w="1198"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32 </w:t>
            </w:r>
          </w:p>
        </w:tc>
        <w:tc>
          <w:tcPr>
            <w:tcW w:w="1214"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1.7%</w:t>
            </w:r>
          </w:p>
        </w:tc>
        <w:tc>
          <w:tcPr>
            <w:tcW w:w="1179"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31 </w:t>
            </w:r>
          </w:p>
        </w:tc>
        <w:tc>
          <w:tcPr>
            <w:tcW w:w="1357"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2,134.34 </w:t>
            </w:r>
          </w:p>
        </w:tc>
        <w:tc>
          <w:tcPr>
            <w:tcW w:w="1194"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1.8%</w:t>
            </w:r>
          </w:p>
        </w:tc>
        <w:tc>
          <w:tcPr>
            <w:tcW w:w="1195"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68.85 </w:t>
            </w:r>
          </w:p>
        </w:tc>
      </w:tr>
      <w:tr w:rsidR="00E4371E" w:rsidRPr="00E4371E" w:rsidTr="00E4371E">
        <w:trPr>
          <w:trHeight w:val="247"/>
        </w:trPr>
        <w:tc>
          <w:tcPr>
            <w:tcW w:w="1948" w:type="dxa"/>
            <w:tcBorders>
              <w:top w:val="nil"/>
              <w:left w:val="nil"/>
              <w:bottom w:val="nil"/>
              <w:right w:val="nil"/>
            </w:tcBorders>
            <w:shd w:val="clear" w:color="000000" w:fill="FFFFFF"/>
            <w:noWrap/>
            <w:vAlign w:val="bottom"/>
            <w:hideMark/>
          </w:tcPr>
          <w:p w:rsidR="00E4371E" w:rsidRPr="00E4371E" w:rsidRDefault="00E4371E" w:rsidP="00E4371E">
            <w:pPr>
              <w:widowControl/>
              <w:jc w:val="left"/>
              <w:rPr>
                <w:rFonts w:ascii="Arial" w:eastAsia="宋体" w:hAnsi="Arial" w:cs="Arial"/>
                <w:kern w:val="0"/>
                <w:sz w:val="18"/>
                <w:szCs w:val="18"/>
              </w:rPr>
            </w:pPr>
            <w:r w:rsidRPr="00E4371E">
              <w:rPr>
                <w:rFonts w:ascii="Arial" w:eastAsia="宋体" w:hAnsi="Arial" w:cs="Arial"/>
                <w:kern w:val="0"/>
                <w:sz w:val="18"/>
                <w:szCs w:val="18"/>
              </w:rPr>
              <w:t>物流</w:t>
            </w:r>
          </w:p>
        </w:tc>
        <w:tc>
          <w:tcPr>
            <w:tcW w:w="1198"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23 </w:t>
            </w:r>
          </w:p>
        </w:tc>
        <w:tc>
          <w:tcPr>
            <w:tcW w:w="1214"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1.2%</w:t>
            </w:r>
          </w:p>
        </w:tc>
        <w:tc>
          <w:tcPr>
            <w:tcW w:w="1179"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22 </w:t>
            </w:r>
          </w:p>
        </w:tc>
        <w:tc>
          <w:tcPr>
            <w:tcW w:w="1357"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330.15 </w:t>
            </w:r>
          </w:p>
        </w:tc>
        <w:tc>
          <w:tcPr>
            <w:tcW w:w="1194"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0.3%</w:t>
            </w:r>
          </w:p>
        </w:tc>
        <w:tc>
          <w:tcPr>
            <w:tcW w:w="1195"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15.01 </w:t>
            </w:r>
          </w:p>
        </w:tc>
      </w:tr>
      <w:tr w:rsidR="00E4371E" w:rsidRPr="00E4371E" w:rsidTr="00E4371E">
        <w:trPr>
          <w:trHeight w:val="247"/>
        </w:trPr>
        <w:tc>
          <w:tcPr>
            <w:tcW w:w="1948" w:type="dxa"/>
            <w:tcBorders>
              <w:top w:val="nil"/>
              <w:left w:val="nil"/>
              <w:bottom w:val="nil"/>
              <w:right w:val="nil"/>
            </w:tcBorders>
            <w:shd w:val="clear" w:color="000000" w:fill="FFFFFF"/>
            <w:noWrap/>
            <w:vAlign w:val="bottom"/>
            <w:hideMark/>
          </w:tcPr>
          <w:p w:rsidR="00E4371E" w:rsidRPr="00E4371E" w:rsidRDefault="00E4371E" w:rsidP="00E4371E">
            <w:pPr>
              <w:widowControl/>
              <w:jc w:val="left"/>
              <w:rPr>
                <w:rFonts w:ascii="Arial" w:eastAsia="宋体" w:hAnsi="Arial" w:cs="Arial"/>
                <w:kern w:val="0"/>
                <w:sz w:val="18"/>
                <w:szCs w:val="18"/>
              </w:rPr>
            </w:pPr>
            <w:r w:rsidRPr="00E4371E">
              <w:rPr>
                <w:rFonts w:ascii="Arial" w:eastAsia="宋体" w:hAnsi="Arial" w:cs="Arial"/>
                <w:kern w:val="0"/>
                <w:sz w:val="18"/>
                <w:szCs w:val="18"/>
              </w:rPr>
              <w:t>食品</w:t>
            </w:r>
            <w:r w:rsidRPr="00E4371E">
              <w:rPr>
                <w:rFonts w:ascii="Arial" w:eastAsia="宋体" w:hAnsi="Arial" w:cs="Arial"/>
                <w:kern w:val="0"/>
                <w:sz w:val="18"/>
                <w:szCs w:val="18"/>
              </w:rPr>
              <w:t>&amp;</w:t>
            </w:r>
            <w:r w:rsidRPr="00E4371E">
              <w:rPr>
                <w:rFonts w:ascii="Arial" w:eastAsia="宋体" w:hAnsi="Arial" w:cs="Arial"/>
                <w:kern w:val="0"/>
                <w:sz w:val="18"/>
                <w:szCs w:val="18"/>
              </w:rPr>
              <w:t>饮料</w:t>
            </w:r>
          </w:p>
        </w:tc>
        <w:tc>
          <w:tcPr>
            <w:tcW w:w="1198"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21 </w:t>
            </w:r>
          </w:p>
        </w:tc>
        <w:tc>
          <w:tcPr>
            <w:tcW w:w="1214"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1.1%</w:t>
            </w:r>
          </w:p>
        </w:tc>
        <w:tc>
          <w:tcPr>
            <w:tcW w:w="1179"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18 </w:t>
            </w:r>
          </w:p>
        </w:tc>
        <w:tc>
          <w:tcPr>
            <w:tcW w:w="1357"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1,318.56 </w:t>
            </w:r>
          </w:p>
        </w:tc>
        <w:tc>
          <w:tcPr>
            <w:tcW w:w="1194"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1.1%</w:t>
            </w:r>
          </w:p>
        </w:tc>
        <w:tc>
          <w:tcPr>
            <w:tcW w:w="1195"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73.25 </w:t>
            </w:r>
          </w:p>
        </w:tc>
      </w:tr>
      <w:tr w:rsidR="00E4371E" w:rsidRPr="00E4371E" w:rsidTr="00E4371E">
        <w:trPr>
          <w:trHeight w:val="247"/>
        </w:trPr>
        <w:tc>
          <w:tcPr>
            <w:tcW w:w="1948" w:type="dxa"/>
            <w:tcBorders>
              <w:top w:val="nil"/>
              <w:left w:val="nil"/>
              <w:bottom w:val="nil"/>
              <w:right w:val="nil"/>
            </w:tcBorders>
            <w:shd w:val="clear" w:color="000000" w:fill="FFFFFF"/>
            <w:noWrap/>
            <w:vAlign w:val="bottom"/>
            <w:hideMark/>
          </w:tcPr>
          <w:p w:rsidR="00E4371E" w:rsidRPr="00E4371E" w:rsidRDefault="00E4371E" w:rsidP="00E4371E">
            <w:pPr>
              <w:widowControl/>
              <w:jc w:val="left"/>
              <w:rPr>
                <w:rFonts w:ascii="Arial" w:eastAsia="宋体" w:hAnsi="Arial" w:cs="Arial"/>
                <w:kern w:val="0"/>
                <w:sz w:val="18"/>
                <w:szCs w:val="18"/>
              </w:rPr>
            </w:pPr>
            <w:r w:rsidRPr="00E4371E">
              <w:rPr>
                <w:rFonts w:ascii="Arial" w:eastAsia="宋体" w:hAnsi="Arial" w:cs="Arial"/>
                <w:kern w:val="0"/>
                <w:sz w:val="18"/>
                <w:szCs w:val="18"/>
              </w:rPr>
              <w:t>广播电视及数字电视</w:t>
            </w:r>
          </w:p>
        </w:tc>
        <w:tc>
          <w:tcPr>
            <w:tcW w:w="1198"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12 </w:t>
            </w:r>
          </w:p>
        </w:tc>
        <w:tc>
          <w:tcPr>
            <w:tcW w:w="1214"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0.6%</w:t>
            </w:r>
          </w:p>
        </w:tc>
        <w:tc>
          <w:tcPr>
            <w:tcW w:w="1179"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12 </w:t>
            </w:r>
          </w:p>
        </w:tc>
        <w:tc>
          <w:tcPr>
            <w:tcW w:w="1357"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599.93 </w:t>
            </w:r>
          </w:p>
        </w:tc>
        <w:tc>
          <w:tcPr>
            <w:tcW w:w="1194"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0.5%</w:t>
            </w:r>
          </w:p>
        </w:tc>
        <w:tc>
          <w:tcPr>
            <w:tcW w:w="1195"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49.99 </w:t>
            </w:r>
          </w:p>
        </w:tc>
      </w:tr>
      <w:tr w:rsidR="00E4371E" w:rsidRPr="00E4371E" w:rsidTr="00E4371E">
        <w:trPr>
          <w:trHeight w:val="247"/>
        </w:trPr>
        <w:tc>
          <w:tcPr>
            <w:tcW w:w="1948" w:type="dxa"/>
            <w:tcBorders>
              <w:top w:val="nil"/>
              <w:left w:val="nil"/>
              <w:bottom w:val="nil"/>
              <w:right w:val="nil"/>
            </w:tcBorders>
            <w:shd w:val="clear" w:color="000000" w:fill="FFFFFF"/>
            <w:noWrap/>
            <w:vAlign w:val="bottom"/>
            <w:hideMark/>
          </w:tcPr>
          <w:p w:rsidR="00E4371E" w:rsidRPr="00E4371E" w:rsidRDefault="00E4371E" w:rsidP="00E4371E">
            <w:pPr>
              <w:widowControl/>
              <w:jc w:val="left"/>
              <w:rPr>
                <w:rFonts w:ascii="Arial" w:eastAsia="宋体" w:hAnsi="Arial" w:cs="Arial"/>
                <w:kern w:val="0"/>
                <w:sz w:val="18"/>
                <w:szCs w:val="18"/>
              </w:rPr>
            </w:pPr>
            <w:r w:rsidRPr="00E4371E">
              <w:rPr>
                <w:rFonts w:ascii="Arial" w:eastAsia="宋体" w:hAnsi="Arial" w:cs="Arial"/>
                <w:kern w:val="0"/>
                <w:sz w:val="18"/>
                <w:szCs w:val="18"/>
              </w:rPr>
              <w:t>教育与培训</w:t>
            </w:r>
          </w:p>
        </w:tc>
        <w:tc>
          <w:tcPr>
            <w:tcW w:w="1198"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8 </w:t>
            </w:r>
          </w:p>
        </w:tc>
        <w:tc>
          <w:tcPr>
            <w:tcW w:w="1214"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0.4%</w:t>
            </w:r>
          </w:p>
        </w:tc>
        <w:tc>
          <w:tcPr>
            <w:tcW w:w="1179"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5 </w:t>
            </w:r>
          </w:p>
        </w:tc>
        <w:tc>
          <w:tcPr>
            <w:tcW w:w="1357"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34.86 </w:t>
            </w:r>
          </w:p>
        </w:tc>
        <w:tc>
          <w:tcPr>
            <w:tcW w:w="1194"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0.0%</w:t>
            </w:r>
          </w:p>
        </w:tc>
        <w:tc>
          <w:tcPr>
            <w:tcW w:w="1195"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6.97 </w:t>
            </w:r>
          </w:p>
        </w:tc>
      </w:tr>
      <w:tr w:rsidR="00E4371E" w:rsidRPr="00E4371E" w:rsidTr="00E4371E">
        <w:trPr>
          <w:trHeight w:val="247"/>
        </w:trPr>
        <w:tc>
          <w:tcPr>
            <w:tcW w:w="1948" w:type="dxa"/>
            <w:tcBorders>
              <w:top w:val="nil"/>
              <w:left w:val="nil"/>
              <w:bottom w:val="nil"/>
              <w:right w:val="nil"/>
            </w:tcBorders>
            <w:shd w:val="clear" w:color="000000" w:fill="FFFFFF"/>
            <w:noWrap/>
            <w:vAlign w:val="bottom"/>
            <w:hideMark/>
          </w:tcPr>
          <w:p w:rsidR="00E4371E" w:rsidRPr="00E4371E" w:rsidRDefault="00E4371E" w:rsidP="00E4371E">
            <w:pPr>
              <w:widowControl/>
              <w:jc w:val="left"/>
              <w:rPr>
                <w:rFonts w:ascii="Arial" w:eastAsia="宋体" w:hAnsi="Arial" w:cs="Arial"/>
                <w:kern w:val="0"/>
                <w:sz w:val="18"/>
                <w:szCs w:val="18"/>
              </w:rPr>
            </w:pPr>
            <w:r w:rsidRPr="00E4371E">
              <w:rPr>
                <w:rFonts w:ascii="Arial" w:eastAsia="宋体" w:hAnsi="Arial" w:cs="Arial"/>
                <w:kern w:val="0"/>
                <w:sz w:val="18"/>
                <w:szCs w:val="18"/>
              </w:rPr>
              <w:t>半导体</w:t>
            </w:r>
          </w:p>
        </w:tc>
        <w:tc>
          <w:tcPr>
            <w:tcW w:w="1198"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3 </w:t>
            </w:r>
          </w:p>
        </w:tc>
        <w:tc>
          <w:tcPr>
            <w:tcW w:w="1214"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0.2%</w:t>
            </w:r>
          </w:p>
        </w:tc>
        <w:tc>
          <w:tcPr>
            <w:tcW w:w="1179"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3 </w:t>
            </w:r>
          </w:p>
        </w:tc>
        <w:tc>
          <w:tcPr>
            <w:tcW w:w="1357"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37.70 </w:t>
            </w:r>
          </w:p>
        </w:tc>
        <w:tc>
          <w:tcPr>
            <w:tcW w:w="1194"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0.0%</w:t>
            </w:r>
          </w:p>
        </w:tc>
        <w:tc>
          <w:tcPr>
            <w:tcW w:w="1195"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12.57 </w:t>
            </w:r>
          </w:p>
        </w:tc>
      </w:tr>
      <w:tr w:rsidR="00E4371E" w:rsidRPr="00E4371E" w:rsidTr="00E4371E">
        <w:trPr>
          <w:trHeight w:val="247"/>
        </w:trPr>
        <w:tc>
          <w:tcPr>
            <w:tcW w:w="1948" w:type="dxa"/>
            <w:tcBorders>
              <w:top w:val="nil"/>
              <w:left w:val="nil"/>
              <w:bottom w:val="nil"/>
              <w:right w:val="nil"/>
            </w:tcBorders>
            <w:shd w:val="clear" w:color="000000" w:fill="FFFFFF"/>
            <w:noWrap/>
            <w:vAlign w:val="bottom"/>
            <w:hideMark/>
          </w:tcPr>
          <w:p w:rsidR="00E4371E" w:rsidRPr="00E4371E" w:rsidRDefault="00E4371E" w:rsidP="00E4371E">
            <w:pPr>
              <w:widowControl/>
              <w:jc w:val="left"/>
              <w:rPr>
                <w:rFonts w:ascii="Arial" w:eastAsia="宋体" w:hAnsi="Arial" w:cs="Arial"/>
                <w:kern w:val="0"/>
                <w:sz w:val="18"/>
                <w:szCs w:val="18"/>
              </w:rPr>
            </w:pPr>
            <w:r w:rsidRPr="00E4371E">
              <w:rPr>
                <w:rFonts w:ascii="Arial" w:eastAsia="宋体" w:hAnsi="Arial" w:cs="Arial"/>
                <w:kern w:val="0"/>
                <w:sz w:val="18"/>
                <w:szCs w:val="18"/>
              </w:rPr>
              <w:t>其他</w:t>
            </w:r>
          </w:p>
        </w:tc>
        <w:tc>
          <w:tcPr>
            <w:tcW w:w="1198"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81 </w:t>
            </w:r>
          </w:p>
        </w:tc>
        <w:tc>
          <w:tcPr>
            <w:tcW w:w="1214"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4.2%</w:t>
            </w:r>
          </w:p>
        </w:tc>
        <w:tc>
          <w:tcPr>
            <w:tcW w:w="1179"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79 </w:t>
            </w:r>
          </w:p>
        </w:tc>
        <w:tc>
          <w:tcPr>
            <w:tcW w:w="1357"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2,079.42 </w:t>
            </w:r>
          </w:p>
        </w:tc>
        <w:tc>
          <w:tcPr>
            <w:tcW w:w="1194"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1.8%</w:t>
            </w:r>
          </w:p>
        </w:tc>
        <w:tc>
          <w:tcPr>
            <w:tcW w:w="1195" w:type="dxa"/>
            <w:tcBorders>
              <w:top w:val="nil"/>
              <w:left w:val="nil"/>
              <w:bottom w:val="nil"/>
              <w:right w:val="nil"/>
            </w:tcBorders>
            <w:shd w:val="clear" w:color="000000" w:fill="FFFFFF"/>
            <w:noWrap/>
            <w:vAlign w:val="bottom"/>
            <w:hideMark/>
          </w:tcPr>
          <w:p w:rsidR="00E4371E" w:rsidRPr="00E4371E" w:rsidRDefault="00E4371E" w:rsidP="00E4371E">
            <w:pPr>
              <w:widowControl/>
              <w:jc w:val="right"/>
              <w:rPr>
                <w:rFonts w:ascii="Arial" w:eastAsia="宋体" w:hAnsi="Arial" w:cs="Arial"/>
                <w:kern w:val="0"/>
                <w:sz w:val="18"/>
                <w:szCs w:val="18"/>
              </w:rPr>
            </w:pPr>
            <w:r w:rsidRPr="00E4371E">
              <w:rPr>
                <w:rFonts w:ascii="Arial" w:eastAsia="宋体" w:hAnsi="Arial" w:cs="Arial"/>
                <w:kern w:val="0"/>
                <w:sz w:val="18"/>
                <w:szCs w:val="18"/>
              </w:rPr>
              <w:t xml:space="preserve">26.32 </w:t>
            </w:r>
          </w:p>
        </w:tc>
      </w:tr>
      <w:tr w:rsidR="00E4371E" w:rsidRPr="00E4371E" w:rsidTr="00E4371E">
        <w:trPr>
          <w:trHeight w:val="262"/>
        </w:trPr>
        <w:tc>
          <w:tcPr>
            <w:tcW w:w="1948" w:type="dxa"/>
            <w:tcBorders>
              <w:top w:val="single" w:sz="4" w:space="0" w:color="000000"/>
              <w:left w:val="nil"/>
              <w:bottom w:val="single" w:sz="8" w:space="0" w:color="003366"/>
              <w:right w:val="nil"/>
            </w:tcBorders>
            <w:shd w:val="clear" w:color="000000" w:fill="FFFFFF"/>
            <w:noWrap/>
            <w:vAlign w:val="bottom"/>
            <w:hideMark/>
          </w:tcPr>
          <w:p w:rsidR="00E4371E" w:rsidRPr="00E4371E" w:rsidRDefault="00806064" w:rsidP="00E4371E">
            <w:pPr>
              <w:widowControl/>
              <w:jc w:val="left"/>
              <w:rPr>
                <w:rFonts w:ascii="Arial" w:eastAsia="宋体" w:hAnsi="Arial" w:cs="Arial"/>
                <w:b/>
                <w:bCs/>
                <w:kern w:val="0"/>
                <w:sz w:val="18"/>
                <w:szCs w:val="18"/>
              </w:rPr>
            </w:pPr>
            <w:r>
              <w:rPr>
                <w:rFonts w:ascii="宋体" w:eastAsia="宋体" w:hAnsi="宋体" w:cs="Arial" w:hint="eastAsia"/>
                <w:b/>
                <w:bCs/>
                <w:kern w:val="0"/>
                <w:sz w:val="18"/>
                <w:szCs w:val="18"/>
              </w:rPr>
              <w:t>合</w:t>
            </w:r>
            <w:r w:rsidR="00E4371E" w:rsidRPr="00E4371E">
              <w:rPr>
                <w:rFonts w:ascii="宋体" w:eastAsia="宋体" w:hAnsi="宋体" w:cs="Arial" w:hint="eastAsia"/>
                <w:b/>
                <w:bCs/>
                <w:kern w:val="0"/>
                <w:sz w:val="18"/>
                <w:szCs w:val="18"/>
              </w:rPr>
              <w:t>计</w:t>
            </w:r>
          </w:p>
        </w:tc>
        <w:tc>
          <w:tcPr>
            <w:tcW w:w="1198" w:type="dxa"/>
            <w:tcBorders>
              <w:top w:val="single" w:sz="4" w:space="0" w:color="000000"/>
              <w:left w:val="nil"/>
              <w:bottom w:val="single" w:sz="8" w:space="0" w:color="003366"/>
              <w:right w:val="nil"/>
            </w:tcBorders>
            <w:shd w:val="clear" w:color="000000" w:fill="FFFFFF"/>
            <w:noWrap/>
            <w:vAlign w:val="bottom"/>
            <w:hideMark/>
          </w:tcPr>
          <w:p w:rsidR="00E4371E" w:rsidRPr="00E4371E" w:rsidRDefault="00E4371E" w:rsidP="00E4371E">
            <w:pPr>
              <w:widowControl/>
              <w:jc w:val="right"/>
              <w:rPr>
                <w:rFonts w:ascii="Arial" w:eastAsia="宋体" w:hAnsi="Arial" w:cs="Arial"/>
                <w:b/>
                <w:bCs/>
                <w:kern w:val="0"/>
                <w:sz w:val="18"/>
                <w:szCs w:val="18"/>
              </w:rPr>
            </w:pPr>
            <w:r w:rsidRPr="00E4371E">
              <w:rPr>
                <w:rFonts w:ascii="Arial" w:eastAsia="宋体" w:hAnsi="Arial" w:cs="Arial"/>
                <w:b/>
                <w:bCs/>
                <w:kern w:val="0"/>
                <w:sz w:val="18"/>
                <w:szCs w:val="18"/>
              </w:rPr>
              <w:t xml:space="preserve">1,929 </w:t>
            </w:r>
          </w:p>
        </w:tc>
        <w:tc>
          <w:tcPr>
            <w:tcW w:w="1214" w:type="dxa"/>
            <w:tcBorders>
              <w:top w:val="single" w:sz="4" w:space="0" w:color="000000"/>
              <w:left w:val="nil"/>
              <w:bottom w:val="single" w:sz="8" w:space="0" w:color="003366"/>
              <w:right w:val="nil"/>
            </w:tcBorders>
            <w:shd w:val="clear" w:color="000000" w:fill="FFFFFF"/>
            <w:noWrap/>
            <w:vAlign w:val="bottom"/>
            <w:hideMark/>
          </w:tcPr>
          <w:p w:rsidR="00E4371E" w:rsidRPr="00E4371E" w:rsidRDefault="00E4371E" w:rsidP="00E4371E">
            <w:pPr>
              <w:widowControl/>
              <w:jc w:val="right"/>
              <w:rPr>
                <w:rFonts w:ascii="Arial" w:eastAsia="宋体" w:hAnsi="Arial" w:cs="Arial"/>
                <w:b/>
                <w:bCs/>
                <w:kern w:val="0"/>
                <w:sz w:val="18"/>
                <w:szCs w:val="18"/>
              </w:rPr>
            </w:pPr>
            <w:r w:rsidRPr="00E4371E">
              <w:rPr>
                <w:rFonts w:ascii="Arial" w:eastAsia="宋体" w:hAnsi="Arial" w:cs="Arial"/>
                <w:b/>
                <w:bCs/>
                <w:kern w:val="0"/>
                <w:sz w:val="18"/>
                <w:szCs w:val="18"/>
              </w:rPr>
              <w:t>100.0%</w:t>
            </w:r>
          </w:p>
        </w:tc>
        <w:tc>
          <w:tcPr>
            <w:tcW w:w="1179" w:type="dxa"/>
            <w:tcBorders>
              <w:top w:val="single" w:sz="4" w:space="0" w:color="000000"/>
              <w:left w:val="nil"/>
              <w:bottom w:val="single" w:sz="8" w:space="0" w:color="003366"/>
              <w:right w:val="nil"/>
            </w:tcBorders>
            <w:shd w:val="clear" w:color="000000" w:fill="FFFFFF"/>
            <w:noWrap/>
            <w:vAlign w:val="bottom"/>
            <w:hideMark/>
          </w:tcPr>
          <w:p w:rsidR="00E4371E" w:rsidRPr="00E4371E" w:rsidRDefault="00E4371E" w:rsidP="00E4371E">
            <w:pPr>
              <w:widowControl/>
              <w:jc w:val="right"/>
              <w:rPr>
                <w:rFonts w:ascii="Arial" w:eastAsia="宋体" w:hAnsi="Arial" w:cs="Arial"/>
                <w:b/>
                <w:bCs/>
                <w:kern w:val="0"/>
                <w:sz w:val="18"/>
                <w:szCs w:val="18"/>
              </w:rPr>
            </w:pPr>
            <w:r w:rsidRPr="00E4371E">
              <w:rPr>
                <w:rFonts w:ascii="Arial" w:eastAsia="宋体" w:hAnsi="Arial" w:cs="Arial"/>
                <w:b/>
                <w:bCs/>
                <w:kern w:val="0"/>
                <w:sz w:val="18"/>
                <w:szCs w:val="18"/>
              </w:rPr>
              <w:t xml:space="preserve">1,815 </w:t>
            </w:r>
          </w:p>
        </w:tc>
        <w:tc>
          <w:tcPr>
            <w:tcW w:w="1357" w:type="dxa"/>
            <w:tcBorders>
              <w:top w:val="single" w:sz="4" w:space="0" w:color="000000"/>
              <w:left w:val="nil"/>
              <w:bottom w:val="single" w:sz="8" w:space="0" w:color="003366"/>
              <w:right w:val="nil"/>
            </w:tcBorders>
            <w:shd w:val="clear" w:color="000000" w:fill="FFFFFF"/>
            <w:noWrap/>
            <w:vAlign w:val="bottom"/>
            <w:hideMark/>
          </w:tcPr>
          <w:p w:rsidR="00E4371E" w:rsidRPr="00E4371E" w:rsidRDefault="00E4371E" w:rsidP="00E4371E">
            <w:pPr>
              <w:widowControl/>
              <w:jc w:val="right"/>
              <w:rPr>
                <w:rFonts w:ascii="Arial" w:eastAsia="宋体" w:hAnsi="Arial" w:cs="Arial"/>
                <w:b/>
                <w:bCs/>
                <w:kern w:val="0"/>
                <w:sz w:val="18"/>
                <w:szCs w:val="18"/>
              </w:rPr>
            </w:pPr>
            <w:r w:rsidRPr="00E4371E">
              <w:rPr>
                <w:rFonts w:ascii="Arial" w:eastAsia="宋体" w:hAnsi="Arial" w:cs="Arial"/>
                <w:b/>
                <w:bCs/>
                <w:kern w:val="0"/>
                <w:sz w:val="18"/>
                <w:szCs w:val="18"/>
              </w:rPr>
              <w:t xml:space="preserve">118,489.54 </w:t>
            </w:r>
          </w:p>
        </w:tc>
        <w:tc>
          <w:tcPr>
            <w:tcW w:w="1194" w:type="dxa"/>
            <w:tcBorders>
              <w:top w:val="single" w:sz="4" w:space="0" w:color="000000"/>
              <w:left w:val="nil"/>
              <w:bottom w:val="single" w:sz="8" w:space="0" w:color="003366"/>
              <w:right w:val="nil"/>
            </w:tcBorders>
            <w:shd w:val="clear" w:color="000000" w:fill="FFFFFF"/>
            <w:noWrap/>
            <w:vAlign w:val="bottom"/>
            <w:hideMark/>
          </w:tcPr>
          <w:p w:rsidR="00E4371E" w:rsidRPr="00E4371E" w:rsidRDefault="00E4371E" w:rsidP="00E4371E">
            <w:pPr>
              <w:widowControl/>
              <w:jc w:val="right"/>
              <w:rPr>
                <w:rFonts w:ascii="Arial" w:eastAsia="宋体" w:hAnsi="Arial" w:cs="Arial"/>
                <w:b/>
                <w:bCs/>
                <w:kern w:val="0"/>
                <w:sz w:val="18"/>
                <w:szCs w:val="18"/>
              </w:rPr>
            </w:pPr>
            <w:r w:rsidRPr="00E4371E">
              <w:rPr>
                <w:rFonts w:ascii="Arial" w:eastAsia="宋体" w:hAnsi="Arial" w:cs="Arial"/>
                <w:b/>
                <w:bCs/>
                <w:kern w:val="0"/>
                <w:sz w:val="18"/>
                <w:szCs w:val="18"/>
              </w:rPr>
              <w:t>100.0%</w:t>
            </w:r>
          </w:p>
        </w:tc>
        <w:tc>
          <w:tcPr>
            <w:tcW w:w="1195" w:type="dxa"/>
            <w:tcBorders>
              <w:top w:val="single" w:sz="4" w:space="0" w:color="000000"/>
              <w:left w:val="nil"/>
              <w:bottom w:val="single" w:sz="8" w:space="0" w:color="003366"/>
              <w:right w:val="nil"/>
            </w:tcBorders>
            <w:shd w:val="clear" w:color="000000" w:fill="FFFFFF"/>
            <w:noWrap/>
            <w:vAlign w:val="bottom"/>
            <w:hideMark/>
          </w:tcPr>
          <w:p w:rsidR="00E4371E" w:rsidRPr="00E4371E" w:rsidRDefault="00E4371E" w:rsidP="00E4371E">
            <w:pPr>
              <w:widowControl/>
              <w:jc w:val="right"/>
              <w:rPr>
                <w:rFonts w:ascii="Arial" w:eastAsia="宋体" w:hAnsi="Arial" w:cs="Arial"/>
                <w:b/>
                <w:bCs/>
                <w:kern w:val="0"/>
                <w:sz w:val="18"/>
                <w:szCs w:val="18"/>
              </w:rPr>
            </w:pPr>
            <w:r w:rsidRPr="00E4371E">
              <w:rPr>
                <w:rFonts w:ascii="Arial" w:eastAsia="宋体" w:hAnsi="Arial" w:cs="Arial"/>
                <w:b/>
                <w:bCs/>
                <w:kern w:val="0"/>
                <w:sz w:val="18"/>
                <w:szCs w:val="18"/>
              </w:rPr>
              <w:t xml:space="preserve">65.28 </w:t>
            </w:r>
          </w:p>
        </w:tc>
      </w:tr>
    </w:tbl>
    <w:p w:rsidR="000A3E23" w:rsidRPr="000F1C1F" w:rsidRDefault="002C6326" w:rsidP="002C6326">
      <w:pPr>
        <w:spacing w:line="360" w:lineRule="exact"/>
        <w:rPr>
          <w:rFonts w:ascii="Arial" w:eastAsia="宋体" w:hAnsi="Arial" w:cs="Arial"/>
          <w:szCs w:val="21"/>
        </w:rPr>
      </w:pPr>
      <w:r w:rsidRPr="000F1C1F">
        <w:rPr>
          <w:rFonts w:ascii="Arial" w:eastAsia="宋体" w:hAnsi="Arial" w:cs="Arial"/>
          <w:bCs/>
          <w:sz w:val="18"/>
          <w:szCs w:val="18"/>
          <w:shd w:val="clear" w:color="auto" w:fill="FFFFFF"/>
        </w:rPr>
        <w:t>来源：私募通</w:t>
      </w:r>
      <w:r w:rsidR="00271B82">
        <w:rPr>
          <w:rFonts w:ascii="Arial" w:eastAsia="宋体" w:hAnsi="Arial" w:cs="Arial"/>
          <w:bCs/>
          <w:sz w:val="18"/>
          <w:szCs w:val="18"/>
          <w:shd w:val="clear" w:color="auto" w:fill="FFFFFF"/>
        </w:rPr>
        <w:t xml:space="preserve"> 201</w:t>
      </w:r>
      <w:r w:rsidR="00271B82">
        <w:rPr>
          <w:rFonts w:ascii="Arial" w:eastAsia="宋体" w:hAnsi="Arial" w:cs="Arial" w:hint="eastAsia"/>
          <w:bCs/>
          <w:sz w:val="18"/>
          <w:szCs w:val="18"/>
          <w:shd w:val="clear" w:color="auto" w:fill="FFFFFF"/>
        </w:rPr>
        <w:t>5</w:t>
      </w:r>
      <w:r w:rsidRPr="000F1C1F">
        <w:rPr>
          <w:rFonts w:ascii="Arial" w:eastAsia="宋体" w:hAnsi="Arial" w:cs="Arial"/>
          <w:bCs/>
          <w:sz w:val="18"/>
          <w:szCs w:val="18"/>
          <w:shd w:val="clear" w:color="auto" w:fill="FFFFFF"/>
        </w:rPr>
        <w:t>.01</w:t>
      </w:r>
      <w:r w:rsidR="00A20CBE">
        <w:rPr>
          <w:rFonts w:ascii="Arial" w:eastAsia="宋体" w:hAnsi="Arial" w:cs="Arial" w:hint="eastAsia"/>
          <w:bCs/>
          <w:sz w:val="18"/>
          <w:szCs w:val="18"/>
          <w:shd w:val="clear" w:color="auto" w:fill="FFFFFF"/>
        </w:rPr>
        <w:t xml:space="preserve">                                                                    </w:t>
      </w:r>
      <w:r w:rsidR="00910409" w:rsidRPr="000F1C1F">
        <w:rPr>
          <w:rFonts w:ascii="Arial" w:eastAsia="宋体" w:hAnsi="Arial" w:cs="Arial"/>
          <w:bCs/>
          <w:sz w:val="18"/>
          <w:szCs w:val="18"/>
          <w:shd w:val="clear" w:color="auto" w:fill="FFFFFF"/>
        </w:rPr>
        <w:t>www.pedata.cn</w:t>
      </w:r>
    </w:p>
    <w:p w:rsidR="002C6326" w:rsidRPr="000F1C1F" w:rsidRDefault="002C6326" w:rsidP="002C6326">
      <w:pPr>
        <w:spacing w:line="360" w:lineRule="exact"/>
        <w:rPr>
          <w:rFonts w:ascii="Arial" w:eastAsia="宋体" w:hAnsi="Arial" w:cs="Arial"/>
          <w:szCs w:val="21"/>
        </w:rPr>
      </w:pPr>
    </w:p>
    <w:p w:rsidR="002C6326" w:rsidRDefault="002C6326" w:rsidP="002C6326">
      <w:pPr>
        <w:spacing w:line="360" w:lineRule="exact"/>
        <w:rPr>
          <w:rStyle w:val="a6"/>
          <w:rFonts w:ascii="Arial" w:eastAsia="宋体" w:hAnsi="Arial" w:cs="Arial"/>
          <w:bCs w:val="0"/>
          <w:sz w:val="18"/>
          <w:szCs w:val="18"/>
          <w:shd w:val="clear" w:color="auto" w:fill="FFFFFF"/>
        </w:rPr>
      </w:pPr>
      <w:r w:rsidRPr="000F1C1F">
        <w:rPr>
          <w:rStyle w:val="a6"/>
          <w:rFonts w:ascii="Arial" w:eastAsia="宋体" w:hAnsi="Arial" w:cs="Arial"/>
          <w:bCs w:val="0"/>
          <w:sz w:val="18"/>
          <w:szCs w:val="18"/>
          <w:shd w:val="clear" w:color="auto" w:fill="FFFFFF"/>
        </w:rPr>
        <w:t>表</w:t>
      </w:r>
      <w:r w:rsidR="00641FF2">
        <w:rPr>
          <w:rStyle w:val="a6"/>
          <w:rFonts w:ascii="Arial" w:eastAsia="宋体" w:hAnsi="Arial" w:cs="Arial"/>
          <w:sz w:val="18"/>
          <w:szCs w:val="18"/>
          <w:shd w:val="clear" w:color="auto" w:fill="FFFFFF"/>
        </w:rPr>
        <w:t>4  201</w:t>
      </w:r>
      <w:r w:rsidR="00641FF2">
        <w:rPr>
          <w:rStyle w:val="a6"/>
          <w:rFonts w:ascii="Arial" w:eastAsia="宋体" w:hAnsi="Arial" w:cs="Arial" w:hint="eastAsia"/>
          <w:sz w:val="18"/>
          <w:szCs w:val="18"/>
          <w:shd w:val="clear" w:color="auto" w:fill="FFFFFF"/>
        </w:rPr>
        <w:t>4</w:t>
      </w:r>
      <w:r w:rsidRPr="000F1C1F">
        <w:rPr>
          <w:rStyle w:val="a6"/>
          <w:rFonts w:ascii="Arial" w:eastAsia="宋体" w:hAnsi="Arial" w:cs="Arial"/>
          <w:sz w:val="18"/>
          <w:szCs w:val="18"/>
          <w:shd w:val="clear" w:color="auto" w:fill="FFFFFF"/>
        </w:rPr>
        <w:t>年</w:t>
      </w:r>
      <w:r w:rsidRPr="000F1C1F">
        <w:rPr>
          <w:rStyle w:val="a6"/>
          <w:rFonts w:ascii="Arial" w:eastAsia="宋体" w:hAnsi="Arial" w:cs="Arial"/>
          <w:bCs w:val="0"/>
          <w:sz w:val="18"/>
          <w:szCs w:val="18"/>
          <w:shd w:val="clear" w:color="auto" w:fill="FFFFFF"/>
        </w:rPr>
        <w:t>中国并购市场完成的十大并购交易</w:t>
      </w:r>
    </w:p>
    <w:tbl>
      <w:tblPr>
        <w:tblW w:w="9394" w:type="dxa"/>
        <w:tblInd w:w="108" w:type="dxa"/>
        <w:tblLook w:val="04A0"/>
      </w:tblPr>
      <w:tblGrid>
        <w:gridCol w:w="1514"/>
        <w:gridCol w:w="1572"/>
        <w:gridCol w:w="1544"/>
        <w:gridCol w:w="1550"/>
        <w:gridCol w:w="1692"/>
        <w:gridCol w:w="1522"/>
      </w:tblGrid>
      <w:tr w:rsidR="00641FF2" w:rsidRPr="00641FF2" w:rsidTr="00641FF2">
        <w:trPr>
          <w:trHeight w:val="241"/>
        </w:trPr>
        <w:tc>
          <w:tcPr>
            <w:tcW w:w="1514" w:type="dxa"/>
            <w:vMerge w:val="restart"/>
            <w:tcBorders>
              <w:top w:val="single" w:sz="8" w:space="0" w:color="003366"/>
              <w:left w:val="nil"/>
              <w:bottom w:val="single" w:sz="8" w:space="0" w:color="003366"/>
              <w:right w:val="nil"/>
            </w:tcBorders>
            <w:shd w:val="clear" w:color="000000" w:fill="FFFFFF"/>
            <w:vAlign w:val="center"/>
            <w:hideMark/>
          </w:tcPr>
          <w:p w:rsidR="00641FF2" w:rsidRPr="00641FF2" w:rsidRDefault="00641FF2" w:rsidP="00641FF2">
            <w:pPr>
              <w:widowControl/>
              <w:jc w:val="center"/>
              <w:rPr>
                <w:rFonts w:ascii="宋体" w:eastAsia="宋体" w:hAnsi="宋体" w:cs="宋体"/>
                <w:b/>
                <w:bCs/>
                <w:kern w:val="0"/>
                <w:sz w:val="18"/>
                <w:szCs w:val="18"/>
              </w:rPr>
            </w:pPr>
            <w:r w:rsidRPr="00641FF2">
              <w:rPr>
                <w:rFonts w:ascii="宋体" w:eastAsia="宋体" w:hAnsi="宋体" w:cs="宋体" w:hint="eastAsia"/>
                <w:b/>
                <w:bCs/>
                <w:kern w:val="0"/>
                <w:sz w:val="18"/>
                <w:szCs w:val="18"/>
              </w:rPr>
              <w:t>排名</w:t>
            </w:r>
          </w:p>
        </w:tc>
        <w:tc>
          <w:tcPr>
            <w:tcW w:w="1572" w:type="dxa"/>
            <w:tcBorders>
              <w:top w:val="single" w:sz="8" w:space="0" w:color="003366"/>
              <w:left w:val="nil"/>
              <w:bottom w:val="single" w:sz="8" w:space="0" w:color="003366"/>
              <w:right w:val="nil"/>
            </w:tcBorders>
            <w:shd w:val="clear" w:color="000000" w:fill="FFFFFF"/>
            <w:vAlign w:val="center"/>
            <w:hideMark/>
          </w:tcPr>
          <w:p w:rsidR="00641FF2" w:rsidRPr="00641FF2" w:rsidRDefault="00641FF2" w:rsidP="00641FF2">
            <w:pPr>
              <w:widowControl/>
              <w:jc w:val="center"/>
              <w:rPr>
                <w:rFonts w:ascii="宋体" w:eastAsia="宋体" w:hAnsi="宋体" w:cs="宋体"/>
                <w:b/>
                <w:bCs/>
                <w:kern w:val="0"/>
                <w:sz w:val="18"/>
                <w:szCs w:val="18"/>
              </w:rPr>
            </w:pPr>
            <w:r w:rsidRPr="00641FF2">
              <w:rPr>
                <w:rFonts w:ascii="宋体" w:eastAsia="宋体" w:hAnsi="宋体" w:cs="宋体" w:hint="eastAsia"/>
                <w:b/>
                <w:bCs/>
                <w:kern w:val="0"/>
                <w:sz w:val="18"/>
                <w:szCs w:val="18"/>
              </w:rPr>
              <w:t>并购方</w:t>
            </w:r>
          </w:p>
        </w:tc>
        <w:tc>
          <w:tcPr>
            <w:tcW w:w="1544" w:type="dxa"/>
            <w:tcBorders>
              <w:top w:val="single" w:sz="8" w:space="0" w:color="003366"/>
              <w:left w:val="nil"/>
              <w:bottom w:val="single" w:sz="8" w:space="0" w:color="003366"/>
              <w:right w:val="nil"/>
            </w:tcBorders>
            <w:shd w:val="clear" w:color="000000" w:fill="FFFFFF"/>
            <w:vAlign w:val="center"/>
            <w:hideMark/>
          </w:tcPr>
          <w:p w:rsidR="00641FF2" w:rsidRPr="00641FF2" w:rsidRDefault="00641FF2" w:rsidP="00641FF2">
            <w:pPr>
              <w:widowControl/>
              <w:jc w:val="center"/>
              <w:rPr>
                <w:rFonts w:ascii="宋体" w:eastAsia="宋体" w:hAnsi="宋体" w:cs="宋体"/>
                <w:b/>
                <w:bCs/>
                <w:kern w:val="0"/>
                <w:sz w:val="18"/>
                <w:szCs w:val="18"/>
              </w:rPr>
            </w:pPr>
            <w:r w:rsidRPr="00641FF2">
              <w:rPr>
                <w:rFonts w:ascii="宋体" w:eastAsia="宋体" w:hAnsi="宋体" w:cs="宋体" w:hint="eastAsia"/>
                <w:b/>
                <w:bCs/>
                <w:kern w:val="0"/>
                <w:sz w:val="18"/>
                <w:szCs w:val="18"/>
              </w:rPr>
              <w:t xml:space="preserve">　</w:t>
            </w:r>
          </w:p>
        </w:tc>
        <w:tc>
          <w:tcPr>
            <w:tcW w:w="1550" w:type="dxa"/>
            <w:tcBorders>
              <w:top w:val="single" w:sz="8" w:space="0" w:color="003366"/>
              <w:left w:val="nil"/>
              <w:bottom w:val="single" w:sz="8" w:space="0" w:color="003366"/>
              <w:right w:val="nil"/>
            </w:tcBorders>
            <w:shd w:val="clear" w:color="000000" w:fill="FFFFFF"/>
            <w:noWrap/>
            <w:vAlign w:val="center"/>
            <w:hideMark/>
          </w:tcPr>
          <w:p w:rsidR="00641FF2" w:rsidRPr="00641FF2" w:rsidRDefault="00641FF2" w:rsidP="00641FF2">
            <w:pPr>
              <w:widowControl/>
              <w:jc w:val="center"/>
              <w:rPr>
                <w:rFonts w:ascii="宋体" w:eastAsia="宋体" w:hAnsi="宋体" w:cs="宋体"/>
                <w:b/>
                <w:bCs/>
                <w:kern w:val="0"/>
                <w:sz w:val="18"/>
                <w:szCs w:val="18"/>
              </w:rPr>
            </w:pPr>
            <w:r w:rsidRPr="00641FF2">
              <w:rPr>
                <w:rFonts w:ascii="宋体" w:eastAsia="宋体" w:hAnsi="宋体" w:cs="宋体" w:hint="eastAsia"/>
                <w:b/>
                <w:bCs/>
                <w:kern w:val="0"/>
                <w:sz w:val="18"/>
                <w:szCs w:val="18"/>
              </w:rPr>
              <w:t>被并购方</w:t>
            </w:r>
          </w:p>
        </w:tc>
        <w:tc>
          <w:tcPr>
            <w:tcW w:w="1692" w:type="dxa"/>
            <w:tcBorders>
              <w:top w:val="single" w:sz="8" w:space="0" w:color="003366"/>
              <w:left w:val="nil"/>
              <w:bottom w:val="single" w:sz="8" w:space="0" w:color="003366"/>
              <w:right w:val="nil"/>
            </w:tcBorders>
            <w:shd w:val="clear" w:color="000000" w:fill="FFFFFF"/>
            <w:noWrap/>
            <w:vAlign w:val="center"/>
            <w:hideMark/>
          </w:tcPr>
          <w:p w:rsidR="00641FF2" w:rsidRPr="00641FF2" w:rsidRDefault="00641FF2" w:rsidP="00641FF2">
            <w:pPr>
              <w:widowControl/>
              <w:jc w:val="center"/>
              <w:rPr>
                <w:rFonts w:ascii="宋体" w:eastAsia="宋体" w:hAnsi="宋体" w:cs="宋体"/>
                <w:b/>
                <w:bCs/>
                <w:kern w:val="0"/>
                <w:sz w:val="18"/>
                <w:szCs w:val="18"/>
              </w:rPr>
            </w:pPr>
            <w:r w:rsidRPr="00641FF2">
              <w:rPr>
                <w:rFonts w:ascii="宋体" w:eastAsia="宋体" w:hAnsi="宋体" w:cs="宋体" w:hint="eastAsia"/>
                <w:b/>
                <w:bCs/>
                <w:kern w:val="0"/>
                <w:sz w:val="18"/>
                <w:szCs w:val="18"/>
              </w:rPr>
              <w:t xml:space="preserve">　</w:t>
            </w:r>
          </w:p>
        </w:tc>
        <w:tc>
          <w:tcPr>
            <w:tcW w:w="1522" w:type="dxa"/>
            <w:vMerge w:val="restart"/>
            <w:tcBorders>
              <w:top w:val="single" w:sz="8" w:space="0" w:color="003366"/>
              <w:left w:val="nil"/>
              <w:bottom w:val="single" w:sz="8" w:space="0" w:color="003366"/>
              <w:right w:val="nil"/>
            </w:tcBorders>
            <w:shd w:val="clear" w:color="000000" w:fill="FFFFFF"/>
            <w:vAlign w:val="center"/>
            <w:hideMark/>
          </w:tcPr>
          <w:p w:rsidR="00641FF2" w:rsidRPr="00154614" w:rsidRDefault="00903F26" w:rsidP="00154614">
            <w:pPr>
              <w:widowControl/>
              <w:jc w:val="center"/>
              <w:rPr>
                <w:rFonts w:ascii="Arial" w:eastAsia="宋体" w:hAnsi="Arial" w:cs="Arial"/>
                <w:b/>
                <w:bCs/>
                <w:kern w:val="0"/>
                <w:sz w:val="18"/>
                <w:szCs w:val="18"/>
              </w:rPr>
            </w:pPr>
            <w:r w:rsidRPr="00903F26">
              <w:rPr>
                <w:rFonts w:ascii="Arial" w:eastAsia="宋体" w:hAnsi="Arial" w:cs="Arial" w:hint="eastAsia"/>
                <w:b/>
                <w:bCs/>
                <w:kern w:val="0"/>
                <w:sz w:val="18"/>
                <w:szCs w:val="18"/>
              </w:rPr>
              <w:t>并购金额</w:t>
            </w:r>
            <w:r w:rsidRPr="00903F26">
              <w:rPr>
                <w:rFonts w:ascii="Arial" w:eastAsia="宋体" w:hAnsi="Arial" w:cs="Arial"/>
                <w:b/>
                <w:bCs/>
                <w:kern w:val="0"/>
                <w:sz w:val="18"/>
                <w:szCs w:val="18"/>
              </w:rPr>
              <w:t>(US$M)</w:t>
            </w:r>
          </w:p>
        </w:tc>
      </w:tr>
      <w:tr w:rsidR="00641FF2" w:rsidRPr="00641FF2" w:rsidTr="00641FF2">
        <w:trPr>
          <w:trHeight w:val="216"/>
        </w:trPr>
        <w:tc>
          <w:tcPr>
            <w:tcW w:w="1514" w:type="dxa"/>
            <w:vMerge/>
            <w:tcBorders>
              <w:top w:val="single" w:sz="8" w:space="0" w:color="003366"/>
              <w:left w:val="nil"/>
              <w:bottom w:val="single" w:sz="8" w:space="0" w:color="003366"/>
              <w:right w:val="nil"/>
            </w:tcBorders>
            <w:vAlign w:val="center"/>
            <w:hideMark/>
          </w:tcPr>
          <w:p w:rsidR="00641FF2" w:rsidRPr="00641FF2" w:rsidRDefault="00641FF2" w:rsidP="00641FF2">
            <w:pPr>
              <w:widowControl/>
              <w:jc w:val="left"/>
              <w:rPr>
                <w:rFonts w:ascii="宋体" w:eastAsia="宋体" w:hAnsi="宋体" w:cs="宋体"/>
                <w:b/>
                <w:bCs/>
                <w:kern w:val="0"/>
                <w:sz w:val="18"/>
                <w:szCs w:val="18"/>
              </w:rPr>
            </w:pPr>
          </w:p>
        </w:tc>
        <w:tc>
          <w:tcPr>
            <w:tcW w:w="1572" w:type="dxa"/>
            <w:tcBorders>
              <w:top w:val="nil"/>
              <w:left w:val="nil"/>
              <w:bottom w:val="single" w:sz="8" w:space="0" w:color="003366"/>
              <w:right w:val="nil"/>
            </w:tcBorders>
            <w:shd w:val="clear" w:color="000000" w:fill="FFFFFF"/>
            <w:noWrap/>
            <w:vAlign w:val="center"/>
            <w:hideMark/>
          </w:tcPr>
          <w:p w:rsidR="00641FF2" w:rsidRPr="00641FF2" w:rsidRDefault="00641FF2" w:rsidP="00641FF2">
            <w:pPr>
              <w:widowControl/>
              <w:jc w:val="center"/>
              <w:rPr>
                <w:rFonts w:ascii="宋体" w:eastAsia="宋体" w:hAnsi="宋体" w:cs="宋体"/>
                <w:b/>
                <w:bCs/>
                <w:kern w:val="0"/>
                <w:sz w:val="18"/>
                <w:szCs w:val="18"/>
              </w:rPr>
            </w:pPr>
            <w:r w:rsidRPr="00641FF2">
              <w:rPr>
                <w:rFonts w:ascii="宋体" w:eastAsia="宋体" w:hAnsi="宋体" w:cs="宋体" w:hint="eastAsia"/>
                <w:b/>
                <w:bCs/>
                <w:kern w:val="0"/>
                <w:sz w:val="18"/>
                <w:szCs w:val="18"/>
              </w:rPr>
              <w:t>公司</w:t>
            </w:r>
          </w:p>
        </w:tc>
        <w:tc>
          <w:tcPr>
            <w:tcW w:w="1544" w:type="dxa"/>
            <w:tcBorders>
              <w:top w:val="nil"/>
              <w:left w:val="nil"/>
              <w:bottom w:val="single" w:sz="8" w:space="0" w:color="003366"/>
              <w:right w:val="nil"/>
            </w:tcBorders>
            <w:shd w:val="clear" w:color="000000" w:fill="FFFFFF"/>
            <w:noWrap/>
            <w:vAlign w:val="center"/>
            <w:hideMark/>
          </w:tcPr>
          <w:p w:rsidR="00641FF2" w:rsidRPr="00641FF2" w:rsidRDefault="00641FF2" w:rsidP="00641FF2">
            <w:pPr>
              <w:widowControl/>
              <w:jc w:val="center"/>
              <w:rPr>
                <w:rFonts w:ascii="宋体" w:eastAsia="宋体" w:hAnsi="宋体" w:cs="宋体"/>
                <w:b/>
                <w:bCs/>
                <w:kern w:val="0"/>
                <w:sz w:val="18"/>
                <w:szCs w:val="18"/>
              </w:rPr>
            </w:pPr>
            <w:r w:rsidRPr="00641FF2">
              <w:rPr>
                <w:rFonts w:ascii="宋体" w:eastAsia="宋体" w:hAnsi="宋体" w:cs="宋体" w:hint="eastAsia"/>
                <w:b/>
                <w:bCs/>
                <w:kern w:val="0"/>
                <w:sz w:val="18"/>
                <w:szCs w:val="18"/>
              </w:rPr>
              <w:t>行业</w:t>
            </w:r>
          </w:p>
        </w:tc>
        <w:tc>
          <w:tcPr>
            <w:tcW w:w="1550" w:type="dxa"/>
            <w:tcBorders>
              <w:top w:val="nil"/>
              <w:left w:val="nil"/>
              <w:bottom w:val="single" w:sz="8" w:space="0" w:color="003366"/>
              <w:right w:val="nil"/>
            </w:tcBorders>
            <w:shd w:val="clear" w:color="000000" w:fill="FFFFFF"/>
            <w:noWrap/>
            <w:vAlign w:val="center"/>
            <w:hideMark/>
          </w:tcPr>
          <w:p w:rsidR="00641FF2" w:rsidRPr="00641FF2" w:rsidRDefault="00641FF2" w:rsidP="00641FF2">
            <w:pPr>
              <w:widowControl/>
              <w:jc w:val="center"/>
              <w:rPr>
                <w:rFonts w:ascii="宋体" w:eastAsia="宋体" w:hAnsi="宋体" w:cs="宋体"/>
                <w:b/>
                <w:bCs/>
                <w:kern w:val="0"/>
                <w:sz w:val="18"/>
                <w:szCs w:val="18"/>
              </w:rPr>
            </w:pPr>
            <w:r w:rsidRPr="00641FF2">
              <w:rPr>
                <w:rFonts w:ascii="宋体" w:eastAsia="宋体" w:hAnsi="宋体" w:cs="宋体" w:hint="eastAsia"/>
                <w:b/>
                <w:bCs/>
                <w:kern w:val="0"/>
                <w:sz w:val="18"/>
                <w:szCs w:val="18"/>
              </w:rPr>
              <w:t>公司</w:t>
            </w:r>
          </w:p>
        </w:tc>
        <w:tc>
          <w:tcPr>
            <w:tcW w:w="1692" w:type="dxa"/>
            <w:tcBorders>
              <w:top w:val="nil"/>
              <w:left w:val="nil"/>
              <w:bottom w:val="single" w:sz="8" w:space="0" w:color="003366"/>
              <w:right w:val="nil"/>
            </w:tcBorders>
            <w:shd w:val="clear" w:color="000000" w:fill="FFFFFF"/>
            <w:noWrap/>
            <w:vAlign w:val="center"/>
            <w:hideMark/>
          </w:tcPr>
          <w:p w:rsidR="00641FF2" w:rsidRPr="00641FF2" w:rsidRDefault="00641FF2" w:rsidP="00641FF2">
            <w:pPr>
              <w:widowControl/>
              <w:jc w:val="center"/>
              <w:rPr>
                <w:rFonts w:ascii="宋体" w:eastAsia="宋体" w:hAnsi="宋体" w:cs="宋体"/>
                <w:b/>
                <w:bCs/>
                <w:kern w:val="0"/>
                <w:sz w:val="18"/>
                <w:szCs w:val="18"/>
              </w:rPr>
            </w:pPr>
            <w:r w:rsidRPr="00641FF2">
              <w:rPr>
                <w:rFonts w:ascii="宋体" w:eastAsia="宋体" w:hAnsi="宋体" w:cs="宋体" w:hint="eastAsia"/>
                <w:b/>
                <w:bCs/>
                <w:kern w:val="0"/>
                <w:sz w:val="18"/>
                <w:szCs w:val="18"/>
              </w:rPr>
              <w:t>行业</w:t>
            </w:r>
          </w:p>
        </w:tc>
        <w:tc>
          <w:tcPr>
            <w:tcW w:w="1522" w:type="dxa"/>
            <w:vMerge/>
            <w:tcBorders>
              <w:top w:val="single" w:sz="8" w:space="0" w:color="003366"/>
              <w:left w:val="nil"/>
              <w:bottom w:val="single" w:sz="8" w:space="0" w:color="003366"/>
              <w:right w:val="nil"/>
            </w:tcBorders>
            <w:vAlign w:val="center"/>
            <w:hideMark/>
          </w:tcPr>
          <w:p w:rsidR="00497109" w:rsidRDefault="00497109">
            <w:pPr>
              <w:widowControl/>
              <w:jc w:val="right"/>
              <w:rPr>
                <w:rFonts w:ascii="宋体" w:eastAsia="宋体" w:hAnsi="宋体" w:cs="宋体"/>
                <w:b/>
                <w:bCs/>
                <w:kern w:val="0"/>
                <w:sz w:val="18"/>
                <w:szCs w:val="18"/>
              </w:rPr>
            </w:pPr>
          </w:p>
        </w:tc>
      </w:tr>
      <w:tr w:rsidR="00641FF2" w:rsidRPr="00641FF2" w:rsidTr="00641FF2">
        <w:trPr>
          <w:trHeight w:val="381"/>
        </w:trPr>
        <w:tc>
          <w:tcPr>
            <w:tcW w:w="1514" w:type="dxa"/>
            <w:tcBorders>
              <w:top w:val="nil"/>
              <w:left w:val="nil"/>
              <w:bottom w:val="nil"/>
              <w:right w:val="nil"/>
            </w:tcBorders>
            <w:shd w:val="clear" w:color="000000" w:fill="FFFFFF"/>
            <w:noWrap/>
            <w:vAlign w:val="center"/>
            <w:hideMark/>
          </w:tcPr>
          <w:p w:rsidR="00641FF2" w:rsidRPr="00641FF2" w:rsidRDefault="00641FF2" w:rsidP="00641FF2">
            <w:pPr>
              <w:widowControl/>
              <w:jc w:val="center"/>
              <w:rPr>
                <w:rFonts w:ascii="Arial" w:eastAsia="宋体" w:hAnsi="Arial" w:cs="Arial"/>
                <w:kern w:val="0"/>
                <w:sz w:val="18"/>
                <w:szCs w:val="18"/>
              </w:rPr>
            </w:pPr>
            <w:r w:rsidRPr="00641FF2">
              <w:rPr>
                <w:rFonts w:ascii="Arial" w:eastAsia="宋体" w:hAnsi="Arial" w:cs="Arial"/>
                <w:kern w:val="0"/>
                <w:sz w:val="18"/>
                <w:szCs w:val="18"/>
              </w:rPr>
              <w:lastRenderedPageBreak/>
              <w:t>1</w:t>
            </w:r>
          </w:p>
        </w:tc>
        <w:tc>
          <w:tcPr>
            <w:tcW w:w="1572" w:type="dxa"/>
            <w:tcBorders>
              <w:top w:val="nil"/>
              <w:left w:val="nil"/>
              <w:bottom w:val="nil"/>
              <w:right w:val="nil"/>
            </w:tcBorders>
            <w:shd w:val="clear" w:color="000000" w:fill="FFFFFF"/>
            <w:vAlign w:val="center"/>
            <w:hideMark/>
          </w:tcPr>
          <w:p w:rsidR="00641FF2" w:rsidRPr="00641FF2" w:rsidRDefault="00641FF2" w:rsidP="00641FF2">
            <w:pPr>
              <w:widowControl/>
              <w:jc w:val="center"/>
              <w:rPr>
                <w:rFonts w:ascii="宋体" w:eastAsia="宋体" w:hAnsi="宋体" w:cs="宋体"/>
                <w:color w:val="000000"/>
                <w:kern w:val="0"/>
                <w:sz w:val="18"/>
                <w:szCs w:val="18"/>
              </w:rPr>
            </w:pPr>
            <w:r w:rsidRPr="00641FF2">
              <w:rPr>
                <w:rFonts w:ascii="宋体" w:eastAsia="宋体" w:hAnsi="宋体" w:cs="宋体" w:hint="eastAsia"/>
                <w:color w:val="000000"/>
                <w:kern w:val="0"/>
                <w:sz w:val="18"/>
                <w:szCs w:val="18"/>
              </w:rPr>
              <w:t>五矿资源有限公司</w:t>
            </w:r>
          </w:p>
        </w:tc>
        <w:tc>
          <w:tcPr>
            <w:tcW w:w="1544" w:type="dxa"/>
            <w:tcBorders>
              <w:top w:val="nil"/>
              <w:left w:val="nil"/>
              <w:bottom w:val="nil"/>
              <w:right w:val="nil"/>
            </w:tcBorders>
            <w:shd w:val="clear" w:color="000000" w:fill="FFFFFF"/>
            <w:vAlign w:val="center"/>
            <w:hideMark/>
          </w:tcPr>
          <w:p w:rsidR="00641FF2" w:rsidRPr="00154614" w:rsidRDefault="00641FF2" w:rsidP="00641FF2">
            <w:pPr>
              <w:widowControl/>
              <w:jc w:val="center"/>
              <w:rPr>
                <w:rFonts w:ascii="Arial" w:eastAsia="宋体" w:hAnsi="Arial" w:cs="Arial"/>
                <w:color w:val="000000"/>
                <w:kern w:val="0"/>
                <w:sz w:val="18"/>
                <w:szCs w:val="18"/>
              </w:rPr>
            </w:pPr>
            <w:r w:rsidRPr="00154614">
              <w:rPr>
                <w:rFonts w:ascii="Arial" w:eastAsia="宋体" w:hAnsi="Arial" w:cs="Arial"/>
                <w:color w:val="000000"/>
                <w:kern w:val="0"/>
                <w:sz w:val="18"/>
                <w:szCs w:val="18"/>
              </w:rPr>
              <w:t>能源及矿产</w:t>
            </w:r>
          </w:p>
        </w:tc>
        <w:tc>
          <w:tcPr>
            <w:tcW w:w="1550" w:type="dxa"/>
            <w:tcBorders>
              <w:top w:val="nil"/>
              <w:left w:val="nil"/>
              <w:bottom w:val="nil"/>
              <w:right w:val="nil"/>
            </w:tcBorders>
            <w:shd w:val="clear" w:color="000000" w:fill="FFFFFF"/>
            <w:vAlign w:val="center"/>
            <w:hideMark/>
          </w:tcPr>
          <w:p w:rsidR="00641FF2" w:rsidRPr="00154614" w:rsidRDefault="00641FF2" w:rsidP="00641FF2">
            <w:pPr>
              <w:widowControl/>
              <w:jc w:val="center"/>
              <w:rPr>
                <w:rFonts w:ascii="Arial" w:eastAsia="宋体" w:hAnsi="Arial" w:cs="Arial"/>
                <w:color w:val="000000"/>
                <w:kern w:val="0"/>
                <w:sz w:val="18"/>
                <w:szCs w:val="18"/>
              </w:rPr>
            </w:pPr>
            <w:r w:rsidRPr="00154614">
              <w:rPr>
                <w:rFonts w:ascii="Arial" w:eastAsia="宋体" w:hAnsi="Arial" w:cs="Arial"/>
                <w:color w:val="000000"/>
                <w:kern w:val="0"/>
                <w:sz w:val="18"/>
                <w:szCs w:val="18"/>
              </w:rPr>
              <w:t xml:space="preserve">Las </w:t>
            </w:r>
            <w:proofErr w:type="spellStart"/>
            <w:r w:rsidRPr="00154614">
              <w:rPr>
                <w:rFonts w:ascii="Arial" w:eastAsia="宋体" w:hAnsi="Arial" w:cs="Arial"/>
                <w:color w:val="000000"/>
                <w:kern w:val="0"/>
                <w:sz w:val="18"/>
                <w:szCs w:val="18"/>
              </w:rPr>
              <w:t>Bambas</w:t>
            </w:r>
            <w:proofErr w:type="spellEnd"/>
            <w:r w:rsidRPr="00154614">
              <w:rPr>
                <w:rFonts w:ascii="Arial" w:eastAsia="宋体" w:hAnsi="Arial" w:cs="Arial"/>
                <w:color w:val="000000"/>
                <w:kern w:val="0"/>
                <w:sz w:val="18"/>
                <w:szCs w:val="18"/>
              </w:rPr>
              <w:t>项目</w:t>
            </w:r>
          </w:p>
        </w:tc>
        <w:tc>
          <w:tcPr>
            <w:tcW w:w="1692" w:type="dxa"/>
            <w:tcBorders>
              <w:top w:val="nil"/>
              <w:left w:val="nil"/>
              <w:bottom w:val="nil"/>
              <w:right w:val="nil"/>
            </w:tcBorders>
            <w:shd w:val="clear" w:color="000000" w:fill="FFFFFF"/>
            <w:vAlign w:val="center"/>
            <w:hideMark/>
          </w:tcPr>
          <w:p w:rsidR="00641FF2" w:rsidRPr="00641FF2" w:rsidRDefault="00641FF2" w:rsidP="00641FF2">
            <w:pPr>
              <w:widowControl/>
              <w:jc w:val="center"/>
              <w:rPr>
                <w:rFonts w:ascii="宋体" w:eastAsia="宋体" w:hAnsi="宋体" w:cs="宋体"/>
                <w:color w:val="000000"/>
                <w:kern w:val="0"/>
                <w:sz w:val="18"/>
                <w:szCs w:val="18"/>
              </w:rPr>
            </w:pPr>
            <w:r w:rsidRPr="00641FF2">
              <w:rPr>
                <w:rFonts w:ascii="宋体" w:eastAsia="宋体" w:hAnsi="宋体" w:cs="宋体" w:hint="eastAsia"/>
                <w:color w:val="000000"/>
                <w:kern w:val="0"/>
                <w:sz w:val="18"/>
                <w:szCs w:val="18"/>
              </w:rPr>
              <w:t>能源及矿产</w:t>
            </w:r>
          </w:p>
        </w:tc>
        <w:tc>
          <w:tcPr>
            <w:tcW w:w="1522" w:type="dxa"/>
            <w:tcBorders>
              <w:top w:val="nil"/>
              <w:left w:val="nil"/>
              <w:bottom w:val="nil"/>
              <w:right w:val="nil"/>
            </w:tcBorders>
            <w:shd w:val="clear" w:color="000000" w:fill="FFFFFF"/>
            <w:vAlign w:val="center"/>
            <w:hideMark/>
          </w:tcPr>
          <w:p w:rsidR="00497109" w:rsidRDefault="00641FF2">
            <w:pPr>
              <w:widowControl/>
              <w:jc w:val="right"/>
              <w:rPr>
                <w:rFonts w:ascii="Arial" w:eastAsia="宋体" w:hAnsi="Arial" w:cs="Arial"/>
                <w:color w:val="000000"/>
                <w:kern w:val="0"/>
                <w:sz w:val="18"/>
                <w:szCs w:val="18"/>
              </w:rPr>
            </w:pPr>
            <w:r w:rsidRPr="00641FF2">
              <w:rPr>
                <w:rFonts w:ascii="Arial" w:eastAsia="宋体" w:hAnsi="Arial" w:cs="Arial"/>
                <w:color w:val="000000"/>
                <w:kern w:val="0"/>
                <w:sz w:val="18"/>
                <w:szCs w:val="18"/>
              </w:rPr>
              <w:t xml:space="preserve">7,005.00 </w:t>
            </w:r>
          </w:p>
        </w:tc>
      </w:tr>
      <w:tr w:rsidR="00641FF2" w:rsidRPr="00641FF2" w:rsidTr="00641FF2">
        <w:trPr>
          <w:trHeight w:val="571"/>
        </w:trPr>
        <w:tc>
          <w:tcPr>
            <w:tcW w:w="1514" w:type="dxa"/>
            <w:tcBorders>
              <w:top w:val="nil"/>
              <w:left w:val="nil"/>
              <w:bottom w:val="nil"/>
              <w:right w:val="nil"/>
            </w:tcBorders>
            <w:shd w:val="clear" w:color="000000" w:fill="FFFFFF"/>
            <w:noWrap/>
            <w:vAlign w:val="center"/>
            <w:hideMark/>
          </w:tcPr>
          <w:p w:rsidR="00641FF2" w:rsidRPr="00641FF2" w:rsidRDefault="00641FF2" w:rsidP="00641FF2">
            <w:pPr>
              <w:widowControl/>
              <w:jc w:val="center"/>
              <w:rPr>
                <w:rFonts w:ascii="Arial" w:eastAsia="宋体" w:hAnsi="Arial" w:cs="Arial"/>
                <w:kern w:val="0"/>
                <w:sz w:val="18"/>
                <w:szCs w:val="18"/>
              </w:rPr>
            </w:pPr>
            <w:r w:rsidRPr="00641FF2">
              <w:rPr>
                <w:rFonts w:ascii="Arial" w:eastAsia="宋体" w:hAnsi="Arial" w:cs="Arial"/>
                <w:kern w:val="0"/>
                <w:sz w:val="18"/>
                <w:szCs w:val="18"/>
              </w:rPr>
              <w:t>2</w:t>
            </w:r>
          </w:p>
        </w:tc>
        <w:tc>
          <w:tcPr>
            <w:tcW w:w="1572" w:type="dxa"/>
            <w:tcBorders>
              <w:top w:val="nil"/>
              <w:left w:val="nil"/>
              <w:bottom w:val="nil"/>
              <w:right w:val="nil"/>
            </w:tcBorders>
            <w:shd w:val="clear" w:color="000000" w:fill="FFFFFF"/>
            <w:vAlign w:val="center"/>
            <w:hideMark/>
          </w:tcPr>
          <w:p w:rsidR="00641FF2" w:rsidRPr="00641FF2" w:rsidRDefault="00641FF2" w:rsidP="00641FF2">
            <w:pPr>
              <w:widowControl/>
              <w:jc w:val="center"/>
              <w:rPr>
                <w:rFonts w:ascii="宋体" w:eastAsia="宋体" w:hAnsi="宋体" w:cs="宋体"/>
                <w:color w:val="000000"/>
                <w:kern w:val="0"/>
                <w:sz w:val="18"/>
                <w:szCs w:val="18"/>
              </w:rPr>
            </w:pPr>
            <w:r w:rsidRPr="00641FF2">
              <w:rPr>
                <w:rFonts w:ascii="宋体" w:eastAsia="宋体" w:hAnsi="宋体" w:cs="宋体" w:hint="eastAsia"/>
                <w:color w:val="000000"/>
                <w:kern w:val="0"/>
                <w:sz w:val="18"/>
                <w:szCs w:val="18"/>
              </w:rPr>
              <w:t>巨人投资有限公司</w:t>
            </w:r>
          </w:p>
        </w:tc>
        <w:tc>
          <w:tcPr>
            <w:tcW w:w="1544" w:type="dxa"/>
            <w:tcBorders>
              <w:top w:val="nil"/>
              <w:left w:val="nil"/>
              <w:bottom w:val="nil"/>
              <w:right w:val="nil"/>
            </w:tcBorders>
            <w:shd w:val="clear" w:color="000000" w:fill="FFFFFF"/>
            <w:vAlign w:val="center"/>
            <w:hideMark/>
          </w:tcPr>
          <w:p w:rsidR="00641FF2" w:rsidRPr="00154614" w:rsidRDefault="00641FF2" w:rsidP="00641FF2">
            <w:pPr>
              <w:widowControl/>
              <w:jc w:val="center"/>
              <w:rPr>
                <w:rFonts w:ascii="Arial" w:eastAsia="宋体" w:hAnsi="Arial" w:cs="Arial"/>
                <w:color w:val="000000"/>
                <w:kern w:val="0"/>
                <w:sz w:val="18"/>
                <w:szCs w:val="18"/>
              </w:rPr>
            </w:pPr>
            <w:r w:rsidRPr="00154614">
              <w:rPr>
                <w:rFonts w:ascii="Arial" w:eastAsia="宋体" w:hAnsi="Arial" w:cs="Arial"/>
                <w:color w:val="000000"/>
                <w:kern w:val="0"/>
                <w:sz w:val="18"/>
                <w:szCs w:val="18"/>
              </w:rPr>
              <w:t>金融</w:t>
            </w:r>
          </w:p>
        </w:tc>
        <w:tc>
          <w:tcPr>
            <w:tcW w:w="1550" w:type="dxa"/>
            <w:tcBorders>
              <w:top w:val="nil"/>
              <w:left w:val="nil"/>
              <w:bottom w:val="nil"/>
              <w:right w:val="nil"/>
            </w:tcBorders>
            <w:shd w:val="clear" w:color="000000" w:fill="FFFFFF"/>
            <w:vAlign w:val="center"/>
            <w:hideMark/>
          </w:tcPr>
          <w:p w:rsidR="00641FF2" w:rsidRPr="00154614" w:rsidRDefault="00641FF2" w:rsidP="00641FF2">
            <w:pPr>
              <w:widowControl/>
              <w:jc w:val="center"/>
              <w:rPr>
                <w:rFonts w:ascii="Arial" w:eastAsia="宋体" w:hAnsi="Arial" w:cs="Arial"/>
                <w:color w:val="000000"/>
                <w:kern w:val="0"/>
                <w:sz w:val="18"/>
                <w:szCs w:val="18"/>
              </w:rPr>
            </w:pPr>
            <w:r w:rsidRPr="00154614">
              <w:rPr>
                <w:rFonts w:ascii="Arial" w:eastAsia="宋体" w:hAnsi="Arial" w:cs="Arial"/>
                <w:color w:val="000000"/>
                <w:kern w:val="0"/>
                <w:sz w:val="18"/>
                <w:szCs w:val="18"/>
              </w:rPr>
              <w:t>上海巨人网络科技有限公司</w:t>
            </w:r>
          </w:p>
        </w:tc>
        <w:tc>
          <w:tcPr>
            <w:tcW w:w="1692" w:type="dxa"/>
            <w:tcBorders>
              <w:top w:val="nil"/>
              <w:left w:val="nil"/>
              <w:bottom w:val="nil"/>
              <w:right w:val="nil"/>
            </w:tcBorders>
            <w:shd w:val="clear" w:color="000000" w:fill="FFFFFF"/>
            <w:vAlign w:val="center"/>
            <w:hideMark/>
          </w:tcPr>
          <w:p w:rsidR="00641FF2" w:rsidRPr="00641FF2" w:rsidRDefault="00641FF2" w:rsidP="00641FF2">
            <w:pPr>
              <w:widowControl/>
              <w:jc w:val="center"/>
              <w:rPr>
                <w:rFonts w:ascii="宋体" w:eastAsia="宋体" w:hAnsi="宋体" w:cs="宋体"/>
                <w:color w:val="000000"/>
                <w:kern w:val="0"/>
                <w:sz w:val="18"/>
                <w:szCs w:val="18"/>
              </w:rPr>
            </w:pPr>
            <w:r w:rsidRPr="00641FF2">
              <w:rPr>
                <w:rFonts w:ascii="宋体" w:eastAsia="宋体" w:hAnsi="宋体" w:cs="宋体" w:hint="eastAsia"/>
                <w:color w:val="000000"/>
                <w:kern w:val="0"/>
                <w:sz w:val="18"/>
                <w:szCs w:val="18"/>
              </w:rPr>
              <w:t>互联网</w:t>
            </w:r>
          </w:p>
        </w:tc>
        <w:tc>
          <w:tcPr>
            <w:tcW w:w="1522" w:type="dxa"/>
            <w:tcBorders>
              <w:top w:val="nil"/>
              <w:left w:val="nil"/>
              <w:bottom w:val="nil"/>
              <w:right w:val="nil"/>
            </w:tcBorders>
            <w:shd w:val="clear" w:color="000000" w:fill="FFFFFF"/>
            <w:vAlign w:val="center"/>
            <w:hideMark/>
          </w:tcPr>
          <w:p w:rsidR="00497109" w:rsidRDefault="00641FF2">
            <w:pPr>
              <w:widowControl/>
              <w:jc w:val="right"/>
              <w:rPr>
                <w:rFonts w:ascii="Arial" w:eastAsia="宋体" w:hAnsi="Arial" w:cs="Arial"/>
                <w:color w:val="000000"/>
                <w:kern w:val="0"/>
                <w:sz w:val="18"/>
                <w:szCs w:val="18"/>
              </w:rPr>
            </w:pPr>
            <w:r w:rsidRPr="00641FF2">
              <w:rPr>
                <w:rFonts w:ascii="Arial" w:eastAsia="宋体" w:hAnsi="Arial" w:cs="Arial"/>
                <w:color w:val="000000"/>
                <w:kern w:val="0"/>
                <w:sz w:val="18"/>
                <w:szCs w:val="18"/>
              </w:rPr>
              <w:t xml:space="preserve">3,000.00 </w:t>
            </w:r>
          </w:p>
        </w:tc>
      </w:tr>
      <w:tr w:rsidR="00641FF2" w:rsidRPr="00641FF2" w:rsidTr="00641FF2">
        <w:trPr>
          <w:trHeight w:val="381"/>
        </w:trPr>
        <w:tc>
          <w:tcPr>
            <w:tcW w:w="1514" w:type="dxa"/>
            <w:tcBorders>
              <w:top w:val="nil"/>
              <w:left w:val="nil"/>
              <w:bottom w:val="nil"/>
              <w:right w:val="nil"/>
            </w:tcBorders>
            <w:shd w:val="clear" w:color="000000" w:fill="FFFFFF"/>
            <w:noWrap/>
            <w:vAlign w:val="center"/>
            <w:hideMark/>
          </w:tcPr>
          <w:p w:rsidR="00641FF2" w:rsidRPr="00641FF2" w:rsidRDefault="00641FF2" w:rsidP="00641FF2">
            <w:pPr>
              <w:widowControl/>
              <w:jc w:val="center"/>
              <w:rPr>
                <w:rFonts w:ascii="Arial" w:eastAsia="宋体" w:hAnsi="Arial" w:cs="Arial"/>
                <w:kern w:val="0"/>
                <w:sz w:val="18"/>
                <w:szCs w:val="18"/>
              </w:rPr>
            </w:pPr>
            <w:r w:rsidRPr="00641FF2">
              <w:rPr>
                <w:rFonts w:ascii="Arial" w:eastAsia="宋体" w:hAnsi="Arial" w:cs="Arial"/>
                <w:kern w:val="0"/>
                <w:sz w:val="18"/>
                <w:szCs w:val="18"/>
              </w:rPr>
              <w:t>3</w:t>
            </w:r>
          </w:p>
        </w:tc>
        <w:tc>
          <w:tcPr>
            <w:tcW w:w="1572" w:type="dxa"/>
            <w:tcBorders>
              <w:top w:val="nil"/>
              <w:left w:val="nil"/>
              <w:bottom w:val="nil"/>
              <w:right w:val="nil"/>
            </w:tcBorders>
            <w:shd w:val="clear" w:color="000000" w:fill="FFFFFF"/>
            <w:vAlign w:val="center"/>
            <w:hideMark/>
          </w:tcPr>
          <w:p w:rsidR="00641FF2" w:rsidRPr="00641FF2" w:rsidRDefault="00641FF2" w:rsidP="00641FF2">
            <w:pPr>
              <w:widowControl/>
              <w:jc w:val="center"/>
              <w:rPr>
                <w:rFonts w:ascii="宋体" w:eastAsia="宋体" w:hAnsi="宋体" w:cs="宋体"/>
                <w:color w:val="000000"/>
                <w:kern w:val="0"/>
                <w:sz w:val="18"/>
                <w:szCs w:val="18"/>
              </w:rPr>
            </w:pPr>
            <w:r w:rsidRPr="00641FF2">
              <w:rPr>
                <w:rFonts w:ascii="宋体" w:eastAsia="宋体" w:hAnsi="宋体" w:cs="宋体" w:hint="eastAsia"/>
                <w:color w:val="000000"/>
                <w:kern w:val="0"/>
                <w:sz w:val="18"/>
                <w:szCs w:val="18"/>
              </w:rPr>
              <w:t>联想集团有限公司</w:t>
            </w:r>
          </w:p>
        </w:tc>
        <w:tc>
          <w:tcPr>
            <w:tcW w:w="1544" w:type="dxa"/>
            <w:tcBorders>
              <w:top w:val="nil"/>
              <w:left w:val="nil"/>
              <w:bottom w:val="nil"/>
              <w:right w:val="nil"/>
            </w:tcBorders>
            <w:shd w:val="clear" w:color="000000" w:fill="FFFFFF"/>
            <w:vAlign w:val="center"/>
            <w:hideMark/>
          </w:tcPr>
          <w:p w:rsidR="00641FF2" w:rsidRPr="00154614" w:rsidRDefault="00641FF2" w:rsidP="00641FF2">
            <w:pPr>
              <w:widowControl/>
              <w:jc w:val="center"/>
              <w:rPr>
                <w:rFonts w:ascii="Arial" w:eastAsia="宋体" w:hAnsi="Arial" w:cs="Arial"/>
                <w:color w:val="000000"/>
                <w:kern w:val="0"/>
                <w:sz w:val="18"/>
                <w:szCs w:val="18"/>
              </w:rPr>
            </w:pPr>
            <w:r w:rsidRPr="00154614">
              <w:rPr>
                <w:rFonts w:ascii="Arial" w:eastAsia="宋体" w:hAnsi="Arial" w:cs="Arial"/>
                <w:color w:val="000000"/>
                <w:kern w:val="0"/>
                <w:sz w:val="18"/>
                <w:szCs w:val="18"/>
              </w:rPr>
              <w:t>IT</w:t>
            </w:r>
          </w:p>
        </w:tc>
        <w:tc>
          <w:tcPr>
            <w:tcW w:w="1550" w:type="dxa"/>
            <w:tcBorders>
              <w:top w:val="nil"/>
              <w:left w:val="nil"/>
              <w:bottom w:val="nil"/>
              <w:right w:val="nil"/>
            </w:tcBorders>
            <w:shd w:val="clear" w:color="000000" w:fill="FFFFFF"/>
            <w:vAlign w:val="center"/>
            <w:hideMark/>
          </w:tcPr>
          <w:p w:rsidR="00641FF2" w:rsidRPr="00154614" w:rsidRDefault="00641FF2" w:rsidP="00641FF2">
            <w:pPr>
              <w:widowControl/>
              <w:jc w:val="center"/>
              <w:rPr>
                <w:rFonts w:ascii="Arial" w:eastAsia="宋体" w:hAnsi="Arial" w:cs="Arial"/>
                <w:color w:val="000000"/>
                <w:kern w:val="0"/>
                <w:sz w:val="18"/>
                <w:szCs w:val="18"/>
              </w:rPr>
            </w:pPr>
            <w:r w:rsidRPr="00154614">
              <w:rPr>
                <w:rFonts w:ascii="Arial" w:eastAsia="宋体" w:hAnsi="Arial" w:cs="Arial"/>
                <w:color w:val="000000"/>
                <w:kern w:val="0"/>
                <w:sz w:val="18"/>
                <w:szCs w:val="18"/>
              </w:rPr>
              <w:t>摩托罗拉移动控股公司</w:t>
            </w:r>
          </w:p>
        </w:tc>
        <w:tc>
          <w:tcPr>
            <w:tcW w:w="1692" w:type="dxa"/>
            <w:tcBorders>
              <w:top w:val="nil"/>
              <w:left w:val="nil"/>
              <w:bottom w:val="nil"/>
              <w:right w:val="nil"/>
            </w:tcBorders>
            <w:shd w:val="clear" w:color="000000" w:fill="FFFFFF"/>
            <w:vAlign w:val="center"/>
            <w:hideMark/>
          </w:tcPr>
          <w:p w:rsidR="00641FF2" w:rsidRPr="00641FF2" w:rsidRDefault="00641FF2" w:rsidP="00641FF2">
            <w:pPr>
              <w:widowControl/>
              <w:jc w:val="center"/>
              <w:rPr>
                <w:rFonts w:ascii="宋体" w:eastAsia="宋体" w:hAnsi="宋体" w:cs="宋体"/>
                <w:color w:val="000000"/>
                <w:kern w:val="0"/>
                <w:sz w:val="18"/>
                <w:szCs w:val="18"/>
              </w:rPr>
            </w:pPr>
            <w:r w:rsidRPr="00641FF2">
              <w:rPr>
                <w:rFonts w:ascii="宋体" w:eastAsia="宋体" w:hAnsi="宋体" w:cs="宋体" w:hint="eastAsia"/>
                <w:color w:val="000000"/>
                <w:kern w:val="0"/>
                <w:sz w:val="18"/>
                <w:szCs w:val="18"/>
              </w:rPr>
              <w:t>电信及增值业务</w:t>
            </w:r>
          </w:p>
        </w:tc>
        <w:tc>
          <w:tcPr>
            <w:tcW w:w="1522" w:type="dxa"/>
            <w:tcBorders>
              <w:top w:val="nil"/>
              <w:left w:val="nil"/>
              <w:bottom w:val="nil"/>
              <w:right w:val="nil"/>
            </w:tcBorders>
            <w:shd w:val="clear" w:color="000000" w:fill="FFFFFF"/>
            <w:vAlign w:val="center"/>
            <w:hideMark/>
          </w:tcPr>
          <w:p w:rsidR="00497109" w:rsidRDefault="00641FF2">
            <w:pPr>
              <w:widowControl/>
              <w:jc w:val="right"/>
              <w:rPr>
                <w:rFonts w:ascii="Arial" w:eastAsia="宋体" w:hAnsi="Arial" w:cs="Arial"/>
                <w:color w:val="000000"/>
                <w:kern w:val="0"/>
                <w:sz w:val="18"/>
                <w:szCs w:val="18"/>
              </w:rPr>
            </w:pPr>
            <w:r w:rsidRPr="00641FF2">
              <w:rPr>
                <w:rFonts w:ascii="Arial" w:eastAsia="宋体" w:hAnsi="Arial" w:cs="Arial"/>
                <w:color w:val="000000"/>
                <w:kern w:val="0"/>
                <w:sz w:val="18"/>
                <w:szCs w:val="18"/>
              </w:rPr>
              <w:t xml:space="preserve">2,910.00 </w:t>
            </w:r>
          </w:p>
        </w:tc>
      </w:tr>
      <w:tr w:rsidR="00641FF2" w:rsidRPr="00641FF2" w:rsidTr="00641FF2">
        <w:trPr>
          <w:trHeight w:val="571"/>
        </w:trPr>
        <w:tc>
          <w:tcPr>
            <w:tcW w:w="1514" w:type="dxa"/>
            <w:tcBorders>
              <w:top w:val="nil"/>
              <w:left w:val="nil"/>
              <w:bottom w:val="nil"/>
              <w:right w:val="nil"/>
            </w:tcBorders>
            <w:shd w:val="clear" w:color="000000" w:fill="FFFFFF"/>
            <w:noWrap/>
            <w:vAlign w:val="center"/>
            <w:hideMark/>
          </w:tcPr>
          <w:p w:rsidR="00641FF2" w:rsidRPr="00641FF2" w:rsidRDefault="00641FF2" w:rsidP="00641FF2">
            <w:pPr>
              <w:widowControl/>
              <w:jc w:val="center"/>
              <w:rPr>
                <w:rFonts w:ascii="Arial" w:eastAsia="宋体" w:hAnsi="Arial" w:cs="Arial"/>
                <w:kern w:val="0"/>
                <w:sz w:val="18"/>
                <w:szCs w:val="18"/>
              </w:rPr>
            </w:pPr>
            <w:r w:rsidRPr="00641FF2">
              <w:rPr>
                <w:rFonts w:ascii="Arial" w:eastAsia="宋体" w:hAnsi="Arial" w:cs="Arial"/>
                <w:kern w:val="0"/>
                <w:sz w:val="18"/>
                <w:szCs w:val="18"/>
              </w:rPr>
              <w:t>4</w:t>
            </w:r>
          </w:p>
        </w:tc>
        <w:tc>
          <w:tcPr>
            <w:tcW w:w="1572" w:type="dxa"/>
            <w:tcBorders>
              <w:top w:val="nil"/>
              <w:left w:val="nil"/>
              <w:bottom w:val="nil"/>
              <w:right w:val="nil"/>
            </w:tcBorders>
            <w:shd w:val="clear" w:color="000000" w:fill="FFFFFF"/>
            <w:vAlign w:val="center"/>
            <w:hideMark/>
          </w:tcPr>
          <w:p w:rsidR="00641FF2" w:rsidRPr="00641FF2" w:rsidRDefault="00641FF2" w:rsidP="00641FF2">
            <w:pPr>
              <w:widowControl/>
              <w:jc w:val="center"/>
              <w:rPr>
                <w:rFonts w:ascii="宋体" w:eastAsia="宋体" w:hAnsi="宋体" w:cs="宋体"/>
                <w:color w:val="000000"/>
                <w:kern w:val="0"/>
                <w:sz w:val="18"/>
                <w:szCs w:val="18"/>
              </w:rPr>
            </w:pPr>
            <w:r w:rsidRPr="00641FF2">
              <w:rPr>
                <w:rFonts w:ascii="宋体" w:eastAsia="宋体" w:hAnsi="宋体" w:cs="宋体" w:hint="eastAsia"/>
                <w:color w:val="000000"/>
                <w:kern w:val="0"/>
                <w:sz w:val="18"/>
                <w:szCs w:val="18"/>
              </w:rPr>
              <w:t>国家电网公司</w:t>
            </w:r>
          </w:p>
        </w:tc>
        <w:tc>
          <w:tcPr>
            <w:tcW w:w="1544" w:type="dxa"/>
            <w:tcBorders>
              <w:top w:val="nil"/>
              <w:left w:val="nil"/>
              <w:bottom w:val="nil"/>
              <w:right w:val="nil"/>
            </w:tcBorders>
            <w:shd w:val="clear" w:color="000000" w:fill="FFFFFF"/>
            <w:vAlign w:val="center"/>
            <w:hideMark/>
          </w:tcPr>
          <w:p w:rsidR="00641FF2" w:rsidRPr="00154614" w:rsidRDefault="00641FF2" w:rsidP="00641FF2">
            <w:pPr>
              <w:widowControl/>
              <w:jc w:val="center"/>
              <w:rPr>
                <w:rFonts w:ascii="Arial" w:eastAsia="宋体" w:hAnsi="Arial" w:cs="Arial"/>
                <w:color w:val="000000"/>
                <w:kern w:val="0"/>
                <w:sz w:val="18"/>
                <w:szCs w:val="18"/>
              </w:rPr>
            </w:pPr>
            <w:r w:rsidRPr="00154614">
              <w:rPr>
                <w:rFonts w:ascii="Arial" w:eastAsia="宋体" w:hAnsi="Arial" w:cs="Arial"/>
                <w:color w:val="000000"/>
                <w:kern w:val="0"/>
                <w:sz w:val="18"/>
                <w:szCs w:val="18"/>
              </w:rPr>
              <w:t>能源及矿产</w:t>
            </w:r>
          </w:p>
        </w:tc>
        <w:tc>
          <w:tcPr>
            <w:tcW w:w="1550" w:type="dxa"/>
            <w:tcBorders>
              <w:top w:val="nil"/>
              <w:left w:val="nil"/>
              <w:bottom w:val="nil"/>
              <w:right w:val="nil"/>
            </w:tcBorders>
            <w:shd w:val="clear" w:color="000000" w:fill="FFFFFF"/>
            <w:vAlign w:val="center"/>
            <w:hideMark/>
          </w:tcPr>
          <w:p w:rsidR="00641FF2" w:rsidRPr="00154614" w:rsidRDefault="00641FF2" w:rsidP="00641FF2">
            <w:pPr>
              <w:widowControl/>
              <w:jc w:val="center"/>
              <w:rPr>
                <w:rFonts w:ascii="Arial" w:eastAsia="宋体" w:hAnsi="Arial" w:cs="Arial"/>
                <w:color w:val="000000"/>
                <w:kern w:val="0"/>
                <w:sz w:val="18"/>
                <w:szCs w:val="18"/>
              </w:rPr>
            </w:pPr>
            <w:r w:rsidRPr="00154614">
              <w:rPr>
                <w:rFonts w:ascii="Arial" w:eastAsia="宋体" w:hAnsi="Arial" w:cs="Arial"/>
                <w:color w:val="000000"/>
                <w:kern w:val="0"/>
                <w:sz w:val="18"/>
                <w:szCs w:val="18"/>
              </w:rPr>
              <w:t>意大利存贷款</w:t>
            </w:r>
            <w:proofErr w:type="gramStart"/>
            <w:r w:rsidRPr="00154614">
              <w:rPr>
                <w:rFonts w:ascii="Arial" w:eastAsia="宋体" w:hAnsi="Arial" w:cs="Arial"/>
                <w:color w:val="000000"/>
                <w:kern w:val="0"/>
                <w:sz w:val="18"/>
                <w:szCs w:val="18"/>
              </w:rPr>
              <w:t>能源网</w:t>
            </w:r>
            <w:proofErr w:type="gramEnd"/>
            <w:r w:rsidRPr="00154614">
              <w:rPr>
                <w:rFonts w:ascii="Arial" w:eastAsia="宋体" w:hAnsi="Arial" w:cs="Arial"/>
                <w:color w:val="000000"/>
                <w:kern w:val="0"/>
                <w:sz w:val="18"/>
                <w:szCs w:val="18"/>
              </w:rPr>
              <w:t>公司</w:t>
            </w:r>
          </w:p>
        </w:tc>
        <w:tc>
          <w:tcPr>
            <w:tcW w:w="1692" w:type="dxa"/>
            <w:tcBorders>
              <w:top w:val="nil"/>
              <w:left w:val="nil"/>
              <w:bottom w:val="nil"/>
              <w:right w:val="nil"/>
            </w:tcBorders>
            <w:shd w:val="clear" w:color="000000" w:fill="FFFFFF"/>
            <w:vAlign w:val="center"/>
            <w:hideMark/>
          </w:tcPr>
          <w:p w:rsidR="00641FF2" w:rsidRPr="00641FF2" w:rsidRDefault="00641FF2" w:rsidP="00641FF2">
            <w:pPr>
              <w:widowControl/>
              <w:jc w:val="center"/>
              <w:rPr>
                <w:rFonts w:ascii="宋体" w:eastAsia="宋体" w:hAnsi="宋体" w:cs="宋体"/>
                <w:color w:val="000000"/>
                <w:kern w:val="0"/>
                <w:sz w:val="18"/>
                <w:szCs w:val="18"/>
              </w:rPr>
            </w:pPr>
            <w:r w:rsidRPr="00641FF2">
              <w:rPr>
                <w:rFonts w:ascii="宋体" w:eastAsia="宋体" w:hAnsi="宋体" w:cs="宋体" w:hint="eastAsia"/>
                <w:color w:val="000000"/>
                <w:kern w:val="0"/>
                <w:sz w:val="18"/>
                <w:szCs w:val="18"/>
              </w:rPr>
              <w:t>能源及矿产</w:t>
            </w:r>
          </w:p>
        </w:tc>
        <w:tc>
          <w:tcPr>
            <w:tcW w:w="1522" w:type="dxa"/>
            <w:tcBorders>
              <w:top w:val="nil"/>
              <w:left w:val="nil"/>
              <w:bottom w:val="nil"/>
              <w:right w:val="nil"/>
            </w:tcBorders>
            <w:shd w:val="clear" w:color="000000" w:fill="FFFFFF"/>
            <w:vAlign w:val="center"/>
            <w:hideMark/>
          </w:tcPr>
          <w:p w:rsidR="00497109" w:rsidRDefault="00641FF2">
            <w:pPr>
              <w:widowControl/>
              <w:jc w:val="right"/>
              <w:rPr>
                <w:rFonts w:ascii="Arial" w:eastAsia="宋体" w:hAnsi="Arial" w:cs="Arial"/>
                <w:color w:val="000000"/>
                <w:kern w:val="0"/>
                <w:sz w:val="18"/>
                <w:szCs w:val="18"/>
              </w:rPr>
            </w:pPr>
            <w:r w:rsidRPr="00641FF2">
              <w:rPr>
                <w:rFonts w:ascii="Arial" w:eastAsia="宋体" w:hAnsi="Arial" w:cs="Arial"/>
                <w:color w:val="000000"/>
                <w:kern w:val="0"/>
                <w:sz w:val="18"/>
                <w:szCs w:val="18"/>
              </w:rPr>
              <w:t xml:space="preserve">2,816.41 </w:t>
            </w:r>
          </w:p>
        </w:tc>
      </w:tr>
      <w:tr w:rsidR="00641FF2" w:rsidRPr="00641FF2" w:rsidTr="00641FF2">
        <w:trPr>
          <w:trHeight w:val="571"/>
        </w:trPr>
        <w:tc>
          <w:tcPr>
            <w:tcW w:w="1514" w:type="dxa"/>
            <w:tcBorders>
              <w:top w:val="nil"/>
              <w:left w:val="nil"/>
              <w:bottom w:val="nil"/>
              <w:right w:val="nil"/>
            </w:tcBorders>
            <w:shd w:val="clear" w:color="000000" w:fill="FFFFFF"/>
            <w:noWrap/>
            <w:vAlign w:val="center"/>
            <w:hideMark/>
          </w:tcPr>
          <w:p w:rsidR="00641FF2" w:rsidRPr="00641FF2" w:rsidRDefault="00641FF2" w:rsidP="00641FF2">
            <w:pPr>
              <w:widowControl/>
              <w:jc w:val="center"/>
              <w:rPr>
                <w:rFonts w:ascii="Arial" w:eastAsia="宋体" w:hAnsi="Arial" w:cs="Arial"/>
                <w:kern w:val="0"/>
                <w:sz w:val="18"/>
                <w:szCs w:val="18"/>
              </w:rPr>
            </w:pPr>
            <w:r w:rsidRPr="00641FF2">
              <w:rPr>
                <w:rFonts w:ascii="Arial" w:eastAsia="宋体" w:hAnsi="Arial" w:cs="Arial"/>
                <w:kern w:val="0"/>
                <w:sz w:val="18"/>
                <w:szCs w:val="18"/>
              </w:rPr>
              <w:t>5</w:t>
            </w:r>
          </w:p>
        </w:tc>
        <w:tc>
          <w:tcPr>
            <w:tcW w:w="1572" w:type="dxa"/>
            <w:tcBorders>
              <w:top w:val="nil"/>
              <w:left w:val="nil"/>
              <w:bottom w:val="nil"/>
              <w:right w:val="nil"/>
            </w:tcBorders>
            <w:shd w:val="clear" w:color="000000" w:fill="FFFFFF"/>
            <w:vAlign w:val="center"/>
            <w:hideMark/>
          </w:tcPr>
          <w:p w:rsidR="00641FF2" w:rsidRPr="00641FF2" w:rsidRDefault="00641FF2" w:rsidP="00641FF2">
            <w:pPr>
              <w:widowControl/>
              <w:jc w:val="center"/>
              <w:rPr>
                <w:rFonts w:ascii="宋体" w:eastAsia="宋体" w:hAnsi="宋体" w:cs="宋体"/>
                <w:color w:val="000000"/>
                <w:kern w:val="0"/>
                <w:sz w:val="18"/>
                <w:szCs w:val="18"/>
              </w:rPr>
            </w:pPr>
            <w:r w:rsidRPr="00641FF2">
              <w:rPr>
                <w:rFonts w:ascii="宋体" w:eastAsia="宋体" w:hAnsi="宋体" w:cs="宋体" w:hint="eastAsia"/>
                <w:color w:val="000000"/>
                <w:kern w:val="0"/>
                <w:sz w:val="18"/>
                <w:szCs w:val="18"/>
              </w:rPr>
              <w:t>方正证券股份有限公司</w:t>
            </w:r>
          </w:p>
        </w:tc>
        <w:tc>
          <w:tcPr>
            <w:tcW w:w="1544" w:type="dxa"/>
            <w:tcBorders>
              <w:top w:val="nil"/>
              <w:left w:val="nil"/>
              <w:bottom w:val="nil"/>
              <w:right w:val="nil"/>
            </w:tcBorders>
            <w:shd w:val="clear" w:color="000000" w:fill="FFFFFF"/>
            <w:vAlign w:val="center"/>
            <w:hideMark/>
          </w:tcPr>
          <w:p w:rsidR="00641FF2" w:rsidRPr="00154614" w:rsidRDefault="00641FF2" w:rsidP="00641FF2">
            <w:pPr>
              <w:widowControl/>
              <w:jc w:val="center"/>
              <w:rPr>
                <w:rFonts w:ascii="Arial" w:eastAsia="宋体" w:hAnsi="Arial" w:cs="Arial"/>
                <w:color w:val="000000"/>
                <w:kern w:val="0"/>
                <w:sz w:val="18"/>
                <w:szCs w:val="18"/>
              </w:rPr>
            </w:pPr>
            <w:r w:rsidRPr="00154614">
              <w:rPr>
                <w:rFonts w:ascii="Arial" w:eastAsia="宋体" w:hAnsi="Arial" w:cs="Arial"/>
                <w:color w:val="000000"/>
                <w:kern w:val="0"/>
                <w:sz w:val="18"/>
                <w:szCs w:val="18"/>
              </w:rPr>
              <w:t>金融</w:t>
            </w:r>
          </w:p>
        </w:tc>
        <w:tc>
          <w:tcPr>
            <w:tcW w:w="1550" w:type="dxa"/>
            <w:tcBorders>
              <w:top w:val="nil"/>
              <w:left w:val="nil"/>
              <w:bottom w:val="nil"/>
              <w:right w:val="nil"/>
            </w:tcBorders>
            <w:shd w:val="clear" w:color="000000" w:fill="FFFFFF"/>
            <w:vAlign w:val="center"/>
            <w:hideMark/>
          </w:tcPr>
          <w:p w:rsidR="00641FF2" w:rsidRPr="00154614" w:rsidRDefault="00641FF2" w:rsidP="00641FF2">
            <w:pPr>
              <w:widowControl/>
              <w:jc w:val="center"/>
              <w:rPr>
                <w:rFonts w:ascii="Arial" w:eastAsia="宋体" w:hAnsi="Arial" w:cs="Arial"/>
                <w:color w:val="000000"/>
                <w:kern w:val="0"/>
                <w:sz w:val="18"/>
                <w:szCs w:val="18"/>
              </w:rPr>
            </w:pPr>
            <w:r w:rsidRPr="00154614">
              <w:rPr>
                <w:rFonts w:ascii="Arial" w:eastAsia="宋体" w:hAnsi="Arial" w:cs="Arial"/>
                <w:color w:val="000000"/>
                <w:kern w:val="0"/>
                <w:sz w:val="18"/>
                <w:szCs w:val="18"/>
              </w:rPr>
              <w:t>中国民族证券有限责任公司</w:t>
            </w:r>
          </w:p>
        </w:tc>
        <w:tc>
          <w:tcPr>
            <w:tcW w:w="1692" w:type="dxa"/>
            <w:tcBorders>
              <w:top w:val="nil"/>
              <w:left w:val="nil"/>
              <w:bottom w:val="nil"/>
              <w:right w:val="nil"/>
            </w:tcBorders>
            <w:shd w:val="clear" w:color="000000" w:fill="FFFFFF"/>
            <w:vAlign w:val="center"/>
            <w:hideMark/>
          </w:tcPr>
          <w:p w:rsidR="00641FF2" w:rsidRPr="00641FF2" w:rsidRDefault="00641FF2" w:rsidP="00641FF2">
            <w:pPr>
              <w:widowControl/>
              <w:jc w:val="center"/>
              <w:rPr>
                <w:rFonts w:ascii="宋体" w:eastAsia="宋体" w:hAnsi="宋体" w:cs="宋体"/>
                <w:color w:val="000000"/>
                <w:kern w:val="0"/>
                <w:sz w:val="18"/>
                <w:szCs w:val="18"/>
              </w:rPr>
            </w:pPr>
            <w:r w:rsidRPr="00641FF2">
              <w:rPr>
                <w:rFonts w:ascii="宋体" w:eastAsia="宋体" w:hAnsi="宋体" w:cs="宋体" w:hint="eastAsia"/>
                <w:color w:val="000000"/>
                <w:kern w:val="0"/>
                <w:sz w:val="18"/>
                <w:szCs w:val="18"/>
              </w:rPr>
              <w:t>金融</w:t>
            </w:r>
          </w:p>
        </w:tc>
        <w:tc>
          <w:tcPr>
            <w:tcW w:w="1522" w:type="dxa"/>
            <w:tcBorders>
              <w:top w:val="nil"/>
              <w:left w:val="nil"/>
              <w:bottom w:val="nil"/>
              <w:right w:val="nil"/>
            </w:tcBorders>
            <w:shd w:val="clear" w:color="000000" w:fill="FFFFFF"/>
            <w:vAlign w:val="center"/>
            <w:hideMark/>
          </w:tcPr>
          <w:p w:rsidR="00497109" w:rsidRDefault="00641FF2">
            <w:pPr>
              <w:widowControl/>
              <w:jc w:val="right"/>
              <w:rPr>
                <w:rFonts w:ascii="Arial" w:eastAsia="宋体" w:hAnsi="Arial" w:cs="Arial"/>
                <w:color w:val="000000"/>
                <w:kern w:val="0"/>
                <w:sz w:val="18"/>
                <w:szCs w:val="18"/>
              </w:rPr>
            </w:pPr>
            <w:r w:rsidRPr="00641FF2">
              <w:rPr>
                <w:rFonts w:ascii="Arial" w:eastAsia="宋体" w:hAnsi="Arial" w:cs="Arial"/>
                <w:color w:val="000000"/>
                <w:kern w:val="0"/>
                <w:sz w:val="18"/>
                <w:szCs w:val="18"/>
              </w:rPr>
              <w:t xml:space="preserve">2,105.48 </w:t>
            </w:r>
          </w:p>
        </w:tc>
      </w:tr>
      <w:tr w:rsidR="00641FF2" w:rsidRPr="00641FF2" w:rsidTr="00641FF2">
        <w:trPr>
          <w:trHeight w:val="381"/>
        </w:trPr>
        <w:tc>
          <w:tcPr>
            <w:tcW w:w="1514" w:type="dxa"/>
            <w:tcBorders>
              <w:top w:val="nil"/>
              <w:left w:val="nil"/>
              <w:bottom w:val="nil"/>
              <w:right w:val="nil"/>
            </w:tcBorders>
            <w:shd w:val="clear" w:color="000000" w:fill="FFFFFF"/>
            <w:noWrap/>
            <w:vAlign w:val="center"/>
            <w:hideMark/>
          </w:tcPr>
          <w:p w:rsidR="00641FF2" w:rsidRPr="00641FF2" w:rsidRDefault="00641FF2" w:rsidP="00641FF2">
            <w:pPr>
              <w:widowControl/>
              <w:jc w:val="center"/>
              <w:rPr>
                <w:rFonts w:ascii="Arial" w:eastAsia="宋体" w:hAnsi="Arial" w:cs="Arial"/>
                <w:kern w:val="0"/>
                <w:sz w:val="18"/>
                <w:szCs w:val="18"/>
              </w:rPr>
            </w:pPr>
            <w:r w:rsidRPr="00641FF2">
              <w:rPr>
                <w:rFonts w:ascii="Arial" w:eastAsia="宋体" w:hAnsi="Arial" w:cs="Arial"/>
                <w:kern w:val="0"/>
                <w:sz w:val="18"/>
                <w:szCs w:val="18"/>
              </w:rPr>
              <w:t>6</w:t>
            </w:r>
          </w:p>
        </w:tc>
        <w:tc>
          <w:tcPr>
            <w:tcW w:w="1572" w:type="dxa"/>
            <w:tcBorders>
              <w:top w:val="nil"/>
              <w:left w:val="nil"/>
              <w:bottom w:val="nil"/>
              <w:right w:val="nil"/>
            </w:tcBorders>
            <w:shd w:val="clear" w:color="000000" w:fill="FFFFFF"/>
            <w:vAlign w:val="center"/>
            <w:hideMark/>
          </w:tcPr>
          <w:p w:rsidR="00641FF2" w:rsidRPr="00641FF2" w:rsidRDefault="00641FF2" w:rsidP="00641FF2">
            <w:pPr>
              <w:widowControl/>
              <w:jc w:val="center"/>
              <w:rPr>
                <w:rFonts w:ascii="宋体" w:eastAsia="宋体" w:hAnsi="宋体" w:cs="宋体"/>
                <w:color w:val="000000"/>
                <w:kern w:val="0"/>
                <w:sz w:val="18"/>
                <w:szCs w:val="18"/>
              </w:rPr>
            </w:pPr>
            <w:r w:rsidRPr="00641FF2">
              <w:rPr>
                <w:rFonts w:ascii="宋体" w:eastAsia="宋体" w:hAnsi="宋体" w:cs="宋体" w:hint="eastAsia"/>
                <w:color w:val="000000"/>
                <w:kern w:val="0"/>
                <w:sz w:val="18"/>
                <w:szCs w:val="18"/>
              </w:rPr>
              <w:t>联想控股有限公司</w:t>
            </w:r>
          </w:p>
        </w:tc>
        <w:tc>
          <w:tcPr>
            <w:tcW w:w="1544" w:type="dxa"/>
            <w:tcBorders>
              <w:top w:val="nil"/>
              <w:left w:val="nil"/>
              <w:bottom w:val="nil"/>
              <w:right w:val="nil"/>
            </w:tcBorders>
            <w:shd w:val="clear" w:color="000000" w:fill="FFFFFF"/>
            <w:vAlign w:val="center"/>
            <w:hideMark/>
          </w:tcPr>
          <w:p w:rsidR="00641FF2" w:rsidRPr="00154614" w:rsidRDefault="00641FF2" w:rsidP="00641FF2">
            <w:pPr>
              <w:widowControl/>
              <w:jc w:val="center"/>
              <w:rPr>
                <w:rFonts w:ascii="Arial" w:eastAsia="宋体" w:hAnsi="Arial" w:cs="Arial"/>
                <w:color w:val="000000"/>
                <w:kern w:val="0"/>
                <w:sz w:val="18"/>
                <w:szCs w:val="18"/>
              </w:rPr>
            </w:pPr>
            <w:r w:rsidRPr="00154614">
              <w:rPr>
                <w:rFonts w:ascii="Arial" w:eastAsia="宋体" w:hAnsi="Arial" w:cs="Arial"/>
                <w:color w:val="000000"/>
                <w:kern w:val="0"/>
                <w:sz w:val="18"/>
                <w:szCs w:val="18"/>
              </w:rPr>
              <w:t>金融</w:t>
            </w:r>
          </w:p>
        </w:tc>
        <w:tc>
          <w:tcPr>
            <w:tcW w:w="1550" w:type="dxa"/>
            <w:tcBorders>
              <w:top w:val="nil"/>
              <w:left w:val="nil"/>
              <w:bottom w:val="nil"/>
              <w:right w:val="nil"/>
            </w:tcBorders>
            <w:shd w:val="clear" w:color="000000" w:fill="FFFFFF"/>
            <w:vAlign w:val="center"/>
            <w:hideMark/>
          </w:tcPr>
          <w:p w:rsidR="00641FF2" w:rsidRPr="00154614" w:rsidRDefault="00641FF2" w:rsidP="00641FF2">
            <w:pPr>
              <w:widowControl/>
              <w:jc w:val="center"/>
              <w:rPr>
                <w:rFonts w:ascii="Arial" w:eastAsia="宋体" w:hAnsi="Arial" w:cs="Arial"/>
                <w:color w:val="000000"/>
                <w:kern w:val="0"/>
                <w:sz w:val="18"/>
                <w:szCs w:val="18"/>
              </w:rPr>
            </w:pPr>
            <w:r w:rsidRPr="00154614">
              <w:rPr>
                <w:rFonts w:ascii="Arial" w:eastAsia="宋体" w:hAnsi="Arial" w:cs="Arial"/>
                <w:color w:val="000000"/>
                <w:kern w:val="0"/>
                <w:sz w:val="18"/>
                <w:szCs w:val="18"/>
              </w:rPr>
              <w:t>Pizza Express</w:t>
            </w:r>
          </w:p>
        </w:tc>
        <w:tc>
          <w:tcPr>
            <w:tcW w:w="1692" w:type="dxa"/>
            <w:tcBorders>
              <w:top w:val="nil"/>
              <w:left w:val="nil"/>
              <w:bottom w:val="nil"/>
              <w:right w:val="nil"/>
            </w:tcBorders>
            <w:shd w:val="clear" w:color="000000" w:fill="FFFFFF"/>
            <w:vAlign w:val="center"/>
            <w:hideMark/>
          </w:tcPr>
          <w:p w:rsidR="00641FF2" w:rsidRPr="00641FF2" w:rsidRDefault="00641FF2" w:rsidP="00641FF2">
            <w:pPr>
              <w:widowControl/>
              <w:jc w:val="center"/>
              <w:rPr>
                <w:rFonts w:ascii="宋体" w:eastAsia="宋体" w:hAnsi="宋体" w:cs="宋体"/>
                <w:color w:val="000000"/>
                <w:kern w:val="0"/>
                <w:sz w:val="18"/>
                <w:szCs w:val="18"/>
              </w:rPr>
            </w:pPr>
            <w:r w:rsidRPr="00641FF2">
              <w:rPr>
                <w:rFonts w:ascii="宋体" w:eastAsia="宋体" w:hAnsi="宋体" w:cs="宋体" w:hint="eastAsia"/>
                <w:color w:val="000000"/>
                <w:kern w:val="0"/>
                <w:sz w:val="18"/>
                <w:szCs w:val="18"/>
              </w:rPr>
              <w:t>连锁及零售</w:t>
            </w:r>
          </w:p>
        </w:tc>
        <w:tc>
          <w:tcPr>
            <w:tcW w:w="1522" w:type="dxa"/>
            <w:tcBorders>
              <w:top w:val="nil"/>
              <w:left w:val="nil"/>
              <w:bottom w:val="nil"/>
              <w:right w:val="nil"/>
            </w:tcBorders>
            <w:shd w:val="clear" w:color="000000" w:fill="FFFFFF"/>
            <w:vAlign w:val="center"/>
            <w:hideMark/>
          </w:tcPr>
          <w:p w:rsidR="00497109" w:rsidRDefault="00641FF2">
            <w:pPr>
              <w:widowControl/>
              <w:jc w:val="right"/>
              <w:rPr>
                <w:rFonts w:ascii="Arial" w:eastAsia="宋体" w:hAnsi="Arial" w:cs="Arial"/>
                <w:color w:val="000000"/>
                <w:kern w:val="0"/>
                <w:sz w:val="18"/>
                <w:szCs w:val="18"/>
              </w:rPr>
            </w:pPr>
            <w:r w:rsidRPr="00641FF2">
              <w:rPr>
                <w:rFonts w:ascii="Arial" w:eastAsia="宋体" w:hAnsi="Arial" w:cs="Arial"/>
                <w:color w:val="000000"/>
                <w:kern w:val="0"/>
                <w:sz w:val="18"/>
                <w:szCs w:val="18"/>
              </w:rPr>
              <w:t xml:space="preserve">1,543.95 </w:t>
            </w:r>
          </w:p>
        </w:tc>
      </w:tr>
      <w:tr w:rsidR="00641FF2" w:rsidRPr="00641FF2" w:rsidTr="00641FF2">
        <w:trPr>
          <w:trHeight w:val="571"/>
        </w:trPr>
        <w:tc>
          <w:tcPr>
            <w:tcW w:w="1514" w:type="dxa"/>
            <w:tcBorders>
              <w:top w:val="nil"/>
              <w:left w:val="nil"/>
              <w:bottom w:val="nil"/>
              <w:right w:val="nil"/>
            </w:tcBorders>
            <w:shd w:val="clear" w:color="000000" w:fill="FFFFFF"/>
            <w:noWrap/>
            <w:vAlign w:val="center"/>
            <w:hideMark/>
          </w:tcPr>
          <w:p w:rsidR="00641FF2" w:rsidRPr="00641FF2" w:rsidRDefault="00641FF2" w:rsidP="00641FF2">
            <w:pPr>
              <w:widowControl/>
              <w:jc w:val="center"/>
              <w:rPr>
                <w:rFonts w:ascii="Arial" w:eastAsia="宋体" w:hAnsi="Arial" w:cs="Arial"/>
                <w:kern w:val="0"/>
                <w:sz w:val="18"/>
                <w:szCs w:val="18"/>
              </w:rPr>
            </w:pPr>
            <w:r w:rsidRPr="00641FF2">
              <w:rPr>
                <w:rFonts w:ascii="Arial" w:eastAsia="宋体" w:hAnsi="Arial" w:cs="Arial"/>
                <w:kern w:val="0"/>
                <w:sz w:val="18"/>
                <w:szCs w:val="18"/>
              </w:rPr>
              <w:t>7</w:t>
            </w:r>
          </w:p>
        </w:tc>
        <w:tc>
          <w:tcPr>
            <w:tcW w:w="1572" w:type="dxa"/>
            <w:tcBorders>
              <w:top w:val="nil"/>
              <w:left w:val="nil"/>
              <w:bottom w:val="nil"/>
              <w:right w:val="nil"/>
            </w:tcBorders>
            <w:shd w:val="clear" w:color="000000" w:fill="FFFFFF"/>
            <w:vAlign w:val="center"/>
            <w:hideMark/>
          </w:tcPr>
          <w:p w:rsidR="00641FF2" w:rsidRPr="00641FF2" w:rsidRDefault="00641FF2" w:rsidP="00641FF2">
            <w:pPr>
              <w:widowControl/>
              <w:jc w:val="center"/>
              <w:rPr>
                <w:rFonts w:ascii="宋体" w:eastAsia="宋体" w:hAnsi="宋体" w:cs="宋体"/>
                <w:color w:val="000000"/>
                <w:kern w:val="0"/>
                <w:sz w:val="18"/>
                <w:szCs w:val="18"/>
              </w:rPr>
            </w:pPr>
            <w:r w:rsidRPr="00641FF2">
              <w:rPr>
                <w:rFonts w:ascii="宋体" w:eastAsia="宋体" w:hAnsi="宋体" w:cs="宋体" w:hint="eastAsia"/>
                <w:color w:val="000000"/>
                <w:kern w:val="0"/>
                <w:sz w:val="18"/>
                <w:szCs w:val="18"/>
              </w:rPr>
              <w:t>越秀企业（集团）有限公司</w:t>
            </w:r>
          </w:p>
        </w:tc>
        <w:tc>
          <w:tcPr>
            <w:tcW w:w="1544" w:type="dxa"/>
            <w:tcBorders>
              <w:top w:val="nil"/>
              <w:left w:val="nil"/>
              <w:bottom w:val="nil"/>
              <w:right w:val="nil"/>
            </w:tcBorders>
            <w:shd w:val="clear" w:color="000000" w:fill="FFFFFF"/>
            <w:vAlign w:val="center"/>
            <w:hideMark/>
          </w:tcPr>
          <w:p w:rsidR="00641FF2" w:rsidRPr="00154614" w:rsidRDefault="00641FF2" w:rsidP="00641FF2">
            <w:pPr>
              <w:widowControl/>
              <w:jc w:val="center"/>
              <w:rPr>
                <w:rFonts w:ascii="Arial" w:eastAsia="宋体" w:hAnsi="Arial" w:cs="Arial"/>
                <w:color w:val="000000"/>
                <w:kern w:val="0"/>
                <w:sz w:val="18"/>
                <w:szCs w:val="18"/>
              </w:rPr>
            </w:pPr>
            <w:r w:rsidRPr="00154614">
              <w:rPr>
                <w:rFonts w:ascii="Arial" w:eastAsia="宋体" w:hAnsi="Arial" w:cs="Arial"/>
                <w:color w:val="000000"/>
                <w:kern w:val="0"/>
                <w:sz w:val="18"/>
                <w:szCs w:val="18"/>
              </w:rPr>
              <w:t>其他</w:t>
            </w:r>
          </w:p>
        </w:tc>
        <w:tc>
          <w:tcPr>
            <w:tcW w:w="1550" w:type="dxa"/>
            <w:tcBorders>
              <w:top w:val="nil"/>
              <w:left w:val="nil"/>
              <w:bottom w:val="nil"/>
              <w:right w:val="nil"/>
            </w:tcBorders>
            <w:shd w:val="clear" w:color="000000" w:fill="FFFFFF"/>
            <w:vAlign w:val="center"/>
            <w:hideMark/>
          </w:tcPr>
          <w:p w:rsidR="00641FF2" w:rsidRPr="00154614" w:rsidRDefault="00641FF2" w:rsidP="00641FF2">
            <w:pPr>
              <w:widowControl/>
              <w:jc w:val="center"/>
              <w:rPr>
                <w:rFonts w:ascii="Arial" w:eastAsia="宋体" w:hAnsi="Arial" w:cs="Arial"/>
                <w:color w:val="000000"/>
                <w:kern w:val="0"/>
                <w:sz w:val="18"/>
                <w:szCs w:val="18"/>
              </w:rPr>
            </w:pPr>
            <w:r w:rsidRPr="00154614">
              <w:rPr>
                <w:rFonts w:ascii="Arial" w:eastAsia="宋体" w:hAnsi="Arial" w:cs="Arial"/>
                <w:color w:val="000000"/>
                <w:kern w:val="0"/>
                <w:sz w:val="18"/>
                <w:szCs w:val="18"/>
              </w:rPr>
              <w:t>创兴银行有限公司</w:t>
            </w:r>
          </w:p>
        </w:tc>
        <w:tc>
          <w:tcPr>
            <w:tcW w:w="1692" w:type="dxa"/>
            <w:tcBorders>
              <w:top w:val="nil"/>
              <w:left w:val="nil"/>
              <w:bottom w:val="nil"/>
              <w:right w:val="nil"/>
            </w:tcBorders>
            <w:shd w:val="clear" w:color="000000" w:fill="FFFFFF"/>
            <w:vAlign w:val="center"/>
            <w:hideMark/>
          </w:tcPr>
          <w:p w:rsidR="00641FF2" w:rsidRPr="00641FF2" w:rsidRDefault="00641FF2" w:rsidP="00641FF2">
            <w:pPr>
              <w:widowControl/>
              <w:jc w:val="center"/>
              <w:rPr>
                <w:rFonts w:ascii="宋体" w:eastAsia="宋体" w:hAnsi="宋体" w:cs="宋体"/>
                <w:color w:val="000000"/>
                <w:kern w:val="0"/>
                <w:sz w:val="18"/>
                <w:szCs w:val="18"/>
              </w:rPr>
            </w:pPr>
            <w:r w:rsidRPr="00641FF2">
              <w:rPr>
                <w:rFonts w:ascii="宋体" w:eastAsia="宋体" w:hAnsi="宋体" w:cs="宋体" w:hint="eastAsia"/>
                <w:color w:val="000000"/>
                <w:kern w:val="0"/>
                <w:sz w:val="18"/>
                <w:szCs w:val="18"/>
              </w:rPr>
              <w:t>金融</w:t>
            </w:r>
          </w:p>
        </w:tc>
        <w:tc>
          <w:tcPr>
            <w:tcW w:w="1522" w:type="dxa"/>
            <w:tcBorders>
              <w:top w:val="nil"/>
              <w:left w:val="nil"/>
              <w:bottom w:val="nil"/>
              <w:right w:val="nil"/>
            </w:tcBorders>
            <w:shd w:val="clear" w:color="000000" w:fill="FFFFFF"/>
            <w:vAlign w:val="center"/>
            <w:hideMark/>
          </w:tcPr>
          <w:p w:rsidR="00497109" w:rsidRDefault="00641FF2">
            <w:pPr>
              <w:widowControl/>
              <w:jc w:val="right"/>
              <w:rPr>
                <w:rFonts w:ascii="Arial" w:eastAsia="宋体" w:hAnsi="Arial" w:cs="Arial"/>
                <w:color w:val="000000"/>
                <w:kern w:val="0"/>
                <w:sz w:val="18"/>
                <w:szCs w:val="18"/>
              </w:rPr>
            </w:pPr>
            <w:r w:rsidRPr="00641FF2">
              <w:rPr>
                <w:rFonts w:ascii="Arial" w:eastAsia="宋体" w:hAnsi="Arial" w:cs="Arial"/>
                <w:color w:val="000000"/>
                <w:kern w:val="0"/>
                <w:sz w:val="18"/>
                <w:szCs w:val="18"/>
              </w:rPr>
              <w:t xml:space="preserve">1,501.61 </w:t>
            </w:r>
          </w:p>
        </w:tc>
      </w:tr>
      <w:tr w:rsidR="00641FF2" w:rsidRPr="00641FF2" w:rsidTr="00641FF2">
        <w:trPr>
          <w:trHeight w:val="571"/>
        </w:trPr>
        <w:tc>
          <w:tcPr>
            <w:tcW w:w="1514" w:type="dxa"/>
            <w:tcBorders>
              <w:top w:val="nil"/>
              <w:left w:val="nil"/>
              <w:bottom w:val="nil"/>
              <w:right w:val="nil"/>
            </w:tcBorders>
            <w:shd w:val="clear" w:color="000000" w:fill="FFFFFF"/>
            <w:noWrap/>
            <w:vAlign w:val="center"/>
            <w:hideMark/>
          </w:tcPr>
          <w:p w:rsidR="00641FF2" w:rsidRPr="00641FF2" w:rsidRDefault="00641FF2" w:rsidP="00641FF2">
            <w:pPr>
              <w:widowControl/>
              <w:jc w:val="center"/>
              <w:rPr>
                <w:rFonts w:ascii="Arial" w:eastAsia="宋体" w:hAnsi="Arial" w:cs="Arial"/>
                <w:kern w:val="0"/>
                <w:sz w:val="18"/>
                <w:szCs w:val="18"/>
              </w:rPr>
            </w:pPr>
            <w:r w:rsidRPr="00641FF2">
              <w:rPr>
                <w:rFonts w:ascii="Arial" w:eastAsia="宋体" w:hAnsi="Arial" w:cs="Arial"/>
                <w:kern w:val="0"/>
                <w:sz w:val="18"/>
                <w:szCs w:val="18"/>
              </w:rPr>
              <w:t>8</w:t>
            </w:r>
          </w:p>
        </w:tc>
        <w:tc>
          <w:tcPr>
            <w:tcW w:w="1572" w:type="dxa"/>
            <w:tcBorders>
              <w:top w:val="nil"/>
              <w:left w:val="nil"/>
              <w:bottom w:val="nil"/>
              <w:right w:val="nil"/>
            </w:tcBorders>
            <w:shd w:val="clear" w:color="000000" w:fill="FFFFFF"/>
            <w:vAlign w:val="center"/>
            <w:hideMark/>
          </w:tcPr>
          <w:p w:rsidR="00641FF2" w:rsidRPr="00641FF2" w:rsidRDefault="00641FF2" w:rsidP="00641FF2">
            <w:pPr>
              <w:widowControl/>
              <w:jc w:val="center"/>
              <w:rPr>
                <w:rFonts w:ascii="宋体" w:eastAsia="宋体" w:hAnsi="宋体" w:cs="宋体"/>
                <w:color w:val="000000"/>
                <w:kern w:val="0"/>
                <w:sz w:val="18"/>
                <w:szCs w:val="18"/>
              </w:rPr>
            </w:pPr>
            <w:r w:rsidRPr="00641FF2">
              <w:rPr>
                <w:rFonts w:ascii="宋体" w:eastAsia="宋体" w:hAnsi="宋体" w:cs="宋体" w:hint="eastAsia"/>
                <w:color w:val="000000"/>
                <w:kern w:val="0"/>
                <w:sz w:val="18"/>
                <w:szCs w:val="18"/>
              </w:rPr>
              <w:t>阿里巴巴集团控股有限公司</w:t>
            </w:r>
          </w:p>
        </w:tc>
        <w:tc>
          <w:tcPr>
            <w:tcW w:w="1544" w:type="dxa"/>
            <w:tcBorders>
              <w:top w:val="nil"/>
              <w:left w:val="nil"/>
              <w:bottom w:val="nil"/>
              <w:right w:val="nil"/>
            </w:tcBorders>
            <w:shd w:val="clear" w:color="000000" w:fill="FFFFFF"/>
            <w:vAlign w:val="center"/>
            <w:hideMark/>
          </w:tcPr>
          <w:p w:rsidR="00641FF2" w:rsidRPr="00154614" w:rsidRDefault="00641FF2" w:rsidP="00641FF2">
            <w:pPr>
              <w:widowControl/>
              <w:jc w:val="center"/>
              <w:rPr>
                <w:rFonts w:ascii="Arial" w:eastAsia="宋体" w:hAnsi="Arial" w:cs="Arial"/>
                <w:color w:val="000000"/>
                <w:kern w:val="0"/>
                <w:sz w:val="18"/>
                <w:szCs w:val="18"/>
              </w:rPr>
            </w:pPr>
            <w:r w:rsidRPr="00154614">
              <w:rPr>
                <w:rFonts w:ascii="Arial" w:eastAsia="宋体" w:hAnsi="Arial" w:cs="Arial"/>
                <w:color w:val="000000"/>
                <w:kern w:val="0"/>
                <w:sz w:val="18"/>
                <w:szCs w:val="18"/>
              </w:rPr>
              <w:t>互联网</w:t>
            </w:r>
          </w:p>
        </w:tc>
        <w:tc>
          <w:tcPr>
            <w:tcW w:w="1550" w:type="dxa"/>
            <w:tcBorders>
              <w:top w:val="nil"/>
              <w:left w:val="nil"/>
              <w:bottom w:val="nil"/>
              <w:right w:val="nil"/>
            </w:tcBorders>
            <w:shd w:val="clear" w:color="000000" w:fill="FFFFFF"/>
            <w:vAlign w:val="center"/>
            <w:hideMark/>
          </w:tcPr>
          <w:p w:rsidR="00641FF2" w:rsidRPr="00154614" w:rsidRDefault="00641FF2" w:rsidP="00641FF2">
            <w:pPr>
              <w:widowControl/>
              <w:jc w:val="center"/>
              <w:rPr>
                <w:rFonts w:ascii="Arial" w:eastAsia="宋体" w:hAnsi="Arial" w:cs="Arial"/>
                <w:color w:val="000000"/>
                <w:kern w:val="0"/>
                <w:sz w:val="18"/>
                <w:szCs w:val="18"/>
              </w:rPr>
            </w:pPr>
            <w:r w:rsidRPr="00154614">
              <w:rPr>
                <w:rFonts w:ascii="Arial" w:eastAsia="宋体" w:hAnsi="Arial" w:cs="Arial"/>
                <w:color w:val="000000"/>
                <w:kern w:val="0"/>
                <w:sz w:val="18"/>
                <w:szCs w:val="18"/>
              </w:rPr>
              <w:t>高</w:t>
            </w:r>
            <w:proofErr w:type="gramStart"/>
            <w:r w:rsidRPr="00154614">
              <w:rPr>
                <w:rFonts w:ascii="Arial" w:eastAsia="宋体" w:hAnsi="Arial" w:cs="Arial"/>
                <w:color w:val="000000"/>
                <w:kern w:val="0"/>
                <w:sz w:val="18"/>
                <w:szCs w:val="18"/>
              </w:rPr>
              <w:t>德软件</w:t>
            </w:r>
            <w:proofErr w:type="gramEnd"/>
            <w:r w:rsidRPr="00154614">
              <w:rPr>
                <w:rFonts w:ascii="Arial" w:eastAsia="宋体" w:hAnsi="Arial" w:cs="Arial"/>
                <w:color w:val="000000"/>
                <w:kern w:val="0"/>
                <w:sz w:val="18"/>
                <w:szCs w:val="18"/>
              </w:rPr>
              <w:t>有限公司</w:t>
            </w:r>
          </w:p>
        </w:tc>
        <w:tc>
          <w:tcPr>
            <w:tcW w:w="1692" w:type="dxa"/>
            <w:tcBorders>
              <w:top w:val="nil"/>
              <w:left w:val="nil"/>
              <w:bottom w:val="nil"/>
              <w:right w:val="nil"/>
            </w:tcBorders>
            <w:shd w:val="clear" w:color="000000" w:fill="FFFFFF"/>
            <w:vAlign w:val="center"/>
            <w:hideMark/>
          </w:tcPr>
          <w:p w:rsidR="00641FF2" w:rsidRPr="00641FF2" w:rsidRDefault="00641FF2" w:rsidP="00641FF2">
            <w:pPr>
              <w:widowControl/>
              <w:jc w:val="center"/>
              <w:rPr>
                <w:rFonts w:ascii="宋体" w:eastAsia="宋体" w:hAnsi="宋体" w:cs="宋体"/>
                <w:color w:val="000000"/>
                <w:kern w:val="0"/>
                <w:sz w:val="18"/>
                <w:szCs w:val="18"/>
              </w:rPr>
            </w:pPr>
            <w:r w:rsidRPr="00641FF2">
              <w:rPr>
                <w:rFonts w:ascii="宋体" w:eastAsia="宋体" w:hAnsi="宋体" w:cs="宋体" w:hint="eastAsia"/>
                <w:color w:val="000000"/>
                <w:kern w:val="0"/>
                <w:sz w:val="18"/>
                <w:szCs w:val="18"/>
              </w:rPr>
              <w:t>电信及增值业务</w:t>
            </w:r>
          </w:p>
        </w:tc>
        <w:tc>
          <w:tcPr>
            <w:tcW w:w="1522" w:type="dxa"/>
            <w:tcBorders>
              <w:top w:val="nil"/>
              <w:left w:val="nil"/>
              <w:bottom w:val="nil"/>
              <w:right w:val="nil"/>
            </w:tcBorders>
            <w:shd w:val="clear" w:color="000000" w:fill="FFFFFF"/>
            <w:vAlign w:val="center"/>
            <w:hideMark/>
          </w:tcPr>
          <w:p w:rsidR="00497109" w:rsidRDefault="00641FF2">
            <w:pPr>
              <w:widowControl/>
              <w:jc w:val="right"/>
              <w:rPr>
                <w:rFonts w:ascii="Arial" w:eastAsia="宋体" w:hAnsi="Arial" w:cs="Arial"/>
                <w:color w:val="000000"/>
                <w:kern w:val="0"/>
                <w:sz w:val="18"/>
                <w:szCs w:val="18"/>
              </w:rPr>
            </w:pPr>
            <w:r w:rsidRPr="00641FF2">
              <w:rPr>
                <w:rFonts w:ascii="Arial" w:eastAsia="宋体" w:hAnsi="Arial" w:cs="Arial"/>
                <w:color w:val="000000"/>
                <w:kern w:val="0"/>
                <w:sz w:val="18"/>
                <w:szCs w:val="18"/>
              </w:rPr>
              <w:t xml:space="preserve">1,500.00 </w:t>
            </w:r>
          </w:p>
        </w:tc>
      </w:tr>
      <w:tr w:rsidR="00641FF2" w:rsidRPr="00641FF2" w:rsidTr="00641FF2">
        <w:trPr>
          <w:trHeight w:val="571"/>
        </w:trPr>
        <w:tc>
          <w:tcPr>
            <w:tcW w:w="1514" w:type="dxa"/>
            <w:tcBorders>
              <w:top w:val="nil"/>
              <w:left w:val="nil"/>
              <w:bottom w:val="nil"/>
              <w:right w:val="nil"/>
            </w:tcBorders>
            <w:shd w:val="clear" w:color="000000" w:fill="FFFFFF"/>
            <w:noWrap/>
            <w:vAlign w:val="center"/>
            <w:hideMark/>
          </w:tcPr>
          <w:p w:rsidR="00641FF2" w:rsidRPr="00641FF2" w:rsidRDefault="00641FF2" w:rsidP="00641FF2">
            <w:pPr>
              <w:widowControl/>
              <w:jc w:val="center"/>
              <w:rPr>
                <w:rFonts w:ascii="Arial" w:eastAsia="宋体" w:hAnsi="Arial" w:cs="Arial"/>
                <w:kern w:val="0"/>
                <w:sz w:val="18"/>
                <w:szCs w:val="18"/>
              </w:rPr>
            </w:pPr>
            <w:r w:rsidRPr="00641FF2">
              <w:rPr>
                <w:rFonts w:ascii="Arial" w:eastAsia="宋体" w:hAnsi="Arial" w:cs="Arial"/>
                <w:kern w:val="0"/>
                <w:sz w:val="18"/>
                <w:szCs w:val="18"/>
              </w:rPr>
              <w:t>9</w:t>
            </w:r>
          </w:p>
        </w:tc>
        <w:tc>
          <w:tcPr>
            <w:tcW w:w="1572" w:type="dxa"/>
            <w:tcBorders>
              <w:top w:val="nil"/>
              <w:left w:val="nil"/>
              <w:bottom w:val="nil"/>
              <w:right w:val="nil"/>
            </w:tcBorders>
            <w:shd w:val="clear" w:color="000000" w:fill="FFFFFF"/>
            <w:vAlign w:val="center"/>
            <w:hideMark/>
          </w:tcPr>
          <w:p w:rsidR="00641FF2" w:rsidRPr="00641FF2" w:rsidRDefault="00641FF2" w:rsidP="00641FF2">
            <w:pPr>
              <w:widowControl/>
              <w:jc w:val="center"/>
              <w:rPr>
                <w:rFonts w:ascii="宋体" w:eastAsia="宋体" w:hAnsi="宋体" w:cs="宋体"/>
                <w:color w:val="000000"/>
                <w:kern w:val="0"/>
                <w:sz w:val="18"/>
                <w:szCs w:val="18"/>
              </w:rPr>
            </w:pPr>
            <w:r w:rsidRPr="00641FF2">
              <w:rPr>
                <w:rFonts w:ascii="宋体" w:eastAsia="宋体" w:hAnsi="宋体" w:cs="宋体" w:hint="eastAsia"/>
                <w:color w:val="000000"/>
                <w:kern w:val="0"/>
                <w:sz w:val="18"/>
                <w:szCs w:val="18"/>
              </w:rPr>
              <w:t>华安基金管理有限公司</w:t>
            </w:r>
          </w:p>
        </w:tc>
        <w:tc>
          <w:tcPr>
            <w:tcW w:w="1544" w:type="dxa"/>
            <w:tcBorders>
              <w:top w:val="nil"/>
              <w:left w:val="nil"/>
              <w:bottom w:val="nil"/>
              <w:right w:val="nil"/>
            </w:tcBorders>
            <w:shd w:val="clear" w:color="000000" w:fill="FFFFFF"/>
            <w:vAlign w:val="center"/>
            <w:hideMark/>
          </w:tcPr>
          <w:p w:rsidR="00641FF2" w:rsidRPr="00154614" w:rsidRDefault="00641FF2" w:rsidP="00641FF2">
            <w:pPr>
              <w:widowControl/>
              <w:jc w:val="center"/>
              <w:rPr>
                <w:rFonts w:ascii="Arial" w:eastAsia="宋体" w:hAnsi="Arial" w:cs="Arial"/>
                <w:color w:val="000000"/>
                <w:kern w:val="0"/>
                <w:sz w:val="18"/>
                <w:szCs w:val="18"/>
              </w:rPr>
            </w:pPr>
            <w:r w:rsidRPr="00154614">
              <w:rPr>
                <w:rFonts w:ascii="Arial" w:eastAsia="宋体" w:hAnsi="Arial" w:cs="Arial"/>
                <w:color w:val="000000"/>
                <w:kern w:val="0"/>
                <w:sz w:val="18"/>
                <w:szCs w:val="18"/>
              </w:rPr>
              <w:t>金融</w:t>
            </w:r>
          </w:p>
        </w:tc>
        <w:tc>
          <w:tcPr>
            <w:tcW w:w="1550" w:type="dxa"/>
            <w:tcBorders>
              <w:top w:val="nil"/>
              <w:left w:val="nil"/>
              <w:bottom w:val="nil"/>
              <w:right w:val="nil"/>
            </w:tcBorders>
            <w:shd w:val="clear" w:color="000000" w:fill="FFFFFF"/>
            <w:vAlign w:val="center"/>
            <w:hideMark/>
          </w:tcPr>
          <w:p w:rsidR="00641FF2" w:rsidRPr="00154614" w:rsidRDefault="00641FF2" w:rsidP="00641FF2">
            <w:pPr>
              <w:widowControl/>
              <w:jc w:val="center"/>
              <w:rPr>
                <w:rFonts w:ascii="Arial" w:eastAsia="宋体" w:hAnsi="Arial" w:cs="Arial"/>
                <w:color w:val="000000"/>
                <w:kern w:val="0"/>
                <w:sz w:val="18"/>
                <w:szCs w:val="18"/>
              </w:rPr>
            </w:pPr>
            <w:r w:rsidRPr="00154614">
              <w:rPr>
                <w:rFonts w:ascii="Arial" w:eastAsia="宋体" w:hAnsi="Arial" w:cs="Arial"/>
                <w:color w:val="000000"/>
                <w:kern w:val="0"/>
                <w:sz w:val="18"/>
                <w:szCs w:val="18"/>
              </w:rPr>
              <w:t>京东方科技集团股份有限公司</w:t>
            </w:r>
          </w:p>
        </w:tc>
        <w:tc>
          <w:tcPr>
            <w:tcW w:w="1692" w:type="dxa"/>
            <w:tcBorders>
              <w:top w:val="nil"/>
              <w:left w:val="nil"/>
              <w:bottom w:val="nil"/>
              <w:right w:val="nil"/>
            </w:tcBorders>
            <w:shd w:val="clear" w:color="000000" w:fill="FFFFFF"/>
            <w:vAlign w:val="center"/>
            <w:hideMark/>
          </w:tcPr>
          <w:p w:rsidR="00641FF2" w:rsidRPr="00641FF2" w:rsidRDefault="00641FF2" w:rsidP="00641FF2">
            <w:pPr>
              <w:widowControl/>
              <w:jc w:val="center"/>
              <w:rPr>
                <w:rFonts w:ascii="宋体" w:eastAsia="宋体" w:hAnsi="宋体" w:cs="宋体"/>
                <w:color w:val="000000"/>
                <w:kern w:val="0"/>
                <w:sz w:val="18"/>
                <w:szCs w:val="18"/>
              </w:rPr>
            </w:pPr>
            <w:r w:rsidRPr="00641FF2">
              <w:rPr>
                <w:rFonts w:ascii="宋体" w:eastAsia="宋体" w:hAnsi="宋体" w:cs="宋体" w:hint="eastAsia"/>
                <w:color w:val="000000"/>
                <w:kern w:val="0"/>
                <w:sz w:val="18"/>
                <w:szCs w:val="18"/>
              </w:rPr>
              <w:t>电子及光电设备</w:t>
            </w:r>
          </w:p>
        </w:tc>
        <w:tc>
          <w:tcPr>
            <w:tcW w:w="1522" w:type="dxa"/>
            <w:tcBorders>
              <w:top w:val="nil"/>
              <w:left w:val="nil"/>
              <w:bottom w:val="nil"/>
              <w:right w:val="nil"/>
            </w:tcBorders>
            <w:shd w:val="clear" w:color="000000" w:fill="FFFFFF"/>
            <w:vAlign w:val="center"/>
            <w:hideMark/>
          </w:tcPr>
          <w:p w:rsidR="00497109" w:rsidRDefault="00641FF2">
            <w:pPr>
              <w:widowControl/>
              <w:jc w:val="right"/>
              <w:rPr>
                <w:rFonts w:ascii="Arial" w:eastAsia="宋体" w:hAnsi="Arial" w:cs="Arial"/>
                <w:color w:val="000000"/>
                <w:kern w:val="0"/>
                <w:sz w:val="18"/>
                <w:szCs w:val="18"/>
              </w:rPr>
            </w:pPr>
            <w:r w:rsidRPr="00641FF2">
              <w:rPr>
                <w:rFonts w:ascii="Arial" w:eastAsia="宋体" w:hAnsi="Arial" w:cs="Arial"/>
                <w:color w:val="000000"/>
                <w:kern w:val="0"/>
                <w:sz w:val="18"/>
                <w:szCs w:val="18"/>
              </w:rPr>
              <w:t xml:space="preserve">1,462.94 </w:t>
            </w:r>
          </w:p>
        </w:tc>
      </w:tr>
      <w:tr w:rsidR="00641FF2" w:rsidRPr="00641FF2" w:rsidTr="00641FF2">
        <w:trPr>
          <w:trHeight w:val="584"/>
        </w:trPr>
        <w:tc>
          <w:tcPr>
            <w:tcW w:w="1514" w:type="dxa"/>
            <w:tcBorders>
              <w:top w:val="nil"/>
              <w:left w:val="nil"/>
              <w:bottom w:val="single" w:sz="8" w:space="0" w:color="003366"/>
              <w:right w:val="nil"/>
            </w:tcBorders>
            <w:shd w:val="clear" w:color="000000" w:fill="FFFFFF"/>
            <w:noWrap/>
            <w:vAlign w:val="center"/>
            <w:hideMark/>
          </w:tcPr>
          <w:p w:rsidR="00641FF2" w:rsidRPr="00641FF2" w:rsidRDefault="00641FF2" w:rsidP="00641FF2">
            <w:pPr>
              <w:widowControl/>
              <w:jc w:val="center"/>
              <w:rPr>
                <w:rFonts w:ascii="Arial" w:eastAsia="宋体" w:hAnsi="Arial" w:cs="Arial"/>
                <w:kern w:val="0"/>
                <w:sz w:val="18"/>
                <w:szCs w:val="18"/>
              </w:rPr>
            </w:pPr>
            <w:r w:rsidRPr="00641FF2">
              <w:rPr>
                <w:rFonts w:ascii="Arial" w:eastAsia="宋体" w:hAnsi="Arial" w:cs="Arial"/>
                <w:kern w:val="0"/>
                <w:sz w:val="18"/>
                <w:szCs w:val="18"/>
              </w:rPr>
              <w:t>10</w:t>
            </w:r>
          </w:p>
        </w:tc>
        <w:tc>
          <w:tcPr>
            <w:tcW w:w="1572" w:type="dxa"/>
            <w:tcBorders>
              <w:top w:val="nil"/>
              <w:left w:val="nil"/>
              <w:bottom w:val="single" w:sz="8" w:space="0" w:color="003366"/>
              <w:right w:val="nil"/>
            </w:tcBorders>
            <w:shd w:val="clear" w:color="000000" w:fill="FFFFFF"/>
            <w:vAlign w:val="center"/>
            <w:hideMark/>
          </w:tcPr>
          <w:p w:rsidR="00641FF2" w:rsidRPr="00641FF2" w:rsidRDefault="00641FF2" w:rsidP="00641FF2">
            <w:pPr>
              <w:widowControl/>
              <w:jc w:val="center"/>
              <w:rPr>
                <w:rFonts w:ascii="宋体" w:eastAsia="宋体" w:hAnsi="宋体" w:cs="宋体"/>
                <w:kern w:val="0"/>
                <w:sz w:val="18"/>
                <w:szCs w:val="18"/>
              </w:rPr>
            </w:pPr>
            <w:r w:rsidRPr="00641FF2">
              <w:rPr>
                <w:rFonts w:ascii="宋体" w:eastAsia="宋体" w:hAnsi="宋体" w:cs="宋体" w:hint="eastAsia"/>
                <w:kern w:val="0"/>
                <w:sz w:val="18"/>
                <w:szCs w:val="18"/>
              </w:rPr>
              <w:t>京东方科技集团股份有限公司</w:t>
            </w:r>
          </w:p>
        </w:tc>
        <w:tc>
          <w:tcPr>
            <w:tcW w:w="1544" w:type="dxa"/>
            <w:tcBorders>
              <w:top w:val="nil"/>
              <w:left w:val="nil"/>
              <w:bottom w:val="single" w:sz="8" w:space="0" w:color="003366"/>
              <w:right w:val="nil"/>
            </w:tcBorders>
            <w:shd w:val="clear" w:color="000000" w:fill="FFFFFF"/>
            <w:vAlign w:val="center"/>
            <w:hideMark/>
          </w:tcPr>
          <w:p w:rsidR="00641FF2" w:rsidRPr="00154614" w:rsidRDefault="00641FF2" w:rsidP="00641FF2">
            <w:pPr>
              <w:widowControl/>
              <w:jc w:val="center"/>
              <w:rPr>
                <w:rFonts w:ascii="Arial" w:eastAsia="宋体" w:hAnsi="Arial" w:cs="Arial"/>
                <w:kern w:val="0"/>
                <w:sz w:val="18"/>
                <w:szCs w:val="18"/>
              </w:rPr>
            </w:pPr>
            <w:r w:rsidRPr="00154614">
              <w:rPr>
                <w:rFonts w:ascii="Arial" w:eastAsia="宋体" w:hAnsi="Arial" w:cs="Arial"/>
                <w:kern w:val="0"/>
                <w:sz w:val="18"/>
                <w:szCs w:val="18"/>
              </w:rPr>
              <w:t>电子及光电设备</w:t>
            </w:r>
          </w:p>
        </w:tc>
        <w:tc>
          <w:tcPr>
            <w:tcW w:w="1550" w:type="dxa"/>
            <w:tcBorders>
              <w:top w:val="nil"/>
              <w:left w:val="nil"/>
              <w:bottom w:val="single" w:sz="8" w:space="0" w:color="003366"/>
              <w:right w:val="nil"/>
            </w:tcBorders>
            <w:shd w:val="clear" w:color="000000" w:fill="FFFFFF"/>
            <w:vAlign w:val="center"/>
            <w:hideMark/>
          </w:tcPr>
          <w:p w:rsidR="00641FF2" w:rsidRPr="00154614" w:rsidRDefault="00641FF2" w:rsidP="00641FF2">
            <w:pPr>
              <w:widowControl/>
              <w:jc w:val="center"/>
              <w:rPr>
                <w:rFonts w:ascii="Arial" w:eastAsia="宋体" w:hAnsi="Arial" w:cs="Arial"/>
                <w:kern w:val="0"/>
                <w:sz w:val="18"/>
                <w:szCs w:val="18"/>
              </w:rPr>
            </w:pPr>
            <w:r w:rsidRPr="00154614">
              <w:rPr>
                <w:rFonts w:ascii="Arial" w:eastAsia="宋体" w:hAnsi="Arial" w:cs="Arial"/>
                <w:kern w:val="0"/>
                <w:sz w:val="18"/>
                <w:szCs w:val="18"/>
              </w:rPr>
              <w:t>北京</w:t>
            </w:r>
            <w:proofErr w:type="gramStart"/>
            <w:r w:rsidRPr="00154614">
              <w:rPr>
                <w:rFonts w:ascii="Arial" w:eastAsia="宋体" w:hAnsi="Arial" w:cs="Arial"/>
                <w:kern w:val="0"/>
                <w:sz w:val="18"/>
                <w:szCs w:val="18"/>
              </w:rPr>
              <w:t>京</w:t>
            </w:r>
            <w:proofErr w:type="gramEnd"/>
            <w:r w:rsidRPr="00154614">
              <w:rPr>
                <w:rFonts w:ascii="Arial" w:eastAsia="宋体" w:hAnsi="Arial" w:cs="Arial"/>
                <w:kern w:val="0"/>
                <w:sz w:val="18"/>
                <w:szCs w:val="18"/>
              </w:rPr>
              <w:t>东方显示技术有限公司</w:t>
            </w:r>
          </w:p>
        </w:tc>
        <w:tc>
          <w:tcPr>
            <w:tcW w:w="1692" w:type="dxa"/>
            <w:tcBorders>
              <w:top w:val="nil"/>
              <w:left w:val="nil"/>
              <w:bottom w:val="single" w:sz="8" w:space="0" w:color="003366"/>
              <w:right w:val="nil"/>
            </w:tcBorders>
            <w:shd w:val="clear" w:color="000000" w:fill="FFFFFF"/>
            <w:vAlign w:val="center"/>
            <w:hideMark/>
          </w:tcPr>
          <w:p w:rsidR="00641FF2" w:rsidRPr="00641FF2" w:rsidRDefault="00641FF2" w:rsidP="00641FF2">
            <w:pPr>
              <w:widowControl/>
              <w:jc w:val="center"/>
              <w:rPr>
                <w:rFonts w:ascii="宋体" w:eastAsia="宋体" w:hAnsi="宋体" w:cs="宋体"/>
                <w:kern w:val="0"/>
                <w:sz w:val="18"/>
                <w:szCs w:val="18"/>
              </w:rPr>
            </w:pPr>
            <w:r w:rsidRPr="00641FF2">
              <w:rPr>
                <w:rFonts w:ascii="宋体" w:eastAsia="宋体" w:hAnsi="宋体" w:cs="宋体" w:hint="eastAsia"/>
                <w:kern w:val="0"/>
                <w:sz w:val="18"/>
                <w:szCs w:val="18"/>
              </w:rPr>
              <w:t>电子及光电设备</w:t>
            </w:r>
          </w:p>
        </w:tc>
        <w:tc>
          <w:tcPr>
            <w:tcW w:w="1522" w:type="dxa"/>
            <w:tcBorders>
              <w:top w:val="nil"/>
              <w:left w:val="nil"/>
              <w:bottom w:val="single" w:sz="8" w:space="0" w:color="003366"/>
              <w:right w:val="nil"/>
            </w:tcBorders>
            <w:shd w:val="clear" w:color="000000" w:fill="FFFFFF"/>
            <w:noWrap/>
            <w:vAlign w:val="center"/>
            <w:hideMark/>
          </w:tcPr>
          <w:p w:rsidR="00497109" w:rsidRDefault="00641FF2">
            <w:pPr>
              <w:widowControl/>
              <w:jc w:val="right"/>
              <w:rPr>
                <w:rFonts w:ascii="Arial" w:eastAsia="宋体" w:hAnsi="Arial" w:cs="Arial"/>
                <w:kern w:val="0"/>
                <w:sz w:val="18"/>
                <w:szCs w:val="18"/>
              </w:rPr>
            </w:pPr>
            <w:r w:rsidRPr="00641FF2">
              <w:rPr>
                <w:rFonts w:ascii="Arial" w:eastAsia="宋体" w:hAnsi="Arial" w:cs="Arial"/>
                <w:kern w:val="0"/>
                <w:sz w:val="18"/>
                <w:szCs w:val="18"/>
              </w:rPr>
              <w:t xml:space="preserve">1,387.03 </w:t>
            </w:r>
          </w:p>
        </w:tc>
      </w:tr>
    </w:tbl>
    <w:p w:rsidR="002C6326" w:rsidRPr="000F1C1F" w:rsidRDefault="002C6326" w:rsidP="002C6326">
      <w:pPr>
        <w:spacing w:line="360" w:lineRule="exact"/>
        <w:rPr>
          <w:rFonts w:ascii="Arial" w:eastAsia="宋体" w:hAnsi="Arial" w:cs="Arial"/>
          <w:bCs/>
          <w:sz w:val="18"/>
          <w:szCs w:val="18"/>
          <w:shd w:val="clear" w:color="auto" w:fill="FFFFFF"/>
        </w:rPr>
      </w:pPr>
      <w:r w:rsidRPr="000F1C1F">
        <w:rPr>
          <w:rFonts w:ascii="Arial" w:eastAsia="宋体" w:hAnsi="Arial" w:cs="Arial"/>
          <w:bCs/>
          <w:sz w:val="18"/>
          <w:szCs w:val="18"/>
          <w:shd w:val="clear" w:color="auto" w:fill="FFFFFF"/>
        </w:rPr>
        <w:t>来源：私募通</w:t>
      </w:r>
      <w:r w:rsidR="00641FF2">
        <w:rPr>
          <w:rFonts w:ascii="Arial" w:eastAsia="宋体" w:hAnsi="Arial" w:cs="Arial"/>
          <w:bCs/>
          <w:sz w:val="18"/>
          <w:szCs w:val="18"/>
          <w:shd w:val="clear" w:color="auto" w:fill="FFFFFF"/>
        </w:rPr>
        <w:t xml:space="preserve"> 201</w:t>
      </w:r>
      <w:r w:rsidR="00641FF2">
        <w:rPr>
          <w:rFonts w:ascii="Arial" w:eastAsia="宋体" w:hAnsi="Arial" w:cs="Arial" w:hint="eastAsia"/>
          <w:bCs/>
          <w:sz w:val="18"/>
          <w:szCs w:val="18"/>
          <w:shd w:val="clear" w:color="auto" w:fill="FFFFFF"/>
        </w:rPr>
        <w:t>5</w:t>
      </w:r>
      <w:r w:rsidRPr="000F1C1F">
        <w:rPr>
          <w:rFonts w:ascii="Arial" w:eastAsia="宋体" w:hAnsi="Arial" w:cs="Arial"/>
          <w:bCs/>
          <w:sz w:val="18"/>
          <w:szCs w:val="18"/>
          <w:shd w:val="clear" w:color="auto" w:fill="FFFFFF"/>
        </w:rPr>
        <w:t>.01</w:t>
      </w:r>
      <w:r w:rsidR="00A20CBE">
        <w:rPr>
          <w:rFonts w:ascii="Arial" w:eastAsia="宋体" w:hAnsi="Arial" w:cs="Arial" w:hint="eastAsia"/>
          <w:bCs/>
          <w:sz w:val="18"/>
          <w:szCs w:val="18"/>
          <w:shd w:val="clear" w:color="auto" w:fill="FFFFFF"/>
        </w:rPr>
        <w:t xml:space="preserve">                                                                     </w:t>
      </w:r>
      <w:r w:rsidR="00910409" w:rsidRPr="000F1C1F">
        <w:rPr>
          <w:rFonts w:ascii="Arial" w:eastAsia="宋体" w:hAnsi="Arial" w:cs="Arial"/>
          <w:bCs/>
          <w:sz w:val="18"/>
          <w:szCs w:val="18"/>
          <w:shd w:val="clear" w:color="auto" w:fill="FFFFFF"/>
        </w:rPr>
        <w:t>www.pedata.cn</w:t>
      </w:r>
    </w:p>
    <w:p w:rsidR="00FE3E57" w:rsidRPr="000F1C1F" w:rsidRDefault="00FE3E57" w:rsidP="002C6326">
      <w:pPr>
        <w:spacing w:line="360" w:lineRule="exact"/>
        <w:rPr>
          <w:rFonts w:ascii="Arial" w:eastAsia="宋体" w:hAnsi="Arial" w:cs="Arial"/>
          <w:bCs/>
          <w:sz w:val="18"/>
          <w:szCs w:val="18"/>
          <w:shd w:val="clear" w:color="auto" w:fill="FFFFFF"/>
        </w:rPr>
      </w:pPr>
    </w:p>
    <w:p w:rsidR="00FE3E57" w:rsidRPr="00976C7B" w:rsidRDefault="00FE3E57" w:rsidP="00FE3E57">
      <w:pPr>
        <w:pStyle w:val="a8"/>
        <w:rPr>
          <w:rFonts w:ascii="Arial" w:eastAsia="宋体" w:hAnsi="Arial" w:cs="Arial"/>
          <w:b/>
          <w:bCs/>
          <w:szCs w:val="21"/>
        </w:rPr>
      </w:pPr>
      <w:r w:rsidRPr="00976C7B">
        <w:rPr>
          <w:rFonts w:ascii="Arial" w:eastAsia="宋体" w:hAnsi="Arial" w:cs="Arial"/>
          <w:b/>
          <w:bCs/>
          <w:szCs w:val="21"/>
        </w:rPr>
        <w:t>VC/PE</w:t>
      </w:r>
      <w:r w:rsidR="00976C7B" w:rsidRPr="00976C7B">
        <w:rPr>
          <w:rFonts w:ascii="Arial" w:eastAsia="宋体" w:hAnsi="Arial" w:cs="Arial" w:hint="eastAsia"/>
          <w:b/>
          <w:bCs/>
          <w:szCs w:val="21"/>
        </w:rPr>
        <w:t>通过并购退出成为新趋势</w:t>
      </w:r>
    </w:p>
    <w:p w:rsidR="001F1DFC" w:rsidRPr="003B01B6" w:rsidRDefault="001F1DFC" w:rsidP="000F129F">
      <w:pPr>
        <w:spacing w:line="360" w:lineRule="exact"/>
        <w:ind w:firstLineChars="200" w:firstLine="420"/>
        <w:rPr>
          <w:rFonts w:ascii="Arial" w:eastAsia="宋体" w:hAnsi="Arial" w:cs="Arial"/>
        </w:rPr>
      </w:pPr>
    </w:p>
    <w:p w:rsidR="00976C7B" w:rsidRDefault="003B01B6" w:rsidP="00976C7B">
      <w:pPr>
        <w:spacing w:line="360" w:lineRule="exact"/>
        <w:ind w:firstLineChars="200" w:firstLine="420"/>
        <w:rPr>
          <w:rFonts w:ascii="Arial" w:eastAsia="宋体" w:hAnsi="Arial" w:cs="Arial"/>
          <w:szCs w:val="21"/>
        </w:rPr>
      </w:pPr>
      <w:r w:rsidRPr="003B01B6">
        <w:rPr>
          <w:rFonts w:ascii="Arial" w:eastAsia="宋体" w:hAnsi="Arial" w:cs="Arial" w:hint="eastAsia"/>
        </w:rPr>
        <w:t>长期以来，国内</w:t>
      </w:r>
      <w:r w:rsidRPr="003B01B6">
        <w:rPr>
          <w:rFonts w:ascii="Arial" w:eastAsia="宋体" w:hAnsi="Arial" w:cs="Arial" w:hint="eastAsia"/>
        </w:rPr>
        <w:t>VC/PE</w:t>
      </w:r>
      <w:r w:rsidR="00154614">
        <w:rPr>
          <w:rFonts w:ascii="Arial" w:eastAsia="宋体" w:hAnsi="Arial" w:cs="Arial" w:hint="eastAsia"/>
        </w:rPr>
        <w:t>机构</w:t>
      </w:r>
      <w:r w:rsidRPr="003B01B6">
        <w:rPr>
          <w:rFonts w:ascii="Arial" w:eastAsia="宋体" w:hAnsi="Arial" w:cs="Arial" w:hint="eastAsia"/>
        </w:rPr>
        <w:t>主要通过</w:t>
      </w:r>
      <w:r w:rsidRPr="003B01B6">
        <w:rPr>
          <w:rFonts w:ascii="Arial" w:eastAsia="宋体" w:hAnsi="Arial" w:cs="Arial" w:hint="eastAsia"/>
        </w:rPr>
        <w:t>IPO</w:t>
      </w:r>
      <w:r w:rsidRPr="003B01B6">
        <w:rPr>
          <w:rFonts w:ascii="Arial" w:eastAsia="宋体" w:hAnsi="Arial" w:cs="Arial" w:hint="eastAsia"/>
        </w:rPr>
        <w:t>形式退出，但由于监管部门新股发行制度改革的持续，以及</w:t>
      </w:r>
      <w:r w:rsidR="004163CE">
        <w:rPr>
          <w:rFonts w:ascii="Arial" w:eastAsia="宋体" w:hAnsi="Arial" w:cs="Arial" w:hint="eastAsia"/>
        </w:rPr>
        <w:t>IPO</w:t>
      </w:r>
      <w:r w:rsidR="004163CE">
        <w:rPr>
          <w:rFonts w:ascii="Arial" w:eastAsia="宋体" w:hAnsi="Arial" w:cs="Arial" w:hint="eastAsia"/>
        </w:rPr>
        <w:t>堰塞湖的持续</w:t>
      </w:r>
      <w:r w:rsidRPr="003B01B6">
        <w:rPr>
          <w:rFonts w:ascii="Arial" w:eastAsia="宋体" w:hAnsi="Arial" w:cs="Arial" w:hint="eastAsia"/>
        </w:rPr>
        <w:t>，</w:t>
      </w:r>
      <w:r w:rsidRPr="003B01B6">
        <w:rPr>
          <w:rFonts w:ascii="Arial" w:eastAsia="宋体" w:hAnsi="Arial" w:cs="Arial" w:hint="eastAsia"/>
        </w:rPr>
        <w:t>VC/PE</w:t>
      </w:r>
      <w:r w:rsidR="00976C7B">
        <w:rPr>
          <w:rFonts w:ascii="Arial" w:eastAsia="宋体" w:hAnsi="Arial" w:cs="Arial" w:hint="eastAsia"/>
        </w:rPr>
        <w:t>退出渠道的正在发生改变</w:t>
      </w:r>
      <w:r w:rsidR="004B0070">
        <w:rPr>
          <w:rFonts w:ascii="Arial" w:eastAsia="宋体" w:hAnsi="Arial" w:cs="Arial" w:hint="eastAsia"/>
        </w:rPr>
        <w:t>，</w:t>
      </w:r>
      <w:r w:rsidR="00976C7B" w:rsidRPr="00976C7B">
        <w:rPr>
          <w:rFonts w:ascii="Arial" w:eastAsia="宋体" w:hAnsi="Arial" w:cs="Arial" w:hint="eastAsia"/>
        </w:rPr>
        <w:t>并购方式</w:t>
      </w:r>
      <w:r w:rsidR="004163CE" w:rsidRPr="00976C7B">
        <w:rPr>
          <w:rFonts w:ascii="Arial" w:eastAsia="宋体" w:hAnsi="Arial" w:cs="Arial" w:hint="eastAsia"/>
        </w:rPr>
        <w:t>逐渐</w:t>
      </w:r>
      <w:r w:rsidR="004163CE">
        <w:rPr>
          <w:rFonts w:ascii="Arial" w:eastAsia="宋体" w:hAnsi="Arial" w:cs="Arial" w:hint="eastAsia"/>
        </w:rPr>
        <w:t>成为重要的</w:t>
      </w:r>
      <w:r w:rsidR="00976C7B" w:rsidRPr="00976C7B">
        <w:rPr>
          <w:rFonts w:ascii="Arial" w:eastAsia="宋体" w:hAnsi="Arial" w:cs="Arial" w:hint="eastAsia"/>
        </w:rPr>
        <w:t>退出</w:t>
      </w:r>
      <w:r w:rsidR="004163CE">
        <w:rPr>
          <w:rFonts w:ascii="Arial" w:eastAsia="宋体" w:hAnsi="Arial" w:cs="Arial" w:hint="eastAsia"/>
        </w:rPr>
        <w:t>渠道</w:t>
      </w:r>
      <w:r w:rsidR="00976C7B" w:rsidRPr="00976C7B">
        <w:rPr>
          <w:rFonts w:ascii="Arial" w:eastAsia="宋体" w:hAnsi="Arial" w:cs="Arial" w:hint="eastAsia"/>
        </w:rPr>
        <w:t>。而这种退出方式，早已在国外成熟</w:t>
      </w:r>
      <w:r w:rsidR="00EE7D3B">
        <w:rPr>
          <w:rFonts w:ascii="Arial" w:eastAsia="宋体" w:hAnsi="Arial" w:cs="Arial" w:hint="eastAsia"/>
        </w:rPr>
        <w:t>的</w:t>
      </w:r>
      <w:r w:rsidR="004163CE">
        <w:rPr>
          <w:rFonts w:ascii="Arial" w:eastAsia="宋体" w:hAnsi="Arial" w:cs="Arial" w:hint="eastAsia"/>
        </w:rPr>
        <w:t>VC/PE</w:t>
      </w:r>
      <w:r w:rsidR="00976C7B" w:rsidRPr="00976C7B">
        <w:rPr>
          <w:rFonts w:ascii="Arial" w:eastAsia="宋体" w:hAnsi="Arial" w:cs="Arial" w:hint="eastAsia"/>
        </w:rPr>
        <w:t>市场成为主流。</w:t>
      </w:r>
      <w:proofErr w:type="gramStart"/>
      <w:r w:rsidR="00D408D3" w:rsidRPr="003B01B6">
        <w:rPr>
          <w:rFonts w:ascii="Arial" w:eastAsia="宋体" w:hAnsi="Arial" w:cs="Arial"/>
          <w:szCs w:val="21"/>
        </w:rPr>
        <w:t>清科研究中心</w:t>
      </w:r>
      <w:proofErr w:type="gramEnd"/>
      <w:r w:rsidR="00D408D3" w:rsidRPr="003B01B6">
        <w:rPr>
          <w:rFonts w:ascii="Arial" w:eastAsia="宋体" w:hAnsi="Arial" w:cs="Arial"/>
          <w:szCs w:val="21"/>
        </w:rPr>
        <w:t>的数据显示，</w:t>
      </w:r>
      <w:r w:rsidR="00976C7B">
        <w:rPr>
          <w:rFonts w:ascii="Arial" w:eastAsia="宋体" w:hAnsi="Arial" w:cs="Arial"/>
        </w:rPr>
        <w:t>201</w:t>
      </w:r>
      <w:r w:rsidR="00976C7B">
        <w:rPr>
          <w:rFonts w:ascii="Arial" w:eastAsia="宋体" w:hAnsi="Arial" w:cs="Arial" w:hint="eastAsia"/>
        </w:rPr>
        <w:t>4</w:t>
      </w:r>
      <w:r w:rsidR="00976C7B" w:rsidRPr="003B01B6">
        <w:rPr>
          <w:rFonts w:ascii="Arial" w:eastAsia="宋体" w:hAnsi="Arial" w:cs="Arial"/>
        </w:rPr>
        <w:t>年</w:t>
      </w:r>
      <w:r w:rsidR="00976C7B" w:rsidRPr="003B01B6">
        <w:rPr>
          <w:rFonts w:ascii="Arial" w:eastAsia="宋体" w:hAnsi="Arial" w:cs="Arial"/>
          <w:szCs w:val="21"/>
        </w:rPr>
        <w:t>VC/PE</w:t>
      </w:r>
      <w:r w:rsidR="00976C7B" w:rsidRPr="003B01B6">
        <w:rPr>
          <w:rFonts w:ascii="Arial" w:eastAsia="宋体" w:hAnsi="Arial" w:cs="Arial"/>
          <w:szCs w:val="21"/>
        </w:rPr>
        <w:t>相关并购共计发生</w:t>
      </w:r>
      <w:r w:rsidR="00806064">
        <w:rPr>
          <w:rFonts w:ascii="Arial" w:eastAsia="宋体" w:hAnsi="Arial" w:cs="Arial" w:hint="eastAsia"/>
          <w:szCs w:val="21"/>
        </w:rPr>
        <w:t>972</w:t>
      </w:r>
      <w:r w:rsidR="00976C7B" w:rsidRPr="003B01B6">
        <w:rPr>
          <w:rFonts w:ascii="Arial" w:eastAsia="宋体" w:hAnsi="Arial" w:cs="Arial"/>
          <w:szCs w:val="21"/>
        </w:rPr>
        <w:t>起，较</w:t>
      </w:r>
      <w:r w:rsidR="00976C7B">
        <w:rPr>
          <w:rFonts w:ascii="Arial" w:eastAsia="宋体" w:hAnsi="Arial" w:cs="Arial"/>
          <w:szCs w:val="21"/>
        </w:rPr>
        <w:t>201</w:t>
      </w:r>
      <w:r w:rsidR="00976C7B">
        <w:rPr>
          <w:rFonts w:ascii="Arial" w:eastAsia="宋体" w:hAnsi="Arial" w:cs="Arial" w:hint="eastAsia"/>
          <w:szCs w:val="21"/>
        </w:rPr>
        <w:t>3</w:t>
      </w:r>
      <w:r w:rsidR="00976C7B" w:rsidRPr="003B01B6">
        <w:rPr>
          <w:rFonts w:ascii="Arial" w:eastAsia="宋体" w:hAnsi="Arial" w:cs="Arial"/>
          <w:szCs w:val="21"/>
        </w:rPr>
        <w:t>年的</w:t>
      </w:r>
      <w:r w:rsidR="00976C7B">
        <w:rPr>
          <w:rFonts w:ascii="Arial" w:eastAsia="宋体" w:hAnsi="Arial" w:cs="Arial" w:hint="eastAsia"/>
          <w:szCs w:val="21"/>
        </w:rPr>
        <w:t>446</w:t>
      </w:r>
      <w:r w:rsidR="00976C7B" w:rsidRPr="003B01B6">
        <w:rPr>
          <w:rFonts w:ascii="Arial" w:eastAsia="宋体" w:hAnsi="Arial" w:cs="Arial"/>
          <w:szCs w:val="21"/>
        </w:rPr>
        <w:t>起大幅度上升</w:t>
      </w:r>
      <w:r w:rsidR="00976C7B">
        <w:rPr>
          <w:rFonts w:ascii="Arial" w:eastAsia="宋体" w:hAnsi="Arial" w:cs="Arial"/>
          <w:szCs w:val="21"/>
        </w:rPr>
        <w:t>1</w:t>
      </w:r>
      <w:r w:rsidR="00806064">
        <w:rPr>
          <w:rFonts w:ascii="Arial" w:eastAsia="宋体" w:hAnsi="Arial" w:cs="Arial" w:hint="eastAsia"/>
          <w:szCs w:val="21"/>
        </w:rPr>
        <w:t>17</w:t>
      </w:r>
      <w:r w:rsidR="00976C7B" w:rsidRPr="003B01B6">
        <w:rPr>
          <w:rFonts w:ascii="Arial" w:eastAsia="宋体" w:hAnsi="Arial" w:cs="Arial"/>
          <w:szCs w:val="21"/>
        </w:rPr>
        <w:t>.</w:t>
      </w:r>
      <w:r w:rsidR="00806064">
        <w:rPr>
          <w:rFonts w:ascii="Arial" w:eastAsia="宋体" w:hAnsi="Arial" w:cs="Arial" w:hint="eastAsia"/>
          <w:szCs w:val="21"/>
        </w:rPr>
        <w:t>9</w:t>
      </w:r>
      <w:r w:rsidR="00976C7B" w:rsidRPr="003B01B6">
        <w:rPr>
          <w:rFonts w:ascii="Arial" w:eastAsia="宋体" w:hAnsi="Arial" w:cs="Arial"/>
          <w:szCs w:val="21"/>
        </w:rPr>
        <w:t>%</w:t>
      </w:r>
      <w:r w:rsidR="00976C7B">
        <w:rPr>
          <w:rFonts w:ascii="Arial" w:eastAsia="宋体" w:hAnsi="Arial" w:cs="Arial" w:hint="eastAsia"/>
          <w:szCs w:val="21"/>
        </w:rPr>
        <w:t>，连续两年实现翻番</w:t>
      </w:r>
      <w:r w:rsidR="00EE7D3B">
        <w:rPr>
          <w:rFonts w:ascii="Arial" w:eastAsia="宋体" w:hAnsi="Arial" w:cs="Arial"/>
          <w:szCs w:val="21"/>
        </w:rPr>
        <w:t>；其中披露金额的交易</w:t>
      </w:r>
      <w:r w:rsidR="00806064">
        <w:rPr>
          <w:rFonts w:ascii="Arial" w:eastAsia="宋体" w:hAnsi="Arial" w:cs="Arial" w:hint="eastAsia"/>
          <w:szCs w:val="21"/>
        </w:rPr>
        <w:t>905</w:t>
      </w:r>
      <w:r w:rsidR="00976C7B" w:rsidRPr="003B01B6">
        <w:rPr>
          <w:rFonts w:ascii="Arial" w:eastAsia="宋体" w:hAnsi="Arial" w:cs="Arial"/>
          <w:szCs w:val="21"/>
        </w:rPr>
        <w:t>起，涉及的金额共计</w:t>
      </w:r>
      <w:r w:rsidR="00806064">
        <w:rPr>
          <w:rFonts w:ascii="Arial" w:eastAsia="宋体" w:hAnsi="Arial" w:cs="Arial" w:hint="eastAsia"/>
          <w:szCs w:val="21"/>
        </w:rPr>
        <w:t>68</w:t>
      </w:r>
      <w:r w:rsidR="00976C7B">
        <w:rPr>
          <w:rFonts w:ascii="Arial" w:eastAsia="宋体" w:hAnsi="Arial" w:cs="Arial" w:hint="eastAsia"/>
          <w:szCs w:val="21"/>
        </w:rPr>
        <w:t>8</w:t>
      </w:r>
      <w:r w:rsidR="00976C7B" w:rsidRPr="003B01B6">
        <w:rPr>
          <w:rFonts w:ascii="Arial" w:eastAsia="宋体" w:hAnsi="Arial" w:cs="Arial"/>
          <w:szCs w:val="21"/>
        </w:rPr>
        <w:t>.</w:t>
      </w:r>
      <w:r w:rsidR="00806064">
        <w:rPr>
          <w:rFonts w:ascii="Arial" w:eastAsia="宋体" w:hAnsi="Arial" w:cs="Arial" w:hint="eastAsia"/>
          <w:szCs w:val="21"/>
        </w:rPr>
        <w:t>29</w:t>
      </w:r>
      <w:r w:rsidR="00976C7B">
        <w:rPr>
          <w:rFonts w:ascii="Arial" w:eastAsia="宋体" w:hAnsi="Arial" w:cs="Arial"/>
          <w:szCs w:val="21"/>
        </w:rPr>
        <w:t>亿美元，同比涨幅高</w:t>
      </w:r>
      <w:r w:rsidR="00976C7B">
        <w:rPr>
          <w:rFonts w:ascii="Arial" w:eastAsia="宋体" w:hAnsi="Arial" w:cs="Arial" w:hint="eastAsia"/>
          <w:szCs w:val="21"/>
        </w:rPr>
        <w:t>达</w:t>
      </w:r>
      <w:r w:rsidR="00806064">
        <w:rPr>
          <w:rFonts w:ascii="Arial" w:eastAsia="宋体" w:hAnsi="Arial" w:cs="Arial" w:hint="eastAsia"/>
          <w:szCs w:val="21"/>
        </w:rPr>
        <w:t>98</w:t>
      </w:r>
      <w:r w:rsidR="00976C7B" w:rsidRPr="003B01B6">
        <w:rPr>
          <w:rFonts w:ascii="Arial" w:eastAsia="宋体" w:hAnsi="Arial" w:cs="Arial"/>
          <w:szCs w:val="21"/>
        </w:rPr>
        <w:t>.</w:t>
      </w:r>
      <w:r w:rsidR="00806064">
        <w:rPr>
          <w:rFonts w:ascii="Arial" w:eastAsia="宋体" w:hAnsi="Arial" w:cs="Arial" w:hint="eastAsia"/>
          <w:szCs w:val="21"/>
        </w:rPr>
        <w:t>6</w:t>
      </w:r>
      <w:r w:rsidR="00976C7B" w:rsidRPr="003B01B6">
        <w:rPr>
          <w:rFonts w:ascii="Arial" w:eastAsia="宋体" w:hAnsi="Arial" w:cs="Arial"/>
          <w:szCs w:val="21"/>
        </w:rPr>
        <w:t>%</w:t>
      </w:r>
      <w:r w:rsidR="00976C7B" w:rsidRPr="003B01B6">
        <w:rPr>
          <w:rFonts w:ascii="Arial" w:eastAsia="宋体" w:hAnsi="Arial" w:cs="Arial"/>
          <w:szCs w:val="21"/>
        </w:rPr>
        <w:t>。</w:t>
      </w:r>
    </w:p>
    <w:p w:rsidR="00154614" w:rsidRPr="00976C7B" w:rsidRDefault="00154614" w:rsidP="00976C7B">
      <w:pPr>
        <w:spacing w:line="360" w:lineRule="exact"/>
        <w:ind w:firstLineChars="200" w:firstLine="420"/>
        <w:rPr>
          <w:rFonts w:ascii="Arial" w:eastAsia="宋体" w:hAnsi="Arial" w:cs="Arial"/>
          <w:szCs w:val="21"/>
        </w:rPr>
      </w:pPr>
    </w:p>
    <w:p w:rsidR="00154614" w:rsidRPr="000F1C1F" w:rsidRDefault="00154614" w:rsidP="00154614">
      <w:pPr>
        <w:spacing w:line="360" w:lineRule="exact"/>
        <w:rPr>
          <w:rStyle w:val="a6"/>
          <w:rFonts w:ascii="Arial" w:eastAsia="宋体" w:hAnsi="Arial" w:cs="Arial"/>
          <w:sz w:val="18"/>
          <w:szCs w:val="18"/>
          <w:shd w:val="clear" w:color="auto" w:fill="FFFFFF"/>
        </w:rPr>
      </w:pPr>
      <w:r w:rsidRPr="000F1C1F">
        <w:rPr>
          <w:rStyle w:val="a6"/>
          <w:rFonts w:ascii="Arial" w:eastAsia="宋体" w:hAnsi="Arial" w:cs="Arial"/>
          <w:sz w:val="18"/>
          <w:szCs w:val="18"/>
          <w:shd w:val="clear" w:color="auto" w:fill="FFFFFF"/>
        </w:rPr>
        <w:t>图</w:t>
      </w:r>
      <w:r>
        <w:rPr>
          <w:rStyle w:val="a6"/>
          <w:rFonts w:ascii="Arial" w:eastAsia="宋体" w:hAnsi="Arial" w:cs="Arial"/>
          <w:sz w:val="18"/>
          <w:szCs w:val="18"/>
          <w:shd w:val="clear" w:color="auto" w:fill="FFFFFF"/>
        </w:rPr>
        <w:t>5  2007-201</w:t>
      </w:r>
      <w:r>
        <w:rPr>
          <w:rStyle w:val="a6"/>
          <w:rFonts w:ascii="Arial" w:eastAsia="宋体" w:hAnsi="Arial" w:cs="Arial" w:hint="eastAsia"/>
          <w:sz w:val="18"/>
          <w:szCs w:val="18"/>
          <w:shd w:val="clear" w:color="auto" w:fill="FFFFFF"/>
        </w:rPr>
        <w:t>4</w:t>
      </w:r>
      <w:r w:rsidRPr="000F1C1F">
        <w:rPr>
          <w:rStyle w:val="a6"/>
          <w:rFonts w:ascii="Arial" w:eastAsia="宋体" w:hAnsi="Arial" w:cs="Arial"/>
          <w:sz w:val="18"/>
          <w:szCs w:val="18"/>
          <w:shd w:val="clear" w:color="auto" w:fill="FFFFFF"/>
        </w:rPr>
        <w:t>年中国并购市场</w:t>
      </w:r>
      <w:r w:rsidRPr="000F1C1F">
        <w:rPr>
          <w:rStyle w:val="a6"/>
          <w:rFonts w:ascii="Arial" w:eastAsia="宋体" w:hAnsi="Arial" w:cs="Arial"/>
          <w:sz w:val="18"/>
          <w:szCs w:val="18"/>
          <w:shd w:val="clear" w:color="auto" w:fill="FFFFFF"/>
        </w:rPr>
        <w:t>VC/PE</w:t>
      </w:r>
      <w:r w:rsidRPr="000F1C1F">
        <w:rPr>
          <w:rStyle w:val="a6"/>
          <w:rFonts w:ascii="Arial" w:eastAsia="宋体" w:hAnsi="Arial" w:cs="Arial"/>
          <w:sz w:val="18"/>
          <w:szCs w:val="18"/>
          <w:shd w:val="clear" w:color="auto" w:fill="FFFFFF"/>
        </w:rPr>
        <w:t>相关并购发展趋势</w:t>
      </w:r>
    </w:p>
    <w:p w:rsidR="00154614" w:rsidRPr="000F1C1F" w:rsidRDefault="005E714E" w:rsidP="00154614">
      <w:pPr>
        <w:pStyle w:val="a8"/>
        <w:rPr>
          <w:rFonts w:ascii="Arial" w:eastAsia="宋体" w:hAnsi="Arial" w:cs="Arial"/>
        </w:rPr>
      </w:pPr>
      <w:r>
        <w:rPr>
          <w:rFonts w:ascii="Arial" w:eastAsia="宋体" w:hAnsi="Arial" w:cs="Arial"/>
          <w:noProof/>
        </w:rPr>
        <w:lastRenderedPageBreak/>
        <w:drawing>
          <wp:inline distT="0" distB="0" distL="0" distR="0">
            <wp:extent cx="4791600" cy="3572475"/>
            <wp:effectExtent l="19050" t="0" r="47100" b="8925"/>
            <wp:docPr id="2"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408D3" w:rsidRPr="00806064" w:rsidRDefault="00D408D3" w:rsidP="000F129F">
      <w:pPr>
        <w:spacing w:line="360" w:lineRule="exact"/>
        <w:ind w:firstLineChars="200" w:firstLine="420"/>
        <w:rPr>
          <w:rFonts w:ascii="Arial" w:eastAsia="宋体" w:hAnsi="Arial" w:cs="Arial"/>
        </w:rPr>
      </w:pPr>
    </w:p>
    <w:p w:rsidR="00FE3E57" w:rsidRPr="003B01B6" w:rsidRDefault="009764E1" w:rsidP="004B0070">
      <w:pPr>
        <w:spacing w:line="360" w:lineRule="exact"/>
        <w:ind w:firstLineChars="200" w:firstLine="420"/>
        <w:rPr>
          <w:rFonts w:ascii="Arial" w:eastAsia="宋体" w:hAnsi="Arial" w:cs="Arial"/>
          <w:szCs w:val="21"/>
        </w:rPr>
      </w:pPr>
      <w:r>
        <w:rPr>
          <w:rFonts w:ascii="Arial" w:eastAsia="宋体" w:hAnsi="Arial" w:cs="Arial"/>
          <w:szCs w:val="21"/>
        </w:rPr>
        <w:t>201</w:t>
      </w:r>
      <w:r>
        <w:rPr>
          <w:rFonts w:ascii="Arial" w:eastAsia="宋体" w:hAnsi="Arial" w:cs="Arial" w:hint="eastAsia"/>
          <w:szCs w:val="21"/>
        </w:rPr>
        <w:t>4</w:t>
      </w:r>
      <w:r w:rsidR="00F97BD6" w:rsidRPr="003B01B6">
        <w:rPr>
          <w:rFonts w:ascii="Arial" w:eastAsia="宋体" w:hAnsi="Arial" w:cs="Arial"/>
          <w:szCs w:val="21"/>
        </w:rPr>
        <w:t>年</w:t>
      </w:r>
      <w:r w:rsidR="00806064">
        <w:rPr>
          <w:rFonts w:ascii="Arial" w:eastAsia="宋体" w:hAnsi="Arial" w:cs="Arial" w:hint="eastAsia"/>
          <w:szCs w:val="21"/>
        </w:rPr>
        <w:t>972</w:t>
      </w:r>
      <w:r w:rsidR="00EC68CD" w:rsidRPr="003B01B6">
        <w:rPr>
          <w:rFonts w:ascii="Arial" w:eastAsia="宋体" w:hAnsi="Arial" w:cs="Arial"/>
          <w:szCs w:val="21"/>
        </w:rPr>
        <w:t>起</w:t>
      </w:r>
      <w:r w:rsidR="00F97BD6" w:rsidRPr="003B01B6">
        <w:rPr>
          <w:rFonts w:ascii="Arial" w:eastAsia="宋体" w:hAnsi="Arial" w:cs="Arial"/>
          <w:szCs w:val="21"/>
        </w:rPr>
        <w:t>VC/PE</w:t>
      </w:r>
      <w:r w:rsidR="00440995">
        <w:rPr>
          <w:rFonts w:ascii="Arial" w:eastAsia="宋体" w:hAnsi="Arial" w:cs="Arial" w:hint="eastAsia"/>
          <w:szCs w:val="21"/>
        </w:rPr>
        <w:t>相关</w:t>
      </w:r>
      <w:r w:rsidR="00F97BD6" w:rsidRPr="003B01B6">
        <w:rPr>
          <w:rFonts w:ascii="Arial" w:eastAsia="宋体" w:hAnsi="Arial" w:cs="Arial"/>
          <w:szCs w:val="21"/>
        </w:rPr>
        <w:t>并购交易分布于</w:t>
      </w:r>
      <w:r w:rsidR="00CF4197">
        <w:rPr>
          <w:rFonts w:ascii="Arial" w:eastAsia="宋体" w:hAnsi="Arial" w:cs="Arial" w:hint="eastAsia"/>
          <w:szCs w:val="21"/>
        </w:rPr>
        <w:t>互联网、</w:t>
      </w:r>
      <w:r w:rsidR="00CF4197" w:rsidRPr="003B01B6">
        <w:rPr>
          <w:rFonts w:ascii="Arial" w:eastAsia="宋体" w:hAnsi="Arial" w:cs="Arial"/>
          <w:szCs w:val="21"/>
        </w:rPr>
        <w:t>机械制造、</w:t>
      </w:r>
      <w:r w:rsidR="00F97BD6" w:rsidRPr="003B01B6">
        <w:rPr>
          <w:rFonts w:ascii="Arial" w:eastAsia="宋体" w:hAnsi="Arial" w:cs="Arial"/>
          <w:szCs w:val="21"/>
        </w:rPr>
        <w:t>生物技术</w:t>
      </w:r>
      <w:r w:rsidR="00F97BD6" w:rsidRPr="003B01B6">
        <w:rPr>
          <w:rFonts w:ascii="Arial" w:eastAsia="宋体" w:hAnsi="Arial" w:cs="Arial"/>
          <w:szCs w:val="21"/>
        </w:rPr>
        <w:t>/</w:t>
      </w:r>
      <w:r w:rsidR="00F97BD6" w:rsidRPr="003B01B6">
        <w:rPr>
          <w:rFonts w:ascii="Arial" w:eastAsia="宋体" w:hAnsi="Arial" w:cs="Arial"/>
          <w:szCs w:val="21"/>
        </w:rPr>
        <w:t>医疗健康、</w:t>
      </w:r>
      <w:r w:rsidR="00CF4197">
        <w:rPr>
          <w:rFonts w:ascii="Arial" w:eastAsia="宋体" w:hAnsi="Arial" w:cs="Arial" w:hint="eastAsia"/>
          <w:szCs w:val="21"/>
        </w:rPr>
        <w:t>电子及光电设备、</w:t>
      </w:r>
      <w:r w:rsidR="00CF4197">
        <w:rPr>
          <w:rFonts w:ascii="Arial" w:eastAsia="宋体" w:hAnsi="Arial" w:cs="Arial"/>
          <w:szCs w:val="21"/>
        </w:rPr>
        <w:t>清洁技术</w:t>
      </w:r>
      <w:r w:rsidR="00F97BD6" w:rsidRPr="003B01B6">
        <w:rPr>
          <w:rFonts w:ascii="Arial" w:eastAsia="宋体" w:hAnsi="Arial" w:cs="Arial"/>
          <w:szCs w:val="21"/>
        </w:rPr>
        <w:t>等二十个一级行业</w:t>
      </w:r>
      <w:r w:rsidR="00CF4197">
        <w:rPr>
          <w:rFonts w:ascii="Arial" w:eastAsia="宋体" w:hAnsi="Arial" w:cs="Arial" w:hint="eastAsia"/>
          <w:szCs w:val="21"/>
        </w:rPr>
        <w:t>（见表</w:t>
      </w:r>
      <w:r w:rsidR="00CF4197">
        <w:rPr>
          <w:rFonts w:ascii="Arial" w:eastAsia="宋体" w:hAnsi="Arial" w:cs="Arial" w:hint="eastAsia"/>
          <w:szCs w:val="21"/>
        </w:rPr>
        <w:t>5</w:t>
      </w:r>
      <w:r w:rsidR="00CF4197">
        <w:rPr>
          <w:rFonts w:ascii="Arial" w:eastAsia="宋体" w:hAnsi="Arial" w:cs="Arial" w:hint="eastAsia"/>
          <w:szCs w:val="21"/>
        </w:rPr>
        <w:t>）</w:t>
      </w:r>
      <w:r w:rsidR="00F97BD6" w:rsidRPr="003B01B6">
        <w:rPr>
          <w:rFonts w:ascii="Arial" w:eastAsia="宋体" w:hAnsi="Arial" w:cs="Arial"/>
          <w:szCs w:val="21"/>
        </w:rPr>
        <w:t>。</w:t>
      </w:r>
      <w:r w:rsidR="00CF4197" w:rsidRPr="00CF4197">
        <w:rPr>
          <w:rFonts w:ascii="Arial" w:eastAsia="宋体" w:hAnsi="Arial" w:cs="Arial"/>
          <w:szCs w:val="21"/>
        </w:rPr>
        <w:t>在并购数量方面，</w:t>
      </w:r>
      <w:r w:rsidR="00CF4197" w:rsidRPr="00CF4197">
        <w:rPr>
          <w:rFonts w:ascii="Arial" w:eastAsia="宋体" w:hAnsi="Arial" w:cs="Arial" w:hint="eastAsia"/>
          <w:szCs w:val="21"/>
        </w:rPr>
        <w:t>互联网行业</w:t>
      </w:r>
      <w:r w:rsidR="006B27D3" w:rsidRPr="00CF4197">
        <w:rPr>
          <w:rFonts w:ascii="Arial" w:eastAsia="宋体" w:hAnsi="Arial" w:cs="Arial"/>
          <w:szCs w:val="21"/>
        </w:rPr>
        <w:t>以</w:t>
      </w:r>
      <w:r w:rsidR="00806064">
        <w:rPr>
          <w:rFonts w:ascii="Arial" w:eastAsia="宋体" w:hAnsi="Arial" w:cs="Arial" w:hint="eastAsia"/>
          <w:szCs w:val="21"/>
        </w:rPr>
        <w:t>98</w:t>
      </w:r>
      <w:r w:rsidR="006B27D3" w:rsidRPr="00CF4197">
        <w:rPr>
          <w:rFonts w:ascii="Arial" w:eastAsia="宋体" w:hAnsi="Arial" w:cs="Arial"/>
          <w:szCs w:val="21"/>
        </w:rPr>
        <w:t>起案例，占比</w:t>
      </w:r>
      <w:r w:rsidR="00806064">
        <w:rPr>
          <w:rFonts w:ascii="Arial" w:eastAsia="宋体" w:hAnsi="Arial" w:cs="Arial" w:hint="eastAsia"/>
          <w:szCs w:val="21"/>
        </w:rPr>
        <w:t>10</w:t>
      </w:r>
      <w:r w:rsidR="006B27D3" w:rsidRPr="00CF4197">
        <w:rPr>
          <w:rFonts w:ascii="Arial" w:eastAsia="宋体" w:hAnsi="Arial" w:cs="Arial"/>
          <w:szCs w:val="21"/>
        </w:rPr>
        <w:t>.</w:t>
      </w:r>
      <w:r w:rsidR="00806064">
        <w:rPr>
          <w:rFonts w:ascii="Arial" w:eastAsia="宋体" w:hAnsi="Arial" w:cs="Arial" w:hint="eastAsia"/>
          <w:szCs w:val="21"/>
        </w:rPr>
        <w:t>1</w:t>
      </w:r>
      <w:r w:rsidR="006B27D3" w:rsidRPr="00CF4197">
        <w:rPr>
          <w:rFonts w:ascii="Arial" w:eastAsia="宋体" w:hAnsi="Arial" w:cs="Arial"/>
          <w:szCs w:val="21"/>
        </w:rPr>
        <w:t>%</w:t>
      </w:r>
      <w:r w:rsidR="00A36197" w:rsidRPr="00CF4197">
        <w:rPr>
          <w:rFonts w:ascii="Arial" w:eastAsia="宋体" w:hAnsi="Arial" w:cs="Arial"/>
          <w:szCs w:val="21"/>
        </w:rPr>
        <w:t>排名</w:t>
      </w:r>
      <w:r w:rsidR="00CF4197" w:rsidRPr="00CF4197">
        <w:rPr>
          <w:rFonts w:ascii="Arial" w:eastAsia="宋体" w:hAnsi="Arial" w:cs="Arial"/>
          <w:szCs w:val="21"/>
        </w:rPr>
        <w:t>第一；</w:t>
      </w:r>
      <w:r w:rsidR="00CF4197" w:rsidRPr="00CF4197">
        <w:rPr>
          <w:rFonts w:ascii="Arial" w:eastAsia="宋体" w:hAnsi="Arial" w:cs="Arial" w:hint="eastAsia"/>
          <w:szCs w:val="21"/>
        </w:rPr>
        <w:t>机械制造</w:t>
      </w:r>
      <w:r w:rsidR="008038B2" w:rsidRPr="00CF4197">
        <w:rPr>
          <w:rFonts w:ascii="Arial" w:eastAsia="宋体" w:hAnsi="Arial" w:cs="Arial" w:hint="eastAsia"/>
          <w:szCs w:val="21"/>
        </w:rPr>
        <w:t>行业</w:t>
      </w:r>
      <w:r w:rsidR="00806064">
        <w:rPr>
          <w:rFonts w:ascii="Arial" w:eastAsia="宋体" w:hAnsi="Arial" w:cs="Arial" w:hint="eastAsia"/>
          <w:szCs w:val="21"/>
        </w:rPr>
        <w:t>案例数</w:t>
      </w:r>
      <w:r w:rsidR="00CF4197" w:rsidRPr="00CF4197">
        <w:rPr>
          <w:rFonts w:ascii="Arial" w:eastAsia="宋体" w:hAnsi="Arial" w:cs="Arial" w:hint="eastAsia"/>
          <w:szCs w:val="21"/>
        </w:rPr>
        <w:t>落后互联网行业</w:t>
      </w:r>
      <w:r w:rsidR="00806064">
        <w:rPr>
          <w:rFonts w:ascii="Arial" w:eastAsia="宋体" w:hAnsi="Arial" w:cs="Arial" w:hint="eastAsia"/>
          <w:szCs w:val="21"/>
        </w:rPr>
        <w:t>9</w:t>
      </w:r>
      <w:r w:rsidR="00806064">
        <w:rPr>
          <w:rFonts w:ascii="Arial" w:eastAsia="宋体" w:hAnsi="Arial" w:cs="Arial" w:hint="eastAsia"/>
          <w:szCs w:val="21"/>
        </w:rPr>
        <w:t>起</w:t>
      </w:r>
      <w:r w:rsidR="00CF4197" w:rsidRPr="00CF4197">
        <w:rPr>
          <w:rFonts w:ascii="Arial" w:eastAsia="宋体" w:hAnsi="Arial" w:cs="Arial" w:hint="eastAsia"/>
          <w:szCs w:val="21"/>
        </w:rPr>
        <w:t>位居第二</w:t>
      </w:r>
      <w:r w:rsidR="00A36197" w:rsidRPr="00CF4197">
        <w:rPr>
          <w:rFonts w:ascii="Arial" w:eastAsia="宋体" w:hAnsi="Arial" w:cs="Arial"/>
          <w:szCs w:val="21"/>
        </w:rPr>
        <w:t>，占比</w:t>
      </w:r>
      <w:r w:rsidR="00A36197" w:rsidRPr="00CF4197">
        <w:rPr>
          <w:rFonts w:ascii="Arial" w:eastAsia="宋体" w:hAnsi="Arial" w:cs="Arial"/>
          <w:szCs w:val="21"/>
        </w:rPr>
        <w:t>9.</w:t>
      </w:r>
      <w:r w:rsidR="00806064">
        <w:rPr>
          <w:rFonts w:ascii="Arial" w:eastAsia="宋体" w:hAnsi="Arial" w:cs="Arial" w:hint="eastAsia"/>
          <w:szCs w:val="21"/>
        </w:rPr>
        <w:t>2</w:t>
      </w:r>
      <w:r w:rsidR="00A36197" w:rsidRPr="00CF4197">
        <w:rPr>
          <w:rFonts w:ascii="Arial" w:eastAsia="宋体" w:hAnsi="Arial" w:cs="Arial"/>
          <w:szCs w:val="21"/>
        </w:rPr>
        <w:t>%</w:t>
      </w:r>
      <w:r w:rsidR="00A36197" w:rsidRPr="00CF4197">
        <w:rPr>
          <w:rFonts w:ascii="Arial" w:eastAsia="宋体" w:hAnsi="Arial" w:cs="Arial"/>
          <w:szCs w:val="21"/>
        </w:rPr>
        <w:t>；第三名是</w:t>
      </w:r>
      <w:r w:rsidR="00CF4197" w:rsidRPr="00CF4197">
        <w:rPr>
          <w:rFonts w:ascii="Arial" w:eastAsia="宋体" w:hAnsi="Arial" w:cs="Arial"/>
          <w:szCs w:val="21"/>
        </w:rPr>
        <w:t>生物技术</w:t>
      </w:r>
      <w:r w:rsidR="00CF4197" w:rsidRPr="00CF4197">
        <w:rPr>
          <w:rFonts w:ascii="Arial" w:eastAsia="宋体" w:hAnsi="Arial" w:cs="Arial"/>
          <w:szCs w:val="21"/>
        </w:rPr>
        <w:t>/</w:t>
      </w:r>
      <w:r w:rsidR="00CF4197" w:rsidRPr="00CF4197">
        <w:rPr>
          <w:rFonts w:ascii="Arial" w:eastAsia="宋体" w:hAnsi="Arial" w:cs="Arial"/>
          <w:szCs w:val="21"/>
        </w:rPr>
        <w:t>医疗健康</w:t>
      </w:r>
      <w:r w:rsidR="00A36197" w:rsidRPr="00CF4197">
        <w:rPr>
          <w:rFonts w:ascii="Arial" w:eastAsia="宋体" w:hAnsi="Arial" w:cs="Arial"/>
          <w:szCs w:val="21"/>
        </w:rPr>
        <w:t>行业，完成交易</w:t>
      </w:r>
      <w:r w:rsidR="00806064">
        <w:rPr>
          <w:rFonts w:ascii="Arial" w:eastAsia="宋体" w:hAnsi="Arial" w:cs="Arial" w:hint="eastAsia"/>
          <w:szCs w:val="21"/>
        </w:rPr>
        <w:t>87</w:t>
      </w:r>
      <w:r w:rsidR="00A36197" w:rsidRPr="00CF4197">
        <w:rPr>
          <w:rFonts w:ascii="Arial" w:eastAsia="宋体" w:hAnsi="Arial" w:cs="Arial"/>
          <w:szCs w:val="21"/>
        </w:rPr>
        <w:t>起，占总交易量的</w:t>
      </w:r>
      <w:r w:rsidR="00806064">
        <w:rPr>
          <w:rFonts w:ascii="Arial" w:eastAsia="宋体" w:hAnsi="Arial" w:cs="Arial" w:hint="eastAsia"/>
          <w:szCs w:val="21"/>
        </w:rPr>
        <w:t>9</w:t>
      </w:r>
      <w:r w:rsidR="00CF4197" w:rsidRPr="00CF4197">
        <w:rPr>
          <w:rFonts w:ascii="Arial" w:eastAsia="宋体" w:hAnsi="Arial" w:cs="Arial"/>
          <w:szCs w:val="21"/>
        </w:rPr>
        <w:t>.</w:t>
      </w:r>
      <w:r w:rsidR="00806064">
        <w:rPr>
          <w:rFonts w:ascii="Arial" w:eastAsia="宋体" w:hAnsi="Arial" w:cs="Arial" w:hint="eastAsia"/>
          <w:szCs w:val="21"/>
        </w:rPr>
        <w:t>0</w:t>
      </w:r>
      <w:r w:rsidR="00A36197" w:rsidRPr="00CF4197">
        <w:rPr>
          <w:rFonts w:ascii="Arial" w:eastAsia="宋体" w:hAnsi="Arial" w:cs="Arial"/>
          <w:szCs w:val="21"/>
        </w:rPr>
        <w:t>%</w:t>
      </w:r>
      <w:r w:rsidR="00CF4197" w:rsidRPr="00CF4197">
        <w:rPr>
          <w:rFonts w:ascii="Arial" w:eastAsia="宋体" w:hAnsi="Arial" w:cs="Arial" w:hint="eastAsia"/>
          <w:szCs w:val="21"/>
        </w:rPr>
        <w:t>；前三位的行业总并购数量</w:t>
      </w:r>
      <w:r w:rsidR="00806064">
        <w:rPr>
          <w:rFonts w:ascii="Arial" w:eastAsia="宋体" w:hAnsi="Arial" w:cs="Arial" w:hint="eastAsia"/>
          <w:szCs w:val="21"/>
        </w:rPr>
        <w:t>274</w:t>
      </w:r>
      <w:r w:rsidR="00CF4197" w:rsidRPr="00CF4197">
        <w:rPr>
          <w:rFonts w:ascii="Arial" w:eastAsia="宋体" w:hAnsi="Arial" w:cs="Arial" w:hint="eastAsia"/>
          <w:szCs w:val="21"/>
        </w:rPr>
        <w:t>起，比</w:t>
      </w:r>
      <w:r w:rsidR="00CF4197" w:rsidRPr="00CF4197">
        <w:rPr>
          <w:rFonts w:ascii="Arial" w:eastAsia="宋体" w:hAnsi="Arial" w:cs="Arial" w:hint="eastAsia"/>
          <w:szCs w:val="21"/>
        </w:rPr>
        <w:t>2013</w:t>
      </w:r>
      <w:r w:rsidR="00CF4197" w:rsidRPr="00CF4197">
        <w:rPr>
          <w:rFonts w:ascii="Arial" w:eastAsia="宋体" w:hAnsi="Arial" w:cs="Arial" w:hint="eastAsia"/>
          <w:szCs w:val="21"/>
        </w:rPr>
        <w:t>年多出</w:t>
      </w:r>
      <w:r w:rsidR="00806064">
        <w:rPr>
          <w:rFonts w:ascii="Arial" w:eastAsia="宋体" w:hAnsi="Arial" w:cs="Arial" w:hint="eastAsia"/>
          <w:szCs w:val="21"/>
        </w:rPr>
        <w:t>43</w:t>
      </w:r>
      <w:r w:rsidR="00CF4197" w:rsidRPr="00CF4197">
        <w:rPr>
          <w:rFonts w:ascii="Arial" w:eastAsia="宋体" w:hAnsi="Arial" w:cs="Arial" w:hint="eastAsia"/>
          <w:szCs w:val="21"/>
        </w:rPr>
        <w:t>起</w:t>
      </w:r>
      <w:r w:rsidR="00A36197" w:rsidRPr="00CF4197">
        <w:rPr>
          <w:rFonts w:ascii="Arial" w:eastAsia="宋体" w:hAnsi="Arial" w:cs="Arial"/>
          <w:szCs w:val="21"/>
        </w:rPr>
        <w:t>。在并购金额方面，</w:t>
      </w:r>
      <w:r w:rsidR="00CF4197">
        <w:rPr>
          <w:rFonts w:ascii="Arial" w:eastAsia="宋体" w:hAnsi="Arial" w:cs="Arial" w:hint="eastAsia"/>
          <w:szCs w:val="21"/>
        </w:rPr>
        <w:t>电子及光电设备、</w:t>
      </w:r>
      <w:r w:rsidR="00806064">
        <w:rPr>
          <w:rFonts w:ascii="Arial" w:eastAsia="宋体" w:hAnsi="Arial" w:cs="Arial" w:hint="eastAsia"/>
          <w:szCs w:val="21"/>
        </w:rPr>
        <w:t>金融、</w:t>
      </w:r>
      <w:r w:rsidR="00CF4197">
        <w:rPr>
          <w:rFonts w:ascii="Arial" w:eastAsia="宋体" w:hAnsi="Arial" w:cs="Arial" w:hint="eastAsia"/>
          <w:szCs w:val="21"/>
        </w:rPr>
        <w:t>互联网行业分别位居前三位，涉及交易金额分别为</w:t>
      </w:r>
      <w:r w:rsidR="00806064">
        <w:rPr>
          <w:rFonts w:ascii="Arial" w:eastAsia="宋体" w:hAnsi="Arial" w:cs="Arial" w:hint="eastAsia"/>
          <w:szCs w:val="21"/>
        </w:rPr>
        <w:t>85.86</w:t>
      </w:r>
      <w:r w:rsidR="00CF4197">
        <w:rPr>
          <w:rFonts w:ascii="Arial" w:eastAsia="宋体" w:hAnsi="Arial" w:cs="Arial" w:hint="eastAsia"/>
          <w:szCs w:val="21"/>
        </w:rPr>
        <w:t>亿美元、</w:t>
      </w:r>
      <w:r w:rsidR="00806064">
        <w:rPr>
          <w:rFonts w:ascii="Arial" w:eastAsia="宋体" w:hAnsi="Arial" w:cs="Arial" w:hint="eastAsia"/>
          <w:szCs w:val="21"/>
        </w:rPr>
        <w:t>82.69</w:t>
      </w:r>
      <w:r w:rsidR="00CF4197">
        <w:rPr>
          <w:rFonts w:ascii="Arial" w:eastAsia="宋体" w:hAnsi="Arial" w:cs="Arial" w:hint="eastAsia"/>
          <w:szCs w:val="21"/>
        </w:rPr>
        <w:t>亿美元和</w:t>
      </w:r>
      <w:r w:rsidR="00806064">
        <w:rPr>
          <w:rFonts w:ascii="Arial" w:eastAsia="宋体" w:hAnsi="Arial" w:cs="Arial" w:hint="eastAsia"/>
          <w:szCs w:val="21"/>
        </w:rPr>
        <w:t>80.95</w:t>
      </w:r>
      <w:r w:rsidR="00CF4197">
        <w:rPr>
          <w:rFonts w:ascii="Arial" w:eastAsia="宋体" w:hAnsi="Arial" w:cs="Arial" w:hint="eastAsia"/>
          <w:szCs w:val="21"/>
        </w:rPr>
        <w:t>亿美元。金融行业</w:t>
      </w:r>
      <w:r w:rsidR="00CF4197">
        <w:rPr>
          <w:rFonts w:ascii="Arial" w:eastAsia="宋体" w:hAnsi="Arial" w:cs="Arial" w:hint="eastAsia"/>
          <w:szCs w:val="21"/>
        </w:rPr>
        <w:t>2014</w:t>
      </w:r>
      <w:r w:rsidR="00806064">
        <w:rPr>
          <w:rFonts w:ascii="Arial" w:eastAsia="宋体" w:hAnsi="Arial" w:cs="Arial" w:hint="eastAsia"/>
          <w:szCs w:val="21"/>
        </w:rPr>
        <w:t>年较</w:t>
      </w:r>
      <w:r w:rsidR="00806064">
        <w:rPr>
          <w:rFonts w:ascii="Arial" w:eastAsia="宋体" w:hAnsi="Arial" w:cs="Arial" w:hint="eastAsia"/>
          <w:szCs w:val="21"/>
        </w:rPr>
        <w:t>2013</w:t>
      </w:r>
      <w:r w:rsidR="00806064">
        <w:rPr>
          <w:rFonts w:ascii="Arial" w:eastAsia="宋体" w:hAnsi="Arial" w:cs="Arial" w:hint="eastAsia"/>
          <w:szCs w:val="21"/>
        </w:rPr>
        <w:t>年排名有所上升</w:t>
      </w:r>
      <w:r w:rsidR="00CF4197">
        <w:rPr>
          <w:rFonts w:ascii="Arial" w:eastAsia="宋体" w:hAnsi="Arial" w:cs="Arial" w:hint="eastAsia"/>
          <w:szCs w:val="21"/>
        </w:rPr>
        <w:t>的原因是</w:t>
      </w:r>
      <w:r w:rsidR="004B0070" w:rsidRPr="004B0070">
        <w:rPr>
          <w:rFonts w:ascii="Arial" w:eastAsia="宋体" w:hAnsi="Arial" w:cs="Arial" w:hint="eastAsia"/>
          <w:szCs w:val="21"/>
        </w:rPr>
        <w:t>方正证券</w:t>
      </w:r>
      <w:r w:rsidR="004B0070">
        <w:rPr>
          <w:rFonts w:ascii="Arial" w:eastAsia="宋体" w:hAnsi="Arial" w:cs="Arial" w:hint="eastAsia"/>
          <w:szCs w:val="21"/>
        </w:rPr>
        <w:t>21.05</w:t>
      </w:r>
      <w:r w:rsidR="004B0070">
        <w:rPr>
          <w:rFonts w:ascii="Arial" w:eastAsia="宋体" w:hAnsi="Arial" w:cs="Arial" w:hint="eastAsia"/>
          <w:szCs w:val="21"/>
        </w:rPr>
        <w:t>亿美元</w:t>
      </w:r>
      <w:r w:rsidR="004B0070" w:rsidRPr="004B0070">
        <w:rPr>
          <w:rFonts w:ascii="Arial" w:eastAsia="宋体" w:hAnsi="Arial" w:cs="Arial" w:hint="eastAsia"/>
          <w:szCs w:val="21"/>
        </w:rPr>
        <w:t>收购民族证券</w:t>
      </w:r>
      <w:r w:rsidR="004B0070">
        <w:rPr>
          <w:rFonts w:ascii="Arial" w:eastAsia="宋体" w:hAnsi="Arial" w:cs="Arial" w:hint="eastAsia"/>
          <w:szCs w:val="21"/>
        </w:rPr>
        <w:t>和</w:t>
      </w:r>
      <w:r w:rsidR="004B0070" w:rsidRPr="004B0070">
        <w:rPr>
          <w:rFonts w:ascii="Arial" w:eastAsia="宋体" w:hAnsi="Arial" w:cs="Arial" w:hint="eastAsia"/>
          <w:szCs w:val="21"/>
        </w:rPr>
        <w:t>越秀集团</w:t>
      </w:r>
      <w:r w:rsidR="004B0070">
        <w:rPr>
          <w:rFonts w:ascii="Arial" w:eastAsia="宋体" w:hAnsi="Arial" w:cs="Arial" w:hint="eastAsia"/>
          <w:szCs w:val="21"/>
        </w:rPr>
        <w:t>15.02</w:t>
      </w:r>
      <w:r w:rsidR="004B0070">
        <w:rPr>
          <w:rFonts w:ascii="Arial" w:eastAsia="宋体" w:hAnsi="Arial" w:cs="Arial" w:hint="eastAsia"/>
          <w:szCs w:val="21"/>
        </w:rPr>
        <w:t>亿美元</w:t>
      </w:r>
      <w:r w:rsidR="004B0070" w:rsidRPr="004B0070">
        <w:rPr>
          <w:rFonts w:ascii="Arial" w:eastAsia="宋体" w:hAnsi="Arial" w:cs="Arial" w:hint="eastAsia"/>
          <w:szCs w:val="21"/>
        </w:rPr>
        <w:t>收购创兴银行</w:t>
      </w:r>
      <w:r w:rsidR="004B0070">
        <w:rPr>
          <w:rFonts w:ascii="Arial" w:eastAsia="宋体" w:hAnsi="Arial" w:cs="Arial" w:hint="eastAsia"/>
          <w:szCs w:val="21"/>
        </w:rPr>
        <w:t>两起大型并购交易的产生，在金融行业并购总额中贡献度达</w:t>
      </w:r>
      <w:r w:rsidR="00806064">
        <w:rPr>
          <w:rFonts w:ascii="Arial" w:eastAsia="宋体" w:hAnsi="Arial" w:cs="Arial" w:hint="eastAsia"/>
          <w:szCs w:val="21"/>
        </w:rPr>
        <w:t>43.6</w:t>
      </w:r>
      <w:r w:rsidR="004B0070">
        <w:rPr>
          <w:rFonts w:ascii="Arial" w:eastAsia="宋体" w:hAnsi="Arial" w:cs="Arial" w:hint="eastAsia"/>
          <w:szCs w:val="21"/>
        </w:rPr>
        <w:t>%</w:t>
      </w:r>
      <w:r w:rsidR="004B0070">
        <w:rPr>
          <w:rFonts w:ascii="Arial" w:eastAsia="宋体" w:hAnsi="Arial" w:cs="Arial" w:hint="eastAsia"/>
          <w:szCs w:val="21"/>
        </w:rPr>
        <w:t>。</w:t>
      </w:r>
    </w:p>
    <w:p w:rsidR="002174D3" w:rsidRPr="000F1C1F" w:rsidRDefault="002174D3" w:rsidP="002174D3">
      <w:pPr>
        <w:pStyle w:val="a8"/>
        <w:rPr>
          <w:rFonts w:ascii="Arial" w:eastAsia="宋体" w:hAnsi="Arial" w:cs="Arial"/>
        </w:rPr>
      </w:pPr>
    </w:p>
    <w:p w:rsidR="002174D3" w:rsidRPr="000F1C1F" w:rsidRDefault="002174D3" w:rsidP="002174D3">
      <w:pPr>
        <w:pStyle w:val="a8"/>
        <w:rPr>
          <w:rStyle w:val="a6"/>
          <w:rFonts w:ascii="Arial" w:eastAsia="宋体" w:hAnsi="Arial" w:cs="Arial"/>
          <w:bCs w:val="0"/>
          <w:sz w:val="18"/>
          <w:szCs w:val="18"/>
          <w:shd w:val="clear" w:color="auto" w:fill="FFFFFF"/>
        </w:rPr>
      </w:pPr>
      <w:r w:rsidRPr="000F1C1F">
        <w:rPr>
          <w:rStyle w:val="a6"/>
          <w:rFonts w:ascii="Arial" w:eastAsia="宋体" w:hAnsi="Arial" w:cs="Arial"/>
          <w:bCs w:val="0"/>
          <w:sz w:val="18"/>
          <w:szCs w:val="18"/>
          <w:shd w:val="clear" w:color="auto" w:fill="FFFFFF"/>
        </w:rPr>
        <w:t>表</w:t>
      </w:r>
      <w:r w:rsidR="003B01B6">
        <w:rPr>
          <w:rStyle w:val="a6"/>
          <w:rFonts w:ascii="Arial" w:eastAsia="宋体" w:hAnsi="Arial" w:cs="Arial"/>
          <w:sz w:val="18"/>
          <w:szCs w:val="18"/>
          <w:shd w:val="clear" w:color="auto" w:fill="FFFFFF"/>
        </w:rPr>
        <w:t>5  201</w:t>
      </w:r>
      <w:r w:rsidR="003B01B6">
        <w:rPr>
          <w:rStyle w:val="a6"/>
          <w:rFonts w:ascii="Arial" w:eastAsia="宋体" w:hAnsi="Arial" w:cs="Arial" w:hint="eastAsia"/>
          <w:sz w:val="18"/>
          <w:szCs w:val="18"/>
          <w:shd w:val="clear" w:color="auto" w:fill="FFFFFF"/>
        </w:rPr>
        <w:t>4</w:t>
      </w:r>
      <w:r w:rsidRPr="000F1C1F">
        <w:rPr>
          <w:rStyle w:val="a6"/>
          <w:rFonts w:ascii="Arial" w:eastAsia="宋体" w:hAnsi="Arial" w:cs="Arial"/>
          <w:sz w:val="18"/>
          <w:szCs w:val="18"/>
          <w:shd w:val="clear" w:color="auto" w:fill="FFFFFF"/>
        </w:rPr>
        <w:t>年</w:t>
      </w:r>
      <w:r w:rsidRPr="000F1C1F">
        <w:rPr>
          <w:rStyle w:val="a6"/>
          <w:rFonts w:ascii="Arial" w:eastAsia="宋体" w:hAnsi="Arial" w:cs="Arial"/>
          <w:bCs w:val="0"/>
          <w:sz w:val="18"/>
          <w:szCs w:val="18"/>
          <w:shd w:val="clear" w:color="auto" w:fill="FFFFFF"/>
        </w:rPr>
        <w:t>VC/PE</w:t>
      </w:r>
      <w:r w:rsidRPr="000F1C1F">
        <w:rPr>
          <w:rStyle w:val="a6"/>
          <w:rFonts w:ascii="Arial" w:eastAsia="宋体" w:hAnsi="Arial" w:cs="Arial"/>
          <w:bCs w:val="0"/>
          <w:sz w:val="18"/>
          <w:szCs w:val="18"/>
          <w:shd w:val="clear" w:color="auto" w:fill="FFFFFF"/>
        </w:rPr>
        <w:t>相关并购行业分布（按被并购方）</w:t>
      </w:r>
    </w:p>
    <w:tbl>
      <w:tblPr>
        <w:tblW w:w="9164" w:type="dxa"/>
        <w:tblInd w:w="108" w:type="dxa"/>
        <w:tblLook w:val="04A0"/>
      </w:tblPr>
      <w:tblGrid>
        <w:gridCol w:w="1923"/>
        <w:gridCol w:w="1163"/>
        <w:gridCol w:w="1206"/>
        <w:gridCol w:w="1173"/>
        <w:gridCol w:w="1324"/>
        <w:gridCol w:w="1187"/>
        <w:gridCol w:w="1188"/>
      </w:tblGrid>
      <w:tr w:rsidR="00806064" w:rsidRPr="00806064" w:rsidTr="00806064">
        <w:trPr>
          <w:trHeight w:val="464"/>
        </w:trPr>
        <w:tc>
          <w:tcPr>
            <w:tcW w:w="1923" w:type="dxa"/>
            <w:tcBorders>
              <w:top w:val="single" w:sz="8" w:space="0" w:color="003366"/>
              <w:left w:val="nil"/>
              <w:bottom w:val="nil"/>
              <w:right w:val="nil"/>
            </w:tcBorders>
            <w:shd w:val="clear" w:color="000000" w:fill="FFFFFF"/>
            <w:vAlign w:val="center"/>
            <w:hideMark/>
          </w:tcPr>
          <w:p w:rsidR="00806064" w:rsidRPr="00806064" w:rsidRDefault="00806064" w:rsidP="00806064">
            <w:pPr>
              <w:widowControl/>
              <w:jc w:val="center"/>
              <w:rPr>
                <w:rFonts w:ascii="宋体" w:eastAsia="宋体" w:hAnsi="宋体" w:cs="宋体"/>
                <w:b/>
                <w:bCs/>
                <w:kern w:val="0"/>
                <w:sz w:val="18"/>
                <w:szCs w:val="18"/>
              </w:rPr>
            </w:pPr>
            <w:r w:rsidRPr="00806064">
              <w:rPr>
                <w:rFonts w:ascii="宋体" w:eastAsia="宋体" w:hAnsi="宋体" w:cs="宋体" w:hint="eastAsia"/>
                <w:b/>
                <w:bCs/>
                <w:kern w:val="0"/>
                <w:sz w:val="18"/>
                <w:szCs w:val="18"/>
              </w:rPr>
              <w:t>行业</w:t>
            </w:r>
          </w:p>
        </w:tc>
        <w:tc>
          <w:tcPr>
            <w:tcW w:w="1163" w:type="dxa"/>
            <w:tcBorders>
              <w:top w:val="single" w:sz="8" w:space="0" w:color="003366"/>
              <w:left w:val="nil"/>
              <w:bottom w:val="single" w:sz="4" w:space="0" w:color="auto"/>
              <w:right w:val="nil"/>
            </w:tcBorders>
            <w:shd w:val="clear" w:color="000000" w:fill="FFFFFF"/>
            <w:vAlign w:val="center"/>
            <w:hideMark/>
          </w:tcPr>
          <w:p w:rsidR="00806064" w:rsidRPr="00806064" w:rsidRDefault="00806064" w:rsidP="00806064">
            <w:pPr>
              <w:widowControl/>
              <w:jc w:val="center"/>
              <w:rPr>
                <w:rFonts w:ascii="宋体" w:eastAsia="宋体" w:hAnsi="宋体" w:cs="宋体"/>
                <w:b/>
                <w:bCs/>
                <w:kern w:val="0"/>
                <w:sz w:val="18"/>
                <w:szCs w:val="18"/>
              </w:rPr>
            </w:pPr>
            <w:r w:rsidRPr="00806064">
              <w:rPr>
                <w:rFonts w:ascii="宋体" w:eastAsia="宋体" w:hAnsi="宋体" w:cs="宋体" w:hint="eastAsia"/>
                <w:b/>
                <w:bCs/>
                <w:kern w:val="0"/>
                <w:sz w:val="18"/>
                <w:szCs w:val="18"/>
              </w:rPr>
              <w:t>案例数</w:t>
            </w:r>
          </w:p>
        </w:tc>
        <w:tc>
          <w:tcPr>
            <w:tcW w:w="1206" w:type="dxa"/>
            <w:tcBorders>
              <w:top w:val="single" w:sz="8" w:space="0" w:color="003366"/>
              <w:left w:val="nil"/>
              <w:bottom w:val="single" w:sz="4" w:space="0" w:color="auto"/>
              <w:right w:val="nil"/>
            </w:tcBorders>
            <w:shd w:val="clear" w:color="000000" w:fill="FFFFFF"/>
            <w:vAlign w:val="center"/>
            <w:hideMark/>
          </w:tcPr>
          <w:p w:rsidR="00806064" w:rsidRPr="00806064" w:rsidRDefault="00806064" w:rsidP="00806064">
            <w:pPr>
              <w:widowControl/>
              <w:jc w:val="center"/>
              <w:rPr>
                <w:rFonts w:ascii="宋体" w:eastAsia="宋体" w:hAnsi="宋体" w:cs="宋体"/>
                <w:b/>
                <w:bCs/>
                <w:kern w:val="0"/>
                <w:sz w:val="18"/>
                <w:szCs w:val="18"/>
              </w:rPr>
            </w:pPr>
            <w:r w:rsidRPr="00806064">
              <w:rPr>
                <w:rFonts w:ascii="宋体" w:eastAsia="宋体" w:hAnsi="宋体" w:cs="宋体" w:hint="eastAsia"/>
                <w:b/>
                <w:bCs/>
                <w:kern w:val="0"/>
                <w:sz w:val="18"/>
                <w:szCs w:val="18"/>
              </w:rPr>
              <w:t>比例</w:t>
            </w:r>
          </w:p>
        </w:tc>
        <w:tc>
          <w:tcPr>
            <w:tcW w:w="1173" w:type="dxa"/>
            <w:tcBorders>
              <w:top w:val="single" w:sz="8" w:space="0" w:color="003366"/>
              <w:left w:val="nil"/>
              <w:bottom w:val="single" w:sz="4" w:space="0" w:color="auto"/>
              <w:right w:val="nil"/>
            </w:tcBorders>
            <w:shd w:val="clear" w:color="000000" w:fill="FFFFFF"/>
            <w:vAlign w:val="center"/>
            <w:hideMark/>
          </w:tcPr>
          <w:p w:rsidR="00806064" w:rsidRPr="00806064" w:rsidRDefault="00806064" w:rsidP="00806064">
            <w:pPr>
              <w:widowControl/>
              <w:jc w:val="center"/>
              <w:rPr>
                <w:rFonts w:ascii="宋体" w:eastAsia="宋体" w:hAnsi="宋体" w:cs="宋体"/>
                <w:b/>
                <w:bCs/>
                <w:kern w:val="0"/>
                <w:sz w:val="18"/>
                <w:szCs w:val="18"/>
              </w:rPr>
            </w:pPr>
            <w:r w:rsidRPr="00806064">
              <w:rPr>
                <w:rFonts w:ascii="宋体" w:eastAsia="宋体" w:hAnsi="宋体" w:cs="宋体" w:hint="eastAsia"/>
                <w:b/>
                <w:bCs/>
                <w:kern w:val="0"/>
                <w:sz w:val="18"/>
                <w:szCs w:val="18"/>
              </w:rPr>
              <w:t>案例数（金）</w:t>
            </w:r>
          </w:p>
        </w:tc>
        <w:tc>
          <w:tcPr>
            <w:tcW w:w="1324" w:type="dxa"/>
            <w:tcBorders>
              <w:top w:val="single" w:sz="8" w:space="0" w:color="003366"/>
              <w:left w:val="nil"/>
              <w:bottom w:val="single" w:sz="4" w:space="0" w:color="auto"/>
              <w:right w:val="nil"/>
            </w:tcBorders>
            <w:shd w:val="clear" w:color="000000" w:fill="FFFFFF"/>
            <w:vAlign w:val="center"/>
            <w:hideMark/>
          </w:tcPr>
          <w:p w:rsidR="00806064" w:rsidRPr="00806064" w:rsidRDefault="00806064" w:rsidP="00806064">
            <w:pPr>
              <w:widowControl/>
              <w:jc w:val="center"/>
              <w:rPr>
                <w:rFonts w:ascii="宋体" w:eastAsia="宋体" w:hAnsi="宋体" w:cs="宋体"/>
                <w:b/>
                <w:bCs/>
                <w:kern w:val="0"/>
                <w:sz w:val="18"/>
                <w:szCs w:val="18"/>
              </w:rPr>
            </w:pPr>
            <w:r w:rsidRPr="00806064">
              <w:rPr>
                <w:rFonts w:ascii="宋体" w:eastAsia="宋体" w:hAnsi="宋体" w:cs="宋体" w:hint="eastAsia"/>
                <w:b/>
                <w:bCs/>
                <w:kern w:val="0"/>
                <w:sz w:val="18"/>
                <w:szCs w:val="18"/>
              </w:rPr>
              <w:t>并购金额</w:t>
            </w:r>
            <w:r w:rsidRPr="00806064">
              <w:rPr>
                <w:rFonts w:ascii="Arial" w:eastAsia="宋体" w:hAnsi="Arial" w:cs="Arial"/>
                <w:b/>
                <w:bCs/>
                <w:kern w:val="0"/>
                <w:sz w:val="18"/>
                <w:szCs w:val="18"/>
              </w:rPr>
              <w:t>(US$M)</w:t>
            </w:r>
          </w:p>
        </w:tc>
        <w:tc>
          <w:tcPr>
            <w:tcW w:w="1187" w:type="dxa"/>
            <w:tcBorders>
              <w:top w:val="single" w:sz="8" w:space="0" w:color="003366"/>
              <w:left w:val="nil"/>
              <w:bottom w:val="single" w:sz="4" w:space="0" w:color="auto"/>
              <w:right w:val="nil"/>
            </w:tcBorders>
            <w:shd w:val="clear" w:color="000000" w:fill="FFFFFF"/>
            <w:vAlign w:val="center"/>
            <w:hideMark/>
          </w:tcPr>
          <w:p w:rsidR="00806064" w:rsidRPr="00806064" w:rsidRDefault="00806064" w:rsidP="00806064">
            <w:pPr>
              <w:widowControl/>
              <w:jc w:val="center"/>
              <w:rPr>
                <w:rFonts w:ascii="宋体" w:eastAsia="宋体" w:hAnsi="宋体" w:cs="宋体"/>
                <w:b/>
                <w:bCs/>
                <w:kern w:val="0"/>
                <w:sz w:val="18"/>
                <w:szCs w:val="18"/>
              </w:rPr>
            </w:pPr>
            <w:r w:rsidRPr="00806064">
              <w:rPr>
                <w:rFonts w:ascii="宋体" w:eastAsia="宋体" w:hAnsi="宋体" w:cs="宋体" w:hint="eastAsia"/>
                <w:b/>
                <w:bCs/>
                <w:kern w:val="0"/>
                <w:sz w:val="18"/>
                <w:szCs w:val="18"/>
              </w:rPr>
              <w:t>比例</w:t>
            </w:r>
          </w:p>
        </w:tc>
        <w:tc>
          <w:tcPr>
            <w:tcW w:w="1188" w:type="dxa"/>
            <w:tcBorders>
              <w:top w:val="single" w:sz="8" w:space="0" w:color="003366"/>
              <w:left w:val="nil"/>
              <w:bottom w:val="single" w:sz="4" w:space="0" w:color="auto"/>
              <w:right w:val="nil"/>
            </w:tcBorders>
            <w:shd w:val="clear" w:color="000000" w:fill="FFFFFF"/>
            <w:vAlign w:val="center"/>
            <w:hideMark/>
          </w:tcPr>
          <w:p w:rsidR="00806064" w:rsidRPr="00806064" w:rsidRDefault="00806064" w:rsidP="00806064">
            <w:pPr>
              <w:widowControl/>
              <w:jc w:val="center"/>
              <w:rPr>
                <w:rFonts w:ascii="宋体" w:eastAsia="宋体" w:hAnsi="宋体" w:cs="宋体"/>
                <w:b/>
                <w:bCs/>
                <w:kern w:val="0"/>
                <w:sz w:val="18"/>
                <w:szCs w:val="18"/>
              </w:rPr>
            </w:pPr>
            <w:r w:rsidRPr="00806064">
              <w:rPr>
                <w:rFonts w:ascii="宋体" w:eastAsia="宋体" w:hAnsi="宋体" w:cs="宋体" w:hint="eastAsia"/>
                <w:b/>
                <w:bCs/>
                <w:kern w:val="0"/>
                <w:sz w:val="18"/>
                <w:szCs w:val="18"/>
              </w:rPr>
              <w:t>平均并购金额</w:t>
            </w:r>
            <w:r w:rsidRPr="00806064">
              <w:rPr>
                <w:rFonts w:ascii="Arial" w:eastAsia="宋体" w:hAnsi="Arial" w:cs="Arial"/>
                <w:b/>
                <w:bCs/>
                <w:kern w:val="0"/>
                <w:sz w:val="18"/>
                <w:szCs w:val="18"/>
              </w:rPr>
              <w:t>(US$M)</w:t>
            </w:r>
          </w:p>
        </w:tc>
      </w:tr>
      <w:tr w:rsidR="00806064" w:rsidRPr="00806064" w:rsidTr="00806064">
        <w:trPr>
          <w:trHeight w:val="240"/>
        </w:trPr>
        <w:tc>
          <w:tcPr>
            <w:tcW w:w="1923" w:type="dxa"/>
            <w:tcBorders>
              <w:top w:val="single" w:sz="4" w:space="0" w:color="000000"/>
              <w:left w:val="nil"/>
              <w:bottom w:val="nil"/>
              <w:right w:val="nil"/>
            </w:tcBorders>
            <w:shd w:val="clear" w:color="000000" w:fill="FFFFFF"/>
            <w:noWrap/>
            <w:vAlign w:val="bottom"/>
            <w:hideMark/>
          </w:tcPr>
          <w:p w:rsidR="00806064" w:rsidRPr="00806064" w:rsidRDefault="00806064" w:rsidP="00806064">
            <w:pPr>
              <w:widowControl/>
              <w:jc w:val="left"/>
              <w:rPr>
                <w:rFonts w:ascii="Arial" w:eastAsia="宋体" w:hAnsi="Arial" w:cs="Arial"/>
                <w:kern w:val="0"/>
                <w:sz w:val="18"/>
                <w:szCs w:val="18"/>
              </w:rPr>
            </w:pPr>
            <w:r w:rsidRPr="00806064">
              <w:rPr>
                <w:rFonts w:ascii="Arial" w:eastAsia="宋体" w:hAnsi="Arial" w:cs="Arial"/>
                <w:kern w:val="0"/>
                <w:sz w:val="18"/>
                <w:szCs w:val="18"/>
              </w:rPr>
              <w:t>互联网</w:t>
            </w:r>
          </w:p>
        </w:tc>
        <w:tc>
          <w:tcPr>
            <w:tcW w:w="1163"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98 </w:t>
            </w:r>
          </w:p>
        </w:tc>
        <w:tc>
          <w:tcPr>
            <w:tcW w:w="1206"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10.1%</w:t>
            </w:r>
          </w:p>
        </w:tc>
        <w:tc>
          <w:tcPr>
            <w:tcW w:w="1173"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77</w:t>
            </w:r>
          </w:p>
        </w:tc>
        <w:tc>
          <w:tcPr>
            <w:tcW w:w="1324"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8,095.20 </w:t>
            </w:r>
          </w:p>
        </w:tc>
        <w:tc>
          <w:tcPr>
            <w:tcW w:w="1187"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11.8%</w:t>
            </w:r>
          </w:p>
        </w:tc>
        <w:tc>
          <w:tcPr>
            <w:tcW w:w="1188"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105.13 </w:t>
            </w:r>
          </w:p>
        </w:tc>
      </w:tr>
      <w:tr w:rsidR="00806064" w:rsidRPr="00806064" w:rsidTr="00806064">
        <w:trPr>
          <w:trHeight w:val="240"/>
        </w:trPr>
        <w:tc>
          <w:tcPr>
            <w:tcW w:w="1923" w:type="dxa"/>
            <w:tcBorders>
              <w:top w:val="nil"/>
              <w:left w:val="nil"/>
              <w:bottom w:val="nil"/>
              <w:right w:val="nil"/>
            </w:tcBorders>
            <w:shd w:val="clear" w:color="000000" w:fill="FFFFFF"/>
            <w:noWrap/>
            <w:vAlign w:val="center"/>
            <w:hideMark/>
          </w:tcPr>
          <w:p w:rsidR="00806064" w:rsidRPr="00806064" w:rsidRDefault="00806064" w:rsidP="00806064">
            <w:pPr>
              <w:widowControl/>
              <w:jc w:val="left"/>
              <w:rPr>
                <w:rFonts w:ascii="Arial" w:eastAsia="宋体" w:hAnsi="Arial" w:cs="Arial"/>
                <w:color w:val="000000"/>
                <w:kern w:val="0"/>
                <w:sz w:val="18"/>
                <w:szCs w:val="18"/>
              </w:rPr>
            </w:pPr>
            <w:r w:rsidRPr="00806064">
              <w:rPr>
                <w:rFonts w:ascii="Arial" w:eastAsia="宋体" w:hAnsi="Arial" w:cs="Arial"/>
                <w:color w:val="000000"/>
                <w:kern w:val="0"/>
                <w:sz w:val="18"/>
                <w:szCs w:val="18"/>
              </w:rPr>
              <w:t>机械制造</w:t>
            </w:r>
          </w:p>
        </w:tc>
        <w:tc>
          <w:tcPr>
            <w:tcW w:w="1163"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89 </w:t>
            </w:r>
          </w:p>
        </w:tc>
        <w:tc>
          <w:tcPr>
            <w:tcW w:w="1206"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9.2%</w:t>
            </w:r>
          </w:p>
        </w:tc>
        <w:tc>
          <w:tcPr>
            <w:tcW w:w="1173"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83</w:t>
            </w:r>
          </w:p>
        </w:tc>
        <w:tc>
          <w:tcPr>
            <w:tcW w:w="1324"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3,918.03 </w:t>
            </w:r>
          </w:p>
        </w:tc>
        <w:tc>
          <w:tcPr>
            <w:tcW w:w="1187"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5.7%</w:t>
            </w:r>
          </w:p>
        </w:tc>
        <w:tc>
          <w:tcPr>
            <w:tcW w:w="1188"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47.21 </w:t>
            </w:r>
          </w:p>
        </w:tc>
      </w:tr>
      <w:tr w:rsidR="00806064" w:rsidRPr="00806064" w:rsidTr="00806064">
        <w:trPr>
          <w:trHeight w:val="240"/>
        </w:trPr>
        <w:tc>
          <w:tcPr>
            <w:tcW w:w="1923" w:type="dxa"/>
            <w:tcBorders>
              <w:top w:val="nil"/>
              <w:left w:val="nil"/>
              <w:bottom w:val="nil"/>
              <w:right w:val="nil"/>
            </w:tcBorders>
            <w:shd w:val="clear" w:color="000000" w:fill="FFFFFF"/>
            <w:noWrap/>
            <w:vAlign w:val="center"/>
            <w:hideMark/>
          </w:tcPr>
          <w:p w:rsidR="00806064" w:rsidRPr="00806064" w:rsidRDefault="00806064" w:rsidP="00806064">
            <w:pPr>
              <w:widowControl/>
              <w:jc w:val="left"/>
              <w:rPr>
                <w:rFonts w:ascii="Arial" w:eastAsia="宋体" w:hAnsi="Arial" w:cs="Arial"/>
                <w:color w:val="000000"/>
                <w:kern w:val="0"/>
                <w:sz w:val="18"/>
                <w:szCs w:val="18"/>
              </w:rPr>
            </w:pPr>
            <w:r w:rsidRPr="00806064">
              <w:rPr>
                <w:rFonts w:ascii="Arial" w:eastAsia="宋体" w:hAnsi="Arial" w:cs="Arial"/>
                <w:color w:val="000000"/>
                <w:kern w:val="0"/>
                <w:sz w:val="18"/>
                <w:szCs w:val="18"/>
              </w:rPr>
              <w:t>生物技术</w:t>
            </w:r>
            <w:r w:rsidRPr="00806064">
              <w:rPr>
                <w:rFonts w:ascii="Arial" w:eastAsia="宋体" w:hAnsi="Arial" w:cs="Arial"/>
                <w:color w:val="000000"/>
                <w:kern w:val="0"/>
                <w:sz w:val="18"/>
                <w:szCs w:val="18"/>
              </w:rPr>
              <w:t>/</w:t>
            </w:r>
            <w:r w:rsidRPr="00806064">
              <w:rPr>
                <w:rFonts w:ascii="Arial" w:eastAsia="宋体" w:hAnsi="Arial" w:cs="Arial"/>
                <w:color w:val="000000"/>
                <w:kern w:val="0"/>
                <w:sz w:val="18"/>
                <w:szCs w:val="18"/>
              </w:rPr>
              <w:t>医疗健康</w:t>
            </w:r>
          </w:p>
        </w:tc>
        <w:tc>
          <w:tcPr>
            <w:tcW w:w="1163"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87 </w:t>
            </w:r>
          </w:p>
        </w:tc>
        <w:tc>
          <w:tcPr>
            <w:tcW w:w="1206"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9.0%</w:t>
            </w:r>
          </w:p>
        </w:tc>
        <w:tc>
          <w:tcPr>
            <w:tcW w:w="1173"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85</w:t>
            </w:r>
          </w:p>
        </w:tc>
        <w:tc>
          <w:tcPr>
            <w:tcW w:w="1324"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5,738.93 </w:t>
            </w:r>
          </w:p>
        </w:tc>
        <w:tc>
          <w:tcPr>
            <w:tcW w:w="1187"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8.3%</w:t>
            </w:r>
          </w:p>
        </w:tc>
        <w:tc>
          <w:tcPr>
            <w:tcW w:w="1188"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67.52 </w:t>
            </w:r>
          </w:p>
        </w:tc>
      </w:tr>
      <w:tr w:rsidR="00806064" w:rsidRPr="00806064" w:rsidTr="00806064">
        <w:trPr>
          <w:trHeight w:val="240"/>
        </w:trPr>
        <w:tc>
          <w:tcPr>
            <w:tcW w:w="1923" w:type="dxa"/>
            <w:tcBorders>
              <w:top w:val="nil"/>
              <w:left w:val="nil"/>
              <w:bottom w:val="nil"/>
              <w:right w:val="nil"/>
            </w:tcBorders>
            <w:shd w:val="clear" w:color="000000" w:fill="FFFFFF"/>
            <w:noWrap/>
            <w:vAlign w:val="center"/>
            <w:hideMark/>
          </w:tcPr>
          <w:p w:rsidR="00806064" w:rsidRPr="00806064" w:rsidRDefault="00806064" w:rsidP="00806064">
            <w:pPr>
              <w:widowControl/>
              <w:jc w:val="left"/>
              <w:rPr>
                <w:rFonts w:ascii="Arial" w:eastAsia="宋体" w:hAnsi="Arial" w:cs="Arial"/>
                <w:color w:val="000000"/>
                <w:kern w:val="0"/>
                <w:sz w:val="18"/>
                <w:szCs w:val="18"/>
              </w:rPr>
            </w:pPr>
            <w:r w:rsidRPr="00806064">
              <w:rPr>
                <w:rFonts w:ascii="Arial" w:eastAsia="宋体" w:hAnsi="Arial" w:cs="Arial"/>
                <w:color w:val="000000"/>
                <w:kern w:val="0"/>
                <w:sz w:val="18"/>
                <w:szCs w:val="18"/>
              </w:rPr>
              <w:t>清洁技术</w:t>
            </w:r>
          </w:p>
        </w:tc>
        <w:tc>
          <w:tcPr>
            <w:tcW w:w="1163"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80 </w:t>
            </w:r>
          </w:p>
        </w:tc>
        <w:tc>
          <w:tcPr>
            <w:tcW w:w="1206"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8.2%</w:t>
            </w:r>
          </w:p>
        </w:tc>
        <w:tc>
          <w:tcPr>
            <w:tcW w:w="1173"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73</w:t>
            </w:r>
          </w:p>
        </w:tc>
        <w:tc>
          <w:tcPr>
            <w:tcW w:w="1324"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3,433.49 </w:t>
            </w:r>
          </w:p>
        </w:tc>
        <w:tc>
          <w:tcPr>
            <w:tcW w:w="1187"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5.0%</w:t>
            </w:r>
          </w:p>
        </w:tc>
        <w:tc>
          <w:tcPr>
            <w:tcW w:w="1188"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47.03 </w:t>
            </w:r>
          </w:p>
        </w:tc>
      </w:tr>
      <w:tr w:rsidR="00806064" w:rsidRPr="00806064" w:rsidTr="00806064">
        <w:trPr>
          <w:trHeight w:val="270"/>
        </w:trPr>
        <w:tc>
          <w:tcPr>
            <w:tcW w:w="1923" w:type="dxa"/>
            <w:tcBorders>
              <w:top w:val="nil"/>
              <w:left w:val="nil"/>
              <w:bottom w:val="nil"/>
              <w:right w:val="nil"/>
            </w:tcBorders>
            <w:shd w:val="clear" w:color="000000" w:fill="FFFFFF"/>
            <w:noWrap/>
            <w:vAlign w:val="center"/>
            <w:hideMark/>
          </w:tcPr>
          <w:p w:rsidR="00806064" w:rsidRPr="00806064" w:rsidRDefault="00806064" w:rsidP="00806064">
            <w:pPr>
              <w:widowControl/>
              <w:jc w:val="left"/>
              <w:rPr>
                <w:rFonts w:ascii="Arial" w:eastAsia="宋体" w:hAnsi="Arial" w:cs="Arial"/>
                <w:color w:val="000000"/>
                <w:kern w:val="0"/>
                <w:sz w:val="18"/>
                <w:szCs w:val="18"/>
              </w:rPr>
            </w:pPr>
            <w:r w:rsidRPr="00806064">
              <w:rPr>
                <w:rFonts w:ascii="Arial" w:eastAsia="宋体" w:hAnsi="Arial" w:cs="Arial"/>
                <w:color w:val="000000"/>
                <w:kern w:val="0"/>
                <w:sz w:val="18"/>
                <w:szCs w:val="18"/>
              </w:rPr>
              <w:t>电子及光电设备</w:t>
            </w:r>
          </w:p>
        </w:tc>
        <w:tc>
          <w:tcPr>
            <w:tcW w:w="1163"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75 </w:t>
            </w:r>
          </w:p>
        </w:tc>
        <w:tc>
          <w:tcPr>
            <w:tcW w:w="1206"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7.7%</w:t>
            </w:r>
          </w:p>
        </w:tc>
        <w:tc>
          <w:tcPr>
            <w:tcW w:w="1173"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74</w:t>
            </w:r>
          </w:p>
        </w:tc>
        <w:tc>
          <w:tcPr>
            <w:tcW w:w="1324"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8,586.29 </w:t>
            </w:r>
          </w:p>
        </w:tc>
        <w:tc>
          <w:tcPr>
            <w:tcW w:w="1187"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12.5%</w:t>
            </w:r>
          </w:p>
        </w:tc>
        <w:tc>
          <w:tcPr>
            <w:tcW w:w="1188"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116.03 </w:t>
            </w:r>
          </w:p>
        </w:tc>
      </w:tr>
      <w:tr w:rsidR="00806064" w:rsidRPr="00806064" w:rsidTr="00806064">
        <w:trPr>
          <w:trHeight w:val="270"/>
        </w:trPr>
        <w:tc>
          <w:tcPr>
            <w:tcW w:w="1923" w:type="dxa"/>
            <w:tcBorders>
              <w:top w:val="nil"/>
              <w:left w:val="nil"/>
              <w:bottom w:val="nil"/>
              <w:right w:val="nil"/>
            </w:tcBorders>
            <w:shd w:val="clear" w:color="000000" w:fill="FFFFFF"/>
            <w:noWrap/>
            <w:vAlign w:val="center"/>
            <w:hideMark/>
          </w:tcPr>
          <w:p w:rsidR="00806064" w:rsidRPr="00806064" w:rsidRDefault="00806064" w:rsidP="00806064">
            <w:pPr>
              <w:widowControl/>
              <w:jc w:val="left"/>
              <w:rPr>
                <w:rFonts w:ascii="Arial" w:eastAsia="宋体" w:hAnsi="Arial" w:cs="Arial"/>
                <w:color w:val="000000"/>
                <w:kern w:val="0"/>
                <w:sz w:val="18"/>
                <w:szCs w:val="18"/>
              </w:rPr>
            </w:pPr>
            <w:r w:rsidRPr="00806064">
              <w:rPr>
                <w:rFonts w:ascii="Arial" w:eastAsia="宋体" w:hAnsi="Arial" w:cs="Arial"/>
                <w:color w:val="000000"/>
                <w:kern w:val="0"/>
                <w:sz w:val="18"/>
                <w:szCs w:val="18"/>
              </w:rPr>
              <w:t>IT</w:t>
            </w:r>
          </w:p>
        </w:tc>
        <w:tc>
          <w:tcPr>
            <w:tcW w:w="1163"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64 </w:t>
            </w:r>
          </w:p>
        </w:tc>
        <w:tc>
          <w:tcPr>
            <w:tcW w:w="1206"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6.6%</w:t>
            </w:r>
          </w:p>
        </w:tc>
        <w:tc>
          <w:tcPr>
            <w:tcW w:w="1173"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62</w:t>
            </w:r>
          </w:p>
        </w:tc>
        <w:tc>
          <w:tcPr>
            <w:tcW w:w="1324"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1,564.23 </w:t>
            </w:r>
          </w:p>
        </w:tc>
        <w:tc>
          <w:tcPr>
            <w:tcW w:w="1187"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2.3%</w:t>
            </w:r>
          </w:p>
        </w:tc>
        <w:tc>
          <w:tcPr>
            <w:tcW w:w="1188"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25.23 </w:t>
            </w:r>
          </w:p>
        </w:tc>
      </w:tr>
      <w:tr w:rsidR="00806064" w:rsidRPr="00806064" w:rsidTr="00806064">
        <w:trPr>
          <w:trHeight w:val="240"/>
        </w:trPr>
        <w:tc>
          <w:tcPr>
            <w:tcW w:w="1923" w:type="dxa"/>
            <w:tcBorders>
              <w:top w:val="nil"/>
              <w:left w:val="nil"/>
              <w:bottom w:val="nil"/>
              <w:right w:val="nil"/>
            </w:tcBorders>
            <w:shd w:val="clear" w:color="000000" w:fill="FFFFFF"/>
            <w:noWrap/>
            <w:vAlign w:val="center"/>
            <w:hideMark/>
          </w:tcPr>
          <w:p w:rsidR="00806064" w:rsidRPr="00806064" w:rsidRDefault="00806064" w:rsidP="00806064">
            <w:pPr>
              <w:widowControl/>
              <w:jc w:val="left"/>
              <w:rPr>
                <w:rFonts w:ascii="Arial" w:eastAsia="宋体" w:hAnsi="Arial" w:cs="Arial"/>
                <w:color w:val="000000"/>
                <w:kern w:val="0"/>
                <w:sz w:val="18"/>
                <w:szCs w:val="18"/>
              </w:rPr>
            </w:pPr>
            <w:r w:rsidRPr="00806064">
              <w:rPr>
                <w:rFonts w:ascii="Arial" w:eastAsia="宋体" w:hAnsi="Arial" w:cs="Arial"/>
                <w:color w:val="000000"/>
                <w:kern w:val="0"/>
                <w:sz w:val="18"/>
                <w:szCs w:val="18"/>
              </w:rPr>
              <w:t>化工原料及加工</w:t>
            </w:r>
          </w:p>
        </w:tc>
        <w:tc>
          <w:tcPr>
            <w:tcW w:w="1163"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61 </w:t>
            </w:r>
          </w:p>
        </w:tc>
        <w:tc>
          <w:tcPr>
            <w:tcW w:w="1206"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6.3%</w:t>
            </w:r>
          </w:p>
        </w:tc>
        <w:tc>
          <w:tcPr>
            <w:tcW w:w="1173"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60</w:t>
            </w:r>
          </w:p>
        </w:tc>
        <w:tc>
          <w:tcPr>
            <w:tcW w:w="1324"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4,070.11 </w:t>
            </w:r>
          </w:p>
        </w:tc>
        <w:tc>
          <w:tcPr>
            <w:tcW w:w="1187"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5.9%</w:t>
            </w:r>
          </w:p>
        </w:tc>
        <w:tc>
          <w:tcPr>
            <w:tcW w:w="1188"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67.84 </w:t>
            </w:r>
          </w:p>
        </w:tc>
      </w:tr>
      <w:tr w:rsidR="00806064" w:rsidRPr="00806064" w:rsidTr="00806064">
        <w:trPr>
          <w:trHeight w:val="240"/>
        </w:trPr>
        <w:tc>
          <w:tcPr>
            <w:tcW w:w="1923" w:type="dxa"/>
            <w:tcBorders>
              <w:top w:val="nil"/>
              <w:left w:val="nil"/>
              <w:bottom w:val="nil"/>
              <w:right w:val="nil"/>
            </w:tcBorders>
            <w:shd w:val="clear" w:color="000000" w:fill="FFFFFF"/>
            <w:noWrap/>
            <w:vAlign w:val="center"/>
            <w:hideMark/>
          </w:tcPr>
          <w:p w:rsidR="00806064" w:rsidRPr="00806064" w:rsidRDefault="00806064" w:rsidP="00806064">
            <w:pPr>
              <w:widowControl/>
              <w:jc w:val="left"/>
              <w:rPr>
                <w:rFonts w:ascii="Arial" w:eastAsia="宋体" w:hAnsi="Arial" w:cs="Arial"/>
                <w:color w:val="000000"/>
                <w:kern w:val="0"/>
                <w:sz w:val="18"/>
                <w:szCs w:val="18"/>
              </w:rPr>
            </w:pPr>
            <w:r w:rsidRPr="00806064">
              <w:rPr>
                <w:rFonts w:ascii="Arial" w:eastAsia="宋体" w:hAnsi="Arial" w:cs="Arial"/>
                <w:color w:val="000000"/>
                <w:kern w:val="0"/>
                <w:sz w:val="18"/>
                <w:szCs w:val="18"/>
              </w:rPr>
              <w:t>能源及矿产</w:t>
            </w:r>
          </w:p>
        </w:tc>
        <w:tc>
          <w:tcPr>
            <w:tcW w:w="1163"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54 </w:t>
            </w:r>
          </w:p>
        </w:tc>
        <w:tc>
          <w:tcPr>
            <w:tcW w:w="1206"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5.6%</w:t>
            </w:r>
          </w:p>
        </w:tc>
        <w:tc>
          <w:tcPr>
            <w:tcW w:w="1173"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53</w:t>
            </w:r>
          </w:p>
        </w:tc>
        <w:tc>
          <w:tcPr>
            <w:tcW w:w="1324"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3,987.00 </w:t>
            </w:r>
          </w:p>
        </w:tc>
        <w:tc>
          <w:tcPr>
            <w:tcW w:w="1187"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5.8%</w:t>
            </w:r>
          </w:p>
        </w:tc>
        <w:tc>
          <w:tcPr>
            <w:tcW w:w="1188"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75.23 </w:t>
            </w:r>
          </w:p>
        </w:tc>
      </w:tr>
      <w:tr w:rsidR="00806064" w:rsidRPr="00806064" w:rsidTr="00806064">
        <w:trPr>
          <w:trHeight w:val="240"/>
        </w:trPr>
        <w:tc>
          <w:tcPr>
            <w:tcW w:w="1923" w:type="dxa"/>
            <w:tcBorders>
              <w:top w:val="nil"/>
              <w:left w:val="nil"/>
              <w:bottom w:val="nil"/>
              <w:right w:val="nil"/>
            </w:tcBorders>
            <w:shd w:val="clear" w:color="000000" w:fill="FFFFFF"/>
            <w:noWrap/>
            <w:vAlign w:val="center"/>
            <w:hideMark/>
          </w:tcPr>
          <w:p w:rsidR="00806064" w:rsidRPr="00806064" w:rsidRDefault="00806064" w:rsidP="00806064">
            <w:pPr>
              <w:widowControl/>
              <w:jc w:val="left"/>
              <w:rPr>
                <w:rFonts w:ascii="Arial" w:eastAsia="宋体" w:hAnsi="Arial" w:cs="Arial"/>
                <w:color w:val="000000"/>
                <w:kern w:val="0"/>
                <w:sz w:val="18"/>
                <w:szCs w:val="18"/>
              </w:rPr>
            </w:pPr>
            <w:r w:rsidRPr="00806064">
              <w:rPr>
                <w:rFonts w:ascii="Arial" w:eastAsia="宋体" w:hAnsi="Arial" w:cs="Arial"/>
                <w:color w:val="000000"/>
                <w:kern w:val="0"/>
                <w:sz w:val="18"/>
                <w:szCs w:val="18"/>
              </w:rPr>
              <w:t>房地产</w:t>
            </w:r>
          </w:p>
        </w:tc>
        <w:tc>
          <w:tcPr>
            <w:tcW w:w="1163"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50 </w:t>
            </w:r>
          </w:p>
        </w:tc>
        <w:tc>
          <w:tcPr>
            <w:tcW w:w="1206"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5.1%</w:t>
            </w:r>
          </w:p>
        </w:tc>
        <w:tc>
          <w:tcPr>
            <w:tcW w:w="1173"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48</w:t>
            </w:r>
          </w:p>
        </w:tc>
        <w:tc>
          <w:tcPr>
            <w:tcW w:w="1324"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6,348.14 </w:t>
            </w:r>
          </w:p>
        </w:tc>
        <w:tc>
          <w:tcPr>
            <w:tcW w:w="1187"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9.2%</w:t>
            </w:r>
          </w:p>
        </w:tc>
        <w:tc>
          <w:tcPr>
            <w:tcW w:w="1188"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132.25 </w:t>
            </w:r>
          </w:p>
        </w:tc>
      </w:tr>
      <w:tr w:rsidR="00806064" w:rsidRPr="00806064" w:rsidTr="00806064">
        <w:trPr>
          <w:trHeight w:val="240"/>
        </w:trPr>
        <w:tc>
          <w:tcPr>
            <w:tcW w:w="1923" w:type="dxa"/>
            <w:tcBorders>
              <w:top w:val="nil"/>
              <w:left w:val="nil"/>
              <w:bottom w:val="nil"/>
              <w:right w:val="nil"/>
            </w:tcBorders>
            <w:shd w:val="clear" w:color="000000" w:fill="FFFFFF"/>
            <w:noWrap/>
            <w:vAlign w:val="center"/>
            <w:hideMark/>
          </w:tcPr>
          <w:p w:rsidR="00806064" w:rsidRPr="00806064" w:rsidRDefault="00806064" w:rsidP="00806064">
            <w:pPr>
              <w:widowControl/>
              <w:jc w:val="left"/>
              <w:rPr>
                <w:rFonts w:ascii="Arial" w:eastAsia="宋体" w:hAnsi="Arial" w:cs="Arial"/>
                <w:color w:val="000000"/>
                <w:kern w:val="0"/>
                <w:sz w:val="18"/>
                <w:szCs w:val="18"/>
              </w:rPr>
            </w:pPr>
            <w:r w:rsidRPr="00806064">
              <w:rPr>
                <w:rFonts w:ascii="Arial" w:eastAsia="宋体" w:hAnsi="Arial" w:cs="Arial"/>
                <w:color w:val="000000"/>
                <w:kern w:val="0"/>
                <w:sz w:val="18"/>
                <w:szCs w:val="18"/>
              </w:rPr>
              <w:t>电信及增值业务</w:t>
            </w:r>
          </w:p>
        </w:tc>
        <w:tc>
          <w:tcPr>
            <w:tcW w:w="1163"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50 </w:t>
            </w:r>
          </w:p>
        </w:tc>
        <w:tc>
          <w:tcPr>
            <w:tcW w:w="1206"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5.1%</w:t>
            </w:r>
          </w:p>
        </w:tc>
        <w:tc>
          <w:tcPr>
            <w:tcW w:w="1173"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43</w:t>
            </w:r>
          </w:p>
        </w:tc>
        <w:tc>
          <w:tcPr>
            <w:tcW w:w="1324"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6,639.66 </w:t>
            </w:r>
          </w:p>
        </w:tc>
        <w:tc>
          <w:tcPr>
            <w:tcW w:w="1187"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9.6%</w:t>
            </w:r>
          </w:p>
        </w:tc>
        <w:tc>
          <w:tcPr>
            <w:tcW w:w="1188"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154.41 </w:t>
            </w:r>
          </w:p>
        </w:tc>
      </w:tr>
      <w:tr w:rsidR="00806064" w:rsidRPr="00806064" w:rsidTr="00806064">
        <w:trPr>
          <w:trHeight w:val="240"/>
        </w:trPr>
        <w:tc>
          <w:tcPr>
            <w:tcW w:w="1923" w:type="dxa"/>
            <w:tcBorders>
              <w:top w:val="nil"/>
              <w:left w:val="nil"/>
              <w:bottom w:val="nil"/>
              <w:right w:val="nil"/>
            </w:tcBorders>
            <w:shd w:val="clear" w:color="000000" w:fill="FFFFFF"/>
            <w:noWrap/>
            <w:vAlign w:val="center"/>
            <w:hideMark/>
          </w:tcPr>
          <w:p w:rsidR="00806064" w:rsidRPr="00806064" w:rsidRDefault="00806064" w:rsidP="00806064">
            <w:pPr>
              <w:widowControl/>
              <w:jc w:val="left"/>
              <w:rPr>
                <w:rFonts w:ascii="Arial" w:eastAsia="宋体" w:hAnsi="Arial" w:cs="Arial"/>
                <w:color w:val="000000"/>
                <w:kern w:val="0"/>
                <w:sz w:val="18"/>
                <w:szCs w:val="18"/>
              </w:rPr>
            </w:pPr>
            <w:r w:rsidRPr="00806064">
              <w:rPr>
                <w:rFonts w:ascii="Arial" w:eastAsia="宋体" w:hAnsi="Arial" w:cs="Arial"/>
                <w:color w:val="000000"/>
                <w:kern w:val="0"/>
                <w:sz w:val="18"/>
                <w:szCs w:val="18"/>
              </w:rPr>
              <w:t>金融</w:t>
            </w:r>
          </w:p>
        </w:tc>
        <w:tc>
          <w:tcPr>
            <w:tcW w:w="1163"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48 </w:t>
            </w:r>
          </w:p>
        </w:tc>
        <w:tc>
          <w:tcPr>
            <w:tcW w:w="1206"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4.9%</w:t>
            </w:r>
          </w:p>
        </w:tc>
        <w:tc>
          <w:tcPr>
            <w:tcW w:w="1173"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46</w:t>
            </w:r>
          </w:p>
        </w:tc>
        <w:tc>
          <w:tcPr>
            <w:tcW w:w="1324"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8,269.42 </w:t>
            </w:r>
          </w:p>
        </w:tc>
        <w:tc>
          <w:tcPr>
            <w:tcW w:w="1187"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12.0%</w:t>
            </w:r>
          </w:p>
        </w:tc>
        <w:tc>
          <w:tcPr>
            <w:tcW w:w="1188"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179.77 </w:t>
            </w:r>
          </w:p>
        </w:tc>
      </w:tr>
      <w:tr w:rsidR="00806064" w:rsidRPr="00806064" w:rsidTr="00806064">
        <w:trPr>
          <w:trHeight w:val="240"/>
        </w:trPr>
        <w:tc>
          <w:tcPr>
            <w:tcW w:w="1923" w:type="dxa"/>
            <w:tcBorders>
              <w:top w:val="nil"/>
              <w:left w:val="nil"/>
              <w:bottom w:val="nil"/>
              <w:right w:val="nil"/>
            </w:tcBorders>
            <w:shd w:val="clear" w:color="000000" w:fill="FFFFFF"/>
            <w:noWrap/>
            <w:vAlign w:val="center"/>
            <w:hideMark/>
          </w:tcPr>
          <w:p w:rsidR="00806064" w:rsidRPr="00806064" w:rsidRDefault="00806064" w:rsidP="00806064">
            <w:pPr>
              <w:widowControl/>
              <w:jc w:val="left"/>
              <w:rPr>
                <w:rFonts w:ascii="Arial" w:eastAsia="宋体" w:hAnsi="Arial" w:cs="Arial"/>
                <w:color w:val="000000"/>
                <w:kern w:val="0"/>
                <w:sz w:val="18"/>
                <w:szCs w:val="18"/>
              </w:rPr>
            </w:pPr>
            <w:r w:rsidRPr="00806064">
              <w:rPr>
                <w:rFonts w:ascii="Arial" w:eastAsia="宋体" w:hAnsi="Arial" w:cs="Arial"/>
                <w:color w:val="000000"/>
                <w:kern w:val="0"/>
                <w:sz w:val="18"/>
                <w:szCs w:val="18"/>
              </w:rPr>
              <w:lastRenderedPageBreak/>
              <w:t>建筑</w:t>
            </w:r>
            <w:r w:rsidRPr="00806064">
              <w:rPr>
                <w:rFonts w:ascii="Arial" w:eastAsia="宋体" w:hAnsi="Arial" w:cs="Arial"/>
                <w:color w:val="000000"/>
                <w:kern w:val="0"/>
                <w:sz w:val="18"/>
                <w:szCs w:val="18"/>
              </w:rPr>
              <w:t>/</w:t>
            </w:r>
            <w:r w:rsidRPr="00806064">
              <w:rPr>
                <w:rFonts w:ascii="Arial" w:eastAsia="宋体" w:hAnsi="Arial" w:cs="Arial"/>
                <w:color w:val="000000"/>
                <w:kern w:val="0"/>
                <w:sz w:val="18"/>
                <w:szCs w:val="18"/>
              </w:rPr>
              <w:t>工程</w:t>
            </w:r>
          </w:p>
        </w:tc>
        <w:tc>
          <w:tcPr>
            <w:tcW w:w="1163"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44 </w:t>
            </w:r>
          </w:p>
        </w:tc>
        <w:tc>
          <w:tcPr>
            <w:tcW w:w="1206"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4.5%</w:t>
            </w:r>
          </w:p>
        </w:tc>
        <w:tc>
          <w:tcPr>
            <w:tcW w:w="1173"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42</w:t>
            </w:r>
          </w:p>
        </w:tc>
        <w:tc>
          <w:tcPr>
            <w:tcW w:w="1324"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1,658.95 </w:t>
            </w:r>
          </w:p>
        </w:tc>
        <w:tc>
          <w:tcPr>
            <w:tcW w:w="1187"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2.4%</w:t>
            </w:r>
          </w:p>
        </w:tc>
        <w:tc>
          <w:tcPr>
            <w:tcW w:w="1188"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39.50 </w:t>
            </w:r>
          </w:p>
        </w:tc>
      </w:tr>
      <w:tr w:rsidR="00806064" w:rsidRPr="00806064" w:rsidTr="00806064">
        <w:trPr>
          <w:trHeight w:val="240"/>
        </w:trPr>
        <w:tc>
          <w:tcPr>
            <w:tcW w:w="1923" w:type="dxa"/>
            <w:tcBorders>
              <w:top w:val="nil"/>
              <w:left w:val="nil"/>
              <w:bottom w:val="nil"/>
              <w:right w:val="nil"/>
            </w:tcBorders>
            <w:shd w:val="clear" w:color="000000" w:fill="FFFFFF"/>
            <w:noWrap/>
            <w:vAlign w:val="center"/>
            <w:hideMark/>
          </w:tcPr>
          <w:p w:rsidR="00806064" w:rsidRPr="00806064" w:rsidRDefault="00806064" w:rsidP="00806064">
            <w:pPr>
              <w:widowControl/>
              <w:jc w:val="left"/>
              <w:rPr>
                <w:rFonts w:ascii="Arial" w:eastAsia="宋体" w:hAnsi="Arial" w:cs="Arial"/>
                <w:color w:val="000000"/>
                <w:kern w:val="0"/>
                <w:sz w:val="18"/>
                <w:szCs w:val="18"/>
              </w:rPr>
            </w:pPr>
            <w:r w:rsidRPr="00806064">
              <w:rPr>
                <w:rFonts w:ascii="Arial" w:eastAsia="宋体" w:hAnsi="Arial" w:cs="Arial"/>
                <w:color w:val="000000"/>
                <w:kern w:val="0"/>
                <w:sz w:val="18"/>
                <w:szCs w:val="18"/>
              </w:rPr>
              <w:t>娱乐传媒</w:t>
            </w:r>
          </w:p>
        </w:tc>
        <w:tc>
          <w:tcPr>
            <w:tcW w:w="1163"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31 </w:t>
            </w:r>
          </w:p>
        </w:tc>
        <w:tc>
          <w:tcPr>
            <w:tcW w:w="1206"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3.2%</w:t>
            </w:r>
          </w:p>
        </w:tc>
        <w:tc>
          <w:tcPr>
            <w:tcW w:w="1173"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30</w:t>
            </w:r>
          </w:p>
        </w:tc>
        <w:tc>
          <w:tcPr>
            <w:tcW w:w="1324"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1,469.25 </w:t>
            </w:r>
          </w:p>
        </w:tc>
        <w:tc>
          <w:tcPr>
            <w:tcW w:w="1187"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2.1%</w:t>
            </w:r>
          </w:p>
        </w:tc>
        <w:tc>
          <w:tcPr>
            <w:tcW w:w="1188"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48.97 </w:t>
            </w:r>
          </w:p>
        </w:tc>
      </w:tr>
      <w:tr w:rsidR="00806064" w:rsidRPr="00806064" w:rsidTr="00806064">
        <w:trPr>
          <w:trHeight w:val="240"/>
        </w:trPr>
        <w:tc>
          <w:tcPr>
            <w:tcW w:w="1923" w:type="dxa"/>
            <w:tcBorders>
              <w:top w:val="nil"/>
              <w:left w:val="nil"/>
              <w:bottom w:val="nil"/>
              <w:right w:val="nil"/>
            </w:tcBorders>
            <w:shd w:val="clear" w:color="000000" w:fill="FFFFFF"/>
            <w:noWrap/>
            <w:vAlign w:val="center"/>
            <w:hideMark/>
          </w:tcPr>
          <w:p w:rsidR="00806064" w:rsidRPr="00806064" w:rsidRDefault="00806064" w:rsidP="00806064">
            <w:pPr>
              <w:widowControl/>
              <w:jc w:val="left"/>
              <w:rPr>
                <w:rFonts w:ascii="Arial" w:eastAsia="宋体" w:hAnsi="Arial" w:cs="Arial"/>
                <w:color w:val="000000"/>
                <w:kern w:val="0"/>
                <w:sz w:val="18"/>
                <w:szCs w:val="18"/>
              </w:rPr>
            </w:pPr>
            <w:r w:rsidRPr="00806064">
              <w:rPr>
                <w:rFonts w:ascii="Arial" w:eastAsia="宋体" w:hAnsi="Arial" w:cs="Arial"/>
                <w:color w:val="000000"/>
                <w:kern w:val="0"/>
                <w:sz w:val="18"/>
                <w:szCs w:val="18"/>
              </w:rPr>
              <w:t>汽车</w:t>
            </w:r>
          </w:p>
        </w:tc>
        <w:tc>
          <w:tcPr>
            <w:tcW w:w="1163"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20 </w:t>
            </w:r>
          </w:p>
        </w:tc>
        <w:tc>
          <w:tcPr>
            <w:tcW w:w="1206"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2.1%</w:t>
            </w:r>
          </w:p>
        </w:tc>
        <w:tc>
          <w:tcPr>
            <w:tcW w:w="1173"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19</w:t>
            </w:r>
          </w:p>
        </w:tc>
        <w:tc>
          <w:tcPr>
            <w:tcW w:w="1324"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680.29 </w:t>
            </w:r>
          </w:p>
        </w:tc>
        <w:tc>
          <w:tcPr>
            <w:tcW w:w="1187"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1.0%</w:t>
            </w:r>
          </w:p>
        </w:tc>
        <w:tc>
          <w:tcPr>
            <w:tcW w:w="1188"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35.80 </w:t>
            </w:r>
          </w:p>
        </w:tc>
      </w:tr>
      <w:tr w:rsidR="00806064" w:rsidRPr="00806064" w:rsidTr="00806064">
        <w:trPr>
          <w:trHeight w:val="240"/>
        </w:trPr>
        <w:tc>
          <w:tcPr>
            <w:tcW w:w="1923" w:type="dxa"/>
            <w:tcBorders>
              <w:top w:val="nil"/>
              <w:left w:val="nil"/>
              <w:bottom w:val="nil"/>
              <w:right w:val="nil"/>
            </w:tcBorders>
            <w:shd w:val="clear" w:color="000000" w:fill="FFFFFF"/>
            <w:noWrap/>
            <w:vAlign w:val="center"/>
            <w:hideMark/>
          </w:tcPr>
          <w:p w:rsidR="00806064" w:rsidRPr="00806064" w:rsidRDefault="00806064" w:rsidP="00806064">
            <w:pPr>
              <w:widowControl/>
              <w:jc w:val="left"/>
              <w:rPr>
                <w:rFonts w:ascii="Arial" w:eastAsia="宋体" w:hAnsi="Arial" w:cs="Arial"/>
                <w:color w:val="000000"/>
                <w:kern w:val="0"/>
                <w:sz w:val="18"/>
                <w:szCs w:val="18"/>
              </w:rPr>
            </w:pPr>
            <w:r w:rsidRPr="00806064">
              <w:rPr>
                <w:rFonts w:ascii="Arial" w:eastAsia="宋体" w:hAnsi="Arial" w:cs="Arial"/>
                <w:color w:val="000000"/>
                <w:kern w:val="0"/>
                <w:sz w:val="18"/>
                <w:szCs w:val="18"/>
              </w:rPr>
              <w:t>连锁及零售</w:t>
            </w:r>
          </w:p>
        </w:tc>
        <w:tc>
          <w:tcPr>
            <w:tcW w:w="1163"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17 </w:t>
            </w:r>
          </w:p>
        </w:tc>
        <w:tc>
          <w:tcPr>
            <w:tcW w:w="1206"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1.7%</w:t>
            </w:r>
          </w:p>
        </w:tc>
        <w:tc>
          <w:tcPr>
            <w:tcW w:w="1173"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15</w:t>
            </w:r>
          </w:p>
        </w:tc>
        <w:tc>
          <w:tcPr>
            <w:tcW w:w="1324"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1,638.78 </w:t>
            </w:r>
          </w:p>
        </w:tc>
        <w:tc>
          <w:tcPr>
            <w:tcW w:w="1187"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2.4%</w:t>
            </w:r>
          </w:p>
        </w:tc>
        <w:tc>
          <w:tcPr>
            <w:tcW w:w="1188"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109.25 </w:t>
            </w:r>
          </w:p>
        </w:tc>
      </w:tr>
      <w:tr w:rsidR="00806064" w:rsidRPr="00806064" w:rsidTr="00806064">
        <w:trPr>
          <w:trHeight w:val="240"/>
        </w:trPr>
        <w:tc>
          <w:tcPr>
            <w:tcW w:w="1923" w:type="dxa"/>
            <w:tcBorders>
              <w:top w:val="nil"/>
              <w:left w:val="nil"/>
              <w:bottom w:val="nil"/>
              <w:right w:val="nil"/>
            </w:tcBorders>
            <w:shd w:val="clear" w:color="000000" w:fill="FFFFFF"/>
            <w:noWrap/>
            <w:vAlign w:val="center"/>
            <w:hideMark/>
          </w:tcPr>
          <w:p w:rsidR="00806064" w:rsidRPr="00806064" w:rsidRDefault="00806064" w:rsidP="00806064">
            <w:pPr>
              <w:widowControl/>
              <w:jc w:val="left"/>
              <w:rPr>
                <w:rFonts w:ascii="Arial" w:eastAsia="宋体" w:hAnsi="Arial" w:cs="Arial"/>
                <w:color w:val="000000"/>
                <w:kern w:val="0"/>
                <w:sz w:val="18"/>
                <w:szCs w:val="18"/>
              </w:rPr>
            </w:pPr>
            <w:r w:rsidRPr="00806064">
              <w:rPr>
                <w:rFonts w:ascii="Arial" w:eastAsia="宋体" w:hAnsi="Arial" w:cs="Arial"/>
                <w:color w:val="000000"/>
                <w:kern w:val="0"/>
                <w:sz w:val="18"/>
                <w:szCs w:val="18"/>
              </w:rPr>
              <w:t>纺织及服装</w:t>
            </w:r>
          </w:p>
        </w:tc>
        <w:tc>
          <w:tcPr>
            <w:tcW w:w="1163"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17 </w:t>
            </w:r>
          </w:p>
        </w:tc>
        <w:tc>
          <w:tcPr>
            <w:tcW w:w="1206"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1.7%</w:t>
            </w:r>
          </w:p>
        </w:tc>
        <w:tc>
          <w:tcPr>
            <w:tcW w:w="1173"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15</w:t>
            </w:r>
          </w:p>
        </w:tc>
        <w:tc>
          <w:tcPr>
            <w:tcW w:w="1324"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463.77 </w:t>
            </w:r>
          </w:p>
        </w:tc>
        <w:tc>
          <w:tcPr>
            <w:tcW w:w="1187"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0.7%</w:t>
            </w:r>
          </w:p>
        </w:tc>
        <w:tc>
          <w:tcPr>
            <w:tcW w:w="1188"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30.92 </w:t>
            </w:r>
          </w:p>
        </w:tc>
      </w:tr>
      <w:tr w:rsidR="00806064" w:rsidRPr="00806064" w:rsidTr="00806064">
        <w:trPr>
          <w:trHeight w:val="240"/>
        </w:trPr>
        <w:tc>
          <w:tcPr>
            <w:tcW w:w="1923" w:type="dxa"/>
            <w:tcBorders>
              <w:top w:val="nil"/>
              <w:left w:val="nil"/>
              <w:bottom w:val="nil"/>
              <w:right w:val="nil"/>
            </w:tcBorders>
            <w:shd w:val="clear" w:color="000000" w:fill="FFFFFF"/>
            <w:noWrap/>
            <w:vAlign w:val="center"/>
            <w:hideMark/>
          </w:tcPr>
          <w:p w:rsidR="00806064" w:rsidRPr="00806064" w:rsidRDefault="00806064" w:rsidP="00806064">
            <w:pPr>
              <w:widowControl/>
              <w:jc w:val="left"/>
              <w:rPr>
                <w:rFonts w:ascii="Arial" w:eastAsia="宋体" w:hAnsi="Arial" w:cs="Arial"/>
                <w:color w:val="000000"/>
                <w:kern w:val="0"/>
                <w:sz w:val="18"/>
                <w:szCs w:val="18"/>
              </w:rPr>
            </w:pPr>
            <w:r w:rsidRPr="00806064">
              <w:rPr>
                <w:rFonts w:ascii="Arial" w:eastAsia="宋体" w:hAnsi="Arial" w:cs="Arial"/>
                <w:color w:val="000000"/>
                <w:kern w:val="0"/>
                <w:sz w:val="18"/>
                <w:szCs w:val="18"/>
              </w:rPr>
              <w:t>农</w:t>
            </w:r>
            <w:r w:rsidRPr="00806064">
              <w:rPr>
                <w:rFonts w:ascii="Arial" w:eastAsia="宋体" w:hAnsi="Arial" w:cs="Arial"/>
                <w:color w:val="000000"/>
                <w:kern w:val="0"/>
                <w:sz w:val="18"/>
                <w:szCs w:val="18"/>
              </w:rPr>
              <w:t>/</w:t>
            </w:r>
            <w:r w:rsidRPr="00806064">
              <w:rPr>
                <w:rFonts w:ascii="Arial" w:eastAsia="宋体" w:hAnsi="Arial" w:cs="Arial"/>
                <w:color w:val="000000"/>
                <w:kern w:val="0"/>
                <w:sz w:val="18"/>
                <w:szCs w:val="18"/>
              </w:rPr>
              <w:t>林</w:t>
            </w:r>
            <w:r w:rsidRPr="00806064">
              <w:rPr>
                <w:rFonts w:ascii="Arial" w:eastAsia="宋体" w:hAnsi="Arial" w:cs="Arial"/>
                <w:color w:val="000000"/>
                <w:kern w:val="0"/>
                <w:sz w:val="18"/>
                <w:szCs w:val="18"/>
              </w:rPr>
              <w:t>/</w:t>
            </w:r>
            <w:r w:rsidRPr="00806064">
              <w:rPr>
                <w:rFonts w:ascii="Arial" w:eastAsia="宋体" w:hAnsi="Arial" w:cs="Arial"/>
                <w:color w:val="000000"/>
                <w:kern w:val="0"/>
                <w:sz w:val="18"/>
                <w:szCs w:val="18"/>
              </w:rPr>
              <w:t>牧</w:t>
            </w:r>
            <w:r w:rsidRPr="00806064">
              <w:rPr>
                <w:rFonts w:ascii="Arial" w:eastAsia="宋体" w:hAnsi="Arial" w:cs="Arial"/>
                <w:color w:val="000000"/>
                <w:kern w:val="0"/>
                <w:sz w:val="18"/>
                <w:szCs w:val="18"/>
              </w:rPr>
              <w:t>/</w:t>
            </w:r>
            <w:r w:rsidRPr="00806064">
              <w:rPr>
                <w:rFonts w:ascii="Arial" w:eastAsia="宋体" w:hAnsi="Arial" w:cs="Arial"/>
                <w:color w:val="000000"/>
                <w:kern w:val="0"/>
                <w:sz w:val="18"/>
                <w:szCs w:val="18"/>
              </w:rPr>
              <w:t>渔</w:t>
            </w:r>
          </w:p>
        </w:tc>
        <w:tc>
          <w:tcPr>
            <w:tcW w:w="1163"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16 </w:t>
            </w:r>
          </w:p>
        </w:tc>
        <w:tc>
          <w:tcPr>
            <w:tcW w:w="1206"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1.6%</w:t>
            </w:r>
          </w:p>
        </w:tc>
        <w:tc>
          <w:tcPr>
            <w:tcW w:w="1173"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16</w:t>
            </w:r>
          </w:p>
        </w:tc>
        <w:tc>
          <w:tcPr>
            <w:tcW w:w="1324"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468.86 </w:t>
            </w:r>
          </w:p>
        </w:tc>
        <w:tc>
          <w:tcPr>
            <w:tcW w:w="1187"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0.7%</w:t>
            </w:r>
          </w:p>
        </w:tc>
        <w:tc>
          <w:tcPr>
            <w:tcW w:w="1188"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29.30 </w:t>
            </w:r>
          </w:p>
        </w:tc>
      </w:tr>
      <w:tr w:rsidR="00806064" w:rsidRPr="00806064" w:rsidTr="00806064">
        <w:trPr>
          <w:trHeight w:val="240"/>
        </w:trPr>
        <w:tc>
          <w:tcPr>
            <w:tcW w:w="1923" w:type="dxa"/>
            <w:tcBorders>
              <w:top w:val="nil"/>
              <w:left w:val="nil"/>
              <w:bottom w:val="nil"/>
              <w:right w:val="nil"/>
            </w:tcBorders>
            <w:shd w:val="clear" w:color="000000" w:fill="FFFFFF"/>
            <w:noWrap/>
            <w:vAlign w:val="center"/>
            <w:hideMark/>
          </w:tcPr>
          <w:p w:rsidR="00806064" w:rsidRPr="00806064" w:rsidRDefault="00806064" w:rsidP="00806064">
            <w:pPr>
              <w:widowControl/>
              <w:jc w:val="left"/>
              <w:rPr>
                <w:rFonts w:ascii="Arial" w:eastAsia="宋体" w:hAnsi="Arial" w:cs="Arial"/>
                <w:color w:val="000000"/>
                <w:kern w:val="0"/>
                <w:sz w:val="18"/>
                <w:szCs w:val="18"/>
              </w:rPr>
            </w:pPr>
            <w:r w:rsidRPr="00806064">
              <w:rPr>
                <w:rFonts w:ascii="Arial" w:eastAsia="宋体" w:hAnsi="Arial" w:cs="Arial"/>
                <w:color w:val="000000"/>
                <w:kern w:val="0"/>
                <w:sz w:val="18"/>
                <w:szCs w:val="18"/>
              </w:rPr>
              <w:t>食品</w:t>
            </w:r>
            <w:r w:rsidRPr="00806064">
              <w:rPr>
                <w:rFonts w:ascii="Arial" w:eastAsia="宋体" w:hAnsi="Arial" w:cs="Arial"/>
                <w:color w:val="000000"/>
                <w:kern w:val="0"/>
                <w:sz w:val="18"/>
                <w:szCs w:val="18"/>
              </w:rPr>
              <w:t>&amp;</w:t>
            </w:r>
            <w:r w:rsidRPr="00806064">
              <w:rPr>
                <w:rFonts w:ascii="Arial" w:eastAsia="宋体" w:hAnsi="Arial" w:cs="Arial"/>
                <w:color w:val="000000"/>
                <w:kern w:val="0"/>
                <w:sz w:val="18"/>
                <w:szCs w:val="18"/>
              </w:rPr>
              <w:t>饮料</w:t>
            </w:r>
          </w:p>
        </w:tc>
        <w:tc>
          <w:tcPr>
            <w:tcW w:w="1163"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11 </w:t>
            </w:r>
          </w:p>
        </w:tc>
        <w:tc>
          <w:tcPr>
            <w:tcW w:w="1206"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1.1%</w:t>
            </w:r>
          </w:p>
        </w:tc>
        <w:tc>
          <w:tcPr>
            <w:tcW w:w="1173"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8</w:t>
            </w:r>
          </w:p>
        </w:tc>
        <w:tc>
          <w:tcPr>
            <w:tcW w:w="1324"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436.52 </w:t>
            </w:r>
          </w:p>
        </w:tc>
        <w:tc>
          <w:tcPr>
            <w:tcW w:w="1187"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0.6%</w:t>
            </w:r>
          </w:p>
        </w:tc>
        <w:tc>
          <w:tcPr>
            <w:tcW w:w="1188"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54.57 </w:t>
            </w:r>
          </w:p>
        </w:tc>
      </w:tr>
      <w:tr w:rsidR="00806064" w:rsidRPr="00806064" w:rsidTr="00806064">
        <w:trPr>
          <w:trHeight w:val="240"/>
        </w:trPr>
        <w:tc>
          <w:tcPr>
            <w:tcW w:w="1923" w:type="dxa"/>
            <w:tcBorders>
              <w:top w:val="nil"/>
              <w:left w:val="nil"/>
              <w:bottom w:val="nil"/>
              <w:right w:val="nil"/>
            </w:tcBorders>
            <w:shd w:val="clear" w:color="000000" w:fill="FFFFFF"/>
            <w:noWrap/>
            <w:vAlign w:val="center"/>
            <w:hideMark/>
          </w:tcPr>
          <w:p w:rsidR="00806064" w:rsidRPr="00806064" w:rsidRDefault="00806064" w:rsidP="00806064">
            <w:pPr>
              <w:widowControl/>
              <w:jc w:val="left"/>
              <w:rPr>
                <w:rFonts w:ascii="Arial" w:eastAsia="宋体" w:hAnsi="Arial" w:cs="Arial"/>
                <w:color w:val="000000"/>
                <w:kern w:val="0"/>
                <w:sz w:val="18"/>
                <w:szCs w:val="18"/>
              </w:rPr>
            </w:pPr>
            <w:r w:rsidRPr="00806064">
              <w:rPr>
                <w:rFonts w:ascii="Arial" w:eastAsia="宋体" w:hAnsi="Arial" w:cs="Arial"/>
                <w:color w:val="000000"/>
                <w:kern w:val="0"/>
                <w:sz w:val="18"/>
                <w:szCs w:val="18"/>
              </w:rPr>
              <w:t>广播电视及数字电视</w:t>
            </w:r>
          </w:p>
        </w:tc>
        <w:tc>
          <w:tcPr>
            <w:tcW w:w="1163"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8 </w:t>
            </w:r>
          </w:p>
        </w:tc>
        <w:tc>
          <w:tcPr>
            <w:tcW w:w="1206"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0.8%</w:t>
            </w:r>
          </w:p>
        </w:tc>
        <w:tc>
          <w:tcPr>
            <w:tcW w:w="1173"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8</w:t>
            </w:r>
          </w:p>
        </w:tc>
        <w:tc>
          <w:tcPr>
            <w:tcW w:w="1324"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422.86 </w:t>
            </w:r>
          </w:p>
        </w:tc>
        <w:tc>
          <w:tcPr>
            <w:tcW w:w="1187"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0.6%</w:t>
            </w:r>
          </w:p>
        </w:tc>
        <w:tc>
          <w:tcPr>
            <w:tcW w:w="1188"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52.86 </w:t>
            </w:r>
          </w:p>
        </w:tc>
      </w:tr>
      <w:tr w:rsidR="00806064" w:rsidRPr="00806064" w:rsidTr="00806064">
        <w:trPr>
          <w:trHeight w:val="240"/>
        </w:trPr>
        <w:tc>
          <w:tcPr>
            <w:tcW w:w="1923" w:type="dxa"/>
            <w:tcBorders>
              <w:top w:val="nil"/>
              <w:left w:val="nil"/>
              <w:bottom w:val="nil"/>
              <w:right w:val="nil"/>
            </w:tcBorders>
            <w:shd w:val="clear" w:color="000000" w:fill="FFFFFF"/>
            <w:noWrap/>
            <w:vAlign w:val="center"/>
            <w:hideMark/>
          </w:tcPr>
          <w:p w:rsidR="00806064" w:rsidRPr="00806064" w:rsidRDefault="00806064" w:rsidP="00806064">
            <w:pPr>
              <w:widowControl/>
              <w:jc w:val="left"/>
              <w:rPr>
                <w:rFonts w:ascii="Arial" w:eastAsia="宋体" w:hAnsi="Arial" w:cs="Arial"/>
                <w:color w:val="000000"/>
                <w:kern w:val="0"/>
                <w:sz w:val="18"/>
                <w:szCs w:val="18"/>
              </w:rPr>
            </w:pPr>
            <w:r w:rsidRPr="00806064">
              <w:rPr>
                <w:rFonts w:ascii="Arial" w:eastAsia="宋体" w:hAnsi="Arial" w:cs="Arial"/>
                <w:color w:val="000000"/>
                <w:kern w:val="0"/>
                <w:sz w:val="18"/>
                <w:szCs w:val="18"/>
              </w:rPr>
              <w:t>物流</w:t>
            </w:r>
          </w:p>
        </w:tc>
        <w:tc>
          <w:tcPr>
            <w:tcW w:w="1163"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8 </w:t>
            </w:r>
          </w:p>
        </w:tc>
        <w:tc>
          <w:tcPr>
            <w:tcW w:w="1206"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0.8%</w:t>
            </w:r>
          </w:p>
        </w:tc>
        <w:tc>
          <w:tcPr>
            <w:tcW w:w="1173"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7</w:t>
            </w:r>
          </w:p>
        </w:tc>
        <w:tc>
          <w:tcPr>
            <w:tcW w:w="1324"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39.93 </w:t>
            </w:r>
          </w:p>
        </w:tc>
        <w:tc>
          <w:tcPr>
            <w:tcW w:w="1187"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0.1%</w:t>
            </w:r>
          </w:p>
        </w:tc>
        <w:tc>
          <w:tcPr>
            <w:tcW w:w="1188"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5.70 </w:t>
            </w:r>
          </w:p>
        </w:tc>
      </w:tr>
      <w:tr w:rsidR="00806064" w:rsidRPr="00806064" w:rsidTr="00806064">
        <w:trPr>
          <w:trHeight w:val="240"/>
        </w:trPr>
        <w:tc>
          <w:tcPr>
            <w:tcW w:w="1923" w:type="dxa"/>
            <w:tcBorders>
              <w:top w:val="nil"/>
              <w:left w:val="nil"/>
              <w:bottom w:val="nil"/>
              <w:right w:val="nil"/>
            </w:tcBorders>
            <w:shd w:val="clear" w:color="000000" w:fill="FFFFFF"/>
            <w:noWrap/>
            <w:vAlign w:val="center"/>
            <w:hideMark/>
          </w:tcPr>
          <w:p w:rsidR="00806064" w:rsidRPr="00806064" w:rsidRDefault="00806064" w:rsidP="00806064">
            <w:pPr>
              <w:widowControl/>
              <w:jc w:val="left"/>
              <w:rPr>
                <w:rFonts w:ascii="Arial" w:eastAsia="宋体" w:hAnsi="Arial" w:cs="Arial"/>
                <w:color w:val="000000"/>
                <w:kern w:val="0"/>
                <w:sz w:val="18"/>
                <w:szCs w:val="18"/>
              </w:rPr>
            </w:pPr>
            <w:r w:rsidRPr="00806064">
              <w:rPr>
                <w:rFonts w:ascii="Arial" w:eastAsia="宋体" w:hAnsi="Arial" w:cs="Arial"/>
                <w:color w:val="000000"/>
                <w:kern w:val="0"/>
                <w:sz w:val="18"/>
                <w:szCs w:val="18"/>
              </w:rPr>
              <w:t>半导体</w:t>
            </w:r>
          </w:p>
        </w:tc>
        <w:tc>
          <w:tcPr>
            <w:tcW w:w="1163"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3 </w:t>
            </w:r>
          </w:p>
        </w:tc>
        <w:tc>
          <w:tcPr>
            <w:tcW w:w="1206"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0.3%</w:t>
            </w:r>
          </w:p>
        </w:tc>
        <w:tc>
          <w:tcPr>
            <w:tcW w:w="1173"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3</w:t>
            </w:r>
          </w:p>
        </w:tc>
        <w:tc>
          <w:tcPr>
            <w:tcW w:w="1324"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37.70 </w:t>
            </w:r>
          </w:p>
        </w:tc>
        <w:tc>
          <w:tcPr>
            <w:tcW w:w="1187"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0.1%</w:t>
            </w:r>
          </w:p>
        </w:tc>
        <w:tc>
          <w:tcPr>
            <w:tcW w:w="1188"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12.57 </w:t>
            </w:r>
          </w:p>
        </w:tc>
      </w:tr>
      <w:tr w:rsidR="00806064" w:rsidRPr="00806064" w:rsidTr="00806064">
        <w:trPr>
          <w:trHeight w:val="240"/>
        </w:trPr>
        <w:tc>
          <w:tcPr>
            <w:tcW w:w="1923" w:type="dxa"/>
            <w:tcBorders>
              <w:top w:val="nil"/>
              <w:left w:val="nil"/>
              <w:bottom w:val="nil"/>
              <w:right w:val="nil"/>
            </w:tcBorders>
            <w:shd w:val="clear" w:color="000000" w:fill="FFFFFF"/>
            <w:noWrap/>
            <w:vAlign w:val="center"/>
            <w:hideMark/>
          </w:tcPr>
          <w:p w:rsidR="00806064" w:rsidRPr="00806064" w:rsidRDefault="00806064" w:rsidP="00806064">
            <w:pPr>
              <w:widowControl/>
              <w:jc w:val="left"/>
              <w:rPr>
                <w:rFonts w:ascii="Arial" w:eastAsia="宋体" w:hAnsi="Arial" w:cs="Arial"/>
                <w:color w:val="000000"/>
                <w:kern w:val="0"/>
                <w:sz w:val="18"/>
                <w:szCs w:val="18"/>
              </w:rPr>
            </w:pPr>
            <w:r w:rsidRPr="00806064">
              <w:rPr>
                <w:rFonts w:ascii="Arial" w:eastAsia="宋体" w:hAnsi="Arial" w:cs="Arial"/>
                <w:color w:val="000000"/>
                <w:kern w:val="0"/>
                <w:sz w:val="18"/>
                <w:szCs w:val="18"/>
              </w:rPr>
              <w:t>教育与培训</w:t>
            </w:r>
          </w:p>
        </w:tc>
        <w:tc>
          <w:tcPr>
            <w:tcW w:w="1163"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3 </w:t>
            </w:r>
          </w:p>
        </w:tc>
        <w:tc>
          <w:tcPr>
            <w:tcW w:w="1206"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0.3%</w:t>
            </w:r>
          </w:p>
        </w:tc>
        <w:tc>
          <w:tcPr>
            <w:tcW w:w="1173"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2</w:t>
            </w:r>
          </w:p>
        </w:tc>
        <w:tc>
          <w:tcPr>
            <w:tcW w:w="1324"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16.82 </w:t>
            </w:r>
          </w:p>
        </w:tc>
        <w:tc>
          <w:tcPr>
            <w:tcW w:w="1187"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0.0%</w:t>
            </w:r>
          </w:p>
        </w:tc>
        <w:tc>
          <w:tcPr>
            <w:tcW w:w="1188"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8.41 </w:t>
            </w:r>
          </w:p>
        </w:tc>
      </w:tr>
      <w:tr w:rsidR="00806064" w:rsidRPr="00806064" w:rsidTr="00806064">
        <w:trPr>
          <w:trHeight w:val="240"/>
        </w:trPr>
        <w:tc>
          <w:tcPr>
            <w:tcW w:w="1923" w:type="dxa"/>
            <w:tcBorders>
              <w:top w:val="nil"/>
              <w:left w:val="nil"/>
              <w:bottom w:val="nil"/>
              <w:right w:val="nil"/>
            </w:tcBorders>
            <w:shd w:val="clear" w:color="000000" w:fill="FFFFFF"/>
            <w:noWrap/>
            <w:vAlign w:val="center"/>
            <w:hideMark/>
          </w:tcPr>
          <w:p w:rsidR="00806064" w:rsidRPr="00806064" w:rsidRDefault="00806064" w:rsidP="00806064">
            <w:pPr>
              <w:widowControl/>
              <w:jc w:val="left"/>
              <w:rPr>
                <w:rFonts w:ascii="Arial" w:eastAsia="宋体" w:hAnsi="Arial" w:cs="Arial"/>
                <w:color w:val="000000"/>
                <w:kern w:val="0"/>
                <w:sz w:val="18"/>
                <w:szCs w:val="18"/>
              </w:rPr>
            </w:pPr>
            <w:r w:rsidRPr="00806064">
              <w:rPr>
                <w:rFonts w:ascii="Arial" w:eastAsia="宋体" w:hAnsi="Arial" w:cs="Arial"/>
                <w:color w:val="000000"/>
                <w:kern w:val="0"/>
                <w:sz w:val="18"/>
                <w:szCs w:val="18"/>
              </w:rPr>
              <w:t>其他</w:t>
            </w:r>
          </w:p>
        </w:tc>
        <w:tc>
          <w:tcPr>
            <w:tcW w:w="1163"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38 </w:t>
            </w:r>
          </w:p>
        </w:tc>
        <w:tc>
          <w:tcPr>
            <w:tcW w:w="1206"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3.9%</w:t>
            </w:r>
          </w:p>
        </w:tc>
        <w:tc>
          <w:tcPr>
            <w:tcW w:w="1173"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36</w:t>
            </w:r>
          </w:p>
        </w:tc>
        <w:tc>
          <w:tcPr>
            <w:tcW w:w="1324"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844.57 </w:t>
            </w:r>
          </w:p>
        </w:tc>
        <w:tc>
          <w:tcPr>
            <w:tcW w:w="1187"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1.2%</w:t>
            </w:r>
          </w:p>
        </w:tc>
        <w:tc>
          <w:tcPr>
            <w:tcW w:w="1188" w:type="dxa"/>
            <w:tcBorders>
              <w:top w:val="nil"/>
              <w:left w:val="nil"/>
              <w:bottom w:val="nil"/>
              <w:right w:val="nil"/>
            </w:tcBorders>
            <w:shd w:val="clear" w:color="000000" w:fill="FFFFFF"/>
            <w:noWrap/>
            <w:vAlign w:val="bottom"/>
            <w:hideMark/>
          </w:tcPr>
          <w:p w:rsidR="00806064" w:rsidRPr="00806064" w:rsidRDefault="00806064" w:rsidP="00806064">
            <w:pPr>
              <w:widowControl/>
              <w:jc w:val="right"/>
              <w:rPr>
                <w:rFonts w:ascii="Arial" w:eastAsia="宋体" w:hAnsi="Arial" w:cs="Arial"/>
                <w:kern w:val="0"/>
                <w:sz w:val="18"/>
                <w:szCs w:val="18"/>
              </w:rPr>
            </w:pPr>
            <w:r w:rsidRPr="00806064">
              <w:rPr>
                <w:rFonts w:ascii="Arial" w:eastAsia="宋体" w:hAnsi="Arial" w:cs="Arial"/>
                <w:kern w:val="0"/>
                <w:sz w:val="18"/>
                <w:szCs w:val="18"/>
              </w:rPr>
              <w:t xml:space="preserve">23.46 </w:t>
            </w:r>
          </w:p>
        </w:tc>
      </w:tr>
      <w:tr w:rsidR="00806064" w:rsidRPr="00806064" w:rsidTr="00806064">
        <w:trPr>
          <w:trHeight w:val="255"/>
        </w:trPr>
        <w:tc>
          <w:tcPr>
            <w:tcW w:w="1923" w:type="dxa"/>
            <w:tcBorders>
              <w:top w:val="single" w:sz="4" w:space="0" w:color="000000"/>
              <w:left w:val="nil"/>
              <w:bottom w:val="single" w:sz="8" w:space="0" w:color="003366"/>
              <w:right w:val="nil"/>
            </w:tcBorders>
            <w:shd w:val="clear" w:color="000000" w:fill="FFFFFF"/>
            <w:noWrap/>
            <w:vAlign w:val="bottom"/>
            <w:hideMark/>
          </w:tcPr>
          <w:p w:rsidR="00806064" w:rsidRPr="00806064" w:rsidRDefault="00806064" w:rsidP="00806064">
            <w:pPr>
              <w:widowControl/>
              <w:jc w:val="left"/>
              <w:rPr>
                <w:rFonts w:ascii="宋体" w:eastAsia="宋体" w:hAnsi="宋体" w:cs="宋体"/>
                <w:b/>
                <w:bCs/>
                <w:kern w:val="0"/>
                <w:sz w:val="18"/>
                <w:szCs w:val="18"/>
              </w:rPr>
            </w:pPr>
            <w:r w:rsidRPr="00806064">
              <w:rPr>
                <w:rFonts w:ascii="宋体" w:eastAsia="宋体" w:hAnsi="宋体" w:cs="宋体" w:hint="eastAsia"/>
                <w:b/>
                <w:bCs/>
                <w:kern w:val="0"/>
                <w:sz w:val="18"/>
                <w:szCs w:val="18"/>
              </w:rPr>
              <w:t>总计</w:t>
            </w:r>
          </w:p>
        </w:tc>
        <w:tc>
          <w:tcPr>
            <w:tcW w:w="1163" w:type="dxa"/>
            <w:tcBorders>
              <w:top w:val="single" w:sz="4" w:space="0" w:color="000000"/>
              <w:left w:val="nil"/>
              <w:bottom w:val="single" w:sz="8" w:space="0" w:color="003366"/>
              <w:right w:val="nil"/>
            </w:tcBorders>
            <w:shd w:val="clear" w:color="000000" w:fill="FFFFFF"/>
            <w:noWrap/>
            <w:vAlign w:val="bottom"/>
            <w:hideMark/>
          </w:tcPr>
          <w:p w:rsidR="00806064" w:rsidRPr="00806064" w:rsidRDefault="00806064" w:rsidP="00806064">
            <w:pPr>
              <w:widowControl/>
              <w:jc w:val="right"/>
              <w:rPr>
                <w:rFonts w:ascii="Arial" w:eastAsia="宋体" w:hAnsi="Arial" w:cs="Arial"/>
                <w:b/>
                <w:bCs/>
                <w:kern w:val="0"/>
                <w:sz w:val="18"/>
                <w:szCs w:val="18"/>
              </w:rPr>
            </w:pPr>
            <w:r w:rsidRPr="00806064">
              <w:rPr>
                <w:rFonts w:ascii="Arial" w:eastAsia="宋体" w:hAnsi="Arial" w:cs="Arial"/>
                <w:b/>
                <w:bCs/>
                <w:kern w:val="0"/>
                <w:sz w:val="18"/>
                <w:szCs w:val="18"/>
              </w:rPr>
              <w:t xml:space="preserve">972 </w:t>
            </w:r>
          </w:p>
        </w:tc>
        <w:tc>
          <w:tcPr>
            <w:tcW w:w="1206" w:type="dxa"/>
            <w:tcBorders>
              <w:top w:val="single" w:sz="4" w:space="0" w:color="000000"/>
              <w:left w:val="nil"/>
              <w:bottom w:val="single" w:sz="8" w:space="0" w:color="003366"/>
              <w:right w:val="nil"/>
            </w:tcBorders>
            <w:shd w:val="clear" w:color="000000" w:fill="FFFFFF"/>
            <w:noWrap/>
            <w:vAlign w:val="bottom"/>
            <w:hideMark/>
          </w:tcPr>
          <w:p w:rsidR="00806064" w:rsidRPr="00806064" w:rsidRDefault="00806064" w:rsidP="00806064">
            <w:pPr>
              <w:widowControl/>
              <w:jc w:val="right"/>
              <w:rPr>
                <w:rFonts w:ascii="Arial" w:eastAsia="宋体" w:hAnsi="Arial" w:cs="Arial"/>
                <w:b/>
                <w:bCs/>
                <w:kern w:val="0"/>
                <w:sz w:val="18"/>
                <w:szCs w:val="18"/>
              </w:rPr>
            </w:pPr>
            <w:r w:rsidRPr="00806064">
              <w:rPr>
                <w:rFonts w:ascii="Arial" w:eastAsia="宋体" w:hAnsi="Arial" w:cs="Arial"/>
                <w:b/>
                <w:bCs/>
                <w:kern w:val="0"/>
                <w:sz w:val="18"/>
                <w:szCs w:val="18"/>
              </w:rPr>
              <w:t>100.0%</w:t>
            </w:r>
          </w:p>
        </w:tc>
        <w:tc>
          <w:tcPr>
            <w:tcW w:w="1173" w:type="dxa"/>
            <w:tcBorders>
              <w:top w:val="single" w:sz="4" w:space="0" w:color="000000"/>
              <w:left w:val="nil"/>
              <w:bottom w:val="single" w:sz="8" w:space="0" w:color="003366"/>
              <w:right w:val="nil"/>
            </w:tcBorders>
            <w:shd w:val="clear" w:color="000000" w:fill="FFFFFF"/>
            <w:noWrap/>
            <w:vAlign w:val="bottom"/>
            <w:hideMark/>
          </w:tcPr>
          <w:p w:rsidR="00806064" w:rsidRPr="00806064" w:rsidRDefault="00806064" w:rsidP="00806064">
            <w:pPr>
              <w:widowControl/>
              <w:jc w:val="right"/>
              <w:rPr>
                <w:rFonts w:ascii="Arial" w:eastAsia="宋体" w:hAnsi="Arial" w:cs="Arial"/>
                <w:b/>
                <w:bCs/>
                <w:kern w:val="0"/>
                <w:sz w:val="18"/>
                <w:szCs w:val="18"/>
              </w:rPr>
            </w:pPr>
            <w:r w:rsidRPr="00806064">
              <w:rPr>
                <w:rFonts w:ascii="Arial" w:eastAsia="宋体" w:hAnsi="Arial" w:cs="Arial"/>
                <w:b/>
                <w:bCs/>
                <w:kern w:val="0"/>
                <w:sz w:val="18"/>
                <w:szCs w:val="18"/>
              </w:rPr>
              <w:t xml:space="preserve">905 </w:t>
            </w:r>
          </w:p>
        </w:tc>
        <w:tc>
          <w:tcPr>
            <w:tcW w:w="1324" w:type="dxa"/>
            <w:tcBorders>
              <w:top w:val="single" w:sz="4" w:space="0" w:color="000000"/>
              <w:left w:val="nil"/>
              <w:bottom w:val="single" w:sz="8" w:space="0" w:color="003366"/>
              <w:right w:val="nil"/>
            </w:tcBorders>
            <w:shd w:val="clear" w:color="000000" w:fill="FFFFFF"/>
            <w:noWrap/>
            <w:vAlign w:val="bottom"/>
            <w:hideMark/>
          </w:tcPr>
          <w:p w:rsidR="00806064" w:rsidRPr="00806064" w:rsidRDefault="00806064" w:rsidP="00806064">
            <w:pPr>
              <w:widowControl/>
              <w:jc w:val="right"/>
              <w:rPr>
                <w:rFonts w:ascii="Arial" w:eastAsia="宋体" w:hAnsi="Arial" w:cs="Arial"/>
                <w:b/>
                <w:bCs/>
                <w:kern w:val="0"/>
                <w:sz w:val="18"/>
                <w:szCs w:val="18"/>
              </w:rPr>
            </w:pPr>
            <w:r w:rsidRPr="00806064">
              <w:rPr>
                <w:rFonts w:ascii="Arial" w:eastAsia="宋体" w:hAnsi="Arial" w:cs="Arial"/>
                <w:b/>
                <w:bCs/>
                <w:kern w:val="0"/>
                <w:sz w:val="18"/>
                <w:szCs w:val="18"/>
              </w:rPr>
              <w:t xml:space="preserve">68,828.79 </w:t>
            </w:r>
          </w:p>
        </w:tc>
        <w:tc>
          <w:tcPr>
            <w:tcW w:w="1187" w:type="dxa"/>
            <w:tcBorders>
              <w:top w:val="single" w:sz="4" w:space="0" w:color="000000"/>
              <w:left w:val="nil"/>
              <w:bottom w:val="single" w:sz="8" w:space="0" w:color="003366"/>
              <w:right w:val="nil"/>
            </w:tcBorders>
            <w:shd w:val="clear" w:color="000000" w:fill="FFFFFF"/>
            <w:noWrap/>
            <w:vAlign w:val="bottom"/>
            <w:hideMark/>
          </w:tcPr>
          <w:p w:rsidR="00806064" w:rsidRPr="00806064" w:rsidRDefault="00806064" w:rsidP="00806064">
            <w:pPr>
              <w:widowControl/>
              <w:jc w:val="right"/>
              <w:rPr>
                <w:rFonts w:ascii="Arial" w:eastAsia="宋体" w:hAnsi="Arial" w:cs="Arial"/>
                <w:b/>
                <w:bCs/>
                <w:kern w:val="0"/>
                <w:sz w:val="18"/>
                <w:szCs w:val="18"/>
              </w:rPr>
            </w:pPr>
            <w:r w:rsidRPr="00806064">
              <w:rPr>
                <w:rFonts w:ascii="Arial" w:eastAsia="宋体" w:hAnsi="Arial" w:cs="Arial"/>
                <w:b/>
                <w:bCs/>
                <w:kern w:val="0"/>
                <w:sz w:val="18"/>
                <w:szCs w:val="18"/>
              </w:rPr>
              <w:t>100.0%</w:t>
            </w:r>
          </w:p>
        </w:tc>
        <w:tc>
          <w:tcPr>
            <w:tcW w:w="1188" w:type="dxa"/>
            <w:tcBorders>
              <w:top w:val="single" w:sz="4" w:space="0" w:color="000000"/>
              <w:left w:val="nil"/>
              <w:bottom w:val="single" w:sz="8" w:space="0" w:color="003366"/>
              <w:right w:val="nil"/>
            </w:tcBorders>
            <w:shd w:val="clear" w:color="000000" w:fill="FFFFFF"/>
            <w:noWrap/>
            <w:vAlign w:val="bottom"/>
            <w:hideMark/>
          </w:tcPr>
          <w:p w:rsidR="00806064" w:rsidRPr="00806064" w:rsidRDefault="00806064" w:rsidP="00806064">
            <w:pPr>
              <w:widowControl/>
              <w:jc w:val="right"/>
              <w:rPr>
                <w:rFonts w:ascii="Arial" w:eastAsia="宋体" w:hAnsi="Arial" w:cs="Arial"/>
                <w:b/>
                <w:bCs/>
                <w:kern w:val="0"/>
                <w:sz w:val="18"/>
                <w:szCs w:val="18"/>
              </w:rPr>
            </w:pPr>
            <w:r w:rsidRPr="00806064">
              <w:rPr>
                <w:rFonts w:ascii="Arial" w:eastAsia="宋体" w:hAnsi="Arial" w:cs="Arial"/>
                <w:b/>
                <w:bCs/>
                <w:kern w:val="0"/>
                <w:sz w:val="18"/>
                <w:szCs w:val="18"/>
              </w:rPr>
              <w:t xml:space="preserve">76.05 </w:t>
            </w:r>
          </w:p>
        </w:tc>
      </w:tr>
    </w:tbl>
    <w:p w:rsidR="00910409" w:rsidRPr="002174D3" w:rsidRDefault="00910409" w:rsidP="00910409">
      <w:pPr>
        <w:spacing w:line="360" w:lineRule="exact"/>
        <w:rPr>
          <w:rFonts w:ascii="Arial" w:eastAsia="宋体" w:hAnsi="Arial" w:cs="Arial"/>
          <w:bCs/>
          <w:sz w:val="18"/>
          <w:szCs w:val="18"/>
          <w:shd w:val="clear" w:color="auto" w:fill="FFFFFF"/>
        </w:rPr>
      </w:pPr>
      <w:r w:rsidRPr="000F1C1F">
        <w:rPr>
          <w:rFonts w:ascii="Arial" w:eastAsia="宋体" w:hAnsi="Arial" w:cs="Arial"/>
          <w:bCs/>
          <w:sz w:val="18"/>
          <w:szCs w:val="18"/>
          <w:shd w:val="clear" w:color="auto" w:fill="FFFFFF"/>
        </w:rPr>
        <w:t>来源：私募通</w:t>
      </w:r>
      <w:r w:rsidR="003B01B6">
        <w:rPr>
          <w:rFonts w:ascii="Arial" w:eastAsia="宋体" w:hAnsi="Arial" w:cs="Arial"/>
          <w:bCs/>
          <w:sz w:val="18"/>
          <w:szCs w:val="18"/>
          <w:shd w:val="clear" w:color="auto" w:fill="FFFFFF"/>
        </w:rPr>
        <w:t xml:space="preserve"> 201</w:t>
      </w:r>
      <w:r w:rsidR="003B01B6">
        <w:rPr>
          <w:rFonts w:ascii="Arial" w:eastAsia="宋体" w:hAnsi="Arial" w:cs="Arial" w:hint="eastAsia"/>
          <w:bCs/>
          <w:sz w:val="18"/>
          <w:szCs w:val="18"/>
          <w:shd w:val="clear" w:color="auto" w:fill="FFFFFF"/>
        </w:rPr>
        <w:t>5</w:t>
      </w:r>
      <w:r w:rsidRPr="000F1C1F">
        <w:rPr>
          <w:rFonts w:ascii="Arial" w:eastAsia="宋体" w:hAnsi="Arial" w:cs="Arial"/>
          <w:bCs/>
          <w:sz w:val="18"/>
          <w:szCs w:val="18"/>
          <w:shd w:val="clear" w:color="auto" w:fill="FFFFFF"/>
        </w:rPr>
        <w:t xml:space="preserve">.01                                             </w:t>
      </w:r>
      <w:r w:rsidR="00A20CBE">
        <w:rPr>
          <w:rFonts w:ascii="Arial" w:eastAsia="宋体" w:hAnsi="Arial" w:cs="Arial" w:hint="eastAsia"/>
          <w:bCs/>
          <w:sz w:val="18"/>
          <w:szCs w:val="18"/>
          <w:shd w:val="clear" w:color="auto" w:fill="FFFFFF"/>
        </w:rPr>
        <w:t xml:space="preserve">         </w:t>
      </w:r>
      <w:r w:rsidRPr="000F1C1F">
        <w:rPr>
          <w:rFonts w:ascii="Arial" w:eastAsia="宋体" w:hAnsi="Arial" w:cs="Arial"/>
          <w:bCs/>
          <w:sz w:val="18"/>
          <w:szCs w:val="18"/>
          <w:shd w:val="clear" w:color="auto" w:fill="FFFFFF"/>
        </w:rPr>
        <w:t xml:space="preserve">             www.pedata.cn</w:t>
      </w:r>
    </w:p>
    <w:p w:rsidR="002174D3" w:rsidRDefault="002174D3" w:rsidP="002174D3">
      <w:pPr>
        <w:pStyle w:val="a8"/>
        <w:rPr>
          <w:rFonts w:ascii="Arial" w:eastAsia="宋体" w:hAnsi="Arial" w:cs="Arial"/>
        </w:rPr>
      </w:pPr>
    </w:p>
    <w:p w:rsidR="006B3407" w:rsidRPr="00872EE1" w:rsidRDefault="006B3407" w:rsidP="002174D3">
      <w:pPr>
        <w:pStyle w:val="a8"/>
        <w:rPr>
          <w:rFonts w:ascii="Arial" w:hAnsi="Arial" w:cs="Arial"/>
        </w:rPr>
      </w:pPr>
    </w:p>
    <w:p w:rsidR="006B3407" w:rsidRPr="006B3407" w:rsidRDefault="006B3407" w:rsidP="002174D3">
      <w:pPr>
        <w:pStyle w:val="a8"/>
        <w:rPr>
          <w:rFonts w:ascii="Arial" w:hAnsi="Arial" w:cs="Arial"/>
        </w:rPr>
      </w:pPr>
    </w:p>
    <w:sectPr w:rsidR="006B3407" w:rsidRPr="006B3407" w:rsidSect="004E72EB">
      <w:pgSz w:w="11906" w:h="16838"/>
      <w:pgMar w:top="1440" w:right="1134"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11C" w:rsidRDefault="001B111C" w:rsidP="000C7F7A">
      <w:r>
        <w:separator/>
      </w:r>
    </w:p>
  </w:endnote>
  <w:endnote w:type="continuationSeparator" w:id="0">
    <w:p w:rsidR="001B111C" w:rsidRDefault="001B111C" w:rsidP="000C7F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11C" w:rsidRDefault="001B111C" w:rsidP="000C7F7A">
      <w:r>
        <w:separator/>
      </w:r>
    </w:p>
  </w:footnote>
  <w:footnote w:type="continuationSeparator" w:id="0">
    <w:p w:rsidR="001B111C" w:rsidRDefault="001B111C" w:rsidP="000C7F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631AA"/>
    <w:rsid w:val="00004D79"/>
    <w:rsid w:val="000407AF"/>
    <w:rsid w:val="00056936"/>
    <w:rsid w:val="00064016"/>
    <w:rsid w:val="000A13B5"/>
    <w:rsid w:val="000A3606"/>
    <w:rsid w:val="000A3E23"/>
    <w:rsid w:val="000A7A21"/>
    <w:rsid w:val="000C2299"/>
    <w:rsid w:val="000C7F7A"/>
    <w:rsid w:val="000D7F6E"/>
    <w:rsid w:val="000F129F"/>
    <w:rsid w:val="000F1C1F"/>
    <w:rsid w:val="0013569B"/>
    <w:rsid w:val="00154614"/>
    <w:rsid w:val="00165CFF"/>
    <w:rsid w:val="00180F71"/>
    <w:rsid w:val="0018733C"/>
    <w:rsid w:val="001B111C"/>
    <w:rsid w:val="001C4B4E"/>
    <w:rsid w:val="001D0000"/>
    <w:rsid w:val="001F1DFC"/>
    <w:rsid w:val="00200398"/>
    <w:rsid w:val="002016DD"/>
    <w:rsid w:val="002174D3"/>
    <w:rsid w:val="002249D5"/>
    <w:rsid w:val="002631AA"/>
    <w:rsid w:val="00271B82"/>
    <w:rsid w:val="002A6CAC"/>
    <w:rsid w:val="002C6326"/>
    <w:rsid w:val="0030058D"/>
    <w:rsid w:val="00312CDE"/>
    <w:rsid w:val="00330835"/>
    <w:rsid w:val="00332F70"/>
    <w:rsid w:val="0034731D"/>
    <w:rsid w:val="00347E83"/>
    <w:rsid w:val="00350424"/>
    <w:rsid w:val="00381CA0"/>
    <w:rsid w:val="00382519"/>
    <w:rsid w:val="0039689C"/>
    <w:rsid w:val="003A3B40"/>
    <w:rsid w:val="003A3BBA"/>
    <w:rsid w:val="003B01B6"/>
    <w:rsid w:val="003B35F8"/>
    <w:rsid w:val="003C56D3"/>
    <w:rsid w:val="003C5DC2"/>
    <w:rsid w:val="003D2DDF"/>
    <w:rsid w:val="003E4548"/>
    <w:rsid w:val="004163CE"/>
    <w:rsid w:val="00440995"/>
    <w:rsid w:val="004433BA"/>
    <w:rsid w:val="00451CDE"/>
    <w:rsid w:val="00465BB1"/>
    <w:rsid w:val="004846EF"/>
    <w:rsid w:val="00493EE5"/>
    <w:rsid w:val="00496F23"/>
    <w:rsid w:val="00497109"/>
    <w:rsid w:val="004A2DC3"/>
    <w:rsid w:val="004B0070"/>
    <w:rsid w:val="004E72EB"/>
    <w:rsid w:val="004F15AC"/>
    <w:rsid w:val="005078F9"/>
    <w:rsid w:val="0051267C"/>
    <w:rsid w:val="005456BF"/>
    <w:rsid w:val="00557358"/>
    <w:rsid w:val="00593861"/>
    <w:rsid w:val="005A1717"/>
    <w:rsid w:val="005A6D8C"/>
    <w:rsid w:val="005A7E18"/>
    <w:rsid w:val="005B7853"/>
    <w:rsid w:val="005D4F99"/>
    <w:rsid w:val="005E38AF"/>
    <w:rsid w:val="005E714E"/>
    <w:rsid w:val="006024CD"/>
    <w:rsid w:val="006141C5"/>
    <w:rsid w:val="00616637"/>
    <w:rsid w:val="00630DE5"/>
    <w:rsid w:val="0063368A"/>
    <w:rsid w:val="00641FF2"/>
    <w:rsid w:val="00656792"/>
    <w:rsid w:val="006862A3"/>
    <w:rsid w:val="006A4581"/>
    <w:rsid w:val="006B27D3"/>
    <w:rsid w:val="006B3407"/>
    <w:rsid w:val="006B5251"/>
    <w:rsid w:val="006E1D62"/>
    <w:rsid w:val="006F1FBC"/>
    <w:rsid w:val="00700680"/>
    <w:rsid w:val="00707092"/>
    <w:rsid w:val="00717CAE"/>
    <w:rsid w:val="0072507B"/>
    <w:rsid w:val="00731BA7"/>
    <w:rsid w:val="0075773C"/>
    <w:rsid w:val="007622F5"/>
    <w:rsid w:val="007E0525"/>
    <w:rsid w:val="008038B2"/>
    <w:rsid w:val="00806064"/>
    <w:rsid w:val="00846D0C"/>
    <w:rsid w:val="00872EE1"/>
    <w:rsid w:val="00884BA3"/>
    <w:rsid w:val="00887428"/>
    <w:rsid w:val="008A3CDC"/>
    <w:rsid w:val="008A749E"/>
    <w:rsid w:val="008F2C59"/>
    <w:rsid w:val="00903F26"/>
    <w:rsid w:val="00910409"/>
    <w:rsid w:val="009239A9"/>
    <w:rsid w:val="00932DE9"/>
    <w:rsid w:val="00932E41"/>
    <w:rsid w:val="009764E1"/>
    <w:rsid w:val="00976C7B"/>
    <w:rsid w:val="009803C4"/>
    <w:rsid w:val="00984265"/>
    <w:rsid w:val="009868A2"/>
    <w:rsid w:val="0099488D"/>
    <w:rsid w:val="00994FAD"/>
    <w:rsid w:val="009A6BE2"/>
    <w:rsid w:val="009E1338"/>
    <w:rsid w:val="009F2633"/>
    <w:rsid w:val="00A11792"/>
    <w:rsid w:val="00A20CBE"/>
    <w:rsid w:val="00A235B2"/>
    <w:rsid w:val="00A36197"/>
    <w:rsid w:val="00A36764"/>
    <w:rsid w:val="00A53118"/>
    <w:rsid w:val="00A5773F"/>
    <w:rsid w:val="00A659F8"/>
    <w:rsid w:val="00A92923"/>
    <w:rsid w:val="00AA6AD9"/>
    <w:rsid w:val="00AA6D37"/>
    <w:rsid w:val="00AD7576"/>
    <w:rsid w:val="00B0324D"/>
    <w:rsid w:val="00B436CD"/>
    <w:rsid w:val="00B553BA"/>
    <w:rsid w:val="00B628E9"/>
    <w:rsid w:val="00B71BCF"/>
    <w:rsid w:val="00B957DF"/>
    <w:rsid w:val="00B97C47"/>
    <w:rsid w:val="00BD667F"/>
    <w:rsid w:val="00BE605F"/>
    <w:rsid w:val="00C27148"/>
    <w:rsid w:val="00C62C77"/>
    <w:rsid w:val="00C75A6E"/>
    <w:rsid w:val="00CE5BDF"/>
    <w:rsid w:val="00CF4197"/>
    <w:rsid w:val="00D00E00"/>
    <w:rsid w:val="00D05FE5"/>
    <w:rsid w:val="00D3283A"/>
    <w:rsid w:val="00D34470"/>
    <w:rsid w:val="00D408D3"/>
    <w:rsid w:val="00D575C7"/>
    <w:rsid w:val="00D900DC"/>
    <w:rsid w:val="00DB5683"/>
    <w:rsid w:val="00DC1630"/>
    <w:rsid w:val="00DD2670"/>
    <w:rsid w:val="00E33ACF"/>
    <w:rsid w:val="00E4371E"/>
    <w:rsid w:val="00E50918"/>
    <w:rsid w:val="00E62708"/>
    <w:rsid w:val="00E64C25"/>
    <w:rsid w:val="00E76BDD"/>
    <w:rsid w:val="00E85E91"/>
    <w:rsid w:val="00EC68CD"/>
    <w:rsid w:val="00ED1EA8"/>
    <w:rsid w:val="00ED5429"/>
    <w:rsid w:val="00EE6A3D"/>
    <w:rsid w:val="00EE7D3B"/>
    <w:rsid w:val="00EF3E3C"/>
    <w:rsid w:val="00F14A27"/>
    <w:rsid w:val="00F44AFB"/>
    <w:rsid w:val="00F5125A"/>
    <w:rsid w:val="00F802D0"/>
    <w:rsid w:val="00F97BD6"/>
    <w:rsid w:val="00FC56E4"/>
    <w:rsid w:val="00FC5D9A"/>
    <w:rsid w:val="00FE3E57"/>
    <w:rsid w:val="00FF7D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3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0C7F7A"/>
    <w:rPr>
      <w:rFonts w:ascii="宋体" w:eastAsia="宋体"/>
      <w:sz w:val="18"/>
      <w:szCs w:val="18"/>
    </w:rPr>
  </w:style>
  <w:style w:type="character" w:customStyle="1" w:styleId="Char">
    <w:name w:val="文档结构图 Char"/>
    <w:basedOn w:val="a0"/>
    <w:link w:val="a3"/>
    <w:uiPriority w:val="99"/>
    <w:semiHidden/>
    <w:rsid w:val="000C7F7A"/>
    <w:rPr>
      <w:rFonts w:ascii="宋体" w:eastAsia="宋体"/>
      <w:sz w:val="18"/>
      <w:szCs w:val="18"/>
    </w:rPr>
  </w:style>
  <w:style w:type="paragraph" w:styleId="a4">
    <w:name w:val="header"/>
    <w:basedOn w:val="a"/>
    <w:link w:val="Char0"/>
    <w:uiPriority w:val="99"/>
    <w:unhideWhenUsed/>
    <w:rsid w:val="000C7F7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C7F7A"/>
    <w:rPr>
      <w:sz w:val="18"/>
      <w:szCs w:val="18"/>
    </w:rPr>
  </w:style>
  <w:style w:type="paragraph" w:styleId="a5">
    <w:name w:val="footer"/>
    <w:basedOn w:val="a"/>
    <w:link w:val="Char1"/>
    <w:uiPriority w:val="99"/>
    <w:unhideWhenUsed/>
    <w:rsid w:val="000C7F7A"/>
    <w:pPr>
      <w:tabs>
        <w:tab w:val="center" w:pos="4153"/>
        <w:tab w:val="right" w:pos="8306"/>
      </w:tabs>
      <w:snapToGrid w:val="0"/>
      <w:jc w:val="left"/>
    </w:pPr>
    <w:rPr>
      <w:sz w:val="18"/>
      <w:szCs w:val="18"/>
    </w:rPr>
  </w:style>
  <w:style w:type="character" w:customStyle="1" w:styleId="Char1">
    <w:name w:val="页脚 Char"/>
    <w:basedOn w:val="a0"/>
    <w:link w:val="a5"/>
    <w:uiPriority w:val="99"/>
    <w:rsid w:val="000C7F7A"/>
    <w:rPr>
      <w:sz w:val="18"/>
      <w:szCs w:val="18"/>
    </w:rPr>
  </w:style>
  <w:style w:type="character" w:styleId="a6">
    <w:name w:val="Strong"/>
    <w:basedOn w:val="a0"/>
    <w:uiPriority w:val="22"/>
    <w:qFormat/>
    <w:rsid w:val="00717CAE"/>
    <w:rPr>
      <w:b/>
      <w:bCs/>
    </w:rPr>
  </w:style>
  <w:style w:type="paragraph" w:styleId="a7">
    <w:name w:val="Balloon Text"/>
    <w:basedOn w:val="a"/>
    <w:link w:val="Char2"/>
    <w:uiPriority w:val="99"/>
    <w:semiHidden/>
    <w:unhideWhenUsed/>
    <w:rsid w:val="00717CAE"/>
    <w:rPr>
      <w:sz w:val="18"/>
      <w:szCs w:val="18"/>
    </w:rPr>
  </w:style>
  <w:style w:type="character" w:customStyle="1" w:styleId="Char2">
    <w:name w:val="批注框文本 Char"/>
    <w:basedOn w:val="a0"/>
    <w:link w:val="a7"/>
    <w:uiPriority w:val="99"/>
    <w:semiHidden/>
    <w:rsid w:val="00717CAE"/>
    <w:rPr>
      <w:sz w:val="18"/>
      <w:szCs w:val="18"/>
    </w:rPr>
  </w:style>
  <w:style w:type="paragraph" w:styleId="a8">
    <w:name w:val="No Spacing"/>
    <w:uiPriority w:val="1"/>
    <w:qFormat/>
    <w:rsid w:val="00717CAE"/>
    <w:pPr>
      <w:widowControl w:val="0"/>
      <w:jc w:val="both"/>
    </w:pPr>
  </w:style>
  <w:style w:type="character" w:styleId="a9">
    <w:name w:val="Hyperlink"/>
    <w:basedOn w:val="a0"/>
    <w:rsid w:val="006B340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026347">
      <w:bodyDiv w:val="1"/>
      <w:marLeft w:val="0"/>
      <w:marRight w:val="0"/>
      <w:marTop w:val="0"/>
      <w:marBottom w:val="0"/>
      <w:divBdr>
        <w:top w:val="none" w:sz="0" w:space="0" w:color="auto"/>
        <w:left w:val="none" w:sz="0" w:space="0" w:color="auto"/>
        <w:bottom w:val="none" w:sz="0" w:space="0" w:color="auto"/>
        <w:right w:val="none" w:sz="0" w:space="0" w:color="auto"/>
      </w:divBdr>
    </w:div>
    <w:div w:id="46077476">
      <w:bodyDiv w:val="1"/>
      <w:marLeft w:val="0"/>
      <w:marRight w:val="0"/>
      <w:marTop w:val="0"/>
      <w:marBottom w:val="0"/>
      <w:divBdr>
        <w:top w:val="none" w:sz="0" w:space="0" w:color="auto"/>
        <w:left w:val="none" w:sz="0" w:space="0" w:color="auto"/>
        <w:bottom w:val="none" w:sz="0" w:space="0" w:color="auto"/>
        <w:right w:val="none" w:sz="0" w:space="0" w:color="auto"/>
      </w:divBdr>
    </w:div>
    <w:div w:id="258177661">
      <w:bodyDiv w:val="1"/>
      <w:marLeft w:val="0"/>
      <w:marRight w:val="0"/>
      <w:marTop w:val="0"/>
      <w:marBottom w:val="0"/>
      <w:divBdr>
        <w:top w:val="none" w:sz="0" w:space="0" w:color="auto"/>
        <w:left w:val="none" w:sz="0" w:space="0" w:color="auto"/>
        <w:bottom w:val="none" w:sz="0" w:space="0" w:color="auto"/>
        <w:right w:val="none" w:sz="0" w:space="0" w:color="auto"/>
      </w:divBdr>
    </w:div>
    <w:div w:id="404185724">
      <w:bodyDiv w:val="1"/>
      <w:marLeft w:val="0"/>
      <w:marRight w:val="0"/>
      <w:marTop w:val="0"/>
      <w:marBottom w:val="0"/>
      <w:divBdr>
        <w:top w:val="none" w:sz="0" w:space="0" w:color="auto"/>
        <w:left w:val="none" w:sz="0" w:space="0" w:color="auto"/>
        <w:bottom w:val="none" w:sz="0" w:space="0" w:color="auto"/>
        <w:right w:val="none" w:sz="0" w:space="0" w:color="auto"/>
      </w:divBdr>
    </w:div>
    <w:div w:id="540167572">
      <w:bodyDiv w:val="1"/>
      <w:marLeft w:val="0"/>
      <w:marRight w:val="0"/>
      <w:marTop w:val="0"/>
      <w:marBottom w:val="0"/>
      <w:divBdr>
        <w:top w:val="none" w:sz="0" w:space="0" w:color="auto"/>
        <w:left w:val="none" w:sz="0" w:space="0" w:color="auto"/>
        <w:bottom w:val="none" w:sz="0" w:space="0" w:color="auto"/>
        <w:right w:val="none" w:sz="0" w:space="0" w:color="auto"/>
      </w:divBdr>
    </w:div>
    <w:div w:id="845948685">
      <w:bodyDiv w:val="1"/>
      <w:marLeft w:val="0"/>
      <w:marRight w:val="0"/>
      <w:marTop w:val="0"/>
      <w:marBottom w:val="0"/>
      <w:divBdr>
        <w:top w:val="none" w:sz="0" w:space="0" w:color="auto"/>
        <w:left w:val="none" w:sz="0" w:space="0" w:color="auto"/>
        <w:bottom w:val="none" w:sz="0" w:space="0" w:color="auto"/>
        <w:right w:val="none" w:sz="0" w:space="0" w:color="auto"/>
      </w:divBdr>
    </w:div>
    <w:div w:id="879170909">
      <w:bodyDiv w:val="1"/>
      <w:marLeft w:val="0"/>
      <w:marRight w:val="0"/>
      <w:marTop w:val="0"/>
      <w:marBottom w:val="0"/>
      <w:divBdr>
        <w:top w:val="none" w:sz="0" w:space="0" w:color="auto"/>
        <w:left w:val="none" w:sz="0" w:space="0" w:color="auto"/>
        <w:bottom w:val="none" w:sz="0" w:space="0" w:color="auto"/>
        <w:right w:val="none" w:sz="0" w:space="0" w:color="auto"/>
      </w:divBdr>
    </w:div>
    <w:div w:id="956637686">
      <w:bodyDiv w:val="1"/>
      <w:marLeft w:val="0"/>
      <w:marRight w:val="0"/>
      <w:marTop w:val="0"/>
      <w:marBottom w:val="0"/>
      <w:divBdr>
        <w:top w:val="none" w:sz="0" w:space="0" w:color="auto"/>
        <w:left w:val="none" w:sz="0" w:space="0" w:color="auto"/>
        <w:bottom w:val="none" w:sz="0" w:space="0" w:color="auto"/>
        <w:right w:val="none" w:sz="0" w:space="0" w:color="auto"/>
      </w:divBdr>
    </w:div>
    <w:div w:id="1026060948">
      <w:bodyDiv w:val="1"/>
      <w:marLeft w:val="0"/>
      <w:marRight w:val="0"/>
      <w:marTop w:val="0"/>
      <w:marBottom w:val="0"/>
      <w:divBdr>
        <w:top w:val="none" w:sz="0" w:space="0" w:color="auto"/>
        <w:left w:val="none" w:sz="0" w:space="0" w:color="auto"/>
        <w:bottom w:val="none" w:sz="0" w:space="0" w:color="auto"/>
        <w:right w:val="none" w:sz="0" w:space="0" w:color="auto"/>
      </w:divBdr>
    </w:div>
    <w:div w:id="1136751844">
      <w:bodyDiv w:val="1"/>
      <w:marLeft w:val="0"/>
      <w:marRight w:val="0"/>
      <w:marTop w:val="0"/>
      <w:marBottom w:val="0"/>
      <w:divBdr>
        <w:top w:val="none" w:sz="0" w:space="0" w:color="auto"/>
        <w:left w:val="none" w:sz="0" w:space="0" w:color="auto"/>
        <w:bottom w:val="none" w:sz="0" w:space="0" w:color="auto"/>
        <w:right w:val="none" w:sz="0" w:space="0" w:color="auto"/>
      </w:divBdr>
    </w:div>
    <w:div w:id="1220822683">
      <w:bodyDiv w:val="1"/>
      <w:marLeft w:val="0"/>
      <w:marRight w:val="0"/>
      <w:marTop w:val="0"/>
      <w:marBottom w:val="0"/>
      <w:divBdr>
        <w:top w:val="none" w:sz="0" w:space="0" w:color="auto"/>
        <w:left w:val="none" w:sz="0" w:space="0" w:color="auto"/>
        <w:bottom w:val="none" w:sz="0" w:space="0" w:color="auto"/>
        <w:right w:val="none" w:sz="0" w:space="0" w:color="auto"/>
      </w:divBdr>
    </w:div>
    <w:div w:id="1279727182">
      <w:bodyDiv w:val="1"/>
      <w:marLeft w:val="0"/>
      <w:marRight w:val="0"/>
      <w:marTop w:val="0"/>
      <w:marBottom w:val="0"/>
      <w:divBdr>
        <w:top w:val="none" w:sz="0" w:space="0" w:color="auto"/>
        <w:left w:val="none" w:sz="0" w:space="0" w:color="auto"/>
        <w:bottom w:val="none" w:sz="0" w:space="0" w:color="auto"/>
        <w:right w:val="none" w:sz="0" w:space="0" w:color="auto"/>
      </w:divBdr>
    </w:div>
    <w:div w:id="1379935598">
      <w:bodyDiv w:val="1"/>
      <w:marLeft w:val="0"/>
      <w:marRight w:val="0"/>
      <w:marTop w:val="0"/>
      <w:marBottom w:val="0"/>
      <w:divBdr>
        <w:top w:val="none" w:sz="0" w:space="0" w:color="auto"/>
        <w:left w:val="none" w:sz="0" w:space="0" w:color="auto"/>
        <w:bottom w:val="none" w:sz="0" w:space="0" w:color="auto"/>
        <w:right w:val="none" w:sz="0" w:space="0" w:color="auto"/>
      </w:divBdr>
    </w:div>
    <w:div w:id="1411348911">
      <w:bodyDiv w:val="1"/>
      <w:marLeft w:val="0"/>
      <w:marRight w:val="0"/>
      <w:marTop w:val="0"/>
      <w:marBottom w:val="0"/>
      <w:divBdr>
        <w:top w:val="none" w:sz="0" w:space="0" w:color="auto"/>
        <w:left w:val="none" w:sz="0" w:space="0" w:color="auto"/>
        <w:bottom w:val="none" w:sz="0" w:space="0" w:color="auto"/>
        <w:right w:val="none" w:sz="0" w:space="0" w:color="auto"/>
      </w:divBdr>
    </w:div>
    <w:div w:id="1432236699">
      <w:bodyDiv w:val="1"/>
      <w:marLeft w:val="0"/>
      <w:marRight w:val="0"/>
      <w:marTop w:val="0"/>
      <w:marBottom w:val="0"/>
      <w:divBdr>
        <w:top w:val="none" w:sz="0" w:space="0" w:color="auto"/>
        <w:left w:val="none" w:sz="0" w:space="0" w:color="auto"/>
        <w:bottom w:val="none" w:sz="0" w:space="0" w:color="auto"/>
        <w:right w:val="none" w:sz="0" w:space="0" w:color="auto"/>
      </w:divBdr>
    </w:div>
    <w:div w:id="1571964265">
      <w:bodyDiv w:val="1"/>
      <w:marLeft w:val="0"/>
      <w:marRight w:val="0"/>
      <w:marTop w:val="0"/>
      <w:marBottom w:val="0"/>
      <w:divBdr>
        <w:top w:val="none" w:sz="0" w:space="0" w:color="auto"/>
        <w:left w:val="none" w:sz="0" w:space="0" w:color="auto"/>
        <w:bottom w:val="none" w:sz="0" w:space="0" w:color="auto"/>
        <w:right w:val="none" w:sz="0" w:space="0" w:color="auto"/>
      </w:divBdr>
    </w:div>
    <w:div w:id="1589536682">
      <w:bodyDiv w:val="1"/>
      <w:marLeft w:val="0"/>
      <w:marRight w:val="0"/>
      <w:marTop w:val="0"/>
      <w:marBottom w:val="0"/>
      <w:divBdr>
        <w:top w:val="none" w:sz="0" w:space="0" w:color="auto"/>
        <w:left w:val="none" w:sz="0" w:space="0" w:color="auto"/>
        <w:bottom w:val="none" w:sz="0" w:space="0" w:color="auto"/>
        <w:right w:val="none" w:sz="0" w:space="0" w:color="auto"/>
      </w:divBdr>
    </w:div>
    <w:div w:id="1643997763">
      <w:bodyDiv w:val="1"/>
      <w:marLeft w:val="0"/>
      <w:marRight w:val="0"/>
      <w:marTop w:val="0"/>
      <w:marBottom w:val="0"/>
      <w:divBdr>
        <w:top w:val="none" w:sz="0" w:space="0" w:color="auto"/>
        <w:left w:val="none" w:sz="0" w:space="0" w:color="auto"/>
        <w:bottom w:val="none" w:sz="0" w:space="0" w:color="auto"/>
        <w:right w:val="none" w:sz="0" w:space="0" w:color="auto"/>
      </w:divBdr>
    </w:div>
    <w:div w:id="1795367761">
      <w:bodyDiv w:val="1"/>
      <w:marLeft w:val="0"/>
      <w:marRight w:val="0"/>
      <w:marTop w:val="0"/>
      <w:marBottom w:val="0"/>
      <w:divBdr>
        <w:top w:val="none" w:sz="0" w:space="0" w:color="auto"/>
        <w:left w:val="none" w:sz="0" w:space="0" w:color="auto"/>
        <w:bottom w:val="none" w:sz="0" w:space="0" w:color="auto"/>
        <w:right w:val="none" w:sz="0" w:space="0" w:color="auto"/>
      </w:divBdr>
      <w:divsChild>
        <w:div w:id="1722555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hart" Target="charts/chart5.xml"/><Relationship Id="rId4" Type="http://schemas.openxmlformats.org/officeDocument/2006/relationships/footnotes" Target="footnotes.xml"/><Relationship Id="rId9" Type="http://schemas.openxmlformats.org/officeDocument/2006/relationships/chart" Target="charts/chart4.xml"/><Relationship Id="rId14"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alexyan\&#26700;&#38754;\2014&#24180;M&amp;A&#25968;&#25454;&#31295;\2014&#24180;&#24182;&#36141;&#25968;&#25454;&#34920;&#22270;&#34920;.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Documents%20and%20Settings\alexyan\&#26700;&#38754;\2014&#24180;M&amp;A&#25968;&#25454;&#31295;\2014&#24180;&#24182;&#36141;&#25968;&#25454;&#34920;&#22270;&#34920;.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Documents%20and%20Settings\alexyan\&#26700;&#38754;\2014&#24180;M&amp;A&#25968;&#25454;&#31295;\2014&#24180;&#24182;&#36141;&#25968;&#25454;&#34920;&#22270;&#34920;.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Documents%20and%20Settings\alexyan\&#26700;&#38754;\2014&#24180;M&amp;A&#25968;&#25454;&#31295;\2014&#24180;&#24182;&#36141;&#25968;&#25454;&#34920;&#22270;&#34920;.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Documents%20and%20Settings\alexyan\&#26700;&#38754;\2014&#24180;M&amp;A&#25968;&#25454;&#31295;\2014&#24180;&#24182;&#36141;&#25968;&#25454;&#34920;&#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lgn="l">
              <a:defRPr/>
            </a:pPr>
            <a:r>
              <a:rPr lang="en-US" sz="900" b="1" baseline="0"/>
              <a:t>2007-2014</a:t>
            </a:r>
            <a:r>
              <a:rPr lang="zh-CN" altLang="en-US" sz="900" b="1" baseline="0"/>
              <a:t>年</a:t>
            </a:r>
            <a:r>
              <a:rPr lang="zh-CN" sz="900" b="1" baseline="0"/>
              <a:t>中国并购市场</a:t>
            </a:r>
            <a:r>
              <a:rPr lang="zh-CN" altLang="en-US" sz="900" b="1" baseline="0"/>
              <a:t>发展趋势</a:t>
            </a:r>
            <a:endParaRPr lang="zh-CN" sz="900" b="1" baseline="0"/>
          </a:p>
        </c:rich>
      </c:tx>
      <c:layout>
        <c:manualLayout>
          <c:xMode val="edge"/>
          <c:yMode val="edge"/>
          <c:x val="0.27510664496201687"/>
          <c:y val="3.5274427694025771E-2"/>
        </c:manualLayout>
      </c:layout>
      <c:spPr>
        <a:noFill/>
        <a:ln w="25400">
          <a:noFill/>
        </a:ln>
      </c:spPr>
    </c:title>
    <c:plotArea>
      <c:layout>
        <c:manualLayout>
          <c:layoutTarget val="inner"/>
          <c:xMode val="edge"/>
          <c:yMode val="edge"/>
          <c:x val="0.18165581434176475"/>
          <c:y val="0.14701005025125641"/>
          <c:w val="0.70959707770644231"/>
          <c:h val="0.59740480178670829"/>
        </c:manualLayout>
      </c:layout>
      <c:barChart>
        <c:barDir val="col"/>
        <c:grouping val="clustered"/>
        <c:ser>
          <c:idx val="1"/>
          <c:order val="0"/>
          <c:tx>
            <c:strRef>
              <c:f>统计图表!$B$2</c:f>
              <c:strCache>
                <c:ptCount val="1"/>
                <c:pt idx="0">
                  <c:v>并购总额 (US$M)</c:v>
                </c:pt>
              </c:strCache>
            </c:strRef>
          </c:tx>
          <c:spPr>
            <a:solidFill>
              <a:srgbClr val="000080"/>
            </a:solidFill>
            <a:ln w="25400">
              <a:noFill/>
            </a:ln>
          </c:spPr>
          <c:dLbls>
            <c:dLbl>
              <c:idx val="1"/>
              <c:layout>
                <c:manualLayout>
                  <c:x val="-5.3009433174722514E-3"/>
                  <c:y val="-3.5455053042992755E-3"/>
                </c:manualLayout>
              </c:layout>
              <c:showVal val="1"/>
            </c:dLbl>
            <c:dLbl>
              <c:idx val="2"/>
              <c:layout>
                <c:manualLayout>
                  <c:x val="-2.6504716587361435E-3"/>
                  <c:y val="1.7727526521496385E-2"/>
                </c:manualLayout>
              </c:layout>
              <c:showVal val="1"/>
            </c:dLbl>
            <c:dLbl>
              <c:idx val="3"/>
              <c:layout>
                <c:manualLayout>
                  <c:x val="-5.3009433174722514E-3"/>
                  <c:y val="6.5000179691198822E-17"/>
                </c:manualLayout>
              </c:layout>
              <c:showVal val="1"/>
            </c:dLbl>
            <c:dLbl>
              <c:idx val="6"/>
              <c:layout>
                <c:manualLayout>
                  <c:x val="-5.3009433174722514E-3"/>
                  <c:y val="-1.4182021217197209E-2"/>
                </c:manualLayout>
              </c:layout>
              <c:showVal val="1"/>
            </c:dLbl>
            <c:dLbl>
              <c:idx val="7"/>
              <c:layout>
                <c:manualLayout>
                  <c:x val="-2.650471658736131E-2"/>
                  <c:y val="-7.0910106085985509E-3"/>
                </c:manualLayout>
              </c:layout>
              <c:showVal val="1"/>
            </c:dLbl>
            <c:showVal val="1"/>
          </c:dLbls>
          <c:cat>
            <c:numRef>
              <c:f>统计图表!$A$3:$A$10</c:f>
              <c:numCache>
                <c:formatCode>General</c:formatCode>
                <c:ptCount val="8"/>
                <c:pt idx="0">
                  <c:v>2007</c:v>
                </c:pt>
                <c:pt idx="1">
                  <c:v>2008</c:v>
                </c:pt>
                <c:pt idx="2">
                  <c:v>2009</c:v>
                </c:pt>
                <c:pt idx="3">
                  <c:v>2010</c:v>
                </c:pt>
                <c:pt idx="4">
                  <c:v>2011</c:v>
                </c:pt>
                <c:pt idx="5">
                  <c:v>2012</c:v>
                </c:pt>
                <c:pt idx="6">
                  <c:v>2013</c:v>
                </c:pt>
                <c:pt idx="7">
                  <c:v>2014</c:v>
                </c:pt>
              </c:numCache>
            </c:numRef>
          </c:cat>
          <c:val>
            <c:numRef>
              <c:f>统计图表!$B$3:$B$10</c:f>
              <c:numCache>
                <c:formatCode>#,##0.00;[Red]\-#,##0.00</c:formatCode>
                <c:ptCount val="8"/>
                <c:pt idx="0">
                  <c:v>27023.32</c:v>
                </c:pt>
                <c:pt idx="1">
                  <c:v>34539.370000000003</c:v>
                </c:pt>
                <c:pt idx="2">
                  <c:v>33147.340000000011</c:v>
                </c:pt>
                <c:pt idx="3">
                  <c:v>34802.800000000003</c:v>
                </c:pt>
                <c:pt idx="4">
                  <c:v>66918.25</c:v>
                </c:pt>
                <c:pt idx="5">
                  <c:v>50762.340000000011</c:v>
                </c:pt>
                <c:pt idx="6">
                  <c:v>93203.26</c:v>
                </c:pt>
                <c:pt idx="7">
                  <c:v>118489.54084824667</c:v>
                </c:pt>
              </c:numCache>
            </c:numRef>
          </c:val>
        </c:ser>
        <c:dLbls>
          <c:showVal val="1"/>
        </c:dLbls>
        <c:axId val="106681472"/>
        <c:axId val="106683008"/>
      </c:barChart>
      <c:lineChart>
        <c:grouping val="standard"/>
        <c:ser>
          <c:idx val="0"/>
          <c:order val="1"/>
          <c:tx>
            <c:strRef>
              <c:f>统计图表!$C$2</c:f>
              <c:strCache>
                <c:ptCount val="1"/>
                <c:pt idx="0">
                  <c:v>案例数</c:v>
                </c:pt>
              </c:strCache>
            </c:strRef>
          </c:tx>
          <c:spPr>
            <a:ln w="38100">
              <a:solidFill>
                <a:srgbClr val="99CCFF"/>
              </a:solidFill>
              <a:prstDash val="solid"/>
            </a:ln>
          </c:spPr>
          <c:marker>
            <c:symbol val="circle"/>
            <c:size val="6"/>
            <c:spPr>
              <a:solidFill>
                <a:srgbClr val="FF0000"/>
              </a:solidFill>
              <a:ln>
                <a:solidFill>
                  <a:srgbClr val="FF0000"/>
                </a:solidFill>
                <a:prstDash val="solid"/>
              </a:ln>
            </c:spPr>
          </c:marker>
          <c:dLbls>
            <c:dLbl>
              <c:idx val="0"/>
              <c:layout>
                <c:manualLayout>
                  <c:x val="-1.3613198096669233E-2"/>
                  <c:y val="-4.2825237297599107E-2"/>
                </c:manualLayout>
              </c:layout>
              <c:spPr>
                <a:solidFill>
                  <a:sysClr val="window" lastClr="FFFFFF"/>
                </a:solidFill>
              </c:spPr>
              <c:txPr>
                <a:bodyPr/>
                <a:lstStyle/>
                <a:p>
                  <a:pPr>
                    <a:defRPr/>
                  </a:pPr>
                  <a:endParaRPr lang="zh-CN"/>
                </a:p>
              </c:txPr>
              <c:showVal val="1"/>
            </c:dLbl>
            <c:dLbl>
              <c:idx val="1"/>
              <c:layout>
                <c:manualLayout>
                  <c:x val="-5.2662993572084524E-3"/>
                  <c:y val="2.0931044109436091E-2"/>
                </c:manualLayout>
              </c:layout>
              <c:showVal val="1"/>
            </c:dLbl>
            <c:dLbl>
              <c:idx val="2"/>
              <c:layout>
                <c:manualLayout>
                  <c:x val="-8.0131897487269489E-3"/>
                  <c:y val="-2.9871580122836482E-3"/>
                </c:manualLayout>
              </c:layout>
              <c:showVal val="1"/>
            </c:dLbl>
            <c:dLbl>
              <c:idx val="3"/>
              <c:layout>
                <c:manualLayout>
                  <c:x val="-2.9251398280324099E-2"/>
                  <c:y val="6.0459798994974875E-2"/>
                </c:manualLayout>
              </c:layout>
              <c:spPr>
                <a:solidFill>
                  <a:sysClr val="window" lastClr="FFFFFF"/>
                </a:solidFill>
              </c:spPr>
              <c:txPr>
                <a:bodyPr/>
                <a:lstStyle/>
                <a:p>
                  <a:pPr>
                    <a:defRPr/>
                  </a:pPr>
                  <a:endParaRPr lang="zh-CN"/>
                </a:p>
              </c:txPr>
              <c:showVal val="1"/>
            </c:dLbl>
            <c:dLbl>
              <c:idx val="4"/>
              <c:layout>
                <c:manualLayout>
                  <c:x val="-4.5047583270723814E-2"/>
                  <c:y val="7.390061418202154E-2"/>
                </c:manualLayout>
              </c:layout>
              <c:spPr>
                <a:solidFill>
                  <a:sysClr val="window" lastClr="FFFFFF"/>
                </a:solidFill>
              </c:spPr>
              <c:txPr>
                <a:bodyPr/>
                <a:lstStyle/>
                <a:p>
                  <a:pPr>
                    <a:defRPr/>
                  </a:pPr>
                  <a:endParaRPr lang="zh-CN"/>
                </a:p>
              </c:txPr>
              <c:showVal val="1"/>
            </c:dLbl>
            <c:dLbl>
              <c:idx val="5"/>
              <c:layout>
                <c:manualLayout>
                  <c:x val="-4.2391685449537066E-2"/>
                  <c:y val="6.3818816303740922E-2"/>
                </c:manualLayout>
              </c:layout>
              <c:spPr>
                <a:solidFill>
                  <a:sysClr val="window" lastClr="FFFFFF"/>
                </a:solidFill>
              </c:spPr>
              <c:txPr>
                <a:bodyPr/>
                <a:lstStyle/>
                <a:p>
                  <a:pPr>
                    <a:defRPr/>
                  </a:pPr>
                  <a:endParaRPr lang="zh-CN"/>
                </a:p>
              </c:txPr>
              <c:showVal val="1"/>
            </c:dLbl>
            <c:dLbl>
              <c:idx val="6"/>
              <c:layout>
                <c:manualLayout>
                  <c:x val="-3.7347232657150203E-2"/>
                  <c:y val="5.3554718034617525E-2"/>
                </c:manualLayout>
              </c:layout>
              <c:spPr>
                <a:solidFill>
                  <a:sysClr val="window" lastClr="FFFFFF"/>
                </a:solidFill>
              </c:spPr>
              <c:txPr>
                <a:bodyPr/>
                <a:lstStyle/>
                <a:p>
                  <a:pPr>
                    <a:defRPr/>
                  </a:pPr>
                  <a:endParaRPr lang="zh-CN"/>
                </a:p>
              </c:txPr>
              <c:showVal val="1"/>
            </c:dLbl>
            <c:dLbl>
              <c:idx val="7"/>
              <c:layout>
                <c:manualLayout>
                  <c:x val="-2.9155188246097329E-2"/>
                  <c:y val="8.5092127303182705E-2"/>
                </c:manualLayout>
              </c:layout>
              <c:spPr>
                <a:solidFill>
                  <a:sysClr val="window" lastClr="FFFFFF"/>
                </a:solidFill>
              </c:spPr>
              <c:txPr>
                <a:bodyPr/>
                <a:lstStyle/>
                <a:p>
                  <a:pPr>
                    <a:defRPr/>
                  </a:pPr>
                  <a:endParaRPr lang="zh-CN"/>
                </a:p>
              </c:txPr>
              <c:showVal val="1"/>
            </c:dLbl>
            <c:dLbl>
              <c:idx val="8"/>
              <c:layout>
                <c:manualLayout>
                  <c:x val="-2.6478420569329864E-2"/>
                  <c:y val="-1.7357900614182065E-2"/>
                </c:manualLayout>
              </c:layout>
              <c:showVal val="1"/>
            </c:dLbl>
            <c:dLbl>
              <c:idx val="9"/>
              <c:layout>
                <c:manualLayout>
                  <c:x val="-1.5902829952416726E-2"/>
                  <c:y val="-2.4818537130094919E-2"/>
                </c:manualLayout>
              </c:layout>
              <c:showVal val="1"/>
            </c:dLbl>
            <c:dLbl>
              <c:idx val="10"/>
              <c:layout>
                <c:manualLayout>
                  <c:x val="-7.9516236747642511E-3"/>
                  <c:y val="-2.8364042434394207E-2"/>
                </c:manualLayout>
              </c:layout>
              <c:showVal val="1"/>
            </c:dLbl>
            <c:showVal val="1"/>
          </c:dLbls>
          <c:cat>
            <c:numRef>
              <c:f>统计图表!$A$3:$A$10</c:f>
              <c:numCache>
                <c:formatCode>General</c:formatCode>
                <c:ptCount val="8"/>
                <c:pt idx="0">
                  <c:v>2007</c:v>
                </c:pt>
                <c:pt idx="1">
                  <c:v>2008</c:v>
                </c:pt>
                <c:pt idx="2">
                  <c:v>2009</c:v>
                </c:pt>
                <c:pt idx="3">
                  <c:v>2010</c:v>
                </c:pt>
                <c:pt idx="4">
                  <c:v>2011</c:v>
                </c:pt>
                <c:pt idx="5">
                  <c:v>2012</c:v>
                </c:pt>
                <c:pt idx="6">
                  <c:v>2013</c:v>
                </c:pt>
                <c:pt idx="7">
                  <c:v>2014</c:v>
                </c:pt>
              </c:numCache>
            </c:numRef>
          </c:cat>
          <c:val>
            <c:numRef>
              <c:f>统计图表!$C$3:$C$10</c:f>
              <c:numCache>
                <c:formatCode>#,##0_ </c:formatCode>
                <c:ptCount val="8"/>
                <c:pt idx="0">
                  <c:v>201</c:v>
                </c:pt>
                <c:pt idx="1">
                  <c:v>181</c:v>
                </c:pt>
                <c:pt idx="2">
                  <c:v>294</c:v>
                </c:pt>
                <c:pt idx="3">
                  <c:v>622</c:v>
                </c:pt>
                <c:pt idx="4">
                  <c:v>1157</c:v>
                </c:pt>
                <c:pt idx="5">
                  <c:v>991</c:v>
                </c:pt>
                <c:pt idx="6">
                  <c:v>1232</c:v>
                </c:pt>
                <c:pt idx="7" formatCode="#,##0">
                  <c:v>1929</c:v>
                </c:pt>
              </c:numCache>
            </c:numRef>
          </c:val>
        </c:ser>
        <c:dLbls>
          <c:showVal val="1"/>
        </c:dLbls>
        <c:marker val="1"/>
        <c:axId val="121061760"/>
        <c:axId val="121063296"/>
      </c:lineChart>
      <c:catAx>
        <c:axId val="106681472"/>
        <c:scaling>
          <c:orientation val="minMax"/>
        </c:scaling>
        <c:axPos val="b"/>
        <c:numFmt formatCode="General" sourceLinked="1"/>
        <c:majorTickMark val="in"/>
        <c:tickLblPos val="nextTo"/>
        <c:txPr>
          <a:bodyPr rot="0" vert="horz"/>
          <a:lstStyle/>
          <a:p>
            <a:pPr>
              <a:defRPr/>
            </a:pPr>
            <a:endParaRPr lang="zh-CN"/>
          </a:p>
        </c:txPr>
        <c:crossAx val="106683008"/>
        <c:crosses val="autoZero"/>
        <c:lblAlgn val="ctr"/>
        <c:lblOffset val="100"/>
        <c:tickLblSkip val="1"/>
        <c:tickMarkSkip val="1"/>
      </c:catAx>
      <c:valAx>
        <c:axId val="106683008"/>
        <c:scaling>
          <c:orientation val="minMax"/>
        </c:scaling>
        <c:axPos val="l"/>
        <c:numFmt formatCode="#,##0.00_ " sourceLinked="0"/>
        <c:majorTickMark val="in"/>
        <c:tickLblPos val="nextTo"/>
        <c:spPr>
          <a:ln w="12700">
            <a:solidFill>
              <a:srgbClr val="000000"/>
            </a:solidFill>
            <a:prstDash val="solid"/>
          </a:ln>
        </c:spPr>
        <c:txPr>
          <a:bodyPr rot="0" vert="horz"/>
          <a:lstStyle/>
          <a:p>
            <a:pPr>
              <a:defRPr/>
            </a:pPr>
            <a:endParaRPr lang="zh-CN"/>
          </a:p>
        </c:txPr>
        <c:crossAx val="106681472"/>
        <c:crosses val="autoZero"/>
        <c:crossBetween val="between"/>
      </c:valAx>
      <c:catAx>
        <c:axId val="121061760"/>
        <c:scaling>
          <c:orientation val="minMax"/>
        </c:scaling>
        <c:delete val="1"/>
        <c:axPos val="b"/>
        <c:numFmt formatCode="General" sourceLinked="1"/>
        <c:tickLblPos val="none"/>
        <c:crossAx val="121063296"/>
        <c:crosses val="autoZero"/>
        <c:lblAlgn val="ctr"/>
        <c:lblOffset val="100"/>
      </c:catAx>
      <c:valAx>
        <c:axId val="121063296"/>
        <c:scaling>
          <c:orientation val="minMax"/>
        </c:scaling>
        <c:axPos val="r"/>
        <c:numFmt formatCode="#,##0_ " sourceLinked="1"/>
        <c:majorTickMark val="in"/>
        <c:tickLblPos val="nextTo"/>
        <c:spPr>
          <a:ln w="12700">
            <a:solidFill>
              <a:srgbClr val="000000"/>
            </a:solidFill>
            <a:prstDash val="solid"/>
          </a:ln>
        </c:spPr>
        <c:txPr>
          <a:bodyPr rot="0" vert="horz"/>
          <a:lstStyle/>
          <a:p>
            <a:pPr>
              <a:defRPr baseline="0"/>
            </a:pPr>
            <a:endParaRPr lang="zh-CN"/>
          </a:p>
        </c:txPr>
        <c:crossAx val="121061760"/>
        <c:crosses val="max"/>
        <c:crossBetween val="between"/>
      </c:valAx>
      <c:spPr>
        <a:noFill/>
        <a:ln w="25400">
          <a:noFill/>
        </a:ln>
      </c:spPr>
    </c:plotArea>
    <c:legend>
      <c:legendPos val="b"/>
      <c:layout>
        <c:manualLayout>
          <c:xMode val="edge"/>
          <c:yMode val="edge"/>
          <c:x val="0.27585099388841144"/>
          <c:y val="0.84014409202053153"/>
          <c:w val="0.45866416725247039"/>
          <c:h val="5.7532634224304588E-2"/>
        </c:manualLayout>
      </c:layout>
      <c:spPr>
        <a:noFill/>
        <a:ln w="25400">
          <a:noFill/>
        </a:ln>
      </c:spPr>
    </c:legend>
    <c:plotVisOnly val="1"/>
    <c:dispBlanksAs val="gap"/>
  </c:chart>
  <c:spPr>
    <a:noFill/>
    <a:ln w="3175">
      <a:solidFill>
        <a:srgbClr val="000000"/>
      </a:solidFill>
      <a:prstDash val="solid"/>
    </a:ln>
  </c:spPr>
  <c:txPr>
    <a:bodyPr/>
    <a:lstStyle/>
    <a:p>
      <a:pPr>
        <a:defRPr sz="900" b="0" i="0" u="none" strike="noStrike" baseline="0">
          <a:solidFill>
            <a:srgbClr val="000000"/>
          </a:solidFill>
          <a:latin typeface="Arial"/>
          <a:ea typeface="宋体" pitchFamily="2" charset="-122"/>
          <a:cs typeface="Arial"/>
        </a:defRPr>
      </a:pPr>
      <a:endParaRPr lang="zh-CN"/>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lgn="l">
              <a:defRPr sz="900" b="1" i="0" u="none" strike="noStrike" baseline="0">
                <a:solidFill>
                  <a:srgbClr val="000000"/>
                </a:solidFill>
                <a:latin typeface="Arial"/>
                <a:ea typeface="Arial"/>
                <a:cs typeface="Arial"/>
              </a:defRPr>
            </a:pPr>
            <a:r>
              <a:rPr lang="en-US" altLang="zh-CN" sz="900" b="1" i="0" u="none" strike="noStrike" baseline="0"/>
              <a:t>2007-2014</a:t>
            </a:r>
            <a:r>
              <a:rPr lang="zh-CN" altLang="en-US" sz="900" b="1" i="0" u="none" strike="noStrike" baseline="0"/>
              <a:t>年</a:t>
            </a:r>
            <a:r>
              <a:rPr lang="zh-CN" altLang="en-US" sz="900" b="1" i="0" strike="noStrike">
                <a:solidFill>
                  <a:srgbClr val="000000"/>
                </a:solidFill>
                <a:latin typeface="宋体"/>
                <a:ea typeface="宋体"/>
              </a:rPr>
              <a:t>中国并购市场国内并购趋势</a:t>
            </a:r>
          </a:p>
        </c:rich>
      </c:tx>
      <c:layout>
        <c:manualLayout>
          <c:xMode val="edge"/>
          <c:yMode val="edge"/>
          <c:x val="0.26769221136989862"/>
          <c:y val="3.1940961663959266E-2"/>
        </c:manualLayout>
      </c:layout>
      <c:spPr>
        <a:noFill/>
        <a:ln w="25400">
          <a:noFill/>
        </a:ln>
      </c:spPr>
    </c:title>
    <c:plotArea>
      <c:layout>
        <c:manualLayout>
          <c:layoutTarget val="inner"/>
          <c:xMode val="edge"/>
          <c:yMode val="edge"/>
          <c:x val="0.17032181317305287"/>
          <c:y val="0.13287381351200447"/>
          <c:w val="0.70237331997662356"/>
          <c:h val="0.60106281407035178"/>
        </c:manualLayout>
      </c:layout>
      <c:barChart>
        <c:barDir val="col"/>
        <c:grouping val="clustered"/>
        <c:ser>
          <c:idx val="1"/>
          <c:order val="0"/>
          <c:tx>
            <c:strRef>
              <c:f>统计图表!$B$47</c:f>
              <c:strCache>
                <c:ptCount val="1"/>
                <c:pt idx="0">
                  <c:v>并购总额 (US$M)</c:v>
                </c:pt>
              </c:strCache>
            </c:strRef>
          </c:tx>
          <c:spPr>
            <a:solidFill>
              <a:srgbClr val="000080"/>
            </a:solidFill>
            <a:ln w="25400">
              <a:noFill/>
            </a:ln>
          </c:spPr>
          <c:dLbls>
            <c:dLbl>
              <c:idx val="0"/>
              <c:layout>
                <c:manualLayout>
                  <c:x val="-7.9226145755071382E-3"/>
                  <c:y val="-1.2050898011956425E-2"/>
                </c:manualLayout>
              </c:layout>
              <c:dLblPos val="outEnd"/>
              <c:showVal val="1"/>
            </c:dLbl>
            <c:dLbl>
              <c:idx val="1"/>
              <c:layout>
                <c:manualLayout>
                  <c:x val="-1.1789381417480699E-3"/>
                  <c:y val="1.7002189024156081E-2"/>
                </c:manualLayout>
              </c:layout>
              <c:dLblPos val="outEnd"/>
              <c:showVal val="1"/>
            </c:dLbl>
            <c:dLbl>
              <c:idx val="2"/>
              <c:layout>
                <c:manualLayout>
                  <c:x val="-1.0409883963602973E-2"/>
                  <c:y val="8.2028239691744435E-3"/>
                </c:manualLayout>
              </c:layout>
              <c:dLblPos val="outEnd"/>
              <c:showVal val="1"/>
            </c:dLbl>
            <c:dLbl>
              <c:idx val="3"/>
              <c:layout>
                <c:manualLayout>
                  <c:x val="4.7685533016111831E-3"/>
                  <c:y val="-2.0088841097328381E-2"/>
                </c:manualLayout>
              </c:layout>
              <c:dLblPos val="outEnd"/>
              <c:showVal val="1"/>
            </c:dLbl>
            <c:dLbl>
              <c:idx val="4"/>
              <c:layout>
                <c:manualLayout>
                  <c:x val="-1.1242591201269024E-3"/>
                  <c:y val="1.8303826311814434E-2"/>
                </c:manualLayout>
              </c:layout>
              <c:dLblPos val="outEnd"/>
              <c:showVal val="1"/>
            </c:dLbl>
            <c:dLbl>
              <c:idx val="5"/>
              <c:layout>
                <c:manualLayout>
                  <c:x val="9.7023880755780763E-4"/>
                  <c:y val="6.417350751200198E-3"/>
                </c:manualLayout>
              </c:layout>
              <c:dLblPos val="outEnd"/>
              <c:showVal val="1"/>
            </c:dLbl>
            <c:dLbl>
              <c:idx val="6"/>
              <c:layout>
                <c:manualLayout>
                  <c:x val="-3.0810795537649657E-4"/>
                  <c:y val="-5.2319106903363994E-3"/>
                </c:manualLayout>
              </c:layout>
              <c:dLblPos val="outEnd"/>
              <c:showVal val="1"/>
            </c:dLbl>
            <c:dLbl>
              <c:idx val="7"/>
              <c:layout>
                <c:manualLayout>
                  <c:x val="-2.5492141688929199E-4"/>
                  <c:y val="1.8280083342814672E-2"/>
                </c:manualLayout>
              </c:layout>
              <c:dLblPos val="outEnd"/>
              <c:showVal val="1"/>
            </c:dLbl>
            <c:dLbl>
              <c:idx val="8"/>
              <c:layout>
                <c:manualLayout>
                  <c:x val="2.4899824693213253E-3"/>
                  <c:y val="7.2434937337583953E-3"/>
                </c:manualLayout>
              </c:layout>
              <c:dLblPos val="outEnd"/>
              <c:showVal val="1"/>
            </c:dLbl>
            <c:dLbl>
              <c:idx val="9"/>
              <c:layout>
                <c:manualLayout>
                  <c:x val="-1.276296018031556E-2"/>
                  <c:y val="-4.2403062073556033E-3"/>
                </c:manualLayout>
              </c:layout>
              <c:dLblPos val="outEnd"/>
              <c:showVal val="1"/>
            </c:dLbl>
            <c:dLbl>
              <c:idx val="10"/>
              <c:layout>
                <c:manualLayout>
                  <c:x val="-4.7727272727272731E-3"/>
                  <c:y val="-3.4740197396213412E-3"/>
                </c:manualLayout>
              </c:layout>
              <c:dLblPos val="outEnd"/>
              <c:showVal val="1"/>
            </c:dLbl>
            <c:dLbl>
              <c:idx val="11"/>
              <c:layout>
                <c:manualLayout>
                  <c:x val="-2.7421810529273507E-3"/>
                  <c:y val="-3.0723689897783468E-2"/>
                </c:manualLayout>
              </c:layout>
              <c:dLblPos val="outEnd"/>
              <c:showVal val="1"/>
            </c:dLbl>
            <c:dLbl>
              <c:idx val="12"/>
              <c:layout>
                <c:manualLayout>
                  <c:x val="-4.0174699832501923E-3"/>
                  <c:y val="6.6654135076616794E-3"/>
                </c:manualLayout>
              </c:layout>
              <c:dLblPos val="outEnd"/>
              <c:showVal val="1"/>
            </c:dLbl>
            <c:dLbl>
              <c:idx val="13"/>
              <c:layout>
                <c:manualLayout>
                  <c:x val="-6.6408898721360627E-3"/>
                  <c:y val="1.03377476903589E-2"/>
                </c:manualLayout>
              </c:layout>
              <c:dLblPos val="outEnd"/>
              <c:showVal val="1"/>
            </c:dLbl>
            <c:dLbl>
              <c:idx val="14"/>
              <c:layout>
                <c:manualLayout>
                  <c:x val="0"/>
                  <c:y val="-2.4870799135984532E-2"/>
                </c:manualLayout>
              </c:layout>
              <c:showVal val="1"/>
            </c:dLbl>
            <c:numFmt formatCode="#,##0.00;[Red]\-#,##0.00" sourceLinked="0"/>
            <c:spPr>
              <a:noFill/>
              <a:ln w="25400">
                <a:noFill/>
              </a:ln>
            </c:spPr>
            <c:txPr>
              <a:bodyPr/>
              <a:lstStyle/>
              <a:p>
                <a:pPr>
                  <a:defRPr sz="900" b="0" i="0" u="none" strike="noStrike" baseline="0">
                    <a:solidFill>
                      <a:srgbClr val="000000"/>
                    </a:solidFill>
                    <a:latin typeface="Arial"/>
                    <a:ea typeface="Arial"/>
                    <a:cs typeface="Arial"/>
                  </a:defRPr>
                </a:pPr>
                <a:endParaRPr lang="zh-CN"/>
              </a:p>
            </c:txPr>
            <c:showVal val="1"/>
          </c:dLbls>
          <c:cat>
            <c:numRef>
              <c:f>统计图表!$A$48:$A$55</c:f>
              <c:numCache>
                <c:formatCode>General</c:formatCode>
                <c:ptCount val="8"/>
                <c:pt idx="0">
                  <c:v>2007</c:v>
                </c:pt>
                <c:pt idx="1">
                  <c:v>2008</c:v>
                </c:pt>
                <c:pt idx="2">
                  <c:v>2009</c:v>
                </c:pt>
                <c:pt idx="3">
                  <c:v>2010</c:v>
                </c:pt>
                <c:pt idx="4">
                  <c:v>2011</c:v>
                </c:pt>
                <c:pt idx="5">
                  <c:v>2012</c:v>
                </c:pt>
                <c:pt idx="6">
                  <c:v>2013</c:v>
                </c:pt>
                <c:pt idx="7">
                  <c:v>2014</c:v>
                </c:pt>
              </c:numCache>
            </c:numRef>
          </c:cat>
          <c:val>
            <c:numRef>
              <c:f>统计图表!$B$48:$B$55</c:f>
              <c:numCache>
                <c:formatCode>#,##0.00;[Red]\-#,##0.00</c:formatCode>
                <c:ptCount val="8"/>
                <c:pt idx="0">
                  <c:v>8354.32</c:v>
                </c:pt>
                <c:pt idx="1">
                  <c:v>23642.23</c:v>
                </c:pt>
                <c:pt idx="2">
                  <c:v>14454.55</c:v>
                </c:pt>
                <c:pt idx="3">
                  <c:v>19389.16</c:v>
                </c:pt>
                <c:pt idx="4">
                  <c:v>31958.87</c:v>
                </c:pt>
                <c:pt idx="5">
                  <c:v>17279.02</c:v>
                </c:pt>
                <c:pt idx="6">
                  <c:v>41739.82</c:v>
                </c:pt>
                <c:pt idx="7">
                  <c:v>81321.264545172642</c:v>
                </c:pt>
              </c:numCache>
            </c:numRef>
          </c:val>
        </c:ser>
        <c:dLbls>
          <c:showVal val="1"/>
        </c:dLbls>
        <c:axId val="121207040"/>
        <c:axId val="121307136"/>
      </c:barChart>
      <c:lineChart>
        <c:grouping val="standard"/>
        <c:ser>
          <c:idx val="0"/>
          <c:order val="1"/>
          <c:tx>
            <c:strRef>
              <c:f>统计图表!$C$47</c:f>
              <c:strCache>
                <c:ptCount val="1"/>
                <c:pt idx="0">
                  <c:v>案例数</c:v>
                </c:pt>
              </c:strCache>
            </c:strRef>
          </c:tx>
          <c:spPr>
            <a:ln w="38100">
              <a:solidFill>
                <a:srgbClr val="99CCFF"/>
              </a:solidFill>
              <a:prstDash val="solid"/>
            </a:ln>
          </c:spPr>
          <c:marker>
            <c:symbol val="circle"/>
            <c:size val="6"/>
            <c:spPr>
              <a:solidFill>
                <a:srgbClr val="FF0000"/>
              </a:solidFill>
              <a:ln>
                <a:solidFill>
                  <a:srgbClr val="FF0000"/>
                </a:solidFill>
                <a:prstDash val="solid"/>
              </a:ln>
            </c:spPr>
          </c:marker>
          <c:dLbls>
            <c:dLbl>
              <c:idx val="0"/>
              <c:layout>
                <c:manualLayout>
                  <c:x val="-4.1726126182537321E-2"/>
                  <c:y val="-3.6073044060981801E-2"/>
                </c:manualLayout>
              </c:layout>
              <c:dLblPos val="r"/>
              <c:showVal val="1"/>
            </c:dLbl>
            <c:dLbl>
              <c:idx val="1"/>
              <c:layout>
                <c:manualLayout>
                  <c:x val="-3.4389985546041342E-2"/>
                  <c:y val="-3.8094153803339519E-2"/>
                </c:manualLayout>
              </c:layout>
              <c:spPr>
                <a:solidFill>
                  <a:sysClr val="window" lastClr="FFFFFF"/>
                </a:solidFill>
                <a:ln w="25400">
                  <a:noFill/>
                </a:ln>
              </c:spPr>
              <c:txPr>
                <a:bodyPr/>
                <a:lstStyle/>
                <a:p>
                  <a:pPr>
                    <a:defRPr sz="900" b="0" i="0" u="none" strike="noStrike" baseline="0">
                      <a:solidFill>
                        <a:srgbClr val="000000"/>
                      </a:solidFill>
                      <a:latin typeface="Arial"/>
                      <a:ea typeface="Arial"/>
                      <a:cs typeface="Arial"/>
                    </a:defRPr>
                  </a:pPr>
                  <a:endParaRPr lang="zh-CN"/>
                </a:p>
              </c:txPr>
              <c:dLblPos val="r"/>
              <c:showVal val="1"/>
            </c:dLbl>
            <c:dLbl>
              <c:idx val="2"/>
              <c:layout>
                <c:manualLayout>
                  <c:x val="-4.0970656983053674E-2"/>
                  <c:y val="3.787895197234141E-2"/>
                </c:manualLayout>
              </c:layout>
              <c:spPr>
                <a:solidFill>
                  <a:sysClr val="window" lastClr="FFFFFF"/>
                </a:solidFill>
                <a:ln w="25400">
                  <a:noFill/>
                </a:ln>
              </c:spPr>
              <c:txPr>
                <a:bodyPr/>
                <a:lstStyle/>
                <a:p>
                  <a:pPr>
                    <a:defRPr sz="900" b="0" i="0" u="none" strike="noStrike" baseline="0">
                      <a:solidFill>
                        <a:srgbClr val="000000"/>
                      </a:solidFill>
                      <a:latin typeface="Arial"/>
                      <a:ea typeface="Arial"/>
                      <a:cs typeface="Arial"/>
                    </a:defRPr>
                  </a:pPr>
                  <a:endParaRPr lang="zh-CN"/>
                </a:p>
              </c:txPr>
              <c:dLblPos val="r"/>
              <c:showVal val="1"/>
            </c:dLbl>
            <c:dLbl>
              <c:idx val="3"/>
              <c:layout>
                <c:manualLayout>
                  <c:x val="-4.2253735704148927E-2"/>
                  <c:y val="8.4653920384333073E-2"/>
                </c:manualLayout>
              </c:layout>
              <c:spPr>
                <a:solidFill>
                  <a:sysClr val="window" lastClr="FFFFFF"/>
                </a:solidFill>
                <a:ln w="25400">
                  <a:noFill/>
                </a:ln>
              </c:spPr>
              <c:txPr>
                <a:bodyPr/>
                <a:lstStyle/>
                <a:p>
                  <a:pPr>
                    <a:defRPr sz="900" b="0" i="0" u="none" strike="noStrike" baseline="0">
                      <a:solidFill>
                        <a:srgbClr val="000000"/>
                      </a:solidFill>
                      <a:latin typeface="Arial"/>
                      <a:ea typeface="Arial"/>
                      <a:cs typeface="Arial"/>
                    </a:defRPr>
                  </a:pPr>
                  <a:endParaRPr lang="zh-CN"/>
                </a:p>
              </c:txPr>
              <c:dLblPos val="r"/>
              <c:showVal val="1"/>
            </c:dLbl>
            <c:dLbl>
              <c:idx val="4"/>
              <c:layout>
                <c:manualLayout>
                  <c:x val="-5.2598370165011413E-2"/>
                  <c:y val="-2.8303458864712732E-2"/>
                </c:manualLayout>
              </c:layout>
              <c:dLblPos val="r"/>
              <c:showVal val="1"/>
            </c:dLbl>
            <c:dLbl>
              <c:idx val="5"/>
              <c:layout>
                <c:manualLayout>
                  <c:x val="-6.1743753905886434E-2"/>
                  <c:y val="-2.2071997526837934E-2"/>
                </c:manualLayout>
              </c:layout>
              <c:dLblPos val="r"/>
              <c:showVal val="1"/>
            </c:dLbl>
            <c:dLbl>
              <c:idx val="6"/>
              <c:layout>
                <c:manualLayout>
                  <c:x val="-5.585733366725102E-2"/>
                  <c:y val="9.7051415559350845E-2"/>
                </c:manualLayout>
              </c:layout>
              <c:spPr>
                <a:solidFill>
                  <a:sysClr val="window" lastClr="FFFFFF"/>
                </a:solidFill>
                <a:ln w="25400">
                  <a:noFill/>
                </a:ln>
              </c:spPr>
              <c:txPr>
                <a:bodyPr/>
                <a:lstStyle/>
                <a:p>
                  <a:pPr>
                    <a:defRPr sz="900" b="0" i="0" u="none" strike="noStrike" baseline="0">
                      <a:solidFill>
                        <a:srgbClr val="000000"/>
                      </a:solidFill>
                      <a:latin typeface="Arial"/>
                      <a:ea typeface="Arial"/>
                      <a:cs typeface="Arial"/>
                    </a:defRPr>
                  </a:pPr>
                  <a:endParaRPr lang="zh-CN"/>
                </a:p>
              </c:txPr>
              <c:dLblPos val="r"/>
              <c:showVal val="1"/>
            </c:dLbl>
            <c:dLbl>
              <c:idx val="7"/>
              <c:layout>
                <c:manualLayout>
                  <c:x val="-3.8749686952166289E-2"/>
                  <c:y val="9.6062815012288097E-2"/>
                </c:manualLayout>
              </c:layout>
              <c:spPr>
                <a:solidFill>
                  <a:sysClr val="window" lastClr="FFFFFF"/>
                </a:solidFill>
                <a:ln w="25400">
                  <a:noFill/>
                </a:ln>
              </c:spPr>
              <c:txPr>
                <a:bodyPr/>
                <a:lstStyle/>
                <a:p>
                  <a:pPr>
                    <a:defRPr sz="900" b="0" i="0" u="none" strike="noStrike" baseline="0">
                      <a:solidFill>
                        <a:srgbClr val="000000"/>
                      </a:solidFill>
                      <a:latin typeface="Arial"/>
                      <a:ea typeface="Arial"/>
                      <a:cs typeface="Arial"/>
                    </a:defRPr>
                  </a:pPr>
                  <a:endParaRPr lang="zh-CN"/>
                </a:p>
              </c:txPr>
              <c:dLblPos val="r"/>
              <c:showVal val="1"/>
            </c:dLbl>
            <c:dLbl>
              <c:idx val="8"/>
              <c:layout>
                <c:manualLayout>
                  <c:x val="-3.078762834961182E-2"/>
                  <c:y val="1.6572064979453897E-2"/>
                </c:manualLayout>
              </c:layout>
              <c:dLblPos val="r"/>
              <c:showVal val="1"/>
            </c:dLbl>
            <c:dLbl>
              <c:idx val="9"/>
              <c:layout>
                <c:manualLayout>
                  <c:x val="-1.4139744552967692E-2"/>
                  <c:y val="3.0314784233905528E-2"/>
                </c:manualLayout>
              </c:layout>
              <c:dLblPos val="r"/>
              <c:showVal val="1"/>
            </c:dLbl>
            <c:dLbl>
              <c:idx val="10"/>
              <c:layout>
                <c:manualLayout>
                  <c:x val="-4.4574338744436323E-2"/>
                  <c:y val="-4.3856592394035873E-2"/>
                </c:manualLayout>
              </c:layout>
              <c:dLblPos val="r"/>
              <c:showVal val="1"/>
            </c:dLbl>
            <c:dLbl>
              <c:idx val="11"/>
              <c:layout>
                <c:manualLayout>
                  <c:x val="-4.7841246484348496E-2"/>
                  <c:y val="-4.3235885407941016E-2"/>
                </c:manualLayout>
              </c:layout>
              <c:dLblPos val="r"/>
              <c:showVal val="1"/>
            </c:dLbl>
            <c:dLbl>
              <c:idx val="12"/>
              <c:layout>
                <c:manualLayout>
                  <c:x val="-8.4905579645487728E-2"/>
                  <c:y val="-1.1760201062400527E-2"/>
                </c:manualLayout>
              </c:layout>
              <c:dLblPos val="r"/>
              <c:showVal val="1"/>
            </c:dLbl>
            <c:dLbl>
              <c:idx val="13"/>
              <c:layout>
                <c:manualLayout>
                  <c:x val="-7.0265024029054018E-2"/>
                  <c:y val="-5.8369361654727432E-3"/>
                </c:manualLayout>
              </c:layout>
              <c:dLblPos val="r"/>
              <c:showVal val="1"/>
            </c:dLbl>
            <c:dLbl>
              <c:idx val="14"/>
              <c:layout>
                <c:manualLayout>
                  <c:x val="-7.5676170553252098E-2"/>
                  <c:y val="-1.3048357058509081E-2"/>
                </c:manualLayout>
              </c:layout>
              <c:dLblPos val="r"/>
              <c:showVal val="1"/>
            </c:dLbl>
            <c:spPr>
              <a:noFill/>
              <a:ln w="25400">
                <a:noFill/>
              </a:ln>
            </c:spPr>
            <c:txPr>
              <a:bodyPr/>
              <a:lstStyle/>
              <a:p>
                <a:pPr>
                  <a:defRPr sz="900" b="0" i="0" u="none" strike="noStrike" baseline="0">
                    <a:solidFill>
                      <a:srgbClr val="000000"/>
                    </a:solidFill>
                    <a:latin typeface="Arial"/>
                    <a:ea typeface="Arial"/>
                    <a:cs typeface="Arial"/>
                  </a:defRPr>
                </a:pPr>
                <a:endParaRPr lang="zh-CN"/>
              </a:p>
            </c:txPr>
            <c:dLblPos val="t"/>
            <c:showVal val="1"/>
          </c:dLbls>
          <c:cat>
            <c:numRef>
              <c:f>统计图表!$A$48:$A$55</c:f>
              <c:numCache>
                <c:formatCode>General</c:formatCode>
                <c:ptCount val="8"/>
                <c:pt idx="0">
                  <c:v>2007</c:v>
                </c:pt>
                <c:pt idx="1">
                  <c:v>2008</c:v>
                </c:pt>
                <c:pt idx="2">
                  <c:v>2009</c:v>
                </c:pt>
                <c:pt idx="3">
                  <c:v>2010</c:v>
                </c:pt>
                <c:pt idx="4">
                  <c:v>2011</c:v>
                </c:pt>
                <c:pt idx="5">
                  <c:v>2012</c:v>
                </c:pt>
                <c:pt idx="6">
                  <c:v>2013</c:v>
                </c:pt>
                <c:pt idx="7">
                  <c:v>2014</c:v>
                </c:pt>
              </c:numCache>
            </c:numRef>
          </c:cat>
          <c:val>
            <c:numRef>
              <c:f>统计图表!$C$48:$C$55</c:f>
              <c:numCache>
                <c:formatCode>#,##0</c:formatCode>
                <c:ptCount val="8"/>
                <c:pt idx="0">
                  <c:v>117</c:v>
                </c:pt>
                <c:pt idx="1">
                  <c:v>109</c:v>
                </c:pt>
                <c:pt idx="2">
                  <c:v>223</c:v>
                </c:pt>
                <c:pt idx="3">
                  <c:v>521</c:v>
                </c:pt>
                <c:pt idx="4">
                  <c:v>981</c:v>
                </c:pt>
                <c:pt idx="5">
                  <c:v>837</c:v>
                </c:pt>
                <c:pt idx="6">
                  <c:v>1094</c:v>
                </c:pt>
                <c:pt idx="7">
                  <c:v>1737</c:v>
                </c:pt>
              </c:numCache>
            </c:numRef>
          </c:val>
        </c:ser>
        <c:dLbls>
          <c:showVal val="1"/>
        </c:dLbls>
        <c:marker val="1"/>
        <c:axId val="121308672"/>
        <c:axId val="121310208"/>
      </c:lineChart>
      <c:catAx>
        <c:axId val="121207040"/>
        <c:scaling>
          <c:orientation val="minMax"/>
        </c:scaling>
        <c:axPos val="b"/>
        <c:numFmt formatCode="General" sourceLinked="1"/>
        <c:majorTickMark val="in"/>
        <c:tickLblPos val="nextTo"/>
        <c:spPr>
          <a:ln w="12700">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zh-CN"/>
          </a:p>
        </c:txPr>
        <c:crossAx val="121307136"/>
        <c:crosses val="autoZero"/>
        <c:lblAlgn val="ctr"/>
        <c:lblOffset val="100"/>
        <c:tickLblSkip val="1"/>
        <c:tickMarkSkip val="1"/>
      </c:catAx>
      <c:valAx>
        <c:axId val="121307136"/>
        <c:scaling>
          <c:orientation val="minMax"/>
        </c:scaling>
        <c:axPos val="l"/>
        <c:numFmt formatCode="#,##0.00_ " sourceLinked="0"/>
        <c:majorTickMark val="in"/>
        <c:tickLblPos val="nextTo"/>
        <c:spPr>
          <a:ln w="12700">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zh-CN"/>
          </a:p>
        </c:txPr>
        <c:crossAx val="121207040"/>
        <c:crosses val="autoZero"/>
        <c:crossBetween val="between"/>
      </c:valAx>
      <c:catAx>
        <c:axId val="121308672"/>
        <c:scaling>
          <c:orientation val="minMax"/>
        </c:scaling>
        <c:delete val="1"/>
        <c:axPos val="b"/>
        <c:numFmt formatCode="General" sourceLinked="1"/>
        <c:tickLblPos val="none"/>
        <c:crossAx val="121310208"/>
        <c:crosses val="autoZero"/>
        <c:lblAlgn val="ctr"/>
        <c:lblOffset val="100"/>
      </c:catAx>
      <c:valAx>
        <c:axId val="121310208"/>
        <c:scaling>
          <c:orientation val="minMax"/>
        </c:scaling>
        <c:axPos val="r"/>
        <c:numFmt formatCode="#,##0" sourceLinked="1"/>
        <c:majorTickMark val="in"/>
        <c:tickLblPos val="nextTo"/>
        <c:spPr>
          <a:ln w="12700">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zh-CN"/>
          </a:p>
        </c:txPr>
        <c:crossAx val="121308672"/>
        <c:crosses val="max"/>
        <c:crossBetween val="between"/>
      </c:valAx>
      <c:spPr>
        <a:noFill/>
        <a:ln w="25400">
          <a:noFill/>
        </a:ln>
      </c:spPr>
    </c:plotArea>
    <c:legend>
      <c:legendPos val="b"/>
      <c:layout>
        <c:manualLayout>
          <c:xMode val="edge"/>
          <c:yMode val="edge"/>
          <c:x val="0.23790529259537743"/>
          <c:y val="0.81560441094361114"/>
          <c:w val="0.5248508946322068"/>
          <c:h val="7.7127759734146123E-2"/>
        </c:manualLayout>
      </c:layout>
      <c:spPr>
        <a:noFill/>
        <a:ln w="25400">
          <a:noFill/>
        </a:ln>
      </c:spPr>
      <c:txPr>
        <a:bodyPr/>
        <a:lstStyle/>
        <a:p>
          <a:pPr>
            <a:defRPr sz="900" b="1" i="0" u="none" strike="noStrike" baseline="0">
              <a:solidFill>
                <a:srgbClr val="000000"/>
              </a:solidFill>
              <a:latin typeface="Arial"/>
              <a:ea typeface="Arial"/>
              <a:cs typeface="Arial"/>
            </a:defRPr>
          </a:pPr>
          <a:endParaRPr lang="zh-CN"/>
        </a:p>
      </c:txPr>
    </c:legend>
    <c:plotVisOnly val="1"/>
    <c:dispBlanksAs val="gap"/>
  </c:chart>
  <c:spPr>
    <a:noFill/>
    <a:ln w="3175">
      <a:solidFill>
        <a:srgbClr val="000000"/>
      </a:solidFill>
      <a:prstDash val="solid"/>
    </a:ln>
  </c:spPr>
  <c:txPr>
    <a:bodyPr/>
    <a:lstStyle/>
    <a:p>
      <a:pPr>
        <a:defRPr sz="900" b="0" i="0" u="none" strike="noStrike" baseline="0">
          <a:solidFill>
            <a:srgbClr val="000000"/>
          </a:solidFill>
          <a:latin typeface="Arial"/>
          <a:ea typeface="Arial"/>
          <a:cs typeface="Arial"/>
        </a:defRPr>
      </a:pPr>
      <a:endParaRPr lang="zh-CN"/>
    </a:p>
  </c:tx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rgbClr val="000000"/>
                </a:solidFill>
                <a:latin typeface="Arial"/>
                <a:ea typeface="Arial"/>
                <a:cs typeface="Arial"/>
              </a:defRPr>
            </a:pPr>
            <a:r>
              <a:rPr lang="en-US" sz="900" b="1" i="0" baseline="0">
                <a:latin typeface="+mn-ea"/>
                <a:ea typeface="+mn-ea"/>
              </a:rPr>
              <a:t>2007-2014</a:t>
            </a:r>
            <a:r>
              <a:rPr lang="zh-CN" sz="900" b="1" i="0" baseline="0">
                <a:latin typeface="+mn-ea"/>
                <a:ea typeface="+mn-ea"/>
              </a:rPr>
              <a:t>年中国并购市场</a:t>
            </a:r>
            <a:r>
              <a:rPr lang="zh-CN" altLang="en-US" sz="900" b="1" i="0" baseline="0">
                <a:latin typeface="+mn-ea"/>
                <a:ea typeface="+mn-ea"/>
              </a:rPr>
              <a:t>海外</a:t>
            </a:r>
            <a:r>
              <a:rPr lang="zh-CN" sz="900" b="1" i="0" baseline="0">
                <a:latin typeface="+mn-ea"/>
                <a:ea typeface="+mn-ea"/>
              </a:rPr>
              <a:t>并购</a:t>
            </a:r>
            <a:r>
              <a:rPr lang="zh-CN" altLang="en-US" sz="900" b="1" i="0" baseline="0">
                <a:latin typeface="+mn-ea"/>
                <a:ea typeface="+mn-ea"/>
              </a:rPr>
              <a:t>趋势</a:t>
            </a:r>
            <a:endParaRPr lang="zh-CN" sz="900">
              <a:latin typeface="+mn-ea"/>
              <a:ea typeface="+mn-ea"/>
            </a:endParaRPr>
          </a:p>
        </c:rich>
      </c:tx>
      <c:layout>
        <c:manualLayout>
          <c:xMode val="edge"/>
          <c:yMode val="edge"/>
          <c:x val="0.27899271040424245"/>
          <c:y val="3.1914858166368146E-2"/>
        </c:manualLayout>
      </c:layout>
      <c:spPr>
        <a:noFill/>
        <a:ln w="25400">
          <a:noFill/>
        </a:ln>
      </c:spPr>
    </c:title>
    <c:plotArea>
      <c:layout>
        <c:manualLayout>
          <c:layoutTarget val="inner"/>
          <c:xMode val="edge"/>
          <c:yMode val="edge"/>
          <c:x val="0.15053218745271343"/>
          <c:y val="0.10901445319335082"/>
          <c:w val="0.77335984095427945"/>
          <c:h val="0.5930858765763648"/>
        </c:manualLayout>
      </c:layout>
      <c:barChart>
        <c:barDir val="col"/>
        <c:grouping val="clustered"/>
        <c:ser>
          <c:idx val="1"/>
          <c:order val="0"/>
          <c:tx>
            <c:strRef>
              <c:f>统计图表!$N$76</c:f>
              <c:strCache>
                <c:ptCount val="1"/>
                <c:pt idx="0">
                  <c:v>并购总额 (US$M)</c:v>
                </c:pt>
              </c:strCache>
            </c:strRef>
          </c:tx>
          <c:spPr>
            <a:solidFill>
              <a:srgbClr val="000080"/>
            </a:solidFill>
            <a:ln w="25400">
              <a:noFill/>
            </a:ln>
          </c:spPr>
          <c:dLbls>
            <c:dLbl>
              <c:idx val="0"/>
              <c:layout>
                <c:manualLayout>
                  <c:x val="8.0034230313656748E-3"/>
                  <c:y val="2.1249623797025406E-2"/>
                </c:manualLayout>
              </c:layout>
              <c:dLblPos val="outEnd"/>
              <c:showVal val="1"/>
            </c:dLbl>
            <c:dLbl>
              <c:idx val="1"/>
              <c:layout>
                <c:manualLayout>
                  <c:x val="5.5916469685822114E-3"/>
                  <c:y val="-7.6449534717251324E-3"/>
                </c:manualLayout>
              </c:layout>
              <c:dLblPos val="outEnd"/>
              <c:showVal val="1"/>
            </c:dLbl>
            <c:dLbl>
              <c:idx val="2"/>
              <c:layout>
                <c:manualLayout>
                  <c:x val="5.8371033640675814E-3"/>
                  <c:y val="1.1103412073490814E-3"/>
                </c:manualLayout>
              </c:layout>
              <c:dLblPos val="outEnd"/>
              <c:showVal val="1"/>
            </c:dLbl>
            <c:dLbl>
              <c:idx val="3"/>
              <c:layout>
                <c:manualLayout>
                  <c:x val="-2.5390961318701982E-3"/>
                  <c:y val="1.2770221904080175E-2"/>
                </c:manualLayout>
              </c:layout>
              <c:dLblPos val="outEnd"/>
              <c:showVal val="1"/>
            </c:dLbl>
            <c:dLbl>
              <c:idx val="4"/>
              <c:layout>
                <c:manualLayout>
                  <c:x val="-1.15844565155002E-2"/>
                  <c:y val="-3.11639660654532E-2"/>
                </c:manualLayout>
              </c:layout>
              <c:dLblPos val="outEnd"/>
              <c:showVal val="1"/>
            </c:dLbl>
            <c:dLbl>
              <c:idx val="5"/>
              <c:layout>
                <c:manualLayout>
                  <c:x val="5.8909534916485465E-3"/>
                  <c:y val="-2.8356729287291178E-2"/>
                </c:manualLayout>
              </c:layout>
              <c:dLblPos val="outEnd"/>
              <c:showVal val="1"/>
            </c:dLbl>
            <c:dLbl>
              <c:idx val="6"/>
              <c:layout>
                <c:manualLayout>
                  <c:x val="1.4842180512724421E-3"/>
                  <c:y val="-7.2888199537981934E-3"/>
                </c:manualLayout>
              </c:layout>
              <c:dLblPos val="outEnd"/>
              <c:showVal val="1"/>
            </c:dLbl>
            <c:dLbl>
              <c:idx val="7"/>
              <c:layout>
                <c:manualLayout>
                  <c:x val="1.2995413346691504E-2"/>
                  <c:y val="8.6226421697288228E-3"/>
                </c:manualLayout>
              </c:layout>
              <c:dLblPos val="outEnd"/>
              <c:showVal val="1"/>
            </c:dLbl>
            <c:dLbl>
              <c:idx val="8"/>
              <c:layout>
                <c:manualLayout>
                  <c:x val="1.9686604780764431E-3"/>
                  <c:y val="1.0175048118985126E-2"/>
                </c:manualLayout>
              </c:layout>
              <c:dLblPos val="outEnd"/>
              <c:showVal val="1"/>
            </c:dLbl>
            <c:dLbl>
              <c:idx val="9"/>
              <c:layout>
                <c:manualLayout>
                  <c:x val="-1.1060148296572492E-3"/>
                  <c:y val="1.7835698345193482E-2"/>
                </c:manualLayout>
              </c:layout>
              <c:dLblPos val="outEnd"/>
              <c:showVal val="1"/>
            </c:dLbl>
            <c:dLbl>
              <c:idx val="10"/>
              <c:layout>
                <c:manualLayout>
                  <c:x val="-3.5182083352900966E-3"/>
                  <c:y val="1.1456447944006999E-2"/>
                </c:manualLayout>
              </c:layout>
              <c:dLblPos val="outEnd"/>
              <c:showVal val="1"/>
            </c:dLbl>
            <c:dLbl>
              <c:idx val="11"/>
              <c:layout>
                <c:manualLayout>
                  <c:x val="-1.9538412569204203E-3"/>
                  <c:y val="-6.8261119766446334E-3"/>
                </c:manualLayout>
              </c:layout>
              <c:dLblPos val="outEnd"/>
              <c:showVal val="1"/>
            </c:dLbl>
            <c:dLbl>
              <c:idx val="12"/>
              <c:layout>
                <c:manualLayout>
                  <c:x val="-1.2980594125535583E-2"/>
                  <c:y val="5.1485676589891503E-3"/>
                </c:manualLayout>
              </c:layout>
              <c:dLblPos val="outEnd"/>
              <c:showVal val="1"/>
            </c:dLbl>
            <c:dLbl>
              <c:idx val="13"/>
              <c:layout>
                <c:manualLayout>
                  <c:x val="5.3015241882041755E-3"/>
                  <c:y val="0"/>
                </c:manualLayout>
              </c:layout>
              <c:dLblPos val="outEnd"/>
              <c:showVal val="1"/>
            </c:dLbl>
            <c:numFmt formatCode="#,##0.00;[Red]\-#,##0.00" sourceLinked="0"/>
            <c:spPr>
              <a:noFill/>
              <a:ln w="25400">
                <a:noFill/>
              </a:ln>
            </c:spPr>
            <c:txPr>
              <a:bodyPr/>
              <a:lstStyle/>
              <a:p>
                <a:pPr>
                  <a:defRPr sz="900" b="0" i="0" u="none" strike="noStrike" baseline="0">
                    <a:solidFill>
                      <a:srgbClr val="000000"/>
                    </a:solidFill>
                    <a:latin typeface="Arial"/>
                    <a:ea typeface="Arial"/>
                    <a:cs typeface="Arial"/>
                  </a:defRPr>
                </a:pPr>
                <a:endParaRPr lang="zh-CN"/>
              </a:p>
            </c:txPr>
            <c:showVal val="1"/>
          </c:dLbls>
          <c:cat>
            <c:strRef>
              <c:f>统计图表!$M$77:$M$84</c:f>
              <c:strCache>
                <c:ptCount val="8"/>
                <c:pt idx="0">
                  <c:v>2007年</c:v>
                </c:pt>
                <c:pt idx="1">
                  <c:v>2008年</c:v>
                </c:pt>
                <c:pt idx="2">
                  <c:v>2009年</c:v>
                </c:pt>
                <c:pt idx="3">
                  <c:v>2010年</c:v>
                </c:pt>
                <c:pt idx="4">
                  <c:v>2011年</c:v>
                </c:pt>
                <c:pt idx="5">
                  <c:v>2012年</c:v>
                </c:pt>
                <c:pt idx="6">
                  <c:v>2013年</c:v>
                </c:pt>
                <c:pt idx="7">
                  <c:v>2014年</c:v>
                </c:pt>
              </c:strCache>
            </c:strRef>
          </c:cat>
          <c:val>
            <c:numRef>
              <c:f>统计图表!$N$77:$N$84</c:f>
              <c:numCache>
                <c:formatCode>#,##0.00;[Red]\-#,##0.00</c:formatCode>
                <c:ptCount val="8"/>
                <c:pt idx="0">
                  <c:v>12670</c:v>
                </c:pt>
                <c:pt idx="1">
                  <c:v>8684.68</c:v>
                </c:pt>
                <c:pt idx="2">
                  <c:v>16098.93</c:v>
                </c:pt>
                <c:pt idx="3">
                  <c:v>13195.09</c:v>
                </c:pt>
                <c:pt idx="4">
                  <c:v>28098.920000000009</c:v>
                </c:pt>
                <c:pt idx="5">
                  <c:v>29825.21</c:v>
                </c:pt>
                <c:pt idx="6">
                  <c:v>38495.117168999997</c:v>
                </c:pt>
                <c:pt idx="7">
                  <c:v>32418.823410239722</c:v>
                </c:pt>
              </c:numCache>
            </c:numRef>
          </c:val>
        </c:ser>
        <c:dLbls>
          <c:showVal val="1"/>
        </c:dLbls>
        <c:axId val="121409920"/>
        <c:axId val="121411456"/>
      </c:barChart>
      <c:lineChart>
        <c:grouping val="standard"/>
        <c:ser>
          <c:idx val="0"/>
          <c:order val="1"/>
          <c:tx>
            <c:strRef>
              <c:f>统计图表!$O$76</c:f>
              <c:strCache>
                <c:ptCount val="1"/>
                <c:pt idx="0">
                  <c:v>案例数</c:v>
                </c:pt>
              </c:strCache>
            </c:strRef>
          </c:tx>
          <c:spPr>
            <a:ln w="38100">
              <a:solidFill>
                <a:srgbClr val="99CCFF"/>
              </a:solidFill>
              <a:prstDash val="solid"/>
            </a:ln>
          </c:spPr>
          <c:marker>
            <c:symbol val="circle"/>
            <c:size val="6"/>
            <c:spPr>
              <a:solidFill>
                <a:srgbClr val="FF0000"/>
              </a:solidFill>
              <a:ln>
                <a:solidFill>
                  <a:srgbClr val="FF0000"/>
                </a:solidFill>
                <a:prstDash val="solid"/>
              </a:ln>
            </c:spPr>
          </c:marker>
          <c:dLbls>
            <c:dLbl>
              <c:idx val="0"/>
              <c:layout>
                <c:manualLayout>
                  <c:x val="-2.9824830544293295E-2"/>
                  <c:y val="5.7666236236653519E-2"/>
                </c:manualLayout>
              </c:layout>
              <c:spPr>
                <a:solidFill>
                  <a:sysClr val="window" lastClr="FFFFFF"/>
                </a:solidFill>
                <a:ln w="25400">
                  <a:noFill/>
                </a:ln>
              </c:spPr>
              <c:txPr>
                <a:bodyPr/>
                <a:lstStyle/>
                <a:p>
                  <a:pPr>
                    <a:defRPr sz="900" b="0" i="0" u="none" strike="noStrike" baseline="0">
                      <a:solidFill>
                        <a:srgbClr val="000000"/>
                      </a:solidFill>
                      <a:latin typeface="Arial"/>
                      <a:ea typeface="Arial"/>
                      <a:cs typeface="Arial"/>
                    </a:defRPr>
                  </a:pPr>
                  <a:endParaRPr lang="zh-CN"/>
                </a:p>
              </c:txPr>
              <c:dLblPos val="r"/>
              <c:showVal val="1"/>
            </c:dLbl>
            <c:dLbl>
              <c:idx val="1"/>
              <c:layout>
                <c:manualLayout>
                  <c:x val="-3.2697463512885952E-2"/>
                  <c:y val="5.5468821593701922E-2"/>
                </c:manualLayout>
              </c:layout>
              <c:spPr>
                <a:solidFill>
                  <a:sysClr val="window" lastClr="FFFFFF"/>
                </a:solidFill>
                <a:ln w="25400">
                  <a:noFill/>
                </a:ln>
              </c:spPr>
              <c:txPr>
                <a:bodyPr/>
                <a:lstStyle/>
                <a:p>
                  <a:pPr>
                    <a:defRPr sz="900" b="0" i="0" u="none" strike="noStrike" baseline="0">
                      <a:solidFill>
                        <a:srgbClr val="000000"/>
                      </a:solidFill>
                      <a:latin typeface="Arial"/>
                      <a:ea typeface="Arial"/>
                      <a:cs typeface="Arial"/>
                    </a:defRPr>
                  </a:pPr>
                  <a:endParaRPr lang="zh-CN"/>
                </a:p>
              </c:txPr>
              <c:dLblPos val="r"/>
              <c:showVal val="1"/>
            </c:dLbl>
            <c:dLbl>
              <c:idx val="2"/>
              <c:layout>
                <c:manualLayout>
                  <c:x val="-2.5189545143835111E-2"/>
                  <c:y val="5.2901237139167834E-2"/>
                </c:manualLayout>
              </c:layout>
              <c:spPr>
                <a:solidFill>
                  <a:sysClr val="window" lastClr="FFFFFF"/>
                </a:solidFill>
                <a:ln w="25400">
                  <a:noFill/>
                </a:ln>
              </c:spPr>
              <c:txPr>
                <a:bodyPr/>
                <a:lstStyle/>
                <a:p>
                  <a:pPr>
                    <a:defRPr sz="900" b="1" i="0" u="none" strike="noStrike" baseline="0">
                      <a:solidFill>
                        <a:srgbClr val="000000"/>
                      </a:solidFill>
                      <a:latin typeface="Arial"/>
                      <a:ea typeface="Arial"/>
                      <a:cs typeface="Arial"/>
                    </a:defRPr>
                  </a:pPr>
                  <a:endParaRPr lang="zh-CN"/>
                </a:p>
              </c:txPr>
              <c:dLblPos val="r"/>
              <c:showVal val="1"/>
            </c:dLbl>
            <c:dLbl>
              <c:idx val="3"/>
              <c:layout>
                <c:manualLayout>
                  <c:x val="-3.1809145129224912E-2"/>
                  <c:y val="6.8632482192693814E-2"/>
                </c:manualLayout>
              </c:layout>
              <c:spPr>
                <a:solidFill>
                  <a:sysClr val="window" lastClr="FFFFFF"/>
                </a:solidFill>
                <a:ln w="25400">
                  <a:noFill/>
                </a:ln>
              </c:spPr>
              <c:txPr>
                <a:bodyPr/>
                <a:lstStyle/>
                <a:p>
                  <a:pPr>
                    <a:defRPr sz="900" b="0" i="0" u="none" strike="noStrike" baseline="0">
                      <a:solidFill>
                        <a:srgbClr val="000000"/>
                      </a:solidFill>
                      <a:latin typeface="Arial"/>
                      <a:ea typeface="Arial"/>
                      <a:cs typeface="Arial"/>
                    </a:defRPr>
                  </a:pPr>
                  <a:endParaRPr lang="zh-CN"/>
                </a:p>
              </c:txPr>
              <c:dLblPos val="r"/>
              <c:showVal val="1"/>
            </c:dLbl>
            <c:dLbl>
              <c:idx val="4"/>
              <c:layout>
                <c:manualLayout>
                  <c:x val="-4.1036093152372034E-2"/>
                  <c:y val="7.5684869690784626E-2"/>
                </c:manualLayout>
              </c:layout>
              <c:spPr>
                <a:solidFill>
                  <a:sysClr val="window" lastClr="FFFFFF"/>
                </a:solidFill>
                <a:ln w="25400">
                  <a:noFill/>
                </a:ln>
              </c:spPr>
              <c:txPr>
                <a:bodyPr/>
                <a:lstStyle/>
                <a:p>
                  <a:pPr>
                    <a:defRPr sz="900" b="0" i="0" u="none" strike="noStrike" baseline="0">
                      <a:solidFill>
                        <a:srgbClr val="000000"/>
                      </a:solidFill>
                      <a:latin typeface="Arial"/>
                      <a:ea typeface="Arial"/>
                      <a:cs typeface="Arial"/>
                    </a:defRPr>
                  </a:pPr>
                  <a:endParaRPr lang="zh-CN"/>
                </a:p>
              </c:txPr>
              <c:dLblPos val="r"/>
              <c:showVal val="1"/>
            </c:dLbl>
            <c:dLbl>
              <c:idx val="5"/>
              <c:layout>
                <c:manualLayout>
                  <c:x val="-4.7032868406359743E-2"/>
                  <c:y val="6.7471154246678072E-2"/>
                </c:manualLayout>
              </c:layout>
              <c:spPr>
                <a:solidFill>
                  <a:sysClr val="window" lastClr="FFFFFF"/>
                </a:solidFill>
                <a:ln w="25400">
                  <a:noFill/>
                </a:ln>
              </c:spPr>
              <c:txPr>
                <a:bodyPr/>
                <a:lstStyle/>
                <a:p>
                  <a:pPr>
                    <a:defRPr sz="900" b="0" i="0" u="none" strike="noStrike" baseline="0">
                      <a:solidFill>
                        <a:srgbClr val="000000"/>
                      </a:solidFill>
                      <a:latin typeface="Arial"/>
                      <a:ea typeface="Arial"/>
                      <a:cs typeface="Arial"/>
                    </a:defRPr>
                  </a:pPr>
                  <a:endParaRPr lang="zh-CN"/>
                </a:p>
              </c:txPr>
              <c:dLblPos val="r"/>
              <c:showVal val="1"/>
            </c:dLbl>
            <c:dLbl>
              <c:idx val="6"/>
              <c:layout>
                <c:manualLayout>
                  <c:x val="-2.9602750948377981E-2"/>
                  <c:y val="-5.5615167798281059E-2"/>
                </c:manualLayout>
              </c:layout>
              <c:spPr>
                <a:solidFill>
                  <a:sysClr val="window" lastClr="FFFFFF"/>
                </a:solidFill>
                <a:ln w="25400">
                  <a:noFill/>
                </a:ln>
              </c:spPr>
              <c:txPr>
                <a:bodyPr/>
                <a:lstStyle/>
                <a:p>
                  <a:pPr>
                    <a:defRPr sz="900" b="0" i="0" u="none" strike="noStrike" baseline="0">
                      <a:solidFill>
                        <a:srgbClr val="000000"/>
                      </a:solidFill>
                      <a:latin typeface="Arial"/>
                      <a:ea typeface="Arial"/>
                      <a:cs typeface="Arial"/>
                    </a:defRPr>
                  </a:pPr>
                  <a:endParaRPr lang="zh-CN"/>
                </a:p>
              </c:txPr>
              <c:dLblPos val="r"/>
              <c:showVal val="1"/>
            </c:dLbl>
            <c:dLbl>
              <c:idx val="7"/>
              <c:layout>
                <c:manualLayout>
                  <c:x val="-4.5062955599734916E-2"/>
                  <c:y val="-3.1740742283500788E-2"/>
                </c:manualLayout>
              </c:layout>
              <c:dLblPos val="r"/>
              <c:showVal val="1"/>
            </c:dLbl>
            <c:spPr>
              <a:noFill/>
              <a:ln w="25400">
                <a:noFill/>
              </a:ln>
            </c:spPr>
            <c:txPr>
              <a:bodyPr/>
              <a:lstStyle/>
              <a:p>
                <a:pPr>
                  <a:defRPr sz="900" b="0" i="0" u="none" strike="noStrike" baseline="0">
                    <a:solidFill>
                      <a:srgbClr val="000000"/>
                    </a:solidFill>
                    <a:latin typeface="Arial"/>
                    <a:ea typeface="Arial"/>
                    <a:cs typeface="Arial"/>
                  </a:defRPr>
                </a:pPr>
                <a:endParaRPr lang="zh-CN"/>
              </a:p>
            </c:txPr>
            <c:dLblPos val="r"/>
            <c:showVal val="1"/>
          </c:dLbls>
          <c:cat>
            <c:strRef>
              <c:f>统计图表!$M$77:$M$84</c:f>
              <c:strCache>
                <c:ptCount val="8"/>
                <c:pt idx="0">
                  <c:v>2007年</c:v>
                </c:pt>
                <c:pt idx="1">
                  <c:v>2008年</c:v>
                </c:pt>
                <c:pt idx="2">
                  <c:v>2009年</c:v>
                </c:pt>
                <c:pt idx="3">
                  <c:v>2010年</c:v>
                </c:pt>
                <c:pt idx="4">
                  <c:v>2011年</c:v>
                </c:pt>
                <c:pt idx="5">
                  <c:v>2012年</c:v>
                </c:pt>
                <c:pt idx="6">
                  <c:v>2013年</c:v>
                </c:pt>
                <c:pt idx="7">
                  <c:v>2014年</c:v>
                </c:pt>
              </c:strCache>
            </c:strRef>
          </c:cat>
          <c:val>
            <c:numRef>
              <c:f>统计图表!$O$77:$O$84</c:f>
              <c:numCache>
                <c:formatCode>General</c:formatCode>
                <c:ptCount val="8"/>
                <c:pt idx="0">
                  <c:v>35</c:v>
                </c:pt>
                <c:pt idx="1">
                  <c:v>33</c:v>
                </c:pt>
                <c:pt idx="2">
                  <c:v>38</c:v>
                </c:pt>
                <c:pt idx="3">
                  <c:v>57</c:v>
                </c:pt>
                <c:pt idx="4">
                  <c:v>110</c:v>
                </c:pt>
                <c:pt idx="5">
                  <c:v>112</c:v>
                </c:pt>
                <c:pt idx="6">
                  <c:v>99</c:v>
                </c:pt>
                <c:pt idx="7">
                  <c:v>152</c:v>
                </c:pt>
              </c:numCache>
            </c:numRef>
          </c:val>
        </c:ser>
        <c:dLbls>
          <c:showVal val="1"/>
        </c:dLbls>
        <c:marker val="1"/>
        <c:axId val="121412992"/>
        <c:axId val="121623680"/>
      </c:lineChart>
      <c:catAx>
        <c:axId val="121409920"/>
        <c:scaling>
          <c:orientation val="minMax"/>
        </c:scaling>
        <c:axPos val="b"/>
        <c:numFmt formatCode="General" sourceLinked="1"/>
        <c:majorTickMark val="in"/>
        <c:tickLblPos val="nextTo"/>
        <c:spPr>
          <a:ln w="12700">
            <a:solidFill>
              <a:srgbClr val="000000"/>
            </a:solidFill>
            <a:prstDash val="solid"/>
          </a:ln>
        </c:spPr>
        <c:txPr>
          <a:bodyPr rot="0" vert="horz"/>
          <a:lstStyle/>
          <a:p>
            <a:pPr>
              <a:defRPr sz="900" b="0" i="0" u="none" strike="noStrike" baseline="0">
                <a:solidFill>
                  <a:sysClr val="windowText" lastClr="000000"/>
                </a:solidFill>
                <a:latin typeface="Arial" pitchFamily="34" charset="0"/>
                <a:ea typeface="+mn-ea"/>
                <a:cs typeface="Arial" pitchFamily="34" charset="0"/>
              </a:defRPr>
            </a:pPr>
            <a:endParaRPr lang="zh-CN"/>
          </a:p>
        </c:txPr>
        <c:crossAx val="121411456"/>
        <c:crosses val="autoZero"/>
        <c:lblAlgn val="ctr"/>
        <c:lblOffset val="100"/>
        <c:tickLblSkip val="1"/>
        <c:tickMarkSkip val="1"/>
      </c:catAx>
      <c:valAx>
        <c:axId val="121411456"/>
        <c:scaling>
          <c:orientation val="minMax"/>
        </c:scaling>
        <c:axPos val="l"/>
        <c:numFmt formatCode="#,##0.00_ " sourceLinked="0"/>
        <c:majorTickMark val="in"/>
        <c:tickLblPos val="nextTo"/>
        <c:spPr>
          <a:ln w="12700">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zh-CN"/>
          </a:p>
        </c:txPr>
        <c:crossAx val="121409920"/>
        <c:crosses val="autoZero"/>
        <c:crossBetween val="between"/>
      </c:valAx>
      <c:catAx>
        <c:axId val="121412992"/>
        <c:scaling>
          <c:orientation val="minMax"/>
        </c:scaling>
        <c:delete val="1"/>
        <c:axPos val="b"/>
        <c:tickLblPos val="none"/>
        <c:crossAx val="121623680"/>
        <c:crosses val="autoZero"/>
        <c:lblAlgn val="ctr"/>
        <c:lblOffset val="100"/>
      </c:catAx>
      <c:valAx>
        <c:axId val="121623680"/>
        <c:scaling>
          <c:orientation val="minMax"/>
        </c:scaling>
        <c:axPos val="r"/>
        <c:numFmt formatCode="General" sourceLinked="1"/>
        <c:majorTickMark val="in"/>
        <c:tickLblPos val="nextTo"/>
        <c:spPr>
          <a:ln w="12700">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zh-CN"/>
          </a:p>
        </c:txPr>
        <c:crossAx val="121412992"/>
        <c:crosses val="max"/>
        <c:crossBetween val="between"/>
      </c:valAx>
      <c:spPr>
        <a:noFill/>
        <a:ln w="25400">
          <a:noFill/>
        </a:ln>
      </c:spPr>
    </c:plotArea>
    <c:legend>
      <c:legendPos val="b"/>
      <c:layout>
        <c:manualLayout>
          <c:xMode val="edge"/>
          <c:yMode val="edge"/>
          <c:x val="0.22067594433399587"/>
          <c:y val="0.81915005305188371"/>
          <c:w val="0.5248508946322068"/>
          <c:h val="7.7127659574468099E-2"/>
        </c:manualLayout>
      </c:layout>
      <c:spPr>
        <a:noFill/>
        <a:ln w="25400">
          <a:noFill/>
        </a:ln>
      </c:spPr>
      <c:txPr>
        <a:bodyPr/>
        <a:lstStyle/>
        <a:p>
          <a:pPr>
            <a:defRPr sz="900" b="1" i="0" u="none" strike="noStrike" baseline="0">
              <a:solidFill>
                <a:srgbClr val="000000"/>
              </a:solidFill>
              <a:latin typeface="Arial"/>
              <a:ea typeface="Arial"/>
              <a:cs typeface="Arial"/>
            </a:defRPr>
          </a:pPr>
          <a:endParaRPr lang="zh-CN"/>
        </a:p>
      </c:txPr>
    </c:legend>
    <c:plotVisOnly val="1"/>
    <c:dispBlanksAs val="gap"/>
  </c:chart>
  <c:spPr>
    <a:noFill/>
    <a:ln w="3175">
      <a:solidFill>
        <a:srgbClr val="000000"/>
      </a:solidFill>
      <a:prstDash val="solid"/>
    </a:ln>
  </c:spPr>
  <c:txPr>
    <a:bodyPr/>
    <a:lstStyle/>
    <a:p>
      <a:pPr>
        <a:defRPr sz="900" b="0" i="0" u="none" strike="noStrike" baseline="0">
          <a:solidFill>
            <a:srgbClr val="000000"/>
          </a:solidFill>
          <a:latin typeface="Arial"/>
          <a:ea typeface="Arial"/>
          <a:cs typeface="Arial"/>
        </a:defRPr>
      </a:pPr>
      <a:endParaRPr lang="zh-CN"/>
    </a:p>
  </c:tx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sz="900" b="0" i="0" u="none" strike="noStrike" baseline="0">
                <a:solidFill>
                  <a:srgbClr val="000000"/>
                </a:solidFill>
                <a:latin typeface="Arial"/>
                <a:ea typeface="Arial"/>
                <a:cs typeface="Arial"/>
              </a:defRPr>
            </a:pPr>
            <a:r>
              <a:rPr lang="en-US" altLang="zh-CN" sz="900" b="1" i="0" strike="noStrike">
                <a:solidFill>
                  <a:srgbClr val="000000"/>
                </a:solidFill>
                <a:latin typeface="Arial"/>
                <a:cs typeface="Arial"/>
              </a:rPr>
              <a:t>2007-2014</a:t>
            </a:r>
            <a:r>
              <a:rPr lang="zh-CN" altLang="en-US" sz="900" b="1" i="0" strike="noStrike">
                <a:solidFill>
                  <a:srgbClr val="000000"/>
                </a:solidFill>
                <a:latin typeface="Arial"/>
                <a:cs typeface="Arial"/>
              </a:rPr>
              <a:t>年</a:t>
            </a:r>
            <a:r>
              <a:rPr lang="zh-CN" altLang="en-US" sz="900" b="1" i="0" strike="noStrike">
                <a:solidFill>
                  <a:srgbClr val="000000"/>
                </a:solidFill>
                <a:latin typeface="宋体"/>
                <a:ea typeface="宋体"/>
              </a:rPr>
              <a:t>中国并购市场外资并购趋势</a:t>
            </a:r>
          </a:p>
        </c:rich>
      </c:tx>
      <c:layout>
        <c:manualLayout>
          <c:xMode val="edge"/>
          <c:yMode val="edge"/>
          <c:x val="0.31610337972167174"/>
          <c:y val="3.5587948200689792E-2"/>
        </c:manualLayout>
      </c:layout>
      <c:spPr>
        <a:noFill/>
        <a:ln w="25400">
          <a:noFill/>
        </a:ln>
      </c:spPr>
    </c:title>
    <c:plotArea>
      <c:layout>
        <c:manualLayout>
          <c:layoutTarget val="inner"/>
          <c:xMode val="edge"/>
          <c:yMode val="edge"/>
          <c:x val="0.15053218745271349"/>
          <c:y val="0.10901445319335082"/>
          <c:w val="0.77335984095427979"/>
          <c:h val="0.5930858765763648"/>
        </c:manualLayout>
      </c:layout>
      <c:barChart>
        <c:barDir val="col"/>
        <c:grouping val="clustered"/>
        <c:ser>
          <c:idx val="1"/>
          <c:order val="0"/>
          <c:tx>
            <c:strRef>
              <c:f>统计图表!$N$106</c:f>
              <c:strCache>
                <c:ptCount val="1"/>
                <c:pt idx="0">
                  <c:v>并购总额 (US$M)</c:v>
                </c:pt>
              </c:strCache>
            </c:strRef>
          </c:tx>
          <c:spPr>
            <a:solidFill>
              <a:srgbClr val="000080"/>
            </a:solidFill>
            <a:ln w="25400">
              <a:noFill/>
            </a:ln>
          </c:spPr>
          <c:dLbls>
            <c:dLbl>
              <c:idx val="0"/>
              <c:layout>
                <c:manualLayout>
                  <c:x val="8.0034230313656748E-3"/>
                  <c:y val="2.1249623797025406E-2"/>
                </c:manualLayout>
              </c:layout>
              <c:dLblPos val="outEnd"/>
              <c:showVal val="1"/>
            </c:dLbl>
            <c:dLbl>
              <c:idx val="1"/>
              <c:layout>
                <c:manualLayout>
                  <c:x val="5.5916469685822114E-3"/>
                  <c:y val="-7.6449534717251324E-3"/>
                </c:manualLayout>
              </c:layout>
              <c:dLblPos val="outEnd"/>
              <c:showVal val="1"/>
            </c:dLbl>
            <c:dLbl>
              <c:idx val="2"/>
              <c:layout>
                <c:manualLayout>
                  <c:x val="5.8371033640675814E-3"/>
                  <c:y val="1.2129310282495679E-2"/>
                </c:manualLayout>
              </c:layout>
              <c:dLblPos val="outEnd"/>
              <c:showVal val="1"/>
            </c:dLbl>
            <c:dLbl>
              <c:idx val="3"/>
              <c:layout>
                <c:manualLayout>
                  <c:x val="-2.5390961318701982E-3"/>
                  <c:y val="1.2770221904080175E-2"/>
                </c:manualLayout>
              </c:layout>
              <c:dLblPos val="outEnd"/>
              <c:showVal val="1"/>
            </c:dLbl>
            <c:dLbl>
              <c:idx val="4"/>
              <c:layout>
                <c:manualLayout>
                  <c:x val="-6.2829323272960693E-3"/>
                  <c:y val="1.1156952488376958E-2"/>
                </c:manualLayout>
              </c:layout>
              <c:dLblPos val="outEnd"/>
              <c:showVal val="1"/>
            </c:dLbl>
            <c:dLbl>
              <c:idx val="5"/>
              <c:layout>
                <c:manualLayout>
                  <c:x val="5.8909534916485934E-3"/>
                  <c:y val="1.7491093613298342E-2"/>
                </c:manualLayout>
              </c:layout>
              <c:dLblPos val="outEnd"/>
              <c:showVal val="1"/>
            </c:dLbl>
            <c:dLbl>
              <c:idx val="6"/>
              <c:layout>
                <c:manualLayout>
                  <c:x val="1.4842180512724421E-3"/>
                  <c:y val="-7.2888199537981934E-3"/>
                </c:manualLayout>
              </c:layout>
              <c:dLblPos val="outEnd"/>
              <c:showVal val="1"/>
            </c:dLbl>
            <c:dLbl>
              <c:idx val="7"/>
              <c:layout>
                <c:manualLayout>
                  <c:x val="1.2995413346691504E-2"/>
                  <c:y val="8.6226421697288228E-3"/>
                </c:manualLayout>
              </c:layout>
              <c:dLblPos val="outEnd"/>
              <c:showVal val="1"/>
            </c:dLbl>
            <c:dLbl>
              <c:idx val="8"/>
              <c:layout>
                <c:manualLayout>
                  <c:x val="1.968660478076444E-3"/>
                  <c:y val="1.0175048118985126E-2"/>
                </c:manualLayout>
              </c:layout>
              <c:dLblPos val="outEnd"/>
              <c:showVal val="1"/>
            </c:dLbl>
            <c:dLbl>
              <c:idx val="9"/>
              <c:layout>
                <c:manualLayout>
                  <c:x val="-1.1060148296572505E-3"/>
                  <c:y val="1.7835698345193482E-2"/>
                </c:manualLayout>
              </c:layout>
              <c:dLblPos val="outEnd"/>
              <c:showVal val="1"/>
            </c:dLbl>
            <c:dLbl>
              <c:idx val="10"/>
              <c:layout>
                <c:manualLayout>
                  <c:x val="-3.5182083352900966E-3"/>
                  <c:y val="1.1456447944006999E-2"/>
                </c:manualLayout>
              </c:layout>
              <c:dLblPos val="outEnd"/>
              <c:showVal val="1"/>
            </c:dLbl>
            <c:dLbl>
              <c:idx val="11"/>
              <c:layout>
                <c:manualLayout>
                  <c:x val="-1.9538412569204203E-3"/>
                  <c:y val="-6.8261119766446334E-3"/>
                </c:manualLayout>
              </c:layout>
              <c:dLblPos val="outEnd"/>
              <c:showVal val="1"/>
            </c:dLbl>
            <c:dLbl>
              <c:idx val="12"/>
              <c:layout>
                <c:manualLayout>
                  <c:x val="-1.2980594125535583E-2"/>
                  <c:y val="5.1485676589891503E-3"/>
                </c:manualLayout>
              </c:layout>
              <c:dLblPos val="outEnd"/>
              <c:showVal val="1"/>
            </c:dLbl>
            <c:dLbl>
              <c:idx val="13"/>
              <c:layout>
                <c:manualLayout>
                  <c:x val="5.3015241882041798E-3"/>
                  <c:y val="0"/>
                </c:manualLayout>
              </c:layout>
              <c:dLblPos val="outEnd"/>
              <c:showVal val="1"/>
            </c:dLbl>
            <c:numFmt formatCode="#,##0.00;[Red]\-#,##0.00" sourceLinked="0"/>
            <c:spPr>
              <a:noFill/>
              <a:ln w="25400">
                <a:noFill/>
              </a:ln>
            </c:spPr>
            <c:txPr>
              <a:bodyPr/>
              <a:lstStyle/>
              <a:p>
                <a:pPr>
                  <a:defRPr sz="900" b="0" i="0" u="none" strike="noStrike" baseline="0">
                    <a:solidFill>
                      <a:srgbClr val="000000"/>
                    </a:solidFill>
                    <a:latin typeface="Arial"/>
                    <a:ea typeface="Arial"/>
                    <a:cs typeface="Arial"/>
                  </a:defRPr>
                </a:pPr>
                <a:endParaRPr lang="zh-CN"/>
              </a:p>
            </c:txPr>
            <c:showVal val="1"/>
          </c:dLbls>
          <c:cat>
            <c:strRef>
              <c:f>统计图表!$M$107:$M$114</c:f>
              <c:strCache>
                <c:ptCount val="8"/>
                <c:pt idx="0">
                  <c:v>2007年</c:v>
                </c:pt>
                <c:pt idx="1">
                  <c:v>2008年</c:v>
                </c:pt>
                <c:pt idx="2">
                  <c:v>2009年</c:v>
                </c:pt>
                <c:pt idx="3">
                  <c:v>2010年</c:v>
                </c:pt>
                <c:pt idx="4">
                  <c:v>2011年</c:v>
                </c:pt>
                <c:pt idx="5">
                  <c:v>2012年</c:v>
                </c:pt>
                <c:pt idx="6">
                  <c:v>2013年</c:v>
                </c:pt>
                <c:pt idx="7">
                  <c:v>2014年</c:v>
                </c:pt>
              </c:strCache>
            </c:strRef>
          </c:cat>
          <c:val>
            <c:numRef>
              <c:f>统计图表!$N$107:$N$114</c:f>
              <c:numCache>
                <c:formatCode>#,##0.00;[Red]\-#,##0.00</c:formatCode>
                <c:ptCount val="8"/>
                <c:pt idx="0">
                  <c:v>6170.09</c:v>
                </c:pt>
                <c:pt idx="1">
                  <c:v>4515.8</c:v>
                </c:pt>
                <c:pt idx="2">
                  <c:v>2593.96</c:v>
                </c:pt>
                <c:pt idx="3">
                  <c:v>2218.5500000000002</c:v>
                </c:pt>
                <c:pt idx="4">
                  <c:v>6860.4699999999993</c:v>
                </c:pt>
                <c:pt idx="5">
                  <c:v>3658.11</c:v>
                </c:pt>
                <c:pt idx="6">
                  <c:v>12968.32</c:v>
                </c:pt>
                <c:pt idx="7">
                  <c:v>4749.4528928342015</c:v>
                </c:pt>
              </c:numCache>
            </c:numRef>
          </c:val>
        </c:ser>
        <c:dLbls>
          <c:showVal val="1"/>
        </c:dLbls>
        <c:axId val="121630080"/>
        <c:axId val="121640064"/>
      </c:barChart>
      <c:lineChart>
        <c:grouping val="standard"/>
        <c:ser>
          <c:idx val="0"/>
          <c:order val="1"/>
          <c:tx>
            <c:strRef>
              <c:f>统计图表!$O$106</c:f>
              <c:strCache>
                <c:ptCount val="1"/>
                <c:pt idx="0">
                  <c:v>案例数</c:v>
                </c:pt>
              </c:strCache>
            </c:strRef>
          </c:tx>
          <c:spPr>
            <a:ln w="38100">
              <a:solidFill>
                <a:srgbClr val="99CCFF"/>
              </a:solidFill>
              <a:prstDash val="solid"/>
            </a:ln>
          </c:spPr>
          <c:marker>
            <c:symbol val="circle"/>
            <c:size val="6"/>
            <c:spPr>
              <a:solidFill>
                <a:srgbClr val="FF0000"/>
              </a:solidFill>
              <a:ln>
                <a:solidFill>
                  <a:srgbClr val="FF0000"/>
                </a:solidFill>
                <a:prstDash val="solid"/>
              </a:ln>
            </c:spPr>
          </c:marker>
          <c:dLbls>
            <c:dLbl>
              <c:idx val="4"/>
              <c:layout>
                <c:manualLayout>
                  <c:x val="-1.3358171182876581E-5"/>
                  <c:y val="1.2028661706542879E-3"/>
                </c:manualLayout>
              </c:layout>
              <c:dLblPos val="r"/>
              <c:showVal val="1"/>
            </c:dLbl>
            <c:dLbl>
              <c:idx val="6"/>
              <c:layout>
                <c:manualLayout>
                  <c:x val="-7.9536220994245094E-2"/>
                  <c:y val="4.1606906574694687E-2"/>
                </c:manualLayout>
              </c:layout>
              <c:dLblPos val="r"/>
              <c:showVal val="1"/>
            </c:dLbl>
            <c:spPr>
              <a:noFill/>
              <a:ln w="25400">
                <a:noFill/>
              </a:ln>
            </c:spPr>
            <c:txPr>
              <a:bodyPr/>
              <a:lstStyle/>
              <a:p>
                <a:pPr>
                  <a:defRPr sz="900" b="0" i="0" u="none" strike="noStrike" baseline="0">
                    <a:solidFill>
                      <a:srgbClr val="000000"/>
                    </a:solidFill>
                    <a:latin typeface="Arial"/>
                    <a:ea typeface="Arial"/>
                    <a:cs typeface="Arial"/>
                  </a:defRPr>
                </a:pPr>
                <a:endParaRPr lang="zh-CN"/>
              </a:p>
            </c:txPr>
            <c:dLblPos val="t"/>
            <c:showVal val="1"/>
          </c:dLbls>
          <c:cat>
            <c:strRef>
              <c:f>统计图表!$M$107:$M$114</c:f>
              <c:strCache>
                <c:ptCount val="8"/>
                <c:pt idx="0">
                  <c:v>2007年</c:v>
                </c:pt>
                <c:pt idx="1">
                  <c:v>2008年</c:v>
                </c:pt>
                <c:pt idx="2">
                  <c:v>2009年</c:v>
                </c:pt>
                <c:pt idx="3">
                  <c:v>2010年</c:v>
                </c:pt>
                <c:pt idx="4">
                  <c:v>2011年</c:v>
                </c:pt>
                <c:pt idx="5">
                  <c:v>2012年</c:v>
                </c:pt>
                <c:pt idx="6">
                  <c:v>2013年</c:v>
                </c:pt>
                <c:pt idx="7">
                  <c:v>2014年</c:v>
                </c:pt>
              </c:strCache>
            </c:strRef>
          </c:cat>
          <c:val>
            <c:numRef>
              <c:f>统计图表!$O$107:$O$114</c:f>
              <c:numCache>
                <c:formatCode>General</c:formatCode>
                <c:ptCount val="8"/>
                <c:pt idx="0">
                  <c:v>49</c:v>
                </c:pt>
                <c:pt idx="1">
                  <c:v>42</c:v>
                </c:pt>
                <c:pt idx="2">
                  <c:v>34</c:v>
                </c:pt>
                <c:pt idx="3">
                  <c:v>44</c:v>
                </c:pt>
                <c:pt idx="4">
                  <c:v>66</c:v>
                </c:pt>
                <c:pt idx="5">
                  <c:v>42</c:v>
                </c:pt>
                <c:pt idx="6">
                  <c:v>39</c:v>
                </c:pt>
                <c:pt idx="7">
                  <c:v>40</c:v>
                </c:pt>
              </c:numCache>
            </c:numRef>
          </c:val>
        </c:ser>
        <c:dLbls>
          <c:showVal val="1"/>
        </c:dLbls>
        <c:marker val="1"/>
        <c:axId val="121641600"/>
        <c:axId val="121692544"/>
      </c:lineChart>
      <c:catAx>
        <c:axId val="121630080"/>
        <c:scaling>
          <c:orientation val="minMax"/>
        </c:scaling>
        <c:axPos val="b"/>
        <c:numFmt formatCode="General" sourceLinked="1"/>
        <c:majorTickMark val="in"/>
        <c:tickLblPos val="nextTo"/>
        <c:spPr>
          <a:ln w="12700">
            <a:solidFill>
              <a:srgbClr val="000000"/>
            </a:solidFill>
            <a:prstDash val="solid"/>
          </a:ln>
        </c:spPr>
        <c:txPr>
          <a:bodyPr rot="0" vert="horz"/>
          <a:lstStyle/>
          <a:p>
            <a:pPr>
              <a:defRPr sz="900" b="0" i="0" u="none" strike="noStrike" baseline="0">
                <a:solidFill>
                  <a:sysClr val="windowText" lastClr="000000"/>
                </a:solidFill>
                <a:latin typeface="Arial" pitchFamily="34" charset="0"/>
                <a:ea typeface="+mn-ea"/>
                <a:cs typeface="Arial" pitchFamily="34" charset="0"/>
              </a:defRPr>
            </a:pPr>
            <a:endParaRPr lang="zh-CN"/>
          </a:p>
        </c:txPr>
        <c:crossAx val="121640064"/>
        <c:crosses val="autoZero"/>
        <c:lblAlgn val="ctr"/>
        <c:lblOffset val="100"/>
        <c:tickLblSkip val="1"/>
        <c:tickMarkSkip val="1"/>
      </c:catAx>
      <c:valAx>
        <c:axId val="121640064"/>
        <c:scaling>
          <c:orientation val="minMax"/>
        </c:scaling>
        <c:axPos val="l"/>
        <c:numFmt formatCode="#,##0.00_ " sourceLinked="0"/>
        <c:majorTickMark val="in"/>
        <c:tickLblPos val="nextTo"/>
        <c:spPr>
          <a:ln w="12700">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zh-CN"/>
          </a:p>
        </c:txPr>
        <c:crossAx val="121630080"/>
        <c:crosses val="autoZero"/>
        <c:crossBetween val="between"/>
      </c:valAx>
      <c:catAx>
        <c:axId val="121641600"/>
        <c:scaling>
          <c:orientation val="minMax"/>
        </c:scaling>
        <c:delete val="1"/>
        <c:axPos val="b"/>
        <c:numFmt formatCode="General" sourceLinked="1"/>
        <c:tickLblPos val="none"/>
        <c:crossAx val="121692544"/>
        <c:crosses val="autoZero"/>
        <c:lblAlgn val="ctr"/>
        <c:lblOffset val="100"/>
      </c:catAx>
      <c:valAx>
        <c:axId val="121692544"/>
        <c:scaling>
          <c:orientation val="minMax"/>
        </c:scaling>
        <c:axPos val="r"/>
        <c:numFmt formatCode="General" sourceLinked="1"/>
        <c:majorTickMark val="in"/>
        <c:tickLblPos val="nextTo"/>
        <c:spPr>
          <a:ln w="12700">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zh-CN"/>
          </a:p>
        </c:txPr>
        <c:crossAx val="121641600"/>
        <c:crosses val="max"/>
        <c:crossBetween val="between"/>
      </c:valAx>
      <c:spPr>
        <a:noFill/>
        <a:ln w="25400">
          <a:noFill/>
        </a:ln>
      </c:spPr>
    </c:plotArea>
    <c:legend>
      <c:legendPos val="b"/>
      <c:layout>
        <c:manualLayout>
          <c:xMode val="edge"/>
          <c:yMode val="edge"/>
          <c:x val="0.22067594433399587"/>
          <c:y val="0.81915005305188393"/>
          <c:w val="0.4604056500889675"/>
          <c:h val="5.6549134561697266E-2"/>
        </c:manualLayout>
      </c:layout>
      <c:spPr>
        <a:noFill/>
        <a:ln w="25400">
          <a:noFill/>
        </a:ln>
      </c:spPr>
      <c:txPr>
        <a:bodyPr/>
        <a:lstStyle/>
        <a:p>
          <a:pPr>
            <a:defRPr sz="900" b="1" i="0" u="none" strike="noStrike" baseline="0">
              <a:solidFill>
                <a:srgbClr val="000000"/>
              </a:solidFill>
              <a:latin typeface="Arial"/>
              <a:ea typeface="Arial"/>
              <a:cs typeface="Arial"/>
            </a:defRPr>
          </a:pPr>
          <a:endParaRPr lang="zh-CN"/>
        </a:p>
      </c:txPr>
    </c:legend>
    <c:plotVisOnly val="1"/>
    <c:dispBlanksAs val="gap"/>
  </c:chart>
  <c:spPr>
    <a:noFill/>
    <a:ln w="3175">
      <a:solidFill>
        <a:srgbClr val="000000"/>
      </a:solidFill>
      <a:prstDash val="solid"/>
    </a:ln>
  </c:spPr>
  <c:txPr>
    <a:bodyPr/>
    <a:lstStyle/>
    <a:p>
      <a:pPr>
        <a:defRPr sz="900" b="0" i="0" u="none" strike="noStrike" baseline="0">
          <a:solidFill>
            <a:srgbClr val="000000"/>
          </a:solidFill>
          <a:latin typeface="Arial"/>
          <a:ea typeface="Arial"/>
          <a:cs typeface="Arial"/>
        </a:defRPr>
      </a:pPr>
      <a:endParaRPr lang="zh-CN"/>
    </a:p>
  </c:txPr>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sz="900" b="1" i="0" u="none" strike="noStrike" baseline="0">
                <a:solidFill>
                  <a:srgbClr val="000000"/>
                </a:solidFill>
                <a:latin typeface="Arial"/>
                <a:ea typeface="Arial"/>
                <a:cs typeface="Arial"/>
              </a:defRPr>
            </a:pPr>
            <a:r>
              <a:rPr lang="en-US" altLang="zh-CN" sz="900" b="1" i="0" u="none" strike="noStrike" baseline="0"/>
              <a:t>2007-2014 </a:t>
            </a:r>
            <a:r>
              <a:rPr lang="zh-CN" altLang="en-US" sz="900" b="1" i="0" u="none" strike="noStrike" baseline="0"/>
              <a:t>年</a:t>
            </a:r>
            <a:r>
              <a:rPr lang="zh-CN" altLang="en-US" sz="900" b="1" i="0" strike="noStrike">
                <a:solidFill>
                  <a:srgbClr val="000000"/>
                </a:solidFill>
                <a:latin typeface="宋体"/>
                <a:ea typeface="宋体"/>
              </a:rPr>
              <a:t>中国并购市场</a:t>
            </a:r>
            <a:r>
              <a:rPr lang="en-US" altLang="zh-CN" sz="900" b="1" i="0" strike="noStrike">
                <a:solidFill>
                  <a:srgbClr val="000000"/>
                </a:solidFill>
                <a:latin typeface="Arial"/>
                <a:cs typeface="Arial"/>
              </a:rPr>
              <a:t>VC/PE</a:t>
            </a:r>
            <a:r>
              <a:rPr lang="zh-CN" altLang="en-US" sz="900" b="1" i="0" strike="noStrike">
                <a:solidFill>
                  <a:srgbClr val="000000"/>
                </a:solidFill>
                <a:latin typeface="宋体"/>
                <a:ea typeface="宋体"/>
              </a:rPr>
              <a:t>相关并购趋势</a:t>
            </a:r>
          </a:p>
        </c:rich>
      </c:tx>
      <c:layout>
        <c:manualLayout>
          <c:xMode val="edge"/>
          <c:yMode val="edge"/>
          <c:x val="0.20477669254528771"/>
          <c:y val="3.5460357342266886E-2"/>
        </c:manualLayout>
      </c:layout>
      <c:spPr>
        <a:noFill/>
        <a:ln w="25400">
          <a:noFill/>
        </a:ln>
      </c:spPr>
    </c:title>
    <c:plotArea>
      <c:layout>
        <c:manualLayout>
          <c:layoutTarget val="inner"/>
          <c:xMode val="edge"/>
          <c:yMode val="edge"/>
          <c:x val="0.1611261920312437"/>
          <c:y val="0.12622324351479824"/>
          <c:w val="0.74155069582504951"/>
          <c:h val="0.61046103734771362"/>
        </c:manualLayout>
      </c:layout>
      <c:barChart>
        <c:barDir val="col"/>
        <c:grouping val="clustered"/>
        <c:ser>
          <c:idx val="1"/>
          <c:order val="0"/>
          <c:tx>
            <c:strRef>
              <c:f>统计图表!$B$136</c:f>
              <c:strCache>
                <c:ptCount val="1"/>
                <c:pt idx="0">
                  <c:v>并购总额 (US$M)</c:v>
                </c:pt>
              </c:strCache>
            </c:strRef>
          </c:tx>
          <c:spPr>
            <a:solidFill>
              <a:srgbClr val="000080"/>
            </a:solidFill>
            <a:ln w="25400">
              <a:noFill/>
            </a:ln>
          </c:spPr>
          <c:dLbls>
            <c:dLbl>
              <c:idx val="0"/>
              <c:layout>
                <c:manualLayout>
                  <c:x val="-1.5908464813423503E-2"/>
                  <c:y val="-3.2688442211055492E-3"/>
                </c:manualLayout>
              </c:layout>
              <c:dLblPos val="outEnd"/>
              <c:showVal val="1"/>
            </c:dLbl>
            <c:dLbl>
              <c:idx val="1"/>
              <c:layout>
                <c:manualLayout>
                  <c:x val="2.9491192920945183E-3"/>
                  <c:y val="1.3151032942490228E-2"/>
                </c:manualLayout>
              </c:layout>
              <c:dLblPos val="outEnd"/>
              <c:showVal val="1"/>
            </c:dLbl>
            <c:dLbl>
              <c:idx val="2"/>
              <c:layout>
                <c:manualLayout>
                  <c:x val="-1.273958594206533E-2"/>
                  <c:y val="-1.3164262870978796E-2"/>
                </c:manualLayout>
              </c:layout>
              <c:dLblPos val="outEnd"/>
              <c:showVal val="1"/>
            </c:dLbl>
            <c:dLbl>
              <c:idx val="3"/>
              <c:layout>
                <c:manualLayout>
                  <c:x val="2.7635862759830057E-3"/>
                  <c:y val="1.6342825237297774E-2"/>
                </c:manualLayout>
              </c:layout>
              <c:dLblPos val="outEnd"/>
              <c:showVal val="1"/>
            </c:dLbl>
            <c:dLbl>
              <c:idx val="4"/>
              <c:layout>
                <c:manualLayout>
                  <c:x val="-9.8025711662075364E-4"/>
                  <c:y val="1.1156895589056397E-2"/>
                </c:manualLayout>
              </c:layout>
              <c:dLblPos val="outEnd"/>
              <c:showVal val="1"/>
            </c:dLbl>
            <c:dLbl>
              <c:idx val="5"/>
              <c:layout>
                <c:manualLayout>
                  <c:x val="5.9082561148677349E-3"/>
                  <c:y val="1.4122557230597568E-2"/>
                </c:manualLayout>
              </c:layout>
              <c:dLblPos val="outEnd"/>
              <c:showVal val="1"/>
            </c:dLbl>
            <c:dLbl>
              <c:idx val="6"/>
              <c:layout>
                <c:manualLayout>
                  <c:x val="-1.1662075298439127E-3"/>
                  <c:y val="-1.4379955332216639E-2"/>
                </c:manualLayout>
              </c:layout>
              <c:dLblPos val="outEnd"/>
              <c:showVal val="1"/>
            </c:dLbl>
            <c:dLbl>
              <c:idx val="7"/>
              <c:layout>
                <c:manualLayout>
                  <c:x val="2.3935637365389492E-3"/>
                  <c:y val="5.0770519262981571E-3"/>
                </c:manualLayout>
              </c:layout>
              <c:dLblPos val="outEnd"/>
              <c:showVal val="1"/>
            </c:dLbl>
            <c:dLbl>
              <c:idx val="8"/>
              <c:layout>
                <c:manualLayout>
                  <c:x val="-1.9200697419203185E-2"/>
                  <c:y val="1.7089140637802223E-2"/>
                </c:manualLayout>
              </c:layout>
              <c:dLblPos val="outEnd"/>
              <c:showVal val="1"/>
            </c:dLbl>
            <c:dLbl>
              <c:idx val="9"/>
              <c:layout>
                <c:manualLayout>
                  <c:x val="-9.0577260205359708E-3"/>
                  <c:y val="-3.4374651032942427E-3"/>
                </c:manualLayout>
              </c:layout>
              <c:dLblPos val="outEnd"/>
              <c:showVal val="1"/>
            </c:dLbl>
            <c:dLbl>
              <c:idx val="10"/>
              <c:layout>
                <c:manualLayout>
                  <c:x val="1.2384589698639509E-2"/>
                  <c:y val="1.1456448911222781E-2"/>
                </c:manualLayout>
              </c:layout>
              <c:dLblPos val="outEnd"/>
              <c:showVal val="1"/>
            </c:dLbl>
            <c:dLbl>
              <c:idx val="11"/>
              <c:layout>
                <c:manualLayout>
                  <c:x val="-1.9538412569204203E-3"/>
                  <c:y val="-6.8261119766446334E-3"/>
                </c:manualLayout>
              </c:layout>
              <c:dLblPos val="outEnd"/>
              <c:showVal val="1"/>
            </c:dLbl>
            <c:dLbl>
              <c:idx val="12"/>
              <c:layout>
                <c:manualLayout>
                  <c:x val="-1.2980594125535583E-2"/>
                  <c:y val="5.1485676589891503E-3"/>
                </c:manualLayout>
              </c:layout>
              <c:dLblPos val="outEnd"/>
              <c:showVal val="1"/>
            </c:dLbl>
            <c:dLbl>
              <c:idx val="13"/>
              <c:layout>
                <c:manualLayout>
                  <c:x val="5.3015241882041894E-3"/>
                  <c:y val="0"/>
                </c:manualLayout>
              </c:layout>
              <c:showVal val="1"/>
            </c:dLbl>
            <c:numFmt formatCode="#,##0.00;[Red]\-#,##0.00" sourceLinked="0"/>
            <c:spPr>
              <a:noFill/>
              <a:ln w="25400">
                <a:noFill/>
              </a:ln>
            </c:spPr>
            <c:txPr>
              <a:bodyPr/>
              <a:lstStyle/>
              <a:p>
                <a:pPr>
                  <a:defRPr sz="900" b="0" i="0" u="none" strike="noStrike" baseline="0">
                    <a:solidFill>
                      <a:srgbClr val="000000"/>
                    </a:solidFill>
                    <a:latin typeface="Arial"/>
                    <a:ea typeface="Arial"/>
                    <a:cs typeface="Arial"/>
                  </a:defRPr>
                </a:pPr>
                <a:endParaRPr lang="zh-CN"/>
              </a:p>
            </c:txPr>
            <c:showVal val="1"/>
          </c:dLbls>
          <c:cat>
            <c:numRef>
              <c:f>统计图表!$A$137:$A$144</c:f>
              <c:numCache>
                <c:formatCode>General</c:formatCode>
                <c:ptCount val="8"/>
                <c:pt idx="0">
                  <c:v>2007</c:v>
                </c:pt>
                <c:pt idx="1">
                  <c:v>2008</c:v>
                </c:pt>
                <c:pt idx="2">
                  <c:v>2009</c:v>
                </c:pt>
                <c:pt idx="3">
                  <c:v>2010</c:v>
                </c:pt>
                <c:pt idx="4">
                  <c:v>2011</c:v>
                </c:pt>
                <c:pt idx="5">
                  <c:v>2012</c:v>
                </c:pt>
                <c:pt idx="6">
                  <c:v>2013</c:v>
                </c:pt>
                <c:pt idx="7">
                  <c:v>2014</c:v>
                </c:pt>
              </c:numCache>
            </c:numRef>
          </c:cat>
          <c:val>
            <c:numRef>
              <c:f>统计图表!$B$137:$B$144</c:f>
              <c:numCache>
                <c:formatCode>#,##0.00;[Red]\-#,##0.00</c:formatCode>
                <c:ptCount val="8"/>
                <c:pt idx="0">
                  <c:v>672.93</c:v>
                </c:pt>
                <c:pt idx="1">
                  <c:v>1015.26</c:v>
                </c:pt>
                <c:pt idx="2">
                  <c:v>5778.99</c:v>
                </c:pt>
                <c:pt idx="3">
                  <c:v>6364.03</c:v>
                </c:pt>
                <c:pt idx="4">
                  <c:v>11967.66</c:v>
                </c:pt>
                <c:pt idx="5">
                  <c:v>5140.8100000000004</c:v>
                </c:pt>
                <c:pt idx="6">
                  <c:v>34659.67</c:v>
                </c:pt>
                <c:pt idx="7">
                  <c:v>68828.785722119006</c:v>
                </c:pt>
              </c:numCache>
            </c:numRef>
          </c:val>
        </c:ser>
        <c:dLbls>
          <c:showVal val="1"/>
        </c:dLbls>
        <c:axId val="121765248"/>
        <c:axId val="121816192"/>
      </c:barChart>
      <c:lineChart>
        <c:grouping val="standard"/>
        <c:ser>
          <c:idx val="0"/>
          <c:order val="1"/>
          <c:tx>
            <c:strRef>
              <c:f>统计图表!$C$136</c:f>
              <c:strCache>
                <c:ptCount val="1"/>
                <c:pt idx="0">
                  <c:v>案例数</c:v>
                </c:pt>
              </c:strCache>
            </c:strRef>
          </c:tx>
          <c:spPr>
            <a:ln w="38100">
              <a:solidFill>
                <a:srgbClr val="99CCFF"/>
              </a:solidFill>
              <a:prstDash val="solid"/>
            </a:ln>
          </c:spPr>
          <c:marker>
            <c:symbol val="circle"/>
            <c:size val="6"/>
            <c:spPr>
              <a:solidFill>
                <a:srgbClr val="FF0000"/>
              </a:solidFill>
              <a:ln>
                <a:solidFill>
                  <a:srgbClr val="FF0000"/>
                </a:solidFill>
                <a:prstDash val="solid"/>
              </a:ln>
            </c:spPr>
          </c:marker>
          <c:dLbls>
            <c:dLbl>
              <c:idx val="0"/>
              <c:layout>
                <c:manualLayout>
                  <c:x val="-3.4441940061775062E-2"/>
                  <c:y val="-6.2762981574539842E-2"/>
                </c:manualLayout>
              </c:layout>
              <c:dLblPos val="r"/>
              <c:showVal val="1"/>
            </c:dLbl>
            <c:dLbl>
              <c:idx val="1"/>
              <c:layout>
                <c:manualLayout>
                  <c:x val="-3.0974204858502382E-2"/>
                  <c:y val="-5.3190117252931678E-2"/>
                </c:manualLayout>
              </c:layout>
              <c:dLblPos val="r"/>
              <c:showVal val="1"/>
            </c:dLbl>
            <c:dLbl>
              <c:idx val="2"/>
              <c:layout>
                <c:manualLayout>
                  <c:x val="3.0810167793638402E-3"/>
                  <c:y val="-9.4634282523730386E-3"/>
                </c:manualLayout>
              </c:layout>
              <c:dLblPos val="r"/>
              <c:showVal val="1"/>
            </c:dLbl>
            <c:dLbl>
              <c:idx val="3"/>
              <c:layout>
                <c:manualLayout>
                  <c:x val="-3.8317680941647787E-2"/>
                  <c:y val="-6.7864715638317974E-2"/>
                </c:manualLayout>
              </c:layout>
              <c:spPr>
                <a:solidFill>
                  <a:sysClr val="window" lastClr="FFFFFF"/>
                </a:solidFill>
                <a:ln w="25400">
                  <a:noFill/>
                </a:ln>
              </c:spPr>
              <c:txPr>
                <a:bodyPr/>
                <a:lstStyle/>
                <a:p>
                  <a:pPr>
                    <a:defRPr sz="900" b="0" i="0" u="none" strike="noStrike" baseline="0">
                      <a:solidFill>
                        <a:srgbClr val="000000"/>
                      </a:solidFill>
                      <a:latin typeface="Arial"/>
                      <a:ea typeface="Arial"/>
                      <a:cs typeface="Arial"/>
                    </a:defRPr>
                  </a:pPr>
                  <a:endParaRPr lang="zh-CN"/>
                </a:p>
              </c:txPr>
              <c:dLblPos val="r"/>
              <c:showVal val="1"/>
            </c:dLbl>
            <c:dLbl>
              <c:idx val="4"/>
              <c:layout>
                <c:manualLayout>
                  <c:x val="-4.0178645963769723E-2"/>
                  <c:y val="6.0116585840349145E-2"/>
                </c:manualLayout>
              </c:layout>
              <c:spPr>
                <a:solidFill>
                  <a:sysClr val="window" lastClr="FFFFFF"/>
                </a:solidFill>
                <a:ln w="25400">
                  <a:noFill/>
                </a:ln>
              </c:spPr>
              <c:txPr>
                <a:bodyPr/>
                <a:lstStyle/>
                <a:p>
                  <a:pPr>
                    <a:defRPr sz="900" b="0" i="0" u="none" strike="noStrike" baseline="0">
                      <a:solidFill>
                        <a:srgbClr val="000000"/>
                      </a:solidFill>
                      <a:latin typeface="Arial"/>
                      <a:ea typeface="Arial"/>
                      <a:cs typeface="Arial"/>
                    </a:defRPr>
                  </a:pPr>
                  <a:endParaRPr lang="zh-CN"/>
                </a:p>
              </c:txPr>
              <c:dLblPos val="r"/>
              <c:showVal val="1"/>
            </c:dLbl>
            <c:dLbl>
              <c:idx val="5"/>
              <c:layout>
                <c:manualLayout>
                  <c:x val="-3.4625177393772445E-2"/>
                  <c:y val="-3.3012004466778336E-2"/>
                </c:manualLayout>
              </c:layout>
              <c:dLblPos val="r"/>
              <c:showVal val="1"/>
            </c:dLbl>
            <c:dLbl>
              <c:idx val="6"/>
              <c:layout>
                <c:manualLayout>
                  <c:x val="-5.7552800734619004E-3"/>
                  <c:y val="2.1190396426577482E-2"/>
                </c:manualLayout>
              </c:layout>
              <c:dLblPos val="r"/>
              <c:showVal val="1"/>
            </c:dLbl>
            <c:dLbl>
              <c:idx val="7"/>
              <c:layout>
                <c:manualLayout>
                  <c:x val="-3.3433299941564402E-2"/>
                  <c:y val="7.5827822448022733E-2"/>
                </c:manualLayout>
              </c:layout>
              <c:spPr>
                <a:solidFill>
                  <a:sysClr val="window" lastClr="FFFFFF"/>
                </a:solidFill>
                <a:ln w="25400">
                  <a:noFill/>
                </a:ln>
              </c:spPr>
              <c:txPr>
                <a:bodyPr/>
                <a:lstStyle/>
                <a:p>
                  <a:pPr>
                    <a:defRPr sz="900" b="0" i="0" u="none" strike="noStrike" baseline="0">
                      <a:solidFill>
                        <a:srgbClr val="000000"/>
                      </a:solidFill>
                      <a:latin typeface="Arial"/>
                      <a:ea typeface="Arial"/>
                      <a:cs typeface="Arial"/>
                    </a:defRPr>
                  </a:pPr>
                  <a:endParaRPr lang="zh-CN"/>
                </a:p>
              </c:txPr>
              <c:dLblPos val="r"/>
              <c:showVal val="1"/>
            </c:dLbl>
            <c:dLbl>
              <c:idx val="8"/>
              <c:layout>
                <c:manualLayout>
                  <c:x val="-4.5186993906002532E-2"/>
                  <c:y val="-2.3957286432160798E-2"/>
                </c:manualLayout>
              </c:layout>
              <c:dLblPos val="r"/>
              <c:showVal val="1"/>
            </c:dLbl>
            <c:dLbl>
              <c:idx val="9"/>
              <c:layout>
                <c:manualLayout>
                  <c:x val="-8.6627431338175048E-2"/>
                  <c:y val="-2.2292573981016212E-2"/>
                </c:manualLayout>
              </c:layout>
              <c:dLblPos val="r"/>
              <c:showVal val="1"/>
            </c:dLbl>
            <c:dLbl>
              <c:idx val="10"/>
              <c:layout>
                <c:manualLayout>
                  <c:x val="-3.1391393271558592E-2"/>
                  <c:y val="-2.7103852596315096E-2"/>
                </c:manualLayout>
              </c:layout>
              <c:dLblPos val="r"/>
              <c:showVal val="1"/>
            </c:dLbl>
            <c:dLbl>
              <c:idx val="11"/>
              <c:layout>
                <c:manualLayout>
                  <c:x val="-4.5068382356777972E-2"/>
                  <c:y val="4.2467753028197823E-2"/>
                </c:manualLayout>
              </c:layout>
              <c:dLblPos val="r"/>
              <c:showVal val="1"/>
            </c:dLbl>
            <c:dLbl>
              <c:idx val="12"/>
              <c:layout>
                <c:manualLayout>
                  <c:x val="-7.2662607034956486E-2"/>
                  <c:y val="-2.2991283843530226E-2"/>
                </c:manualLayout>
              </c:layout>
              <c:dLblPos val="r"/>
              <c:showVal val="1"/>
            </c:dLbl>
            <c:spPr>
              <a:noFill/>
              <a:ln w="25400">
                <a:noFill/>
              </a:ln>
            </c:spPr>
            <c:txPr>
              <a:bodyPr/>
              <a:lstStyle/>
              <a:p>
                <a:pPr>
                  <a:defRPr sz="900" b="0" i="0" u="none" strike="noStrike" baseline="0">
                    <a:solidFill>
                      <a:srgbClr val="000000"/>
                    </a:solidFill>
                    <a:latin typeface="Arial"/>
                    <a:ea typeface="Arial"/>
                    <a:cs typeface="Arial"/>
                  </a:defRPr>
                </a:pPr>
                <a:endParaRPr lang="zh-CN"/>
              </a:p>
            </c:txPr>
            <c:dLblPos val="t"/>
            <c:showVal val="1"/>
          </c:dLbls>
          <c:cat>
            <c:numRef>
              <c:f>统计图表!$A$137:$A$144</c:f>
              <c:numCache>
                <c:formatCode>General</c:formatCode>
                <c:ptCount val="8"/>
                <c:pt idx="0">
                  <c:v>2007</c:v>
                </c:pt>
                <c:pt idx="1">
                  <c:v>2008</c:v>
                </c:pt>
                <c:pt idx="2">
                  <c:v>2009</c:v>
                </c:pt>
                <c:pt idx="3">
                  <c:v>2010</c:v>
                </c:pt>
                <c:pt idx="4">
                  <c:v>2011</c:v>
                </c:pt>
                <c:pt idx="5">
                  <c:v>2012</c:v>
                </c:pt>
                <c:pt idx="6">
                  <c:v>2013</c:v>
                </c:pt>
                <c:pt idx="7">
                  <c:v>2014</c:v>
                </c:pt>
              </c:numCache>
            </c:numRef>
          </c:cat>
          <c:val>
            <c:numRef>
              <c:f>统计图表!$C$137:$C$144</c:f>
              <c:numCache>
                <c:formatCode>General</c:formatCode>
                <c:ptCount val="8"/>
                <c:pt idx="0">
                  <c:v>30</c:v>
                </c:pt>
                <c:pt idx="1">
                  <c:v>24</c:v>
                </c:pt>
                <c:pt idx="2">
                  <c:v>42</c:v>
                </c:pt>
                <c:pt idx="3">
                  <c:v>91</c:v>
                </c:pt>
                <c:pt idx="4">
                  <c:v>194</c:v>
                </c:pt>
                <c:pt idx="5">
                  <c:v>208</c:v>
                </c:pt>
                <c:pt idx="6">
                  <c:v>446</c:v>
                </c:pt>
                <c:pt idx="7">
                  <c:v>972</c:v>
                </c:pt>
              </c:numCache>
            </c:numRef>
          </c:val>
        </c:ser>
        <c:dLbls>
          <c:showVal val="1"/>
        </c:dLbls>
        <c:marker val="1"/>
        <c:axId val="121817728"/>
        <c:axId val="121827712"/>
      </c:lineChart>
      <c:catAx>
        <c:axId val="121765248"/>
        <c:scaling>
          <c:orientation val="minMax"/>
        </c:scaling>
        <c:axPos val="b"/>
        <c:numFmt formatCode="General" sourceLinked="1"/>
        <c:majorTickMark val="in"/>
        <c:tickLblPos val="nextTo"/>
        <c:spPr>
          <a:ln w="12700">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zh-CN"/>
          </a:p>
        </c:txPr>
        <c:crossAx val="121816192"/>
        <c:crosses val="autoZero"/>
        <c:lblAlgn val="ctr"/>
        <c:lblOffset val="100"/>
        <c:tickLblSkip val="1"/>
        <c:tickMarkSkip val="1"/>
      </c:catAx>
      <c:valAx>
        <c:axId val="121816192"/>
        <c:scaling>
          <c:orientation val="minMax"/>
        </c:scaling>
        <c:axPos val="l"/>
        <c:numFmt formatCode="#,##0.00_ " sourceLinked="0"/>
        <c:majorTickMark val="in"/>
        <c:tickLblPos val="nextTo"/>
        <c:spPr>
          <a:ln w="12700">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zh-CN"/>
          </a:p>
        </c:txPr>
        <c:crossAx val="121765248"/>
        <c:crosses val="autoZero"/>
        <c:crossBetween val="between"/>
      </c:valAx>
      <c:catAx>
        <c:axId val="121817728"/>
        <c:scaling>
          <c:orientation val="minMax"/>
        </c:scaling>
        <c:delete val="1"/>
        <c:axPos val="b"/>
        <c:numFmt formatCode="General" sourceLinked="1"/>
        <c:tickLblPos val="none"/>
        <c:crossAx val="121827712"/>
        <c:crosses val="autoZero"/>
        <c:lblAlgn val="ctr"/>
        <c:lblOffset val="100"/>
      </c:catAx>
      <c:valAx>
        <c:axId val="121827712"/>
        <c:scaling>
          <c:orientation val="minMax"/>
        </c:scaling>
        <c:axPos val="r"/>
        <c:numFmt formatCode="General" sourceLinked="1"/>
        <c:majorTickMark val="in"/>
        <c:tickLblPos val="nextTo"/>
        <c:spPr>
          <a:ln w="12700">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zh-CN"/>
          </a:p>
        </c:txPr>
        <c:crossAx val="121817728"/>
        <c:crosses val="max"/>
        <c:crossBetween val="between"/>
      </c:valAx>
      <c:spPr>
        <a:noFill/>
        <a:ln w="25400">
          <a:noFill/>
        </a:ln>
      </c:spPr>
    </c:plotArea>
    <c:legend>
      <c:legendPos val="b"/>
      <c:layout>
        <c:manualLayout>
          <c:xMode val="edge"/>
          <c:yMode val="edge"/>
          <c:x val="0.22067594433399587"/>
          <c:y val="0.81914999993506887"/>
          <c:w val="0.5248508946322068"/>
          <c:h val="7.7127759734146123E-2"/>
        </c:manualLayout>
      </c:layout>
      <c:spPr>
        <a:noFill/>
        <a:ln w="25400">
          <a:noFill/>
        </a:ln>
      </c:spPr>
      <c:txPr>
        <a:bodyPr/>
        <a:lstStyle/>
        <a:p>
          <a:pPr>
            <a:defRPr sz="900" b="1" i="0" u="none" strike="noStrike" baseline="0">
              <a:solidFill>
                <a:srgbClr val="000000"/>
              </a:solidFill>
              <a:latin typeface="Arial"/>
              <a:ea typeface="Arial"/>
              <a:cs typeface="Arial"/>
            </a:defRPr>
          </a:pPr>
          <a:endParaRPr lang="zh-CN"/>
        </a:p>
      </c:txPr>
    </c:legend>
    <c:plotVisOnly val="1"/>
    <c:dispBlanksAs val="gap"/>
  </c:chart>
  <c:spPr>
    <a:noFill/>
    <a:ln w="3175">
      <a:solidFill>
        <a:srgbClr val="000000"/>
      </a:solidFill>
      <a:prstDash val="solid"/>
    </a:ln>
  </c:spPr>
  <c:txPr>
    <a:bodyPr/>
    <a:lstStyle/>
    <a:p>
      <a:pPr>
        <a:defRPr sz="900" b="0" i="0" u="none" strike="noStrike" baseline="0">
          <a:solidFill>
            <a:srgbClr val="000000"/>
          </a:solidFill>
          <a:latin typeface="Arial"/>
          <a:ea typeface="Arial"/>
          <a:cs typeface="Arial"/>
        </a:defRPr>
      </a:pPr>
      <a:endParaRPr lang="zh-CN"/>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0.01979</cdr:x>
      <cdr:y>0.92199</cdr:y>
    </cdr:from>
    <cdr:to>
      <cdr:x>0.9899</cdr:x>
      <cdr:y>1</cdr:y>
    </cdr:to>
    <cdr:grpSp>
      <cdr:nvGrpSpPr>
        <cdr:cNvPr id="4097" name="Group 1"/>
        <cdr:cNvGrpSpPr>
          <a:grpSpLocks xmlns:a="http://schemas.openxmlformats.org/drawingml/2006/main"/>
        </cdr:cNvGrpSpPr>
      </cdr:nvGrpSpPr>
      <cdr:grpSpPr bwMode="auto">
        <a:xfrm xmlns:a="http://schemas.openxmlformats.org/drawingml/2006/main">
          <a:off x="94826" y="3302568"/>
          <a:ext cx="4648379" cy="279432"/>
          <a:chOff x="307" y="439"/>
          <a:chExt cx="490" cy="25"/>
        </a:xfrm>
      </cdr:grpSpPr>
      <cdr:sp macro="" textlink="">
        <cdr:nvSpPr>
          <cdr:cNvPr id="4098" name="Rectangle 2"/>
          <cdr:cNvSpPr>
            <a:spLocks xmlns:a="http://schemas.openxmlformats.org/drawingml/2006/main" noChangeArrowheads="1"/>
          </cdr:cNvSpPr>
        </cdr:nvSpPr>
        <cdr:spPr bwMode="auto">
          <a:xfrm xmlns:a="http://schemas.openxmlformats.org/drawingml/2006/main">
            <a:off x="310" y="444"/>
            <a:ext cx="487" cy="2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18288" rIns="0" bIns="18288" anchor="ctr" upright="1"/>
          <a:lstStyle xmlns:a="http://schemas.openxmlformats.org/drawingml/2006/main"/>
          <a:p xmlns:a="http://schemas.openxmlformats.org/drawingml/2006/main">
            <a:pPr algn="l" rtl="0">
              <a:defRPr sz="1000"/>
            </a:pPr>
            <a:r>
              <a:rPr lang="zh-CN" altLang="en-US" sz="900" b="0" i="0" strike="noStrike">
                <a:solidFill>
                  <a:srgbClr val="000000"/>
                </a:solidFill>
                <a:latin typeface="Arial" panose="020B0604020202020204" pitchFamily="34" charset="0"/>
                <a:ea typeface="宋体"/>
                <a:cs typeface="Arial" panose="020B0604020202020204" pitchFamily="34" charset="0"/>
              </a:rPr>
              <a:t>来源：私募通</a:t>
            </a:r>
            <a:r>
              <a:rPr lang="zh-CN" altLang="en-US" sz="900" b="0" i="0" strike="noStrike">
                <a:solidFill>
                  <a:srgbClr val="000000"/>
                </a:solidFill>
                <a:latin typeface="Arial" panose="020B0604020202020204" pitchFamily="34" charset="0"/>
                <a:cs typeface="Arial" panose="020B0604020202020204" pitchFamily="34" charset="0"/>
              </a:rPr>
              <a:t> </a:t>
            </a:r>
            <a:r>
              <a:rPr lang="en-US" altLang="zh-CN" sz="1000">
                <a:effectLst/>
                <a:latin typeface="Arial" panose="020B0604020202020204" pitchFamily="34" charset="0"/>
                <a:ea typeface="+mn-ea"/>
                <a:cs typeface="Arial" panose="020B0604020202020204" pitchFamily="34" charset="0"/>
              </a:rPr>
              <a:t>2015.01</a:t>
            </a:r>
            <a:r>
              <a:rPr lang="en-US" altLang="zh-CN" sz="900" b="0" i="0" strike="noStrike">
                <a:solidFill>
                  <a:srgbClr val="000000"/>
                </a:solidFill>
                <a:latin typeface="Arial" panose="020B0604020202020204" pitchFamily="34" charset="0"/>
                <a:cs typeface="Arial" panose="020B0604020202020204" pitchFamily="34" charset="0"/>
              </a:rPr>
              <a:t>                                                                                 www.pedata.cn         </a:t>
            </a:r>
          </a:p>
        </cdr:txBody>
      </cdr:sp>
      <cdr:grpSp>
        <cdr:nvGrpSpPr>
          <cdr:cNvPr id="4099" name="Group 3"/>
          <cdr:cNvGrpSpPr>
            <a:grpSpLocks xmlns:a="http://schemas.openxmlformats.org/drawingml/2006/main"/>
          </cdr:cNvGrpSpPr>
        </cdr:nvGrpSpPr>
        <cdr:grpSpPr bwMode="auto">
          <a:xfrm xmlns:a="http://schemas.openxmlformats.org/drawingml/2006/main">
            <a:off x="307" y="439"/>
            <a:ext cx="490" cy="0"/>
            <a:chOff x="1" y="480"/>
            <a:chExt cx="503" cy="0"/>
          </a:xfrm>
        </cdr:grpSpPr>
        <cdr:sp macro="" textlink="">
          <cdr:nvSpPr>
            <cdr:cNvPr id="4100" name="Line 4"/>
            <cdr:cNvSpPr>
              <a:spLocks xmlns:a="http://schemas.openxmlformats.org/drawingml/2006/main" noChangeShapeType="1"/>
            </cdr:cNvSpPr>
          </cdr:nvSpPr>
          <cdr:spPr bwMode="auto">
            <a:xfrm xmlns:a="http://schemas.openxmlformats.org/drawingml/2006/main">
              <a:off x="1" y="480"/>
              <a:ext cx="172" cy="0"/>
            </a:xfrm>
            <a:prstGeom xmlns:a="http://schemas.openxmlformats.org/drawingml/2006/main" prst="line">
              <a:avLst/>
            </a:prstGeom>
            <a:noFill xmlns:a="http://schemas.openxmlformats.org/drawingml/2006/main"/>
            <a:ln xmlns:a="http://schemas.openxmlformats.org/drawingml/2006/main" w="38100">
              <a:solidFill>
                <a:srgbClr val="000080"/>
              </a:solidFill>
              <a:round/>
              <a:headEnd/>
              <a:tailEnd/>
            </a:ln>
          </cdr:spPr>
        </cdr:sp>
        <cdr:sp macro="" textlink="">
          <cdr:nvSpPr>
            <cdr:cNvPr id="4101" name="Line 5"/>
            <cdr:cNvSpPr>
              <a:spLocks xmlns:a="http://schemas.openxmlformats.org/drawingml/2006/main" noChangeShapeType="1"/>
            </cdr:cNvSpPr>
          </cdr:nvSpPr>
          <cdr:spPr bwMode="auto">
            <a:xfrm xmlns:a="http://schemas.openxmlformats.org/drawingml/2006/main" flipV="1">
              <a:off x="173" y="480"/>
              <a:ext cx="331" cy="0"/>
            </a:xfrm>
            <a:prstGeom xmlns:a="http://schemas.openxmlformats.org/drawingml/2006/main" prst="line">
              <a:avLst/>
            </a:prstGeom>
            <a:noFill xmlns:a="http://schemas.openxmlformats.org/drawingml/2006/main"/>
            <a:ln xmlns:a="http://schemas.openxmlformats.org/drawingml/2006/main" w="38100">
              <a:solidFill>
                <a:srgbClr val="C0C0C0"/>
              </a:solidFill>
              <a:round/>
              <a:headEnd/>
              <a:tailEnd/>
            </a:ln>
          </cdr:spPr>
        </cdr:sp>
      </cdr:grpSp>
    </cdr:grpSp>
  </cdr:relSizeAnchor>
</c:userShapes>
</file>

<file path=word/drawings/drawing2.xml><?xml version="1.0" encoding="utf-8"?>
<c:userShapes xmlns:c="http://schemas.openxmlformats.org/drawingml/2006/chart">
  <cdr:relSizeAnchor xmlns:cdr="http://schemas.openxmlformats.org/drawingml/2006/chartDrawing">
    <cdr:from>
      <cdr:x>0.01988</cdr:x>
      <cdr:y>0.90753</cdr:y>
    </cdr:from>
    <cdr:to>
      <cdr:x>0.99197</cdr:x>
      <cdr:y>0.99154</cdr:y>
    </cdr:to>
    <cdr:grpSp>
      <cdr:nvGrpSpPr>
        <cdr:cNvPr id="7" name="组合 6"/>
        <cdr:cNvGrpSpPr/>
      </cdr:nvGrpSpPr>
      <cdr:grpSpPr>
        <a:xfrm xmlns:a="http://schemas.openxmlformats.org/drawingml/2006/main">
          <a:off x="95257" y="3268061"/>
          <a:ext cx="4657866" cy="302524"/>
          <a:chOff x="0" y="0"/>
          <a:chExt cx="4657355" cy="264988"/>
        </a:xfrm>
      </cdr:grpSpPr>
      <cdr:sp macro="" textlink="">
        <cdr:nvSpPr>
          <cdr:cNvPr id="8" name="Rectangle 2"/>
          <cdr:cNvSpPr>
            <a:spLocks xmlns:a="http://schemas.openxmlformats.org/drawingml/2006/main" noChangeArrowheads="1"/>
          </cdr:cNvSpPr>
        </cdr:nvSpPr>
        <cdr:spPr bwMode="auto">
          <a:xfrm xmlns:a="http://schemas.openxmlformats.org/drawingml/2006/main">
            <a:off x="28456" y="44165"/>
            <a:ext cx="4619413" cy="22082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27432" tIns="18288" rIns="0" bIns="18288" anchor="ctr" upright="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rtl="0">
              <a:defRPr sz="1000"/>
            </a:pPr>
            <a:r>
              <a:rPr lang="zh-CN" altLang="en-US" sz="900" b="0" i="0" strike="noStrike">
                <a:solidFill>
                  <a:srgbClr val="000000"/>
                </a:solidFill>
                <a:latin typeface="宋体"/>
                <a:ea typeface="宋体"/>
              </a:rPr>
              <a:t>来源：私募通</a:t>
            </a:r>
            <a:r>
              <a:rPr lang="zh-CN" altLang="en-US" sz="900" b="0" i="0" strike="noStrike">
                <a:solidFill>
                  <a:srgbClr val="000000"/>
                </a:solidFill>
                <a:latin typeface="Arial"/>
                <a:cs typeface="Arial"/>
              </a:rPr>
              <a:t> </a:t>
            </a:r>
            <a:r>
              <a:rPr lang="en-US" altLang="zh-CN" sz="900" b="0" i="0" strike="noStrike">
                <a:solidFill>
                  <a:srgbClr val="000000"/>
                </a:solidFill>
                <a:latin typeface="Arial"/>
                <a:cs typeface="Arial"/>
              </a:rPr>
              <a:t>2015.01                                                                                   www.pedata.cn         </a:t>
            </a:r>
          </a:p>
        </cdr:txBody>
      </cdr:sp>
      <cdr:sp macro="" textlink="">
        <cdr:nvSpPr>
          <cdr:cNvPr id="9" name="Line 4"/>
          <cdr:cNvSpPr>
            <a:spLocks xmlns:a="http://schemas.openxmlformats.org/drawingml/2006/main" noChangeShapeType="1"/>
          </cdr:cNvSpPr>
        </cdr:nvSpPr>
        <cdr:spPr bwMode="auto">
          <a:xfrm xmlns:a="http://schemas.openxmlformats.org/drawingml/2006/main">
            <a:off x="0" y="0"/>
            <a:ext cx="1592575" cy="0"/>
          </a:xfrm>
          <a:prstGeom xmlns:a="http://schemas.openxmlformats.org/drawingml/2006/main" prst="line">
            <a:avLst/>
          </a:prstGeom>
          <a:noFill xmlns:a="http://schemas.openxmlformats.org/drawingml/2006/main"/>
          <a:ln xmlns:a="http://schemas.openxmlformats.org/drawingml/2006/main" w="38100">
            <a:solidFill>
              <a:srgbClr val="000080"/>
            </a:solidFill>
            <a:round/>
            <a:headEnd/>
            <a:tailEnd/>
          </a:ln>
        </cdr:spPr>
      </cdr:sp>
      <cdr:sp macro="" textlink="">
        <cdr:nvSpPr>
          <cdr:cNvPr id="10" name="Line 5"/>
          <cdr:cNvSpPr>
            <a:spLocks xmlns:a="http://schemas.openxmlformats.org/drawingml/2006/main" noChangeShapeType="1"/>
          </cdr:cNvSpPr>
        </cdr:nvSpPr>
        <cdr:spPr bwMode="auto">
          <a:xfrm xmlns:a="http://schemas.openxmlformats.org/drawingml/2006/main" flipV="1">
            <a:off x="1592575" y="0"/>
            <a:ext cx="3064780" cy="0"/>
          </a:xfrm>
          <a:prstGeom xmlns:a="http://schemas.openxmlformats.org/drawingml/2006/main" prst="line">
            <a:avLst/>
          </a:prstGeom>
          <a:noFill xmlns:a="http://schemas.openxmlformats.org/drawingml/2006/main"/>
          <a:ln xmlns:a="http://schemas.openxmlformats.org/drawingml/2006/main" w="38100">
            <a:solidFill>
              <a:srgbClr val="C0C0C0"/>
            </a:solidFill>
            <a:round/>
            <a:headEnd/>
            <a:tailEnd/>
          </a:ln>
        </cdr:spPr>
      </cdr:sp>
    </cdr:grpSp>
  </cdr:relSizeAnchor>
</c:userShapes>
</file>

<file path=word/drawings/drawing3.xml><?xml version="1.0" encoding="utf-8"?>
<c:userShapes xmlns:c="http://schemas.openxmlformats.org/drawingml/2006/chart">
  <cdr:relSizeAnchor xmlns:cdr="http://schemas.openxmlformats.org/drawingml/2006/chartDrawing">
    <cdr:from>
      <cdr:x>0.00785</cdr:x>
      <cdr:y>0.90416</cdr:y>
    </cdr:from>
    <cdr:to>
      <cdr:x>0.9662</cdr:x>
      <cdr:y>0.99202</cdr:y>
    </cdr:to>
    <cdr:grpSp>
      <cdr:nvGrpSpPr>
        <cdr:cNvPr id="90113" name="组合 6"/>
        <cdr:cNvGrpSpPr>
          <a:grpSpLocks xmlns:a="http://schemas.openxmlformats.org/drawingml/2006/main"/>
        </cdr:cNvGrpSpPr>
      </cdr:nvGrpSpPr>
      <cdr:grpSpPr bwMode="auto">
        <a:xfrm xmlns:a="http://schemas.openxmlformats.org/drawingml/2006/main">
          <a:off x="37610" y="3255925"/>
          <a:ext cx="4591527" cy="316389"/>
          <a:chOff x="0" y="0"/>
          <a:chExt cx="4657355" cy="264988"/>
        </a:xfrm>
      </cdr:grpSpPr>
      <cdr:grpSp>
        <cdr:nvGrpSpPr>
          <cdr:cNvPr id="90114" name="组合 7"/>
          <cdr:cNvGrpSpPr>
            <a:grpSpLocks xmlns:a="http://schemas.openxmlformats.org/drawingml/2006/main"/>
          </cdr:cNvGrpSpPr>
        </cdr:nvGrpSpPr>
        <cdr:grpSpPr bwMode="auto">
          <a:xfrm xmlns:a="http://schemas.openxmlformats.org/drawingml/2006/main">
            <a:off x="0" y="0"/>
            <a:ext cx="4647869" cy="264988"/>
            <a:chOff x="0" y="0"/>
            <a:chExt cx="4647869" cy="264988"/>
          </a:xfrm>
        </cdr:grpSpPr>
        <cdr:sp macro="" textlink="">
          <cdr:nvSpPr>
            <cdr:cNvPr id="10" name="Rectangle 2"/>
            <cdr:cNvSpPr>
              <a:spLocks xmlns:a="http://schemas.openxmlformats.org/drawingml/2006/main" noChangeArrowheads="1"/>
            </cdr:cNvSpPr>
          </cdr:nvSpPr>
          <cdr:spPr bwMode="auto">
            <a:xfrm xmlns:a="http://schemas.openxmlformats.org/drawingml/2006/main">
              <a:off x="28456" y="44165"/>
              <a:ext cx="4619413" cy="22082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27432" tIns="18288" rIns="0" bIns="18288" anchor="ctr" upright="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rtl="0">
                <a:defRPr sz="1000"/>
              </a:pPr>
              <a:r>
                <a:rPr lang="zh-CN" altLang="en-US" sz="900" b="0" i="0" strike="noStrike">
                  <a:solidFill>
                    <a:srgbClr val="000000"/>
                  </a:solidFill>
                  <a:latin typeface="宋体"/>
                  <a:ea typeface="宋体"/>
                </a:rPr>
                <a:t>来源：私募通</a:t>
              </a:r>
              <a:r>
                <a:rPr lang="zh-CN" altLang="en-US" sz="900" b="0" i="0" strike="noStrike">
                  <a:solidFill>
                    <a:srgbClr val="000000"/>
                  </a:solidFill>
                  <a:latin typeface="Arial"/>
                  <a:cs typeface="Arial"/>
                </a:rPr>
                <a:t> </a:t>
              </a:r>
              <a:r>
                <a:rPr lang="en-US" altLang="zh-CN" sz="900" b="0" i="0" strike="noStrike">
                  <a:solidFill>
                    <a:srgbClr val="000000"/>
                  </a:solidFill>
                  <a:latin typeface="Arial"/>
                  <a:cs typeface="Arial"/>
                </a:rPr>
                <a:t>2015.01                                                                                  www.pedata.cn         </a:t>
              </a:r>
            </a:p>
          </cdr:txBody>
        </cdr:sp>
        <cdr:sp macro="" textlink="">
          <cdr:nvSpPr>
            <cdr:cNvPr id="11" name="Line 4"/>
            <cdr:cNvSpPr>
              <a:spLocks xmlns:a="http://schemas.openxmlformats.org/drawingml/2006/main" noChangeShapeType="1"/>
            </cdr:cNvSpPr>
          </cdr:nvSpPr>
          <cdr:spPr bwMode="auto">
            <a:xfrm xmlns:a="http://schemas.openxmlformats.org/drawingml/2006/main">
              <a:off x="0" y="0"/>
              <a:ext cx="1592575" cy="0"/>
            </a:xfrm>
            <a:prstGeom xmlns:a="http://schemas.openxmlformats.org/drawingml/2006/main" prst="line">
              <a:avLst/>
            </a:prstGeom>
            <a:noFill xmlns:a="http://schemas.openxmlformats.org/drawingml/2006/main"/>
            <a:ln xmlns:a="http://schemas.openxmlformats.org/drawingml/2006/main" w="38100">
              <a:solidFill>
                <a:srgbClr val="000080"/>
              </a:solidFill>
              <a:round/>
              <a:headEnd/>
              <a:tailEnd/>
            </a:ln>
          </cdr:spPr>
          <cdr:txBody>
            <a:bodyPr xmlns:a="http://schemas.openxmlformats.org/drawingml/2006/main"/>
            <a:lstStyle xmlns:a="http://schemas.openxmlformats.org/drawingml/2006/main"/>
            <a:p xmlns:a="http://schemas.openxmlformats.org/drawingml/2006/main">
              <a:endParaRPr lang="zh-CN" altLang="en-US"/>
            </a:p>
          </cdr:txBody>
        </cdr:sp>
      </cdr:grpSp>
      <cdr:sp macro="" textlink="">
        <cdr:nvSpPr>
          <cdr:cNvPr id="9" name="Line 5"/>
          <cdr:cNvSpPr>
            <a:spLocks xmlns:a="http://schemas.openxmlformats.org/drawingml/2006/main" noChangeShapeType="1"/>
          </cdr:cNvSpPr>
        </cdr:nvSpPr>
        <cdr:spPr bwMode="auto">
          <a:xfrm xmlns:a="http://schemas.openxmlformats.org/drawingml/2006/main" flipV="1">
            <a:off x="1592575" y="0"/>
            <a:ext cx="3064780" cy="0"/>
          </a:xfrm>
          <a:prstGeom xmlns:a="http://schemas.openxmlformats.org/drawingml/2006/main" prst="line">
            <a:avLst/>
          </a:prstGeom>
          <a:noFill xmlns:a="http://schemas.openxmlformats.org/drawingml/2006/main"/>
          <a:ln xmlns:a="http://schemas.openxmlformats.org/drawingml/2006/main" w="38100">
            <a:solidFill>
              <a:srgbClr val="C0C0C0"/>
            </a:solidFill>
            <a:round/>
            <a:headEnd/>
            <a:tailEnd/>
          </a:ln>
        </cdr:spPr>
        <cdr:txBody>
          <a:bodyPr xmlns:a="http://schemas.openxmlformats.org/drawingml/2006/main"/>
          <a:lstStyle xmlns:a="http://schemas.openxmlformats.org/drawingml/2006/main"/>
          <a:p xmlns:a="http://schemas.openxmlformats.org/drawingml/2006/main">
            <a:endParaRPr lang="zh-CN" altLang="en-US"/>
          </a:p>
        </cdr:txBody>
      </cdr:sp>
    </cdr:grpSp>
  </cdr:relSizeAnchor>
</c:userShapes>
</file>

<file path=word/drawings/drawing4.xml><?xml version="1.0" encoding="utf-8"?>
<c:userShapes xmlns:c="http://schemas.openxmlformats.org/drawingml/2006/chart">
  <cdr:relSizeAnchor xmlns:cdr="http://schemas.openxmlformats.org/drawingml/2006/chartDrawing">
    <cdr:from>
      <cdr:x>0.00785</cdr:x>
      <cdr:y>0.90156</cdr:y>
    </cdr:from>
    <cdr:to>
      <cdr:x>0.9662</cdr:x>
      <cdr:y>0.98942</cdr:y>
    </cdr:to>
    <cdr:grpSp>
      <cdr:nvGrpSpPr>
        <cdr:cNvPr id="90113" name="组合 6"/>
        <cdr:cNvGrpSpPr>
          <a:grpSpLocks xmlns:a="http://schemas.openxmlformats.org/drawingml/2006/main"/>
        </cdr:cNvGrpSpPr>
      </cdr:nvGrpSpPr>
      <cdr:grpSpPr bwMode="auto">
        <a:xfrm xmlns:a="http://schemas.openxmlformats.org/drawingml/2006/main">
          <a:off x="37610" y="3255150"/>
          <a:ext cx="4591527" cy="317225"/>
          <a:chOff x="0" y="0"/>
          <a:chExt cx="4657355" cy="264988"/>
        </a:xfrm>
      </cdr:grpSpPr>
      <cdr:grpSp>
        <cdr:nvGrpSpPr>
          <cdr:cNvPr id="90114" name="组合 7"/>
          <cdr:cNvGrpSpPr>
            <a:grpSpLocks xmlns:a="http://schemas.openxmlformats.org/drawingml/2006/main"/>
          </cdr:cNvGrpSpPr>
        </cdr:nvGrpSpPr>
        <cdr:grpSpPr bwMode="auto">
          <a:xfrm xmlns:a="http://schemas.openxmlformats.org/drawingml/2006/main">
            <a:off x="0" y="0"/>
            <a:ext cx="4647869" cy="264988"/>
            <a:chOff x="0" y="0"/>
            <a:chExt cx="4647869" cy="264988"/>
          </a:xfrm>
        </cdr:grpSpPr>
        <cdr:sp macro="" textlink="">
          <cdr:nvSpPr>
            <cdr:cNvPr id="10" name="Rectangle 2"/>
            <cdr:cNvSpPr>
              <a:spLocks xmlns:a="http://schemas.openxmlformats.org/drawingml/2006/main" noChangeArrowheads="1"/>
            </cdr:cNvSpPr>
          </cdr:nvSpPr>
          <cdr:spPr bwMode="auto">
            <a:xfrm xmlns:a="http://schemas.openxmlformats.org/drawingml/2006/main">
              <a:off x="28456" y="44165"/>
              <a:ext cx="4619413" cy="22082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27432" tIns="18288" rIns="0" bIns="18288" anchor="ctr" upright="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rtl="0">
                <a:defRPr sz="1000"/>
              </a:pPr>
              <a:r>
                <a:rPr lang="zh-CN" altLang="en-US" sz="900" b="0" i="0" strike="noStrike">
                  <a:solidFill>
                    <a:srgbClr val="000000"/>
                  </a:solidFill>
                  <a:latin typeface="宋体"/>
                  <a:ea typeface="宋体"/>
                </a:rPr>
                <a:t>来源：私募通</a:t>
              </a:r>
              <a:r>
                <a:rPr lang="zh-CN" altLang="en-US" sz="900" b="0" i="0" strike="noStrike">
                  <a:solidFill>
                    <a:srgbClr val="000000"/>
                  </a:solidFill>
                  <a:latin typeface="Arial"/>
                  <a:cs typeface="Arial"/>
                </a:rPr>
                <a:t> </a:t>
              </a:r>
              <a:r>
                <a:rPr lang="en-US" altLang="zh-CN" sz="900" b="0" i="0" strike="noStrike">
                  <a:solidFill>
                    <a:srgbClr val="000000"/>
                  </a:solidFill>
                  <a:latin typeface="Arial"/>
                  <a:cs typeface="Arial"/>
                </a:rPr>
                <a:t>2015.01                                                                                  www.pedata.cn         </a:t>
              </a:r>
            </a:p>
          </cdr:txBody>
        </cdr:sp>
        <cdr:sp macro="" textlink="">
          <cdr:nvSpPr>
            <cdr:cNvPr id="11" name="Line 4"/>
            <cdr:cNvSpPr>
              <a:spLocks xmlns:a="http://schemas.openxmlformats.org/drawingml/2006/main" noChangeShapeType="1"/>
            </cdr:cNvSpPr>
          </cdr:nvSpPr>
          <cdr:spPr bwMode="auto">
            <a:xfrm xmlns:a="http://schemas.openxmlformats.org/drawingml/2006/main">
              <a:off x="0" y="0"/>
              <a:ext cx="1592575" cy="0"/>
            </a:xfrm>
            <a:prstGeom xmlns:a="http://schemas.openxmlformats.org/drawingml/2006/main" prst="line">
              <a:avLst/>
            </a:prstGeom>
            <a:noFill xmlns:a="http://schemas.openxmlformats.org/drawingml/2006/main"/>
            <a:ln xmlns:a="http://schemas.openxmlformats.org/drawingml/2006/main" w="38100">
              <a:solidFill>
                <a:srgbClr val="000080"/>
              </a:solidFill>
              <a:round/>
              <a:headEnd/>
              <a:tailEnd/>
            </a:ln>
          </cdr:spPr>
          <cdr:txBody>
            <a:bodyPr xmlns:a="http://schemas.openxmlformats.org/drawingml/2006/main"/>
            <a:lstStyle xmlns:a="http://schemas.openxmlformats.org/drawingml/2006/main"/>
            <a:p xmlns:a="http://schemas.openxmlformats.org/drawingml/2006/main">
              <a:endParaRPr lang="zh-CN" altLang="en-US"/>
            </a:p>
          </cdr:txBody>
        </cdr:sp>
      </cdr:grpSp>
      <cdr:sp macro="" textlink="">
        <cdr:nvSpPr>
          <cdr:cNvPr id="9" name="Line 5"/>
          <cdr:cNvSpPr>
            <a:spLocks xmlns:a="http://schemas.openxmlformats.org/drawingml/2006/main" noChangeShapeType="1"/>
          </cdr:cNvSpPr>
        </cdr:nvSpPr>
        <cdr:spPr bwMode="auto">
          <a:xfrm xmlns:a="http://schemas.openxmlformats.org/drawingml/2006/main" flipV="1">
            <a:off x="1592575" y="0"/>
            <a:ext cx="3064780" cy="0"/>
          </a:xfrm>
          <a:prstGeom xmlns:a="http://schemas.openxmlformats.org/drawingml/2006/main" prst="line">
            <a:avLst/>
          </a:prstGeom>
          <a:noFill xmlns:a="http://schemas.openxmlformats.org/drawingml/2006/main"/>
          <a:ln xmlns:a="http://schemas.openxmlformats.org/drawingml/2006/main" w="38100">
            <a:solidFill>
              <a:srgbClr val="C0C0C0"/>
            </a:solidFill>
            <a:round/>
            <a:headEnd/>
            <a:tailEnd/>
          </a:ln>
        </cdr:spPr>
        <cdr:txBody>
          <a:bodyPr xmlns:a="http://schemas.openxmlformats.org/drawingml/2006/main"/>
          <a:lstStyle xmlns:a="http://schemas.openxmlformats.org/drawingml/2006/main"/>
          <a:p xmlns:a="http://schemas.openxmlformats.org/drawingml/2006/main">
            <a:endParaRPr lang="zh-CN" altLang="en-US"/>
          </a:p>
        </cdr:txBody>
      </cdr:sp>
    </cdr:grpSp>
  </cdr:relSizeAnchor>
</c:userShapes>
</file>

<file path=word/drawings/drawing5.xml><?xml version="1.0" encoding="utf-8"?>
<c:userShapes xmlns:c="http://schemas.openxmlformats.org/drawingml/2006/chart">
  <cdr:relSizeAnchor xmlns:cdr="http://schemas.openxmlformats.org/drawingml/2006/chartDrawing">
    <cdr:from>
      <cdr:x>0.0159</cdr:x>
      <cdr:y>0.91493</cdr:y>
    </cdr:from>
    <cdr:to>
      <cdr:x>0.98799</cdr:x>
      <cdr:y>0.9862</cdr:y>
    </cdr:to>
    <cdr:grpSp>
      <cdr:nvGrpSpPr>
        <cdr:cNvPr id="7" name="组合 6"/>
        <cdr:cNvGrpSpPr/>
      </cdr:nvGrpSpPr>
      <cdr:grpSpPr>
        <a:xfrm xmlns:a="http://schemas.openxmlformats.org/drawingml/2006/main">
          <a:off x="76186" y="3268565"/>
          <a:ext cx="4657867" cy="254610"/>
          <a:chOff x="0" y="0"/>
          <a:chExt cx="4657355" cy="264988"/>
        </a:xfrm>
      </cdr:grpSpPr>
      <cdr:grpSp>
        <cdr:nvGrpSpPr>
          <cdr:cNvPr id="8" name="组合 7"/>
          <cdr:cNvGrpSpPr/>
        </cdr:nvGrpSpPr>
        <cdr:grpSpPr>
          <a:xfrm xmlns:a="http://schemas.openxmlformats.org/drawingml/2006/main">
            <a:off x="0" y="0"/>
            <a:ext cx="4647869" cy="264988"/>
            <a:chOff x="0" y="0"/>
            <a:chExt cx="4647869" cy="264988"/>
          </a:xfrm>
        </cdr:grpSpPr>
        <cdr:sp macro="" textlink="">
          <cdr:nvSpPr>
            <cdr:cNvPr id="10" name="Rectangle 2"/>
            <cdr:cNvSpPr>
              <a:spLocks xmlns:a="http://schemas.openxmlformats.org/drawingml/2006/main" noChangeArrowheads="1"/>
            </cdr:cNvSpPr>
          </cdr:nvSpPr>
          <cdr:spPr bwMode="auto">
            <a:xfrm xmlns:a="http://schemas.openxmlformats.org/drawingml/2006/main">
              <a:off x="28456" y="44165"/>
              <a:ext cx="4619413" cy="22082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27432" tIns="18288" rIns="0" bIns="18288" anchor="ctr" upright="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rtl="0">
                <a:defRPr sz="1000"/>
              </a:pPr>
              <a:r>
                <a:rPr lang="zh-CN" altLang="en-US" sz="900" b="0" i="0" strike="noStrike">
                  <a:solidFill>
                    <a:srgbClr val="000000"/>
                  </a:solidFill>
                  <a:latin typeface="宋体"/>
                  <a:ea typeface="宋体"/>
                </a:rPr>
                <a:t>来源：私募通</a:t>
              </a:r>
              <a:r>
                <a:rPr lang="zh-CN" altLang="en-US" sz="900" b="0" i="0" strike="noStrike">
                  <a:solidFill>
                    <a:srgbClr val="000000"/>
                  </a:solidFill>
                  <a:latin typeface="Arial"/>
                  <a:cs typeface="Arial"/>
                </a:rPr>
                <a:t> </a:t>
              </a:r>
              <a:r>
                <a:rPr lang="en-US" altLang="zh-CN" sz="900" b="0" i="0" strike="noStrike">
                  <a:solidFill>
                    <a:srgbClr val="000000"/>
                  </a:solidFill>
                  <a:latin typeface="Arial"/>
                  <a:cs typeface="Arial"/>
                </a:rPr>
                <a:t>2015.01                                                                                 www.pedata.cn         </a:t>
              </a:r>
            </a:p>
          </cdr:txBody>
        </cdr:sp>
        <cdr:sp macro="" textlink="">
          <cdr:nvSpPr>
            <cdr:cNvPr id="11" name="Line 4"/>
            <cdr:cNvSpPr>
              <a:spLocks xmlns:a="http://schemas.openxmlformats.org/drawingml/2006/main" noChangeShapeType="1"/>
            </cdr:cNvSpPr>
          </cdr:nvSpPr>
          <cdr:spPr bwMode="auto">
            <a:xfrm xmlns:a="http://schemas.openxmlformats.org/drawingml/2006/main">
              <a:off x="0" y="0"/>
              <a:ext cx="1592575" cy="0"/>
            </a:xfrm>
            <a:prstGeom xmlns:a="http://schemas.openxmlformats.org/drawingml/2006/main" prst="line">
              <a:avLst/>
            </a:prstGeom>
            <a:noFill xmlns:a="http://schemas.openxmlformats.org/drawingml/2006/main"/>
            <a:ln xmlns:a="http://schemas.openxmlformats.org/drawingml/2006/main" w="38100">
              <a:solidFill>
                <a:srgbClr val="000080"/>
              </a:solidFill>
              <a:round/>
              <a:headEnd/>
              <a:tailEnd/>
            </a:ln>
          </cdr:spPr>
        </cdr:sp>
      </cdr:grpSp>
      <cdr:sp macro="" textlink="">
        <cdr:nvSpPr>
          <cdr:cNvPr id="9" name="Line 5"/>
          <cdr:cNvSpPr>
            <a:spLocks xmlns:a="http://schemas.openxmlformats.org/drawingml/2006/main" noChangeShapeType="1"/>
          </cdr:cNvSpPr>
        </cdr:nvSpPr>
        <cdr:spPr bwMode="auto">
          <a:xfrm xmlns:a="http://schemas.openxmlformats.org/drawingml/2006/main" flipV="1">
            <a:off x="1592575" y="0"/>
            <a:ext cx="3064780" cy="0"/>
          </a:xfrm>
          <a:prstGeom xmlns:a="http://schemas.openxmlformats.org/drawingml/2006/main" prst="line">
            <a:avLst/>
          </a:prstGeom>
          <a:noFill xmlns:a="http://schemas.openxmlformats.org/drawingml/2006/main"/>
          <a:ln xmlns:a="http://schemas.openxmlformats.org/drawingml/2006/main" w="38100">
            <a:solidFill>
              <a:srgbClr val="C0C0C0"/>
            </a:solidFill>
            <a:round/>
            <a:headEnd/>
            <a:tailEnd/>
          </a:ln>
        </cdr:spPr>
      </cdr:sp>
    </cdr:grp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3062</TotalTime>
  <Pages>9</Pages>
  <Words>1208</Words>
  <Characters>6889</Characters>
  <Application>Microsoft Office Word</Application>
  <DocSecurity>0</DocSecurity>
  <Lines>57</Lines>
  <Paragraphs>16</Paragraphs>
  <ScaleCrop>false</ScaleCrop>
  <Company>微软中国</Company>
  <LinksUpToDate>false</LinksUpToDate>
  <CharactersWithSpaces>8081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oliviacao</dc:creator>
  <cp:keywords/>
  <dc:description/>
  <cp:lastModifiedBy>guoshaolian</cp:lastModifiedBy>
  <cp:revision>69</cp:revision>
  <dcterms:created xsi:type="dcterms:W3CDTF">2014-01-02T01:56:00Z</dcterms:created>
  <dcterms:modified xsi:type="dcterms:W3CDTF">2015-01-20T08:46:00Z</dcterms:modified>
</cp:coreProperties>
</file>