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52" w:type="dxa"/>
        <w:tblLayout w:type="fixed"/>
        <w:tblLook w:val="0000"/>
      </w:tblPr>
      <w:tblGrid>
        <w:gridCol w:w="1275"/>
        <w:gridCol w:w="3585"/>
        <w:gridCol w:w="6480"/>
      </w:tblGrid>
      <w:tr w:rsidR="00A05A2C" w:rsidRPr="00481023">
        <w:trPr>
          <w:cantSplit/>
          <w:trHeight w:hRule="exact" w:val="23"/>
        </w:trPr>
        <w:tc>
          <w:tcPr>
            <w:tcW w:w="11340" w:type="dxa"/>
            <w:gridSpan w:val="3"/>
            <w:shd w:val="clear" w:color="auto" w:fill="auto"/>
            <w:vAlign w:val="center"/>
          </w:tcPr>
          <w:p w:rsidR="00A05A2C" w:rsidRPr="00481023" w:rsidRDefault="004051CE" w:rsidP="00180A67">
            <w:pPr>
              <w:rPr>
                <w:rFonts w:ascii="Arial" w:eastAsia="楷体_GB2312" w:hAnsi="Arial" w:cs="Arial"/>
                <w:bCs/>
                <w:color w:val="000000"/>
                <w:sz w:val="18"/>
                <w:szCs w:val="18"/>
              </w:rPr>
            </w:pPr>
            <w:r w:rsidRPr="00481023">
              <w:rPr>
                <w:rFonts w:ascii="Arial" w:eastAsia="楷体_GB2312" w:hAnsi="Arial" w:cs="Arial"/>
                <w:bCs/>
                <w:color w:val="000000"/>
                <w:sz w:val="18"/>
                <w:szCs w:val="18"/>
              </w:rPr>
              <w:t>[</w:t>
            </w:r>
            <w:proofErr w:type="spellStart"/>
            <w:r w:rsidRPr="00481023">
              <w:rPr>
                <w:rFonts w:ascii="Arial" w:eastAsia="楷体_GB2312" w:hAnsi="Arial" w:cs="Arial"/>
                <w:bCs/>
                <w:color w:val="000000"/>
                <w:sz w:val="18"/>
                <w:szCs w:val="18"/>
              </w:rPr>
              <w:t>Table_Ke</w:t>
            </w:r>
            <w:r w:rsidR="00A05A2C" w:rsidRPr="00481023">
              <w:rPr>
                <w:rFonts w:ascii="Arial" w:eastAsia="楷体_GB2312" w:hAnsi="Arial" w:cs="Arial"/>
                <w:bCs/>
                <w:color w:val="000000"/>
                <w:sz w:val="18"/>
                <w:szCs w:val="18"/>
              </w:rPr>
              <w:t>yInfo</w:t>
            </w:r>
            <w:proofErr w:type="spellEnd"/>
            <w:r w:rsidR="00A05A2C" w:rsidRPr="00481023">
              <w:rPr>
                <w:rFonts w:ascii="Arial" w:eastAsia="楷体_GB2312" w:hAnsi="Arial" w:cs="Arial"/>
                <w:bCs/>
                <w:color w:val="000000"/>
                <w:sz w:val="18"/>
                <w:szCs w:val="18"/>
              </w:rPr>
              <w:t>]</w:t>
            </w:r>
          </w:p>
        </w:tc>
      </w:tr>
      <w:tr w:rsidR="00A05A2C" w:rsidRPr="00481023">
        <w:trPr>
          <w:cantSplit/>
          <w:trHeight w:hRule="exact" w:val="737"/>
        </w:trPr>
        <w:tc>
          <w:tcPr>
            <w:tcW w:w="1275" w:type="dxa"/>
            <w:shd w:val="clear" w:color="auto" w:fill="002754"/>
            <w:vAlign w:val="center"/>
          </w:tcPr>
          <w:p w:rsidR="00A05A2C" w:rsidRPr="00481023" w:rsidRDefault="00A05A2C" w:rsidP="00180A67">
            <w:pPr>
              <w:rPr>
                <w:rFonts w:ascii="Arial" w:hAnsi="Arial" w:cs="Arial"/>
              </w:rPr>
            </w:pPr>
          </w:p>
        </w:tc>
        <w:tc>
          <w:tcPr>
            <w:tcW w:w="10065" w:type="dxa"/>
            <w:gridSpan w:val="2"/>
            <w:shd w:val="clear" w:color="auto" w:fill="002754"/>
            <w:vAlign w:val="center"/>
          </w:tcPr>
          <w:p w:rsidR="00A05A2C" w:rsidRPr="00481023" w:rsidRDefault="001F43ED" w:rsidP="00180A67">
            <w:pPr>
              <w:rPr>
                <w:rFonts w:ascii="Arial" w:hAnsi="Arial" w:cs="Arial"/>
                <w:color w:val="FFFFFF"/>
              </w:rPr>
            </w:pPr>
            <w:r>
              <w:rPr>
                <w:rFonts w:ascii="Arial" w:eastAsia="楷体_GB2312" w:cs="Arial" w:hint="eastAsia"/>
                <w:b/>
                <w:bCs/>
                <w:color w:val="FFFFFF"/>
                <w:sz w:val="30"/>
              </w:rPr>
              <w:t>证券研究报告—</w:t>
            </w:r>
            <w:r w:rsidR="009C3A39">
              <w:rPr>
                <w:rFonts w:ascii="Arial" w:eastAsia="楷体_GB2312" w:cs="Arial" w:hint="eastAsia"/>
                <w:b/>
                <w:bCs/>
                <w:color w:val="FFFFFF"/>
                <w:sz w:val="30"/>
              </w:rPr>
              <w:t>动态报告</w:t>
            </w:r>
            <w:r w:rsidR="009C3A39">
              <w:rPr>
                <w:rFonts w:ascii="Arial" w:eastAsia="楷体_GB2312" w:cs="Arial" w:hint="eastAsia"/>
                <w:b/>
                <w:bCs/>
                <w:color w:val="FFFFFF"/>
                <w:sz w:val="30"/>
              </w:rPr>
              <w:t>/</w:t>
            </w:r>
            <w:sdt>
              <w:sdtPr>
                <w:rPr>
                  <w:rFonts w:ascii="Arial" w:eastAsia="楷体_GB2312" w:cs="Arial" w:hint="eastAsia"/>
                  <w:b/>
                  <w:bCs/>
                  <w:color w:val="FFFFFF"/>
                  <w:sz w:val="30"/>
                </w:rPr>
                <w:alias w:val="报告类型"/>
                <w:tag w:val="GACONTENTCONTROL_e8d7abfb-f87d-4ba5-b512-7631b3c26735"/>
                <w:id w:val="51246763"/>
                <w:lock w:val="contentLocked"/>
                <w:placeholder>
                  <w:docPart w:val="59470467E7CD42A2BA53F61E1E254665"/>
                </w:placeholder>
              </w:sdtPr>
              <w:sdtContent>
                <w:r w:rsidR="0018022D">
                  <w:rPr>
                    <w:rFonts w:ascii="Arial" w:eastAsia="楷体_GB2312" w:cs="Arial" w:hint="eastAsia"/>
                    <w:b/>
                    <w:bCs/>
                    <w:color w:val="FFFFFF"/>
                    <w:sz w:val="30"/>
                  </w:rPr>
                  <w:t>公司快评</w:t>
                </w:r>
              </w:sdtContent>
            </w:sdt>
          </w:p>
        </w:tc>
      </w:tr>
      <w:tr w:rsidR="00A05A2C" w:rsidRPr="009D18CC" w:rsidTr="006A40D2">
        <w:trPr>
          <w:cantSplit/>
          <w:trHeight w:hRule="exact" w:val="510"/>
        </w:trPr>
        <w:tc>
          <w:tcPr>
            <w:tcW w:w="1275" w:type="dxa"/>
            <w:vMerge w:val="restart"/>
            <w:tcBorders>
              <w:bottom w:val="single" w:sz="48" w:space="0" w:color="97A9B9"/>
              <w:right w:val="single" w:sz="48" w:space="0" w:color="97A9B9"/>
            </w:tcBorders>
            <w:shd w:val="clear" w:color="auto" w:fill="97A9B9"/>
            <w:vAlign w:val="center"/>
          </w:tcPr>
          <w:p w:rsidR="00A05A2C" w:rsidRPr="009D18CC" w:rsidRDefault="00A05A2C" w:rsidP="00180A67">
            <w:pPr>
              <w:rPr>
                <w:rFonts w:ascii="Arial" w:hAnsi="Arial" w:cs="Arial"/>
                <w:color w:val="000000"/>
              </w:rPr>
            </w:pPr>
          </w:p>
        </w:tc>
        <w:tc>
          <w:tcPr>
            <w:tcW w:w="3585" w:type="dxa"/>
            <w:tcBorders>
              <w:left w:val="single" w:sz="48" w:space="0" w:color="97A9B9"/>
              <w:bottom w:val="single" w:sz="48" w:space="0" w:color="97A9B9"/>
              <w:right w:val="single" w:sz="24" w:space="0" w:color="97A9B9"/>
            </w:tcBorders>
            <w:vAlign w:val="center"/>
          </w:tcPr>
          <w:p w:rsidR="00A05A2C" w:rsidRPr="009D18CC" w:rsidRDefault="00547A2C" w:rsidP="00180A67">
            <w:pPr>
              <w:rPr>
                <w:rFonts w:ascii="Arial" w:eastAsia="楷体_GB2312" w:hAnsi="Arial" w:cs="Arial"/>
                <w:b/>
                <w:bCs/>
                <w:color w:val="000000"/>
                <w:sz w:val="24"/>
              </w:rPr>
            </w:pPr>
            <w:sdt>
              <w:sdtPr>
                <w:rPr>
                  <w:rFonts w:ascii="Arial" w:eastAsia="楷体_GB2312" w:hAnsi="Arial" w:cs="Arial" w:hint="eastAsia"/>
                  <w:b/>
                  <w:bCs/>
                  <w:color w:val="000000"/>
                  <w:sz w:val="24"/>
                </w:rPr>
                <w:alias w:val="国信一级行业"/>
                <w:tag w:val="GACONTENTCONTROL_f2a2ccf4-3222-4e41-842d-eefeacf95fcd"/>
                <w:id w:val="2107769643"/>
                <w:placeholder>
                  <w:docPart w:val="E596F49ABD984ADD89732CE40F28A778"/>
                </w:placeholder>
                <w:text w:multiLine="1"/>
              </w:sdtPr>
              <w:sdtContent>
                <w:r w:rsidR="0018022D">
                  <w:rPr>
                    <w:rFonts w:ascii="Arial" w:eastAsia="楷体_GB2312" w:hAnsi="Arial" w:cs="Arial" w:hint="eastAsia"/>
                    <w:b/>
                    <w:bCs/>
                    <w:color w:val="000000"/>
                    <w:sz w:val="24"/>
                  </w:rPr>
                  <w:t>信息技术</w:t>
                </w:r>
              </w:sdtContent>
            </w:sdt>
          </w:p>
        </w:tc>
        <w:tc>
          <w:tcPr>
            <w:tcW w:w="6480" w:type="dxa"/>
            <w:vMerge w:val="restart"/>
            <w:tcBorders>
              <w:left w:val="single" w:sz="24" w:space="0" w:color="97A9B9"/>
            </w:tcBorders>
            <w:vAlign w:val="center"/>
          </w:tcPr>
          <w:tbl>
            <w:tblPr>
              <w:tblW w:w="6308" w:type="dxa"/>
              <w:tblLayout w:type="fixed"/>
              <w:tblLook w:val="01E0"/>
            </w:tblPr>
            <w:tblGrid>
              <w:gridCol w:w="4752"/>
              <w:gridCol w:w="1556"/>
            </w:tblGrid>
            <w:tr w:rsidR="00A05A2C" w:rsidRPr="002121FC">
              <w:trPr>
                <w:trHeight w:hRule="exact" w:val="23"/>
              </w:trPr>
              <w:tc>
                <w:tcPr>
                  <w:tcW w:w="6308" w:type="dxa"/>
                  <w:gridSpan w:val="2"/>
                </w:tcPr>
                <w:p w:rsidR="00A05A2C" w:rsidRPr="002121FC" w:rsidRDefault="00A05A2C" w:rsidP="00180A67">
                  <w:pPr>
                    <w:rPr>
                      <w:rFonts w:ascii="Arial" w:eastAsia="黑体" w:hAnsi="Arial" w:cs="Arial"/>
                      <w:color w:val="000000"/>
                      <w:sz w:val="44"/>
                    </w:rPr>
                  </w:pPr>
                  <w:r w:rsidRPr="002121FC">
                    <w:rPr>
                      <w:rFonts w:ascii="Arial" w:eastAsia="黑体" w:hAnsi="Arial" w:cs="Arial"/>
                      <w:color w:val="000000"/>
                      <w:sz w:val="18"/>
                      <w:szCs w:val="18"/>
                    </w:rPr>
                    <w:t>[</w:t>
                  </w:r>
                  <w:proofErr w:type="spellStart"/>
                  <w:r w:rsidRPr="002121FC">
                    <w:rPr>
                      <w:rFonts w:ascii="Arial" w:eastAsia="黑体" w:hAnsi="Arial" w:cs="Arial"/>
                      <w:color w:val="000000"/>
                      <w:sz w:val="18"/>
                      <w:szCs w:val="18"/>
                    </w:rPr>
                    <w:t>Table_StockInfo</w:t>
                  </w:r>
                  <w:proofErr w:type="spellEnd"/>
                  <w:r w:rsidRPr="002121FC">
                    <w:rPr>
                      <w:rFonts w:ascii="Arial" w:eastAsia="黑体" w:hAnsi="Arial" w:cs="Arial"/>
                      <w:color w:val="000000"/>
                      <w:sz w:val="18"/>
                      <w:szCs w:val="18"/>
                    </w:rPr>
                    <w:t>]</w:t>
                  </w:r>
                </w:p>
              </w:tc>
            </w:tr>
            <w:tr w:rsidR="00A05A2C" w:rsidRPr="002121FC" w:rsidTr="006A40D2">
              <w:trPr>
                <w:trHeight w:hRule="exact" w:val="567"/>
              </w:trPr>
              <w:tc>
                <w:tcPr>
                  <w:tcW w:w="4752" w:type="dxa"/>
                  <w:vAlign w:val="center"/>
                </w:tcPr>
                <w:p w:rsidR="00A05A2C" w:rsidRPr="002121FC" w:rsidRDefault="00547A2C" w:rsidP="006F0EC4">
                  <w:pPr>
                    <w:rPr>
                      <w:rFonts w:ascii="Arial" w:eastAsia="楷体_GB2312" w:hAnsi="Arial" w:cs="Arial"/>
                      <w:b/>
                      <w:color w:val="000000"/>
                      <w:sz w:val="30"/>
                      <w:szCs w:val="30"/>
                    </w:rPr>
                  </w:pPr>
                  <w:sdt>
                    <w:sdtPr>
                      <w:rPr>
                        <w:rFonts w:ascii="Arial" w:eastAsia="楷体_GB2312" w:hAnsi="Arial" w:cs="Arial" w:hint="eastAsia"/>
                        <w:b/>
                        <w:color w:val="000000"/>
                        <w:sz w:val="30"/>
                        <w:szCs w:val="30"/>
                      </w:rPr>
                      <w:alias w:val="股票简称"/>
                      <w:tag w:val="GACONTENTCONTROL_f1844788-3cd8-4427-8470-5cfc19abad17"/>
                      <w:id w:val="-351736338"/>
                      <w:placeholder>
                        <w:docPart w:val="E33015260CD3444F9CA6FC02B0CC76C4"/>
                      </w:placeholder>
                      <w:text w:multiLine="1"/>
                    </w:sdtPr>
                    <w:sdtContent>
                      <w:r w:rsidR="0018022D">
                        <w:rPr>
                          <w:rFonts w:ascii="Arial" w:eastAsia="楷体_GB2312" w:hAnsi="Arial" w:cs="Arial" w:hint="eastAsia"/>
                          <w:b/>
                          <w:color w:val="000000"/>
                          <w:sz w:val="30"/>
                          <w:szCs w:val="30"/>
                        </w:rPr>
                        <w:t>中海达</w:t>
                      </w:r>
                    </w:sdtContent>
                  </w:sdt>
                  <w:r w:rsidR="00E810BF">
                    <w:rPr>
                      <w:rFonts w:ascii="Arial" w:eastAsia="楷体_GB2312" w:hAnsi="Arial" w:cs="Arial" w:hint="eastAsia"/>
                      <w:b/>
                      <w:color w:val="000000"/>
                      <w:sz w:val="30"/>
                      <w:szCs w:val="30"/>
                    </w:rPr>
                    <w:t>（</w:t>
                  </w:r>
                  <w:sdt>
                    <w:sdtPr>
                      <w:rPr>
                        <w:rFonts w:ascii="Arial" w:eastAsia="楷体_GB2312" w:hAnsi="Arial" w:cs="Arial" w:hint="eastAsia"/>
                        <w:b/>
                        <w:color w:val="000000"/>
                        <w:sz w:val="30"/>
                        <w:szCs w:val="30"/>
                      </w:rPr>
                      <w:alias w:val="股票代码"/>
                      <w:tag w:val="GACONTENTCONTROL_985f9c49-14c7-4933-9258-5b452d4ce9a6"/>
                      <w:id w:val="-2124062109"/>
                      <w:placeholder>
                        <w:docPart w:val="D9ACAA6B5E2B482694CF622731907E55"/>
                      </w:placeholder>
                      <w:text w:multiLine="1"/>
                    </w:sdtPr>
                    <w:sdtContent>
                      <w:r w:rsidR="0018022D">
                        <w:rPr>
                          <w:rFonts w:ascii="Arial" w:eastAsia="楷体_GB2312" w:hAnsi="Arial" w:cs="Arial"/>
                          <w:b/>
                          <w:color w:val="000000"/>
                          <w:sz w:val="30"/>
                          <w:szCs w:val="30"/>
                        </w:rPr>
                        <w:t>300177</w:t>
                      </w:r>
                    </w:sdtContent>
                  </w:sdt>
                  <w:r w:rsidR="00E810BF">
                    <w:rPr>
                      <w:rFonts w:ascii="Arial" w:eastAsia="楷体_GB2312" w:hAnsi="Arial" w:cs="Arial" w:hint="eastAsia"/>
                      <w:b/>
                      <w:color w:val="000000"/>
                      <w:sz w:val="30"/>
                      <w:szCs w:val="30"/>
                    </w:rPr>
                    <w:t>）</w:t>
                  </w:r>
                </w:p>
              </w:tc>
              <w:sdt>
                <w:sdtPr>
                  <w:rPr>
                    <w:rFonts w:ascii="Arial" w:eastAsia="楷体_GB2312" w:hAnsi="Arial" w:cs="Arial"/>
                    <w:b/>
                    <w:color w:val="000000"/>
                    <w:sz w:val="30"/>
                    <w:szCs w:val="30"/>
                  </w:rPr>
                  <w:alias w:val="公司评级"/>
                  <w:tag w:val="GACONTENTCONTROL_f3d6f896-dac5-4711-a3f5-f01bb5f7a004"/>
                  <w:id w:val="-1934193793"/>
                  <w:placeholder>
                    <w:docPart w:val="0A40D3118A0A438CA32D90A28B92D94A"/>
                  </w:placeholder>
                  <w:text w:multiLine="1"/>
                </w:sdtPr>
                <w:sdtContent>
                  <w:tc>
                    <w:tcPr>
                      <w:tcW w:w="1556" w:type="dxa"/>
                      <w:vAlign w:val="center"/>
                    </w:tcPr>
                    <w:p w:rsidR="00A05A2C" w:rsidRPr="002121FC" w:rsidRDefault="0018022D" w:rsidP="006F0EC4">
                      <w:pPr>
                        <w:jc w:val="right"/>
                        <w:rPr>
                          <w:rFonts w:ascii="Arial" w:eastAsia="楷体_GB2312" w:hAnsi="Arial" w:cs="Arial"/>
                          <w:b/>
                          <w:color w:val="000000"/>
                          <w:sz w:val="30"/>
                          <w:szCs w:val="30"/>
                        </w:rPr>
                      </w:pPr>
                      <w:r>
                        <w:rPr>
                          <w:rFonts w:ascii="Arial" w:eastAsia="楷体_GB2312" w:hAnsi="Arial" w:cs="Arial" w:hint="eastAsia"/>
                          <w:b/>
                          <w:color w:val="000000"/>
                          <w:sz w:val="30"/>
                          <w:szCs w:val="30"/>
                        </w:rPr>
                        <w:t>推荐</w:t>
                      </w:r>
                    </w:p>
                  </w:tc>
                </w:sdtContent>
              </w:sdt>
            </w:tr>
            <w:tr w:rsidR="006C14FE" w:rsidRPr="002121FC">
              <w:trPr>
                <w:trHeight w:hRule="exact" w:val="397"/>
              </w:trPr>
              <w:tc>
                <w:tcPr>
                  <w:tcW w:w="4752" w:type="dxa"/>
                  <w:tcMar>
                    <w:left w:w="0" w:type="dxa"/>
                    <w:right w:w="0" w:type="dxa"/>
                  </w:tcMar>
                  <w:vAlign w:val="center"/>
                </w:tcPr>
                <w:p w:rsidR="006C14FE" w:rsidRPr="002121FC" w:rsidRDefault="00547A2C" w:rsidP="00415724">
                  <w:pPr>
                    <w:spacing w:line="0" w:lineRule="atLeast"/>
                    <w:rPr>
                      <w:rFonts w:ascii="Arial" w:eastAsia="楷体_GB2312" w:hAnsi="Arial" w:cs="Arial"/>
                      <w:color w:val="000000"/>
                      <w:szCs w:val="21"/>
                    </w:rPr>
                  </w:pPr>
                  <w:sdt>
                    <w:sdtPr>
                      <w:rPr>
                        <w:rFonts w:ascii="Arial" w:eastAsia="楷体_GB2312" w:hAnsi="Arial" w:cs="Arial" w:hint="eastAsia"/>
                        <w:color w:val="000000"/>
                        <w:szCs w:val="21"/>
                      </w:rPr>
                      <w:alias w:val="副标题"/>
                      <w:tag w:val="GACONTENTCONTROL_a589975f-d984-4eec-87de-538be4af595a"/>
                      <w:id w:val="1397475587"/>
                      <w:lock w:val="contentLocked"/>
                      <w:placeholder>
                        <w:docPart w:val="C5157AC033C845FB982333BD9A2D0E61"/>
                      </w:placeholder>
                      <w:text w:multiLine="1"/>
                    </w:sdtPr>
                    <w:sdtContent>
                      <w:r w:rsidR="0018022D">
                        <w:rPr>
                          <w:rFonts w:ascii="Arial" w:eastAsia="楷体_GB2312" w:hAnsi="Arial" w:cs="Arial" w:hint="eastAsia"/>
                          <w:color w:val="000000"/>
                          <w:szCs w:val="21"/>
                        </w:rPr>
                        <w:t>重大事件快评</w:t>
                      </w:r>
                    </w:sdtContent>
                  </w:sdt>
                </w:p>
              </w:tc>
              <w:tc>
                <w:tcPr>
                  <w:tcW w:w="1556" w:type="dxa"/>
                </w:tcPr>
                <w:p w:rsidR="006C14FE" w:rsidRPr="002121FC" w:rsidRDefault="00547A2C" w:rsidP="002121FC">
                  <w:pPr>
                    <w:jc w:val="right"/>
                    <w:rPr>
                      <w:rFonts w:ascii="Arial" w:eastAsia="楷体_GB2312" w:hAnsi="Arial" w:cs="Arial"/>
                      <w:color w:val="000000"/>
                      <w:sz w:val="18"/>
                      <w:szCs w:val="18"/>
                    </w:rPr>
                  </w:pPr>
                  <w:sdt>
                    <w:sdtPr>
                      <w:rPr>
                        <w:rFonts w:ascii="Arial" w:eastAsia="楷体_GB2312" w:hAnsi="Arial" w:cs="Arial" w:hint="eastAsia"/>
                        <w:b/>
                        <w:bCs/>
                        <w:color w:val="FFFFFF" w:themeColor="background1"/>
                        <w:position w:val="4"/>
                        <w:sz w:val="18"/>
                        <w:szCs w:val="18"/>
                      </w:rPr>
                      <w:alias w:val="公司评级"/>
                      <w:tag w:val="GACONTENTCONTROL_a9e48181-f88e-49c8-8529-053383506040"/>
                      <w:id w:val="-1075890034"/>
                      <w:placeholder>
                        <w:docPart w:val="5C6064505E7247E4B0A8D2192641712E"/>
                      </w:placeholder>
                      <w:text w:multiLine="1"/>
                    </w:sdtPr>
                    <w:sdtContent>
                      <w:r w:rsidR="0018022D">
                        <w:rPr>
                          <w:rFonts w:ascii="Arial" w:eastAsia="楷体_GB2312" w:hAnsi="Arial" w:cs="Arial" w:hint="eastAsia"/>
                          <w:b/>
                          <w:bCs/>
                          <w:color w:val="FFFFFF" w:themeColor="background1"/>
                          <w:position w:val="4"/>
                          <w:sz w:val="18"/>
                          <w:szCs w:val="18"/>
                        </w:rPr>
                        <w:t>（首次评级）</w:t>
                      </w:r>
                    </w:sdtContent>
                  </w:sdt>
                </w:p>
              </w:tc>
            </w:tr>
          </w:tbl>
          <w:p w:rsidR="00A05A2C" w:rsidRPr="009D18CC" w:rsidRDefault="00A05A2C" w:rsidP="00180A67">
            <w:pPr>
              <w:jc w:val="center"/>
              <w:rPr>
                <w:rFonts w:ascii="Arial" w:eastAsia="黑体" w:hAnsi="Arial" w:cs="Arial"/>
                <w:color w:val="000000"/>
                <w:sz w:val="44"/>
              </w:rPr>
            </w:pPr>
          </w:p>
        </w:tc>
      </w:tr>
      <w:tr w:rsidR="00A05A2C" w:rsidRPr="009D18CC" w:rsidTr="006A40D2">
        <w:trPr>
          <w:cantSplit/>
          <w:trHeight w:hRule="exact" w:val="510"/>
        </w:trPr>
        <w:tc>
          <w:tcPr>
            <w:tcW w:w="1275" w:type="dxa"/>
            <w:vMerge/>
            <w:tcBorders>
              <w:top w:val="single" w:sz="48" w:space="0" w:color="97A9B9"/>
              <w:right w:val="single" w:sz="48" w:space="0" w:color="97A9B9"/>
            </w:tcBorders>
            <w:shd w:val="clear" w:color="auto" w:fill="97A9B9"/>
            <w:vAlign w:val="center"/>
          </w:tcPr>
          <w:p w:rsidR="00A05A2C" w:rsidRPr="009D18CC" w:rsidRDefault="00A05A2C" w:rsidP="00180A67">
            <w:pPr>
              <w:rPr>
                <w:rFonts w:ascii="Arial" w:hAnsi="Arial" w:cs="Arial"/>
                <w:color w:val="000000"/>
              </w:rPr>
            </w:pPr>
          </w:p>
        </w:tc>
        <w:tc>
          <w:tcPr>
            <w:tcW w:w="3585" w:type="dxa"/>
            <w:tcBorders>
              <w:top w:val="single" w:sz="48" w:space="0" w:color="97A9B9"/>
              <w:left w:val="single" w:sz="48" w:space="0" w:color="97A9B9"/>
              <w:right w:val="single" w:sz="24" w:space="0" w:color="97A9B9"/>
            </w:tcBorders>
            <w:vAlign w:val="center"/>
          </w:tcPr>
          <w:p w:rsidR="00A05A2C" w:rsidRPr="009D18CC" w:rsidRDefault="00547A2C" w:rsidP="00180A67">
            <w:pPr>
              <w:rPr>
                <w:rFonts w:ascii="Arial" w:eastAsia="楷体_GB2312" w:hAnsi="Arial" w:cs="Arial"/>
                <w:b/>
                <w:bCs/>
                <w:color w:val="000000"/>
                <w:sz w:val="24"/>
              </w:rPr>
            </w:pPr>
            <w:sdt>
              <w:sdtPr>
                <w:rPr>
                  <w:rFonts w:ascii="Arial" w:eastAsia="楷体_GB2312" w:hAnsi="Arial" w:cs="Arial" w:hint="eastAsia"/>
                  <w:b/>
                  <w:bCs/>
                  <w:color w:val="000000"/>
                  <w:sz w:val="24"/>
                </w:rPr>
                <w:alias w:val="国信二级行业"/>
                <w:tag w:val="GACONTENTCONTROL_0785ea5a-8af3-4761-86bf-cf044b396dbd"/>
                <w:id w:val="-183984191"/>
                <w:placeholder>
                  <w:docPart w:val="586995426D11480DBDA3B4FC4D52CF4F"/>
                </w:placeholder>
                <w:text w:multiLine="1"/>
              </w:sdtPr>
              <w:sdtContent>
                <w:r w:rsidR="0018022D">
                  <w:rPr>
                    <w:rFonts w:ascii="Arial" w:eastAsia="楷体_GB2312" w:hAnsi="Arial" w:cs="Arial" w:hint="eastAsia"/>
                    <w:b/>
                    <w:bCs/>
                    <w:color w:val="000000"/>
                    <w:sz w:val="24"/>
                  </w:rPr>
                  <w:t>通信</w:t>
                </w:r>
              </w:sdtContent>
            </w:sdt>
          </w:p>
        </w:tc>
        <w:tc>
          <w:tcPr>
            <w:tcW w:w="6480" w:type="dxa"/>
            <w:vMerge/>
            <w:tcBorders>
              <w:top w:val="single" w:sz="48" w:space="0" w:color="FF6600"/>
              <w:left w:val="single" w:sz="24" w:space="0" w:color="97A9B9"/>
            </w:tcBorders>
            <w:vAlign w:val="center"/>
          </w:tcPr>
          <w:p w:rsidR="00A05A2C" w:rsidRPr="009D18CC" w:rsidRDefault="00A05A2C" w:rsidP="00180A67">
            <w:pPr>
              <w:rPr>
                <w:rFonts w:ascii="Arial" w:eastAsia="楷体_GB2312" w:hAnsi="Arial" w:cs="Arial"/>
                <w:b/>
                <w:bCs/>
                <w:noProof/>
                <w:color w:val="000000"/>
                <w:sz w:val="20"/>
              </w:rPr>
            </w:pPr>
          </w:p>
        </w:tc>
      </w:tr>
    </w:tbl>
    <w:p w:rsidR="00286542" w:rsidRPr="00F30430" w:rsidRDefault="00547A2C" w:rsidP="00FF216F">
      <w:pPr>
        <w:spacing w:line="320" w:lineRule="exact"/>
        <w:jc w:val="right"/>
        <w:rPr>
          <w:rFonts w:ascii="Arial" w:eastAsia="楷体_GB2312" w:hAnsi="Arial" w:cs="Arial"/>
          <w:b/>
          <w:bCs/>
          <w:color w:val="FFFFFF" w:themeColor="background1"/>
          <w:position w:val="4"/>
          <w:szCs w:val="21"/>
        </w:rPr>
      </w:pPr>
      <w:sdt>
        <w:sdtPr>
          <w:rPr>
            <w:rFonts w:ascii="Arial" w:eastAsia="楷体_GB2312" w:hAnsi="Arial" w:cs="Arial"/>
            <w:b/>
            <w:bCs/>
            <w:color w:val="FFFFFF" w:themeColor="background1"/>
            <w:position w:val="4"/>
            <w:szCs w:val="21"/>
          </w:rPr>
          <w:alias w:val="当前日期"/>
          <w:tag w:val="GACONTENTCONTROL_PUBLISHDATE"/>
          <w:id w:val="135904426"/>
          <w:placeholder>
            <w:docPart w:val="84403395F31B4DDD84C1EBFB909C1630"/>
          </w:placeholder>
        </w:sdtPr>
        <w:sdtEndPr>
          <w:rPr>
            <w:sz w:val="18"/>
            <w:szCs w:val="18"/>
          </w:rPr>
        </w:sdtEndPr>
        <w:sdtContent>
          <w:r w:rsidR="0018022D">
            <w:rPr>
              <w:rFonts w:ascii="Arial" w:eastAsia="楷体_GB2312" w:hAnsi="Arial" w:cs="Arial" w:hint="eastAsia"/>
              <w:b/>
              <w:bCs/>
              <w:color w:val="FFFFFF" w:themeColor="background1"/>
              <w:position w:val="4"/>
              <w:sz w:val="18"/>
              <w:szCs w:val="18"/>
            </w:rPr>
            <w:t>2011</w:t>
          </w:r>
          <w:r w:rsidR="0018022D">
            <w:rPr>
              <w:rFonts w:ascii="Arial" w:eastAsia="楷体_GB2312" w:hAnsi="Arial" w:cs="Arial" w:hint="eastAsia"/>
              <w:b/>
              <w:bCs/>
              <w:color w:val="FFFFFF" w:themeColor="background1"/>
              <w:position w:val="4"/>
              <w:sz w:val="18"/>
              <w:szCs w:val="18"/>
            </w:rPr>
            <w:t>年</w:t>
          </w:r>
          <w:r w:rsidR="0018022D">
            <w:rPr>
              <w:rFonts w:ascii="Arial" w:eastAsia="楷体_GB2312" w:hAnsi="Arial" w:cs="Arial" w:hint="eastAsia"/>
              <w:b/>
              <w:bCs/>
              <w:color w:val="FFFFFF" w:themeColor="background1"/>
              <w:position w:val="4"/>
              <w:sz w:val="18"/>
              <w:szCs w:val="18"/>
            </w:rPr>
            <w:t>12</w:t>
          </w:r>
          <w:r w:rsidR="0018022D">
            <w:rPr>
              <w:rFonts w:ascii="Arial" w:eastAsia="楷体_GB2312" w:hAnsi="Arial" w:cs="Arial" w:hint="eastAsia"/>
              <w:b/>
              <w:bCs/>
              <w:color w:val="FFFFFF" w:themeColor="background1"/>
              <w:position w:val="4"/>
              <w:sz w:val="18"/>
              <w:szCs w:val="18"/>
            </w:rPr>
            <w:t>月</w:t>
          </w:r>
          <w:r w:rsidR="00522590">
            <w:rPr>
              <w:rFonts w:ascii="Arial" w:eastAsia="楷体_GB2312" w:hAnsi="Arial" w:cs="Arial" w:hint="eastAsia"/>
              <w:b/>
              <w:bCs/>
              <w:color w:val="FFFFFF" w:themeColor="background1"/>
              <w:position w:val="4"/>
              <w:sz w:val="18"/>
              <w:szCs w:val="18"/>
            </w:rPr>
            <w:t>12</w:t>
          </w:r>
          <w:r w:rsidR="0018022D">
            <w:rPr>
              <w:rFonts w:ascii="Arial" w:eastAsia="楷体_GB2312" w:hAnsi="Arial" w:cs="Arial" w:hint="eastAsia"/>
              <w:b/>
              <w:bCs/>
              <w:color w:val="FFFFFF" w:themeColor="background1"/>
              <w:position w:val="4"/>
              <w:sz w:val="18"/>
              <w:szCs w:val="18"/>
            </w:rPr>
            <w:t>日</w:t>
          </w:r>
        </w:sdtContent>
      </w:sdt>
      <w:r>
        <w:rPr>
          <w:rFonts w:ascii="Arial" w:eastAsia="楷体_GB2312" w:hAnsi="Arial" w:cs="Arial"/>
          <w:b/>
          <w:bCs/>
          <w:noProof/>
          <w:color w:val="FFFFFF" w:themeColor="background1"/>
          <w:position w:val="4"/>
          <w:szCs w:val="21"/>
        </w:rPr>
        <w:pict>
          <v:group id="组合 28" o:spid="_x0000_s1049" style="position:absolute;left:0;text-align:left;margin-left:-68.25pt;margin-top:-.65pt;width:572.8pt;height:13.6pt;z-index:-251657728;mso-position-horizontal-relative:text;mso-position-vertical-relative:text;mso-width-relative:margin;mso-height-relative:margin" coordorigin="-1811" coordsize="72744,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">
            <v:rect id="Rectangle 24" o:spid="_x0000_s1050" style="position:absolute;left:60125;top:717;width:10803;height:1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ZmsIA&#10;AADbAAAADwAAAGRycy9kb3ducmV2LnhtbESP3YrCMBSE7wXfIRzBuzVVQZZqFFn8W/FC6z7AsTnb&#10;lm1OShPb+vYbQfBymJlvmMWqM6VoqHaFZQXjUQSCOLW64EzBz3X78QnCeWSNpWVS8CAHq2W/t8BY&#10;25Yv1CQ+EwHCLkYFufdVLKVLczLoRrYiDt6vrQ36IOtM6hrbADelnETRTBosOCzkWNFXTulfcjcK&#10;Wn0udvtv2tya0/qYzoy09iaVGg669RyEp86/w6/2QSuYTOH5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ZmawgAAANsAAAAPAAAAAAAAAAAAAAAAAJgCAABkcnMvZG93&#10;bnJldi54bWxQSwUGAAAAAAQABAD1AAAAhwMAAAAA&#10;" fillcolor="#97a9b9" stroked="f" strokecolor="#036"/>
            <v:shapetype id="_x0000_t6" coordsize="21600,21600" o:spt="6" path="m,l,21600r21600,xe">
              <v:stroke joinstyle="miter"/>
              <v:path gradientshapeok="t" o:connecttype="custom" o:connectlocs="0,0;0,10800;0,21600;10800,21600;21600,21600;10800,10800" textboxrect="1800,12600,12600,19800"/>
            </v:shapetype>
            <v:shape id="AutoShape 25" o:spid="_x0000_s1051" type="#_x0000_t6" style="position:absolute;left:55245;top:698;width:4914;height:1029;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Do8UA&#10;AADbAAAADwAAAGRycy9kb3ducmV2LnhtbESPT2vCQBDF74LfYRmht7ppUGnTbESkBf8cbGx7H7LT&#10;JDU7G7LbGL+9KxQ8Pt6835uXLgfTiJ46V1tW8DSNQBAXVtdcKvj6fH98BuE8ssbGMim4kINlNh6l&#10;mGh75pz6oy9FgLBLUEHlfZtI6YqKDLqpbYmD92M7gz7IrpS6w3OAm0bGUbSQBmsODRW2tK6oOB3/&#10;THjjLS9/t9/7D/tyituD3G3m/cwq9TAZVq8gPA3+fvyf3mgF8QxuWwIA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OjxQAAANsAAAAPAAAAAAAAAAAAAAAAAJgCAABkcnMv&#10;ZG93bnJldi54bWxQSwUGAAAAAAQABAD1AAAAigMAAAAA&#10;" fillcolor="#97a9b9" stroked="f"/>
            <v:rect id="Rectangle 24" o:spid="_x0000_s1052" style="position:absolute;left:-1811;width:72744;height: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46AsMA&#10;AADbAAAADwAAAGRycy9kb3ducmV2LnhtbESPzWrDMBCE74W8g9hAb43cHExwohgT+htyaJw+wMba&#10;2ibWykiq7b59FAj0OMzMN8wmn0wnBnK+tazgeZGAIK6sbrlW8H16fVqB8AFZY2eZFPyRh3w7e9hg&#10;pu3IRxrKUIsIYZ+hgiaEPpPSVw0Z9AvbE0fvxzqDIUpXS+1wjHDTyWWSpNJgy3GhwZ52DVWX8tco&#10;GPVX+/b+SS/n4VDsq9RIa89Sqcf5VKxBBJrCf/je/tAKlincvsQf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46AsMAAADbAAAADwAAAAAAAAAAAAAAAACYAgAAZHJzL2Rv&#10;d25yZXYueG1sUEsFBgAAAAAEAAQA9QAAAIgDAAAAAA==&#10;" fillcolor="#97a9b9" stroked="f" strokecolor="#036">
              <v:textbox>
                <w:txbxContent>
                  <w:p w:rsidR="006D697A" w:rsidRDefault="00547A2C" w:rsidP="00FF216F">
                    <w:pPr>
                      <w:jc w:val="center"/>
                    </w:pPr>
                    <w:sdt>
                      <w:sdtPr>
                        <w:rPr>
                          <w:rFonts w:hint="eastAsia"/>
                        </w:rPr>
                        <w:alias w:val="当前日期"/>
                        <w:tag w:val="GACONTENTCONTROL_74735726-24e0-4c80-af70-fa454e338ec6"/>
                        <w:id w:val="48520138"/>
                        <w:placeholder>
                          <w:docPart w:val="3A2C979B3E7E4317A7BBAAFF518CA9E2"/>
                        </w:placeholder>
                        <w:text w:multiLine="1"/>
                      </w:sdtPr>
                      <w:sdtContent>
                        <w:r w:rsidR="006D697A">
                          <w:t>2011-08-10</w:t>
                        </w:r>
                      </w:sdtContent>
                    </w:sdt>
                    <w:r w:rsidR="006D697A">
                      <w:rPr>
                        <w:rFonts w:hint="eastAsia"/>
                      </w:rPr>
                      <w:t>a</w:t>
                    </w:r>
                  </w:p>
                </w:txbxContent>
              </v:textbox>
            </v:rect>
          </v:group>
        </w:pict>
      </w:r>
    </w:p>
    <w:tbl>
      <w:tblPr>
        <w:tblW w:w="0" w:type="auto"/>
        <w:tblLayout w:type="fixed"/>
        <w:tblLook w:val="01E0"/>
      </w:tblPr>
      <w:tblGrid>
        <w:gridCol w:w="10200"/>
      </w:tblGrid>
      <w:tr w:rsidR="0098228D" w:rsidRPr="002121FC" w:rsidTr="00FF216F">
        <w:trPr>
          <w:trHeight w:hRule="exact" w:val="80"/>
        </w:trPr>
        <w:tc>
          <w:tcPr>
            <w:tcW w:w="10200" w:type="dxa"/>
          </w:tcPr>
          <w:p w:rsidR="0098228D" w:rsidRPr="002121FC" w:rsidRDefault="0098228D" w:rsidP="00A82C60">
            <w:pPr>
              <w:rPr>
                <w:rFonts w:ascii="Arial" w:eastAsia="楷体_GB2312" w:hAnsi="Arial" w:cs="Arial"/>
                <w:bCs/>
                <w:sz w:val="18"/>
                <w:szCs w:val="18"/>
              </w:rPr>
            </w:pPr>
            <w:r w:rsidRPr="002121FC">
              <w:rPr>
                <w:rFonts w:ascii="Arial" w:eastAsia="楷体_GB2312" w:hAnsi="Arial" w:cs="Arial"/>
                <w:bCs/>
                <w:sz w:val="18"/>
                <w:szCs w:val="18"/>
              </w:rPr>
              <w:t>[</w:t>
            </w:r>
            <w:proofErr w:type="spellStart"/>
            <w:r w:rsidRPr="002121FC">
              <w:rPr>
                <w:rFonts w:ascii="Arial" w:eastAsia="楷体_GB2312" w:hAnsi="Arial" w:cs="Arial"/>
                <w:bCs/>
                <w:sz w:val="18"/>
                <w:szCs w:val="18"/>
              </w:rPr>
              <w:t>Table_Title</w:t>
            </w:r>
            <w:proofErr w:type="spellEnd"/>
            <w:r w:rsidRPr="002121FC">
              <w:rPr>
                <w:rFonts w:ascii="Arial" w:eastAsia="楷体_GB2312" w:hAnsi="Arial" w:cs="Arial"/>
                <w:bCs/>
                <w:sz w:val="18"/>
                <w:szCs w:val="18"/>
              </w:rPr>
              <w:t>]</w:t>
            </w:r>
          </w:p>
        </w:tc>
      </w:tr>
      <w:tr w:rsidR="0098228D" w:rsidRPr="002121FC" w:rsidTr="00037725">
        <w:trPr>
          <w:trHeight w:val="1021"/>
        </w:trPr>
        <w:tc>
          <w:tcPr>
            <w:tcW w:w="10200" w:type="dxa"/>
          </w:tcPr>
          <w:p w:rsidR="0098228D" w:rsidRPr="002121FC" w:rsidRDefault="00547A2C" w:rsidP="006A40D2">
            <w:pPr>
              <w:rPr>
                <w:rFonts w:ascii="Arial" w:eastAsia="楷体_GB2312" w:hAnsi="Arial" w:cs="Arial"/>
                <w:b/>
                <w:bCs/>
                <w:sz w:val="44"/>
              </w:rPr>
            </w:pPr>
            <w:sdt>
              <w:sdtPr>
                <w:rPr>
                  <w:rFonts w:ascii="Arial" w:eastAsia="楷体_GB2312" w:hAnsi="Arial" w:cs="Arial" w:hint="eastAsia"/>
                  <w:b/>
                  <w:bCs/>
                  <w:sz w:val="44"/>
                </w:rPr>
                <w:alias w:val="标题"/>
                <w:tag w:val="GACONTENTCONTROL_d9f13bc9-f5be-4a2a-b602-2e020c4af708"/>
                <w:id w:val="217706971"/>
                <w:lock w:val="sdtContentLocked"/>
                <w:placeholder>
                  <w:docPart w:val="78D70B5EC1D547D88061C8A8468B081B"/>
                </w:placeholder>
                <w:text w:multiLine="1"/>
              </w:sdtPr>
              <w:sdtContent>
                <w:r w:rsidR="0018022D">
                  <w:rPr>
                    <w:rFonts w:ascii="Arial" w:eastAsia="楷体_GB2312" w:hAnsi="Arial" w:cs="Arial" w:hint="eastAsia"/>
                    <w:b/>
                    <w:bCs/>
                    <w:sz w:val="44"/>
                  </w:rPr>
                  <w:t>稳步成长的</w:t>
                </w:r>
                <w:r w:rsidR="0018022D">
                  <w:rPr>
                    <w:rFonts w:ascii="Arial" w:eastAsia="楷体_GB2312" w:hAnsi="Arial" w:cs="Arial" w:hint="eastAsia"/>
                    <w:b/>
                    <w:bCs/>
                    <w:sz w:val="44"/>
                  </w:rPr>
                  <w:t>GNSS</w:t>
                </w:r>
                <w:r w:rsidR="0018022D">
                  <w:rPr>
                    <w:rFonts w:ascii="Arial" w:eastAsia="楷体_GB2312" w:hAnsi="Arial" w:cs="Arial" w:hint="eastAsia"/>
                    <w:b/>
                    <w:bCs/>
                    <w:sz w:val="44"/>
                  </w:rPr>
                  <w:t>设备行业先行者</w:t>
                </w:r>
              </w:sdtContent>
            </w:sdt>
          </w:p>
        </w:tc>
      </w:tr>
      <w:tr w:rsidR="006A40D2" w:rsidRPr="002121FC" w:rsidTr="00F30430">
        <w:tc>
          <w:tcPr>
            <w:tcW w:w="10200" w:type="dxa"/>
            <w:vAlign w:val="center"/>
          </w:tcPr>
          <w:sdt>
            <w:sdtPr>
              <w:rPr>
                <w:rFonts w:ascii="Arial" w:eastAsia="楷体_GB2312" w:hAnsi="Arial" w:cs="Arial"/>
                <w:bCs/>
                <w:color w:val="000000"/>
                <w:sz w:val="15"/>
                <w:szCs w:val="15"/>
              </w:rPr>
              <w:alias w:val="证券分析师横表"/>
              <w:tag w:val="GACONTENTCONTROL_14ae5f0b-87c3-4439-95eb-ef3481e65d0c"/>
              <w:id w:val="118038376"/>
              <w:placeholder>
                <w:docPart w:val="37877486D73A45548D3039C229E2D55B"/>
              </w:placeholder>
            </w:sdtPr>
            <w:sdtContent>
              <w:p w:rsidR="00FF216F" w:rsidRDefault="00FF216F" w:rsidP="00FF216F">
                <w:pPr>
                  <w:spacing w:line="14" w:lineRule="exact"/>
                  <w:rPr>
                    <w:rFonts w:ascii="Arial" w:eastAsia="楷体_GB2312" w:hAnsi="Arial" w:cs="Arial"/>
                    <w:bCs/>
                    <w:color w:val="000000"/>
                    <w:sz w:val="15"/>
                    <w:szCs w:val="15"/>
                  </w:rPr>
                </w:pPr>
              </w:p>
              <w:tbl>
                <w:tblPr>
                  <w:tblStyle w:val="GABasicTable"/>
                  <w:tblW w:w="10204" w:type="dxa"/>
                  <w:tblLayout w:type="fixed"/>
                  <w:tblLook w:val="04A0"/>
                </w:tblPr>
                <w:tblGrid>
                  <w:gridCol w:w="1384"/>
                  <w:gridCol w:w="1133"/>
                  <w:gridCol w:w="1311"/>
                  <w:gridCol w:w="2515"/>
                  <w:gridCol w:w="3861"/>
                </w:tblGrid>
                <w:tr w:rsidR="0018022D" w:rsidRPr="0018022D" w:rsidTr="0018022D">
                  <w:trPr>
                    <w:trHeight w:val="283"/>
                  </w:trPr>
                  <w:tc>
                    <w:tcPr>
                      <w:tcW w:w="1384" w:type="dxa"/>
                      <w:shd w:val="clear" w:color="auto" w:fill="auto"/>
                      <w:vAlign w:val="center"/>
                    </w:tcPr>
                    <w:p w:rsidR="00FF216F" w:rsidRPr="0018022D" w:rsidRDefault="0018022D" w:rsidP="0018022D">
                      <w:pPr>
                        <w:spacing w:line="280" w:lineRule="exact"/>
                        <w:rPr>
                          <w:rFonts w:ascii="Arial" w:eastAsia="楷体_GB2312" w:hAnsi="Arial" w:cs="Arial"/>
                          <w:b/>
                          <w:color w:val="000000"/>
                          <w:sz w:val="15"/>
                          <w:szCs w:val="15"/>
                        </w:rPr>
                      </w:pPr>
                      <w:r w:rsidRPr="0018022D">
                        <w:rPr>
                          <w:rFonts w:ascii="Arial" w:eastAsia="楷体_GB2312" w:hAnsi="Arial" w:cs="Arial" w:hint="eastAsia"/>
                          <w:b/>
                          <w:color w:val="000000"/>
                          <w:sz w:val="15"/>
                          <w:szCs w:val="15"/>
                        </w:rPr>
                        <w:t>证券分析师：</w:t>
                      </w:r>
                    </w:p>
                  </w:tc>
                  <w:tc>
                    <w:tcPr>
                      <w:tcW w:w="1133" w:type="dxa"/>
                      <w:shd w:val="clear" w:color="auto" w:fill="auto"/>
                      <w:vAlign w:val="center"/>
                    </w:tcPr>
                    <w:p w:rsidR="00FF216F" w:rsidRPr="0018022D" w:rsidRDefault="0018022D" w:rsidP="0018022D">
                      <w:pPr>
                        <w:spacing w:line="280" w:lineRule="exact"/>
                        <w:rPr>
                          <w:rFonts w:ascii="Arial" w:eastAsia="楷体_GB2312" w:hAnsi="Arial" w:cs="Arial"/>
                          <w:b/>
                          <w:color w:val="000000"/>
                          <w:sz w:val="15"/>
                          <w:szCs w:val="15"/>
                        </w:rPr>
                      </w:pPr>
                      <w:r w:rsidRPr="0018022D">
                        <w:rPr>
                          <w:rFonts w:ascii="Arial" w:eastAsia="楷体_GB2312" w:hAnsi="Arial" w:cs="Arial" w:hint="eastAsia"/>
                          <w:b/>
                          <w:color w:val="000000"/>
                          <w:sz w:val="15"/>
                          <w:szCs w:val="15"/>
                        </w:rPr>
                        <w:t>段迎晟</w:t>
                      </w:r>
                    </w:p>
                  </w:tc>
                  <w:tc>
                    <w:tcPr>
                      <w:tcW w:w="1311" w:type="dxa"/>
                      <w:shd w:val="clear" w:color="auto" w:fill="auto"/>
                      <w:vAlign w:val="center"/>
                    </w:tcPr>
                    <w:p w:rsidR="00FF216F" w:rsidRPr="0018022D" w:rsidRDefault="0018022D" w:rsidP="0018022D">
                      <w:pPr>
                        <w:spacing w:line="280" w:lineRule="exact"/>
                        <w:rPr>
                          <w:rFonts w:ascii="Arial" w:eastAsia="楷体_GB2312" w:hAnsi="Arial" w:cs="Arial"/>
                          <w:color w:val="000000"/>
                          <w:sz w:val="15"/>
                          <w:szCs w:val="15"/>
                        </w:rPr>
                      </w:pPr>
                      <w:r w:rsidRPr="0018022D">
                        <w:rPr>
                          <w:rFonts w:ascii="Arial" w:eastAsia="楷体_GB2312" w:hAnsi="Arial" w:cs="Arial"/>
                          <w:color w:val="000000"/>
                          <w:sz w:val="15"/>
                          <w:szCs w:val="15"/>
                        </w:rPr>
                        <w:t>0755-82130761</w:t>
                      </w:r>
                    </w:p>
                  </w:tc>
                  <w:tc>
                    <w:tcPr>
                      <w:tcW w:w="2515" w:type="dxa"/>
                      <w:shd w:val="clear" w:color="auto" w:fill="auto"/>
                      <w:vAlign w:val="center"/>
                    </w:tcPr>
                    <w:p w:rsidR="00FF216F" w:rsidRPr="0018022D" w:rsidRDefault="0018022D" w:rsidP="0018022D">
                      <w:pPr>
                        <w:spacing w:line="280" w:lineRule="exact"/>
                        <w:rPr>
                          <w:rFonts w:ascii="Arial" w:eastAsia="楷体_GB2312" w:hAnsi="Arial" w:cs="Arial"/>
                          <w:color w:val="000000"/>
                          <w:sz w:val="15"/>
                          <w:szCs w:val="15"/>
                        </w:rPr>
                      </w:pPr>
                      <w:r w:rsidRPr="0018022D">
                        <w:rPr>
                          <w:rFonts w:ascii="Arial" w:eastAsia="楷体_GB2312" w:hAnsi="Arial" w:cs="Arial"/>
                          <w:color w:val="000000"/>
                          <w:sz w:val="15"/>
                          <w:szCs w:val="15"/>
                        </w:rPr>
                        <w:t>duanyingsheng@guosen.com.cn</w:t>
                      </w:r>
                    </w:p>
                  </w:tc>
                  <w:tc>
                    <w:tcPr>
                      <w:tcW w:w="3861" w:type="dxa"/>
                      <w:shd w:val="clear" w:color="auto" w:fill="auto"/>
                      <w:vAlign w:val="center"/>
                    </w:tcPr>
                    <w:p w:rsidR="00FF216F" w:rsidRPr="0018022D" w:rsidRDefault="0018022D" w:rsidP="0018022D">
                      <w:pPr>
                        <w:spacing w:line="280" w:lineRule="exact"/>
                        <w:rPr>
                          <w:rFonts w:ascii="Arial" w:eastAsia="楷体_GB2312" w:hAnsi="Arial" w:cs="Arial"/>
                          <w:color w:val="000000"/>
                          <w:sz w:val="15"/>
                        </w:rPr>
                      </w:pPr>
                      <w:r w:rsidRPr="0018022D">
                        <w:rPr>
                          <w:rFonts w:ascii="Arial" w:eastAsia="楷体_GB2312" w:hAnsi="Arial" w:cs="Arial" w:hint="eastAsia"/>
                          <w:color w:val="000000"/>
                          <w:sz w:val="15"/>
                        </w:rPr>
                        <w:t>证券投资咨询职业资格证书编码：</w:t>
                      </w:r>
                      <w:r w:rsidRPr="0018022D">
                        <w:rPr>
                          <w:rFonts w:ascii="Arial" w:eastAsia="楷体_GB2312" w:hAnsi="Arial" w:cs="Arial" w:hint="eastAsia"/>
                          <w:color w:val="000000"/>
                          <w:sz w:val="15"/>
                        </w:rPr>
                        <w:t>S0980510120014</w:t>
                      </w:r>
                    </w:p>
                  </w:tc>
                </w:tr>
                <w:tr w:rsidR="00FF216F" w:rsidRPr="0018022D" w:rsidTr="0018022D">
                  <w:trPr>
                    <w:trHeight w:val="283"/>
                  </w:trPr>
                  <w:tc>
                    <w:tcPr>
                      <w:tcW w:w="1384" w:type="dxa"/>
                      <w:shd w:val="clear" w:color="auto" w:fill="auto"/>
                      <w:vAlign w:val="center"/>
                    </w:tcPr>
                    <w:p w:rsidR="00FF216F" w:rsidRPr="0018022D" w:rsidRDefault="0018022D" w:rsidP="0018022D">
                      <w:pPr>
                        <w:spacing w:line="280" w:lineRule="exact"/>
                        <w:rPr>
                          <w:rFonts w:ascii="Arial" w:eastAsia="楷体_GB2312" w:hAnsi="Arial" w:cs="Arial"/>
                          <w:b/>
                          <w:color w:val="000000"/>
                          <w:sz w:val="15"/>
                          <w:szCs w:val="15"/>
                        </w:rPr>
                      </w:pPr>
                      <w:r w:rsidRPr="0018022D">
                        <w:rPr>
                          <w:rFonts w:ascii="Arial" w:eastAsia="楷体_GB2312" w:hAnsi="Arial" w:cs="Arial" w:hint="eastAsia"/>
                          <w:b/>
                          <w:color w:val="000000"/>
                          <w:sz w:val="15"/>
                          <w:szCs w:val="15"/>
                        </w:rPr>
                        <w:t>联系人：</w:t>
                      </w:r>
                    </w:p>
                  </w:tc>
                  <w:tc>
                    <w:tcPr>
                      <w:tcW w:w="1133" w:type="dxa"/>
                      <w:shd w:val="clear" w:color="auto" w:fill="auto"/>
                      <w:vAlign w:val="center"/>
                    </w:tcPr>
                    <w:p w:rsidR="00FF216F" w:rsidRPr="0018022D" w:rsidRDefault="0018022D" w:rsidP="0018022D">
                      <w:pPr>
                        <w:spacing w:line="280" w:lineRule="exact"/>
                        <w:rPr>
                          <w:rFonts w:ascii="Arial" w:eastAsia="楷体_GB2312" w:hAnsi="Arial" w:cs="Arial"/>
                          <w:b/>
                          <w:color w:val="000000"/>
                          <w:sz w:val="15"/>
                          <w:szCs w:val="15"/>
                        </w:rPr>
                      </w:pPr>
                      <w:r w:rsidRPr="0018022D">
                        <w:rPr>
                          <w:rFonts w:ascii="Arial" w:eastAsia="楷体_GB2312" w:hAnsi="Arial" w:cs="Arial" w:hint="eastAsia"/>
                          <w:b/>
                          <w:color w:val="000000"/>
                          <w:sz w:val="15"/>
                          <w:szCs w:val="15"/>
                        </w:rPr>
                        <w:t>欧阳仕华</w:t>
                      </w:r>
                    </w:p>
                  </w:tc>
                  <w:tc>
                    <w:tcPr>
                      <w:tcW w:w="1311" w:type="dxa"/>
                      <w:shd w:val="clear" w:color="auto" w:fill="auto"/>
                      <w:vAlign w:val="center"/>
                    </w:tcPr>
                    <w:p w:rsidR="00FF216F" w:rsidRPr="0018022D" w:rsidRDefault="0018022D" w:rsidP="0018022D">
                      <w:pPr>
                        <w:spacing w:line="280" w:lineRule="exact"/>
                        <w:rPr>
                          <w:rFonts w:ascii="Arial" w:eastAsia="楷体_GB2312" w:hAnsi="Arial" w:cs="Arial"/>
                          <w:color w:val="000000"/>
                          <w:sz w:val="15"/>
                          <w:szCs w:val="15"/>
                        </w:rPr>
                      </w:pPr>
                      <w:r w:rsidRPr="0018022D">
                        <w:rPr>
                          <w:rFonts w:ascii="Arial" w:eastAsia="楷体_GB2312" w:hAnsi="Arial" w:cs="Arial"/>
                          <w:color w:val="000000"/>
                          <w:sz w:val="15"/>
                          <w:szCs w:val="15"/>
                        </w:rPr>
                        <w:t>0755-82151833</w:t>
                      </w:r>
                    </w:p>
                  </w:tc>
                  <w:tc>
                    <w:tcPr>
                      <w:tcW w:w="2515" w:type="dxa"/>
                      <w:shd w:val="clear" w:color="auto" w:fill="auto"/>
                      <w:vAlign w:val="center"/>
                    </w:tcPr>
                    <w:p w:rsidR="00FF216F" w:rsidRPr="0018022D" w:rsidRDefault="0018022D" w:rsidP="0018022D">
                      <w:pPr>
                        <w:spacing w:line="280" w:lineRule="exact"/>
                        <w:rPr>
                          <w:rFonts w:ascii="Arial" w:eastAsia="楷体_GB2312" w:hAnsi="Arial" w:cs="Arial"/>
                          <w:color w:val="000000"/>
                          <w:sz w:val="15"/>
                          <w:szCs w:val="15"/>
                        </w:rPr>
                      </w:pPr>
                      <w:r w:rsidRPr="0018022D">
                        <w:rPr>
                          <w:rFonts w:ascii="Arial" w:eastAsia="楷体_GB2312" w:hAnsi="Arial" w:cs="Arial"/>
                          <w:color w:val="000000"/>
                          <w:sz w:val="15"/>
                          <w:szCs w:val="15"/>
                        </w:rPr>
                        <w:t>ouyangshih@guosen.com.cn</w:t>
                      </w:r>
                    </w:p>
                  </w:tc>
                  <w:tc>
                    <w:tcPr>
                      <w:tcW w:w="3861" w:type="dxa"/>
                      <w:shd w:val="clear" w:color="auto" w:fill="auto"/>
                      <w:vAlign w:val="center"/>
                    </w:tcPr>
                    <w:p w:rsidR="00FF216F" w:rsidRPr="0018022D" w:rsidRDefault="00FF216F" w:rsidP="0018022D">
                      <w:pPr>
                        <w:spacing w:line="280" w:lineRule="exact"/>
                        <w:rPr>
                          <w:rFonts w:ascii="Arial" w:eastAsia="楷体_GB2312" w:hAnsi="Arial" w:cs="Arial"/>
                          <w:color w:val="000000"/>
                          <w:sz w:val="15"/>
                        </w:rPr>
                      </w:pPr>
                    </w:p>
                  </w:tc>
                </w:tr>
              </w:tbl>
              <w:p w:rsidR="00FF216F" w:rsidRPr="0018022D" w:rsidRDefault="00547A2C" w:rsidP="00FF216F">
                <w:pPr>
                  <w:spacing w:line="14" w:lineRule="exact"/>
                  <w:rPr>
                    <w:rFonts w:ascii="Arial" w:eastAsia="楷体_GB2312" w:hAnsi="Arial" w:cs="Arial"/>
                    <w:bCs/>
                    <w:color w:val="000000"/>
                    <w:sz w:val="13"/>
                    <w:szCs w:val="13"/>
                  </w:rPr>
                </w:pPr>
              </w:p>
            </w:sdtContent>
          </w:sdt>
          <w:p w:rsidR="00CE63D3" w:rsidRPr="00C0614C" w:rsidRDefault="00CE63D3" w:rsidP="00CE63D3">
            <w:pPr>
              <w:spacing w:line="14" w:lineRule="exact"/>
              <w:rPr>
                <w:rFonts w:ascii="Arial" w:eastAsia="楷体_GB2312" w:hAnsi="Arial" w:cs="Arial"/>
                <w:bCs/>
                <w:color w:val="000000"/>
                <w:sz w:val="15"/>
                <w:szCs w:val="15"/>
              </w:rPr>
            </w:pPr>
          </w:p>
        </w:tc>
      </w:tr>
    </w:tbl>
    <w:p w:rsidR="0029796C" w:rsidRPr="009D18CC" w:rsidRDefault="00547A2C" w:rsidP="00522590">
      <w:pPr>
        <w:spacing w:beforeLines="50"/>
        <w:rPr>
          <w:rFonts w:ascii="Arial" w:eastAsia="楷体_GB2312" w:hAnsi="Arial" w:cs="Arial"/>
          <w:b/>
          <w:bCs/>
          <w:color w:val="000000"/>
          <w:sz w:val="28"/>
        </w:rPr>
      </w:pPr>
      <w:r w:rsidRPr="00547A2C">
        <w:rPr>
          <w:rFonts w:ascii="Arial" w:eastAsia="楷体_GB2312" w:hAnsi="Arial" w:cs="Arial"/>
          <w:b/>
          <w:bCs/>
          <w:noProof/>
          <w:color w:val="000000"/>
          <w:sz w:val="24"/>
        </w:rPr>
        <w:pict>
          <v:line id="Line 28" o:spid="_x0000_s1031" style="position:absolute;left:0;text-align:left;flip:y;z-index:251657728;visibility:visible;mso-position-horizontal-relative:text;mso-position-vertical-relative:text" from="0,7.65pt" to="332.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" strokecolor="#002754" strokeweight="3pt">
            <v:shadow color="#001732" offset="1pt,1pt"/>
          </v:line>
        </w:pict>
      </w:r>
      <w:r w:rsidR="00641147" w:rsidRPr="009D18CC">
        <w:rPr>
          <w:rFonts w:ascii="Arial" w:eastAsia="楷体_GB2312" w:hAnsi="Arial" w:cs="Arial"/>
          <w:b/>
          <w:bCs/>
          <w:color w:val="000000"/>
          <w:sz w:val="28"/>
        </w:rPr>
        <w:t>事项</w:t>
      </w:r>
      <w:r w:rsidR="0029796C" w:rsidRPr="009D18CC">
        <w:rPr>
          <w:rFonts w:ascii="Arial" w:eastAsia="楷体_GB2312" w:hAnsi="Arial" w:cs="Arial"/>
          <w:b/>
          <w:bCs/>
          <w:color w:val="000000"/>
          <w:sz w:val="28"/>
        </w:rPr>
        <w:t>：</w:t>
      </w:r>
    </w:p>
    <w:tbl>
      <w:tblPr>
        <w:tblW w:w="0" w:type="auto"/>
        <w:tblLook w:val="01E0"/>
      </w:tblPr>
      <w:tblGrid>
        <w:gridCol w:w="10240"/>
      </w:tblGrid>
      <w:tr w:rsidR="006279E8" w:rsidRPr="002121FC">
        <w:trPr>
          <w:trHeight w:hRule="exact" w:val="23"/>
        </w:trPr>
        <w:tc>
          <w:tcPr>
            <w:tcW w:w="10242" w:type="dxa"/>
          </w:tcPr>
          <w:p w:rsidR="006279E8" w:rsidRPr="002121FC" w:rsidRDefault="006279E8" w:rsidP="00BF65BA">
            <w:pPr>
              <w:rPr>
                <w:rFonts w:ascii="Arial" w:hAnsi="Arial" w:cs="Arial"/>
              </w:rPr>
            </w:pPr>
            <w:r w:rsidRPr="002121FC">
              <w:rPr>
                <w:rFonts w:ascii="Arial" w:hAnsi="Arial" w:cs="Arial"/>
              </w:rPr>
              <w:t>[</w:t>
            </w:r>
            <w:proofErr w:type="spellStart"/>
            <w:r w:rsidRPr="002121FC">
              <w:rPr>
                <w:rFonts w:ascii="Arial" w:hAnsi="Arial" w:cs="Arial"/>
              </w:rPr>
              <w:t>Table_Summary</w:t>
            </w:r>
            <w:proofErr w:type="spellEnd"/>
            <w:r w:rsidRPr="002121FC">
              <w:rPr>
                <w:rFonts w:ascii="Arial" w:hAnsi="Arial" w:cs="Arial"/>
              </w:rPr>
              <w:t>]</w:t>
            </w:r>
          </w:p>
        </w:tc>
      </w:tr>
      <w:tr w:rsidR="006279E8" w:rsidRPr="002121FC">
        <w:trPr>
          <w:trHeight w:val="567"/>
        </w:trPr>
        <w:tc>
          <w:tcPr>
            <w:tcW w:w="10242" w:type="dxa"/>
          </w:tcPr>
          <w:p w:rsidR="00F7162E" w:rsidRPr="001C6109" w:rsidRDefault="00DE0D5A" w:rsidP="00DE0D5A">
            <w:pPr>
              <w:rPr>
                <w:rStyle w:val="big1"/>
                <w:rFonts w:ascii="Arial" w:eastAsia="楷体_GB2312" w:hAnsi="Arial" w:cs="Arial"/>
                <w:spacing w:val="-4"/>
                <w:sz w:val="20"/>
              </w:rPr>
            </w:pPr>
            <w:r>
              <w:rPr>
                <w:rStyle w:val="big1"/>
                <w:rFonts w:ascii="Arial" w:eastAsia="楷体_GB2312" w:hAnsi="Arial" w:cs="Arial" w:hint="eastAsia"/>
                <w:spacing w:val="-4"/>
                <w:sz w:val="20"/>
              </w:rPr>
              <w:t>中海达公司跟踪研究</w:t>
            </w:r>
            <w:r w:rsidR="00687533" w:rsidRPr="00687533">
              <w:rPr>
                <w:rStyle w:val="big1"/>
                <w:rFonts w:ascii="Arial" w:eastAsia="楷体_GB2312" w:hAnsi="Arial" w:cs="Arial" w:hint="eastAsia"/>
                <w:spacing w:val="-4"/>
                <w:sz w:val="20"/>
              </w:rPr>
              <w:t>。</w:t>
            </w:r>
          </w:p>
        </w:tc>
      </w:tr>
    </w:tbl>
    <w:p w:rsidR="0029796C" w:rsidRPr="00481023" w:rsidRDefault="0029796C" w:rsidP="00522590">
      <w:pPr>
        <w:spacing w:beforeLines="50"/>
        <w:rPr>
          <w:rFonts w:ascii="Arial" w:eastAsia="楷体_GB2312" w:hAnsi="Arial" w:cs="Arial"/>
          <w:b/>
          <w:bCs/>
          <w:sz w:val="28"/>
        </w:rPr>
      </w:pPr>
      <w:r w:rsidRPr="00481023">
        <w:rPr>
          <w:rFonts w:ascii="Arial" w:eastAsia="楷体_GB2312" w:hAnsi="Arial" w:cs="Arial"/>
          <w:b/>
          <w:bCs/>
          <w:sz w:val="28"/>
        </w:rPr>
        <w:t>评论：</w:t>
      </w:r>
    </w:p>
    <w:p w:rsidR="00CD797C" w:rsidRPr="00795150" w:rsidRDefault="00795150" w:rsidP="00522590">
      <w:pPr>
        <w:numPr>
          <w:ilvl w:val="0"/>
          <w:numId w:val="2"/>
        </w:numPr>
        <w:tabs>
          <w:tab w:val="clear" w:pos="600"/>
          <w:tab w:val="num" w:pos="360"/>
        </w:tabs>
        <w:spacing w:beforeLines="20"/>
        <w:ind w:left="361" w:hangingChars="187" w:hanging="361"/>
        <w:rPr>
          <w:rStyle w:val="big1"/>
          <w:rFonts w:ascii="Arial" w:eastAsia="楷体_GB2312" w:hAnsi="Arial" w:cs="Arial"/>
          <w:b/>
          <w:spacing w:val="-4"/>
          <w:sz w:val="20"/>
        </w:rPr>
      </w:pPr>
      <w:r>
        <w:rPr>
          <w:rStyle w:val="big1"/>
          <w:rFonts w:ascii="Arial" w:eastAsia="楷体_GB2312" w:hAnsi="Arial" w:cs="Arial" w:hint="eastAsia"/>
          <w:b/>
          <w:spacing w:val="-4"/>
          <w:sz w:val="20"/>
        </w:rPr>
        <w:t>公司</w:t>
      </w:r>
      <w:r w:rsidR="00546EEF">
        <w:rPr>
          <w:rStyle w:val="big1"/>
          <w:rFonts w:ascii="Arial" w:eastAsia="楷体_GB2312" w:hAnsi="Arial" w:cs="Arial" w:hint="eastAsia"/>
          <w:b/>
          <w:spacing w:val="-4"/>
          <w:sz w:val="20"/>
        </w:rPr>
        <w:t>产品定位</w:t>
      </w:r>
      <w:r>
        <w:rPr>
          <w:rStyle w:val="big1"/>
          <w:rFonts w:ascii="Arial" w:eastAsia="楷体_GB2312" w:hAnsi="Arial" w:cs="Arial" w:hint="eastAsia"/>
          <w:b/>
          <w:spacing w:val="-4"/>
          <w:sz w:val="20"/>
        </w:rPr>
        <w:t>导航设备专业领域，</w:t>
      </w:r>
      <w:r w:rsidRPr="00795150">
        <w:rPr>
          <w:rStyle w:val="big1"/>
          <w:rFonts w:ascii="Arial" w:eastAsia="楷体_GB2312" w:hAnsi="Arial" w:cs="Arial" w:hint="eastAsia"/>
          <w:b/>
          <w:spacing w:val="-4"/>
          <w:sz w:val="20"/>
        </w:rPr>
        <w:t>产品核心</w:t>
      </w:r>
      <w:r>
        <w:rPr>
          <w:rStyle w:val="big1"/>
          <w:rFonts w:ascii="Arial" w:eastAsia="楷体_GB2312" w:hAnsi="Arial" w:cs="Arial" w:hint="eastAsia"/>
          <w:b/>
          <w:spacing w:val="-4"/>
          <w:sz w:val="20"/>
        </w:rPr>
        <w:t>技术在于软件和整体解决方案</w:t>
      </w:r>
    </w:p>
    <w:p w:rsidR="00795150" w:rsidRPr="0093225F" w:rsidRDefault="002A1F03" w:rsidP="00AA2368">
      <w:pPr>
        <w:pStyle w:val="af0"/>
        <w:spacing w:before="62"/>
      </w:pPr>
      <w:r>
        <w:rPr>
          <w:rFonts w:hint="eastAsia"/>
          <w:b/>
        </w:rPr>
        <w:t>公司</w:t>
      </w:r>
      <w:r w:rsidR="00795150">
        <w:rPr>
          <w:rFonts w:hint="eastAsia"/>
          <w:b/>
        </w:rPr>
        <w:t>高精度定位设备主要</w:t>
      </w:r>
      <w:r w:rsidR="00132DFA">
        <w:rPr>
          <w:rFonts w:hint="eastAsia"/>
          <w:b/>
        </w:rPr>
        <w:t>应</w:t>
      </w:r>
      <w:r w:rsidR="00795150">
        <w:rPr>
          <w:rFonts w:hint="eastAsia"/>
          <w:b/>
        </w:rPr>
        <w:t>用于专业领域</w:t>
      </w:r>
      <w:r w:rsidR="003F1086" w:rsidRPr="00AA2368">
        <w:rPr>
          <w:rFonts w:hint="eastAsia"/>
        </w:rPr>
        <w:t>。</w:t>
      </w:r>
      <w:r w:rsidR="00132DFA">
        <w:rPr>
          <w:rFonts w:hint="eastAsia"/>
        </w:rPr>
        <w:t>目前市场上的微型</w:t>
      </w:r>
      <w:r w:rsidR="00795150">
        <w:rPr>
          <w:rFonts w:hint="eastAsia"/>
        </w:rPr>
        <w:t>导航定位设备主要服务于两大群体：</w:t>
      </w:r>
      <w:r>
        <w:rPr>
          <w:rFonts w:hint="eastAsia"/>
        </w:rPr>
        <w:t>一是专业测绘勘探、地理信息、地质灾害监测、精细农林业、国防等</w:t>
      </w:r>
      <w:r w:rsidR="00795150">
        <w:rPr>
          <w:rFonts w:hint="eastAsia"/>
        </w:rPr>
        <w:t>应用领域；二是手机导航、车载导航等大众消费类领域。</w:t>
      </w:r>
      <w:r w:rsidR="00B40599">
        <w:rPr>
          <w:rFonts w:hint="eastAsia"/>
        </w:rPr>
        <w:t>前者要求定位误差</w:t>
      </w:r>
      <w:proofErr w:type="gramStart"/>
      <w:r w:rsidR="00B40599">
        <w:rPr>
          <w:rFonts w:hint="eastAsia"/>
        </w:rPr>
        <w:t>在米级以下</w:t>
      </w:r>
      <w:proofErr w:type="gramEnd"/>
      <w:r w:rsidR="00B40599">
        <w:rPr>
          <w:rFonts w:hint="eastAsia"/>
        </w:rPr>
        <w:t>，后者要求的定位误差在</w:t>
      </w:r>
      <w:r w:rsidR="00B40599">
        <w:rPr>
          <w:rFonts w:hint="eastAsia"/>
        </w:rPr>
        <w:t>1</w:t>
      </w:r>
      <w:r w:rsidR="00B40599">
        <w:rPr>
          <w:rFonts w:hint="eastAsia"/>
        </w:rPr>
        <w:t>米至</w:t>
      </w:r>
      <w:r w:rsidR="00B40599">
        <w:rPr>
          <w:rFonts w:hint="eastAsia"/>
        </w:rPr>
        <w:t>10</w:t>
      </w:r>
      <w:r w:rsidR="00B40599">
        <w:rPr>
          <w:rFonts w:hint="eastAsia"/>
        </w:rPr>
        <w:t>米以上。</w:t>
      </w:r>
      <w:r w:rsidR="0093225F">
        <w:rPr>
          <w:rFonts w:hint="eastAsia"/>
        </w:rPr>
        <w:t>公司主要产品包括</w:t>
      </w:r>
      <w:r w:rsidR="00C024CF">
        <w:rPr>
          <w:rFonts w:hint="eastAsia"/>
        </w:rPr>
        <w:t>测量型</w:t>
      </w:r>
      <w:r w:rsidR="0093225F">
        <w:rPr>
          <w:rFonts w:hint="eastAsia"/>
        </w:rPr>
        <w:t>高精度</w:t>
      </w:r>
      <w:r w:rsidR="0093225F">
        <w:rPr>
          <w:rFonts w:hint="eastAsia"/>
        </w:rPr>
        <w:t>GNSS</w:t>
      </w:r>
      <w:r w:rsidR="00C024CF">
        <w:rPr>
          <w:rFonts w:hint="eastAsia"/>
        </w:rPr>
        <w:t>产品</w:t>
      </w:r>
      <w:r w:rsidR="0093225F">
        <w:rPr>
          <w:rFonts w:hint="eastAsia"/>
        </w:rPr>
        <w:t>、</w:t>
      </w:r>
      <w:r w:rsidR="0093225F">
        <w:rPr>
          <w:rFonts w:hint="eastAsia"/>
        </w:rPr>
        <w:t>GIS</w:t>
      </w:r>
      <w:r w:rsidR="0093225F">
        <w:rPr>
          <w:rFonts w:hint="eastAsia"/>
        </w:rPr>
        <w:t>数据采集器、</w:t>
      </w:r>
      <w:r w:rsidR="00C024CF">
        <w:rPr>
          <w:rFonts w:hint="eastAsia"/>
        </w:rPr>
        <w:t>水声探测设备等产品，</w:t>
      </w:r>
      <w:r w:rsidR="0093225F">
        <w:rPr>
          <w:rFonts w:hint="eastAsia"/>
        </w:rPr>
        <w:t>主要</w:t>
      </w:r>
      <w:r w:rsidR="00A94222">
        <w:rPr>
          <w:rFonts w:hint="eastAsia"/>
        </w:rPr>
        <w:t>应用于</w:t>
      </w:r>
      <w:r w:rsidR="0093225F">
        <w:rPr>
          <w:rFonts w:hint="eastAsia"/>
        </w:rPr>
        <w:t>各类高精度测量的专业行业领域。</w:t>
      </w:r>
    </w:p>
    <w:p w:rsidR="008D59A6" w:rsidRDefault="00B40E64" w:rsidP="00AA2368">
      <w:pPr>
        <w:pStyle w:val="af0"/>
        <w:spacing w:before="62"/>
        <w:rPr>
          <w:szCs w:val="20"/>
        </w:rPr>
      </w:pPr>
      <w:r>
        <w:rPr>
          <w:rFonts w:hint="eastAsia"/>
          <w:b/>
        </w:rPr>
        <w:t>如何利用</w:t>
      </w:r>
      <w:r>
        <w:rPr>
          <w:rFonts w:hint="eastAsia"/>
          <w:b/>
        </w:rPr>
        <w:t>GPS</w:t>
      </w:r>
      <w:r>
        <w:rPr>
          <w:rFonts w:hint="eastAsia"/>
          <w:b/>
        </w:rPr>
        <w:t>民用信号实现高精度定位</w:t>
      </w:r>
      <w:r w:rsidR="000B726C" w:rsidRPr="000B726C">
        <w:rPr>
          <w:rFonts w:hint="eastAsia"/>
          <w:b/>
        </w:rPr>
        <w:t>是卫星导航产业核心竞争力之一</w:t>
      </w:r>
      <w:r w:rsidR="000B726C">
        <w:rPr>
          <w:rFonts w:hint="eastAsia"/>
          <w:b/>
        </w:rPr>
        <w:t>。</w:t>
      </w:r>
      <w:r w:rsidR="000B726C">
        <w:rPr>
          <w:rFonts w:hint="eastAsia"/>
          <w:szCs w:val="20"/>
        </w:rPr>
        <w:t>目前世界上最稳定、先进的</w:t>
      </w:r>
      <w:r w:rsidR="000B726C">
        <w:rPr>
          <w:szCs w:val="20"/>
        </w:rPr>
        <w:t>GPS</w:t>
      </w:r>
      <w:r w:rsidR="000B726C">
        <w:rPr>
          <w:rFonts w:hint="eastAsia"/>
          <w:szCs w:val="20"/>
        </w:rPr>
        <w:t>系统</w:t>
      </w:r>
      <w:r>
        <w:rPr>
          <w:rFonts w:hint="eastAsia"/>
          <w:szCs w:val="20"/>
        </w:rPr>
        <w:t>提供的</w:t>
      </w:r>
      <w:r w:rsidR="000B726C">
        <w:rPr>
          <w:rFonts w:hint="eastAsia"/>
          <w:szCs w:val="20"/>
        </w:rPr>
        <w:t>军用信号</w:t>
      </w:r>
      <w:r>
        <w:rPr>
          <w:rFonts w:hint="eastAsia"/>
          <w:szCs w:val="20"/>
        </w:rPr>
        <w:t>(P</w:t>
      </w:r>
      <w:r>
        <w:rPr>
          <w:rFonts w:hint="eastAsia"/>
          <w:szCs w:val="20"/>
        </w:rPr>
        <w:t>码</w:t>
      </w:r>
      <w:r>
        <w:rPr>
          <w:rFonts w:hint="eastAsia"/>
          <w:szCs w:val="20"/>
        </w:rPr>
        <w:t>)</w:t>
      </w:r>
      <w:r w:rsidR="000B726C">
        <w:rPr>
          <w:rFonts w:hint="eastAsia"/>
          <w:szCs w:val="20"/>
        </w:rPr>
        <w:t>精度为</w:t>
      </w:r>
      <w:r w:rsidR="000B726C">
        <w:rPr>
          <w:szCs w:val="20"/>
        </w:rPr>
        <w:t>1</w:t>
      </w:r>
      <w:r>
        <w:rPr>
          <w:rFonts w:hint="eastAsia"/>
          <w:szCs w:val="20"/>
        </w:rPr>
        <w:t>米以内，</w:t>
      </w:r>
      <w:r w:rsidR="000B726C">
        <w:rPr>
          <w:rFonts w:hint="eastAsia"/>
          <w:szCs w:val="20"/>
        </w:rPr>
        <w:t>民用信号</w:t>
      </w:r>
      <w:r>
        <w:rPr>
          <w:rFonts w:hint="eastAsia"/>
          <w:szCs w:val="20"/>
        </w:rPr>
        <w:t>(C/A</w:t>
      </w:r>
      <w:r>
        <w:rPr>
          <w:rFonts w:hint="eastAsia"/>
          <w:szCs w:val="20"/>
        </w:rPr>
        <w:t>码</w:t>
      </w:r>
      <w:r>
        <w:rPr>
          <w:rFonts w:hint="eastAsia"/>
          <w:szCs w:val="20"/>
        </w:rPr>
        <w:t>)</w:t>
      </w:r>
      <w:r w:rsidR="00F85913">
        <w:rPr>
          <w:rFonts w:hint="eastAsia"/>
          <w:szCs w:val="20"/>
        </w:rPr>
        <w:t>精度为</w:t>
      </w:r>
      <w:r w:rsidR="000B726C">
        <w:rPr>
          <w:szCs w:val="20"/>
        </w:rPr>
        <w:t>10</w:t>
      </w:r>
      <w:r w:rsidR="000B726C">
        <w:rPr>
          <w:rFonts w:hint="eastAsia"/>
          <w:szCs w:val="20"/>
        </w:rPr>
        <w:t>米</w:t>
      </w:r>
      <w:r w:rsidR="00F85913">
        <w:rPr>
          <w:rFonts w:hint="eastAsia"/>
          <w:szCs w:val="20"/>
        </w:rPr>
        <w:t>左右</w:t>
      </w:r>
      <w:r>
        <w:rPr>
          <w:rFonts w:hint="eastAsia"/>
          <w:szCs w:val="20"/>
        </w:rPr>
        <w:t>。</w:t>
      </w:r>
      <w:r w:rsidR="00B51D8A">
        <w:rPr>
          <w:rFonts w:hint="eastAsia"/>
          <w:szCs w:val="20"/>
        </w:rPr>
        <w:t>GPS</w:t>
      </w:r>
      <w:r w:rsidR="00B51D8A">
        <w:rPr>
          <w:rFonts w:hint="eastAsia"/>
          <w:szCs w:val="20"/>
        </w:rPr>
        <w:t>系统对外公</w:t>
      </w:r>
      <w:proofErr w:type="gramStart"/>
      <w:r w:rsidR="00B51D8A">
        <w:rPr>
          <w:rFonts w:hint="eastAsia"/>
          <w:szCs w:val="20"/>
        </w:rPr>
        <w:t>开提供</w:t>
      </w:r>
      <w:proofErr w:type="gramEnd"/>
      <w:r w:rsidR="00B51D8A">
        <w:rPr>
          <w:rFonts w:hint="eastAsia"/>
          <w:szCs w:val="20"/>
        </w:rPr>
        <w:t>的民用信号为</w:t>
      </w:r>
      <w:r w:rsidR="00B51D8A">
        <w:rPr>
          <w:rFonts w:hint="eastAsia"/>
          <w:szCs w:val="20"/>
        </w:rPr>
        <w:t>C/A</w:t>
      </w:r>
      <w:r w:rsidR="00B51D8A">
        <w:rPr>
          <w:rFonts w:hint="eastAsia"/>
          <w:szCs w:val="20"/>
        </w:rPr>
        <w:t>码。</w:t>
      </w:r>
      <w:r w:rsidR="009901F4">
        <w:rPr>
          <w:rFonts w:hint="eastAsia"/>
          <w:szCs w:val="20"/>
        </w:rPr>
        <w:t>通常用于</w:t>
      </w:r>
      <w:r>
        <w:rPr>
          <w:rFonts w:hint="eastAsia"/>
          <w:szCs w:val="20"/>
        </w:rPr>
        <w:t>大众消费领域</w:t>
      </w:r>
      <w:r w:rsidR="009901F4">
        <w:rPr>
          <w:rFonts w:hint="eastAsia"/>
          <w:szCs w:val="20"/>
        </w:rPr>
        <w:t>的定位设备</w:t>
      </w:r>
      <w:r>
        <w:rPr>
          <w:rFonts w:hint="eastAsia"/>
          <w:szCs w:val="20"/>
        </w:rPr>
        <w:t>通常采用的绝对定位方法</w:t>
      </w:r>
      <w:r w:rsidR="00756934">
        <w:rPr>
          <w:rFonts w:hint="eastAsia"/>
          <w:szCs w:val="20"/>
        </w:rPr>
        <w:t>(RTD)</w:t>
      </w:r>
      <w:r w:rsidR="009901F4">
        <w:rPr>
          <w:rFonts w:hint="eastAsia"/>
          <w:szCs w:val="20"/>
        </w:rPr>
        <w:t>，其定位误差在</w:t>
      </w:r>
      <w:r w:rsidR="009901F4">
        <w:rPr>
          <w:rFonts w:hint="eastAsia"/>
          <w:szCs w:val="20"/>
        </w:rPr>
        <w:t>5</w:t>
      </w:r>
      <w:r w:rsidR="009901F4">
        <w:rPr>
          <w:rFonts w:hint="eastAsia"/>
          <w:szCs w:val="20"/>
        </w:rPr>
        <w:t>至</w:t>
      </w:r>
      <w:r w:rsidR="009901F4">
        <w:rPr>
          <w:rFonts w:hint="eastAsia"/>
          <w:szCs w:val="20"/>
        </w:rPr>
        <w:t>10</w:t>
      </w:r>
      <w:r w:rsidR="009901F4">
        <w:rPr>
          <w:rFonts w:hint="eastAsia"/>
          <w:szCs w:val="20"/>
        </w:rPr>
        <w:t>米左右。</w:t>
      </w:r>
      <w:r>
        <w:rPr>
          <w:rFonts w:hint="eastAsia"/>
          <w:szCs w:val="20"/>
        </w:rPr>
        <w:t>高精度</w:t>
      </w:r>
      <w:r w:rsidR="009901F4">
        <w:rPr>
          <w:rFonts w:hint="eastAsia"/>
          <w:szCs w:val="20"/>
        </w:rPr>
        <w:t>定位</w:t>
      </w:r>
      <w:r>
        <w:rPr>
          <w:rFonts w:hint="eastAsia"/>
          <w:szCs w:val="20"/>
        </w:rPr>
        <w:t>领域</w:t>
      </w:r>
      <w:r w:rsidR="009901F4">
        <w:rPr>
          <w:rFonts w:hint="eastAsia"/>
          <w:szCs w:val="20"/>
        </w:rPr>
        <w:t>主要</w:t>
      </w:r>
      <w:r>
        <w:rPr>
          <w:rFonts w:hint="eastAsia"/>
          <w:szCs w:val="20"/>
        </w:rPr>
        <w:t>采用相对定位法</w:t>
      </w:r>
      <w:r w:rsidR="00756934">
        <w:rPr>
          <w:rFonts w:hint="eastAsia"/>
          <w:szCs w:val="20"/>
        </w:rPr>
        <w:t>(RTK)</w:t>
      </w:r>
      <w:r>
        <w:rPr>
          <w:rFonts w:hint="eastAsia"/>
          <w:szCs w:val="20"/>
        </w:rPr>
        <w:t>来消除定位精度受卫星轨道误差、钟差以及信号传播误差等带来的诸多影响</w:t>
      </w:r>
      <w:r w:rsidR="008F6821">
        <w:rPr>
          <w:rFonts w:hint="eastAsia"/>
          <w:szCs w:val="20"/>
        </w:rPr>
        <w:t>。</w:t>
      </w:r>
      <w:r>
        <w:rPr>
          <w:rFonts w:hint="eastAsia"/>
          <w:szCs w:val="20"/>
        </w:rPr>
        <w:t>相对定位方法是利用两台接收机，同步观测相同的卫星，卫星的轨道误差、卫星的钟差、以及传播误差有一定的相关性，利用这些观测量的不同组合，可有效消除或者减弱上述误差的影响，从而提高相对定位的精度。</w:t>
      </w:r>
    </w:p>
    <w:p w:rsidR="00F66261" w:rsidRDefault="00D54C13" w:rsidP="00F66261">
      <w:pPr>
        <w:pStyle w:val="af0"/>
        <w:spacing w:before="62"/>
        <w:rPr>
          <w:szCs w:val="20"/>
        </w:rPr>
      </w:pPr>
      <w:r>
        <w:rPr>
          <w:rFonts w:hint="eastAsia"/>
          <w:szCs w:val="20"/>
        </w:rPr>
        <w:t>由于接受到的信号为精度不高的</w:t>
      </w:r>
      <w:r>
        <w:rPr>
          <w:rFonts w:hint="eastAsia"/>
          <w:szCs w:val="20"/>
        </w:rPr>
        <w:t>C/A</w:t>
      </w:r>
      <w:r>
        <w:rPr>
          <w:rFonts w:hint="eastAsia"/>
          <w:szCs w:val="20"/>
        </w:rPr>
        <w:t>码，</w:t>
      </w:r>
      <w:r w:rsidR="008D59A6">
        <w:rPr>
          <w:rFonts w:hint="eastAsia"/>
          <w:szCs w:val="20"/>
        </w:rPr>
        <w:t>提高定位精度</w:t>
      </w:r>
      <w:r w:rsidR="00A340CB">
        <w:rPr>
          <w:rFonts w:hint="eastAsia"/>
          <w:szCs w:val="20"/>
        </w:rPr>
        <w:t>需</w:t>
      </w:r>
      <w:r w:rsidR="0064363A">
        <w:rPr>
          <w:rFonts w:hint="eastAsia"/>
          <w:szCs w:val="20"/>
        </w:rPr>
        <w:t>要</w:t>
      </w:r>
      <w:r w:rsidR="008D59A6">
        <w:rPr>
          <w:rFonts w:hint="eastAsia"/>
          <w:szCs w:val="20"/>
        </w:rPr>
        <w:t>在定位方法（核心算法等）等层面下功夫，通过软件计算提升</w:t>
      </w:r>
      <w:r w:rsidR="008D59A6">
        <w:rPr>
          <w:rFonts w:hint="eastAsia"/>
          <w:szCs w:val="20"/>
        </w:rPr>
        <w:t>GPS</w:t>
      </w:r>
      <w:r w:rsidR="008D59A6">
        <w:rPr>
          <w:rFonts w:hint="eastAsia"/>
          <w:szCs w:val="20"/>
        </w:rPr>
        <w:t>民用</w:t>
      </w:r>
      <w:r w:rsidR="008D59A6">
        <w:rPr>
          <w:rFonts w:hint="eastAsia"/>
          <w:szCs w:val="20"/>
        </w:rPr>
        <w:t>C/A</w:t>
      </w:r>
      <w:r w:rsidR="0064363A">
        <w:rPr>
          <w:rFonts w:hint="eastAsia"/>
          <w:szCs w:val="20"/>
        </w:rPr>
        <w:t>码</w:t>
      </w:r>
      <w:r w:rsidR="008D59A6">
        <w:rPr>
          <w:rFonts w:hint="eastAsia"/>
          <w:szCs w:val="20"/>
        </w:rPr>
        <w:t>的</w:t>
      </w:r>
      <w:r w:rsidR="0064363A">
        <w:rPr>
          <w:rFonts w:hint="eastAsia"/>
          <w:szCs w:val="20"/>
        </w:rPr>
        <w:t>信号</w:t>
      </w:r>
      <w:r w:rsidR="008D59A6">
        <w:rPr>
          <w:rFonts w:hint="eastAsia"/>
          <w:szCs w:val="20"/>
        </w:rPr>
        <w:t>精度</w:t>
      </w:r>
      <w:r w:rsidR="0064363A">
        <w:rPr>
          <w:rFonts w:hint="eastAsia"/>
          <w:szCs w:val="20"/>
        </w:rPr>
        <w:t>直接体现高精度产业企业的</w:t>
      </w:r>
      <w:r w:rsidR="008D59A6">
        <w:rPr>
          <w:rFonts w:hint="eastAsia"/>
          <w:szCs w:val="20"/>
        </w:rPr>
        <w:t>核心竞争能力。</w:t>
      </w:r>
      <w:r w:rsidR="00A340CB">
        <w:rPr>
          <w:rFonts w:hint="eastAsia"/>
          <w:szCs w:val="20"/>
        </w:rPr>
        <w:t>公司已经完全掌握</w:t>
      </w:r>
      <w:r w:rsidR="00756934" w:rsidRPr="00756934">
        <w:rPr>
          <w:rFonts w:hint="eastAsia"/>
          <w:szCs w:val="20"/>
        </w:rPr>
        <w:t>卫星绝对定位技术、差分定位技术、长距离</w:t>
      </w:r>
      <w:r w:rsidR="00756934" w:rsidRPr="00756934">
        <w:rPr>
          <w:szCs w:val="20"/>
        </w:rPr>
        <w:t>RTK</w:t>
      </w:r>
      <w:r w:rsidR="00756934" w:rsidRPr="00756934">
        <w:rPr>
          <w:rFonts w:hint="eastAsia"/>
          <w:szCs w:val="20"/>
        </w:rPr>
        <w:t>算法</w:t>
      </w:r>
      <w:r w:rsidR="00756934">
        <w:rPr>
          <w:rFonts w:hint="eastAsia"/>
          <w:szCs w:val="20"/>
        </w:rPr>
        <w:t>等数十项核心技术，</w:t>
      </w:r>
      <w:r w:rsidR="001C5890">
        <w:rPr>
          <w:rFonts w:hint="eastAsia"/>
          <w:szCs w:val="20"/>
        </w:rPr>
        <w:t>具备从毫米级、厘米级、亚</w:t>
      </w:r>
      <w:proofErr w:type="gramStart"/>
      <w:r w:rsidR="001C5890">
        <w:rPr>
          <w:rFonts w:hint="eastAsia"/>
          <w:szCs w:val="20"/>
        </w:rPr>
        <w:t>米级到米级</w:t>
      </w:r>
      <w:proofErr w:type="gramEnd"/>
      <w:r w:rsidR="001C5890">
        <w:rPr>
          <w:rFonts w:hint="eastAsia"/>
          <w:szCs w:val="20"/>
        </w:rPr>
        <w:t>等不同精度等级的产品生产能力。主要产品在国内市场占有较高的市场份额，为</w:t>
      </w:r>
      <w:r w:rsidR="001C5890">
        <w:rPr>
          <w:rFonts w:hint="eastAsia"/>
          <w:szCs w:val="20"/>
        </w:rPr>
        <w:t>GNSS</w:t>
      </w:r>
      <w:r w:rsidR="001C5890">
        <w:rPr>
          <w:rFonts w:hint="eastAsia"/>
          <w:szCs w:val="20"/>
        </w:rPr>
        <w:t>专业定位设备</w:t>
      </w:r>
      <w:r w:rsidR="00641F23">
        <w:rPr>
          <w:rFonts w:hint="eastAsia"/>
          <w:szCs w:val="20"/>
        </w:rPr>
        <w:t>行业</w:t>
      </w:r>
      <w:r w:rsidR="001C5890">
        <w:rPr>
          <w:rFonts w:hint="eastAsia"/>
          <w:szCs w:val="20"/>
        </w:rPr>
        <w:t>领域的领先者。</w:t>
      </w:r>
    </w:p>
    <w:p w:rsidR="00542379" w:rsidRPr="00795150" w:rsidRDefault="0062495C" w:rsidP="00522590">
      <w:pPr>
        <w:numPr>
          <w:ilvl w:val="0"/>
          <w:numId w:val="2"/>
        </w:numPr>
        <w:tabs>
          <w:tab w:val="clear" w:pos="600"/>
          <w:tab w:val="num" w:pos="360"/>
        </w:tabs>
        <w:spacing w:beforeLines="20"/>
        <w:ind w:left="361" w:hangingChars="187" w:hanging="361"/>
        <w:rPr>
          <w:rStyle w:val="big1"/>
          <w:rFonts w:ascii="Arial" w:eastAsia="楷体_GB2312" w:hAnsi="Arial" w:cs="Arial"/>
          <w:b/>
          <w:spacing w:val="-4"/>
          <w:sz w:val="20"/>
        </w:rPr>
      </w:pPr>
      <w:r>
        <w:rPr>
          <w:rStyle w:val="big1"/>
          <w:rFonts w:ascii="Arial" w:eastAsia="楷体_GB2312" w:hAnsi="Arial" w:cs="Arial" w:hint="eastAsia"/>
          <w:b/>
          <w:spacing w:val="-4"/>
          <w:sz w:val="20"/>
        </w:rPr>
        <w:t>国家基础设施建设的持续投入</w:t>
      </w:r>
      <w:r w:rsidR="00132DFA">
        <w:rPr>
          <w:rStyle w:val="big1"/>
          <w:rFonts w:ascii="Arial" w:eastAsia="楷体_GB2312" w:hAnsi="Arial" w:cs="Arial" w:hint="eastAsia"/>
          <w:b/>
          <w:spacing w:val="-4"/>
          <w:sz w:val="20"/>
        </w:rPr>
        <w:t>将</w:t>
      </w:r>
      <w:r w:rsidR="00542379">
        <w:rPr>
          <w:rStyle w:val="big1"/>
          <w:rFonts w:ascii="Arial" w:eastAsia="楷体_GB2312" w:hAnsi="Arial" w:cs="Arial" w:hint="eastAsia"/>
          <w:b/>
          <w:spacing w:val="-4"/>
          <w:sz w:val="20"/>
        </w:rPr>
        <w:t>带动</w:t>
      </w:r>
      <w:r w:rsidR="00542379">
        <w:rPr>
          <w:rStyle w:val="big1"/>
          <w:rFonts w:ascii="Arial" w:eastAsia="楷体_GB2312" w:hAnsi="Arial" w:cs="Arial" w:hint="eastAsia"/>
          <w:b/>
          <w:spacing w:val="-4"/>
          <w:sz w:val="20"/>
        </w:rPr>
        <w:t>GNSS</w:t>
      </w:r>
      <w:r w:rsidR="00542379">
        <w:rPr>
          <w:rStyle w:val="big1"/>
          <w:rFonts w:ascii="Arial" w:eastAsia="楷体_GB2312" w:hAnsi="Arial" w:cs="Arial" w:hint="eastAsia"/>
          <w:b/>
          <w:spacing w:val="-4"/>
          <w:sz w:val="20"/>
        </w:rPr>
        <w:t>测绘产品需求</w:t>
      </w:r>
      <w:r>
        <w:rPr>
          <w:rStyle w:val="big1"/>
          <w:rFonts w:ascii="Arial" w:eastAsia="楷体_GB2312" w:hAnsi="Arial" w:cs="Arial" w:hint="eastAsia"/>
          <w:b/>
          <w:spacing w:val="-4"/>
          <w:sz w:val="20"/>
        </w:rPr>
        <w:t>的稳定增长</w:t>
      </w:r>
    </w:p>
    <w:p w:rsidR="00B814D8" w:rsidRPr="00542379" w:rsidRDefault="00B724BD" w:rsidP="00542379">
      <w:pPr>
        <w:pStyle w:val="af0"/>
        <w:spacing w:before="62"/>
      </w:pPr>
      <w:r>
        <w:rPr>
          <w:rFonts w:hint="eastAsia"/>
          <w:b/>
        </w:rPr>
        <w:t>GNSS</w:t>
      </w:r>
      <w:r>
        <w:rPr>
          <w:rFonts w:hint="eastAsia"/>
          <w:b/>
        </w:rPr>
        <w:t>设备市场需求受益</w:t>
      </w:r>
      <w:r w:rsidR="00CB5835">
        <w:rPr>
          <w:rFonts w:hint="eastAsia"/>
          <w:b/>
        </w:rPr>
        <w:t>于</w:t>
      </w:r>
      <w:r w:rsidR="00690C6F" w:rsidRPr="00690C6F">
        <w:rPr>
          <w:rFonts w:hint="eastAsia"/>
          <w:b/>
        </w:rPr>
        <w:t>国家基础设施建设拉动。</w:t>
      </w:r>
      <w:r w:rsidR="00335228" w:rsidRPr="00542379">
        <w:rPr>
          <w:rFonts w:hint="eastAsia"/>
        </w:rPr>
        <w:t>GNSS</w:t>
      </w:r>
      <w:r w:rsidR="00335228" w:rsidRPr="00542379">
        <w:rPr>
          <w:rFonts w:hint="eastAsia"/>
        </w:rPr>
        <w:t>产品</w:t>
      </w:r>
      <w:r w:rsidR="00335228">
        <w:rPr>
          <w:rFonts w:hint="eastAsia"/>
        </w:rPr>
        <w:t>采用</w:t>
      </w:r>
      <w:r w:rsidR="00335228">
        <w:rPr>
          <w:rFonts w:hint="eastAsia"/>
        </w:rPr>
        <w:t>GPS</w:t>
      </w:r>
      <w:r w:rsidR="00335228">
        <w:rPr>
          <w:rFonts w:hint="eastAsia"/>
        </w:rPr>
        <w:t>数据，相比常规光学等测绘仪器具有全天候使用、</w:t>
      </w:r>
      <w:r w:rsidR="00C04C75">
        <w:rPr>
          <w:rFonts w:hint="eastAsia"/>
        </w:rPr>
        <w:t>无视线限制</w:t>
      </w:r>
      <w:r w:rsidR="00335228">
        <w:rPr>
          <w:rFonts w:hint="eastAsia"/>
        </w:rPr>
        <w:t>等优点</w:t>
      </w:r>
      <w:r w:rsidR="00315946">
        <w:rPr>
          <w:rFonts w:hint="eastAsia"/>
        </w:rPr>
        <w:t>，</w:t>
      </w:r>
      <w:r w:rsidR="00542379" w:rsidRPr="00542379">
        <w:rPr>
          <w:rFonts w:hint="eastAsia"/>
        </w:rPr>
        <w:t>广泛应用于</w:t>
      </w:r>
      <w:r w:rsidR="003D4D23">
        <w:rPr>
          <w:rFonts w:hint="eastAsia"/>
        </w:rPr>
        <w:t>国土资源、交通</w:t>
      </w:r>
      <w:r w:rsidR="003D4D23">
        <w:rPr>
          <w:rFonts w:hint="eastAsia"/>
        </w:rPr>
        <w:t>(</w:t>
      </w:r>
      <w:r w:rsidR="00315946">
        <w:rPr>
          <w:rFonts w:hint="eastAsia"/>
        </w:rPr>
        <w:t>铁路、公路、机场</w:t>
      </w:r>
      <w:r w:rsidR="00F66B8D">
        <w:rPr>
          <w:rFonts w:hint="eastAsia"/>
        </w:rPr>
        <w:t>、港口</w:t>
      </w:r>
      <w:r w:rsidR="003D4D23">
        <w:rPr>
          <w:rFonts w:hint="eastAsia"/>
        </w:rPr>
        <w:t>)</w:t>
      </w:r>
      <w:r w:rsidR="003D4D23">
        <w:rPr>
          <w:rFonts w:hint="eastAsia"/>
        </w:rPr>
        <w:t>、电力</w:t>
      </w:r>
      <w:r w:rsidR="00315946">
        <w:rPr>
          <w:rFonts w:hint="eastAsia"/>
        </w:rPr>
        <w:t>等</w:t>
      </w:r>
      <w:r w:rsidR="00F66B8D">
        <w:rPr>
          <w:rFonts w:hint="eastAsia"/>
        </w:rPr>
        <w:t>大型</w:t>
      </w:r>
      <w:r w:rsidR="00315946">
        <w:rPr>
          <w:rFonts w:hint="eastAsia"/>
        </w:rPr>
        <w:t>基础建设项目</w:t>
      </w:r>
      <w:r w:rsidR="00F66B8D">
        <w:rPr>
          <w:rFonts w:hint="eastAsia"/>
        </w:rPr>
        <w:t>领域。</w:t>
      </w:r>
      <w:r w:rsidR="00C04C75">
        <w:rPr>
          <w:rFonts w:hint="eastAsia"/>
        </w:rPr>
        <w:t>未来</w:t>
      </w:r>
      <w:r w:rsidR="00F66B8D">
        <w:rPr>
          <w:rFonts w:hint="eastAsia"/>
        </w:rPr>
        <w:t>国家利用基础设施建设及其他政府主导型的大工程拉动经济增长的模式仍将继续，</w:t>
      </w:r>
      <w:r w:rsidR="00FD0C78">
        <w:rPr>
          <w:rFonts w:hint="eastAsia"/>
        </w:rPr>
        <w:t>这将继续带动高精度</w:t>
      </w:r>
      <w:r w:rsidR="00FD0C78">
        <w:rPr>
          <w:rFonts w:hint="eastAsia"/>
        </w:rPr>
        <w:t>GNSS</w:t>
      </w:r>
      <w:r w:rsidR="00FD0C78">
        <w:rPr>
          <w:rFonts w:hint="eastAsia"/>
        </w:rPr>
        <w:t>测量设备稳定的需求</w:t>
      </w:r>
      <w:r>
        <w:rPr>
          <w:rFonts w:hint="eastAsia"/>
        </w:rPr>
        <w:t>。今年以来</w:t>
      </w:r>
      <w:r w:rsidR="00676717">
        <w:rPr>
          <w:rFonts w:hint="eastAsia"/>
        </w:rPr>
        <w:t>虽然</w:t>
      </w:r>
      <w:r w:rsidR="00732D1E">
        <w:rPr>
          <w:rFonts w:hint="eastAsia"/>
        </w:rPr>
        <w:t>受国家固定资产投入增速下降</w:t>
      </w:r>
      <w:r w:rsidR="002A468C">
        <w:rPr>
          <w:rFonts w:hint="eastAsia"/>
        </w:rPr>
        <w:t>的影响，</w:t>
      </w:r>
      <w:r w:rsidR="00676717">
        <w:rPr>
          <w:rFonts w:hint="eastAsia"/>
        </w:rPr>
        <w:t>测绘项目投资</w:t>
      </w:r>
      <w:r>
        <w:rPr>
          <w:rFonts w:hint="eastAsia"/>
        </w:rPr>
        <w:t>增速有所下降。</w:t>
      </w:r>
      <w:r w:rsidR="0072221F">
        <w:rPr>
          <w:rFonts w:hint="eastAsia"/>
        </w:rPr>
        <w:t>不过</w:t>
      </w:r>
      <w:r w:rsidR="002A468C">
        <w:rPr>
          <w:rFonts w:hint="eastAsia"/>
        </w:rPr>
        <w:t>公司</w:t>
      </w:r>
      <w:r w:rsidR="009A25F8">
        <w:rPr>
          <w:rFonts w:hint="eastAsia"/>
        </w:rPr>
        <w:t>产品主要</w:t>
      </w:r>
      <w:r w:rsidR="002A468C">
        <w:rPr>
          <w:rFonts w:hint="eastAsia"/>
        </w:rPr>
        <w:t>用于外围建设的</w:t>
      </w:r>
      <w:r w:rsidR="009A25F8">
        <w:rPr>
          <w:rFonts w:hint="eastAsia"/>
        </w:rPr>
        <w:t>前期</w:t>
      </w:r>
      <w:r w:rsidR="002A468C">
        <w:rPr>
          <w:rFonts w:hint="eastAsia"/>
        </w:rPr>
        <w:t>勘探，影响</w:t>
      </w:r>
      <w:r>
        <w:rPr>
          <w:rFonts w:hint="eastAsia"/>
        </w:rPr>
        <w:t>相对</w:t>
      </w:r>
      <w:r w:rsidR="002A468C">
        <w:rPr>
          <w:rFonts w:hint="eastAsia"/>
        </w:rPr>
        <w:t>较小。</w:t>
      </w:r>
      <w:r w:rsidR="001956E0">
        <w:rPr>
          <w:rFonts w:hint="eastAsia"/>
        </w:rPr>
        <w:t>在海外市场放量的背景下，</w:t>
      </w:r>
      <w:r w:rsidR="002A468C">
        <w:rPr>
          <w:rFonts w:hint="eastAsia"/>
        </w:rPr>
        <w:t>预计今年</w:t>
      </w:r>
      <w:r w:rsidR="00D464E4">
        <w:rPr>
          <w:rFonts w:hint="eastAsia"/>
        </w:rPr>
        <w:t>公司</w:t>
      </w:r>
      <w:r w:rsidR="002A468C">
        <w:rPr>
          <w:rFonts w:hint="eastAsia"/>
        </w:rPr>
        <w:t>GNSS</w:t>
      </w:r>
      <w:r w:rsidR="002A468C">
        <w:rPr>
          <w:rFonts w:hint="eastAsia"/>
        </w:rPr>
        <w:t>产品业务收入增速较为平稳，同比增速</w:t>
      </w:r>
      <w:r w:rsidR="00D213D6">
        <w:rPr>
          <w:rFonts w:hint="eastAsia"/>
        </w:rPr>
        <w:t>约为</w:t>
      </w:r>
      <w:r w:rsidR="002A468C" w:rsidRPr="004A5F05">
        <w:rPr>
          <w:szCs w:val="21"/>
        </w:rPr>
        <w:t xml:space="preserve"> 20%</w:t>
      </w:r>
      <w:r w:rsidR="002A468C" w:rsidRPr="004A5F05">
        <w:rPr>
          <w:szCs w:val="21"/>
        </w:rPr>
        <w:t>左右</w:t>
      </w:r>
      <w:r w:rsidR="002A468C">
        <w:rPr>
          <w:rFonts w:hint="eastAsia"/>
          <w:szCs w:val="21"/>
        </w:rPr>
        <w:t>。</w:t>
      </w:r>
    </w:p>
    <w:p w:rsidR="00C55D4E" w:rsidRPr="00A076A0" w:rsidRDefault="00FD0C78" w:rsidP="00A076A0">
      <w:pPr>
        <w:pStyle w:val="af0"/>
        <w:spacing w:before="62"/>
      </w:pPr>
      <w:r w:rsidRPr="00A076A0">
        <w:rPr>
          <w:rFonts w:hint="eastAsia"/>
          <w:b/>
        </w:rPr>
        <w:t>进口替代提升国产品牌的市场空间。</w:t>
      </w:r>
      <w:r w:rsidRPr="00A076A0">
        <w:rPr>
          <w:rFonts w:hint="eastAsia"/>
        </w:rPr>
        <w:t>国内</w:t>
      </w:r>
      <w:r w:rsidRPr="00A076A0">
        <w:rPr>
          <w:rFonts w:hint="eastAsia"/>
        </w:rPr>
        <w:t>GNSS</w:t>
      </w:r>
      <w:r w:rsidRPr="00A076A0">
        <w:rPr>
          <w:rFonts w:hint="eastAsia"/>
        </w:rPr>
        <w:t>设备经过十几年的发展，除</w:t>
      </w:r>
      <w:r w:rsidRPr="00A076A0">
        <w:rPr>
          <w:rFonts w:hint="eastAsia"/>
        </w:rPr>
        <w:t>GPS</w:t>
      </w:r>
      <w:r w:rsidRPr="00A076A0">
        <w:rPr>
          <w:rFonts w:hint="eastAsia"/>
        </w:rPr>
        <w:t>卫星定位模块外，电台数据链、</w:t>
      </w:r>
      <w:proofErr w:type="gramStart"/>
      <w:r w:rsidRPr="00A076A0">
        <w:rPr>
          <w:rFonts w:hint="eastAsia"/>
        </w:rPr>
        <w:t>蓝牙通讯</w:t>
      </w:r>
      <w:proofErr w:type="gramEnd"/>
      <w:r w:rsidRPr="00A076A0">
        <w:rPr>
          <w:rFonts w:hint="eastAsia"/>
        </w:rPr>
        <w:t>部分、天线、手持控制器等主要部件都已实现国产化，成</w:t>
      </w:r>
      <w:proofErr w:type="gramStart"/>
      <w:r w:rsidRPr="00A076A0">
        <w:rPr>
          <w:rFonts w:hint="eastAsia"/>
        </w:rPr>
        <w:t>产成本</w:t>
      </w:r>
      <w:proofErr w:type="gramEnd"/>
      <w:r w:rsidR="00001F38" w:rsidRPr="00A076A0">
        <w:rPr>
          <w:rFonts w:hint="eastAsia"/>
        </w:rPr>
        <w:t>大幅降低</w:t>
      </w:r>
      <w:r w:rsidRPr="00A076A0">
        <w:rPr>
          <w:rFonts w:hint="eastAsia"/>
        </w:rPr>
        <w:t>。</w:t>
      </w:r>
      <w:r w:rsidR="00B724BD" w:rsidRPr="00A076A0">
        <w:rPr>
          <w:rFonts w:hint="eastAsia"/>
        </w:rPr>
        <w:t>公司同等产品海外销价约高出国内销价的</w:t>
      </w:r>
      <w:r w:rsidR="00B724BD" w:rsidRPr="00A076A0">
        <w:rPr>
          <w:rFonts w:hint="eastAsia"/>
        </w:rPr>
        <w:t>30-40%</w:t>
      </w:r>
      <w:r w:rsidR="00B724BD" w:rsidRPr="00A076A0">
        <w:rPr>
          <w:rFonts w:hint="eastAsia"/>
        </w:rPr>
        <w:t>，但仍远低于国外品牌的售价（国产同等产品在国内的售价约为海外品牌的</w:t>
      </w:r>
      <w:r w:rsidR="00B724BD" w:rsidRPr="00A076A0">
        <w:rPr>
          <w:rFonts w:hint="eastAsia"/>
        </w:rPr>
        <w:t>1/3-1/2</w:t>
      </w:r>
      <w:r w:rsidR="00B724BD" w:rsidRPr="00A076A0">
        <w:rPr>
          <w:rFonts w:hint="eastAsia"/>
        </w:rPr>
        <w:t>）</w:t>
      </w:r>
      <w:r w:rsidRPr="00A076A0">
        <w:rPr>
          <w:rFonts w:hint="eastAsia"/>
        </w:rPr>
        <w:t>。</w:t>
      </w:r>
      <w:r w:rsidR="00001F38">
        <w:rPr>
          <w:rFonts w:hint="eastAsia"/>
        </w:rPr>
        <w:t>根据</w:t>
      </w:r>
      <w:r w:rsidRPr="00A076A0">
        <w:rPr>
          <w:rFonts w:hint="eastAsia"/>
        </w:rPr>
        <w:t>赛</w:t>
      </w:r>
      <w:proofErr w:type="gramStart"/>
      <w:r w:rsidRPr="00A076A0">
        <w:rPr>
          <w:rFonts w:hint="eastAsia"/>
        </w:rPr>
        <w:t>迪</w:t>
      </w:r>
      <w:proofErr w:type="gramEnd"/>
      <w:r w:rsidRPr="00A076A0">
        <w:rPr>
          <w:rFonts w:hint="eastAsia"/>
        </w:rPr>
        <w:t>顾问统计，国</w:t>
      </w:r>
      <w:r w:rsidRPr="00A076A0">
        <w:rPr>
          <w:rFonts w:hint="eastAsia"/>
        </w:rPr>
        <w:lastRenderedPageBreak/>
        <w:t>产高精度测绘产品的国产品牌占有率（以销量计）从</w:t>
      </w:r>
      <w:r w:rsidRPr="00A076A0">
        <w:rPr>
          <w:rFonts w:hint="eastAsia"/>
        </w:rPr>
        <w:t>2004</w:t>
      </w:r>
      <w:r w:rsidRPr="00A076A0">
        <w:rPr>
          <w:rFonts w:hint="eastAsia"/>
        </w:rPr>
        <w:t>年的</w:t>
      </w:r>
      <w:r w:rsidRPr="00A076A0">
        <w:rPr>
          <w:rFonts w:hint="eastAsia"/>
        </w:rPr>
        <w:t>17%</w:t>
      </w:r>
      <w:r w:rsidRPr="00A076A0">
        <w:rPr>
          <w:rFonts w:hint="eastAsia"/>
        </w:rPr>
        <w:t>迅速提升到</w:t>
      </w:r>
      <w:r w:rsidRPr="00A076A0">
        <w:rPr>
          <w:rFonts w:hint="eastAsia"/>
        </w:rPr>
        <w:t>2009</w:t>
      </w:r>
      <w:r w:rsidRPr="00A076A0">
        <w:rPr>
          <w:rFonts w:hint="eastAsia"/>
        </w:rPr>
        <w:t>年的</w:t>
      </w:r>
      <w:r w:rsidRPr="00A076A0">
        <w:rPr>
          <w:rFonts w:hint="eastAsia"/>
        </w:rPr>
        <w:t>76%</w:t>
      </w:r>
      <w:r w:rsidR="003C54C5">
        <w:rPr>
          <w:rFonts w:hint="eastAsia"/>
        </w:rPr>
        <w:t>。预计</w:t>
      </w:r>
      <w:r w:rsidRPr="00A076A0">
        <w:rPr>
          <w:rFonts w:hint="eastAsia"/>
        </w:rPr>
        <w:t>进口替代的趋势将逐步扩大，国产高精度测绘产品在</w:t>
      </w:r>
      <w:r w:rsidRPr="00A076A0">
        <w:rPr>
          <w:rFonts w:hint="eastAsia"/>
        </w:rPr>
        <w:t>2014</w:t>
      </w:r>
      <w:r w:rsidR="003C54C5">
        <w:rPr>
          <w:rFonts w:hint="eastAsia"/>
        </w:rPr>
        <w:t>年的国内市场占有率（以销量计）有望</w:t>
      </w:r>
      <w:r w:rsidRPr="00A076A0">
        <w:rPr>
          <w:rFonts w:hint="eastAsia"/>
        </w:rPr>
        <w:t>达到</w:t>
      </w:r>
      <w:r w:rsidRPr="00A076A0">
        <w:rPr>
          <w:rFonts w:hint="eastAsia"/>
        </w:rPr>
        <w:t>81%</w:t>
      </w:r>
      <w:r w:rsidRPr="00A076A0">
        <w:rPr>
          <w:rFonts w:hint="eastAsia"/>
        </w:rPr>
        <w:t>以上。</w:t>
      </w:r>
    </w:p>
    <w:p w:rsidR="00F66261" w:rsidRPr="00F66261" w:rsidRDefault="00732C4D" w:rsidP="00522590">
      <w:pPr>
        <w:pStyle w:val="af0"/>
        <w:spacing w:before="62" w:afterLines="50"/>
      </w:pPr>
      <w:r>
        <w:rPr>
          <w:rFonts w:hint="eastAsia"/>
        </w:rPr>
        <w:t>公司</w:t>
      </w:r>
      <w:r w:rsidR="00F66261" w:rsidRPr="00A076A0">
        <w:rPr>
          <w:rFonts w:hint="eastAsia"/>
        </w:rPr>
        <w:t>与巴西、俄罗斯、加拿大、意大利、西班牙、希腊等多个国家和地区的代理商建立了合作关系销售高精度</w:t>
      </w:r>
      <w:r w:rsidR="00F66261" w:rsidRPr="00A076A0">
        <w:rPr>
          <w:rFonts w:hint="eastAsia"/>
        </w:rPr>
        <w:t>GNSS</w:t>
      </w:r>
      <w:r w:rsidR="00F66261" w:rsidRPr="00A076A0">
        <w:rPr>
          <w:rFonts w:hint="eastAsia"/>
        </w:rPr>
        <w:t>产品。</w:t>
      </w:r>
      <w:r w:rsidR="00B724BD" w:rsidRPr="00A076A0">
        <w:rPr>
          <w:rFonts w:hint="eastAsia"/>
        </w:rPr>
        <w:t>11</w:t>
      </w:r>
      <w:r>
        <w:rPr>
          <w:rFonts w:hint="eastAsia"/>
        </w:rPr>
        <w:t>年上半年，受益于</w:t>
      </w:r>
      <w:r w:rsidR="00B724BD" w:rsidRPr="00A076A0">
        <w:rPr>
          <w:rFonts w:hint="eastAsia"/>
        </w:rPr>
        <w:t>海外销售网络的完善以及公司产品的性价比优势，公司海外</w:t>
      </w:r>
      <w:r w:rsidRPr="00A076A0">
        <w:rPr>
          <w:rFonts w:hint="eastAsia"/>
        </w:rPr>
        <w:t>实现</w:t>
      </w:r>
      <w:r>
        <w:rPr>
          <w:rFonts w:hint="eastAsia"/>
        </w:rPr>
        <w:t>销售</w:t>
      </w:r>
      <w:r w:rsidR="00B724BD" w:rsidRPr="00A076A0">
        <w:rPr>
          <w:rFonts w:hint="eastAsia"/>
        </w:rPr>
        <w:t>收入</w:t>
      </w:r>
      <w:r w:rsidR="00B724BD" w:rsidRPr="00A076A0">
        <w:rPr>
          <w:rFonts w:hint="eastAsia"/>
        </w:rPr>
        <w:t>841</w:t>
      </w:r>
      <w:r w:rsidR="00B724BD" w:rsidRPr="00A076A0">
        <w:rPr>
          <w:rFonts w:hint="eastAsia"/>
        </w:rPr>
        <w:t>万元，同比增速为</w:t>
      </w:r>
      <w:r w:rsidR="00B724BD" w:rsidRPr="00A076A0">
        <w:rPr>
          <w:rFonts w:hint="eastAsia"/>
        </w:rPr>
        <w:t>469.14%</w:t>
      </w:r>
      <w:r w:rsidR="002A21BC">
        <w:rPr>
          <w:rFonts w:hint="eastAsia"/>
        </w:rPr>
        <w:t>。我们</w:t>
      </w:r>
      <w:r w:rsidR="00A076A0">
        <w:rPr>
          <w:rFonts w:hint="eastAsia"/>
        </w:rPr>
        <w:t>预计</w:t>
      </w:r>
      <w:r w:rsidR="002A21BC">
        <w:rPr>
          <w:rFonts w:hint="eastAsia"/>
        </w:rPr>
        <w:t>公司</w:t>
      </w:r>
      <w:r w:rsidR="00A076A0">
        <w:rPr>
          <w:rFonts w:hint="eastAsia"/>
        </w:rPr>
        <w:t>海外业务全年增速仍将保持</w:t>
      </w:r>
      <w:r w:rsidR="00EB6DB9">
        <w:rPr>
          <w:rFonts w:hint="eastAsia"/>
        </w:rPr>
        <w:t>500%</w:t>
      </w:r>
      <w:r w:rsidR="00EB6DB9">
        <w:rPr>
          <w:rFonts w:hint="eastAsia"/>
        </w:rPr>
        <w:t>左右的</w:t>
      </w:r>
      <w:r w:rsidR="00A076A0">
        <w:rPr>
          <w:rFonts w:hint="eastAsia"/>
        </w:rPr>
        <w:t>高速增长</w:t>
      </w:r>
      <w:r w:rsidR="00EB6DB9">
        <w:rPr>
          <w:rFonts w:hint="eastAsia"/>
        </w:rPr>
        <w:t>，海外</w:t>
      </w:r>
      <w:r w:rsidR="009D2AD4">
        <w:rPr>
          <w:rFonts w:hint="eastAsia"/>
        </w:rPr>
        <w:t>业务全年</w:t>
      </w:r>
      <w:r w:rsidR="00C65762">
        <w:rPr>
          <w:rFonts w:hint="eastAsia"/>
        </w:rPr>
        <w:t>收入有望</w:t>
      </w:r>
      <w:r w:rsidR="00EB6DB9">
        <w:rPr>
          <w:rFonts w:hint="eastAsia"/>
        </w:rPr>
        <w:t>超过</w:t>
      </w:r>
      <w:r w:rsidR="00EB6DB9">
        <w:rPr>
          <w:rFonts w:hint="eastAsia"/>
        </w:rPr>
        <w:t>3000</w:t>
      </w:r>
      <w:r w:rsidR="00EB6DB9">
        <w:rPr>
          <w:rFonts w:hint="eastAsia"/>
        </w:rPr>
        <w:t>万元</w:t>
      </w:r>
      <w:r w:rsidR="00A076A0">
        <w:rPr>
          <w:rFonts w:hint="eastAsia"/>
        </w:rPr>
        <w:t>。</w:t>
      </w:r>
    </w:p>
    <w:tbl>
      <w:tblPr>
        <w:tblW w:w="9921" w:type="dxa"/>
        <w:jc w:val="center"/>
        <w:tblInd w:w="-103" w:type="dxa"/>
        <w:tblLayout w:type="fixed"/>
        <w:tblLook w:val="0000"/>
      </w:tblPr>
      <w:tblGrid>
        <w:gridCol w:w="4894"/>
        <w:gridCol w:w="236"/>
        <w:gridCol w:w="4791"/>
      </w:tblGrid>
      <w:tr w:rsidR="007D5D57" w:rsidRPr="00912D2D" w:rsidTr="00C55D4E">
        <w:trPr>
          <w:trHeight w:val="340"/>
          <w:jc w:val="center"/>
        </w:trPr>
        <w:tc>
          <w:tcPr>
            <w:tcW w:w="4894" w:type="dxa"/>
            <w:tcBorders>
              <w:top w:val="single" w:sz="2" w:space="0" w:color="auto"/>
              <w:bottom w:val="single" w:sz="2" w:space="0" w:color="auto"/>
            </w:tcBorders>
            <w:vAlign w:val="center"/>
          </w:tcPr>
          <w:p w:rsidR="007D5D57" w:rsidRPr="00912D2D" w:rsidRDefault="00912D2D" w:rsidP="007D5D57">
            <w:pPr>
              <w:pStyle w:val="B10"/>
              <w:ind w:leftChars="-51" w:left="-107" w:firstLineChars="75" w:firstLine="136"/>
              <w:rPr>
                <w:rFonts w:ascii="Arial" w:hAnsi="Arial" w:cs="Arial"/>
                <w:szCs w:val="18"/>
              </w:rPr>
            </w:pPr>
            <w:bookmarkStart w:id="0" w:name="_Toc270888758"/>
            <w:bookmarkStart w:id="1" w:name="_Toc270893965"/>
            <w:bookmarkStart w:id="2" w:name="_Toc270894250"/>
            <w:bookmarkStart w:id="3" w:name="_Toc270894519"/>
            <w:bookmarkStart w:id="4" w:name="_Toc270894773"/>
            <w:r w:rsidRPr="003B7398">
              <w:rPr>
                <w:rFonts w:ascii="Arial" w:hAnsi="Arial" w:cs="Arial"/>
                <w:szCs w:val="18"/>
              </w:rPr>
              <w:t>图</w:t>
            </w:r>
            <w:r w:rsidR="00547A2C" w:rsidRPr="003B7398">
              <w:rPr>
                <w:rFonts w:ascii="Arial" w:hAnsi="Arial" w:cs="Arial"/>
                <w:color w:val="000000"/>
                <w:szCs w:val="18"/>
              </w:rPr>
              <w:fldChar w:fldCharType="begin"/>
            </w:r>
            <w:r w:rsidRPr="003B7398">
              <w:rPr>
                <w:rFonts w:ascii="Arial" w:hAnsi="Arial" w:cs="Arial"/>
                <w:color w:val="000000"/>
                <w:szCs w:val="18"/>
              </w:rPr>
              <w:instrText xml:space="preserve"> </w:instrText>
            </w:r>
            <w:r w:rsidRPr="003B7398">
              <w:rPr>
                <w:rFonts w:ascii="Arial" w:hAnsi="Arial" w:cs="Arial" w:hint="eastAsia"/>
                <w:color w:val="000000"/>
                <w:szCs w:val="18"/>
              </w:rPr>
              <w:instrText xml:space="preserve">SEQ </w:instrText>
            </w:r>
            <w:r w:rsidRPr="003B7398">
              <w:rPr>
                <w:rFonts w:ascii="Arial" w:hAnsi="Arial" w:cs="Arial" w:hint="eastAsia"/>
                <w:color w:val="000000"/>
                <w:szCs w:val="18"/>
              </w:rPr>
              <w:instrText>图</w:instrText>
            </w:r>
            <w:r w:rsidRPr="003B7398">
              <w:rPr>
                <w:rFonts w:ascii="Arial" w:hAnsi="Arial" w:cs="Arial" w:hint="eastAsia"/>
                <w:color w:val="000000"/>
                <w:szCs w:val="18"/>
              </w:rPr>
              <w:instrText xml:space="preserve"> \* ARABIC</w:instrText>
            </w:r>
            <w:r w:rsidRPr="003B7398">
              <w:rPr>
                <w:rFonts w:ascii="Arial" w:hAnsi="Arial" w:cs="Arial"/>
                <w:color w:val="000000"/>
                <w:szCs w:val="18"/>
              </w:rPr>
              <w:instrText xml:space="preserve"> </w:instrText>
            </w:r>
            <w:r w:rsidR="00547A2C" w:rsidRPr="003B7398">
              <w:rPr>
                <w:rFonts w:ascii="Arial" w:hAnsi="Arial" w:cs="Arial"/>
                <w:color w:val="000000"/>
                <w:szCs w:val="18"/>
              </w:rPr>
              <w:fldChar w:fldCharType="separate"/>
            </w:r>
            <w:r w:rsidR="00C364F8">
              <w:rPr>
                <w:rFonts w:ascii="Arial" w:hAnsi="Arial" w:cs="Arial"/>
                <w:noProof/>
                <w:color w:val="000000"/>
                <w:szCs w:val="18"/>
              </w:rPr>
              <w:t>1</w:t>
            </w:r>
            <w:r w:rsidR="00547A2C" w:rsidRPr="003B7398">
              <w:rPr>
                <w:rFonts w:ascii="Arial" w:hAnsi="Arial" w:cs="Arial"/>
                <w:color w:val="000000"/>
                <w:szCs w:val="18"/>
              </w:rPr>
              <w:fldChar w:fldCharType="end"/>
            </w:r>
            <w:r w:rsidRPr="003B7398">
              <w:rPr>
                <w:rFonts w:ascii="Arial" w:hAnsi="Arial" w:cs="Arial"/>
                <w:szCs w:val="18"/>
              </w:rPr>
              <w:t>：</w:t>
            </w:r>
            <w:r w:rsidR="00965D52">
              <w:rPr>
                <w:rFonts w:ascii="Arial" w:hAnsi="Arial" w:cs="Arial" w:hint="eastAsia"/>
              </w:rPr>
              <w:t>国内测量型</w:t>
            </w:r>
            <w:r w:rsidR="00965D52">
              <w:rPr>
                <w:rFonts w:ascii="Arial" w:hAnsi="Arial" w:cs="Arial" w:hint="eastAsia"/>
              </w:rPr>
              <w:t>GNSS</w:t>
            </w:r>
            <w:r w:rsidR="00965D52">
              <w:rPr>
                <w:rFonts w:ascii="Arial" w:hAnsi="Arial" w:cs="Arial" w:hint="eastAsia"/>
              </w:rPr>
              <w:t>产品市场规模预测</w:t>
            </w:r>
            <w:bookmarkEnd w:id="0"/>
            <w:bookmarkEnd w:id="1"/>
            <w:bookmarkEnd w:id="2"/>
            <w:bookmarkEnd w:id="3"/>
            <w:bookmarkEnd w:id="4"/>
          </w:p>
        </w:tc>
        <w:tc>
          <w:tcPr>
            <w:tcW w:w="236" w:type="dxa"/>
            <w:vAlign w:val="center"/>
          </w:tcPr>
          <w:p w:rsidR="007D5D57" w:rsidRPr="00912D2D" w:rsidRDefault="007D5D57" w:rsidP="00E51693">
            <w:pPr>
              <w:pStyle w:val="B10"/>
              <w:rPr>
                <w:rFonts w:ascii="Arial" w:hAnsi="Arial" w:cs="Arial"/>
                <w:szCs w:val="18"/>
              </w:rPr>
            </w:pPr>
          </w:p>
        </w:tc>
        <w:tc>
          <w:tcPr>
            <w:tcW w:w="4791" w:type="dxa"/>
            <w:tcBorders>
              <w:top w:val="single" w:sz="2" w:space="0" w:color="auto"/>
              <w:bottom w:val="single" w:sz="2" w:space="0" w:color="auto"/>
            </w:tcBorders>
            <w:vAlign w:val="center"/>
          </w:tcPr>
          <w:p w:rsidR="007D5D57" w:rsidRPr="00912D2D" w:rsidRDefault="00912D2D" w:rsidP="00965D52">
            <w:pPr>
              <w:pStyle w:val="B10"/>
              <w:ind w:leftChars="-51" w:left="-107" w:firstLineChars="75" w:firstLine="136"/>
              <w:rPr>
                <w:rFonts w:ascii="Arial" w:hAnsi="Arial" w:cs="Arial"/>
                <w:szCs w:val="18"/>
              </w:rPr>
            </w:pPr>
            <w:bookmarkStart w:id="5" w:name="_Toc270888759"/>
            <w:bookmarkStart w:id="6" w:name="_Toc270893966"/>
            <w:bookmarkStart w:id="7" w:name="_Toc270894251"/>
            <w:bookmarkStart w:id="8" w:name="_Toc270894520"/>
            <w:bookmarkStart w:id="9" w:name="_Toc270894774"/>
            <w:r w:rsidRPr="003B7398">
              <w:rPr>
                <w:rFonts w:ascii="Arial" w:hAnsi="Arial" w:cs="Arial"/>
                <w:szCs w:val="18"/>
              </w:rPr>
              <w:t>图</w:t>
            </w:r>
            <w:r w:rsidR="00547A2C" w:rsidRPr="003B7398">
              <w:rPr>
                <w:rFonts w:ascii="Arial" w:hAnsi="Arial" w:cs="Arial"/>
                <w:color w:val="000000"/>
                <w:szCs w:val="18"/>
              </w:rPr>
              <w:fldChar w:fldCharType="begin"/>
            </w:r>
            <w:r w:rsidRPr="003B7398">
              <w:rPr>
                <w:rFonts w:ascii="Arial" w:hAnsi="Arial" w:cs="Arial"/>
                <w:color w:val="000000"/>
                <w:szCs w:val="18"/>
              </w:rPr>
              <w:instrText xml:space="preserve"> </w:instrText>
            </w:r>
            <w:r w:rsidRPr="003B7398">
              <w:rPr>
                <w:rFonts w:ascii="Arial" w:hAnsi="Arial" w:cs="Arial" w:hint="eastAsia"/>
                <w:color w:val="000000"/>
                <w:szCs w:val="18"/>
              </w:rPr>
              <w:instrText xml:space="preserve">SEQ </w:instrText>
            </w:r>
            <w:r w:rsidRPr="003B7398">
              <w:rPr>
                <w:rFonts w:ascii="Arial" w:hAnsi="Arial" w:cs="Arial" w:hint="eastAsia"/>
                <w:color w:val="000000"/>
                <w:szCs w:val="18"/>
              </w:rPr>
              <w:instrText>图</w:instrText>
            </w:r>
            <w:r w:rsidRPr="003B7398">
              <w:rPr>
                <w:rFonts w:ascii="Arial" w:hAnsi="Arial" w:cs="Arial" w:hint="eastAsia"/>
                <w:color w:val="000000"/>
                <w:szCs w:val="18"/>
              </w:rPr>
              <w:instrText xml:space="preserve"> \* ARABIC</w:instrText>
            </w:r>
            <w:r w:rsidRPr="003B7398">
              <w:rPr>
                <w:rFonts w:ascii="Arial" w:hAnsi="Arial" w:cs="Arial"/>
                <w:color w:val="000000"/>
                <w:szCs w:val="18"/>
              </w:rPr>
              <w:instrText xml:space="preserve"> </w:instrText>
            </w:r>
            <w:r w:rsidR="00547A2C" w:rsidRPr="003B7398">
              <w:rPr>
                <w:rFonts w:ascii="Arial" w:hAnsi="Arial" w:cs="Arial"/>
                <w:color w:val="000000"/>
                <w:szCs w:val="18"/>
              </w:rPr>
              <w:fldChar w:fldCharType="separate"/>
            </w:r>
            <w:r w:rsidR="00C364F8">
              <w:rPr>
                <w:rFonts w:ascii="Arial" w:hAnsi="Arial" w:cs="Arial"/>
                <w:noProof/>
                <w:color w:val="000000"/>
                <w:szCs w:val="18"/>
              </w:rPr>
              <w:t>2</w:t>
            </w:r>
            <w:r w:rsidR="00547A2C" w:rsidRPr="003B7398">
              <w:rPr>
                <w:rFonts w:ascii="Arial" w:hAnsi="Arial" w:cs="Arial"/>
                <w:color w:val="000000"/>
                <w:szCs w:val="18"/>
              </w:rPr>
              <w:fldChar w:fldCharType="end"/>
            </w:r>
            <w:r w:rsidRPr="003B7398">
              <w:rPr>
                <w:rFonts w:ascii="Arial" w:hAnsi="Arial" w:cs="Arial"/>
                <w:szCs w:val="18"/>
              </w:rPr>
              <w:t>：</w:t>
            </w:r>
            <w:bookmarkEnd w:id="5"/>
            <w:bookmarkEnd w:id="6"/>
            <w:bookmarkEnd w:id="7"/>
            <w:bookmarkEnd w:id="8"/>
            <w:bookmarkEnd w:id="9"/>
            <w:r w:rsidR="00965D52">
              <w:rPr>
                <w:rFonts w:ascii="Arial" w:hAnsi="Arial" w:cs="Arial" w:hint="eastAsia"/>
                <w:szCs w:val="18"/>
              </w:rPr>
              <w:t>GNSS</w:t>
            </w:r>
            <w:r w:rsidR="00965D52">
              <w:rPr>
                <w:rFonts w:ascii="Arial" w:hAnsi="Arial" w:cs="Arial" w:hint="eastAsia"/>
                <w:szCs w:val="18"/>
              </w:rPr>
              <w:t>设备国内品牌市场占有率变化预测</w:t>
            </w:r>
          </w:p>
        </w:tc>
      </w:tr>
      <w:tr w:rsidR="007D5D57" w:rsidRPr="00743C44" w:rsidTr="00C55D4E">
        <w:trPr>
          <w:trHeight w:hRule="exact" w:val="2948"/>
          <w:jc w:val="center"/>
        </w:trPr>
        <w:tc>
          <w:tcPr>
            <w:tcW w:w="4894" w:type="dxa"/>
            <w:tcBorders>
              <w:top w:val="single" w:sz="2" w:space="0" w:color="auto"/>
              <w:bottom w:val="single" w:sz="2" w:space="0" w:color="auto"/>
            </w:tcBorders>
          </w:tcPr>
          <w:p w:rsidR="007D5D57" w:rsidRPr="00AA5379" w:rsidRDefault="00965D52" w:rsidP="007D5D57">
            <w:pPr>
              <w:spacing w:line="240" w:lineRule="atLeast"/>
              <w:rPr>
                <w:rFonts w:ascii="Arial" w:eastAsia="楷体_GB2312" w:hAnsi="Arial" w:cs="Arial"/>
              </w:rPr>
            </w:pPr>
            <w:r w:rsidRPr="00965D52">
              <w:rPr>
                <w:rFonts w:ascii="Arial" w:eastAsia="楷体_GB2312" w:hAnsi="Arial" w:cs="Arial"/>
                <w:noProof/>
              </w:rPr>
              <w:drawing>
                <wp:inline distT="0" distB="0" distL="0" distR="0">
                  <wp:extent cx="3036570" cy="1920240"/>
                  <wp:effectExtent l="19050" t="0" r="11430" b="381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236" w:type="dxa"/>
          </w:tcPr>
          <w:p w:rsidR="007D5D57" w:rsidRPr="00743C44" w:rsidRDefault="007D5D57" w:rsidP="007D5D57">
            <w:pPr>
              <w:spacing w:line="240" w:lineRule="atLeast"/>
              <w:rPr>
                <w:rFonts w:ascii="Arial" w:eastAsia="楷体_GB2312" w:hAnsi="Arial" w:cs="Arial"/>
              </w:rPr>
            </w:pPr>
          </w:p>
        </w:tc>
        <w:tc>
          <w:tcPr>
            <w:tcW w:w="4791" w:type="dxa"/>
            <w:tcBorders>
              <w:top w:val="single" w:sz="2" w:space="0" w:color="auto"/>
              <w:bottom w:val="single" w:sz="2" w:space="0" w:color="auto"/>
            </w:tcBorders>
          </w:tcPr>
          <w:p w:rsidR="007D5D57" w:rsidRPr="00AA5379" w:rsidRDefault="00C55D4E" w:rsidP="00C55D4E">
            <w:pPr>
              <w:spacing w:line="240" w:lineRule="atLeast"/>
              <w:jc w:val="left"/>
              <w:rPr>
                <w:rFonts w:ascii="Arial" w:eastAsia="楷体_GB2312" w:hAnsi="Arial" w:cs="Arial"/>
              </w:rPr>
            </w:pPr>
            <w:r w:rsidRPr="00C55D4E">
              <w:rPr>
                <w:rFonts w:ascii="Arial" w:eastAsia="楷体_GB2312" w:hAnsi="Arial" w:cs="Arial"/>
                <w:noProof/>
              </w:rPr>
              <w:drawing>
                <wp:inline distT="0" distB="0" distL="0" distR="0">
                  <wp:extent cx="2945130" cy="1798320"/>
                  <wp:effectExtent l="19050" t="0" r="2667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7D5D57" w:rsidRPr="00912D2D" w:rsidTr="00C55D4E">
        <w:trPr>
          <w:trHeight w:val="284"/>
          <w:jc w:val="center"/>
        </w:trPr>
        <w:tc>
          <w:tcPr>
            <w:tcW w:w="4894" w:type="dxa"/>
            <w:tcBorders>
              <w:top w:val="single" w:sz="2" w:space="0" w:color="auto"/>
            </w:tcBorders>
            <w:vAlign w:val="center"/>
          </w:tcPr>
          <w:p w:rsidR="007D5D57" w:rsidRPr="00912D2D" w:rsidRDefault="007D5D57" w:rsidP="00912D2D">
            <w:pPr>
              <w:autoSpaceDE w:val="0"/>
              <w:autoSpaceDN w:val="0"/>
              <w:adjustRightInd w:val="0"/>
              <w:spacing w:line="0" w:lineRule="atLeast"/>
              <w:rPr>
                <w:rFonts w:ascii="Arial" w:eastAsia="楷体_GB2312" w:hAnsi="Arial" w:cs="Arial"/>
                <w:color w:val="000000"/>
                <w:sz w:val="14"/>
                <w:szCs w:val="14"/>
              </w:rPr>
            </w:pPr>
            <w:r w:rsidRPr="00912D2D">
              <w:rPr>
                <w:rFonts w:ascii="Arial" w:eastAsia="楷体_GB2312" w:hAnsi="Arial" w:cs="Arial" w:hint="eastAsia"/>
                <w:color w:val="000000"/>
                <w:sz w:val="14"/>
                <w:szCs w:val="14"/>
              </w:rPr>
              <w:t>资料</w:t>
            </w:r>
            <w:r w:rsidRPr="00912D2D">
              <w:rPr>
                <w:rFonts w:ascii="Arial" w:eastAsia="楷体_GB2312" w:hAnsi="Arial" w:cs="Arial"/>
                <w:color w:val="000000"/>
                <w:sz w:val="14"/>
                <w:szCs w:val="14"/>
              </w:rPr>
              <w:t>来源：</w:t>
            </w:r>
            <w:r w:rsidR="002567CD">
              <w:rPr>
                <w:rFonts w:ascii="Arial" w:eastAsia="楷体_GB2312" w:hAnsi="Arial" w:cs="Arial" w:hint="eastAsia"/>
                <w:color w:val="000000"/>
                <w:sz w:val="14"/>
                <w:szCs w:val="14"/>
              </w:rPr>
              <w:t>赛</w:t>
            </w:r>
            <w:proofErr w:type="gramStart"/>
            <w:r w:rsidR="002567CD">
              <w:rPr>
                <w:rFonts w:ascii="Arial" w:eastAsia="楷体_GB2312" w:hAnsi="Arial" w:cs="Arial" w:hint="eastAsia"/>
                <w:color w:val="000000"/>
                <w:sz w:val="14"/>
                <w:szCs w:val="14"/>
              </w:rPr>
              <w:t>迪</w:t>
            </w:r>
            <w:proofErr w:type="gramEnd"/>
            <w:r w:rsidR="002567CD">
              <w:rPr>
                <w:rFonts w:ascii="Arial" w:eastAsia="楷体_GB2312" w:hAnsi="Arial" w:cs="Arial" w:hint="eastAsia"/>
                <w:color w:val="000000"/>
                <w:sz w:val="14"/>
                <w:szCs w:val="14"/>
              </w:rPr>
              <w:t>顾问、</w:t>
            </w:r>
            <w:r w:rsidRPr="00912D2D">
              <w:rPr>
                <w:rFonts w:ascii="Arial" w:eastAsia="楷体_GB2312" w:hAnsi="Arial" w:cs="Arial" w:hint="eastAsia"/>
                <w:color w:val="000000"/>
                <w:sz w:val="14"/>
                <w:szCs w:val="14"/>
              </w:rPr>
              <w:t>公司资料、</w:t>
            </w:r>
            <w:r w:rsidRPr="00912D2D">
              <w:rPr>
                <w:rFonts w:ascii="Arial" w:eastAsia="楷体_GB2312" w:hAnsi="Arial" w:cs="Arial"/>
                <w:color w:val="000000"/>
                <w:sz w:val="14"/>
                <w:szCs w:val="14"/>
              </w:rPr>
              <w:t>国信证券经济研究所</w:t>
            </w:r>
            <w:r w:rsidR="00912D2D">
              <w:rPr>
                <w:rFonts w:ascii="Arial" w:eastAsia="楷体_GB2312" w:hAnsi="Arial" w:cs="Arial" w:hint="eastAsia"/>
                <w:color w:val="000000"/>
                <w:sz w:val="14"/>
                <w:szCs w:val="14"/>
              </w:rPr>
              <w:t>整理</w:t>
            </w:r>
          </w:p>
        </w:tc>
        <w:tc>
          <w:tcPr>
            <w:tcW w:w="236" w:type="dxa"/>
            <w:vAlign w:val="center"/>
          </w:tcPr>
          <w:p w:rsidR="007D5D57" w:rsidRPr="00912D2D" w:rsidRDefault="007D5D57" w:rsidP="00912D2D">
            <w:pPr>
              <w:spacing w:line="0" w:lineRule="atLeast"/>
              <w:rPr>
                <w:rFonts w:ascii="Arial" w:eastAsia="楷体_GB2312" w:hAnsi="Arial" w:cs="Arial"/>
                <w:sz w:val="14"/>
                <w:szCs w:val="14"/>
                <w:lang w:val="en-GB"/>
              </w:rPr>
            </w:pPr>
          </w:p>
        </w:tc>
        <w:tc>
          <w:tcPr>
            <w:tcW w:w="4791" w:type="dxa"/>
            <w:tcBorders>
              <w:top w:val="single" w:sz="2" w:space="0" w:color="auto"/>
            </w:tcBorders>
            <w:vAlign w:val="center"/>
          </w:tcPr>
          <w:p w:rsidR="007D5D57" w:rsidRPr="00912D2D" w:rsidRDefault="007D5D57" w:rsidP="002567CD">
            <w:pPr>
              <w:pStyle w:val="B4"/>
              <w:spacing w:line="0" w:lineRule="atLeast"/>
              <w:rPr>
                <w:rFonts w:ascii="Arial" w:hAnsi="Arial" w:cs="Arial"/>
                <w:sz w:val="14"/>
                <w:szCs w:val="14"/>
              </w:rPr>
            </w:pPr>
            <w:r w:rsidRPr="00912D2D">
              <w:rPr>
                <w:rFonts w:ascii="Arial" w:hAnsi="Arial" w:cs="Arial" w:hint="eastAsia"/>
                <w:sz w:val="14"/>
                <w:szCs w:val="14"/>
              </w:rPr>
              <w:t>资料</w:t>
            </w:r>
            <w:r w:rsidRPr="00912D2D">
              <w:rPr>
                <w:rFonts w:ascii="Arial" w:hAnsi="Arial" w:cs="Arial"/>
                <w:sz w:val="14"/>
                <w:szCs w:val="14"/>
              </w:rPr>
              <w:t>来源：</w:t>
            </w:r>
            <w:r w:rsidR="002567CD">
              <w:rPr>
                <w:rFonts w:ascii="Arial" w:hAnsi="Arial" w:cs="Arial" w:hint="eastAsia"/>
                <w:sz w:val="14"/>
                <w:szCs w:val="14"/>
              </w:rPr>
              <w:t>赛</w:t>
            </w:r>
            <w:proofErr w:type="gramStart"/>
            <w:r w:rsidR="002567CD">
              <w:rPr>
                <w:rFonts w:ascii="Arial" w:hAnsi="Arial" w:cs="Arial" w:hint="eastAsia"/>
                <w:sz w:val="14"/>
                <w:szCs w:val="14"/>
              </w:rPr>
              <w:t>迪</w:t>
            </w:r>
            <w:proofErr w:type="gramEnd"/>
            <w:r w:rsidR="002567CD">
              <w:rPr>
                <w:rFonts w:ascii="Arial" w:hAnsi="Arial" w:cs="Arial" w:hint="eastAsia"/>
                <w:sz w:val="14"/>
                <w:szCs w:val="14"/>
              </w:rPr>
              <w:t>顾问、</w:t>
            </w:r>
            <w:r w:rsidRPr="00912D2D">
              <w:rPr>
                <w:rFonts w:ascii="Arial" w:hAnsi="Arial" w:cs="Arial" w:hint="eastAsia"/>
                <w:sz w:val="14"/>
                <w:szCs w:val="14"/>
              </w:rPr>
              <w:t>公司资料</w:t>
            </w:r>
            <w:r w:rsidR="002567CD">
              <w:rPr>
                <w:rFonts w:ascii="Arial" w:hAnsi="Arial" w:cs="Arial" w:hint="eastAsia"/>
                <w:sz w:val="14"/>
                <w:szCs w:val="14"/>
              </w:rPr>
              <w:t>，</w:t>
            </w:r>
            <w:r w:rsidRPr="00912D2D">
              <w:rPr>
                <w:rFonts w:ascii="Arial" w:hAnsi="Arial" w:cs="Arial"/>
                <w:sz w:val="14"/>
                <w:szCs w:val="14"/>
              </w:rPr>
              <w:t>国信证券经济研究所</w:t>
            </w:r>
            <w:r w:rsidR="00912D2D">
              <w:rPr>
                <w:rFonts w:ascii="Arial" w:hAnsi="Arial" w:cs="Arial" w:hint="eastAsia"/>
                <w:sz w:val="14"/>
                <w:szCs w:val="14"/>
              </w:rPr>
              <w:t>整理</w:t>
            </w:r>
          </w:p>
        </w:tc>
      </w:tr>
    </w:tbl>
    <w:p w:rsidR="00E52888" w:rsidRPr="00795150" w:rsidRDefault="00E52888" w:rsidP="00522590">
      <w:pPr>
        <w:numPr>
          <w:ilvl w:val="0"/>
          <w:numId w:val="2"/>
        </w:numPr>
        <w:tabs>
          <w:tab w:val="clear" w:pos="600"/>
          <w:tab w:val="num" w:pos="360"/>
        </w:tabs>
        <w:spacing w:beforeLines="20"/>
        <w:ind w:left="361" w:hangingChars="187" w:hanging="361"/>
        <w:rPr>
          <w:rStyle w:val="big1"/>
          <w:rFonts w:ascii="Arial" w:eastAsia="楷体_GB2312" w:hAnsi="Arial" w:cs="Arial"/>
          <w:b/>
          <w:spacing w:val="-4"/>
          <w:sz w:val="20"/>
        </w:rPr>
      </w:pPr>
      <w:r>
        <w:rPr>
          <w:rStyle w:val="big1"/>
          <w:rFonts w:ascii="Arial" w:eastAsia="楷体_GB2312" w:hAnsi="Arial" w:cs="Arial" w:hint="eastAsia"/>
          <w:b/>
          <w:spacing w:val="-4"/>
          <w:sz w:val="20"/>
        </w:rPr>
        <w:t>水声</w:t>
      </w:r>
      <w:r w:rsidR="008B431A">
        <w:rPr>
          <w:rStyle w:val="big1"/>
          <w:rFonts w:ascii="Arial" w:eastAsia="楷体_GB2312" w:hAnsi="Arial" w:cs="Arial" w:hint="eastAsia"/>
          <w:b/>
          <w:spacing w:val="-4"/>
          <w:sz w:val="20"/>
        </w:rPr>
        <w:t>探测</w:t>
      </w:r>
      <w:r>
        <w:rPr>
          <w:rStyle w:val="big1"/>
          <w:rFonts w:ascii="Arial" w:eastAsia="楷体_GB2312" w:hAnsi="Arial" w:cs="Arial" w:hint="eastAsia"/>
          <w:b/>
          <w:spacing w:val="-4"/>
          <w:sz w:val="20"/>
        </w:rPr>
        <w:t>设备受益国家水利投资</w:t>
      </w:r>
      <w:r w:rsidR="00A7529D">
        <w:rPr>
          <w:rStyle w:val="big1"/>
          <w:rFonts w:ascii="Arial" w:eastAsia="楷体_GB2312" w:hAnsi="Arial" w:cs="Arial" w:hint="eastAsia"/>
          <w:b/>
          <w:spacing w:val="-4"/>
          <w:sz w:val="20"/>
        </w:rPr>
        <w:t>建设</w:t>
      </w:r>
      <w:r>
        <w:rPr>
          <w:rStyle w:val="big1"/>
          <w:rFonts w:ascii="Arial" w:eastAsia="楷体_GB2312" w:hAnsi="Arial" w:cs="Arial" w:hint="eastAsia"/>
          <w:b/>
          <w:spacing w:val="-4"/>
          <w:sz w:val="20"/>
        </w:rPr>
        <w:t>的快速增长</w:t>
      </w:r>
    </w:p>
    <w:p w:rsidR="00F53E46" w:rsidRPr="00F53E46" w:rsidRDefault="00F53E46" w:rsidP="00F53E46">
      <w:pPr>
        <w:pStyle w:val="af0"/>
        <w:spacing w:before="62"/>
        <w:rPr>
          <w:szCs w:val="21"/>
        </w:rPr>
      </w:pPr>
      <w:r>
        <w:rPr>
          <w:rFonts w:hint="eastAsia"/>
          <w:szCs w:val="21"/>
        </w:rPr>
        <w:t>公司水声探测设备主要</w:t>
      </w:r>
      <w:r w:rsidR="00D27864">
        <w:rPr>
          <w:rFonts w:hint="eastAsia"/>
          <w:szCs w:val="21"/>
        </w:rPr>
        <w:t>用来进行</w:t>
      </w:r>
      <w:r>
        <w:rPr>
          <w:rFonts w:hint="eastAsia"/>
          <w:szCs w:val="21"/>
        </w:rPr>
        <w:t>水文监测、江、湖、海水底</w:t>
      </w:r>
      <w:r w:rsidR="00D87273">
        <w:rPr>
          <w:rFonts w:hint="eastAsia"/>
          <w:szCs w:val="21"/>
        </w:rPr>
        <w:t>等</w:t>
      </w:r>
      <w:r>
        <w:rPr>
          <w:rFonts w:hint="eastAsia"/>
          <w:szCs w:val="21"/>
        </w:rPr>
        <w:t>地貌探测，</w:t>
      </w:r>
      <w:r w:rsidR="005535E1">
        <w:rPr>
          <w:rFonts w:hint="eastAsia"/>
          <w:szCs w:val="21"/>
        </w:rPr>
        <w:t>用</w:t>
      </w:r>
      <w:r>
        <w:rPr>
          <w:rFonts w:hint="eastAsia"/>
          <w:szCs w:val="21"/>
        </w:rPr>
        <w:t>于</w:t>
      </w:r>
      <w:r w:rsidR="005535E1">
        <w:rPr>
          <w:rFonts w:hint="eastAsia"/>
          <w:szCs w:val="21"/>
        </w:rPr>
        <w:t>水利工程建设、保障</w:t>
      </w:r>
      <w:r>
        <w:rPr>
          <w:szCs w:val="21"/>
        </w:rPr>
        <w:t>航道通顺</w:t>
      </w:r>
      <w:r w:rsidR="005535E1">
        <w:rPr>
          <w:rFonts w:hint="eastAsia"/>
          <w:szCs w:val="21"/>
        </w:rPr>
        <w:t>以及</w:t>
      </w:r>
      <w:r>
        <w:rPr>
          <w:rFonts w:hint="eastAsia"/>
          <w:szCs w:val="21"/>
        </w:rPr>
        <w:t>防洪监测等</w:t>
      </w:r>
      <w:r w:rsidR="005535E1">
        <w:rPr>
          <w:rFonts w:hint="eastAsia"/>
          <w:szCs w:val="21"/>
        </w:rPr>
        <w:t>领域</w:t>
      </w:r>
      <w:r>
        <w:rPr>
          <w:rFonts w:hint="eastAsia"/>
          <w:szCs w:val="21"/>
        </w:rPr>
        <w:t>。基于健全防洪抗旱的需求，国家未来对水利建设的投入将会加快。在今年</w:t>
      </w:r>
      <w:r>
        <w:rPr>
          <w:rFonts w:hint="eastAsia"/>
          <w:szCs w:val="21"/>
        </w:rPr>
        <w:t>7</w:t>
      </w:r>
      <w:r>
        <w:rPr>
          <w:rFonts w:hint="eastAsia"/>
          <w:szCs w:val="21"/>
        </w:rPr>
        <w:t>月份的中央水利工作会议上，国家领导人要求通过未来</w:t>
      </w:r>
      <w:r>
        <w:rPr>
          <w:rFonts w:hint="eastAsia"/>
          <w:szCs w:val="21"/>
        </w:rPr>
        <w:t>5</w:t>
      </w:r>
      <w:r>
        <w:rPr>
          <w:rFonts w:hint="eastAsia"/>
          <w:szCs w:val="21"/>
        </w:rPr>
        <w:t>到</w:t>
      </w:r>
      <w:r>
        <w:rPr>
          <w:rFonts w:hint="eastAsia"/>
          <w:szCs w:val="21"/>
        </w:rPr>
        <w:t>10</w:t>
      </w:r>
      <w:r>
        <w:rPr>
          <w:rFonts w:hint="eastAsia"/>
          <w:szCs w:val="21"/>
        </w:rPr>
        <w:t>年的努力从根本上扭转水利建设明显落后的局面。到</w:t>
      </w:r>
      <w:r>
        <w:rPr>
          <w:rFonts w:hint="eastAsia"/>
          <w:szCs w:val="21"/>
        </w:rPr>
        <w:t>2020</w:t>
      </w:r>
      <w:r>
        <w:rPr>
          <w:rFonts w:hint="eastAsia"/>
          <w:szCs w:val="21"/>
        </w:rPr>
        <w:t>年，基本建成</w:t>
      </w:r>
      <w:proofErr w:type="gramStart"/>
      <w:r>
        <w:rPr>
          <w:rFonts w:hint="eastAsia"/>
          <w:szCs w:val="21"/>
        </w:rPr>
        <w:t>防洪康航减灾</w:t>
      </w:r>
      <w:proofErr w:type="gramEnd"/>
      <w:r w:rsidR="00686992">
        <w:rPr>
          <w:rFonts w:hint="eastAsia"/>
          <w:szCs w:val="21"/>
        </w:rPr>
        <w:t>体系、水资源合理配置体系。作为国内领先的水利探测设备提供商，公司未来将受益于未来国家水利投资的快速增长</w:t>
      </w:r>
      <w:r>
        <w:rPr>
          <w:rFonts w:hint="eastAsia"/>
          <w:szCs w:val="21"/>
        </w:rPr>
        <w:t>。</w:t>
      </w:r>
    </w:p>
    <w:p w:rsidR="0086195D" w:rsidRDefault="008B431A" w:rsidP="0086195D">
      <w:pPr>
        <w:pStyle w:val="af0"/>
        <w:spacing w:before="62"/>
        <w:rPr>
          <w:szCs w:val="21"/>
        </w:rPr>
      </w:pPr>
      <w:r w:rsidRPr="0086195D">
        <w:rPr>
          <w:rFonts w:hint="eastAsia"/>
          <w:szCs w:val="21"/>
        </w:rPr>
        <w:t>公司水声探测设备主要包括单波束水声探测设备、多普勒测流设备等产品</w:t>
      </w:r>
      <w:r w:rsidR="0089307E" w:rsidRPr="0086195D">
        <w:rPr>
          <w:rFonts w:hint="eastAsia"/>
          <w:szCs w:val="21"/>
        </w:rPr>
        <w:t>。水声探测设备包括</w:t>
      </w:r>
      <w:r w:rsidR="00090F09" w:rsidRPr="0086195D">
        <w:rPr>
          <w:rFonts w:hint="eastAsia"/>
          <w:szCs w:val="21"/>
        </w:rPr>
        <w:t>单波束</w:t>
      </w:r>
      <w:r w:rsidR="0089307E" w:rsidRPr="0086195D">
        <w:rPr>
          <w:rFonts w:hint="eastAsia"/>
          <w:szCs w:val="21"/>
        </w:rPr>
        <w:t>和多波束</w:t>
      </w:r>
      <w:r w:rsidR="00090F09" w:rsidRPr="0086195D">
        <w:rPr>
          <w:rFonts w:hint="eastAsia"/>
          <w:szCs w:val="21"/>
        </w:rPr>
        <w:t>测深仪</w:t>
      </w:r>
      <w:r w:rsidR="0089307E" w:rsidRPr="0086195D">
        <w:rPr>
          <w:rFonts w:hint="eastAsia"/>
          <w:szCs w:val="21"/>
        </w:rPr>
        <w:t>，单波束</w:t>
      </w:r>
      <w:r w:rsidR="00E07E23" w:rsidRPr="0086195D">
        <w:rPr>
          <w:rFonts w:hint="eastAsia"/>
          <w:szCs w:val="21"/>
        </w:rPr>
        <w:t>产</w:t>
      </w:r>
      <w:r w:rsidR="00090F09" w:rsidRPr="0086195D">
        <w:rPr>
          <w:rFonts w:hint="eastAsia"/>
          <w:szCs w:val="21"/>
        </w:rPr>
        <w:t>品市场售价</w:t>
      </w:r>
      <w:r w:rsidR="00E07E23" w:rsidRPr="0086195D">
        <w:rPr>
          <w:rFonts w:hint="eastAsia"/>
          <w:szCs w:val="21"/>
        </w:rPr>
        <w:t>通常</w:t>
      </w:r>
      <w:r w:rsidR="00E07E23" w:rsidRPr="0086195D">
        <w:rPr>
          <w:rFonts w:hint="eastAsia"/>
          <w:szCs w:val="21"/>
        </w:rPr>
        <w:t>3-5</w:t>
      </w:r>
      <w:r w:rsidR="00090F09" w:rsidRPr="0086195D">
        <w:rPr>
          <w:rFonts w:hint="eastAsia"/>
          <w:szCs w:val="21"/>
        </w:rPr>
        <w:t>万元</w:t>
      </w:r>
      <w:r w:rsidR="00E07E23" w:rsidRPr="0086195D">
        <w:rPr>
          <w:rFonts w:hint="eastAsia"/>
          <w:szCs w:val="21"/>
        </w:rPr>
        <w:t>/</w:t>
      </w:r>
      <w:r w:rsidR="00E07E23" w:rsidRPr="0086195D">
        <w:rPr>
          <w:rFonts w:hint="eastAsia"/>
          <w:szCs w:val="21"/>
        </w:rPr>
        <w:t>套左右，</w:t>
      </w:r>
      <w:r w:rsidR="0089307E" w:rsidRPr="0086195D">
        <w:rPr>
          <w:rFonts w:hint="eastAsia"/>
          <w:szCs w:val="21"/>
        </w:rPr>
        <w:t>多波束产品</w:t>
      </w:r>
      <w:r w:rsidR="00090F09" w:rsidRPr="0086195D">
        <w:rPr>
          <w:rFonts w:hint="eastAsia"/>
          <w:szCs w:val="21"/>
        </w:rPr>
        <w:t>售价</w:t>
      </w:r>
      <w:r w:rsidR="0089307E" w:rsidRPr="0086195D">
        <w:rPr>
          <w:rFonts w:hint="eastAsia"/>
          <w:szCs w:val="21"/>
        </w:rPr>
        <w:t>则</w:t>
      </w:r>
      <w:r w:rsidR="00090F09" w:rsidRPr="0086195D">
        <w:rPr>
          <w:rFonts w:hint="eastAsia"/>
          <w:szCs w:val="21"/>
        </w:rPr>
        <w:t>高达</w:t>
      </w:r>
      <w:r w:rsidR="00090F09" w:rsidRPr="0086195D">
        <w:rPr>
          <w:rFonts w:hint="eastAsia"/>
          <w:szCs w:val="21"/>
        </w:rPr>
        <w:t>200-300</w:t>
      </w:r>
      <w:r w:rsidR="00090F09" w:rsidRPr="0086195D">
        <w:rPr>
          <w:rFonts w:hint="eastAsia"/>
          <w:szCs w:val="21"/>
        </w:rPr>
        <w:t>万元</w:t>
      </w:r>
      <w:r w:rsidR="0089307E" w:rsidRPr="0086195D">
        <w:rPr>
          <w:rFonts w:hint="eastAsia"/>
          <w:szCs w:val="21"/>
        </w:rPr>
        <w:t>/</w:t>
      </w:r>
      <w:r w:rsidR="0089307E" w:rsidRPr="0086195D">
        <w:rPr>
          <w:rFonts w:hint="eastAsia"/>
          <w:szCs w:val="21"/>
        </w:rPr>
        <w:t>套，国内高端多波束水声探测设备主要被国外产品所垄断。利用原有的技术积累，公司也正在开发高端的多波束水声探测设备。</w:t>
      </w:r>
    </w:p>
    <w:p w:rsidR="00AA08DC" w:rsidRPr="0086195D" w:rsidRDefault="001D74AB" w:rsidP="0086195D">
      <w:pPr>
        <w:pStyle w:val="af0"/>
        <w:spacing w:before="62"/>
        <w:rPr>
          <w:szCs w:val="21"/>
        </w:rPr>
      </w:pPr>
      <w:r w:rsidRPr="0086195D">
        <w:rPr>
          <w:rFonts w:hint="eastAsia"/>
          <w:szCs w:val="21"/>
        </w:rPr>
        <w:t>按照</w:t>
      </w:r>
      <w:proofErr w:type="gramStart"/>
      <w:r w:rsidRPr="0086195D">
        <w:rPr>
          <w:rFonts w:hint="eastAsia"/>
          <w:szCs w:val="21"/>
        </w:rPr>
        <w:t>募投</w:t>
      </w:r>
      <w:r w:rsidR="00531D6D">
        <w:rPr>
          <w:rFonts w:hint="eastAsia"/>
          <w:szCs w:val="21"/>
        </w:rPr>
        <w:t>项目</w:t>
      </w:r>
      <w:proofErr w:type="gramEnd"/>
      <w:r w:rsidR="00531D6D">
        <w:rPr>
          <w:rFonts w:hint="eastAsia"/>
          <w:szCs w:val="21"/>
        </w:rPr>
        <w:t>进展</w:t>
      </w:r>
      <w:r w:rsidRPr="0086195D">
        <w:rPr>
          <w:rFonts w:hint="eastAsia"/>
          <w:szCs w:val="21"/>
        </w:rPr>
        <w:t>，</w:t>
      </w:r>
      <w:r w:rsidR="00531D6D">
        <w:rPr>
          <w:rFonts w:hint="eastAsia"/>
          <w:szCs w:val="21"/>
        </w:rPr>
        <w:t>公司计划</w:t>
      </w:r>
      <w:r w:rsidR="0086195D">
        <w:rPr>
          <w:rFonts w:hint="eastAsia"/>
          <w:szCs w:val="21"/>
        </w:rPr>
        <w:t>在</w:t>
      </w:r>
      <w:r w:rsidR="0086195D">
        <w:rPr>
          <w:rFonts w:hint="eastAsia"/>
          <w:szCs w:val="21"/>
        </w:rPr>
        <w:t>2013</w:t>
      </w:r>
      <w:r w:rsidR="0086195D">
        <w:rPr>
          <w:rFonts w:hint="eastAsia"/>
          <w:szCs w:val="21"/>
        </w:rPr>
        <w:t>年</w:t>
      </w:r>
      <w:r w:rsidR="0086195D" w:rsidRPr="0086195D">
        <w:rPr>
          <w:rFonts w:hint="eastAsia"/>
          <w:szCs w:val="21"/>
        </w:rPr>
        <w:t>开发出多波束海底成像系统、浅地层剖面仪和旁侧声纳系统</w:t>
      </w:r>
      <w:r w:rsidR="00531D6D">
        <w:rPr>
          <w:rFonts w:hint="eastAsia"/>
          <w:szCs w:val="21"/>
        </w:rPr>
        <w:t>等</w:t>
      </w:r>
      <w:r w:rsidR="0086195D" w:rsidRPr="0086195D">
        <w:rPr>
          <w:rFonts w:hint="eastAsia"/>
          <w:szCs w:val="21"/>
        </w:rPr>
        <w:t>三种高科技水声探测设备</w:t>
      </w:r>
      <w:r w:rsidR="0086195D">
        <w:rPr>
          <w:rFonts w:hint="eastAsia"/>
          <w:szCs w:val="21"/>
        </w:rPr>
        <w:t>。</w:t>
      </w:r>
      <w:r w:rsidRPr="0086195D">
        <w:rPr>
          <w:rFonts w:hint="eastAsia"/>
          <w:szCs w:val="21"/>
        </w:rPr>
        <w:t>公司明年</w:t>
      </w:r>
      <w:r w:rsidR="00531D6D">
        <w:rPr>
          <w:rFonts w:hint="eastAsia"/>
          <w:szCs w:val="21"/>
        </w:rPr>
        <w:t>将</w:t>
      </w:r>
      <w:r w:rsidRPr="0086195D">
        <w:rPr>
          <w:rFonts w:hint="eastAsia"/>
          <w:szCs w:val="21"/>
        </w:rPr>
        <w:t>推出自己的多波束探测仪工程样机，该产品大致可于</w:t>
      </w:r>
      <w:r w:rsidRPr="0086195D">
        <w:rPr>
          <w:rFonts w:hint="eastAsia"/>
          <w:szCs w:val="21"/>
        </w:rPr>
        <w:t>2013</w:t>
      </w:r>
      <w:r w:rsidRPr="0086195D">
        <w:rPr>
          <w:rFonts w:hint="eastAsia"/>
          <w:szCs w:val="21"/>
        </w:rPr>
        <w:t>年投放市场，</w:t>
      </w:r>
      <w:r w:rsidR="00090F09" w:rsidRPr="0086195D">
        <w:rPr>
          <w:rFonts w:hint="eastAsia"/>
          <w:szCs w:val="21"/>
        </w:rPr>
        <w:t>按照现有</w:t>
      </w:r>
      <w:r w:rsidR="00565F73">
        <w:rPr>
          <w:rFonts w:hint="eastAsia"/>
          <w:szCs w:val="21"/>
        </w:rPr>
        <w:t>测绘产品国内外品牌的价差，</w:t>
      </w:r>
      <w:r w:rsidR="00644794">
        <w:rPr>
          <w:rFonts w:hint="eastAsia"/>
          <w:szCs w:val="21"/>
        </w:rPr>
        <w:t>估计国产化多波束海洋探测产品定价</w:t>
      </w:r>
      <w:r w:rsidR="00090F09" w:rsidRPr="0086195D">
        <w:rPr>
          <w:rFonts w:hint="eastAsia"/>
          <w:szCs w:val="21"/>
        </w:rPr>
        <w:t>可达</w:t>
      </w:r>
      <w:r w:rsidR="00090F09" w:rsidRPr="0086195D">
        <w:rPr>
          <w:rFonts w:hint="eastAsia"/>
          <w:szCs w:val="21"/>
        </w:rPr>
        <w:t>100-200</w:t>
      </w:r>
      <w:r w:rsidR="00090F09" w:rsidRPr="0086195D">
        <w:rPr>
          <w:rFonts w:hint="eastAsia"/>
          <w:szCs w:val="21"/>
        </w:rPr>
        <w:t>万元</w:t>
      </w:r>
      <w:r w:rsidR="00644794">
        <w:rPr>
          <w:rFonts w:hint="eastAsia"/>
          <w:szCs w:val="21"/>
        </w:rPr>
        <w:t>/</w:t>
      </w:r>
      <w:r w:rsidR="00644794">
        <w:rPr>
          <w:rFonts w:hint="eastAsia"/>
          <w:szCs w:val="21"/>
        </w:rPr>
        <w:t>套</w:t>
      </w:r>
      <w:r w:rsidR="00090F09" w:rsidRPr="0086195D">
        <w:rPr>
          <w:rFonts w:hint="eastAsia"/>
          <w:szCs w:val="21"/>
        </w:rPr>
        <w:t>，其价值提升将远高于成本的提升</w:t>
      </w:r>
      <w:r w:rsidR="00565F73">
        <w:rPr>
          <w:rFonts w:hint="eastAsia"/>
          <w:szCs w:val="21"/>
        </w:rPr>
        <w:t>，产品推出后将极大推动公司的业绩增长</w:t>
      </w:r>
      <w:r w:rsidR="00090F09" w:rsidRPr="0086195D">
        <w:rPr>
          <w:rFonts w:hint="eastAsia"/>
          <w:szCs w:val="21"/>
        </w:rPr>
        <w:t>。</w:t>
      </w:r>
      <w:r w:rsidR="00AA08DC">
        <w:rPr>
          <w:rFonts w:hint="eastAsia"/>
          <w:szCs w:val="21"/>
        </w:rPr>
        <w:t>今年公司单波束探测仪产品的收入增速将在</w:t>
      </w:r>
      <w:r w:rsidR="00AA08DC">
        <w:rPr>
          <w:rFonts w:hint="eastAsia"/>
          <w:szCs w:val="21"/>
        </w:rPr>
        <w:t>20%</w:t>
      </w:r>
      <w:r w:rsidR="00150801">
        <w:rPr>
          <w:rFonts w:hint="eastAsia"/>
          <w:szCs w:val="21"/>
        </w:rPr>
        <w:t>左右，同时</w:t>
      </w:r>
      <w:r w:rsidR="00AA08DC">
        <w:rPr>
          <w:rFonts w:hint="eastAsia"/>
          <w:szCs w:val="21"/>
        </w:rPr>
        <w:t>公司还代理了几台丹麦</w:t>
      </w:r>
      <w:proofErr w:type="spellStart"/>
      <w:r w:rsidR="00AA08DC">
        <w:rPr>
          <w:rFonts w:hint="eastAsia"/>
          <w:szCs w:val="21"/>
        </w:rPr>
        <w:t>Reson</w:t>
      </w:r>
      <w:proofErr w:type="spellEnd"/>
      <w:r w:rsidR="00AA08DC">
        <w:rPr>
          <w:rFonts w:hint="eastAsia"/>
          <w:szCs w:val="21"/>
        </w:rPr>
        <w:t>的多波束探测仪设备，预计今年公司水声探测设备</w:t>
      </w:r>
      <w:r w:rsidR="00150801">
        <w:rPr>
          <w:rFonts w:hint="eastAsia"/>
          <w:szCs w:val="21"/>
        </w:rPr>
        <w:t>整体</w:t>
      </w:r>
      <w:r w:rsidR="00AA08DC">
        <w:rPr>
          <w:rFonts w:hint="eastAsia"/>
          <w:szCs w:val="21"/>
        </w:rPr>
        <w:t>业务收入</w:t>
      </w:r>
      <w:r w:rsidR="00187B4F">
        <w:rPr>
          <w:rFonts w:hint="eastAsia"/>
          <w:szCs w:val="21"/>
        </w:rPr>
        <w:t>将</w:t>
      </w:r>
      <w:r w:rsidR="00AA08DC">
        <w:rPr>
          <w:rFonts w:hint="eastAsia"/>
          <w:szCs w:val="21"/>
        </w:rPr>
        <w:t>在</w:t>
      </w:r>
      <w:r w:rsidR="00AA08DC">
        <w:rPr>
          <w:rFonts w:hint="eastAsia"/>
          <w:szCs w:val="21"/>
        </w:rPr>
        <w:t>3000</w:t>
      </w:r>
      <w:r w:rsidR="00AA08DC">
        <w:rPr>
          <w:rFonts w:hint="eastAsia"/>
          <w:szCs w:val="21"/>
        </w:rPr>
        <w:t>万元以上</w:t>
      </w:r>
      <w:r w:rsidR="00CE1F2B">
        <w:rPr>
          <w:rFonts w:hint="eastAsia"/>
          <w:szCs w:val="21"/>
        </w:rPr>
        <w:t>，同比增速为</w:t>
      </w:r>
      <w:r w:rsidR="00CE1F2B">
        <w:rPr>
          <w:rFonts w:hint="eastAsia"/>
          <w:szCs w:val="21"/>
        </w:rPr>
        <w:t>50%</w:t>
      </w:r>
      <w:r w:rsidR="00CE1F2B">
        <w:rPr>
          <w:rFonts w:hint="eastAsia"/>
          <w:szCs w:val="21"/>
        </w:rPr>
        <w:t>左右</w:t>
      </w:r>
      <w:r w:rsidR="00AA08DC">
        <w:rPr>
          <w:rFonts w:hint="eastAsia"/>
          <w:szCs w:val="21"/>
        </w:rPr>
        <w:t>。</w:t>
      </w:r>
    </w:p>
    <w:p w:rsidR="0089307E" w:rsidRPr="0089307E" w:rsidRDefault="0089307E" w:rsidP="00522590">
      <w:pPr>
        <w:numPr>
          <w:ilvl w:val="0"/>
          <w:numId w:val="2"/>
        </w:numPr>
        <w:tabs>
          <w:tab w:val="clear" w:pos="600"/>
          <w:tab w:val="num" w:pos="360"/>
        </w:tabs>
        <w:spacing w:beforeLines="20"/>
        <w:ind w:left="361" w:hangingChars="187" w:hanging="361"/>
        <w:rPr>
          <w:rStyle w:val="big1"/>
          <w:rFonts w:ascii="Arial" w:eastAsia="楷体_GB2312" w:hAnsi="Arial" w:cs="Arial"/>
          <w:b/>
          <w:spacing w:val="-4"/>
          <w:sz w:val="20"/>
        </w:rPr>
      </w:pPr>
      <w:bookmarkStart w:id="10" w:name="_Toc282437133"/>
      <w:r>
        <w:rPr>
          <w:rStyle w:val="big1"/>
          <w:rFonts w:ascii="Arial" w:eastAsia="楷体_GB2312" w:hAnsi="Arial" w:cs="Arial" w:hint="eastAsia"/>
          <w:b/>
          <w:spacing w:val="-4"/>
          <w:sz w:val="20"/>
        </w:rPr>
        <w:t>GIS</w:t>
      </w:r>
      <w:r>
        <w:rPr>
          <w:rStyle w:val="big1"/>
          <w:rFonts w:ascii="Arial" w:eastAsia="楷体_GB2312" w:hAnsi="Arial" w:cs="Arial" w:hint="eastAsia"/>
          <w:b/>
          <w:spacing w:val="-4"/>
          <w:sz w:val="20"/>
        </w:rPr>
        <w:t>数据采集设备获得</w:t>
      </w:r>
      <w:r w:rsidRPr="0089307E">
        <w:rPr>
          <w:rStyle w:val="big1"/>
          <w:rFonts w:ascii="Arial" w:eastAsia="楷体_GB2312" w:hAnsi="Arial" w:cs="Arial" w:hint="eastAsia"/>
          <w:b/>
          <w:spacing w:val="-4"/>
          <w:sz w:val="20"/>
        </w:rPr>
        <w:t>高明</w:t>
      </w:r>
      <w:r w:rsidRPr="0089307E">
        <w:rPr>
          <w:rStyle w:val="big1"/>
          <w:rFonts w:ascii="Arial" w:eastAsia="楷体_GB2312" w:hAnsi="Arial" w:cs="Arial" w:hint="eastAsia"/>
          <w:b/>
          <w:spacing w:val="-4"/>
          <w:sz w:val="20"/>
        </w:rPr>
        <w:t>(Garmin)</w:t>
      </w:r>
      <w:r w:rsidRPr="0089307E">
        <w:rPr>
          <w:rStyle w:val="big1"/>
          <w:rFonts w:ascii="Arial" w:eastAsia="楷体_GB2312" w:hAnsi="Arial" w:cs="Arial" w:hint="eastAsia"/>
          <w:b/>
          <w:spacing w:val="-4"/>
          <w:sz w:val="20"/>
        </w:rPr>
        <w:t>产品代理、间接增厚收益</w:t>
      </w:r>
      <w:bookmarkEnd w:id="10"/>
    </w:p>
    <w:p w:rsidR="00326CF3" w:rsidRDefault="00C0152E" w:rsidP="00326CF3">
      <w:pPr>
        <w:pStyle w:val="af0"/>
        <w:spacing w:before="62"/>
        <w:rPr>
          <w:szCs w:val="21"/>
        </w:rPr>
      </w:pPr>
      <w:r>
        <w:rPr>
          <w:rFonts w:hint="eastAsia"/>
          <w:szCs w:val="21"/>
        </w:rPr>
        <w:t>公司</w:t>
      </w:r>
      <w:r w:rsidR="0089307E" w:rsidRPr="00326CF3">
        <w:rPr>
          <w:rFonts w:hint="eastAsia"/>
          <w:szCs w:val="21"/>
        </w:rPr>
        <w:t>获得的高明（</w:t>
      </w:r>
      <w:r w:rsidR="0089307E" w:rsidRPr="00326CF3">
        <w:rPr>
          <w:rFonts w:hint="eastAsia"/>
          <w:szCs w:val="21"/>
        </w:rPr>
        <w:t>Garmin</w:t>
      </w:r>
      <w:r w:rsidR="0089307E" w:rsidRPr="00326CF3">
        <w:rPr>
          <w:rFonts w:hint="eastAsia"/>
          <w:szCs w:val="21"/>
        </w:rPr>
        <w:t>）手持产品在国内南方四个大区的代理权，将于</w:t>
      </w:r>
      <w:r w:rsidR="0089307E" w:rsidRPr="00326CF3">
        <w:rPr>
          <w:rFonts w:hint="eastAsia"/>
          <w:szCs w:val="21"/>
        </w:rPr>
        <w:t>2011</w:t>
      </w:r>
      <w:r w:rsidR="0089307E" w:rsidRPr="00326CF3">
        <w:rPr>
          <w:rFonts w:hint="eastAsia"/>
          <w:szCs w:val="21"/>
        </w:rPr>
        <w:t>年起代销高明相关手持产品。高明产品原由合</w:t>
      </w:r>
      <w:proofErr w:type="gramStart"/>
      <w:r w:rsidR="0089307E" w:rsidRPr="00326CF3">
        <w:rPr>
          <w:rFonts w:hint="eastAsia"/>
          <w:szCs w:val="21"/>
        </w:rPr>
        <w:t>众思壮代理</w:t>
      </w:r>
      <w:proofErr w:type="gramEnd"/>
      <w:r w:rsidR="0089307E" w:rsidRPr="00326CF3">
        <w:rPr>
          <w:rFonts w:hint="eastAsia"/>
          <w:szCs w:val="21"/>
        </w:rPr>
        <w:t>，其在国内的市场定位主要在低端专业用户（国外定位主要为高端个人消费用户），大约具有</w:t>
      </w:r>
      <w:r w:rsidR="0089307E" w:rsidRPr="00326CF3">
        <w:rPr>
          <w:rFonts w:hint="eastAsia"/>
          <w:szCs w:val="21"/>
        </w:rPr>
        <w:t>10</w:t>
      </w:r>
      <w:r w:rsidR="0089307E" w:rsidRPr="00326CF3">
        <w:rPr>
          <w:rFonts w:hint="eastAsia"/>
          <w:szCs w:val="21"/>
        </w:rPr>
        <w:t>万台左右的用户市场。</w:t>
      </w:r>
    </w:p>
    <w:p w:rsidR="00E52888" w:rsidRDefault="00280C95" w:rsidP="00326CF3">
      <w:pPr>
        <w:pStyle w:val="af0"/>
        <w:spacing w:before="62"/>
        <w:rPr>
          <w:szCs w:val="21"/>
        </w:rPr>
      </w:pPr>
      <w:r>
        <w:rPr>
          <w:rFonts w:hint="eastAsia"/>
          <w:szCs w:val="21"/>
        </w:rPr>
        <w:t>该代理权的获得不仅仅将为公司带来直接的业绩增厚，</w:t>
      </w:r>
      <w:r w:rsidR="0089307E" w:rsidRPr="00326CF3">
        <w:rPr>
          <w:rFonts w:hint="eastAsia"/>
          <w:szCs w:val="21"/>
        </w:rPr>
        <w:t>更拓展了公司在</w:t>
      </w:r>
      <w:r w:rsidR="0089307E" w:rsidRPr="00326CF3">
        <w:rPr>
          <w:rFonts w:hint="eastAsia"/>
          <w:szCs w:val="21"/>
        </w:rPr>
        <w:t>GIS</w:t>
      </w:r>
      <w:r w:rsidR="00DE30C0">
        <w:rPr>
          <w:rFonts w:hint="eastAsia"/>
          <w:szCs w:val="21"/>
        </w:rPr>
        <w:t>产品线上的深度、丰富了不同定位的产品线。同时</w:t>
      </w:r>
      <w:r w:rsidR="0089307E" w:rsidRPr="00326CF3">
        <w:rPr>
          <w:rFonts w:hint="eastAsia"/>
          <w:szCs w:val="21"/>
        </w:rPr>
        <w:t>还为公司在容量巨大的低端专业应用</w:t>
      </w:r>
      <w:r w:rsidR="0089307E" w:rsidRPr="00326CF3">
        <w:rPr>
          <w:rFonts w:hint="eastAsia"/>
          <w:szCs w:val="21"/>
        </w:rPr>
        <w:t>/</w:t>
      </w:r>
      <w:r w:rsidR="0089307E" w:rsidRPr="00326CF3">
        <w:rPr>
          <w:rFonts w:hint="eastAsia"/>
          <w:szCs w:val="21"/>
        </w:rPr>
        <w:t>高端消费类民用产品细分市场的拓展奠定了市场和用户基础。</w:t>
      </w:r>
      <w:r w:rsidR="0089307E" w:rsidRPr="00326CF3">
        <w:rPr>
          <w:rFonts w:hint="eastAsia"/>
          <w:szCs w:val="21"/>
        </w:rPr>
        <w:t>2011</w:t>
      </w:r>
      <w:r w:rsidR="0089307E" w:rsidRPr="00326CF3">
        <w:rPr>
          <w:rFonts w:hint="eastAsia"/>
          <w:szCs w:val="21"/>
        </w:rPr>
        <w:t>年上半年，公司</w:t>
      </w:r>
      <w:r w:rsidR="0089307E" w:rsidRPr="00326CF3">
        <w:rPr>
          <w:rFonts w:hint="eastAsia"/>
          <w:szCs w:val="21"/>
        </w:rPr>
        <w:t>GIS</w:t>
      </w:r>
      <w:r w:rsidR="0089307E" w:rsidRPr="00326CF3">
        <w:rPr>
          <w:rFonts w:hint="eastAsia"/>
          <w:szCs w:val="21"/>
        </w:rPr>
        <w:t>数据采集设备实现收入</w:t>
      </w:r>
      <w:r w:rsidR="0089307E" w:rsidRPr="00326CF3">
        <w:rPr>
          <w:rFonts w:hint="eastAsia"/>
          <w:szCs w:val="21"/>
        </w:rPr>
        <w:t>1464.17</w:t>
      </w:r>
      <w:r w:rsidR="0089307E" w:rsidRPr="00326CF3">
        <w:rPr>
          <w:rFonts w:hint="eastAsia"/>
          <w:szCs w:val="21"/>
        </w:rPr>
        <w:t>万元，同比增长</w:t>
      </w:r>
      <w:r w:rsidR="0089307E" w:rsidRPr="00326CF3">
        <w:rPr>
          <w:rFonts w:hint="eastAsia"/>
          <w:szCs w:val="21"/>
        </w:rPr>
        <w:t>88.60%</w:t>
      </w:r>
      <w:r w:rsidR="00326CF3">
        <w:rPr>
          <w:rFonts w:hint="eastAsia"/>
          <w:szCs w:val="21"/>
        </w:rPr>
        <w:t>，显示出较快的增长速度</w:t>
      </w:r>
      <w:r w:rsidR="0089307E" w:rsidRPr="00326CF3">
        <w:rPr>
          <w:rFonts w:hint="eastAsia"/>
          <w:szCs w:val="21"/>
        </w:rPr>
        <w:t>。</w:t>
      </w:r>
    </w:p>
    <w:p w:rsidR="00F66261" w:rsidRPr="0089307E" w:rsidRDefault="00F66261" w:rsidP="00522590">
      <w:pPr>
        <w:numPr>
          <w:ilvl w:val="0"/>
          <w:numId w:val="2"/>
        </w:numPr>
        <w:tabs>
          <w:tab w:val="clear" w:pos="600"/>
          <w:tab w:val="num" w:pos="360"/>
        </w:tabs>
        <w:spacing w:beforeLines="20"/>
        <w:ind w:left="361" w:hangingChars="187" w:hanging="361"/>
        <w:rPr>
          <w:rStyle w:val="big1"/>
          <w:rFonts w:ascii="Arial" w:eastAsia="楷体_GB2312" w:hAnsi="Arial" w:cs="Arial"/>
          <w:b/>
          <w:spacing w:val="-4"/>
          <w:sz w:val="20"/>
        </w:rPr>
      </w:pPr>
      <w:r>
        <w:rPr>
          <w:rStyle w:val="big1"/>
          <w:rFonts w:ascii="Arial" w:eastAsia="楷体_GB2312" w:hAnsi="Arial" w:cs="Arial" w:hint="eastAsia"/>
          <w:b/>
          <w:spacing w:val="-4"/>
          <w:sz w:val="20"/>
        </w:rPr>
        <w:t>技术研发和市场营销并重，新产品保障公司未来长期发展</w:t>
      </w:r>
    </w:p>
    <w:p w:rsidR="00E61637" w:rsidRDefault="00F66261" w:rsidP="00E61637">
      <w:pPr>
        <w:pStyle w:val="af0"/>
        <w:spacing w:before="62"/>
        <w:rPr>
          <w:szCs w:val="21"/>
        </w:rPr>
      </w:pPr>
      <w:r w:rsidRPr="00326CF3">
        <w:rPr>
          <w:rFonts w:hint="eastAsia"/>
          <w:szCs w:val="21"/>
        </w:rPr>
        <w:t>公司</w:t>
      </w:r>
      <w:r>
        <w:rPr>
          <w:rFonts w:hint="eastAsia"/>
          <w:szCs w:val="21"/>
        </w:rPr>
        <w:t>产品面对的市场广而大，单个客户需求规模相对较小。</w:t>
      </w:r>
      <w:r w:rsidR="00E61637">
        <w:rPr>
          <w:rFonts w:hint="eastAsia"/>
          <w:szCs w:val="21"/>
        </w:rPr>
        <w:t>在全国范围内，公司</w:t>
      </w:r>
      <w:r w:rsidR="00095A24">
        <w:rPr>
          <w:rFonts w:hint="eastAsia"/>
          <w:szCs w:val="21"/>
        </w:rPr>
        <w:t>共</w:t>
      </w:r>
      <w:r w:rsidR="00E61637">
        <w:rPr>
          <w:rFonts w:hint="eastAsia"/>
          <w:szCs w:val="21"/>
        </w:rPr>
        <w:t>有超过</w:t>
      </w:r>
      <w:r w:rsidR="00E61637">
        <w:rPr>
          <w:rFonts w:hint="eastAsia"/>
          <w:szCs w:val="21"/>
        </w:rPr>
        <w:t>2000</w:t>
      </w:r>
      <w:r w:rsidR="00E61637">
        <w:rPr>
          <w:rFonts w:hint="eastAsia"/>
          <w:szCs w:val="21"/>
        </w:rPr>
        <w:t>家客户。公司非常注重市场营销，目前公司市场营销人员数量在</w:t>
      </w:r>
      <w:r w:rsidR="00E61637">
        <w:rPr>
          <w:rFonts w:hint="eastAsia"/>
          <w:szCs w:val="21"/>
        </w:rPr>
        <w:t>500</w:t>
      </w:r>
      <w:r w:rsidR="00E61637">
        <w:rPr>
          <w:rFonts w:hint="eastAsia"/>
          <w:szCs w:val="21"/>
        </w:rPr>
        <w:t>人左右，占公司总人数的</w:t>
      </w:r>
      <w:r w:rsidR="00E61637">
        <w:rPr>
          <w:rFonts w:hint="eastAsia"/>
          <w:szCs w:val="21"/>
        </w:rPr>
        <w:t>50%</w:t>
      </w:r>
      <w:r w:rsidR="00E61637">
        <w:rPr>
          <w:rFonts w:hint="eastAsia"/>
          <w:szCs w:val="21"/>
        </w:rPr>
        <w:t>以上。在研发方面，公司大约有</w:t>
      </w:r>
      <w:r w:rsidR="00AB648B">
        <w:rPr>
          <w:rFonts w:hint="eastAsia"/>
          <w:szCs w:val="21"/>
        </w:rPr>
        <w:t>20</w:t>
      </w:r>
      <w:r w:rsidR="00E61637">
        <w:rPr>
          <w:rFonts w:hint="eastAsia"/>
          <w:szCs w:val="21"/>
        </w:rPr>
        <w:t>0</w:t>
      </w:r>
      <w:r w:rsidR="00E61637">
        <w:rPr>
          <w:rFonts w:hint="eastAsia"/>
          <w:szCs w:val="21"/>
        </w:rPr>
        <w:t>多人</w:t>
      </w:r>
      <w:r w:rsidR="00AB648B">
        <w:rPr>
          <w:rFonts w:hint="eastAsia"/>
          <w:szCs w:val="21"/>
        </w:rPr>
        <w:t>左右</w:t>
      </w:r>
      <w:r w:rsidR="00E61637">
        <w:rPr>
          <w:rFonts w:hint="eastAsia"/>
          <w:szCs w:val="21"/>
        </w:rPr>
        <w:t>的研发人员，每年的研发投入比重占公司总营业收入的</w:t>
      </w:r>
      <w:r w:rsidR="00703E23">
        <w:rPr>
          <w:rFonts w:hint="eastAsia"/>
          <w:szCs w:val="21"/>
        </w:rPr>
        <w:t>5</w:t>
      </w:r>
      <w:r w:rsidR="00E61637">
        <w:rPr>
          <w:rFonts w:hint="eastAsia"/>
          <w:szCs w:val="21"/>
        </w:rPr>
        <w:t>%</w:t>
      </w:r>
      <w:r w:rsidR="00E61637">
        <w:rPr>
          <w:rFonts w:hint="eastAsia"/>
          <w:szCs w:val="21"/>
        </w:rPr>
        <w:t>以上，并且在广州和武汉都设有研发中心</w:t>
      </w:r>
      <w:r w:rsidR="002A7E26">
        <w:rPr>
          <w:rFonts w:hint="eastAsia"/>
          <w:szCs w:val="21"/>
        </w:rPr>
        <w:t>，</w:t>
      </w:r>
      <w:r w:rsidR="00703E23">
        <w:rPr>
          <w:rFonts w:hint="eastAsia"/>
          <w:szCs w:val="21"/>
        </w:rPr>
        <w:t>有利于</w:t>
      </w:r>
      <w:r w:rsidR="002A7E26">
        <w:rPr>
          <w:rFonts w:hint="eastAsia"/>
          <w:szCs w:val="21"/>
        </w:rPr>
        <w:t>能够充分利用当地大学例如武汉大学的研发资源，</w:t>
      </w:r>
      <w:r w:rsidR="00703E23">
        <w:rPr>
          <w:rFonts w:hint="eastAsia"/>
          <w:szCs w:val="21"/>
        </w:rPr>
        <w:t>推动公司新产品的快速发展。</w:t>
      </w:r>
    </w:p>
    <w:p w:rsidR="00703E23" w:rsidRPr="00703E23" w:rsidRDefault="00AF2E77" w:rsidP="00E61637">
      <w:pPr>
        <w:pStyle w:val="af0"/>
        <w:spacing w:before="62"/>
        <w:rPr>
          <w:szCs w:val="21"/>
        </w:rPr>
      </w:pPr>
      <w:r>
        <w:rPr>
          <w:rFonts w:hint="eastAsia"/>
          <w:szCs w:val="21"/>
        </w:rPr>
        <w:t>通过持续的研发投入，公司产品能够不断更新升级，未来将会有不断的新产品推出，例如多波束探测仪、</w:t>
      </w:r>
      <w:r w:rsidRPr="004A5F05">
        <w:rPr>
          <w:szCs w:val="21"/>
        </w:rPr>
        <w:t>激光</w:t>
      </w:r>
      <w:r w:rsidRPr="004A5F05">
        <w:rPr>
          <w:szCs w:val="21"/>
        </w:rPr>
        <w:t>3D</w:t>
      </w:r>
      <w:r>
        <w:rPr>
          <w:rFonts w:hint="eastAsia"/>
          <w:szCs w:val="21"/>
        </w:rPr>
        <w:t>成像探测</w:t>
      </w:r>
      <w:r w:rsidRPr="004A5F05">
        <w:rPr>
          <w:szCs w:val="21"/>
        </w:rPr>
        <w:t>设备</w:t>
      </w:r>
      <w:r w:rsidR="00604AD0">
        <w:rPr>
          <w:rFonts w:hint="eastAsia"/>
          <w:szCs w:val="21"/>
        </w:rPr>
        <w:t>。不断投入市场的新产品将有利于保障公司未来的长期发展。</w:t>
      </w:r>
    </w:p>
    <w:p w:rsidR="00CD797C" w:rsidRPr="00F66261" w:rsidRDefault="006B65E4" w:rsidP="00522590">
      <w:pPr>
        <w:numPr>
          <w:ilvl w:val="0"/>
          <w:numId w:val="2"/>
        </w:numPr>
        <w:tabs>
          <w:tab w:val="clear" w:pos="600"/>
          <w:tab w:val="num" w:pos="360"/>
        </w:tabs>
        <w:spacing w:beforeLines="20"/>
        <w:ind w:left="361" w:hangingChars="187" w:hanging="361"/>
        <w:rPr>
          <w:rStyle w:val="big1"/>
          <w:rFonts w:ascii="Arial" w:eastAsia="楷体_GB2312" w:hAnsi="Arial" w:cs="Arial"/>
          <w:b/>
          <w:spacing w:val="-4"/>
          <w:sz w:val="20"/>
        </w:rPr>
      </w:pPr>
      <w:r w:rsidRPr="00F66261">
        <w:rPr>
          <w:rStyle w:val="big1"/>
          <w:rFonts w:ascii="Arial" w:eastAsia="楷体_GB2312" w:hAnsi="Arial" w:cs="Arial" w:hint="eastAsia"/>
          <w:b/>
          <w:spacing w:val="-4"/>
          <w:sz w:val="20"/>
        </w:rPr>
        <w:lastRenderedPageBreak/>
        <w:t>公司</w:t>
      </w:r>
      <w:r w:rsidR="00DC1F45">
        <w:rPr>
          <w:rStyle w:val="big1"/>
          <w:rFonts w:ascii="Arial" w:eastAsia="楷体_GB2312" w:hAnsi="Arial" w:cs="Arial" w:hint="eastAsia"/>
          <w:b/>
          <w:spacing w:val="-4"/>
          <w:sz w:val="20"/>
        </w:rPr>
        <w:t>为</w:t>
      </w:r>
      <w:r w:rsidR="00F66261" w:rsidRPr="00F66261">
        <w:rPr>
          <w:rStyle w:val="big1"/>
          <w:rFonts w:ascii="Arial" w:eastAsia="楷体_GB2312" w:hAnsi="Arial" w:cs="Arial" w:hint="eastAsia"/>
          <w:b/>
          <w:spacing w:val="-4"/>
          <w:sz w:val="20"/>
        </w:rPr>
        <w:t>专业</w:t>
      </w:r>
      <w:r w:rsidR="00F66261" w:rsidRPr="00F66261">
        <w:rPr>
          <w:rStyle w:val="big1"/>
          <w:rFonts w:ascii="Arial" w:eastAsia="楷体_GB2312" w:hAnsi="Arial" w:cs="Arial" w:hint="eastAsia"/>
          <w:b/>
          <w:spacing w:val="-4"/>
          <w:sz w:val="20"/>
        </w:rPr>
        <w:t>GNSS</w:t>
      </w:r>
      <w:r w:rsidR="00F66261" w:rsidRPr="00F66261">
        <w:rPr>
          <w:rStyle w:val="big1"/>
          <w:rFonts w:ascii="Arial" w:eastAsia="楷体_GB2312" w:hAnsi="Arial" w:cs="Arial" w:hint="eastAsia"/>
          <w:b/>
          <w:spacing w:val="-4"/>
          <w:sz w:val="20"/>
        </w:rPr>
        <w:t>领域</w:t>
      </w:r>
      <w:r w:rsidR="00DC1F45">
        <w:rPr>
          <w:rStyle w:val="big1"/>
          <w:rFonts w:ascii="Arial" w:eastAsia="楷体_GB2312" w:hAnsi="Arial" w:cs="Arial" w:hint="eastAsia"/>
          <w:b/>
          <w:spacing w:val="-4"/>
          <w:sz w:val="20"/>
        </w:rPr>
        <w:t>的</w:t>
      </w:r>
      <w:r w:rsidR="00F66261" w:rsidRPr="00F66261">
        <w:rPr>
          <w:rStyle w:val="big1"/>
          <w:rFonts w:ascii="Arial" w:eastAsia="楷体_GB2312" w:hAnsi="Arial" w:cs="Arial" w:hint="eastAsia"/>
          <w:b/>
          <w:spacing w:val="-4"/>
          <w:sz w:val="20"/>
        </w:rPr>
        <w:t>技术领先</w:t>
      </w:r>
      <w:r w:rsidR="00DC1F45">
        <w:rPr>
          <w:rStyle w:val="big1"/>
          <w:rFonts w:ascii="Arial" w:eastAsia="楷体_GB2312" w:hAnsi="Arial" w:cs="Arial" w:hint="eastAsia"/>
          <w:b/>
          <w:spacing w:val="-4"/>
          <w:sz w:val="20"/>
        </w:rPr>
        <w:t>者</w:t>
      </w:r>
      <w:r w:rsidR="00F94E9D" w:rsidRPr="00F66261">
        <w:rPr>
          <w:rStyle w:val="big1"/>
          <w:rFonts w:ascii="Arial" w:eastAsia="楷体_GB2312" w:hAnsi="Arial" w:cs="Arial" w:hint="eastAsia"/>
          <w:b/>
          <w:spacing w:val="-4"/>
          <w:sz w:val="20"/>
        </w:rPr>
        <w:t>，维持中长期“推荐”评级</w:t>
      </w:r>
    </w:p>
    <w:p w:rsidR="004545EA" w:rsidRDefault="00AF2E77" w:rsidP="00AA2368">
      <w:pPr>
        <w:pStyle w:val="af0"/>
        <w:spacing w:before="62"/>
      </w:pPr>
      <w:r>
        <w:rPr>
          <w:rFonts w:hint="eastAsia"/>
        </w:rPr>
        <w:t>公司定位专业的卫星导航设备领域，行业进入壁垒较高。在国家</w:t>
      </w:r>
      <w:proofErr w:type="gramStart"/>
      <w:r>
        <w:rPr>
          <w:rFonts w:hint="eastAsia"/>
        </w:rPr>
        <w:t>铁公机</w:t>
      </w:r>
      <w:proofErr w:type="gramEnd"/>
      <w:r>
        <w:rPr>
          <w:rFonts w:hint="eastAsia"/>
        </w:rPr>
        <w:t>、水利等基础设施带动下，公司高精度导航设备将保持平稳快速发展。同时，通过代理国外高端产品以及自身新产品的推出，公司业务未来几年将保持平稳增长。</w:t>
      </w:r>
    </w:p>
    <w:p w:rsidR="00F94E9D" w:rsidRDefault="00AF2E77" w:rsidP="00AA2368">
      <w:pPr>
        <w:pStyle w:val="af0"/>
        <w:spacing w:before="62"/>
      </w:pPr>
      <w:r>
        <w:rPr>
          <w:rFonts w:hint="eastAsia"/>
        </w:rPr>
        <w:t>我们预计公司</w:t>
      </w:r>
      <w:r>
        <w:rPr>
          <w:rFonts w:hint="eastAsia"/>
        </w:rPr>
        <w:t>11</w:t>
      </w:r>
      <w:r>
        <w:rPr>
          <w:rFonts w:hint="eastAsia"/>
        </w:rPr>
        <w:t>、</w:t>
      </w:r>
      <w:r>
        <w:rPr>
          <w:rFonts w:hint="eastAsia"/>
        </w:rPr>
        <w:t>12</w:t>
      </w:r>
      <w:r>
        <w:rPr>
          <w:rFonts w:hint="eastAsia"/>
        </w:rPr>
        <w:t>和</w:t>
      </w:r>
      <w:r>
        <w:rPr>
          <w:rFonts w:hint="eastAsia"/>
        </w:rPr>
        <w:t>13</w:t>
      </w:r>
      <w:r>
        <w:rPr>
          <w:rFonts w:hint="eastAsia"/>
        </w:rPr>
        <w:t>年</w:t>
      </w:r>
      <w:r>
        <w:rPr>
          <w:rFonts w:hint="eastAsia"/>
        </w:rPr>
        <w:t>EPS</w:t>
      </w:r>
      <w:r>
        <w:rPr>
          <w:rFonts w:hint="eastAsia"/>
        </w:rPr>
        <w:t>分别为</w:t>
      </w:r>
      <w:r>
        <w:rPr>
          <w:rFonts w:hint="eastAsia"/>
        </w:rPr>
        <w:t>0.62</w:t>
      </w:r>
      <w:r>
        <w:rPr>
          <w:rFonts w:hint="eastAsia"/>
        </w:rPr>
        <w:t>元、</w:t>
      </w:r>
      <w:r w:rsidR="000E0EE2">
        <w:rPr>
          <w:rFonts w:hint="eastAsia"/>
        </w:rPr>
        <w:t>0.8</w:t>
      </w:r>
      <w:r w:rsidR="000E0EE2">
        <w:t>1</w:t>
      </w:r>
      <w:r>
        <w:rPr>
          <w:rFonts w:hint="eastAsia"/>
        </w:rPr>
        <w:t>元和</w:t>
      </w:r>
      <w:r w:rsidR="000E0EE2">
        <w:rPr>
          <w:rFonts w:hint="eastAsia"/>
        </w:rPr>
        <w:t>1.0</w:t>
      </w:r>
      <w:r w:rsidR="000E0EE2">
        <w:t>4</w:t>
      </w:r>
      <w:r>
        <w:rPr>
          <w:rFonts w:hint="eastAsia"/>
        </w:rPr>
        <w:t>元，分别同比增长</w:t>
      </w:r>
      <w:r>
        <w:rPr>
          <w:rFonts w:hint="eastAsia"/>
        </w:rPr>
        <w:t>3</w:t>
      </w:r>
      <w:r w:rsidR="000E0EE2">
        <w:t>1</w:t>
      </w:r>
      <w:r>
        <w:rPr>
          <w:rFonts w:hint="eastAsia"/>
        </w:rPr>
        <w:t>%</w:t>
      </w:r>
      <w:r>
        <w:rPr>
          <w:rFonts w:hint="eastAsia"/>
        </w:rPr>
        <w:t>、</w:t>
      </w:r>
      <w:r>
        <w:rPr>
          <w:rFonts w:hint="eastAsia"/>
        </w:rPr>
        <w:t>31%</w:t>
      </w:r>
      <w:r>
        <w:rPr>
          <w:rFonts w:hint="eastAsia"/>
        </w:rPr>
        <w:t>和</w:t>
      </w:r>
      <w:r w:rsidR="000E0EE2">
        <w:t>28</w:t>
      </w:r>
      <w:r>
        <w:rPr>
          <w:rFonts w:hint="eastAsia"/>
        </w:rPr>
        <w:t>%</w:t>
      </w:r>
      <w:r w:rsidR="00DC1F45">
        <w:rPr>
          <w:rFonts w:hint="eastAsia"/>
        </w:rPr>
        <w:t>，目前股价对应</w:t>
      </w:r>
      <w:r w:rsidR="00DC1F45">
        <w:rPr>
          <w:rFonts w:hint="eastAsia"/>
        </w:rPr>
        <w:t>11/12/13</w:t>
      </w:r>
      <w:r w:rsidR="00DC1F45">
        <w:rPr>
          <w:rFonts w:hint="eastAsia"/>
        </w:rPr>
        <w:t>年市盈率分别为</w:t>
      </w:r>
      <w:r w:rsidR="00DC1F45">
        <w:rPr>
          <w:rFonts w:hint="eastAsia"/>
        </w:rPr>
        <w:t>39</w:t>
      </w:r>
      <w:r w:rsidR="00DC1F45">
        <w:rPr>
          <w:rFonts w:hint="eastAsia"/>
        </w:rPr>
        <w:t>倍</w:t>
      </w:r>
      <w:r w:rsidR="00DC1F45">
        <w:rPr>
          <w:rFonts w:hint="eastAsia"/>
        </w:rPr>
        <w:t>/</w:t>
      </w:r>
      <w:r w:rsidR="000E0EE2">
        <w:t>30</w:t>
      </w:r>
      <w:r w:rsidR="00DC1F45">
        <w:rPr>
          <w:rFonts w:hint="eastAsia"/>
        </w:rPr>
        <w:t>倍</w:t>
      </w:r>
      <w:r w:rsidR="00DC1F45">
        <w:rPr>
          <w:rFonts w:hint="eastAsia"/>
        </w:rPr>
        <w:t>/2</w:t>
      </w:r>
      <w:r w:rsidR="000E0EE2">
        <w:t>3</w:t>
      </w:r>
      <w:r w:rsidR="00DC1F45">
        <w:rPr>
          <w:rFonts w:hint="eastAsia"/>
        </w:rPr>
        <w:t>倍</w:t>
      </w:r>
      <w:r>
        <w:rPr>
          <w:rFonts w:hint="eastAsia"/>
        </w:rPr>
        <w:t>。</w:t>
      </w:r>
      <w:r w:rsidR="00F94E9D" w:rsidRPr="00AA2368">
        <w:rPr>
          <w:rFonts w:hint="eastAsia"/>
        </w:rPr>
        <w:t>公司</w:t>
      </w:r>
      <w:r>
        <w:rPr>
          <w:rFonts w:hint="eastAsia"/>
        </w:rPr>
        <w:t>较强的技术开发能力以及国家对卫星导航领域的政策扶持</w:t>
      </w:r>
      <w:r w:rsidR="00F94E9D" w:rsidRPr="00AA2368">
        <w:rPr>
          <w:rFonts w:hint="eastAsia"/>
        </w:rPr>
        <w:t>有望给公司带来估值溢价，维持中长期“推荐”评级。</w:t>
      </w:r>
    </w:p>
    <w:p w:rsidR="00806BCE" w:rsidRDefault="00806BCE"/>
    <w:tbl>
      <w:tblPr>
        <w:tblW w:w="10065" w:type="dxa"/>
        <w:tblInd w:w="108" w:type="dxa"/>
        <w:tblBorders>
          <w:top w:val="single" w:sz="4" w:space="0" w:color="auto"/>
          <w:bottom w:val="single" w:sz="4" w:space="0" w:color="auto"/>
        </w:tblBorders>
        <w:tblLayout w:type="fixed"/>
        <w:tblLook w:val="04A0"/>
      </w:tblPr>
      <w:tblGrid>
        <w:gridCol w:w="1985"/>
        <w:gridCol w:w="1616"/>
        <w:gridCol w:w="1616"/>
        <w:gridCol w:w="1616"/>
        <w:gridCol w:w="1616"/>
        <w:gridCol w:w="1616"/>
      </w:tblGrid>
      <w:tr w:rsidR="00AF2E77" w:rsidRPr="00AF2E77" w:rsidTr="00AF2E77">
        <w:trPr>
          <w:trHeight w:hRule="exact" w:val="397"/>
        </w:trPr>
        <w:tc>
          <w:tcPr>
            <w:tcW w:w="10065" w:type="dxa"/>
            <w:gridSpan w:val="6"/>
            <w:tcBorders>
              <w:top w:val="single" w:sz="4" w:space="0" w:color="auto"/>
              <w:bottom w:val="single" w:sz="4" w:space="0" w:color="auto"/>
            </w:tcBorders>
            <w:shd w:val="clear" w:color="auto" w:fill="auto"/>
            <w:noWrap/>
            <w:vAlign w:val="center"/>
            <w:hideMark/>
          </w:tcPr>
          <w:p w:rsidR="00AF2E77" w:rsidRPr="00565F73" w:rsidRDefault="00AF2E77" w:rsidP="00AF2E77">
            <w:pPr>
              <w:widowControl/>
              <w:spacing w:line="0" w:lineRule="atLeast"/>
              <w:jc w:val="left"/>
              <w:rPr>
                <w:rFonts w:ascii="Arial" w:eastAsia="楷体_GB2312" w:hAnsi="Arial" w:cs="Arial"/>
                <w:b/>
                <w:kern w:val="0"/>
                <w:szCs w:val="21"/>
              </w:rPr>
            </w:pPr>
            <w:r>
              <w:rPr>
                <w:rFonts w:ascii="Arial" w:eastAsia="楷体_GB2312" w:hAnsi="Arial" w:cs="Arial" w:hint="eastAsia"/>
                <w:b/>
                <w:kern w:val="0"/>
                <w:szCs w:val="21"/>
              </w:rPr>
              <w:t>表</w:t>
            </w:r>
            <w:r>
              <w:rPr>
                <w:rFonts w:ascii="Arial" w:eastAsia="楷体_GB2312" w:hAnsi="Arial" w:cs="Arial" w:hint="eastAsia"/>
                <w:b/>
                <w:kern w:val="0"/>
                <w:szCs w:val="21"/>
              </w:rPr>
              <w:t>1</w:t>
            </w:r>
            <w:r>
              <w:rPr>
                <w:rFonts w:ascii="Arial" w:eastAsia="楷体_GB2312" w:hAnsi="Arial" w:cs="Arial" w:hint="eastAsia"/>
                <w:b/>
                <w:kern w:val="0"/>
                <w:szCs w:val="21"/>
              </w:rPr>
              <w:t>：</w:t>
            </w:r>
            <w:r w:rsidRPr="00565F73">
              <w:rPr>
                <w:rFonts w:ascii="Arial" w:eastAsia="楷体_GB2312" w:hAnsi="Arial" w:cs="Arial"/>
                <w:b/>
                <w:kern w:val="0"/>
                <w:szCs w:val="21"/>
              </w:rPr>
              <w:t>中海达</w:t>
            </w:r>
            <w:r w:rsidRPr="00565F73">
              <w:rPr>
                <w:rFonts w:ascii="Arial" w:eastAsia="楷体_GB2312" w:hAnsi="Arial" w:cs="Arial"/>
                <w:b/>
                <w:kern w:val="0"/>
                <w:szCs w:val="21"/>
              </w:rPr>
              <w:t>(3000177.SZ)</w:t>
            </w:r>
            <w:r w:rsidRPr="00565F73">
              <w:rPr>
                <w:rFonts w:ascii="Arial" w:eastAsia="楷体_GB2312" w:hAnsi="Arial" w:cs="Arial"/>
                <w:b/>
                <w:kern w:val="0"/>
                <w:szCs w:val="21"/>
              </w:rPr>
              <w:t>主营业务</w:t>
            </w:r>
            <w:r>
              <w:rPr>
                <w:rFonts w:ascii="Arial" w:eastAsia="楷体_GB2312" w:hAnsi="Arial" w:cs="Arial" w:hint="eastAsia"/>
                <w:b/>
                <w:kern w:val="0"/>
                <w:szCs w:val="21"/>
              </w:rPr>
              <w:t>收入</w:t>
            </w:r>
            <w:r w:rsidRPr="00565F73">
              <w:rPr>
                <w:rFonts w:ascii="Arial" w:eastAsia="楷体_GB2312" w:hAnsi="Arial" w:cs="Arial"/>
                <w:b/>
                <w:kern w:val="0"/>
                <w:szCs w:val="21"/>
              </w:rPr>
              <w:t>预测</w:t>
            </w:r>
            <w:r>
              <w:rPr>
                <w:rFonts w:ascii="Arial" w:eastAsia="楷体_GB2312" w:hAnsi="Arial" w:cs="Arial" w:hint="eastAsia"/>
                <w:b/>
                <w:kern w:val="0"/>
                <w:szCs w:val="21"/>
              </w:rPr>
              <w:t>模型</w:t>
            </w:r>
          </w:p>
        </w:tc>
      </w:tr>
      <w:tr w:rsidR="00F66261" w:rsidRPr="000F5A10" w:rsidTr="00AF2E77">
        <w:trPr>
          <w:trHeight w:hRule="exact" w:val="227"/>
        </w:trPr>
        <w:tc>
          <w:tcPr>
            <w:tcW w:w="1985" w:type="dxa"/>
            <w:tcBorders>
              <w:top w:val="single" w:sz="4" w:space="0" w:color="auto"/>
            </w:tcBorders>
            <w:shd w:val="clear" w:color="auto" w:fill="D9D9D9" w:themeFill="background1" w:themeFillShade="D9"/>
            <w:noWrap/>
            <w:vAlign w:val="bottom"/>
            <w:hideMark/>
          </w:tcPr>
          <w:p w:rsidR="00565F73" w:rsidRPr="00565F73" w:rsidRDefault="00565F73" w:rsidP="00F66261">
            <w:pPr>
              <w:widowControl/>
              <w:spacing w:line="0" w:lineRule="atLeast"/>
              <w:jc w:val="left"/>
              <w:rPr>
                <w:rFonts w:ascii="Arial" w:eastAsia="楷体_GB2312" w:hAnsi="Arial" w:cs="Arial"/>
                <w:b/>
                <w:kern w:val="0"/>
                <w:sz w:val="15"/>
                <w:szCs w:val="15"/>
              </w:rPr>
            </w:pPr>
            <w:r w:rsidRPr="00565F73">
              <w:rPr>
                <w:rFonts w:ascii="Arial" w:eastAsia="楷体_GB2312" w:hAnsi="Arial" w:cs="Arial"/>
                <w:b/>
                <w:kern w:val="0"/>
                <w:sz w:val="15"/>
                <w:szCs w:val="15"/>
              </w:rPr>
              <w:t>1</w:t>
            </w:r>
            <w:r w:rsidRPr="00565F73">
              <w:rPr>
                <w:rFonts w:ascii="Arial" w:eastAsia="楷体_GB2312" w:hAnsi="Arial" w:cs="Arial"/>
                <w:b/>
                <w:kern w:val="0"/>
                <w:sz w:val="15"/>
                <w:szCs w:val="15"/>
              </w:rPr>
              <w:t>、测量型</w:t>
            </w:r>
            <w:r w:rsidRPr="00565F73">
              <w:rPr>
                <w:rFonts w:ascii="Arial" w:eastAsia="楷体_GB2312" w:hAnsi="Arial" w:cs="Arial"/>
                <w:b/>
                <w:kern w:val="0"/>
                <w:sz w:val="15"/>
                <w:szCs w:val="15"/>
              </w:rPr>
              <w:t>GNSS</w:t>
            </w:r>
            <w:r w:rsidRPr="00565F73">
              <w:rPr>
                <w:rFonts w:ascii="Arial" w:eastAsia="楷体_GB2312" w:hAnsi="Arial" w:cs="Arial"/>
                <w:b/>
                <w:kern w:val="0"/>
                <w:sz w:val="15"/>
                <w:szCs w:val="15"/>
              </w:rPr>
              <w:t>产品</w:t>
            </w:r>
          </w:p>
        </w:tc>
        <w:tc>
          <w:tcPr>
            <w:tcW w:w="1616" w:type="dxa"/>
            <w:tcBorders>
              <w:top w:val="single" w:sz="4" w:space="0" w:color="auto"/>
            </w:tcBorders>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2010A</w:t>
            </w:r>
          </w:p>
        </w:tc>
        <w:tc>
          <w:tcPr>
            <w:tcW w:w="1616" w:type="dxa"/>
            <w:tcBorders>
              <w:top w:val="single" w:sz="4" w:space="0" w:color="auto"/>
            </w:tcBorders>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 1H</w:t>
            </w:r>
          </w:p>
        </w:tc>
        <w:tc>
          <w:tcPr>
            <w:tcW w:w="1616" w:type="dxa"/>
            <w:tcBorders>
              <w:top w:val="single" w:sz="4" w:space="0" w:color="auto"/>
            </w:tcBorders>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2011E</w:t>
            </w:r>
          </w:p>
        </w:tc>
        <w:tc>
          <w:tcPr>
            <w:tcW w:w="1616" w:type="dxa"/>
            <w:tcBorders>
              <w:top w:val="single" w:sz="4" w:space="0" w:color="auto"/>
            </w:tcBorders>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2012E</w:t>
            </w:r>
          </w:p>
        </w:tc>
        <w:tc>
          <w:tcPr>
            <w:tcW w:w="1616" w:type="dxa"/>
            <w:tcBorders>
              <w:top w:val="single" w:sz="4" w:space="0" w:color="auto"/>
            </w:tcBorders>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2013E</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业务收入</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16477.86</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10208.04</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19350.67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23148.09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27811.05</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24.57%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41.44%</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17.43%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19.62%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20.14%</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业务成本</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11283.08</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6291.37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12190.92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14814.77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18077.18</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27.67%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28.17%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8.05%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21.52%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22.02%</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销售毛利率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31.53%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38.37%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37.00%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36.00%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35.00%</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占总营收比例</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66.92%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74.22%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63.27%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60.99%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56.62%</w:t>
            </w:r>
          </w:p>
        </w:tc>
      </w:tr>
      <w:tr w:rsidR="00F66261" w:rsidRPr="000F5A10" w:rsidTr="00F66261">
        <w:trPr>
          <w:trHeight w:hRule="exact" w:val="227"/>
        </w:trPr>
        <w:tc>
          <w:tcPr>
            <w:tcW w:w="1985" w:type="dxa"/>
            <w:shd w:val="clear" w:color="auto" w:fill="D9D9D9" w:themeFill="background1" w:themeFillShade="D9"/>
            <w:noWrap/>
            <w:vAlign w:val="bottom"/>
            <w:hideMark/>
          </w:tcPr>
          <w:p w:rsidR="00565F73" w:rsidRPr="00565F73" w:rsidRDefault="00565F73" w:rsidP="00F66261">
            <w:pPr>
              <w:widowControl/>
              <w:spacing w:line="0" w:lineRule="atLeast"/>
              <w:jc w:val="left"/>
              <w:rPr>
                <w:rFonts w:ascii="Arial" w:eastAsia="楷体_GB2312" w:hAnsi="Arial" w:cs="Arial"/>
                <w:b/>
                <w:kern w:val="0"/>
                <w:sz w:val="15"/>
                <w:szCs w:val="15"/>
              </w:rPr>
            </w:pPr>
            <w:r w:rsidRPr="00565F73">
              <w:rPr>
                <w:rFonts w:ascii="Arial" w:eastAsia="楷体_GB2312" w:hAnsi="Arial" w:cs="Arial"/>
                <w:b/>
                <w:kern w:val="0"/>
                <w:sz w:val="15"/>
                <w:szCs w:val="15"/>
              </w:rPr>
              <w:t>2</w:t>
            </w:r>
            <w:r w:rsidRPr="00565F73">
              <w:rPr>
                <w:rFonts w:ascii="Arial" w:eastAsia="楷体_GB2312" w:hAnsi="Arial" w:cs="Arial"/>
                <w:b/>
                <w:kern w:val="0"/>
                <w:sz w:val="15"/>
                <w:szCs w:val="15"/>
              </w:rPr>
              <w:t>、</w:t>
            </w:r>
            <w:r w:rsidRPr="00565F73">
              <w:rPr>
                <w:rFonts w:ascii="Arial" w:eastAsia="楷体_GB2312" w:hAnsi="Arial" w:cs="Arial"/>
                <w:b/>
                <w:kern w:val="0"/>
                <w:sz w:val="15"/>
                <w:szCs w:val="15"/>
              </w:rPr>
              <w:t>GIS</w:t>
            </w:r>
            <w:r w:rsidRPr="00565F73">
              <w:rPr>
                <w:rFonts w:ascii="Arial" w:eastAsia="楷体_GB2312" w:hAnsi="Arial" w:cs="Arial"/>
                <w:b/>
                <w:kern w:val="0"/>
                <w:sz w:val="15"/>
                <w:szCs w:val="15"/>
              </w:rPr>
              <w:t>数据采集器</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2010A</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 1H</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2012E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2013E</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业务收入</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3511.45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1464.17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5818.59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7894.39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10421.92</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193.55%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88.60%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65.70%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35.68%</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32.02%</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业务成本</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1039.03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621.61</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2467.08</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3394.59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4533.53</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217.59%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185.25%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137.44%</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37.60%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33.55%</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销售毛利率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70.41%</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57.55%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57.60%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57.00%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56.50%</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占总营收比例</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14.26%</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10.65%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19.02%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20.80%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21.22%</w:t>
            </w:r>
          </w:p>
        </w:tc>
      </w:tr>
      <w:tr w:rsidR="00F66261" w:rsidRPr="000F5A10" w:rsidTr="00F66261">
        <w:trPr>
          <w:trHeight w:hRule="exact" w:val="227"/>
        </w:trPr>
        <w:tc>
          <w:tcPr>
            <w:tcW w:w="1985" w:type="dxa"/>
            <w:shd w:val="clear" w:color="auto" w:fill="D9D9D9" w:themeFill="background1" w:themeFillShade="D9"/>
            <w:noWrap/>
            <w:vAlign w:val="bottom"/>
            <w:hideMark/>
          </w:tcPr>
          <w:p w:rsidR="00565F73" w:rsidRPr="00565F73" w:rsidRDefault="00565F73" w:rsidP="00F66261">
            <w:pPr>
              <w:widowControl/>
              <w:spacing w:line="0" w:lineRule="atLeast"/>
              <w:jc w:val="left"/>
              <w:rPr>
                <w:rFonts w:ascii="Arial" w:eastAsia="楷体_GB2312" w:hAnsi="Arial" w:cs="Arial"/>
                <w:b/>
                <w:kern w:val="0"/>
                <w:sz w:val="15"/>
                <w:szCs w:val="15"/>
              </w:rPr>
            </w:pPr>
            <w:r w:rsidRPr="00565F73">
              <w:rPr>
                <w:rFonts w:ascii="Arial" w:eastAsia="楷体_GB2312" w:hAnsi="Arial" w:cs="Arial"/>
                <w:b/>
                <w:kern w:val="0"/>
                <w:sz w:val="15"/>
                <w:szCs w:val="15"/>
              </w:rPr>
              <w:t>3</w:t>
            </w:r>
            <w:r w:rsidRPr="00565F73">
              <w:rPr>
                <w:rFonts w:ascii="Arial" w:eastAsia="楷体_GB2312" w:hAnsi="Arial" w:cs="Arial"/>
                <w:b/>
                <w:kern w:val="0"/>
                <w:sz w:val="15"/>
                <w:szCs w:val="15"/>
              </w:rPr>
              <w:t>、海洋产品</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2010A</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 1H</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2012E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2013E</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业务收入</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2312.31</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883.80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3511.20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4494.60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7698.00</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15.13%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-26.87%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51.85%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28.01%</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71.27%</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业务成本</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811.29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376.70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1509.82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1887.73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3079.20</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37.02%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3.62%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86.10%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25.03%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63.12%</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销售毛利率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64.91%</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57.38%</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57.00%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58.00%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60.00%</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占总营收比例</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9.39%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6.43%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11.48%</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11.84%</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15.67%</w:t>
            </w:r>
          </w:p>
        </w:tc>
      </w:tr>
      <w:tr w:rsidR="00F66261" w:rsidRPr="000F5A10" w:rsidTr="00F66261">
        <w:trPr>
          <w:trHeight w:hRule="exact" w:val="227"/>
        </w:trPr>
        <w:tc>
          <w:tcPr>
            <w:tcW w:w="1985" w:type="dxa"/>
            <w:shd w:val="clear" w:color="auto" w:fill="D9D9D9" w:themeFill="background1" w:themeFillShade="D9"/>
            <w:noWrap/>
            <w:vAlign w:val="bottom"/>
            <w:hideMark/>
          </w:tcPr>
          <w:p w:rsidR="00565F73" w:rsidRPr="00565F73" w:rsidRDefault="00565F73" w:rsidP="00F66261">
            <w:pPr>
              <w:widowControl/>
              <w:spacing w:line="0" w:lineRule="atLeast"/>
              <w:jc w:val="left"/>
              <w:rPr>
                <w:rFonts w:ascii="Arial" w:eastAsia="楷体_GB2312" w:hAnsi="Arial" w:cs="Arial"/>
                <w:b/>
                <w:kern w:val="0"/>
                <w:sz w:val="15"/>
                <w:szCs w:val="15"/>
              </w:rPr>
            </w:pPr>
            <w:r w:rsidRPr="00565F73">
              <w:rPr>
                <w:rFonts w:ascii="Arial" w:eastAsia="楷体_GB2312" w:hAnsi="Arial" w:cs="Arial"/>
                <w:b/>
                <w:kern w:val="0"/>
                <w:sz w:val="15"/>
                <w:szCs w:val="15"/>
              </w:rPr>
              <w:t>4</w:t>
            </w:r>
            <w:r w:rsidRPr="00565F73">
              <w:rPr>
                <w:rFonts w:ascii="Arial" w:eastAsia="楷体_GB2312" w:hAnsi="Arial" w:cs="Arial"/>
                <w:b/>
                <w:kern w:val="0"/>
                <w:sz w:val="15"/>
                <w:szCs w:val="15"/>
              </w:rPr>
              <w:t>、</w:t>
            </w:r>
            <w:r w:rsidRPr="00565F73">
              <w:rPr>
                <w:rFonts w:ascii="Arial" w:eastAsia="楷体_GB2312" w:hAnsi="Arial" w:cs="Arial"/>
                <w:b/>
                <w:kern w:val="0"/>
                <w:sz w:val="15"/>
                <w:szCs w:val="15"/>
              </w:rPr>
              <w:t>GNSS</w:t>
            </w:r>
            <w:r w:rsidRPr="00565F73">
              <w:rPr>
                <w:rFonts w:ascii="Arial" w:eastAsia="楷体_GB2312" w:hAnsi="Arial" w:cs="Arial"/>
                <w:b/>
                <w:kern w:val="0"/>
                <w:sz w:val="15"/>
                <w:szCs w:val="15"/>
              </w:rPr>
              <w:t>系统工程</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2010A</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 1H</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2012E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2013E</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业务收入</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1040.22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186.06</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1200.00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1500.00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2000.00</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92.89%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-61.00%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15.36%</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25.00%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33.33%</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业务成本</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584.13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44.52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300.00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375.00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500.00</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121.60%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-81.16%</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-48.64%</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25.00%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33.33%</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销售毛利率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43.85%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76.07%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75.00%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75.00%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75.00%</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占总营收比例</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4.22%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1.35%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3.92%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3.95%</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4.07%</w:t>
            </w:r>
          </w:p>
        </w:tc>
      </w:tr>
      <w:tr w:rsidR="00F66261" w:rsidRPr="000F5A10" w:rsidTr="00F66261">
        <w:trPr>
          <w:trHeight w:hRule="exact" w:val="227"/>
        </w:trPr>
        <w:tc>
          <w:tcPr>
            <w:tcW w:w="1985" w:type="dxa"/>
            <w:shd w:val="clear" w:color="auto" w:fill="D9D9D9" w:themeFill="background1" w:themeFillShade="D9"/>
            <w:noWrap/>
            <w:vAlign w:val="bottom"/>
            <w:hideMark/>
          </w:tcPr>
          <w:p w:rsidR="00565F73" w:rsidRPr="00565F73" w:rsidRDefault="00565F73" w:rsidP="00F66261">
            <w:pPr>
              <w:widowControl/>
              <w:spacing w:line="0" w:lineRule="atLeast"/>
              <w:jc w:val="left"/>
              <w:rPr>
                <w:rFonts w:ascii="Arial" w:eastAsia="楷体_GB2312" w:hAnsi="Arial" w:cs="Arial"/>
                <w:b/>
                <w:kern w:val="0"/>
                <w:sz w:val="15"/>
                <w:szCs w:val="15"/>
              </w:rPr>
            </w:pPr>
            <w:r w:rsidRPr="00565F73">
              <w:rPr>
                <w:rFonts w:ascii="Arial" w:eastAsia="楷体_GB2312" w:hAnsi="Arial" w:cs="Arial"/>
                <w:b/>
                <w:kern w:val="0"/>
                <w:sz w:val="15"/>
                <w:szCs w:val="15"/>
              </w:rPr>
              <w:t>5</w:t>
            </w:r>
            <w:r w:rsidRPr="00565F73">
              <w:rPr>
                <w:rFonts w:ascii="Arial" w:eastAsia="楷体_GB2312" w:hAnsi="Arial" w:cs="Arial"/>
                <w:b/>
                <w:kern w:val="0"/>
                <w:sz w:val="15"/>
                <w:szCs w:val="15"/>
              </w:rPr>
              <w:t>、升级维护服务</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2010A</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 1H</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2012E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2013E</w:t>
            </w:r>
          </w:p>
        </w:tc>
      </w:tr>
      <w:tr w:rsidR="00565F73" w:rsidRPr="00565F73" w:rsidTr="00F66261">
        <w:trPr>
          <w:trHeight w:hRule="exact" w:val="227"/>
        </w:trPr>
        <w:tc>
          <w:tcPr>
            <w:tcW w:w="1985" w:type="dxa"/>
            <w:shd w:val="clear" w:color="auto" w:fill="auto"/>
            <w:noWrap/>
            <w:vAlign w:val="bottom"/>
            <w:hideMark/>
          </w:tcPr>
          <w:p w:rsidR="00565F73" w:rsidRPr="00565F73" w:rsidRDefault="00565F73"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业务收入</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521.66</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359.87</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704.24</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915.51</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1190.17</w:t>
            </w:r>
          </w:p>
        </w:tc>
      </w:tr>
      <w:tr w:rsidR="00565F73" w:rsidRPr="00565F73" w:rsidTr="00F66261">
        <w:trPr>
          <w:trHeight w:hRule="exact" w:val="227"/>
        </w:trPr>
        <w:tc>
          <w:tcPr>
            <w:tcW w:w="1985" w:type="dxa"/>
            <w:shd w:val="clear" w:color="auto" w:fill="auto"/>
            <w:noWrap/>
            <w:vAlign w:val="bottom"/>
            <w:hideMark/>
          </w:tcPr>
          <w:p w:rsidR="00565F73" w:rsidRPr="00565F73" w:rsidRDefault="00565F73"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18.00%</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35.43%</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35.00%</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30.00%</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30.00%</w:t>
            </w:r>
          </w:p>
        </w:tc>
      </w:tr>
      <w:tr w:rsidR="00565F73" w:rsidRPr="00565F73" w:rsidTr="00F66261">
        <w:trPr>
          <w:trHeight w:hRule="exact" w:val="227"/>
        </w:trPr>
        <w:tc>
          <w:tcPr>
            <w:tcW w:w="1985" w:type="dxa"/>
            <w:shd w:val="clear" w:color="auto" w:fill="auto"/>
            <w:noWrap/>
            <w:vAlign w:val="bottom"/>
            <w:hideMark/>
          </w:tcPr>
          <w:p w:rsidR="00565F73" w:rsidRPr="00565F73" w:rsidRDefault="00565F73"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业务成本</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306.68</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195.38</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387.33</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503.53</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654.59</w:t>
            </w:r>
          </w:p>
        </w:tc>
      </w:tr>
      <w:tr w:rsidR="00565F73" w:rsidRPr="00565F73" w:rsidTr="00F66261">
        <w:trPr>
          <w:trHeight w:hRule="exact" w:val="227"/>
        </w:trPr>
        <w:tc>
          <w:tcPr>
            <w:tcW w:w="1985" w:type="dxa"/>
            <w:shd w:val="clear" w:color="auto" w:fill="auto"/>
            <w:noWrap/>
            <w:vAlign w:val="bottom"/>
            <w:hideMark/>
          </w:tcPr>
          <w:p w:rsidR="00565F73" w:rsidRPr="00565F73" w:rsidRDefault="00565F73"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99.98%</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80.79%</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26.30%</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30.00%</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30.00%</w:t>
            </w:r>
          </w:p>
        </w:tc>
      </w:tr>
      <w:tr w:rsidR="00565F73" w:rsidRPr="00565F73" w:rsidTr="00F66261">
        <w:trPr>
          <w:trHeight w:hRule="exact" w:val="227"/>
        </w:trPr>
        <w:tc>
          <w:tcPr>
            <w:tcW w:w="1985" w:type="dxa"/>
            <w:shd w:val="clear" w:color="auto" w:fill="auto"/>
            <w:noWrap/>
            <w:vAlign w:val="bottom"/>
            <w:hideMark/>
          </w:tcPr>
          <w:p w:rsidR="00565F73" w:rsidRPr="00565F73" w:rsidRDefault="00565F73"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销售毛利率</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41.21%</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45.71%</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45.00%</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45.00%</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45.00%</w:t>
            </w:r>
          </w:p>
        </w:tc>
      </w:tr>
      <w:tr w:rsidR="00565F73" w:rsidRPr="00565F73" w:rsidTr="00F66261">
        <w:trPr>
          <w:trHeight w:hRule="exact" w:val="227"/>
        </w:trPr>
        <w:tc>
          <w:tcPr>
            <w:tcW w:w="1985" w:type="dxa"/>
            <w:shd w:val="clear" w:color="auto" w:fill="auto"/>
            <w:noWrap/>
            <w:vAlign w:val="bottom"/>
            <w:hideMark/>
          </w:tcPr>
          <w:p w:rsidR="00565F73" w:rsidRPr="00565F73" w:rsidRDefault="00565F73"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占总营收比例</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2.12%</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2.62%</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2.27%</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2.33%</w:t>
            </w:r>
          </w:p>
        </w:tc>
        <w:tc>
          <w:tcPr>
            <w:tcW w:w="1616" w:type="dxa"/>
            <w:shd w:val="clear" w:color="auto" w:fill="auto"/>
            <w:noWrap/>
            <w:vAlign w:val="bottom"/>
            <w:hideMark/>
          </w:tcPr>
          <w:p w:rsidR="00565F73" w:rsidRPr="00565F73" w:rsidRDefault="00565F73" w:rsidP="00F66261">
            <w:pPr>
              <w:widowControl/>
              <w:spacing w:line="0" w:lineRule="atLeast"/>
              <w:jc w:val="right"/>
              <w:rPr>
                <w:rFonts w:ascii="Arial" w:eastAsia="楷体_GB2312" w:hAnsi="Arial" w:cs="Arial"/>
                <w:kern w:val="0"/>
                <w:sz w:val="15"/>
                <w:szCs w:val="15"/>
              </w:rPr>
            </w:pPr>
            <w:r w:rsidRPr="00565F73">
              <w:rPr>
                <w:rFonts w:ascii="Arial" w:eastAsia="楷体_GB2312" w:hAnsi="Arial" w:cs="Arial"/>
                <w:kern w:val="0"/>
                <w:sz w:val="15"/>
                <w:szCs w:val="15"/>
              </w:rPr>
              <w:t>2.50%</w:t>
            </w:r>
          </w:p>
        </w:tc>
      </w:tr>
      <w:tr w:rsidR="00F66261" w:rsidRPr="000F5A10" w:rsidTr="00F66261">
        <w:trPr>
          <w:trHeight w:hRule="exact" w:val="227"/>
        </w:trPr>
        <w:tc>
          <w:tcPr>
            <w:tcW w:w="1985" w:type="dxa"/>
            <w:shd w:val="clear" w:color="auto" w:fill="D9D9D9" w:themeFill="background1" w:themeFillShade="D9"/>
            <w:noWrap/>
            <w:vAlign w:val="bottom"/>
            <w:hideMark/>
          </w:tcPr>
          <w:p w:rsidR="00565F73" w:rsidRPr="00565F73" w:rsidRDefault="00565F73" w:rsidP="00F66261">
            <w:pPr>
              <w:widowControl/>
              <w:spacing w:line="0" w:lineRule="atLeast"/>
              <w:jc w:val="left"/>
              <w:rPr>
                <w:rFonts w:ascii="Arial" w:eastAsia="楷体_GB2312" w:hAnsi="Arial" w:cs="Arial"/>
                <w:b/>
                <w:kern w:val="0"/>
                <w:sz w:val="15"/>
                <w:szCs w:val="15"/>
              </w:rPr>
            </w:pPr>
            <w:r w:rsidRPr="00565F73">
              <w:rPr>
                <w:rFonts w:ascii="Arial" w:eastAsia="楷体_GB2312" w:hAnsi="Arial" w:cs="Arial"/>
                <w:b/>
                <w:kern w:val="0"/>
                <w:sz w:val="15"/>
                <w:szCs w:val="15"/>
              </w:rPr>
              <w:t>营业收入合计</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2010A</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 1H</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2011E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2012E</w:t>
            </w:r>
          </w:p>
        </w:tc>
        <w:tc>
          <w:tcPr>
            <w:tcW w:w="1616" w:type="dxa"/>
            <w:shd w:val="clear" w:color="auto" w:fill="D9D9D9" w:themeFill="background1" w:themeFillShade="D9"/>
            <w:noWrap/>
            <w:vAlign w:val="bottom"/>
            <w:hideMark/>
          </w:tcPr>
          <w:p w:rsidR="00565F73" w:rsidRPr="00565F73" w:rsidRDefault="00565F73" w:rsidP="00F66261">
            <w:pPr>
              <w:widowControl/>
              <w:spacing w:line="0" w:lineRule="atLeast"/>
              <w:jc w:val="right"/>
              <w:rPr>
                <w:rFonts w:ascii="Arial" w:eastAsia="楷体_GB2312" w:hAnsi="Arial" w:cs="Arial"/>
                <w:b/>
                <w:kern w:val="0"/>
                <w:sz w:val="15"/>
                <w:szCs w:val="15"/>
              </w:rPr>
            </w:pPr>
            <w:r w:rsidRPr="00565F73">
              <w:rPr>
                <w:rFonts w:ascii="Arial" w:eastAsia="楷体_GB2312" w:hAnsi="Arial" w:cs="Arial"/>
                <w:b/>
                <w:kern w:val="0"/>
                <w:sz w:val="15"/>
                <w:szCs w:val="15"/>
              </w:rPr>
              <w:t>2013E</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业务收入</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24622.40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13753.80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30584.70</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37952.59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49121.13</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37.92%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34.32%</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24.21%</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24.09%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29.43%</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业务成本</w:t>
            </w:r>
            <w:r w:rsidRPr="00565F73">
              <w:rPr>
                <w:rFonts w:ascii="Arial" w:eastAsia="楷体_GB2312" w:hAnsi="Arial" w:cs="Arial"/>
                <w:kern w:val="0"/>
                <w:sz w:val="15"/>
                <w:szCs w:val="15"/>
              </w:rPr>
              <w:t>(</w:t>
            </w:r>
            <w:r w:rsidRPr="00565F73">
              <w:rPr>
                <w:rFonts w:ascii="Arial" w:eastAsia="楷体_GB2312" w:hAnsi="Arial" w:cs="Arial"/>
                <w:kern w:val="0"/>
                <w:sz w:val="15"/>
                <w:szCs w:val="15"/>
              </w:rPr>
              <w:t>万元</w:t>
            </w:r>
            <w:r w:rsidRPr="00565F73">
              <w:rPr>
                <w:rFonts w:ascii="Arial" w:eastAsia="楷体_GB2312" w:hAnsi="Arial" w:cs="Arial"/>
                <w:kern w:val="0"/>
                <w:sz w:val="15"/>
                <w:szCs w:val="15"/>
              </w:rPr>
              <w:t>)</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14416.88</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7722.43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16851.63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20975.63</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26844.51</w:t>
            </w:r>
          </w:p>
        </w:tc>
      </w:tr>
      <w:tr w:rsidR="0018022D" w:rsidRPr="00565F73" w:rsidTr="00F66261">
        <w:trPr>
          <w:trHeight w:hRule="exact" w:val="227"/>
        </w:trPr>
        <w:tc>
          <w:tcPr>
            <w:tcW w:w="1985" w:type="dxa"/>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同比增长率</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38.69%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28.47%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16.89%</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24.47%</w:t>
            </w:r>
          </w:p>
        </w:tc>
        <w:tc>
          <w:tcPr>
            <w:tcW w:w="1616" w:type="dxa"/>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27.98%</w:t>
            </w:r>
          </w:p>
        </w:tc>
      </w:tr>
      <w:tr w:rsidR="0018022D" w:rsidRPr="00565F73" w:rsidTr="00F66261">
        <w:trPr>
          <w:trHeight w:hRule="exact" w:val="227"/>
        </w:trPr>
        <w:tc>
          <w:tcPr>
            <w:tcW w:w="1985" w:type="dxa"/>
            <w:tcBorders>
              <w:bottom w:val="single" w:sz="4" w:space="0" w:color="auto"/>
            </w:tcBorders>
            <w:shd w:val="clear" w:color="auto" w:fill="auto"/>
            <w:noWrap/>
            <w:vAlign w:val="bottom"/>
            <w:hideMark/>
          </w:tcPr>
          <w:p w:rsidR="0018022D" w:rsidRPr="00565F73" w:rsidRDefault="0018022D" w:rsidP="00F66261">
            <w:pPr>
              <w:widowControl/>
              <w:spacing w:line="0" w:lineRule="atLeast"/>
              <w:jc w:val="left"/>
              <w:rPr>
                <w:rFonts w:ascii="Arial" w:eastAsia="楷体_GB2312" w:hAnsi="Arial" w:cs="Arial"/>
                <w:kern w:val="0"/>
                <w:sz w:val="15"/>
                <w:szCs w:val="15"/>
              </w:rPr>
            </w:pPr>
            <w:r w:rsidRPr="00565F73">
              <w:rPr>
                <w:rFonts w:ascii="Arial" w:eastAsia="楷体_GB2312" w:hAnsi="Arial" w:cs="Arial"/>
                <w:kern w:val="0"/>
                <w:sz w:val="15"/>
                <w:szCs w:val="15"/>
              </w:rPr>
              <w:t>销售毛利率</w:t>
            </w:r>
          </w:p>
        </w:tc>
        <w:tc>
          <w:tcPr>
            <w:tcW w:w="1616" w:type="dxa"/>
            <w:tcBorders>
              <w:bottom w:val="single" w:sz="4" w:space="0" w:color="auto"/>
            </w:tcBorders>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41.45%</w:t>
            </w:r>
          </w:p>
        </w:tc>
        <w:tc>
          <w:tcPr>
            <w:tcW w:w="1616" w:type="dxa"/>
            <w:tcBorders>
              <w:bottom w:val="single" w:sz="4" w:space="0" w:color="auto"/>
            </w:tcBorders>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43.85%</w:t>
            </w:r>
          </w:p>
        </w:tc>
        <w:tc>
          <w:tcPr>
            <w:tcW w:w="1616" w:type="dxa"/>
            <w:tcBorders>
              <w:bottom w:val="single" w:sz="4" w:space="0" w:color="auto"/>
            </w:tcBorders>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44.90%</w:t>
            </w:r>
          </w:p>
        </w:tc>
        <w:tc>
          <w:tcPr>
            <w:tcW w:w="1616" w:type="dxa"/>
            <w:tcBorders>
              <w:bottom w:val="single" w:sz="4" w:space="0" w:color="auto"/>
            </w:tcBorders>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44.73%</w:t>
            </w:r>
          </w:p>
        </w:tc>
        <w:tc>
          <w:tcPr>
            <w:tcW w:w="1616" w:type="dxa"/>
            <w:tcBorders>
              <w:bottom w:val="single" w:sz="4" w:space="0" w:color="auto"/>
            </w:tcBorders>
            <w:shd w:val="clear" w:color="auto" w:fill="auto"/>
            <w:noWrap/>
            <w:vAlign w:val="bottom"/>
            <w:hideMark/>
          </w:tcPr>
          <w:p w:rsidR="0018022D" w:rsidRPr="0018022D" w:rsidRDefault="0018022D" w:rsidP="0018022D">
            <w:pPr>
              <w:widowControl/>
              <w:spacing w:line="0" w:lineRule="atLeast"/>
              <w:jc w:val="right"/>
              <w:rPr>
                <w:rFonts w:ascii="Arial" w:eastAsia="楷体_GB2312" w:hAnsi="Arial" w:cs="Arial"/>
                <w:kern w:val="0"/>
                <w:sz w:val="15"/>
                <w:szCs w:val="15"/>
              </w:rPr>
            </w:pPr>
            <w:r w:rsidRPr="0018022D">
              <w:rPr>
                <w:rFonts w:ascii="Arial" w:eastAsia="楷体_GB2312" w:hAnsi="Arial" w:cs="Arial"/>
                <w:kern w:val="0"/>
                <w:sz w:val="15"/>
                <w:szCs w:val="15"/>
              </w:rPr>
              <w:t>45.35%</w:t>
            </w:r>
          </w:p>
        </w:tc>
      </w:tr>
      <w:tr w:rsidR="00AF2E77" w:rsidRPr="000F5A10" w:rsidTr="006D697A">
        <w:trPr>
          <w:trHeight w:hRule="exact" w:val="227"/>
        </w:trPr>
        <w:tc>
          <w:tcPr>
            <w:tcW w:w="10065" w:type="dxa"/>
            <w:gridSpan w:val="6"/>
            <w:tcBorders>
              <w:top w:val="single" w:sz="4" w:space="0" w:color="auto"/>
              <w:bottom w:val="nil"/>
            </w:tcBorders>
            <w:shd w:val="clear" w:color="auto" w:fill="auto"/>
            <w:noWrap/>
            <w:vAlign w:val="bottom"/>
            <w:hideMark/>
          </w:tcPr>
          <w:p w:rsidR="00AF2E77" w:rsidRPr="00565F73" w:rsidRDefault="00AF2E77" w:rsidP="00F66261">
            <w:pPr>
              <w:widowControl/>
              <w:spacing w:line="0" w:lineRule="atLeast"/>
              <w:jc w:val="left"/>
              <w:rPr>
                <w:rFonts w:ascii="Arial" w:eastAsia="楷体_GB2312" w:hAnsi="Arial" w:cs="Arial"/>
                <w:kern w:val="0"/>
                <w:sz w:val="15"/>
                <w:szCs w:val="15"/>
              </w:rPr>
            </w:pPr>
            <w:r>
              <w:rPr>
                <w:rFonts w:ascii="Arial" w:eastAsia="楷体_GB2312" w:hAnsi="Arial" w:cs="Arial" w:hint="eastAsia"/>
                <w:kern w:val="0"/>
                <w:sz w:val="15"/>
                <w:szCs w:val="15"/>
              </w:rPr>
              <w:t>资料来源：公司资料、国信证券经济研究所预测</w:t>
            </w:r>
          </w:p>
        </w:tc>
      </w:tr>
    </w:tbl>
    <w:p w:rsidR="006D697A" w:rsidRPr="006D697A" w:rsidRDefault="006D697A" w:rsidP="00522590">
      <w:pPr>
        <w:numPr>
          <w:ilvl w:val="0"/>
          <w:numId w:val="2"/>
        </w:numPr>
        <w:tabs>
          <w:tab w:val="clear" w:pos="600"/>
          <w:tab w:val="num" w:pos="360"/>
        </w:tabs>
        <w:spacing w:beforeLines="20"/>
        <w:ind w:left="361" w:hangingChars="187" w:hanging="361"/>
        <w:rPr>
          <w:rStyle w:val="big1"/>
          <w:rFonts w:ascii="Arial" w:eastAsia="楷体_GB2312" w:hAnsi="Arial" w:cs="Arial"/>
          <w:b/>
          <w:spacing w:val="-4"/>
          <w:sz w:val="20"/>
        </w:rPr>
      </w:pPr>
      <w:r w:rsidRPr="006D697A">
        <w:rPr>
          <w:rStyle w:val="big1"/>
          <w:rFonts w:ascii="Arial" w:eastAsia="楷体_GB2312" w:hAnsi="Arial" w:cs="Arial" w:hint="eastAsia"/>
          <w:b/>
          <w:spacing w:val="-4"/>
          <w:sz w:val="20"/>
        </w:rPr>
        <w:t>特别提示</w:t>
      </w:r>
      <w:r w:rsidRPr="006D697A">
        <w:rPr>
          <w:rStyle w:val="big1"/>
          <w:rFonts w:ascii="Arial" w:eastAsia="楷体_GB2312" w:hAnsi="Arial" w:cs="Arial" w:hint="eastAsia"/>
          <w:b/>
          <w:spacing w:val="-4"/>
          <w:sz w:val="20"/>
        </w:rPr>
        <w:t>:</w:t>
      </w:r>
    </w:p>
    <w:p w:rsidR="00B16E91" w:rsidRDefault="006D697A" w:rsidP="00CE7029">
      <w:pPr>
        <w:pStyle w:val="af0"/>
        <w:spacing w:before="62"/>
      </w:pPr>
      <w:r>
        <w:rPr>
          <w:rFonts w:hint="eastAsia"/>
        </w:rPr>
        <w:t xml:space="preserve"> </w:t>
      </w:r>
      <w:r>
        <w:rPr>
          <w:rFonts w:hint="eastAsia"/>
        </w:rPr>
        <w:t>【</w:t>
      </w:r>
      <w:r>
        <w:rPr>
          <w:rFonts w:hint="eastAsia"/>
        </w:rPr>
        <w:t>1</w:t>
      </w:r>
      <w:r>
        <w:rPr>
          <w:rFonts w:hint="eastAsia"/>
        </w:rPr>
        <w:t>】根据《证券公司信息隔离墙制度指引》（</w:t>
      </w:r>
      <w:proofErr w:type="gramStart"/>
      <w:r>
        <w:rPr>
          <w:rFonts w:hint="eastAsia"/>
        </w:rPr>
        <w:t>中证协发</w:t>
      </w:r>
      <w:proofErr w:type="gramEnd"/>
      <w:r>
        <w:rPr>
          <w:rFonts w:hint="eastAsia"/>
        </w:rPr>
        <w:t>[2010]203</w:t>
      </w:r>
      <w:r>
        <w:rPr>
          <w:rFonts w:hint="eastAsia"/>
        </w:rPr>
        <w:t>号）第五条的规定，我公司特披露：截至</w:t>
      </w:r>
      <w:r>
        <w:rPr>
          <w:rFonts w:hint="eastAsia"/>
        </w:rPr>
        <w:t>2011</w:t>
      </w:r>
      <w:r>
        <w:rPr>
          <w:rFonts w:hint="eastAsia"/>
        </w:rPr>
        <w:t>年</w:t>
      </w:r>
      <w:r>
        <w:rPr>
          <w:rFonts w:hint="eastAsia"/>
        </w:rPr>
        <w:t>12</w:t>
      </w:r>
      <w:r>
        <w:rPr>
          <w:rFonts w:hint="eastAsia"/>
        </w:rPr>
        <w:t>月</w:t>
      </w:r>
      <w:r>
        <w:rPr>
          <w:rFonts w:hint="eastAsia"/>
        </w:rPr>
        <w:t>08</w:t>
      </w:r>
      <w:r>
        <w:rPr>
          <w:rFonts w:hint="eastAsia"/>
        </w:rPr>
        <w:t>日，我公司直投子公司</w:t>
      </w:r>
      <w:proofErr w:type="gramStart"/>
      <w:r>
        <w:rPr>
          <w:rFonts w:hint="eastAsia"/>
        </w:rPr>
        <w:t>国信弘盛投资</w:t>
      </w:r>
      <w:proofErr w:type="gramEnd"/>
      <w:r>
        <w:rPr>
          <w:rFonts w:hint="eastAsia"/>
        </w:rPr>
        <w:t>有限公司以自有资金投资持有“中海达”（</w:t>
      </w:r>
      <w:r>
        <w:rPr>
          <w:rFonts w:hint="eastAsia"/>
        </w:rPr>
        <w:t>300177</w:t>
      </w:r>
      <w:r>
        <w:rPr>
          <w:rFonts w:hint="eastAsia"/>
        </w:rPr>
        <w:t>）</w:t>
      </w:r>
      <w:r>
        <w:rPr>
          <w:rFonts w:hint="eastAsia"/>
        </w:rPr>
        <w:t>180.25</w:t>
      </w:r>
      <w:r>
        <w:rPr>
          <w:rFonts w:hint="eastAsia"/>
        </w:rPr>
        <w:t>万股。</w:t>
      </w:r>
      <w:r w:rsidR="00343A1D">
        <w:br w:type="page"/>
      </w:r>
    </w:p>
    <w:p w:rsidR="00586948" w:rsidRPr="003B7398" w:rsidRDefault="00586948" w:rsidP="00586948">
      <w:pPr>
        <w:pStyle w:val="af"/>
        <w:spacing w:before="249" w:line="240" w:lineRule="auto"/>
        <w:rPr>
          <w:szCs w:val="30"/>
        </w:rPr>
      </w:pPr>
      <w:bookmarkStart w:id="11" w:name="_Toc301011187"/>
      <w:bookmarkStart w:id="12" w:name="_Toc303268217"/>
      <w:r w:rsidRPr="003B7398">
        <w:rPr>
          <w:szCs w:val="30"/>
        </w:rPr>
        <w:lastRenderedPageBreak/>
        <w:t>附表：财务预测与估值</w:t>
      </w:r>
      <w:bookmarkEnd w:id="11"/>
      <w:bookmarkEnd w:id="12"/>
    </w:p>
    <w:tbl>
      <w:tblPr>
        <w:tblW w:w="9760" w:type="dxa"/>
        <w:jc w:val="center"/>
        <w:tblLayout w:type="fixed"/>
        <w:tblLook w:val="0000"/>
      </w:tblPr>
      <w:tblGrid>
        <w:gridCol w:w="2092"/>
        <w:gridCol w:w="660"/>
        <w:gridCol w:w="661"/>
        <w:gridCol w:w="661"/>
        <w:gridCol w:w="661"/>
        <w:gridCol w:w="236"/>
        <w:gridCol w:w="2130"/>
        <w:gridCol w:w="664"/>
        <w:gridCol w:w="665"/>
        <w:gridCol w:w="665"/>
        <w:gridCol w:w="665"/>
      </w:tblGrid>
      <w:tr w:rsidR="00586948" w:rsidRPr="00D67CFB" w:rsidTr="00586948">
        <w:trPr>
          <w:trHeight w:hRule="exact" w:val="23"/>
          <w:jc w:val="center"/>
        </w:trPr>
        <w:tc>
          <w:tcPr>
            <w:tcW w:w="9760" w:type="dxa"/>
            <w:gridSpan w:val="11"/>
            <w:tcBorders>
              <w:left w:val="nil"/>
              <w:right w:val="nil"/>
            </w:tcBorders>
            <w:noWrap/>
            <w:vAlign w:val="bottom"/>
          </w:tcPr>
          <w:p w:rsidR="00586948" w:rsidRPr="00D67CFB" w:rsidRDefault="00547A2C" w:rsidP="00C364F8">
            <w:pPr>
              <w:widowControl/>
              <w:spacing w:before="20" w:after="20" w:line="0" w:lineRule="atLeast"/>
              <w:rPr>
                <w:rFonts w:ascii="Arial" w:eastAsia="楷体_GB2312" w:hAnsi="Arial" w:cs="Arial"/>
                <w:bCs/>
                <w:kern w:val="0"/>
                <w:sz w:val="18"/>
                <w:szCs w:val="18"/>
              </w:rPr>
            </w:pPr>
            <w:sdt>
              <w:sdtPr>
                <w:rPr>
                  <w:rFonts w:ascii="Arial" w:eastAsia="楷体_GB2312" w:hAnsi="Arial" w:cs="Arial"/>
                  <w:bCs/>
                  <w:kern w:val="0"/>
                  <w:sz w:val="18"/>
                  <w:szCs w:val="18"/>
                </w:rPr>
                <w:alias w:val="财务预测与估值"/>
                <w:tag w:val="GATFinancial"/>
                <w:id w:val="-275177593"/>
                <w:lock w:val="sdtLocked"/>
                <w:placeholder>
                  <w:docPart w:val="EAD21814ECFD4FB992A4AB9E6D3318A0"/>
                </w:placeholder>
              </w:sdtPr>
              <w:sdtContent>
                <w:r w:rsidR="00586948" w:rsidRPr="00D67CFB">
                  <w:t>财务预测与估值</w:t>
                </w:r>
              </w:sdtContent>
            </w:sdt>
          </w:p>
        </w:tc>
      </w:tr>
      <w:tr w:rsidR="00586948" w:rsidRPr="003B7398" w:rsidTr="00586948">
        <w:trPr>
          <w:trHeight w:val="227"/>
          <w:jc w:val="center"/>
        </w:trPr>
        <w:tc>
          <w:tcPr>
            <w:tcW w:w="2092"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资产负债表（百万元）</w:t>
            </w:r>
          </w:p>
        </w:tc>
        <w:tc>
          <w:tcPr>
            <w:tcW w:w="660"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2010</w:t>
            </w:r>
          </w:p>
        </w:tc>
        <w:tc>
          <w:tcPr>
            <w:tcW w:w="661"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2011E</w:t>
            </w:r>
          </w:p>
        </w:tc>
        <w:tc>
          <w:tcPr>
            <w:tcW w:w="661"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2012E</w:t>
            </w:r>
          </w:p>
        </w:tc>
        <w:tc>
          <w:tcPr>
            <w:tcW w:w="661"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2013E</w:t>
            </w:r>
          </w:p>
        </w:tc>
        <w:tc>
          <w:tcPr>
            <w:tcW w:w="236" w:type="dxa"/>
            <w:tcBorders>
              <w:left w:val="nil"/>
              <w:bottom w:val="nil"/>
              <w:right w:val="nil"/>
            </w:tcBorders>
            <w:shd w:val="clear" w:color="auto" w:fill="FFFFFF"/>
            <w:noWrap/>
            <w:vAlign w:val="center"/>
          </w:tcPr>
          <w:p w:rsidR="00586948" w:rsidRPr="003B7398" w:rsidRDefault="00586948" w:rsidP="00C364F8">
            <w:pPr>
              <w:widowControl/>
              <w:spacing w:before="20" w:after="20" w:line="0" w:lineRule="atLeast"/>
              <w:jc w:val="right"/>
              <w:rPr>
                <w:rFonts w:ascii="Arial" w:eastAsia="楷体_GB2312" w:hAnsi="Arial" w:cs="Arial"/>
                <w:b/>
                <w:bCs/>
                <w:kern w:val="0"/>
                <w:sz w:val="14"/>
                <w:szCs w:val="14"/>
              </w:rPr>
            </w:pPr>
          </w:p>
        </w:tc>
        <w:tc>
          <w:tcPr>
            <w:tcW w:w="2130"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利润表（百万元）</w:t>
            </w:r>
          </w:p>
        </w:tc>
        <w:tc>
          <w:tcPr>
            <w:tcW w:w="664"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2010</w:t>
            </w:r>
          </w:p>
        </w:tc>
        <w:tc>
          <w:tcPr>
            <w:tcW w:w="665"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2011E</w:t>
            </w:r>
          </w:p>
        </w:tc>
        <w:tc>
          <w:tcPr>
            <w:tcW w:w="665"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2012E</w:t>
            </w:r>
          </w:p>
        </w:tc>
        <w:tc>
          <w:tcPr>
            <w:tcW w:w="665" w:type="dxa"/>
            <w:tcBorders>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2013E</w:t>
            </w:r>
          </w:p>
        </w:tc>
      </w:tr>
      <w:tr w:rsidR="00586948" w:rsidRPr="003B7398" w:rsidTr="00586948">
        <w:trPr>
          <w:trHeight w:val="227"/>
          <w:jc w:val="center"/>
        </w:trPr>
        <w:tc>
          <w:tcPr>
            <w:tcW w:w="2092"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现金及现金等价物</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573</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536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566</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营业收入</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246</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306</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380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491</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应收款项</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66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78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97</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125</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营业成本</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144</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169</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210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268</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存货净额</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60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13</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21</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营业税金及附加</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2</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2</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3</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3</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其他流动资产</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61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76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98</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销售费用</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22</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46</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55</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69</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流动资产合计</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219</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726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725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811</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管理费用</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34</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43</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51</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64</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固定资产</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37</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174</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255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283</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财务费用</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(18)</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(17)</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无形资产及其他</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投资收益</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投资性房地产</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资产减值及公允价值变动</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长期股权投资</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其他收入</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资产总计</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258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903</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985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1099</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营业利润</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43</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56</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77</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103</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短期借款及交易性金融负债</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Cs/>
                <w:kern w:val="0"/>
                <w:sz w:val="14"/>
                <w:szCs w:val="14"/>
              </w:rPr>
            </w:pPr>
            <w:proofErr w:type="gramStart"/>
            <w:r>
              <w:rPr>
                <w:rFonts w:ascii="Arial" w:eastAsia="楷体_GB2312" w:hAnsi="Arial" w:cs="Arial" w:hint="eastAsia"/>
                <w:bCs/>
                <w:kern w:val="0"/>
                <w:sz w:val="14"/>
                <w:szCs w:val="14"/>
              </w:rPr>
              <w:t>营业外净收支</w:t>
            </w:r>
            <w:proofErr w:type="gramEnd"/>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10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14</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14</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14</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应付款项</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92</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111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146</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kern w:val="0"/>
                <w:sz w:val="14"/>
                <w:szCs w:val="14"/>
              </w:rPr>
            </w:pPr>
            <w:r>
              <w:rPr>
                <w:rFonts w:ascii="Arial" w:eastAsia="楷体_GB2312" w:hAnsi="Arial" w:cs="Arial" w:hint="eastAsia"/>
                <w:b/>
                <w:kern w:val="0"/>
                <w:sz w:val="14"/>
                <w:szCs w:val="14"/>
              </w:rPr>
              <w:t>利润总额</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53</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70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91</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117</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其他流动负债</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17</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24</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36</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所得税费用</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6</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11</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13</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流动负债合计</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110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126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151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192</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2130" w:type="dxa"/>
            <w:tcBorders>
              <w:top w:val="nil"/>
              <w:left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Cs/>
                <w:kern w:val="0"/>
                <w:sz w:val="14"/>
                <w:szCs w:val="14"/>
              </w:rPr>
            </w:pPr>
            <w:r>
              <w:rPr>
                <w:rFonts w:ascii="Arial" w:eastAsia="楷体_GB2312" w:hAnsi="Arial" w:cs="Arial" w:hint="eastAsia"/>
                <w:bCs/>
                <w:kern w:val="0"/>
                <w:sz w:val="14"/>
                <w:szCs w:val="14"/>
              </w:rPr>
              <w:t>少数股东损益</w:t>
            </w:r>
          </w:p>
        </w:tc>
        <w:tc>
          <w:tcPr>
            <w:tcW w:w="664" w:type="dxa"/>
            <w:tcBorders>
              <w:top w:val="nil"/>
              <w:left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0</w:t>
            </w:r>
          </w:p>
        </w:tc>
        <w:tc>
          <w:tcPr>
            <w:tcW w:w="665" w:type="dxa"/>
            <w:tcBorders>
              <w:top w:val="nil"/>
              <w:left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0</w:t>
            </w:r>
          </w:p>
        </w:tc>
        <w:tc>
          <w:tcPr>
            <w:tcW w:w="665" w:type="dxa"/>
            <w:tcBorders>
              <w:top w:val="nil"/>
              <w:left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0</w:t>
            </w:r>
          </w:p>
        </w:tc>
        <w:tc>
          <w:tcPr>
            <w:tcW w:w="665" w:type="dxa"/>
            <w:tcBorders>
              <w:top w:val="nil"/>
              <w:left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0</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长期借款及应付债券</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left"/>
              <w:rPr>
                <w:rFonts w:ascii="Arial" w:eastAsia="楷体_GB2312" w:hAnsi="Arial" w:cs="Arial"/>
                <w:b/>
                <w:kern w:val="0"/>
                <w:sz w:val="14"/>
                <w:szCs w:val="14"/>
              </w:rPr>
            </w:pPr>
            <w:r>
              <w:rPr>
                <w:rFonts w:ascii="Arial" w:eastAsia="楷体_GB2312" w:hAnsi="Arial" w:cs="Arial" w:hint="eastAsia"/>
                <w:b/>
                <w:kern w:val="0"/>
                <w:sz w:val="14"/>
                <w:szCs w:val="14"/>
              </w:rPr>
              <w:t>归属于母公司净利润</w:t>
            </w:r>
          </w:p>
        </w:tc>
        <w:tc>
          <w:tcPr>
            <w:tcW w:w="664"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47</w:t>
            </w:r>
          </w:p>
        </w:tc>
        <w:tc>
          <w:tcPr>
            <w:tcW w:w="665"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62</w:t>
            </w:r>
          </w:p>
        </w:tc>
        <w:tc>
          <w:tcPr>
            <w:tcW w:w="665"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81</w:t>
            </w:r>
          </w:p>
        </w:tc>
        <w:tc>
          <w:tcPr>
            <w:tcW w:w="665"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104</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其他长期负债</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single" w:sz="4" w:space="0" w:color="auto"/>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664" w:type="dxa"/>
            <w:tcBorders>
              <w:top w:val="single" w:sz="4" w:space="0" w:color="auto"/>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right"/>
              <w:rPr>
                <w:rFonts w:ascii="Arial" w:eastAsia="楷体_GB2312" w:hAnsi="Arial" w:cs="Arial"/>
                <w:b/>
                <w:bCs/>
                <w:kern w:val="0"/>
                <w:sz w:val="14"/>
                <w:szCs w:val="14"/>
              </w:rPr>
            </w:pPr>
          </w:p>
        </w:tc>
        <w:tc>
          <w:tcPr>
            <w:tcW w:w="665" w:type="dxa"/>
            <w:tcBorders>
              <w:top w:val="single" w:sz="4" w:space="0" w:color="auto"/>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right"/>
              <w:rPr>
                <w:rFonts w:ascii="Arial" w:eastAsia="楷体_GB2312" w:hAnsi="Arial" w:cs="Arial"/>
                <w:b/>
                <w:bCs/>
                <w:kern w:val="0"/>
                <w:sz w:val="14"/>
                <w:szCs w:val="14"/>
              </w:rPr>
            </w:pPr>
          </w:p>
        </w:tc>
        <w:tc>
          <w:tcPr>
            <w:tcW w:w="665" w:type="dxa"/>
            <w:tcBorders>
              <w:top w:val="single" w:sz="4" w:space="0" w:color="auto"/>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right"/>
              <w:rPr>
                <w:rFonts w:ascii="Arial" w:eastAsia="楷体_GB2312" w:hAnsi="Arial" w:cs="Arial"/>
                <w:b/>
                <w:bCs/>
                <w:kern w:val="0"/>
                <w:sz w:val="14"/>
                <w:szCs w:val="14"/>
              </w:rPr>
            </w:pPr>
          </w:p>
        </w:tc>
        <w:tc>
          <w:tcPr>
            <w:tcW w:w="665" w:type="dxa"/>
            <w:tcBorders>
              <w:top w:val="single" w:sz="4" w:space="0" w:color="auto"/>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right"/>
              <w:rPr>
                <w:rFonts w:ascii="Arial" w:eastAsia="楷体_GB2312" w:hAnsi="Arial" w:cs="Arial"/>
                <w:b/>
                <w:bCs/>
                <w:kern w:val="0"/>
                <w:sz w:val="14"/>
                <w:szCs w:val="14"/>
              </w:rPr>
            </w:pP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长期负债合计</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2130"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现金流量表（百万元）</w:t>
            </w:r>
          </w:p>
        </w:tc>
        <w:tc>
          <w:tcPr>
            <w:tcW w:w="664"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2010</w:t>
            </w:r>
          </w:p>
        </w:tc>
        <w:tc>
          <w:tcPr>
            <w:tcW w:w="665"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2011E</w:t>
            </w:r>
          </w:p>
        </w:tc>
        <w:tc>
          <w:tcPr>
            <w:tcW w:w="665"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2012E</w:t>
            </w:r>
          </w:p>
        </w:tc>
        <w:tc>
          <w:tcPr>
            <w:tcW w:w="665"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2013E</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负债合计</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110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127</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152</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193</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color w:val="FFFFFF"/>
                <w:kern w:val="0"/>
                <w:sz w:val="14"/>
                <w:szCs w:val="14"/>
              </w:rPr>
            </w:pPr>
          </w:p>
        </w:tc>
        <w:tc>
          <w:tcPr>
            <w:tcW w:w="2130"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kern w:val="0"/>
                <w:sz w:val="14"/>
                <w:szCs w:val="14"/>
              </w:rPr>
            </w:pPr>
            <w:r>
              <w:rPr>
                <w:rFonts w:ascii="Arial" w:eastAsia="楷体_GB2312" w:hAnsi="Arial" w:cs="Arial" w:hint="eastAsia"/>
                <w:b/>
                <w:kern w:val="0"/>
                <w:sz w:val="14"/>
                <w:szCs w:val="14"/>
              </w:rPr>
              <w:t>净利润</w:t>
            </w:r>
          </w:p>
        </w:tc>
        <w:tc>
          <w:tcPr>
            <w:tcW w:w="664"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47</w:t>
            </w:r>
          </w:p>
        </w:tc>
        <w:tc>
          <w:tcPr>
            <w:tcW w:w="665"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62</w:t>
            </w:r>
          </w:p>
        </w:tc>
        <w:tc>
          <w:tcPr>
            <w:tcW w:w="665"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81</w:t>
            </w:r>
          </w:p>
        </w:tc>
        <w:tc>
          <w:tcPr>
            <w:tcW w:w="665"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104</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少数股东权益</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资产减值准备</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股东权益</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148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776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833</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905</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right"/>
              <w:rPr>
                <w:rFonts w:ascii="Arial" w:eastAsia="楷体_GB2312" w:hAnsi="Arial" w:cs="Arial"/>
                <w:b/>
                <w:bCs/>
                <w:color w:val="FFFFFF"/>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折旧摊销</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15</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20</w:t>
            </w:r>
          </w:p>
        </w:tc>
      </w:tr>
      <w:tr w:rsidR="00586948" w:rsidRPr="003B7398" w:rsidTr="00586948">
        <w:trPr>
          <w:trHeight w:val="227"/>
          <w:jc w:val="center"/>
        </w:trPr>
        <w:tc>
          <w:tcPr>
            <w:tcW w:w="2092" w:type="dxa"/>
            <w:tcBorders>
              <w:top w:val="nil"/>
              <w:left w:val="nil"/>
              <w:bottom w:val="single" w:sz="4" w:space="0" w:color="auto"/>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负债和股东权益总计</w:t>
            </w:r>
          </w:p>
        </w:tc>
        <w:tc>
          <w:tcPr>
            <w:tcW w:w="660" w:type="dxa"/>
            <w:tcBorders>
              <w:top w:val="nil"/>
              <w:left w:val="nil"/>
              <w:bottom w:val="single" w:sz="4" w:space="0" w:color="auto"/>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258</w:t>
            </w:r>
          </w:p>
        </w:tc>
        <w:tc>
          <w:tcPr>
            <w:tcW w:w="661" w:type="dxa"/>
            <w:tcBorders>
              <w:top w:val="nil"/>
              <w:left w:val="nil"/>
              <w:bottom w:val="single" w:sz="4" w:space="0" w:color="auto"/>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903</w:t>
            </w:r>
          </w:p>
        </w:tc>
        <w:tc>
          <w:tcPr>
            <w:tcW w:w="661" w:type="dxa"/>
            <w:tcBorders>
              <w:top w:val="nil"/>
              <w:left w:val="nil"/>
              <w:bottom w:val="single" w:sz="4" w:space="0" w:color="auto"/>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985</w:t>
            </w:r>
          </w:p>
        </w:tc>
        <w:tc>
          <w:tcPr>
            <w:tcW w:w="661" w:type="dxa"/>
            <w:tcBorders>
              <w:top w:val="nil"/>
              <w:left w:val="nil"/>
              <w:bottom w:val="single" w:sz="4" w:space="0" w:color="auto"/>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1099</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公允价值变动损失</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r>
      <w:tr w:rsidR="00586948" w:rsidRPr="003B7398" w:rsidTr="00586948">
        <w:trPr>
          <w:trHeight w:val="227"/>
          <w:jc w:val="center"/>
        </w:trPr>
        <w:tc>
          <w:tcPr>
            <w:tcW w:w="2092" w:type="dxa"/>
            <w:tcBorders>
              <w:top w:val="nil"/>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660" w:type="dxa"/>
            <w:tcBorders>
              <w:top w:val="nil"/>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right"/>
              <w:rPr>
                <w:rFonts w:ascii="Arial" w:eastAsia="楷体_GB2312" w:hAnsi="Arial" w:cs="Arial"/>
                <w:kern w:val="0"/>
                <w:sz w:val="14"/>
                <w:szCs w:val="14"/>
              </w:rPr>
            </w:pPr>
          </w:p>
        </w:tc>
        <w:tc>
          <w:tcPr>
            <w:tcW w:w="661" w:type="dxa"/>
            <w:tcBorders>
              <w:top w:val="nil"/>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right"/>
              <w:rPr>
                <w:rFonts w:ascii="Arial" w:eastAsia="楷体_GB2312" w:hAnsi="Arial" w:cs="Arial"/>
                <w:kern w:val="0"/>
                <w:sz w:val="14"/>
                <w:szCs w:val="14"/>
              </w:rPr>
            </w:pPr>
          </w:p>
        </w:tc>
        <w:tc>
          <w:tcPr>
            <w:tcW w:w="661" w:type="dxa"/>
            <w:tcBorders>
              <w:top w:val="nil"/>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right"/>
              <w:rPr>
                <w:rFonts w:ascii="Arial" w:eastAsia="楷体_GB2312" w:hAnsi="Arial" w:cs="Arial"/>
                <w:kern w:val="0"/>
                <w:sz w:val="14"/>
                <w:szCs w:val="14"/>
              </w:rPr>
            </w:pPr>
          </w:p>
        </w:tc>
        <w:tc>
          <w:tcPr>
            <w:tcW w:w="661" w:type="dxa"/>
            <w:tcBorders>
              <w:top w:val="nil"/>
              <w:left w:val="nil"/>
              <w:bottom w:val="single" w:sz="4" w:space="0" w:color="auto"/>
              <w:right w:val="nil"/>
            </w:tcBorders>
            <w:shd w:val="clear" w:color="auto" w:fill="auto"/>
            <w:noWrap/>
            <w:vAlign w:val="center"/>
          </w:tcPr>
          <w:p w:rsidR="00586948" w:rsidRPr="003B7398" w:rsidRDefault="00586948" w:rsidP="00C364F8">
            <w:pPr>
              <w:widowControl/>
              <w:spacing w:before="20" w:after="20" w:line="0" w:lineRule="atLeast"/>
              <w:jc w:val="right"/>
              <w:rPr>
                <w:rFonts w:ascii="Arial" w:eastAsia="楷体_GB2312" w:hAnsi="Arial" w:cs="Arial"/>
                <w:kern w:val="0"/>
                <w:sz w:val="14"/>
                <w:szCs w:val="14"/>
              </w:rPr>
            </w:pP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财务费用</w:t>
            </w:r>
            <w:r>
              <w:rPr>
                <w:rFonts w:ascii="Arial" w:eastAsia="楷体_GB2312" w:hAnsi="Arial" w:cs="Arial" w:hint="eastAsia"/>
                <w:kern w:val="0"/>
                <w:sz w:val="14"/>
                <w:szCs w:val="14"/>
              </w:rPr>
              <w:t xml:space="preserve"> </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(18)</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(17)</w:t>
            </w:r>
          </w:p>
        </w:tc>
      </w:tr>
      <w:tr w:rsidR="00586948" w:rsidRPr="003B7398" w:rsidTr="00586948">
        <w:trPr>
          <w:trHeight w:val="227"/>
          <w:jc w:val="center"/>
        </w:trPr>
        <w:tc>
          <w:tcPr>
            <w:tcW w:w="2092"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left"/>
              <w:rPr>
                <w:rFonts w:ascii="Arial" w:eastAsia="楷体_GB2312" w:hAnsi="Arial" w:cs="Arial"/>
                <w:b/>
                <w:bCs/>
                <w:kern w:val="0"/>
                <w:sz w:val="14"/>
                <w:szCs w:val="14"/>
              </w:rPr>
            </w:pPr>
            <w:r>
              <w:rPr>
                <w:rFonts w:ascii="Arial" w:eastAsia="楷体_GB2312" w:hAnsi="Arial" w:cs="Arial" w:hint="eastAsia"/>
                <w:b/>
                <w:bCs/>
                <w:kern w:val="0"/>
                <w:sz w:val="14"/>
                <w:szCs w:val="14"/>
              </w:rPr>
              <w:t>关键财务与估值指标</w:t>
            </w:r>
          </w:p>
        </w:tc>
        <w:tc>
          <w:tcPr>
            <w:tcW w:w="660"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2010</w:t>
            </w:r>
          </w:p>
        </w:tc>
        <w:tc>
          <w:tcPr>
            <w:tcW w:w="661"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2011E</w:t>
            </w:r>
          </w:p>
        </w:tc>
        <w:tc>
          <w:tcPr>
            <w:tcW w:w="661"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2012E</w:t>
            </w:r>
          </w:p>
        </w:tc>
        <w:tc>
          <w:tcPr>
            <w:tcW w:w="661" w:type="dxa"/>
            <w:tcBorders>
              <w:top w:val="single" w:sz="4" w:space="0" w:color="auto"/>
              <w:left w:val="nil"/>
              <w:bottom w:val="single" w:sz="4" w:space="0" w:color="auto"/>
              <w:right w:val="nil"/>
            </w:tcBorders>
            <w:shd w:val="clear" w:color="auto" w:fill="003366"/>
            <w:noWrap/>
            <w:vAlign w:val="center"/>
          </w:tcPr>
          <w:p w:rsidR="00586948" w:rsidRPr="003B7398" w:rsidRDefault="0018071F" w:rsidP="00C364F8">
            <w:pPr>
              <w:widowControl/>
              <w:spacing w:before="20" w:after="20" w:line="0" w:lineRule="atLeast"/>
              <w:jc w:val="right"/>
              <w:rPr>
                <w:rFonts w:ascii="Arial" w:eastAsia="楷体_GB2312" w:hAnsi="Arial" w:cs="Arial"/>
                <w:b/>
                <w:bCs/>
                <w:kern w:val="0"/>
                <w:sz w:val="14"/>
                <w:szCs w:val="14"/>
              </w:rPr>
            </w:pPr>
            <w:r>
              <w:rPr>
                <w:rFonts w:ascii="Arial" w:eastAsia="楷体_GB2312" w:hAnsi="Arial" w:cs="Arial"/>
                <w:b/>
                <w:bCs/>
                <w:kern w:val="0"/>
                <w:sz w:val="14"/>
                <w:szCs w:val="14"/>
              </w:rPr>
              <w:t>2013E</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营运资本变动</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(9)</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(13)</w:t>
            </w:r>
          </w:p>
        </w:tc>
      </w:tr>
      <w:tr w:rsidR="00586948" w:rsidRPr="003B7398" w:rsidTr="00586948">
        <w:trPr>
          <w:trHeight w:val="227"/>
          <w:jc w:val="center"/>
        </w:trPr>
        <w:tc>
          <w:tcPr>
            <w:tcW w:w="2092"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每股收益</w:t>
            </w:r>
          </w:p>
        </w:tc>
        <w:tc>
          <w:tcPr>
            <w:tcW w:w="660" w:type="dxa"/>
            <w:tcBorders>
              <w:top w:val="single" w:sz="4" w:space="0" w:color="auto"/>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0.47</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0.62</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0.81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1.04</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其它</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每股红利</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0.01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0.19</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0.24</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0.31</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kern w:val="0"/>
                <w:sz w:val="14"/>
                <w:szCs w:val="14"/>
              </w:rPr>
            </w:pPr>
            <w:r>
              <w:rPr>
                <w:rFonts w:ascii="Arial" w:eastAsia="楷体_GB2312" w:hAnsi="Arial" w:cs="Arial" w:hint="eastAsia"/>
                <w:b/>
                <w:kern w:val="0"/>
                <w:sz w:val="14"/>
                <w:szCs w:val="14"/>
              </w:rPr>
              <w:t>经营活动现金流</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46</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67</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89</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112</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每股净资产</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1.48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7.76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8.33</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9.05</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资本开支</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(151)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(51)</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kern w:val="0"/>
                <w:sz w:val="14"/>
                <w:szCs w:val="14"/>
              </w:rPr>
              <w:t>ROIC</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17%</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18%</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其它投资现金流</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kern w:val="0"/>
                <w:sz w:val="14"/>
                <w:szCs w:val="14"/>
              </w:rPr>
              <w:t>ROE</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32%</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11%</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kern w:val="0"/>
                <w:sz w:val="14"/>
                <w:szCs w:val="14"/>
              </w:rPr>
            </w:pPr>
            <w:r>
              <w:rPr>
                <w:rFonts w:ascii="Arial" w:eastAsia="楷体_GB2312" w:hAnsi="Arial" w:cs="Arial" w:hint="eastAsia"/>
                <w:b/>
                <w:kern w:val="0"/>
                <w:sz w:val="14"/>
                <w:szCs w:val="14"/>
              </w:rPr>
              <w:t>投资活动现金流</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(151)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(101)</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(51)</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毛利率</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45%</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权益性融资</w:t>
            </w:r>
          </w:p>
        </w:tc>
        <w:tc>
          <w:tcPr>
            <w:tcW w:w="664"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585</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kern w:val="0"/>
                <w:sz w:val="14"/>
                <w:szCs w:val="14"/>
              </w:rPr>
              <w:t>EBIT Margin</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18%</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2130" w:type="dxa"/>
            <w:tcBorders>
              <w:top w:val="nil"/>
              <w:left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负债</w:t>
            </w:r>
            <w:proofErr w:type="gramStart"/>
            <w:r>
              <w:rPr>
                <w:rFonts w:ascii="Arial" w:eastAsia="楷体_GB2312" w:hAnsi="Arial" w:cs="Arial" w:hint="eastAsia"/>
                <w:kern w:val="0"/>
                <w:sz w:val="14"/>
                <w:szCs w:val="14"/>
              </w:rPr>
              <w:t>净变化</w:t>
            </w:r>
            <w:proofErr w:type="gramEnd"/>
          </w:p>
        </w:tc>
        <w:tc>
          <w:tcPr>
            <w:tcW w:w="664"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(11)</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kern w:val="0"/>
                <w:sz w:val="14"/>
                <w:szCs w:val="14"/>
              </w:rPr>
              <w:t>EBITDA  Margin</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19%</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22%</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支付股利、利息</w:t>
            </w:r>
          </w:p>
        </w:tc>
        <w:tc>
          <w:tcPr>
            <w:tcW w:w="664"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(19)</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(24)</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(31)</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收入增长</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24%</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24%</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29%</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left w:val="nil"/>
              <w:right w:val="nil"/>
            </w:tcBorders>
            <w:shd w:val="clear" w:color="auto" w:fill="auto"/>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其它融资现金流</w:t>
            </w:r>
          </w:p>
        </w:tc>
        <w:tc>
          <w:tcPr>
            <w:tcW w:w="664" w:type="dxa"/>
            <w:tcBorders>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15</w:t>
            </w:r>
          </w:p>
        </w:tc>
        <w:tc>
          <w:tcPr>
            <w:tcW w:w="665" w:type="dxa"/>
            <w:tcBorders>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5</w:t>
            </w:r>
          </w:p>
        </w:tc>
        <w:tc>
          <w:tcPr>
            <w:tcW w:w="665" w:type="dxa"/>
            <w:tcBorders>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0</w:t>
            </w:r>
          </w:p>
        </w:tc>
        <w:tc>
          <w:tcPr>
            <w:tcW w:w="665" w:type="dxa"/>
            <w:tcBorders>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0</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净利润增长率</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47%</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28%</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left w:val="nil"/>
              <w:bottom w:val="nil"/>
              <w:right w:val="nil"/>
            </w:tcBorders>
            <w:shd w:val="clear" w:color="auto" w:fill="auto"/>
            <w:noWrap/>
            <w:vAlign w:val="center"/>
          </w:tcPr>
          <w:p w:rsidR="00586948" w:rsidRPr="003B7398" w:rsidRDefault="0018071F" w:rsidP="00C364F8">
            <w:pPr>
              <w:widowControl/>
              <w:spacing w:before="20" w:after="20" w:line="0" w:lineRule="atLeast"/>
              <w:jc w:val="left"/>
              <w:rPr>
                <w:rFonts w:ascii="Arial" w:eastAsia="楷体_GB2312" w:hAnsi="Arial" w:cs="Arial"/>
                <w:b/>
                <w:kern w:val="0"/>
                <w:sz w:val="14"/>
                <w:szCs w:val="14"/>
              </w:rPr>
            </w:pPr>
            <w:r>
              <w:rPr>
                <w:rFonts w:ascii="Arial" w:eastAsia="楷体_GB2312" w:hAnsi="Arial" w:cs="Arial" w:hint="eastAsia"/>
                <w:b/>
                <w:kern w:val="0"/>
                <w:sz w:val="14"/>
                <w:szCs w:val="14"/>
              </w:rPr>
              <w:t>融资活动现金流</w:t>
            </w:r>
          </w:p>
        </w:tc>
        <w:tc>
          <w:tcPr>
            <w:tcW w:w="664" w:type="dxa"/>
            <w:tcBorders>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(8)</w:t>
            </w:r>
          </w:p>
        </w:tc>
        <w:tc>
          <w:tcPr>
            <w:tcW w:w="665" w:type="dxa"/>
            <w:tcBorders>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571</w:t>
            </w:r>
          </w:p>
        </w:tc>
        <w:tc>
          <w:tcPr>
            <w:tcW w:w="665" w:type="dxa"/>
            <w:tcBorders>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(24)</w:t>
            </w:r>
          </w:p>
        </w:tc>
        <w:tc>
          <w:tcPr>
            <w:tcW w:w="665" w:type="dxa"/>
            <w:tcBorders>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(31)</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资产负债率</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43%</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14%</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15%</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18%</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b/>
                <w:bCs/>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b/>
                <w:kern w:val="0"/>
                <w:sz w:val="14"/>
                <w:szCs w:val="14"/>
              </w:rPr>
            </w:pPr>
            <w:r>
              <w:rPr>
                <w:rFonts w:ascii="Arial" w:eastAsia="楷体_GB2312" w:hAnsi="Arial" w:cs="Arial" w:hint="eastAsia"/>
                <w:b/>
                <w:kern w:val="0"/>
                <w:sz w:val="14"/>
                <w:szCs w:val="14"/>
              </w:rPr>
              <w:t>现金净变动</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37</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488</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(37)</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
                <w:kern w:val="0"/>
                <w:sz w:val="14"/>
                <w:szCs w:val="14"/>
              </w:rPr>
            </w:pPr>
            <w:r>
              <w:rPr>
                <w:rFonts w:ascii="Arial" w:eastAsia="楷体_GB2312" w:hAnsi="Arial" w:cs="Arial"/>
                <w:b/>
                <w:kern w:val="0"/>
                <w:sz w:val="14"/>
                <w:szCs w:val="14"/>
              </w:rPr>
              <w:t>30</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息率</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货币资金的期初余额</w:t>
            </w:r>
            <w:r>
              <w:rPr>
                <w:rFonts w:ascii="Arial" w:eastAsia="楷体_GB2312" w:hAnsi="Arial" w:cs="Arial" w:hint="eastAsia"/>
                <w:kern w:val="0"/>
                <w:sz w:val="14"/>
                <w:szCs w:val="14"/>
              </w:rPr>
              <w:t xml:space="preserve"> </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48</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85</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573</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536</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kern w:val="0"/>
                <w:sz w:val="14"/>
                <w:szCs w:val="14"/>
              </w:rPr>
              <w:t>P/E</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51.0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39.0</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29.8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bCs/>
                <w:kern w:val="0"/>
                <w:sz w:val="14"/>
                <w:szCs w:val="14"/>
              </w:rPr>
            </w:pPr>
            <w:r>
              <w:rPr>
                <w:rFonts w:ascii="Arial" w:eastAsia="楷体_GB2312" w:hAnsi="Arial" w:cs="Arial"/>
                <w:bCs/>
                <w:kern w:val="0"/>
                <w:sz w:val="14"/>
                <w:szCs w:val="14"/>
              </w:rPr>
              <w:t>23.3</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nil"/>
              <w:right w:val="nil"/>
            </w:tcBorders>
            <w:shd w:val="clear" w:color="auto" w:fill="auto"/>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货币资金的期末余额</w:t>
            </w:r>
            <w:r>
              <w:rPr>
                <w:rFonts w:ascii="Arial" w:eastAsia="楷体_GB2312" w:hAnsi="Arial" w:cs="Arial" w:hint="eastAsia"/>
                <w:kern w:val="0"/>
                <w:sz w:val="14"/>
                <w:szCs w:val="14"/>
              </w:rPr>
              <w:t xml:space="preserve"> </w:t>
            </w:r>
          </w:p>
        </w:tc>
        <w:tc>
          <w:tcPr>
            <w:tcW w:w="664"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85</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573</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536</w:t>
            </w:r>
          </w:p>
        </w:tc>
        <w:tc>
          <w:tcPr>
            <w:tcW w:w="665"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566</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kern w:val="0"/>
                <w:sz w:val="14"/>
                <w:szCs w:val="14"/>
              </w:rPr>
              <w:t>P/B</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16.3</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3.1</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2.9</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2.7</w:t>
            </w:r>
          </w:p>
        </w:tc>
        <w:tc>
          <w:tcPr>
            <w:tcW w:w="236" w:type="dxa"/>
            <w:tcBorders>
              <w:top w:val="nil"/>
              <w:left w:val="nil"/>
              <w:bottom w:val="nil"/>
              <w:right w:val="nil"/>
            </w:tcBorders>
            <w:shd w:val="clear" w:color="auto" w:fill="FFFFFF"/>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企业自由现金流</w:t>
            </w:r>
          </w:p>
        </w:tc>
        <w:tc>
          <w:tcPr>
            <w:tcW w:w="664"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36</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(105)</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(41)</w:t>
            </w:r>
          </w:p>
        </w:tc>
        <w:tc>
          <w:tcPr>
            <w:tcW w:w="665" w:type="dxa"/>
            <w:tcBorders>
              <w:top w:val="nil"/>
              <w:left w:val="nil"/>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33</w:t>
            </w:r>
          </w:p>
        </w:tc>
      </w:tr>
      <w:tr w:rsidR="00586948" w:rsidRPr="003B7398" w:rsidTr="00586948">
        <w:trPr>
          <w:trHeight w:val="227"/>
          <w:jc w:val="center"/>
        </w:trPr>
        <w:tc>
          <w:tcPr>
            <w:tcW w:w="2092"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kern w:val="0"/>
                <w:sz w:val="14"/>
                <w:szCs w:val="14"/>
              </w:rPr>
              <w:t>EV/EBITDA</w:t>
            </w:r>
          </w:p>
        </w:tc>
        <w:tc>
          <w:tcPr>
            <w:tcW w:w="660"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53.8</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46.6</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33.7</w:t>
            </w:r>
          </w:p>
        </w:tc>
        <w:tc>
          <w:tcPr>
            <w:tcW w:w="661" w:type="dxa"/>
            <w:tcBorders>
              <w:top w:val="nil"/>
              <w:left w:val="nil"/>
              <w:bottom w:val="nil"/>
              <w:right w:val="nil"/>
            </w:tcBorders>
            <w:shd w:val="clear" w:color="auto" w:fill="FFFFFF"/>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24.4</w:t>
            </w:r>
          </w:p>
        </w:tc>
        <w:tc>
          <w:tcPr>
            <w:tcW w:w="236" w:type="dxa"/>
            <w:tcBorders>
              <w:top w:val="nil"/>
              <w:left w:val="nil"/>
              <w:bottom w:val="nil"/>
              <w:right w:val="nil"/>
            </w:tcBorders>
            <w:shd w:val="clear" w:color="auto" w:fill="auto"/>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nil"/>
              <w:left w:val="nil"/>
              <w:bottom w:val="single" w:sz="4" w:space="0" w:color="auto"/>
              <w:right w:val="nil"/>
            </w:tcBorders>
            <w:shd w:val="clear" w:color="auto" w:fill="FFFFFF"/>
            <w:noWrap/>
            <w:vAlign w:val="center"/>
          </w:tcPr>
          <w:p w:rsidR="00586948" w:rsidRPr="003B7398" w:rsidRDefault="0018071F" w:rsidP="00C364F8">
            <w:pPr>
              <w:widowControl/>
              <w:spacing w:before="20" w:after="20" w:line="0" w:lineRule="atLeast"/>
              <w:jc w:val="left"/>
              <w:rPr>
                <w:rFonts w:ascii="Arial" w:eastAsia="楷体_GB2312" w:hAnsi="Arial" w:cs="Arial"/>
                <w:kern w:val="0"/>
                <w:sz w:val="14"/>
                <w:szCs w:val="14"/>
              </w:rPr>
            </w:pPr>
            <w:r>
              <w:rPr>
                <w:rFonts w:ascii="Arial" w:eastAsia="楷体_GB2312" w:hAnsi="Arial" w:cs="Arial" w:hint="eastAsia"/>
                <w:kern w:val="0"/>
                <w:sz w:val="14"/>
                <w:szCs w:val="14"/>
              </w:rPr>
              <w:t>权益自由现金流</w:t>
            </w:r>
          </w:p>
        </w:tc>
        <w:tc>
          <w:tcPr>
            <w:tcW w:w="664"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40</w:t>
            </w:r>
          </w:p>
        </w:tc>
        <w:tc>
          <w:tcPr>
            <w:tcW w:w="665"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(91)</w:t>
            </w:r>
          </w:p>
        </w:tc>
        <w:tc>
          <w:tcPr>
            <w:tcW w:w="665"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(25)</w:t>
            </w:r>
          </w:p>
        </w:tc>
        <w:tc>
          <w:tcPr>
            <w:tcW w:w="665" w:type="dxa"/>
            <w:tcBorders>
              <w:top w:val="nil"/>
              <w:left w:val="nil"/>
              <w:bottom w:val="single" w:sz="4" w:space="0" w:color="auto"/>
              <w:right w:val="nil"/>
            </w:tcBorders>
            <w:shd w:val="clear" w:color="auto" w:fill="auto"/>
            <w:noWrap/>
            <w:vAlign w:val="center"/>
          </w:tcPr>
          <w:p w:rsidR="00586948" w:rsidRPr="003B7398" w:rsidRDefault="0018071F" w:rsidP="00C364F8">
            <w:pPr>
              <w:widowControl/>
              <w:spacing w:before="20" w:after="20" w:line="0" w:lineRule="atLeast"/>
              <w:jc w:val="right"/>
              <w:rPr>
                <w:rFonts w:ascii="Arial" w:eastAsia="楷体_GB2312" w:hAnsi="Arial" w:cs="Arial"/>
                <w:kern w:val="0"/>
                <w:sz w:val="14"/>
                <w:szCs w:val="14"/>
              </w:rPr>
            </w:pPr>
            <w:r>
              <w:rPr>
                <w:rFonts w:ascii="Arial" w:eastAsia="楷体_GB2312" w:hAnsi="Arial" w:cs="Arial"/>
                <w:kern w:val="0"/>
                <w:sz w:val="14"/>
                <w:szCs w:val="14"/>
              </w:rPr>
              <w:t>49</w:t>
            </w:r>
          </w:p>
        </w:tc>
      </w:tr>
      <w:tr w:rsidR="00586948" w:rsidRPr="003B7398" w:rsidTr="00586948">
        <w:trPr>
          <w:trHeight w:val="284"/>
          <w:jc w:val="center"/>
        </w:trPr>
        <w:tc>
          <w:tcPr>
            <w:tcW w:w="4735" w:type="dxa"/>
            <w:gridSpan w:val="5"/>
            <w:tcBorders>
              <w:top w:val="single" w:sz="4" w:space="0" w:color="auto"/>
              <w:left w:val="nil"/>
              <w:bottom w:val="nil"/>
              <w:right w:val="nil"/>
            </w:tcBorders>
            <w:noWrap/>
            <w:vAlign w:val="bottom"/>
          </w:tcPr>
          <w:p w:rsidR="00586948" w:rsidRPr="003B7398" w:rsidRDefault="00586948" w:rsidP="0073680C">
            <w:pPr>
              <w:widowControl/>
              <w:spacing w:before="20" w:after="20" w:line="0" w:lineRule="atLeast"/>
              <w:jc w:val="left"/>
              <w:rPr>
                <w:rFonts w:ascii="Arial" w:eastAsia="楷体_GB2312" w:hAnsi="Arial" w:cs="Arial"/>
                <w:kern w:val="0"/>
                <w:sz w:val="14"/>
                <w:szCs w:val="14"/>
              </w:rPr>
            </w:pPr>
            <w:r w:rsidRPr="003B7398">
              <w:rPr>
                <w:rFonts w:ascii="Arial" w:eastAsia="楷体_GB2312" w:hAnsi="Arial" w:cs="Arial"/>
                <w:kern w:val="0"/>
                <w:sz w:val="14"/>
                <w:szCs w:val="14"/>
              </w:rPr>
              <w:t>资料来源：</w:t>
            </w:r>
            <w:r w:rsidR="0073680C">
              <w:rPr>
                <w:rFonts w:ascii="Arial" w:eastAsia="楷体_GB2312" w:hAnsi="Arial" w:cs="Arial" w:hint="eastAsia"/>
                <w:kern w:val="0"/>
                <w:sz w:val="14"/>
                <w:szCs w:val="14"/>
              </w:rPr>
              <w:t>W</w:t>
            </w:r>
            <w:r>
              <w:rPr>
                <w:rFonts w:ascii="Arial" w:eastAsia="楷体_GB2312" w:hAnsi="Arial" w:cs="Arial" w:hint="eastAsia"/>
                <w:kern w:val="0"/>
                <w:sz w:val="14"/>
                <w:szCs w:val="14"/>
              </w:rPr>
              <w:t>ind</w:t>
            </w:r>
            <w:r>
              <w:rPr>
                <w:rFonts w:ascii="Arial" w:eastAsia="楷体_GB2312" w:hAnsi="Arial" w:cs="Arial" w:hint="eastAsia"/>
                <w:kern w:val="0"/>
                <w:sz w:val="14"/>
                <w:szCs w:val="14"/>
              </w:rPr>
              <w:t>、</w:t>
            </w:r>
            <w:r w:rsidRPr="003B7398">
              <w:rPr>
                <w:rFonts w:ascii="Arial" w:eastAsia="楷体_GB2312" w:hAnsi="Arial" w:cs="Arial"/>
                <w:kern w:val="0"/>
                <w:sz w:val="14"/>
                <w:szCs w:val="14"/>
              </w:rPr>
              <w:t>国信证券经济研究所预测</w:t>
            </w:r>
          </w:p>
        </w:tc>
        <w:tc>
          <w:tcPr>
            <w:tcW w:w="236" w:type="dxa"/>
            <w:tcBorders>
              <w:top w:val="nil"/>
              <w:left w:val="nil"/>
              <w:bottom w:val="nil"/>
              <w:right w:val="nil"/>
            </w:tcBorders>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2130" w:type="dxa"/>
            <w:tcBorders>
              <w:top w:val="single" w:sz="4" w:space="0" w:color="auto"/>
              <w:left w:val="nil"/>
              <w:bottom w:val="nil"/>
              <w:right w:val="nil"/>
            </w:tcBorders>
            <w:noWrap/>
            <w:vAlign w:val="center"/>
          </w:tcPr>
          <w:p w:rsidR="00586948" w:rsidRPr="003B7398" w:rsidRDefault="00586948" w:rsidP="00C364F8">
            <w:pPr>
              <w:widowControl/>
              <w:spacing w:before="20" w:after="20" w:line="0" w:lineRule="atLeast"/>
              <w:jc w:val="left"/>
              <w:rPr>
                <w:rFonts w:ascii="Arial" w:eastAsia="楷体_GB2312" w:hAnsi="Arial" w:cs="Arial"/>
                <w:kern w:val="0"/>
                <w:sz w:val="14"/>
                <w:szCs w:val="14"/>
              </w:rPr>
            </w:pPr>
          </w:p>
        </w:tc>
        <w:tc>
          <w:tcPr>
            <w:tcW w:w="664" w:type="dxa"/>
            <w:tcBorders>
              <w:top w:val="single" w:sz="4" w:space="0" w:color="auto"/>
              <w:left w:val="nil"/>
              <w:bottom w:val="nil"/>
              <w:right w:val="nil"/>
            </w:tcBorders>
            <w:noWrap/>
            <w:vAlign w:val="center"/>
          </w:tcPr>
          <w:p w:rsidR="00586948" w:rsidRPr="003B7398" w:rsidRDefault="00586948" w:rsidP="00C364F8">
            <w:pPr>
              <w:widowControl/>
              <w:spacing w:before="20" w:after="20" w:line="0" w:lineRule="atLeast"/>
              <w:jc w:val="right"/>
              <w:rPr>
                <w:rFonts w:ascii="Arial" w:eastAsia="楷体_GB2312" w:hAnsi="Arial" w:cs="Arial"/>
                <w:kern w:val="0"/>
                <w:sz w:val="14"/>
                <w:szCs w:val="14"/>
              </w:rPr>
            </w:pPr>
          </w:p>
        </w:tc>
        <w:tc>
          <w:tcPr>
            <w:tcW w:w="665" w:type="dxa"/>
            <w:tcBorders>
              <w:top w:val="single" w:sz="4" w:space="0" w:color="auto"/>
              <w:left w:val="nil"/>
              <w:bottom w:val="nil"/>
              <w:right w:val="nil"/>
            </w:tcBorders>
            <w:noWrap/>
            <w:vAlign w:val="center"/>
          </w:tcPr>
          <w:p w:rsidR="00586948" w:rsidRPr="003B7398" w:rsidRDefault="00586948" w:rsidP="00C364F8">
            <w:pPr>
              <w:widowControl/>
              <w:spacing w:before="20" w:after="20" w:line="0" w:lineRule="atLeast"/>
              <w:jc w:val="right"/>
              <w:rPr>
                <w:rFonts w:ascii="Arial" w:eastAsia="楷体_GB2312" w:hAnsi="Arial" w:cs="Arial"/>
                <w:kern w:val="0"/>
                <w:sz w:val="14"/>
                <w:szCs w:val="14"/>
              </w:rPr>
            </w:pPr>
          </w:p>
        </w:tc>
        <w:tc>
          <w:tcPr>
            <w:tcW w:w="665" w:type="dxa"/>
            <w:tcBorders>
              <w:top w:val="single" w:sz="4" w:space="0" w:color="auto"/>
              <w:left w:val="nil"/>
              <w:bottom w:val="nil"/>
              <w:right w:val="nil"/>
            </w:tcBorders>
            <w:noWrap/>
            <w:vAlign w:val="center"/>
          </w:tcPr>
          <w:p w:rsidR="00586948" w:rsidRPr="003B7398" w:rsidRDefault="00586948" w:rsidP="00C364F8">
            <w:pPr>
              <w:widowControl/>
              <w:spacing w:before="20" w:after="20" w:line="0" w:lineRule="atLeast"/>
              <w:jc w:val="right"/>
              <w:rPr>
                <w:rFonts w:ascii="Arial" w:eastAsia="楷体_GB2312" w:hAnsi="Arial" w:cs="Arial"/>
                <w:kern w:val="0"/>
                <w:sz w:val="14"/>
                <w:szCs w:val="14"/>
              </w:rPr>
            </w:pPr>
          </w:p>
        </w:tc>
        <w:tc>
          <w:tcPr>
            <w:tcW w:w="665" w:type="dxa"/>
            <w:tcBorders>
              <w:top w:val="single" w:sz="4" w:space="0" w:color="auto"/>
              <w:left w:val="nil"/>
              <w:bottom w:val="nil"/>
              <w:right w:val="nil"/>
            </w:tcBorders>
            <w:noWrap/>
            <w:vAlign w:val="center"/>
          </w:tcPr>
          <w:p w:rsidR="00586948" w:rsidRPr="003B7398" w:rsidRDefault="00586948" w:rsidP="00C364F8">
            <w:pPr>
              <w:widowControl/>
              <w:spacing w:before="20" w:after="20" w:line="0" w:lineRule="atLeast"/>
              <w:jc w:val="right"/>
              <w:rPr>
                <w:rFonts w:ascii="Arial" w:eastAsia="楷体_GB2312" w:hAnsi="Arial" w:cs="Arial"/>
                <w:kern w:val="0"/>
                <w:sz w:val="14"/>
                <w:szCs w:val="14"/>
              </w:rPr>
            </w:pPr>
          </w:p>
        </w:tc>
      </w:tr>
    </w:tbl>
    <w:p w:rsidR="00586948" w:rsidRDefault="00586948">
      <w:pPr>
        <w:widowControl/>
        <w:jc w:val="left"/>
      </w:pPr>
    </w:p>
    <w:p w:rsidR="00586948" w:rsidRDefault="00586948">
      <w:pPr>
        <w:widowControl/>
        <w:jc w:val="left"/>
        <w:rPr>
          <w:rFonts w:ascii="Arial" w:eastAsia="楷体_GB2312" w:hAnsi="Arial" w:cs="Arial"/>
          <w:color w:val="000000"/>
          <w:spacing w:val="-4"/>
          <w:sz w:val="20"/>
        </w:rPr>
      </w:pPr>
      <w:r>
        <w:br w:type="page"/>
      </w:r>
    </w:p>
    <w:tbl>
      <w:tblPr>
        <w:tblW w:w="6842"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tblPr>
      <w:tblGrid>
        <w:gridCol w:w="1160"/>
        <w:gridCol w:w="1122"/>
        <w:gridCol w:w="4560"/>
      </w:tblGrid>
      <w:tr w:rsidR="00A90410" w:rsidTr="00A90410">
        <w:trPr>
          <w:cantSplit/>
          <w:trHeight w:val="293"/>
          <w:jc w:val="right"/>
        </w:trPr>
        <w:tc>
          <w:tcPr>
            <w:tcW w:w="6842" w:type="dxa"/>
            <w:gridSpan w:val="3"/>
            <w:tcBorders>
              <w:top w:val="nil"/>
              <w:left w:val="nil"/>
              <w:bottom w:val="nil"/>
              <w:right w:val="nil"/>
            </w:tcBorders>
          </w:tcPr>
          <w:sdt>
            <w:sdtPr>
              <w:alias w:val="股票相关研究报告"/>
              <w:tag w:val="GACONTENTCONTROL_3d941982-4885-4975-bf00-3267ed8bff7b"/>
              <w:id w:val="26965816"/>
              <w:placeholder>
                <w:docPart w:val="7BDFFA9FC871454D962D9556956A87E4"/>
              </w:placeholder>
            </w:sdtPr>
            <w:sdtContent>
              <w:p w:rsidR="0018022D" w:rsidRDefault="0018022D" w:rsidP="0018022D">
                <w:pPr>
                  <w:spacing w:line="14" w:lineRule="exact"/>
                </w:pPr>
              </w:p>
              <w:tbl>
                <w:tblPr>
                  <w:tblStyle w:val="GABasicTable"/>
                  <w:tblW w:w="6842" w:type="dxa"/>
                  <w:tblLayout w:type="fixed"/>
                  <w:tblLook w:val="04A0"/>
                </w:tblPr>
                <w:tblGrid>
                  <w:gridCol w:w="6842"/>
                </w:tblGrid>
                <w:tr w:rsidR="0018022D" w:rsidRPr="0018022D" w:rsidTr="0018022D">
                  <w:trPr>
                    <w:trHeight w:val="227"/>
                  </w:trPr>
                  <w:tc>
                    <w:tcPr>
                      <w:tcW w:w="6782" w:type="dxa"/>
                      <w:shd w:val="clear" w:color="auto" w:fill="auto"/>
                      <w:vAlign w:val="center"/>
                    </w:tcPr>
                    <w:p w:rsidR="0018022D" w:rsidRPr="0018022D" w:rsidRDefault="0018022D" w:rsidP="00522590">
                      <w:pPr>
                        <w:spacing w:beforeLines="80" w:afterLines="30"/>
                        <w:jc w:val="left"/>
                        <w:rPr>
                          <w:rFonts w:ascii="Arial" w:eastAsia="楷体_GB2312" w:hAnsi="Arial" w:cs="Arial"/>
                          <w:b/>
                          <w:color w:val="000000"/>
                          <w:sz w:val="24"/>
                        </w:rPr>
                      </w:pPr>
                      <w:r w:rsidRPr="0018022D">
                        <w:rPr>
                          <w:rFonts w:ascii="Arial" w:eastAsia="楷体_GB2312" w:hAnsi="Arial" w:cs="Arial" w:hint="eastAsia"/>
                          <w:b/>
                          <w:color w:val="000000"/>
                          <w:sz w:val="24"/>
                        </w:rPr>
                        <w:t>相关研究报告：</w:t>
                      </w:r>
                    </w:p>
                  </w:tc>
                </w:tr>
                <w:tr w:rsidR="0018022D" w:rsidRPr="0018022D" w:rsidTr="0018022D">
                  <w:tc>
                    <w:tcPr>
                      <w:tcW w:w="6782" w:type="dxa"/>
                      <w:shd w:val="clear" w:color="auto" w:fill="auto"/>
                      <w:vAlign w:val="center"/>
                    </w:tcPr>
                    <w:p w:rsidR="0018022D" w:rsidRPr="0018022D" w:rsidRDefault="0018022D" w:rsidP="0018022D">
                      <w:pPr>
                        <w:spacing w:line="240" w:lineRule="atLeast"/>
                        <w:rPr>
                          <w:rFonts w:ascii="Arial" w:eastAsia="楷体_GB2312" w:hAnsi="Arial" w:cs="Arial"/>
                          <w:color w:val="000000"/>
                          <w:sz w:val="20"/>
                        </w:rPr>
                      </w:pPr>
                    </w:p>
                  </w:tc>
                </w:tr>
              </w:tbl>
              <w:p w:rsidR="0018022D" w:rsidRDefault="00547A2C" w:rsidP="0018022D">
                <w:pPr>
                  <w:spacing w:line="14" w:lineRule="exact"/>
                </w:pPr>
              </w:p>
            </w:sdtContent>
          </w:sdt>
          <w:p w:rsidR="0018022D" w:rsidRDefault="0018022D" w:rsidP="0018022D">
            <w:pPr>
              <w:spacing w:line="14" w:lineRule="exact"/>
            </w:pPr>
          </w:p>
          <w:p w:rsidR="003877DE" w:rsidRDefault="003877DE" w:rsidP="003877DE">
            <w:pPr>
              <w:spacing w:line="14" w:lineRule="exact"/>
            </w:pPr>
          </w:p>
          <w:p w:rsidR="00A90410" w:rsidRDefault="00A90410" w:rsidP="00A90410">
            <w:pPr>
              <w:spacing w:line="14" w:lineRule="exact"/>
            </w:pPr>
          </w:p>
          <w:p w:rsidR="00A90410" w:rsidRPr="00A90410" w:rsidRDefault="00A90410" w:rsidP="00A90410"/>
        </w:tc>
      </w:tr>
      <w:tr w:rsidR="006E07B9" w:rsidTr="00A90410">
        <w:trPr>
          <w:cantSplit/>
          <w:trHeight w:val="293"/>
          <w:jc w:val="right"/>
        </w:trPr>
        <w:tc>
          <w:tcPr>
            <w:tcW w:w="6842" w:type="dxa"/>
            <w:gridSpan w:val="3"/>
            <w:tcBorders>
              <w:top w:val="nil"/>
              <w:left w:val="nil"/>
              <w:right w:val="nil"/>
            </w:tcBorders>
          </w:tcPr>
          <w:p w:rsidR="006E07B9" w:rsidRDefault="006E07B9" w:rsidP="00522590">
            <w:pPr>
              <w:pStyle w:val="ab"/>
              <w:spacing w:beforeLines="80" w:afterLines="30"/>
              <w:ind w:firstLineChars="0" w:firstLine="0"/>
            </w:pPr>
            <w:r w:rsidRPr="001D3C9A">
              <w:rPr>
                <w:rFonts w:hint="eastAsia"/>
                <w:sz w:val="24"/>
              </w:rPr>
              <w:t>国信证券投资评级</w:t>
            </w:r>
          </w:p>
        </w:tc>
      </w:tr>
      <w:tr w:rsidR="006E07B9">
        <w:trPr>
          <w:trHeight w:val="293"/>
          <w:jc w:val="right"/>
        </w:trPr>
        <w:tc>
          <w:tcPr>
            <w:tcW w:w="1160" w:type="dxa"/>
          </w:tcPr>
          <w:p w:rsidR="006E07B9" w:rsidRDefault="006E07B9" w:rsidP="00A13217">
            <w:pPr>
              <w:pStyle w:val="a7"/>
              <w:jc w:val="both"/>
              <w:rPr>
                <w:rFonts w:ascii="Arial" w:hAnsi="Arial" w:cs="Arial"/>
                <w:szCs w:val="18"/>
              </w:rPr>
            </w:pPr>
            <w:r>
              <w:rPr>
                <w:rFonts w:ascii="Arial" w:hAnsi="Arial" w:cs="Arial" w:hint="eastAsia"/>
                <w:szCs w:val="18"/>
              </w:rPr>
              <w:t>类别</w:t>
            </w:r>
          </w:p>
        </w:tc>
        <w:tc>
          <w:tcPr>
            <w:tcW w:w="1122" w:type="dxa"/>
          </w:tcPr>
          <w:p w:rsidR="006E07B9" w:rsidRDefault="006E07B9" w:rsidP="00A13217">
            <w:pPr>
              <w:pStyle w:val="a7"/>
              <w:jc w:val="both"/>
              <w:rPr>
                <w:rFonts w:ascii="Arial" w:hAnsi="Arial" w:cs="Arial"/>
                <w:szCs w:val="18"/>
              </w:rPr>
            </w:pPr>
            <w:r>
              <w:rPr>
                <w:rFonts w:ascii="Arial" w:hAnsi="Arial" w:cs="Arial" w:hint="eastAsia"/>
                <w:szCs w:val="18"/>
              </w:rPr>
              <w:t>级别</w:t>
            </w:r>
          </w:p>
        </w:tc>
        <w:tc>
          <w:tcPr>
            <w:tcW w:w="4560" w:type="dxa"/>
          </w:tcPr>
          <w:p w:rsidR="006E07B9" w:rsidRDefault="006E07B9" w:rsidP="00A13217">
            <w:pPr>
              <w:pStyle w:val="a7"/>
              <w:jc w:val="both"/>
              <w:rPr>
                <w:rFonts w:ascii="Arial" w:hAnsi="Arial" w:cs="Arial"/>
                <w:szCs w:val="18"/>
              </w:rPr>
            </w:pPr>
            <w:r>
              <w:rPr>
                <w:rFonts w:ascii="Arial" w:hAnsi="Arial" w:cs="Arial" w:hint="eastAsia"/>
                <w:szCs w:val="18"/>
              </w:rPr>
              <w:t>定义</w:t>
            </w:r>
          </w:p>
        </w:tc>
      </w:tr>
      <w:tr w:rsidR="006E07B9">
        <w:trPr>
          <w:cantSplit/>
          <w:trHeight w:val="293"/>
          <w:jc w:val="right"/>
        </w:trPr>
        <w:tc>
          <w:tcPr>
            <w:tcW w:w="1160" w:type="dxa"/>
            <w:vMerge w:val="restart"/>
            <w:vAlign w:val="center"/>
          </w:tcPr>
          <w:p w:rsidR="006E07B9" w:rsidRDefault="006E07B9" w:rsidP="00A13217">
            <w:pPr>
              <w:pStyle w:val="ac"/>
              <w:rPr>
                <w:rFonts w:ascii="Arial" w:hAnsi="Arial" w:cs="Arial"/>
                <w:szCs w:val="18"/>
              </w:rPr>
            </w:pPr>
            <w:r>
              <w:rPr>
                <w:rFonts w:ascii="Arial" w:hAnsi="Arial" w:cs="Arial" w:hint="eastAsia"/>
                <w:szCs w:val="18"/>
              </w:rPr>
              <w:t>股票</w:t>
            </w:r>
          </w:p>
          <w:p w:rsidR="006E07B9" w:rsidRDefault="006E07B9" w:rsidP="00A13217">
            <w:pPr>
              <w:pStyle w:val="ac"/>
              <w:rPr>
                <w:rFonts w:ascii="Arial" w:hAnsi="Arial" w:cs="Arial"/>
                <w:szCs w:val="18"/>
              </w:rPr>
            </w:pPr>
            <w:r>
              <w:rPr>
                <w:rFonts w:ascii="Arial" w:hAnsi="Arial" w:cs="Arial" w:hint="eastAsia"/>
                <w:szCs w:val="18"/>
              </w:rPr>
              <w:t>投资评级</w:t>
            </w:r>
          </w:p>
        </w:tc>
        <w:tc>
          <w:tcPr>
            <w:tcW w:w="1122" w:type="dxa"/>
            <w:vAlign w:val="center"/>
          </w:tcPr>
          <w:p w:rsidR="006E07B9" w:rsidRDefault="006E07B9" w:rsidP="00A13217">
            <w:pPr>
              <w:pStyle w:val="ac"/>
              <w:rPr>
                <w:rFonts w:ascii="Arial" w:hAnsi="Arial" w:cs="Arial"/>
                <w:szCs w:val="18"/>
              </w:rPr>
            </w:pPr>
            <w:r>
              <w:rPr>
                <w:rFonts w:ascii="Arial" w:hAnsi="Arial" w:cs="Arial" w:hint="eastAsia"/>
                <w:szCs w:val="18"/>
              </w:rPr>
              <w:t>推荐</w:t>
            </w:r>
          </w:p>
        </w:tc>
        <w:tc>
          <w:tcPr>
            <w:tcW w:w="4560" w:type="dxa"/>
            <w:vAlign w:val="center"/>
          </w:tcPr>
          <w:p w:rsidR="006E07B9" w:rsidRDefault="006E07B9" w:rsidP="00A13217">
            <w:pPr>
              <w:pStyle w:val="ac"/>
              <w:rPr>
                <w:rFonts w:ascii="Arial" w:hAnsi="Arial" w:cs="Arial"/>
                <w:szCs w:val="18"/>
              </w:rPr>
            </w:pPr>
            <w:r>
              <w:rPr>
                <w:rFonts w:ascii="Arial" w:hAnsi="Arial" w:cs="Arial" w:hint="eastAsia"/>
                <w:szCs w:val="18"/>
              </w:rPr>
              <w:t>预计</w:t>
            </w:r>
            <w:r>
              <w:rPr>
                <w:rFonts w:ascii="Arial" w:hAnsi="Arial" w:cs="Arial" w:hint="eastAsia"/>
                <w:szCs w:val="18"/>
              </w:rPr>
              <w:t>6</w:t>
            </w:r>
            <w:r>
              <w:rPr>
                <w:rFonts w:ascii="Arial" w:hAnsi="Arial" w:cs="Arial" w:hint="eastAsia"/>
                <w:szCs w:val="18"/>
              </w:rPr>
              <w:t>个月内，股价表现优于市场指数</w:t>
            </w:r>
            <w:r>
              <w:rPr>
                <w:rFonts w:ascii="Arial" w:hAnsi="Arial" w:cs="Arial" w:hint="eastAsia"/>
                <w:szCs w:val="18"/>
              </w:rPr>
              <w:t>20%</w:t>
            </w:r>
            <w:r>
              <w:rPr>
                <w:rFonts w:ascii="Arial" w:hAnsi="Arial" w:cs="Arial" w:hint="eastAsia"/>
                <w:szCs w:val="18"/>
              </w:rPr>
              <w:t>以上</w:t>
            </w:r>
          </w:p>
        </w:tc>
      </w:tr>
      <w:tr w:rsidR="006E07B9">
        <w:trPr>
          <w:cantSplit/>
          <w:trHeight w:val="293"/>
          <w:jc w:val="right"/>
        </w:trPr>
        <w:tc>
          <w:tcPr>
            <w:tcW w:w="1160" w:type="dxa"/>
            <w:vMerge/>
            <w:shd w:val="clear" w:color="auto" w:fill="E4EDFC"/>
            <w:vAlign w:val="center"/>
          </w:tcPr>
          <w:p w:rsidR="006E07B9" w:rsidRDefault="006E07B9" w:rsidP="00A13217">
            <w:pPr>
              <w:pStyle w:val="ac"/>
              <w:rPr>
                <w:rFonts w:ascii="Arial" w:hAnsi="Arial" w:cs="Arial"/>
                <w:szCs w:val="18"/>
              </w:rPr>
            </w:pPr>
          </w:p>
        </w:tc>
        <w:tc>
          <w:tcPr>
            <w:tcW w:w="1122" w:type="dxa"/>
            <w:vAlign w:val="center"/>
          </w:tcPr>
          <w:p w:rsidR="006E07B9" w:rsidRDefault="006E07B9" w:rsidP="00A13217">
            <w:pPr>
              <w:pStyle w:val="ac"/>
              <w:rPr>
                <w:rFonts w:ascii="Arial" w:hAnsi="Arial" w:cs="Arial"/>
                <w:szCs w:val="18"/>
              </w:rPr>
            </w:pPr>
            <w:r>
              <w:rPr>
                <w:rFonts w:ascii="Arial" w:hAnsi="Arial" w:cs="Arial" w:hint="eastAsia"/>
                <w:szCs w:val="18"/>
              </w:rPr>
              <w:t>谨慎推荐</w:t>
            </w:r>
          </w:p>
        </w:tc>
        <w:tc>
          <w:tcPr>
            <w:tcW w:w="4560" w:type="dxa"/>
            <w:vAlign w:val="center"/>
          </w:tcPr>
          <w:p w:rsidR="006E07B9" w:rsidRDefault="006E07B9" w:rsidP="00A13217">
            <w:pPr>
              <w:pStyle w:val="ac"/>
              <w:rPr>
                <w:rFonts w:ascii="Arial" w:hAnsi="Arial" w:cs="Arial"/>
                <w:szCs w:val="18"/>
              </w:rPr>
            </w:pPr>
            <w:r>
              <w:rPr>
                <w:rFonts w:ascii="Arial" w:hAnsi="Arial" w:cs="Arial" w:hint="eastAsia"/>
                <w:szCs w:val="18"/>
              </w:rPr>
              <w:t>预计</w:t>
            </w:r>
            <w:r>
              <w:rPr>
                <w:rFonts w:ascii="Arial" w:hAnsi="Arial" w:cs="Arial" w:hint="eastAsia"/>
                <w:szCs w:val="18"/>
              </w:rPr>
              <w:t>6</w:t>
            </w:r>
            <w:r>
              <w:rPr>
                <w:rFonts w:ascii="Arial" w:hAnsi="Arial" w:cs="Arial" w:hint="eastAsia"/>
                <w:szCs w:val="18"/>
              </w:rPr>
              <w:t>个月内，股价表现优于市场指数</w:t>
            </w:r>
            <w:r>
              <w:rPr>
                <w:rFonts w:ascii="Arial" w:hAnsi="Arial" w:cs="Arial" w:hint="eastAsia"/>
                <w:szCs w:val="18"/>
              </w:rPr>
              <w:t>10%-20%</w:t>
            </w:r>
            <w:r>
              <w:rPr>
                <w:rFonts w:ascii="Arial" w:hAnsi="Arial" w:cs="Arial" w:hint="eastAsia"/>
                <w:szCs w:val="18"/>
              </w:rPr>
              <w:t>之间</w:t>
            </w:r>
          </w:p>
        </w:tc>
      </w:tr>
      <w:tr w:rsidR="006E07B9">
        <w:trPr>
          <w:cantSplit/>
          <w:trHeight w:val="293"/>
          <w:jc w:val="right"/>
        </w:trPr>
        <w:tc>
          <w:tcPr>
            <w:tcW w:w="1160" w:type="dxa"/>
            <w:vMerge/>
            <w:vAlign w:val="center"/>
          </w:tcPr>
          <w:p w:rsidR="006E07B9" w:rsidRDefault="006E07B9" w:rsidP="00A13217">
            <w:pPr>
              <w:pStyle w:val="ac"/>
              <w:rPr>
                <w:rFonts w:ascii="Arial" w:hAnsi="Arial" w:cs="Arial"/>
                <w:szCs w:val="18"/>
              </w:rPr>
            </w:pPr>
          </w:p>
        </w:tc>
        <w:tc>
          <w:tcPr>
            <w:tcW w:w="1122" w:type="dxa"/>
            <w:vAlign w:val="center"/>
          </w:tcPr>
          <w:p w:rsidR="006E07B9" w:rsidRDefault="006E07B9" w:rsidP="00A13217">
            <w:pPr>
              <w:pStyle w:val="ac"/>
              <w:rPr>
                <w:rFonts w:ascii="Arial" w:hAnsi="Arial" w:cs="Arial"/>
                <w:szCs w:val="18"/>
              </w:rPr>
            </w:pPr>
            <w:r>
              <w:rPr>
                <w:rFonts w:ascii="Arial" w:hAnsi="Arial" w:cs="Arial" w:hint="eastAsia"/>
                <w:szCs w:val="18"/>
              </w:rPr>
              <w:t>中性</w:t>
            </w:r>
          </w:p>
        </w:tc>
        <w:tc>
          <w:tcPr>
            <w:tcW w:w="4560" w:type="dxa"/>
            <w:vAlign w:val="center"/>
          </w:tcPr>
          <w:p w:rsidR="006E07B9" w:rsidRDefault="006E07B9" w:rsidP="00A13217">
            <w:pPr>
              <w:pStyle w:val="ac"/>
              <w:rPr>
                <w:rFonts w:ascii="Arial" w:hAnsi="Arial" w:cs="Arial"/>
                <w:szCs w:val="18"/>
              </w:rPr>
            </w:pPr>
            <w:r>
              <w:rPr>
                <w:rFonts w:ascii="Arial" w:hAnsi="Arial" w:cs="Arial" w:hint="eastAsia"/>
                <w:szCs w:val="18"/>
              </w:rPr>
              <w:t>预计</w:t>
            </w:r>
            <w:r>
              <w:rPr>
                <w:rFonts w:ascii="Arial" w:hAnsi="Arial" w:cs="Arial" w:hint="eastAsia"/>
                <w:szCs w:val="18"/>
              </w:rPr>
              <w:t>6</w:t>
            </w:r>
            <w:r>
              <w:rPr>
                <w:rFonts w:ascii="Arial" w:hAnsi="Arial" w:cs="Arial" w:hint="eastAsia"/>
                <w:szCs w:val="18"/>
              </w:rPr>
              <w:t>个月内，股价表现介于市场指数±</w:t>
            </w:r>
            <w:r>
              <w:rPr>
                <w:rFonts w:ascii="Arial" w:hAnsi="Arial" w:cs="Arial" w:hint="eastAsia"/>
                <w:szCs w:val="18"/>
              </w:rPr>
              <w:t>10%</w:t>
            </w:r>
            <w:r>
              <w:rPr>
                <w:rFonts w:ascii="Arial" w:hAnsi="Arial" w:cs="Arial" w:hint="eastAsia"/>
                <w:szCs w:val="18"/>
              </w:rPr>
              <w:t>之间</w:t>
            </w:r>
          </w:p>
        </w:tc>
      </w:tr>
      <w:tr w:rsidR="006E07B9">
        <w:trPr>
          <w:cantSplit/>
          <w:trHeight w:val="293"/>
          <w:jc w:val="right"/>
        </w:trPr>
        <w:tc>
          <w:tcPr>
            <w:tcW w:w="1160" w:type="dxa"/>
            <w:vMerge/>
            <w:shd w:val="clear" w:color="auto" w:fill="E4EDFC"/>
            <w:vAlign w:val="center"/>
          </w:tcPr>
          <w:p w:rsidR="006E07B9" w:rsidRDefault="006E07B9" w:rsidP="00A13217">
            <w:pPr>
              <w:pStyle w:val="ac"/>
              <w:rPr>
                <w:rFonts w:ascii="Arial" w:hAnsi="Arial" w:cs="Arial"/>
                <w:szCs w:val="18"/>
              </w:rPr>
            </w:pPr>
          </w:p>
        </w:tc>
        <w:tc>
          <w:tcPr>
            <w:tcW w:w="1122" w:type="dxa"/>
            <w:vAlign w:val="center"/>
          </w:tcPr>
          <w:p w:rsidR="006E07B9" w:rsidRDefault="006E07B9" w:rsidP="00A13217">
            <w:pPr>
              <w:pStyle w:val="ac"/>
              <w:rPr>
                <w:rFonts w:ascii="Arial" w:hAnsi="Arial" w:cs="Arial"/>
                <w:szCs w:val="18"/>
              </w:rPr>
            </w:pPr>
            <w:r>
              <w:rPr>
                <w:rFonts w:ascii="Arial" w:hAnsi="Arial" w:cs="Arial" w:hint="eastAsia"/>
                <w:szCs w:val="18"/>
              </w:rPr>
              <w:t>回避</w:t>
            </w:r>
          </w:p>
        </w:tc>
        <w:tc>
          <w:tcPr>
            <w:tcW w:w="4560" w:type="dxa"/>
            <w:vAlign w:val="center"/>
          </w:tcPr>
          <w:p w:rsidR="006E07B9" w:rsidRDefault="006E07B9" w:rsidP="00A13217">
            <w:pPr>
              <w:pStyle w:val="ac"/>
              <w:rPr>
                <w:rFonts w:ascii="Arial" w:hAnsi="Arial" w:cs="Arial"/>
                <w:szCs w:val="18"/>
              </w:rPr>
            </w:pPr>
            <w:r>
              <w:rPr>
                <w:rFonts w:ascii="Arial" w:hAnsi="Arial" w:cs="Arial" w:hint="eastAsia"/>
                <w:szCs w:val="18"/>
              </w:rPr>
              <w:t>预计</w:t>
            </w:r>
            <w:r>
              <w:rPr>
                <w:rFonts w:ascii="Arial" w:hAnsi="Arial" w:cs="Arial" w:hint="eastAsia"/>
                <w:szCs w:val="18"/>
              </w:rPr>
              <w:t>6</w:t>
            </w:r>
            <w:r>
              <w:rPr>
                <w:rFonts w:ascii="Arial" w:hAnsi="Arial" w:cs="Arial" w:hint="eastAsia"/>
                <w:szCs w:val="18"/>
              </w:rPr>
              <w:t>个月内，股价表现弱于市场指数</w:t>
            </w:r>
            <w:r>
              <w:rPr>
                <w:rFonts w:ascii="Arial" w:hAnsi="Arial" w:cs="Arial" w:hint="eastAsia"/>
                <w:szCs w:val="18"/>
              </w:rPr>
              <w:t>10%</w:t>
            </w:r>
            <w:r>
              <w:rPr>
                <w:rFonts w:ascii="Arial" w:hAnsi="Arial" w:cs="Arial" w:hint="eastAsia"/>
                <w:szCs w:val="18"/>
              </w:rPr>
              <w:t>以上</w:t>
            </w:r>
          </w:p>
        </w:tc>
      </w:tr>
      <w:tr w:rsidR="006E07B9">
        <w:trPr>
          <w:cantSplit/>
          <w:trHeight w:val="293"/>
          <w:jc w:val="right"/>
        </w:trPr>
        <w:tc>
          <w:tcPr>
            <w:tcW w:w="1160" w:type="dxa"/>
            <w:vMerge w:val="restart"/>
            <w:vAlign w:val="center"/>
          </w:tcPr>
          <w:p w:rsidR="006E07B9" w:rsidRDefault="006E07B9" w:rsidP="00A13217">
            <w:pPr>
              <w:pStyle w:val="ac"/>
              <w:rPr>
                <w:rFonts w:ascii="Arial" w:hAnsi="Arial" w:cs="Arial"/>
                <w:szCs w:val="18"/>
              </w:rPr>
            </w:pPr>
            <w:r>
              <w:rPr>
                <w:rFonts w:ascii="Arial" w:hAnsi="Arial" w:cs="Arial" w:hint="eastAsia"/>
                <w:szCs w:val="18"/>
              </w:rPr>
              <w:t>行业</w:t>
            </w:r>
          </w:p>
          <w:p w:rsidR="006E07B9" w:rsidRDefault="006E07B9" w:rsidP="00A13217">
            <w:pPr>
              <w:pStyle w:val="ac"/>
              <w:rPr>
                <w:rFonts w:ascii="Arial" w:hAnsi="Arial" w:cs="Arial"/>
                <w:szCs w:val="18"/>
              </w:rPr>
            </w:pPr>
            <w:r>
              <w:rPr>
                <w:rFonts w:ascii="Arial" w:hAnsi="Arial" w:cs="Arial" w:hint="eastAsia"/>
                <w:szCs w:val="18"/>
              </w:rPr>
              <w:t>投资评级</w:t>
            </w:r>
          </w:p>
        </w:tc>
        <w:tc>
          <w:tcPr>
            <w:tcW w:w="1122" w:type="dxa"/>
            <w:vAlign w:val="center"/>
          </w:tcPr>
          <w:p w:rsidR="006E07B9" w:rsidRDefault="006E07B9" w:rsidP="00A13217">
            <w:pPr>
              <w:pStyle w:val="ac"/>
              <w:rPr>
                <w:rFonts w:ascii="Arial" w:hAnsi="Arial" w:cs="Arial"/>
                <w:szCs w:val="18"/>
              </w:rPr>
            </w:pPr>
            <w:r>
              <w:rPr>
                <w:rFonts w:ascii="Arial" w:hAnsi="Arial" w:cs="Arial" w:hint="eastAsia"/>
                <w:szCs w:val="18"/>
              </w:rPr>
              <w:t>推荐</w:t>
            </w:r>
          </w:p>
        </w:tc>
        <w:tc>
          <w:tcPr>
            <w:tcW w:w="4560" w:type="dxa"/>
            <w:vAlign w:val="center"/>
          </w:tcPr>
          <w:p w:rsidR="006E07B9" w:rsidRDefault="006E07B9" w:rsidP="00A13217">
            <w:pPr>
              <w:pStyle w:val="ac"/>
              <w:rPr>
                <w:rFonts w:ascii="Arial" w:hAnsi="Arial" w:cs="Arial"/>
                <w:szCs w:val="18"/>
              </w:rPr>
            </w:pPr>
            <w:r>
              <w:rPr>
                <w:rFonts w:ascii="Arial" w:hAnsi="Arial" w:cs="Arial" w:hint="eastAsia"/>
                <w:szCs w:val="18"/>
              </w:rPr>
              <w:t>预计</w:t>
            </w:r>
            <w:r>
              <w:rPr>
                <w:rFonts w:ascii="Arial" w:hAnsi="Arial" w:cs="Arial" w:hint="eastAsia"/>
                <w:szCs w:val="18"/>
              </w:rPr>
              <w:t>6</w:t>
            </w:r>
            <w:r>
              <w:rPr>
                <w:rFonts w:ascii="Arial" w:hAnsi="Arial" w:cs="Arial" w:hint="eastAsia"/>
                <w:szCs w:val="18"/>
              </w:rPr>
              <w:t>个月内，行业指数表现优于市场指数</w:t>
            </w:r>
            <w:r>
              <w:rPr>
                <w:rFonts w:ascii="Arial" w:hAnsi="Arial" w:cs="Arial" w:hint="eastAsia"/>
                <w:szCs w:val="18"/>
              </w:rPr>
              <w:t>10%</w:t>
            </w:r>
            <w:r>
              <w:rPr>
                <w:rFonts w:ascii="Arial" w:hAnsi="Arial" w:cs="Arial" w:hint="eastAsia"/>
                <w:szCs w:val="18"/>
              </w:rPr>
              <w:t>以上</w:t>
            </w:r>
          </w:p>
        </w:tc>
      </w:tr>
      <w:tr w:rsidR="006E07B9">
        <w:trPr>
          <w:cantSplit/>
          <w:trHeight w:val="293"/>
          <w:jc w:val="right"/>
        </w:trPr>
        <w:tc>
          <w:tcPr>
            <w:tcW w:w="1160" w:type="dxa"/>
            <w:vMerge/>
            <w:vAlign w:val="center"/>
          </w:tcPr>
          <w:p w:rsidR="006E07B9" w:rsidRDefault="006E07B9" w:rsidP="00A13217">
            <w:pPr>
              <w:pStyle w:val="ac"/>
              <w:rPr>
                <w:rFonts w:ascii="Arial" w:hAnsi="Arial" w:cs="Arial"/>
                <w:szCs w:val="18"/>
              </w:rPr>
            </w:pPr>
          </w:p>
        </w:tc>
        <w:tc>
          <w:tcPr>
            <w:tcW w:w="1122" w:type="dxa"/>
            <w:vAlign w:val="center"/>
          </w:tcPr>
          <w:p w:rsidR="006E07B9" w:rsidRDefault="006E07B9" w:rsidP="00A13217">
            <w:pPr>
              <w:pStyle w:val="ac"/>
              <w:rPr>
                <w:rFonts w:ascii="Arial" w:hAnsi="Arial" w:cs="Arial"/>
                <w:szCs w:val="18"/>
              </w:rPr>
            </w:pPr>
            <w:r>
              <w:rPr>
                <w:rFonts w:ascii="Arial" w:hAnsi="Arial" w:cs="Arial" w:hint="eastAsia"/>
                <w:szCs w:val="18"/>
              </w:rPr>
              <w:t>谨慎推荐</w:t>
            </w:r>
          </w:p>
        </w:tc>
        <w:tc>
          <w:tcPr>
            <w:tcW w:w="4560" w:type="dxa"/>
            <w:vAlign w:val="center"/>
          </w:tcPr>
          <w:p w:rsidR="006E07B9" w:rsidRDefault="006E07B9" w:rsidP="00A13217">
            <w:pPr>
              <w:pStyle w:val="ac"/>
              <w:rPr>
                <w:rFonts w:ascii="Arial" w:hAnsi="Arial" w:cs="Arial"/>
                <w:szCs w:val="18"/>
              </w:rPr>
            </w:pPr>
            <w:r>
              <w:rPr>
                <w:rFonts w:ascii="Arial" w:hAnsi="Arial" w:cs="Arial" w:hint="eastAsia"/>
                <w:szCs w:val="18"/>
              </w:rPr>
              <w:t>预计</w:t>
            </w:r>
            <w:r>
              <w:rPr>
                <w:rFonts w:ascii="Arial" w:hAnsi="Arial" w:cs="Arial" w:hint="eastAsia"/>
                <w:szCs w:val="18"/>
              </w:rPr>
              <w:t>6</w:t>
            </w:r>
            <w:r>
              <w:rPr>
                <w:rFonts w:ascii="Arial" w:hAnsi="Arial" w:cs="Arial" w:hint="eastAsia"/>
                <w:szCs w:val="18"/>
              </w:rPr>
              <w:t>个月内，行业指数表现优于市场指数</w:t>
            </w:r>
            <w:r>
              <w:rPr>
                <w:rFonts w:ascii="Arial" w:hAnsi="Arial" w:cs="Arial" w:hint="eastAsia"/>
                <w:szCs w:val="18"/>
              </w:rPr>
              <w:t>5%-10</w:t>
            </w:r>
            <w:r w:rsidR="0008673E">
              <w:rPr>
                <w:rFonts w:ascii="Arial" w:hAnsi="Arial" w:cs="Arial" w:hint="eastAsia"/>
                <w:szCs w:val="18"/>
              </w:rPr>
              <w:t>%</w:t>
            </w:r>
            <w:r>
              <w:rPr>
                <w:rFonts w:ascii="Arial" w:hAnsi="Arial" w:cs="Arial" w:hint="eastAsia"/>
                <w:szCs w:val="18"/>
              </w:rPr>
              <w:t>之间</w:t>
            </w:r>
          </w:p>
        </w:tc>
      </w:tr>
      <w:tr w:rsidR="006E07B9">
        <w:trPr>
          <w:cantSplit/>
          <w:trHeight w:val="307"/>
          <w:jc w:val="right"/>
        </w:trPr>
        <w:tc>
          <w:tcPr>
            <w:tcW w:w="1160" w:type="dxa"/>
            <w:vMerge/>
            <w:shd w:val="clear" w:color="auto" w:fill="E4EDFC"/>
            <w:vAlign w:val="center"/>
          </w:tcPr>
          <w:p w:rsidR="006E07B9" w:rsidRDefault="006E07B9" w:rsidP="00A13217">
            <w:pPr>
              <w:pStyle w:val="ac"/>
              <w:rPr>
                <w:rFonts w:ascii="Arial" w:hAnsi="Arial" w:cs="Arial"/>
                <w:szCs w:val="18"/>
              </w:rPr>
            </w:pPr>
          </w:p>
        </w:tc>
        <w:tc>
          <w:tcPr>
            <w:tcW w:w="1122" w:type="dxa"/>
            <w:vAlign w:val="center"/>
          </w:tcPr>
          <w:p w:rsidR="006E07B9" w:rsidRDefault="006E07B9" w:rsidP="00A13217">
            <w:pPr>
              <w:pStyle w:val="ac"/>
              <w:rPr>
                <w:rFonts w:ascii="Arial" w:hAnsi="Arial" w:cs="Arial"/>
                <w:szCs w:val="18"/>
              </w:rPr>
            </w:pPr>
            <w:r>
              <w:rPr>
                <w:rFonts w:ascii="Arial" w:hAnsi="Arial" w:cs="Arial" w:hint="eastAsia"/>
                <w:szCs w:val="18"/>
              </w:rPr>
              <w:t>中性</w:t>
            </w:r>
          </w:p>
        </w:tc>
        <w:tc>
          <w:tcPr>
            <w:tcW w:w="4560" w:type="dxa"/>
            <w:vAlign w:val="center"/>
          </w:tcPr>
          <w:p w:rsidR="006E07B9" w:rsidRDefault="006E07B9" w:rsidP="00A13217">
            <w:pPr>
              <w:pStyle w:val="ac"/>
              <w:rPr>
                <w:rFonts w:ascii="Arial" w:hAnsi="Arial" w:cs="Arial"/>
                <w:szCs w:val="18"/>
              </w:rPr>
            </w:pPr>
            <w:r>
              <w:rPr>
                <w:rFonts w:ascii="Arial" w:hAnsi="Arial" w:cs="Arial" w:hint="eastAsia"/>
                <w:szCs w:val="18"/>
              </w:rPr>
              <w:t>预计</w:t>
            </w:r>
            <w:r>
              <w:rPr>
                <w:rFonts w:ascii="Arial" w:hAnsi="Arial" w:cs="Arial" w:hint="eastAsia"/>
                <w:szCs w:val="18"/>
              </w:rPr>
              <w:t>6</w:t>
            </w:r>
            <w:r>
              <w:rPr>
                <w:rFonts w:ascii="Arial" w:hAnsi="Arial" w:cs="Arial" w:hint="eastAsia"/>
                <w:szCs w:val="18"/>
              </w:rPr>
              <w:t>个月内，行业指数表现介于市场指数±</w:t>
            </w:r>
            <w:r>
              <w:rPr>
                <w:rFonts w:ascii="Arial" w:hAnsi="Arial" w:cs="Arial" w:hint="eastAsia"/>
                <w:szCs w:val="18"/>
              </w:rPr>
              <w:t>5%</w:t>
            </w:r>
            <w:r>
              <w:rPr>
                <w:rFonts w:ascii="Arial" w:hAnsi="Arial" w:cs="Arial" w:hint="eastAsia"/>
                <w:szCs w:val="18"/>
              </w:rPr>
              <w:t>之间</w:t>
            </w:r>
          </w:p>
        </w:tc>
      </w:tr>
      <w:tr w:rsidR="006E07B9">
        <w:trPr>
          <w:cantSplit/>
          <w:trHeight w:val="307"/>
          <w:jc w:val="right"/>
        </w:trPr>
        <w:tc>
          <w:tcPr>
            <w:tcW w:w="1160" w:type="dxa"/>
            <w:vMerge/>
            <w:shd w:val="clear" w:color="auto" w:fill="E4EDFC"/>
            <w:vAlign w:val="center"/>
          </w:tcPr>
          <w:p w:rsidR="006E07B9" w:rsidRDefault="006E07B9" w:rsidP="00A13217">
            <w:pPr>
              <w:pStyle w:val="ac"/>
              <w:rPr>
                <w:rFonts w:ascii="Arial" w:hAnsi="Arial" w:cs="Arial"/>
                <w:szCs w:val="18"/>
              </w:rPr>
            </w:pPr>
          </w:p>
        </w:tc>
        <w:tc>
          <w:tcPr>
            <w:tcW w:w="1122" w:type="dxa"/>
            <w:vAlign w:val="center"/>
          </w:tcPr>
          <w:p w:rsidR="006E07B9" w:rsidRDefault="006E07B9" w:rsidP="00A13217">
            <w:pPr>
              <w:pStyle w:val="ac"/>
              <w:rPr>
                <w:rFonts w:ascii="Arial" w:hAnsi="Arial" w:cs="Arial"/>
                <w:szCs w:val="18"/>
              </w:rPr>
            </w:pPr>
            <w:r>
              <w:rPr>
                <w:rFonts w:ascii="Arial" w:hAnsi="Arial" w:cs="Arial" w:hint="eastAsia"/>
                <w:szCs w:val="18"/>
              </w:rPr>
              <w:t>回避</w:t>
            </w:r>
          </w:p>
        </w:tc>
        <w:tc>
          <w:tcPr>
            <w:tcW w:w="4560" w:type="dxa"/>
            <w:vAlign w:val="center"/>
          </w:tcPr>
          <w:p w:rsidR="006E07B9" w:rsidRDefault="006E07B9" w:rsidP="00A13217">
            <w:pPr>
              <w:pStyle w:val="ac"/>
              <w:rPr>
                <w:rFonts w:ascii="Arial" w:hAnsi="Arial" w:cs="Arial"/>
                <w:szCs w:val="18"/>
              </w:rPr>
            </w:pPr>
            <w:r>
              <w:rPr>
                <w:rFonts w:ascii="Arial" w:hAnsi="Arial" w:cs="Arial" w:hint="eastAsia"/>
                <w:szCs w:val="18"/>
              </w:rPr>
              <w:t>预计</w:t>
            </w:r>
            <w:r>
              <w:rPr>
                <w:rFonts w:ascii="Arial" w:hAnsi="Arial" w:cs="Arial" w:hint="eastAsia"/>
                <w:szCs w:val="18"/>
              </w:rPr>
              <w:t>6</w:t>
            </w:r>
            <w:r>
              <w:rPr>
                <w:rFonts w:ascii="Arial" w:hAnsi="Arial" w:cs="Arial" w:hint="eastAsia"/>
                <w:szCs w:val="18"/>
              </w:rPr>
              <w:t>个月内，行业指数表现弱于市场指数</w:t>
            </w:r>
            <w:r>
              <w:rPr>
                <w:rFonts w:ascii="Arial" w:hAnsi="Arial" w:cs="Arial" w:hint="eastAsia"/>
                <w:szCs w:val="18"/>
              </w:rPr>
              <w:t>5%</w:t>
            </w:r>
            <w:r>
              <w:rPr>
                <w:rFonts w:ascii="Arial" w:hAnsi="Arial" w:cs="Arial" w:hint="eastAsia"/>
                <w:szCs w:val="18"/>
              </w:rPr>
              <w:t>以上</w:t>
            </w:r>
          </w:p>
        </w:tc>
      </w:tr>
    </w:tbl>
    <w:p w:rsidR="00AE51A2" w:rsidRPr="00AE51A2" w:rsidRDefault="00AE51A2" w:rsidP="00522590">
      <w:pPr>
        <w:pStyle w:val="ab"/>
        <w:spacing w:beforeLines="80" w:afterLines="30"/>
        <w:ind w:leftChars="1542" w:left="3238" w:firstLineChars="0" w:firstLine="0"/>
        <w:rPr>
          <w:sz w:val="24"/>
        </w:rPr>
      </w:pPr>
      <w:r>
        <w:rPr>
          <w:rFonts w:hint="eastAsia"/>
          <w:sz w:val="24"/>
        </w:rPr>
        <w:t>分析师承诺</w:t>
      </w:r>
      <w:r w:rsidRPr="00AE51A2">
        <w:rPr>
          <w:rFonts w:hint="eastAsia"/>
          <w:sz w:val="24"/>
        </w:rPr>
        <w:t>：</w:t>
      </w:r>
    </w:p>
    <w:sdt>
      <w:sdtPr>
        <w:alias w:val="分析师承诺"/>
        <w:tag w:val="GACONTENTCONTROL_abb3a878-d551-42d8-b9c6-a280e54c03a5"/>
        <w:id w:val="51246759"/>
        <w:placeholder>
          <w:docPart w:val="A8CB1382C3674A0987C418E82A42970D"/>
        </w:placeholder>
      </w:sdtPr>
      <w:sdtContent>
        <w:p w:rsidR="00AE51A2" w:rsidRPr="0010409A" w:rsidRDefault="0018022D" w:rsidP="0073680C">
          <w:pPr>
            <w:pStyle w:val="a9"/>
            <w:spacing w:before="62" w:afterLines="0" w:line="300" w:lineRule="exact"/>
            <w:ind w:leftChars="1542" w:left="3238" w:firstLine="0"/>
          </w:pPr>
          <w:r>
            <w:rPr>
              <w:rFonts w:hint="eastAsia"/>
            </w:rPr>
            <w:t>作者保证报告所采用的数据均来自合</w:t>
          </w:r>
          <w:proofErr w:type="gramStart"/>
          <w:r>
            <w:rPr>
              <w:rFonts w:hint="eastAsia"/>
            </w:rPr>
            <w:t>规</w:t>
          </w:r>
          <w:proofErr w:type="gramEnd"/>
          <w:r>
            <w:rPr>
              <w:rFonts w:hint="eastAsia"/>
            </w:rPr>
            <w:t>渠道，分析逻辑基于本人的职业理解，通过合理判断并得出结论，力求客观、公正，结论不受任何第三方的授意、影响，特此声明。</w:t>
          </w:r>
        </w:p>
      </w:sdtContent>
    </w:sdt>
    <w:p w:rsidR="00AE51A2" w:rsidRDefault="00FE7F52" w:rsidP="00522590">
      <w:pPr>
        <w:pStyle w:val="ab"/>
        <w:spacing w:beforeLines="80" w:afterLines="30"/>
        <w:ind w:leftChars="1542" w:left="3238" w:firstLineChars="0" w:firstLine="0"/>
        <w:rPr>
          <w:sz w:val="24"/>
        </w:rPr>
      </w:pPr>
      <w:r>
        <w:rPr>
          <w:rFonts w:hint="eastAsia"/>
          <w:sz w:val="24"/>
        </w:rPr>
        <w:t>风险提示</w:t>
      </w:r>
      <w:r w:rsidR="009D18CC">
        <w:rPr>
          <w:rFonts w:hint="eastAsia"/>
          <w:sz w:val="24"/>
        </w:rPr>
        <w:t>:</w:t>
      </w:r>
    </w:p>
    <w:sdt>
      <w:sdtPr>
        <w:alias w:val="风险提示"/>
        <w:tag w:val="GACONTENTCONTROL_f133c875-21ba-4c01-8a50-ca42972dbc9d"/>
        <w:id w:val="51246755"/>
        <w:placeholder>
          <w:docPart w:val="1E9BBDF3EFC94603AF3DA668306F05C2"/>
        </w:placeholder>
      </w:sdtPr>
      <w:sdtContent>
        <w:p w:rsidR="00AE51A2" w:rsidRDefault="0018022D" w:rsidP="0073680C">
          <w:pPr>
            <w:pStyle w:val="a9"/>
            <w:spacing w:before="62" w:afterLines="0" w:line="300" w:lineRule="exact"/>
            <w:ind w:leftChars="1542" w:left="3238" w:firstLine="0"/>
          </w:pPr>
          <w:r>
            <w:rPr>
              <w:rFonts w:hint="eastAsia"/>
            </w:rPr>
            <w:t>本报告信息均来源于公开资料，我公司对这些信息的准确性和完整性不作任何保证。报告中的内容和意见仅供参考，并不构成对所述证券买卖的出价或询价。我公司及其雇员对使用本报告及其内容所引发的任何直接或间接损失概不负责。我公司或关联机构可能会持有报告中所提到的公司所发行的证券头寸并进行交易，还可能为这些公司提供或争取提供投资银行业务服务。本报告版权</w:t>
          </w:r>
          <w:proofErr w:type="gramStart"/>
          <w:r>
            <w:rPr>
              <w:rFonts w:hint="eastAsia"/>
            </w:rPr>
            <w:t>归国信</w:t>
          </w:r>
          <w:proofErr w:type="gramEnd"/>
          <w:r>
            <w:rPr>
              <w:rFonts w:hint="eastAsia"/>
            </w:rPr>
            <w:t>证券所有，未经书面许可任何机构和个人不得以任何形式翻版、复制、刊登。</w:t>
          </w:r>
        </w:p>
      </w:sdtContent>
    </w:sdt>
    <w:p w:rsidR="00E711AE" w:rsidRDefault="00E711AE" w:rsidP="00522590">
      <w:pPr>
        <w:pStyle w:val="ab"/>
        <w:spacing w:beforeLines="80" w:afterLines="30"/>
        <w:ind w:leftChars="1542" w:left="3238" w:firstLineChars="0" w:firstLine="0"/>
        <w:rPr>
          <w:sz w:val="24"/>
        </w:rPr>
      </w:pPr>
      <w:r>
        <w:rPr>
          <w:rFonts w:hint="eastAsia"/>
          <w:sz w:val="24"/>
        </w:rPr>
        <w:t>证券投资咨询业务的说明</w:t>
      </w:r>
      <w:r>
        <w:rPr>
          <w:rFonts w:hint="eastAsia"/>
          <w:sz w:val="24"/>
        </w:rPr>
        <w:t>:</w:t>
      </w:r>
    </w:p>
    <w:sdt>
      <w:sdtPr>
        <w:alias w:val="投资说明"/>
        <w:tag w:val="GACONTENTCONTROL_1ec1048f-48ef-4439-bddf-4cc024259111"/>
        <w:id w:val="51246751"/>
        <w:placeholder>
          <w:docPart w:val="D9B7AB269964474487CB278D73523F1E"/>
        </w:placeholder>
      </w:sdtPr>
      <w:sdtContent>
        <w:p w:rsidR="0018022D" w:rsidRDefault="0018022D" w:rsidP="0073680C">
          <w:pPr>
            <w:pStyle w:val="a9"/>
            <w:spacing w:before="62" w:afterLines="0" w:line="300" w:lineRule="exact"/>
            <w:ind w:leftChars="1542" w:left="3238" w:firstLine="0"/>
          </w:pPr>
          <w:r>
            <w:rPr>
              <w:rFonts w:hint="eastAsia"/>
            </w:rPr>
            <w:t>证券投资咨询业务是指取得监管部门颁发的相关资格的机构及其咨询人员为证券投资者或客户提供证券投资的相关信息、分析、预测或建议，并直接或间接收取服务费用的活动。</w:t>
          </w:r>
        </w:p>
        <w:p w:rsidR="00564F6B" w:rsidRPr="0010409A" w:rsidRDefault="0018022D" w:rsidP="0073680C">
          <w:pPr>
            <w:pStyle w:val="a9"/>
            <w:spacing w:before="62" w:afterLines="0" w:line="300" w:lineRule="exact"/>
            <w:ind w:leftChars="1542" w:left="3238" w:firstLine="0"/>
          </w:pPr>
          <w:r>
            <w:rPr>
              <w:rFonts w:hint="eastAsia"/>
            </w:rPr>
            <w:t>证券研究报告是证券投资咨询业务的一种基本形式，指证券公司、证券投资咨询机构对证券及证券相关产品的价值、市场走势或者相关影响因素进行分析，形成证券估值、投资评级等投资分析意见，制作证券研究报告，并向客户发布的行为。</w:t>
          </w:r>
        </w:p>
      </w:sdtContent>
    </w:sdt>
    <w:p w:rsidR="00AE51A2" w:rsidRPr="00AE51A2" w:rsidRDefault="00AE51A2" w:rsidP="0066321C">
      <w:pPr>
        <w:pStyle w:val="A40"/>
        <w:spacing w:beforeLines="0"/>
        <w:ind w:firstLineChars="0" w:firstLine="0"/>
      </w:pPr>
    </w:p>
    <w:sectPr w:rsidR="00AE51A2" w:rsidRPr="00AE51A2" w:rsidSect="00806BCE">
      <w:headerReference w:type="even" r:id="rId10"/>
      <w:headerReference w:type="default" r:id="rId11"/>
      <w:footerReference w:type="even" r:id="rId12"/>
      <w:footerReference w:type="default" r:id="rId13"/>
      <w:headerReference w:type="first" r:id="rId14"/>
      <w:footerReference w:type="first" r:id="rId15"/>
      <w:pgSz w:w="11906" w:h="16838" w:code="9"/>
      <w:pgMar w:top="1701" w:right="748" w:bottom="1418" w:left="1134"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DE9" w:rsidRDefault="000D1DE9">
      <w:r>
        <w:separator/>
      </w:r>
    </w:p>
  </w:endnote>
  <w:endnote w:type="continuationSeparator" w:id="0">
    <w:p w:rsidR="000D1DE9" w:rsidRDefault="000D1D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7A" w:rsidRDefault="00547A2C">
    <w:pPr>
      <w:rPr>
        <w:sz w:val="13"/>
      </w:rPr>
    </w:pPr>
    <w:r w:rsidRPr="00547A2C">
      <w:rPr>
        <w:noProof/>
      </w:rPr>
      <w:pict>
        <v:group id="Group 55" o:spid="_x0000_s2052" style="position:absolute;left:0;text-align:left;margin-left:0;margin-top:3.15pt;width:507pt;height:31.2pt;z-index:251652608" coordorigin="1074,14848" coordsize="972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">
          <v:line id="Line 56" o:spid="_x0000_s2054" style="position:absolute;visibility:visible" from="1074,14848" to="10794,1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57" o:spid="_x0000_s2053" style="position:absolute;visibility:visible" from="1074,15472" to="10794,1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w:r>
  </w:p>
  <w:p w:rsidR="006D697A" w:rsidRDefault="006D697A">
    <w:pPr>
      <w:pStyle w:val="a5"/>
      <w:rPr>
        <w:rFonts w:eastAsia="黑体"/>
      </w:rPr>
    </w:pPr>
    <w:r>
      <w:rPr>
        <w:rFonts w:eastAsia="黑体" w:hint="eastAsia"/>
      </w:rPr>
      <w:t>本报告信息均来源于公开资料，我公司对这些信息的准确性和完整性不作任何保证。报告中的内容和意见仅供参考，并不构成对所述证券买卖的出价</w:t>
    </w:r>
    <w:proofErr w:type="gramStart"/>
    <w:r>
      <w:rPr>
        <w:rFonts w:eastAsia="黑体" w:hint="eastAsia"/>
      </w:rPr>
      <w:t>或征价</w:t>
    </w:r>
    <w:proofErr w:type="gramEnd"/>
    <w:r>
      <w:rPr>
        <w:rFonts w:eastAsia="黑体" w:hint="eastAsia"/>
      </w:rPr>
      <w:t>。我公司及其雇员对使用本报告及其内容所引发的任何直接或间接损失概不负责。我公司或关联机构可能会持有报告中所提到的公司所发行的证券头寸并进行交易，还可能为这些公司提供或争取提供投资银行业务服务。本报告版权</w:t>
    </w:r>
    <w:proofErr w:type="gramStart"/>
    <w:r>
      <w:rPr>
        <w:rFonts w:eastAsia="黑体" w:hint="eastAsia"/>
      </w:rPr>
      <w:t>归国信</w:t>
    </w:r>
    <w:proofErr w:type="gramEnd"/>
    <w:r>
      <w:rPr>
        <w:rFonts w:eastAsia="黑体" w:hint="eastAsia"/>
      </w:rPr>
      <w:t>证券所有，未经书面许可任何机构和个人不得以任何形式翻版、复制、刊登。</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7A" w:rsidRPr="0093283F" w:rsidRDefault="00547A2C" w:rsidP="0093283F">
    <w:pPr>
      <w:pStyle w:val="a4"/>
    </w:pPr>
    <w:r w:rsidRPr="00547A2C">
      <w:rPr>
        <w:rFonts w:ascii="楷体_GB2312" w:eastAsia="楷体_GB2312"/>
        <w:noProof/>
        <w:color w:val="000000"/>
        <w:szCs w:val="21"/>
      </w:rPr>
      <w:pict>
        <v:line id="Line 94" o:spid="_x0000_s2051" style="position:absolute;z-index:251661824;visibility:visible" from="-2.25pt,-4.7pt" to="501.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UFQIAACoEAAAOAAAAZHJzL2Uyb0RvYy54bWysU8GO2jAQvVfqP1i+QxLIUh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" strokecolor="#339" strokeweight="1.5pt"/>
      </w:pict>
    </w:r>
    <w:r w:rsidR="006D697A" w:rsidRPr="0093283F">
      <w:rPr>
        <w:rFonts w:ascii="楷体_GB2312" w:eastAsia="楷体_GB2312" w:hint="eastAsia"/>
        <w:color w:val="000000"/>
        <w:szCs w:val="21"/>
      </w:rPr>
      <w:t>请务必阅读正文之后的免责条款部分</w:t>
    </w:r>
    <w:r w:rsidR="006D697A">
      <w:rPr>
        <w:rFonts w:hint="eastAsia"/>
      </w:rPr>
      <w:t xml:space="preserve">                                                             </w:t>
    </w:r>
    <w:r w:rsidR="006D697A" w:rsidRPr="0093283F">
      <w:rPr>
        <w:rFonts w:ascii="楷体_GB2312" w:eastAsia="楷体_GB2312" w:hint="eastAsia"/>
        <w:b/>
        <w:bCs/>
        <w:i/>
        <w:iCs/>
        <w:noProof/>
        <w:color w:val="000000"/>
        <w:szCs w:val="15"/>
      </w:rPr>
      <w:t>全球视野 本土智慧</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7A" w:rsidRDefault="00547A2C">
    <w:pPr>
      <w:rPr>
        <w:sz w:val="13"/>
      </w:rPr>
    </w:pPr>
    <w:r w:rsidRPr="00547A2C">
      <w:rPr>
        <w:rFonts w:eastAsia="楷体_GB2312"/>
        <w:bCs/>
        <w:iCs/>
        <w:noProof/>
        <w:sz w:val="18"/>
        <w:szCs w:val="18"/>
      </w:rPr>
      <w:pict>
        <v:line id="Line 95" o:spid="_x0000_s2049" style="position:absolute;left:0;text-align:left;z-index:251662848;visibility:visible" from="-1.5pt,5.95pt" to="50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" strokecolor="#339" strokeweight="1.5pt"/>
      </w:pict>
    </w:r>
  </w:p>
  <w:p w:rsidR="006D697A" w:rsidRPr="00A01034" w:rsidRDefault="006D697A" w:rsidP="00522590">
    <w:pPr>
      <w:pStyle w:val="a5"/>
      <w:wordWrap w:val="0"/>
      <w:spacing w:beforeLines="20"/>
      <w:ind w:right="360"/>
      <w:rPr>
        <w:rFonts w:ascii="Arial" w:eastAsia="楷体_GB2312" w:hAnsi="Arial" w:cs="Arial"/>
        <w:sz w:val="18"/>
        <w:szCs w:val="18"/>
      </w:rPr>
    </w:pPr>
    <w:r w:rsidRPr="00A01034">
      <w:rPr>
        <w:rFonts w:eastAsia="楷体_GB2312" w:hint="eastAsia"/>
        <w:bCs/>
        <w:iCs/>
        <w:sz w:val="18"/>
        <w:szCs w:val="18"/>
      </w:rPr>
      <w:t>请务必阅读正文之后的免责条款部分</w:t>
    </w:r>
    <w:r w:rsidRPr="00A01034">
      <w:rPr>
        <w:rFonts w:eastAsia="楷体_GB2312" w:hint="eastAsia"/>
        <w:b/>
        <w:bCs/>
        <w:i/>
        <w:iCs/>
        <w:sz w:val="18"/>
        <w:szCs w:val="18"/>
      </w:rPr>
      <w:t xml:space="preserve">                                            </w:t>
    </w:r>
    <w:r>
      <w:rPr>
        <w:rFonts w:eastAsia="楷体_GB2312" w:hint="eastAsia"/>
        <w:b/>
        <w:bCs/>
        <w:i/>
        <w:iCs/>
        <w:sz w:val="18"/>
        <w:szCs w:val="18"/>
      </w:rPr>
      <w:t xml:space="preserve">            </w:t>
    </w:r>
    <w:r w:rsidRPr="00A01034">
      <w:rPr>
        <w:rFonts w:eastAsia="楷体_GB2312" w:hint="eastAsia"/>
        <w:b/>
        <w:bCs/>
        <w:i/>
        <w:iCs/>
        <w:sz w:val="18"/>
        <w:szCs w:val="18"/>
      </w:rPr>
      <w:t xml:space="preserve"> </w:t>
    </w:r>
    <w:r w:rsidRPr="00A01034">
      <w:rPr>
        <w:rFonts w:eastAsia="楷体_GB2312" w:hint="eastAsia"/>
        <w:b/>
        <w:bCs/>
        <w:i/>
        <w:iCs/>
        <w:sz w:val="18"/>
        <w:szCs w:val="18"/>
      </w:rPr>
      <w:t>全球视野</w:t>
    </w:r>
    <w:r w:rsidRPr="00A01034">
      <w:rPr>
        <w:rFonts w:eastAsia="楷体_GB2312" w:hint="eastAsia"/>
        <w:b/>
        <w:bCs/>
        <w:i/>
        <w:iCs/>
        <w:sz w:val="18"/>
        <w:szCs w:val="18"/>
      </w:rPr>
      <w:t xml:space="preserve">  </w:t>
    </w:r>
    <w:r w:rsidRPr="00A01034">
      <w:rPr>
        <w:rFonts w:eastAsia="楷体_GB2312" w:hint="eastAsia"/>
        <w:b/>
        <w:bCs/>
        <w:i/>
        <w:iCs/>
        <w:sz w:val="18"/>
        <w:szCs w:val="18"/>
      </w:rPr>
      <w:t>本土智慧</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DE9" w:rsidRDefault="000D1DE9">
      <w:r>
        <w:separator/>
      </w:r>
    </w:p>
  </w:footnote>
  <w:footnote w:type="continuationSeparator" w:id="0">
    <w:p w:rsidR="000D1DE9" w:rsidRDefault="000D1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7A" w:rsidRDefault="006D697A">
    <w:pPr>
      <w:pStyle w:val="a3"/>
      <w:framePr w:w="902" w:h="271" w:hRule="exact" w:wrap="around" w:vAnchor="text" w:hAnchor="page" w:x="9775" w:y="800"/>
      <w:spacing w:line="0" w:lineRule="atLeast"/>
      <w:jc w:val="both"/>
      <w:rPr>
        <w:rStyle w:val="a6"/>
        <w:rFonts w:ascii="Arial" w:hAnsi="Arial" w:cs="Arial"/>
        <w:sz w:val="15"/>
      </w:rPr>
    </w:pPr>
    <w:proofErr w:type="gramStart"/>
    <w:r>
      <w:rPr>
        <w:rStyle w:val="a6"/>
        <w:rFonts w:ascii="Arial" w:hAnsi="Arial" w:cs="Arial" w:hint="eastAsia"/>
        <w:sz w:val="15"/>
      </w:rPr>
      <w:t xml:space="preserve">Page  </w:t>
    </w:r>
    <w:proofErr w:type="gramEnd"/>
    <w:r w:rsidR="00547A2C">
      <w:rPr>
        <w:rStyle w:val="a6"/>
        <w:rFonts w:ascii="Arial" w:hAnsi="Arial" w:cs="Arial"/>
        <w:sz w:val="15"/>
      </w:rPr>
      <w:fldChar w:fldCharType="begin"/>
    </w:r>
    <w:r>
      <w:rPr>
        <w:rStyle w:val="a6"/>
        <w:rFonts w:ascii="Arial" w:hAnsi="Arial" w:cs="Arial"/>
        <w:sz w:val="15"/>
      </w:rPr>
      <w:instrText xml:space="preserve">PAGE  </w:instrText>
    </w:r>
    <w:r w:rsidR="00547A2C">
      <w:rPr>
        <w:rStyle w:val="a6"/>
        <w:rFonts w:ascii="Arial" w:hAnsi="Arial" w:cs="Arial"/>
        <w:sz w:val="15"/>
      </w:rPr>
      <w:fldChar w:fldCharType="separate"/>
    </w:r>
    <w:r>
      <w:rPr>
        <w:rStyle w:val="a6"/>
        <w:rFonts w:ascii="Arial" w:hAnsi="Arial" w:cs="Arial"/>
        <w:noProof/>
        <w:sz w:val="15"/>
      </w:rPr>
      <w:t>2</w:t>
    </w:r>
    <w:r w:rsidR="00547A2C">
      <w:rPr>
        <w:rStyle w:val="a6"/>
        <w:rFonts w:ascii="Arial" w:hAnsi="Arial" w:cs="Arial"/>
        <w:sz w:val="15"/>
      </w:rPr>
      <w:fldChar w:fldCharType="end"/>
    </w:r>
  </w:p>
  <w:p w:rsidR="006D697A" w:rsidRDefault="00547A2C">
    <w:pPr>
      <w:pStyle w:val="a3"/>
    </w:pPr>
    <w:r w:rsidRPr="00547A2C">
      <w:rPr>
        <w:noProof/>
        <w:sz w:val="20"/>
      </w:rPr>
      <w:pict>
        <v:rect id="Rectangle 60" o:spid="_x0000_s2058" style="position:absolute;left:0;text-align:left;margin-left:429pt;margin-top:38.85pt;width:1in;height:12.1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"/>
      </w:pict>
    </w:r>
    <w:r w:rsidR="006D697A">
      <w:rPr>
        <w:noProof/>
        <w:sz w:val="20"/>
      </w:rPr>
      <w:drawing>
        <wp:anchor distT="0" distB="0" distL="114300" distR="114300" simplePos="0" relativeHeight="251654656" behindDoc="0" locked="0" layoutInCell="1" allowOverlap="1">
          <wp:simplePos x="0" y="0"/>
          <wp:positionH relativeFrom="column">
            <wp:posOffset>-34290</wp:posOffset>
          </wp:positionH>
          <wp:positionV relativeFrom="paragraph">
            <wp:posOffset>349250</wp:posOffset>
          </wp:positionV>
          <wp:extent cx="1485900" cy="396240"/>
          <wp:effectExtent l="0" t="0" r="0" b="381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396240"/>
                  </a:xfrm>
                  <a:prstGeom prst="rect">
                    <a:avLst/>
                  </a:prstGeom>
                  <a:noFill/>
                  <a:ln>
                    <a:noFill/>
                  </a:ln>
                </pic:spPr>
              </pic:pic>
            </a:graphicData>
          </a:graphic>
        </wp:anchor>
      </w:drawing>
    </w:r>
    <w:r w:rsidRPr="00547A2C">
      <w:rPr>
        <w:noProof/>
        <w:sz w:val="20"/>
      </w:rPr>
      <w:pict>
        <v:line id="Line 58" o:spid="_x0000_s2057" style="position:absolute;left:0;text-align:left;z-index:251653632;visibility:visible;mso-position-horizontal-relative:text;mso-position-vertical-relative:text" from="-2.25pt,68.05pt" to="501.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6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" strokeweight="2.2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7A" w:rsidRDefault="006D697A">
    <w:pPr>
      <w:rPr>
        <w:rFonts w:eastAsia="楷体_GB2312"/>
        <w:b/>
        <w:bCs/>
        <w:sz w:val="24"/>
      </w:rPr>
    </w:pPr>
    <w:r>
      <w:rPr>
        <w:rFonts w:eastAsia="楷体_GB2312"/>
        <w:b/>
        <w:bCs/>
        <w:noProof/>
        <w:sz w:val="20"/>
      </w:rPr>
      <w:drawing>
        <wp:anchor distT="0" distB="0" distL="114300" distR="114300" simplePos="0" relativeHeight="251657728" behindDoc="0" locked="0" layoutInCell="1" allowOverlap="1">
          <wp:simplePos x="0" y="0"/>
          <wp:positionH relativeFrom="column">
            <wp:posOffset>-33655</wp:posOffset>
          </wp:positionH>
          <wp:positionV relativeFrom="paragraph">
            <wp:posOffset>119380</wp:posOffset>
          </wp:positionV>
          <wp:extent cx="1068705" cy="309880"/>
          <wp:effectExtent l="19050" t="0" r="0" b="0"/>
          <wp:wrapTopAndBottom/>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8705" cy="309880"/>
                  </a:xfrm>
                  <a:prstGeom prst="rect">
                    <a:avLst/>
                  </a:prstGeom>
                  <a:noFill/>
                  <a:ln>
                    <a:noFill/>
                  </a:ln>
                </pic:spPr>
              </pic:pic>
            </a:graphicData>
          </a:graphic>
        </wp:anchor>
      </w:drawing>
    </w:r>
  </w:p>
  <w:p w:rsidR="006D697A" w:rsidRDefault="00547A2C">
    <w:pPr>
      <w:rPr>
        <w:rFonts w:eastAsia="楷体_GB2312"/>
        <w:b/>
        <w:bCs/>
        <w:sz w:val="24"/>
      </w:rPr>
    </w:pPr>
    <w:r w:rsidRPr="00547A2C">
      <w:rPr>
        <w:rFonts w:eastAsia="楷体_GB2312"/>
        <w:b/>
        <w:bCs/>
        <w:noProof/>
        <w:sz w:val="20"/>
      </w:rPr>
      <w:pict>
        <v:shapetype id="_x0000_t202" coordsize="21600,21600" o:spt="202" path="m,l,21600r21600,l21600,xe">
          <v:stroke joinstyle="miter"/>
          <v:path gradientshapeok="t" o:connecttype="rect"/>
        </v:shapetype>
        <v:shape id="Text Box 64" o:spid="_x0000_s2056" type="#_x0000_t202" style="position:absolute;left:0;text-align:left;margin-left:426pt;margin-top:1.75pt;width:75.3pt;height:15.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" filled="f" fillcolor="#002754">
          <v:textbox>
            <w:txbxContent>
              <w:p w:rsidR="006D697A" w:rsidRDefault="006D697A">
                <w:pPr>
                  <w:rPr>
                    <w:rFonts w:ascii="Arial" w:hAnsi="Arial" w:cs="Arial"/>
                    <w:color w:val="000000"/>
                    <w:sz w:val="15"/>
                  </w:rPr>
                </w:pPr>
                <w:proofErr w:type="gramStart"/>
                <w:r>
                  <w:rPr>
                    <w:rFonts w:ascii="Arial" w:hAnsi="Arial" w:cs="Arial" w:hint="eastAsia"/>
                    <w:color w:val="000000"/>
                    <w:sz w:val="15"/>
                  </w:rPr>
                  <w:t xml:space="preserve">Page  </w:t>
                </w:r>
                <w:proofErr w:type="gramEnd"/>
                <w:r w:rsidR="00547A2C">
                  <w:rPr>
                    <w:rStyle w:val="a6"/>
                    <w:rFonts w:ascii="Arial" w:hAnsi="Arial" w:cs="Arial"/>
                    <w:color w:val="000000"/>
                    <w:sz w:val="15"/>
                    <w:szCs w:val="18"/>
                  </w:rPr>
                  <w:fldChar w:fldCharType="begin"/>
                </w:r>
                <w:r>
                  <w:rPr>
                    <w:rStyle w:val="a6"/>
                    <w:rFonts w:ascii="Arial" w:hAnsi="Arial" w:cs="Arial"/>
                    <w:color w:val="000000"/>
                    <w:sz w:val="15"/>
                    <w:szCs w:val="18"/>
                  </w:rPr>
                  <w:instrText xml:space="preserve"> PAGE </w:instrText>
                </w:r>
                <w:r w:rsidR="00547A2C">
                  <w:rPr>
                    <w:rStyle w:val="a6"/>
                    <w:rFonts w:ascii="Arial" w:hAnsi="Arial" w:cs="Arial"/>
                    <w:color w:val="000000"/>
                    <w:sz w:val="15"/>
                    <w:szCs w:val="18"/>
                  </w:rPr>
                  <w:fldChar w:fldCharType="separate"/>
                </w:r>
                <w:r w:rsidR="00522590">
                  <w:rPr>
                    <w:rStyle w:val="a6"/>
                    <w:rFonts w:ascii="Arial" w:hAnsi="Arial" w:cs="Arial"/>
                    <w:noProof/>
                    <w:color w:val="000000"/>
                    <w:sz w:val="15"/>
                    <w:szCs w:val="18"/>
                  </w:rPr>
                  <w:t>5</w:t>
                </w:r>
                <w:r w:rsidR="00547A2C">
                  <w:rPr>
                    <w:rStyle w:val="a6"/>
                    <w:rFonts w:ascii="Arial" w:hAnsi="Arial" w:cs="Arial"/>
                    <w:color w:val="000000"/>
                    <w:sz w:val="15"/>
                    <w:szCs w:val="18"/>
                  </w:rPr>
                  <w:fldChar w:fldCharType="end"/>
                </w:r>
              </w:p>
            </w:txbxContent>
          </v:textbox>
        </v:shape>
      </w:pict>
    </w:r>
  </w:p>
  <w:p w:rsidR="006D697A" w:rsidRDefault="006D697A">
    <w:pPr>
      <w:rPr>
        <w:rFonts w:eastAsia="楷体_GB2312"/>
        <w:b/>
        <w:bCs/>
        <w:sz w:val="24"/>
      </w:rPr>
    </w:pPr>
  </w:p>
  <w:p w:rsidR="006D697A" w:rsidRDefault="00547A2C">
    <w:r w:rsidRPr="00547A2C">
      <w:rPr>
        <w:noProof/>
        <w:sz w:val="20"/>
      </w:rPr>
      <w:pict>
        <v:line id="Line 61" o:spid="_x0000_s2055" style="position:absolute;left:0;text-align:left;z-index:251656704;visibility:visible" from="-2.25pt,3.2pt" to="501.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"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7A" w:rsidRDefault="006D697A">
    <w:r>
      <w:rPr>
        <w:noProof/>
        <w:sz w:val="20"/>
      </w:rPr>
      <w:drawing>
        <wp:anchor distT="0" distB="0" distL="114300" distR="114300" simplePos="0" relativeHeight="251659776" behindDoc="0" locked="0" layoutInCell="1" allowOverlap="1">
          <wp:simplePos x="0" y="0"/>
          <wp:positionH relativeFrom="column">
            <wp:posOffset>6350</wp:posOffset>
          </wp:positionH>
          <wp:positionV relativeFrom="paragraph">
            <wp:posOffset>-79375</wp:posOffset>
          </wp:positionV>
          <wp:extent cx="1068705" cy="309880"/>
          <wp:effectExtent l="19050" t="0" r="0" b="0"/>
          <wp:wrapTopAndBottom/>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8705" cy="309880"/>
                  </a:xfrm>
                  <a:prstGeom prst="rect">
                    <a:avLst/>
                  </a:prstGeom>
                  <a:noFill/>
                  <a:ln>
                    <a:noFill/>
                  </a:ln>
                </pic:spPr>
              </pic:pic>
            </a:graphicData>
          </a:graphic>
        </wp:anchor>
      </w:drawing>
    </w:r>
    <w:r w:rsidR="00547A2C" w:rsidRPr="00547A2C">
      <w:rPr>
        <w:noProof/>
        <w:sz w:val="20"/>
      </w:rPr>
      <w:pict>
        <v:shapetype id="_x0000_t202" coordsize="21600,21600" o:spt="202" path="m,l,21600r21600,l21600,xe">
          <v:stroke joinstyle="miter"/>
          <v:path gradientshapeok="t" o:connecttype="rect"/>
        </v:shapetype>
        <v:shape id="Text Box 86" o:spid="_x0000_s2050" type="#_x0000_t202" style="position:absolute;left:0;text-align:left;margin-left:365.85pt;margin-top:-1.85pt;width:141.15pt;height:24.7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fXhQIAABc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" stroked="f">
          <v:textbox>
            <w:txbxContent>
              <w:tbl>
                <w:tblPr>
                  <w:tblW w:w="2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1332"/>
                </w:tblGrid>
                <w:tr w:rsidR="006D697A">
                  <w:trPr>
                    <w:trHeight w:val="299"/>
                  </w:trPr>
                  <w:tc>
                    <w:tcPr>
                      <w:tcW w:w="1368" w:type="dxa"/>
                      <w:shd w:val="clear" w:color="auto" w:fill="002754"/>
                      <w:vAlign w:val="center"/>
                    </w:tcPr>
                    <w:p w:rsidR="006D697A" w:rsidRPr="008B7A1C" w:rsidRDefault="006D697A" w:rsidP="00522590">
                      <w:pPr>
                        <w:pStyle w:val="a7"/>
                        <w:autoSpaceDE/>
                        <w:autoSpaceDN/>
                        <w:adjustRightInd/>
                        <w:spacing w:beforeLines="10" w:line="0" w:lineRule="atLeast"/>
                        <w:rPr>
                          <w:color w:val="FFFFFF"/>
                          <w:szCs w:val="24"/>
                        </w:rPr>
                      </w:pPr>
                      <w:r w:rsidRPr="008B7A1C">
                        <w:rPr>
                          <w:rFonts w:hint="eastAsia"/>
                          <w:color w:val="FFFFFF"/>
                          <w:szCs w:val="24"/>
                        </w:rPr>
                        <w:t>公司</w:t>
                      </w:r>
                      <w:r>
                        <w:rPr>
                          <w:rFonts w:hint="eastAsia"/>
                          <w:color w:val="FFFFFF"/>
                          <w:szCs w:val="24"/>
                        </w:rPr>
                        <w:t>研究</w:t>
                      </w:r>
                    </w:p>
                  </w:tc>
                  <w:tc>
                    <w:tcPr>
                      <w:tcW w:w="1332" w:type="dxa"/>
                      <w:vAlign w:val="center"/>
                    </w:tcPr>
                    <w:p w:rsidR="006D697A" w:rsidRDefault="006D697A">
                      <w:pPr>
                        <w:spacing w:line="0" w:lineRule="atLeast"/>
                        <w:rPr>
                          <w:rFonts w:ascii="Arial" w:hAnsi="Arial" w:cs="Arial"/>
                          <w:sz w:val="15"/>
                        </w:rPr>
                      </w:pPr>
                      <w:r>
                        <w:rPr>
                          <w:rFonts w:ascii="Arial" w:hAnsi="Arial" w:cs="Arial" w:hint="eastAsia"/>
                          <w:sz w:val="15"/>
                        </w:rPr>
                        <w:t xml:space="preserve">Page </w:t>
                      </w:r>
                      <w:r w:rsidR="00547A2C">
                        <w:rPr>
                          <w:rStyle w:val="a6"/>
                          <w:rFonts w:ascii="Arial" w:hAnsi="Arial" w:cs="Arial"/>
                          <w:sz w:val="18"/>
                          <w:szCs w:val="18"/>
                        </w:rPr>
                        <w:fldChar w:fldCharType="begin"/>
                      </w:r>
                      <w:r>
                        <w:rPr>
                          <w:rStyle w:val="a6"/>
                          <w:rFonts w:ascii="Arial" w:hAnsi="Arial" w:cs="Arial"/>
                          <w:sz w:val="18"/>
                          <w:szCs w:val="18"/>
                        </w:rPr>
                        <w:instrText xml:space="preserve"> PAGE </w:instrText>
                      </w:r>
                      <w:r w:rsidR="00547A2C">
                        <w:rPr>
                          <w:rStyle w:val="a6"/>
                          <w:rFonts w:ascii="Arial" w:hAnsi="Arial" w:cs="Arial"/>
                          <w:sz w:val="18"/>
                          <w:szCs w:val="18"/>
                        </w:rPr>
                        <w:fldChar w:fldCharType="separate"/>
                      </w:r>
                      <w:r w:rsidR="00522590">
                        <w:rPr>
                          <w:rStyle w:val="a6"/>
                          <w:rFonts w:ascii="Arial" w:hAnsi="Arial" w:cs="Arial"/>
                          <w:noProof/>
                          <w:sz w:val="18"/>
                          <w:szCs w:val="18"/>
                        </w:rPr>
                        <w:t>1</w:t>
                      </w:r>
                      <w:r w:rsidR="00547A2C">
                        <w:rPr>
                          <w:rStyle w:val="a6"/>
                          <w:rFonts w:ascii="Arial" w:hAnsi="Arial" w:cs="Arial"/>
                          <w:sz w:val="18"/>
                          <w:szCs w:val="18"/>
                        </w:rPr>
                        <w:fldChar w:fldCharType="end"/>
                      </w:r>
                    </w:p>
                  </w:tc>
                </w:tr>
              </w:tbl>
              <w:p w:rsidR="006D697A" w:rsidRDefault="006D697A"/>
            </w:txbxContent>
          </v:textbox>
        </v:shape>
      </w:pict>
    </w:r>
  </w:p>
  <w:p w:rsidR="006D697A" w:rsidRDefault="006D697A"/>
  <w:p w:rsidR="006D697A" w:rsidRDefault="006D69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E"/>
      </v:shape>
    </w:pict>
  </w:numPicBullet>
  <w:abstractNum w:abstractNumId="0">
    <w:nsid w:val="000E5A01"/>
    <w:multiLevelType w:val="multilevel"/>
    <w:tmpl w:val="5F14D618"/>
    <w:lvl w:ilvl="0">
      <w:start w:val="1"/>
      <w:numFmt w:val="bullet"/>
      <w:lvlText w:val=""/>
      <w:lvlJc w:val="left"/>
      <w:pPr>
        <w:tabs>
          <w:tab w:val="num" w:pos="840"/>
        </w:tabs>
        <w:ind w:left="840" w:hanging="420"/>
      </w:pPr>
      <w:rPr>
        <w:rFonts w:ascii="Wingdings" w:hAnsi="Wingdings" w:hint="default"/>
        <w:color w:val="002754"/>
        <w:sz w:val="36"/>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10264214"/>
    <w:multiLevelType w:val="hybridMultilevel"/>
    <w:tmpl w:val="5F14D618"/>
    <w:lvl w:ilvl="0" w:tplc="44A61182">
      <w:start w:val="1"/>
      <w:numFmt w:val="bullet"/>
      <w:lvlText w:val=""/>
      <w:lvlJc w:val="left"/>
      <w:pPr>
        <w:tabs>
          <w:tab w:val="num" w:pos="840"/>
        </w:tabs>
        <w:ind w:left="840" w:hanging="420"/>
      </w:pPr>
      <w:rPr>
        <w:rFonts w:ascii="Wingdings" w:hAnsi="Wingdings" w:hint="default"/>
        <w:color w:val="002754"/>
        <w:sz w:val="32"/>
        <w:u w:val="no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32B0380"/>
    <w:multiLevelType w:val="hybridMultilevel"/>
    <w:tmpl w:val="5F14D618"/>
    <w:lvl w:ilvl="0" w:tplc="EC983986">
      <w:start w:val="1"/>
      <w:numFmt w:val="bullet"/>
      <w:lvlText w:val=""/>
      <w:lvlJc w:val="left"/>
      <w:pPr>
        <w:tabs>
          <w:tab w:val="num" w:pos="840"/>
        </w:tabs>
        <w:ind w:left="840" w:hanging="420"/>
      </w:pPr>
      <w:rPr>
        <w:rFonts w:ascii="Wingdings" w:hAnsi="Wingdings" w:hint="default"/>
        <w:sz w:val="24"/>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E8B71AE"/>
    <w:multiLevelType w:val="hybridMultilevel"/>
    <w:tmpl w:val="D2A21BA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EA84331"/>
    <w:multiLevelType w:val="hybridMultilevel"/>
    <w:tmpl w:val="DF0086BA"/>
    <w:lvl w:ilvl="0" w:tplc="68366E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7DB2CE5"/>
    <w:multiLevelType w:val="hybridMultilevel"/>
    <w:tmpl w:val="7AC0BE00"/>
    <w:lvl w:ilvl="0" w:tplc="3716CA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7CF3D9F"/>
    <w:multiLevelType w:val="hybridMultilevel"/>
    <w:tmpl w:val="5F14D618"/>
    <w:lvl w:ilvl="0" w:tplc="3614286E">
      <w:start w:val="1"/>
      <w:numFmt w:val="bullet"/>
      <w:lvlText w:val=""/>
      <w:lvlJc w:val="left"/>
      <w:pPr>
        <w:tabs>
          <w:tab w:val="num" w:pos="840"/>
        </w:tabs>
        <w:ind w:left="840" w:hanging="420"/>
      </w:pPr>
      <w:rPr>
        <w:rFonts w:ascii="Wingdings" w:hAnsi="Wingdings" w:hint="default"/>
        <w:sz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3DCF5DA6"/>
    <w:multiLevelType w:val="hybridMultilevel"/>
    <w:tmpl w:val="E65CFF54"/>
    <w:lvl w:ilvl="0" w:tplc="B19062AC">
      <w:start w:val="1"/>
      <w:numFmt w:val="bullet"/>
      <w:lvlText w:val=""/>
      <w:lvlJc w:val="left"/>
      <w:pPr>
        <w:tabs>
          <w:tab w:val="num" w:pos="600"/>
        </w:tabs>
        <w:ind w:left="600" w:hanging="420"/>
      </w:pPr>
      <w:rPr>
        <w:rFonts w:ascii="Wingdings" w:hAnsi="Wingdings" w:hint="default"/>
        <w:color w:val="000000"/>
        <w:sz w:val="22"/>
      </w:rPr>
    </w:lvl>
    <w:lvl w:ilvl="1" w:tplc="F974985A">
      <w:start w:val="1"/>
      <w:numFmt w:val="bullet"/>
      <w:lvlText w:val=""/>
      <w:lvlJc w:val="left"/>
      <w:pPr>
        <w:tabs>
          <w:tab w:val="num" w:pos="-1323"/>
        </w:tabs>
        <w:ind w:left="-1323" w:hanging="420"/>
      </w:pPr>
      <w:rPr>
        <w:rFonts w:ascii="Wingdings" w:hAnsi="Wingdings" w:hint="default"/>
        <w:sz w:val="16"/>
        <w:em w:val="dot"/>
      </w:rPr>
    </w:lvl>
    <w:lvl w:ilvl="2" w:tplc="04090005" w:tentative="1">
      <w:start w:val="1"/>
      <w:numFmt w:val="bullet"/>
      <w:lvlText w:val=""/>
      <w:lvlJc w:val="left"/>
      <w:pPr>
        <w:tabs>
          <w:tab w:val="num" w:pos="-903"/>
        </w:tabs>
        <w:ind w:left="-903" w:hanging="420"/>
      </w:pPr>
      <w:rPr>
        <w:rFonts w:ascii="Wingdings" w:hAnsi="Wingdings" w:hint="default"/>
      </w:rPr>
    </w:lvl>
    <w:lvl w:ilvl="3" w:tplc="04090001" w:tentative="1">
      <w:start w:val="1"/>
      <w:numFmt w:val="bullet"/>
      <w:lvlText w:val=""/>
      <w:lvlJc w:val="left"/>
      <w:pPr>
        <w:tabs>
          <w:tab w:val="num" w:pos="-483"/>
        </w:tabs>
        <w:ind w:left="-483" w:hanging="420"/>
      </w:pPr>
      <w:rPr>
        <w:rFonts w:ascii="Wingdings" w:hAnsi="Wingdings" w:hint="default"/>
      </w:rPr>
    </w:lvl>
    <w:lvl w:ilvl="4" w:tplc="04090003" w:tentative="1">
      <w:start w:val="1"/>
      <w:numFmt w:val="bullet"/>
      <w:lvlText w:val=""/>
      <w:lvlJc w:val="left"/>
      <w:pPr>
        <w:tabs>
          <w:tab w:val="num" w:pos="-63"/>
        </w:tabs>
        <w:ind w:left="-63" w:hanging="420"/>
      </w:pPr>
      <w:rPr>
        <w:rFonts w:ascii="Wingdings" w:hAnsi="Wingdings" w:hint="default"/>
      </w:rPr>
    </w:lvl>
    <w:lvl w:ilvl="5" w:tplc="04090005" w:tentative="1">
      <w:start w:val="1"/>
      <w:numFmt w:val="bullet"/>
      <w:lvlText w:val=""/>
      <w:lvlJc w:val="left"/>
      <w:pPr>
        <w:tabs>
          <w:tab w:val="num" w:pos="357"/>
        </w:tabs>
        <w:ind w:left="357" w:hanging="420"/>
      </w:pPr>
      <w:rPr>
        <w:rFonts w:ascii="Wingdings" w:hAnsi="Wingdings" w:hint="default"/>
      </w:rPr>
    </w:lvl>
    <w:lvl w:ilvl="6" w:tplc="04090001" w:tentative="1">
      <w:start w:val="1"/>
      <w:numFmt w:val="bullet"/>
      <w:lvlText w:val=""/>
      <w:lvlJc w:val="left"/>
      <w:pPr>
        <w:tabs>
          <w:tab w:val="num" w:pos="777"/>
        </w:tabs>
        <w:ind w:left="777" w:hanging="420"/>
      </w:pPr>
      <w:rPr>
        <w:rFonts w:ascii="Wingdings" w:hAnsi="Wingdings" w:hint="default"/>
      </w:rPr>
    </w:lvl>
    <w:lvl w:ilvl="7" w:tplc="04090003" w:tentative="1">
      <w:start w:val="1"/>
      <w:numFmt w:val="bullet"/>
      <w:lvlText w:val=""/>
      <w:lvlJc w:val="left"/>
      <w:pPr>
        <w:tabs>
          <w:tab w:val="num" w:pos="1197"/>
        </w:tabs>
        <w:ind w:left="1197" w:hanging="420"/>
      </w:pPr>
      <w:rPr>
        <w:rFonts w:ascii="Wingdings" w:hAnsi="Wingdings" w:hint="default"/>
      </w:rPr>
    </w:lvl>
    <w:lvl w:ilvl="8" w:tplc="04090005" w:tentative="1">
      <w:start w:val="1"/>
      <w:numFmt w:val="bullet"/>
      <w:lvlText w:val=""/>
      <w:lvlJc w:val="left"/>
      <w:pPr>
        <w:tabs>
          <w:tab w:val="num" w:pos="1617"/>
        </w:tabs>
        <w:ind w:left="1617" w:hanging="420"/>
      </w:pPr>
      <w:rPr>
        <w:rFonts w:ascii="Wingdings" w:hAnsi="Wingdings" w:hint="default"/>
      </w:rPr>
    </w:lvl>
  </w:abstractNum>
  <w:abstractNum w:abstractNumId="8">
    <w:nsid w:val="47067189"/>
    <w:multiLevelType w:val="hybridMultilevel"/>
    <w:tmpl w:val="DB04CE56"/>
    <w:lvl w:ilvl="0" w:tplc="04090009">
      <w:start w:val="1"/>
      <w:numFmt w:val="bullet"/>
      <w:lvlText w:val=""/>
      <w:lvlJc w:val="left"/>
      <w:pPr>
        <w:tabs>
          <w:tab w:val="num" w:pos="779"/>
        </w:tabs>
        <w:ind w:left="779" w:hanging="420"/>
      </w:pPr>
      <w:rPr>
        <w:rFonts w:ascii="Wingdings" w:hAnsi="Wingdings" w:hint="default"/>
      </w:rPr>
    </w:lvl>
    <w:lvl w:ilvl="1" w:tplc="04090003" w:tentative="1">
      <w:start w:val="1"/>
      <w:numFmt w:val="bullet"/>
      <w:lvlText w:val=""/>
      <w:lvlJc w:val="left"/>
      <w:pPr>
        <w:tabs>
          <w:tab w:val="num" w:pos="1199"/>
        </w:tabs>
        <w:ind w:left="1199" w:hanging="420"/>
      </w:pPr>
      <w:rPr>
        <w:rFonts w:ascii="Wingdings" w:hAnsi="Wingdings" w:hint="default"/>
      </w:rPr>
    </w:lvl>
    <w:lvl w:ilvl="2" w:tplc="04090005"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3" w:tentative="1">
      <w:start w:val="1"/>
      <w:numFmt w:val="bullet"/>
      <w:lvlText w:val=""/>
      <w:lvlJc w:val="left"/>
      <w:pPr>
        <w:tabs>
          <w:tab w:val="num" w:pos="2459"/>
        </w:tabs>
        <w:ind w:left="2459" w:hanging="420"/>
      </w:pPr>
      <w:rPr>
        <w:rFonts w:ascii="Wingdings" w:hAnsi="Wingdings" w:hint="default"/>
      </w:rPr>
    </w:lvl>
    <w:lvl w:ilvl="5" w:tplc="04090005"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3" w:tentative="1">
      <w:start w:val="1"/>
      <w:numFmt w:val="bullet"/>
      <w:lvlText w:val=""/>
      <w:lvlJc w:val="left"/>
      <w:pPr>
        <w:tabs>
          <w:tab w:val="num" w:pos="3719"/>
        </w:tabs>
        <w:ind w:left="3719" w:hanging="420"/>
      </w:pPr>
      <w:rPr>
        <w:rFonts w:ascii="Wingdings" w:hAnsi="Wingdings" w:hint="default"/>
      </w:rPr>
    </w:lvl>
    <w:lvl w:ilvl="8" w:tplc="04090005" w:tentative="1">
      <w:start w:val="1"/>
      <w:numFmt w:val="bullet"/>
      <w:lvlText w:val=""/>
      <w:lvlJc w:val="left"/>
      <w:pPr>
        <w:tabs>
          <w:tab w:val="num" w:pos="4139"/>
        </w:tabs>
        <w:ind w:left="4139" w:hanging="420"/>
      </w:pPr>
      <w:rPr>
        <w:rFonts w:ascii="Wingdings" w:hAnsi="Wingdings" w:hint="default"/>
      </w:rPr>
    </w:lvl>
  </w:abstractNum>
  <w:abstractNum w:abstractNumId="9">
    <w:nsid w:val="6478127B"/>
    <w:multiLevelType w:val="hybridMultilevel"/>
    <w:tmpl w:val="5F14D618"/>
    <w:lvl w:ilvl="0" w:tplc="035E9DDE">
      <w:start w:val="1"/>
      <w:numFmt w:val="bullet"/>
      <w:lvlText w:val=""/>
      <w:lvlJc w:val="left"/>
      <w:pPr>
        <w:tabs>
          <w:tab w:val="num" w:pos="840"/>
        </w:tabs>
        <w:ind w:left="840" w:hanging="420"/>
      </w:pPr>
      <w:rPr>
        <w:rFonts w:ascii="Wingdings" w:hAnsi="Wingdings" w:hint="default"/>
        <w:sz w:val="3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71BA4E50"/>
    <w:multiLevelType w:val="hybridMultilevel"/>
    <w:tmpl w:val="5F14D618"/>
    <w:lvl w:ilvl="0" w:tplc="60B0CC5E">
      <w:start w:val="1"/>
      <w:numFmt w:val="bullet"/>
      <w:lvlText w:val=""/>
      <w:lvlJc w:val="left"/>
      <w:pPr>
        <w:tabs>
          <w:tab w:val="num" w:pos="840"/>
        </w:tabs>
        <w:ind w:left="840" w:hanging="420"/>
      </w:pPr>
      <w:rPr>
        <w:rFonts w:ascii="Wingdings" w:hAnsi="Wingdings" w:hint="default"/>
        <w:color w:val="004554"/>
        <w:sz w:val="3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79FA4EA0"/>
    <w:multiLevelType w:val="hybridMultilevel"/>
    <w:tmpl w:val="5F14D618"/>
    <w:lvl w:ilvl="0" w:tplc="6C6CEA7A">
      <w:start w:val="1"/>
      <w:numFmt w:val="bullet"/>
      <w:lvlText w:val=""/>
      <w:lvlJc w:val="left"/>
      <w:pPr>
        <w:tabs>
          <w:tab w:val="num" w:pos="840"/>
        </w:tabs>
        <w:ind w:left="840" w:hanging="420"/>
      </w:pPr>
      <w:rPr>
        <w:rFonts w:ascii="Wingdings" w:hAnsi="Wingdings" w:hint="default"/>
        <w:color w:val="002754"/>
        <w:sz w:val="36"/>
        <w:u w:val="no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7F3206E6"/>
    <w:multiLevelType w:val="hybridMultilevel"/>
    <w:tmpl w:val="F54CE756"/>
    <w:lvl w:ilvl="0" w:tplc="6602F0F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6"/>
  </w:num>
  <w:num w:numId="4">
    <w:abstractNumId w:val="2"/>
  </w:num>
  <w:num w:numId="5">
    <w:abstractNumId w:val="9"/>
  </w:num>
  <w:num w:numId="6">
    <w:abstractNumId w:val="10"/>
  </w:num>
  <w:num w:numId="7">
    <w:abstractNumId w:val="1"/>
  </w:num>
  <w:num w:numId="8">
    <w:abstractNumId w:val="11"/>
  </w:num>
  <w:num w:numId="9">
    <w:abstractNumId w:val="5"/>
  </w:num>
  <w:num w:numId="10">
    <w:abstractNumId w:val="12"/>
  </w:num>
  <w:num w:numId="11">
    <w:abstractNumId w:val="0"/>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0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strokecolor="navy">
      <v:stroke color="navy" weight="1pt"/>
      <o:colormru v:ext="edit" colors="#002754,#97a9b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5150"/>
    <w:rsid w:val="00001CB5"/>
    <w:rsid w:val="00001F38"/>
    <w:rsid w:val="000058A6"/>
    <w:rsid w:val="000068E2"/>
    <w:rsid w:val="00007DE8"/>
    <w:rsid w:val="00011C81"/>
    <w:rsid w:val="00025540"/>
    <w:rsid w:val="00027B5B"/>
    <w:rsid w:val="00027EAF"/>
    <w:rsid w:val="0003045F"/>
    <w:rsid w:val="00033E18"/>
    <w:rsid w:val="00037725"/>
    <w:rsid w:val="0004110A"/>
    <w:rsid w:val="0004315F"/>
    <w:rsid w:val="00046E3A"/>
    <w:rsid w:val="00057164"/>
    <w:rsid w:val="00057F98"/>
    <w:rsid w:val="0006216A"/>
    <w:rsid w:val="00066315"/>
    <w:rsid w:val="00066440"/>
    <w:rsid w:val="00073411"/>
    <w:rsid w:val="00073AA8"/>
    <w:rsid w:val="00082181"/>
    <w:rsid w:val="00084519"/>
    <w:rsid w:val="0008673E"/>
    <w:rsid w:val="000906ED"/>
    <w:rsid w:val="00090F09"/>
    <w:rsid w:val="0009525B"/>
    <w:rsid w:val="00095384"/>
    <w:rsid w:val="00095A24"/>
    <w:rsid w:val="000A5A35"/>
    <w:rsid w:val="000A75AD"/>
    <w:rsid w:val="000B693B"/>
    <w:rsid w:val="000B726C"/>
    <w:rsid w:val="000D1241"/>
    <w:rsid w:val="000D1DE9"/>
    <w:rsid w:val="000E0EE2"/>
    <w:rsid w:val="000E4378"/>
    <w:rsid w:val="000E7707"/>
    <w:rsid w:val="000F0B66"/>
    <w:rsid w:val="000F435C"/>
    <w:rsid w:val="000F4E05"/>
    <w:rsid w:val="000F51E1"/>
    <w:rsid w:val="000F5A10"/>
    <w:rsid w:val="000F6248"/>
    <w:rsid w:val="001000F1"/>
    <w:rsid w:val="001002CB"/>
    <w:rsid w:val="0010409A"/>
    <w:rsid w:val="001068DD"/>
    <w:rsid w:val="001129BF"/>
    <w:rsid w:val="00114C4A"/>
    <w:rsid w:val="001241B5"/>
    <w:rsid w:val="00125A3E"/>
    <w:rsid w:val="001267DA"/>
    <w:rsid w:val="00127949"/>
    <w:rsid w:val="00132DFA"/>
    <w:rsid w:val="00133466"/>
    <w:rsid w:val="00143292"/>
    <w:rsid w:val="00146844"/>
    <w:rsid w:val="00146AA6"/>
    <w:rsid w:val="00150801"/>
    <w:rsid w:val="001511F2"/>
    <w:rsid w:val="00154815"/>
    <w:rsid w:val="00162825"/>
    <w:rsid w:val="0016759D"/>
    <w:rsid w:val="00172244"/>
    <w:rsid w:val="00175377"/>
    <w:rsid w:val="0018022D"/>
    <w:rsid w:val="0018071F"/>
    <w:rsid w:val="00180A67"/>
    <w:rsid w:val="00182D2A"/>
    <w:rsid w:val="00183A5F"/>
    <w:rsid w:val="001862B1"/>
    <w:rsid w:val="00187B4F"/>
    <w:rsid w:val="00191AE7"/>
    <w:rsid w:val="0019212E"/>
    <w:rsid w:val="00194606"/>
    <w:rsid w:val="001956E0"/>
    <w:rsid w:val="00196681"/>
    <w:rsid w:val="001A2576"/>
    <w:rsid w:val="001A28E9"/>
    <w:rsid w:val="001A307B"/>
    <w:rsid w:val="001B2305"/>
    <w:rsid w:val="001B4CD2"/>
    <w:rsid w:val="001B6185"/>
    <w:rsid w:val="001B6C35"/>
    <w:rsid w:val="001B6D21"/>
    <w:rsid w:val="001C3F47"/>
    <w:rsid w:val="001C5890"/>
    <w:rsid w:val="001C6109"/>
    <w:rsid w:val="001D74AB"/>
    <w:rsid w:val="001E1D2D"/>
    <w:rsid w:val="001E5EE9"/>
    <w:rsid w:val="001F43ED"/>
    <w:rsid w:val="001F57AD"/>
    <w:rsid w:val="0020046F"/>
    <w:rsid w:val="002047D7"/>
    <w:rsid w:val="00206322"/>
    <w:rsid w:val="00211D45"/>
    <w:rsid w:val="002121FC"/>
    <w:rsid w:val="0021459D"/>
    <w:rsid w:val="00223968"/>
    <w:rsid w:val="0022525B"/>
    <w:rsid w:val="002265C1"/>
    <w:rsid w:val="00227AC7"/>
    <w:rsid w:val="00231526"/>
    <w:rsid w:val="00240895"/>
    <w:rsid w:val="00241E98"/>
    <w:rsid w:val="00243D35"/>
    <w:rsid w:val="002567CD"/>
    <w:rsid w:val="00256B68"/>
    <w:rsid w:val="002616CB"/>
    <w:rsid w:val="002628A9"/>
    <w:rsid w:val="00265183"/>
    <w:rsid w:val="00265EBC"/>
    <w:rsid w:val="0026674B"/>
    <w:rsid w:val="00267F29"/>
    <w:rsid w:val="0027127A"/>
    <w:rsid w:val="0027235A"/>
    <w:rsid w:val="00280C95"/>
    <w:rsid w:val="0028185F"/>
    <w:rsid w:val="00282147"/>
    <w:rsid w:val="00285BD2"/>
    <w:rsid w:val="00286542"/>
    <w:rsid w:val="0029146B"/>
    <w:rsid w:val="00292116"/>
    <w:rsid w:val="00292C90"/>
    <w:rsid w:val="0029796C"/>
    <w:rsid w:val="002A11CB"/>
    <w:rsid w:val="002A1F03"/>
    <w:rsid w:val="002A21BC"/>
    <w:rsid w:val="002A40A4"/>
    <w:rsid w:val="002A468C"/>
    <w:rsid w:val="002A7E12"/>
    <w:rsid w:val="002A7E26"/>
    <w:rsid w:val="002B4903"/>
    <w:rsid w:val="002B659A"/>
    <w:rsid w:val="002C330D"/>
    <w:rsid w:val="002C33CC"/>
    <w:rsid w:val="002C738C"/>
    <w:rsid w:val="002D45DE"/>
    <w:rsid w:val="002D550A"/>
    <w:rsid w:val="002E075F"/>
    <w:rsid w:val="002E1B86"/>
    <w:rsid w:val="002F0119"/>
    <w:rsid w:val="002F437D"/>
    <w:rsid w:val="002F7CAA"/>
    <w:rsid w:val="00314031"/>
    <w:rsid w:val="00315946"/>
    <w:rsid w:val="003162E0"/>
    <w:rsid w:val="003166BF"/>
    <w:rsid w:val="00323BC4"/>
    <w:rsid w:val="00325EC5"/>
    <w:rsid w:val="00326CF3"/>
    <w:rsid w:val="003311F1"/>
    <w:rsid w:val="00332F9A"/>
    <w:rsid w:val="00332FB2"/>
    <w:rsid w:val="003336D2"/>
    <w:rsid w:val="00333D3C"/>
    <w:rsid w:val="00335228"/>
    <w:rsid w:val="0033547F"/>
    <w:rsid w:val="00343A1D"/>
    <w:rsid w:val="00357631"/>
    <w:rsid w:val="00357C4C"/>
    <w:rsid w:val="0036111A"/>
    <w:rsid w:val="00361A82"/>
    <w:rsid w:val="00366E8E"/>
    <w:rsid w:val="0036709E"/>
    <w:rsid w:val="00381D4A"/>
    <w:rsid w:val="0038243C"/>
    <w:rsid w:val="00385ECA"/>
    <w:rsid w:val="003877DE"/>
    <w:rsid w:val="00391839"/>
    <w:rsid w:val="00392BB6"/>
    <w:rsid w:val="003933C1"/>
    <w:rsid w:val="00395970"/>
    <w:rsid w:val="003A2437"/>
    <w:rsid w:val="003A5C37"/>
    <w:rsid w:val="003A76C5"/>
    <w:rsid w:val="003B07F3"/>
    <w:rsid w:val="003B151B"/>
    <w:rsid w:val="003B5B86"/>
    <w:rsid w:val="003C23ED"/>
    <w:rsid w:val="003C42D6"/>
    <w:rsid w:val="003C54C5"/>
    <w:rsid w:val="003C558A"/>
    <w:rsid w:val="003D2BA2"/>
    <w:rsid w:val="003D2D84"/>
    <w:rsid w:val="003D4D23"/>
    <w:rsid w:val="003D653B"/>
    <w:rsid w:val="003D6CDD"/>
    <w:rsid w:val="003D77F0"/>
    <w:rsid w:val="003E7087"/>
    <w:rsid w:val="003E74CC"/>
    <w:rsid w:val="003F1086"/>
    <w:rsid w:val="003F1AF8"/>
    <w:rsid w:val="003F3FD3"/>
    <w:rsid w:val="003F44DA"/>
    <w:rsid w:val="003F47A7"/>
    <w:rsid w:val="003F5481"/>
    <w:rsid w:val="00404A38"/>
    <w:rsid w:val="004051CE"/>
    <w:rsid w:val="00405D25"/>
    <w:rsid w:val="00415724"/>
    <w:rsid w:val="00420F2D"/>
    <w:rsid w:val="00422382"/>
    <w:rsid w:val="00422DE7"/>
    <w:rsid w:val="004256CE"/>
    <w:rsid w:val="0042571D"/>
    <w:rsid w:val="00440BB1"/>
    <w:rsid w:val="00440D41"/>
    <w:rsid w:val="00441D86"/>
    <w:rsid w:val="004545EA"/>
    <w:rsid w:val="00457EA2"/>
    <w:rsid w:val="0046254E"/>
    <w:rsid w:val="00471B77"/>
    <w:rsid w:val="00475F2D"/>
    <w:rsid w:val="00481023"/>
    <w:rsid w:val="00481DC0"/>
    <w:rsid w:val="00484173"/>
    <w:rsid w:val="004849B9"/>
    <w:rsid w:val="00485669"/>
    <w:rsid w:val="004863FF"/>
    <w:rsid w:val="00487AB9"/>
    <w:rsid w:val="004909B6"/>
    <w:rsid w:val="004925DE"/>
    <w:rsid w:val="004945A1"/>
    <w:rsid w:val="00496025"/>
    <w:rsid w:val="004B1132"/>
    <w:rsid w:val="004B1AB8"/>
    <w:rsid w:val="004B4AB5"/>
    <w:rsid w:val="004B5E0B"/>
    <w:rsid w:val="004C5C84"/>
    <w:rsid w:val="004D08B9"/>
    <w:rsid w:val="004D3F4F"/>
    <w:rsid w:val="004D7451"/>
    <w:rsid w:val="004E4BF1"/>
    <w:rsid w:val="004F2D53"/>
    <w:rsid w:val="004F4C23"/>
    <w:rsid w:val="004F56F7"/>
    <w:rsid w:val="004F5E6F"/>
    <w:rsid w:val="005029B2"/>
    <w:rsid w:val="00506D41"/>
    <w:rsid w:val="00507B86"/>
    <w:rsid w:val="00511FCB"/>
    <w:rsid w:val="00515147"/>
    <w:rsid w:val="00521E16"/>
    <w:rsid w:val="00522590"/>
    <w:rsid w:val="0052295E"/>
    <w:rsid w:val="00527B9E"/>
    <w:rsid w:val="00531D6D"/>
    <w:rsid w:val="00535210"/>
    <w:rsid w:val="00541071"/>
    <w:rsid w:val="00542379"/>
    <w:rsid w:val="00546EEF"/>
    <w:rsid w:val="00547435"/>
    <w:rsid w:val="00547A2C"/>
    <w:rsid w:val="00552583"/>
    <w:rsid w:val="005535E1"/>
    <w:rsid w:val="00557170"/>
    <w:rsid w:val="00560ED7"/>
    <w:rsid w:val="005623D6"/>
    <w:rsid w:val="00564F6B"/>
    <w:rsid w:val="00565F73"/>
    <w:rsid w:val="005662BC"/>
    <w:rsid w:val="005757F3"/>
    <w:rsid w:val="00582FBD"/>
    <w:rsid w:val="005835B8"/>
    <w:rsid w:val="00585608"/>
    <w:rsid w:val="00586948"/>
    <w:rsid w:val="00586AC8"/>
    <w:rsid w:val="0059631F"/>
    <w:rsid w:val="005A0013"/>
    <w:rsid w:val="005A093F"/>
    <w:rsid w:val="005B1673"/>
    <w:rsid w:val="005B2749"/>
    <w:rsid w:val="005B55D6"/>
    <w:rsid w:val="005C41A0"/>
    <w:rsid w:val="005D134B"/>
    <w:rsid w:val="005D3F88"/>
    <w:rsid w:val="005E10E8"/>
    <w:rsid w:val="005F426F"/>
    <w:rsid w:val="005F490D"/>
    <w:rsid w:val="00604AD0"/>
    <w:rsid w:val="00611EE3"/>
    <w:rsid w:val="00614534"/>
    <w:rsid w:val="00616013"/>
    <w:rsid w:val="00617A41"/>
    <w:rsid w:val="00623CC3"/>
    <w:rsid w:val="0062495C"/>
    <w:rsid w:val="00624C16"/>
    <w:rsid w:val="006279E8"/>
    <w:rsid w:val="00630ECD"/>
    <w:rsid w:val="0063298F"/>
    <w:rsid w:val="00637A3C"/>
    <w:rsid w:val="00641147"/>
    <w:rsid w:val="00641E60"/>
    <w:rsid w:val="00641F23"/>
    <w:rsid w:val="0064363A"/>
    <w:rsid w:val="00644794"/>
    <w:rsid w:val="00646AD9"/>
    <w:rsid w:val="00646C42"/>
    <w:rsid w:val="00647060"/>
    <w:rsid w:val="00652F26"/>
    <w:rsid w:val="00653DEC"/>
    <w:rsid w:val="0066119E"/>
    <w:rsid w:val="0066321C"/>
    <w:rsid w:val="00663DBB"/>
    <w:rsid w:val="006643A9"/>
    <w:rsid w:val="006646CE"/>
    <w:rsid w:val="00670E35"/>
    <w:rsid w:val="006715F2"/>
    <w:rsid w:val="00676717"/>
    <w:rsid w:val="00685080"/>
    <w:rsid w:val="00686992"/>
    <w:rsid w:val="00687533"/>
    <w:rsid w:val="00690C6F"/>
    <w:rsid w:val="00695A55"/>
    <w:rsid w:val="006976B0"/>
    <w:rsid w:val="006A176A"/>
    <w:rsid w:val="006A1DEB"/>
    <w:rsid w:val="006A3F71"/>
    <w:rsid w:val="006A40D2"/>
    <w:rsid w:val="006B181E"/>
    <w:rsid w:val="006B1ABB"/>
    <w:rsid w:val="006B1BED"/>
    <w:rsid w:val="006B30B5"/>
    <w:rsid w:val="006B5FDE"/>
    <w:rsid w:val="006B6110"/>
    <w:rsid w:val="006B65E4"/>
    <w:rsid w:val="006C14FE"/>
    <w:rsid w:val="006C16D0"/>
    <w:rsid w:val="006C4443"/>
    <w:rsid w:val="006D2B11"/>
    <w:rsid w:val="006D61F8"/>
    <w:rsid w:val="006D697A"/>
    <w:rsid w:val="006D7302"/>
    <w:rsid w:val="006E07B9"/>
    <w:rsid w:val="006E2BEE"/>
    <w:rsid w:val="006F0EC4"/>
    <w:rsid w:val="006F0ED3"/>
    <w:rsid w:val="006F789F"/>
    <w:rsid w:val="00701565"/>
    <w:rsid w:val="00703E23"/>
    <w:rsid w:val="00704D60"/>
    <w:rsid w:val="0072221F"/>
    <w:rsid w:val="007233F0"/>
    <w:rsid w:val="00727443"/>
    <w:rsid w:val="007314BC"/>
    <w:rsid w:val="007325F2"/>
    <w:rsid w:val="00732C4D"/>
    <w:rsid w:val="00732D1E"/>
    <w:rsid w:val="0073680C"/>
    <w:rsid w:val="00737E61"/>
    <w:rsid w:val="00740195"/>
    <w:rsid w:val="00741B55"/>
    <w:rsid w:val="00744940"/>
    <w:rsid w:val="00752FAF"/>
    <w:rsid w:val="00754513"/>
    <w:rsid w:val="00756934"/>
    <w:rsid w:val="00757B25"/>
    <w:rsid w:val="00761CA0"/>
    <w:rsid w:val="00765550"/>
    <w:rsid w:val="00776BA8"/>
    <w:rsid w:val="007820FE"/>
    <w:rsid w:val="00786751"/>
    <w:rsid w:val="00786DF8"/>
    <w:rsid w:val="00792412"/>
    <w:rsid w:val="00792BE9"/>
    <w:rsid w:val="00793CD6"/>
    <w:rsid w:val="00795150"/>
    <w:rsid w:val="00797875"/>
    <w:rsid w:val="007A3999"/>
    <w:rsid w:val="007A3FEA"/>
    <w:rsid w:val="007A49FB"/>
    <w:rsid w:val="007A5F78"/>
    <w:rsid w:val="007B200B"/>
    <w:rsid w:val="007B388F"/>
    <w:rsid w:val="007B4AB8"/>
    <w:rsid w:val="007C0332"/>
    <w:rsid w:val="007C53DB"/>
    <w:rsid w:val="007C5F02"/>
    <w:rsid w:val="007C741B"/>
    <w:rsid w:val="007C7BE1"/>
    <w:rsid w:val="007D3401"/>
    <w:rsid w:val="007D36FA"/>
    <w:rsid w:val="007D5D57"/>
    <w:rsid w:val="007E1658"/>
    <w:rsid w:val="007E6B24"/>
    <w:rsid w:val="007F0815"/>
    <w:rsid w:val="007F136E"/>
    <w:rsid w:val="007F3086"/>
    <w:rsid w:val="007F478A"/>
    <w:rsid w:val="008017DB"/>
    <w:rsid w:val="0080418A"/>
    <w:rsid w:val="008045F5"/>
    <w:rsid w:val="00806BCE"/>
    <w:rsid w:val="00810097"/>
    <w:rsid w:val="008106C9"/>
    <w:rsid w:val="0081599E"/>
    <w:rsid w:val="00816731"/>
    <w:rsid w:val="008325B3"/>
    <w:rsid w:val="008343D2"/>
    <w:rsid w:val="0083724A"/>
    <w:rsid w:val="0084204E"/>
    <w:rsid w:val="00843E9E"/>
    <w:rsid w:val="00843F38"/>
    <w:rsid w:val="00844ED6"/>
    <w:rsid w:val="008479B4"/>
    <w:rsid w:val="008501C2"/>
    <w:rsid w:val="00851C85"/>
    <w:rsid w:val="00852625"/>
    <w:rsid w:val="00855206"/>
    <w:rsid w:val="00857C6E"/>
    <w:rsid w:val="008600A7"/>
    <w:rsid w:val="00860BEB"/>
    <w:rsid w:val="0086195D"/>
    <w:rsid w:val="008633DC"/>
    <w:rsid w:val="00866173"/>
    <w:rsid w:val="0087161D"/>
    <w:rsid w:val="00872F4D"/>
    <w:rsid w:val="00875334"/>
    <w:rsid w:val="008755FF"/>
    <w:rsid w:val="00877DD1"/>
    <w:rsid w:val="00883054"/>
    <w:rsid w:val="00883BE2"/>
    <w:rsid w:val="008861F0"/>
    <w:rsid w:val="0088755B"/>
    <w:rsid w:val="008929D3"/>
    <w:rsid w:val="0089307E"/>
    <w:rsid w:val="008A7C5E"/>
    <w:rsid w:val="008A7F38"/>
    <w:rsid w:val="008B431A"/>
    <w:rsid w:val="008B628A"/>
    <w:rsid w:val="008B77B2"/>
    <w:rsid w:val="008B7A1C"/>
    <w:rsid w:val="008C0680"/>
    <w:rsid w:val="008C4EF2"/>
    <w:rsid w:val="008D461F"/>
    <w:rsid w:val="008D59A6"/>
    <w:rsid w:val="008E214C"/>
    <w:rsid w:val="008E44B5"/>
    <w:rsid w:val="008E79CA"/>
    <w:rsid w:val="008F6821"/>
    <w:rsid w:val="00901FC2"/>
    <w:rsid w:val="00905D74"/>
    <w:rsid w:val="00907901"/>
    <w:rsid w:val="00912AB4"/>
    <w:rsid w:val="00912C16"/>
    <w:rsid w:val="00912D2D"/>
    <w:rsid w:val="00915728"/>
    <w:rsid w:val="009251B7"/>
    <w:rsid w:val="00925B57"/>
    <w:rsid w:val="009309F7"/>
    <w:rsid w:val="0093225F"/>
    <w:rsid w:val="0093283F"/>
    <w:rsid w:val="00933D53"/>
    <w:rsid w:val="0093734B"/>
    <w:rsid w:val="0094106F"/>
    <w:rsid w:val="00944DA7"/>
    <w:rsid w:val="00946ADF"/>
    <w:rsid w:val="00953A55"/>
    <w:rsid w:val="00963EBB"/>
    <w:rsid w:val="00965D52"/>
    <w:rsid w:val="00970F22"/>
    <w:rsid w:val="00976AC0"/>
    <w:rsid w:val="0098005E"/>
    <w:rsid w:val="0098228D"/>
    <w:rsid w:val="009901F4"/>
    <w:rsid w:val="009A0F23"/>
    <w:rsid w:val="009A25F8"/>
    <w:rsid w:val="009A64A1"/>
    <w:rsid w:val="009B0E32"/>
    <w:rsid w:val="009B44DB"/>
    <w:rsid w:val="009B45D9"/>
    <w:rsid w:val="009B57BF"/>
    <w:rsid w:val="009B6E79"/>
    <w:rsid w:val="009C3A39"/>
    <w:rsid w:val="009C3BF9"/>
    <w:rsid w:val="009C4991"/>
    <w:rsid w:val="009C4F51"/>
    <w:rsid w:val="009C5D5B"/>
    <w:rsid w:val="009D18CC"/>
    <w:rsid w:val="009D1E6A"/>
    <w:rsid w:val="009D2AD4"/>
    <w:rsid w:val="009E0E48"/>
    <w:rsid w:val="009E7097"/>
    <w:rsid w:val="009F2032"/>
    <w:rsid w:val="009F3AB9"/>
    <w:rsid w:val="00A00752"/>
    <w:rsid w:val="00A01034"/>
    <w:rsid w:val="00A03975"/>
    <w:rsid w:val="00A05A2C"/>
    <w:rsid w:val="00A06CE1"/>
    <w:rsid w:val="00A076A0"/>
    <w:rsid w:val="00A0774A"/>
    <w:rsid w:val="00A07A46"/>
    <w:rsid w:val="00A13217"/>
    <w:rsid w:val="00A1323F"/>
    <w:rsid w:val="00A13974"/>
    <w:rsid w:val="00A14211"/>
    <w:rsid w:val="00A1424B"/>
    <w:rsid w:val="00A15F80"/>
    <w:rsid w:val="00A245DF"/>
    <w:rsid w:val="00A340CB"/>
    <w:rsid w:val="00A34C49"/>
    <w:rsid w:val="00A366A4"/>
    <w:rsid w:val="00A4272E"/>
    <w:rsid w:val="00A435A0"/>
    <w:rsid w:val="00A441F0"/>
    <w:rsid w:val="00A46263"/>
    <w:rsid w:val="00A5646A"/>
    <w:rsid w:val="00A56AA0"/>
    <w:rsid w:val="00A57747"/>
    <w:rsid w:val="00A6163D"/>
    <w:rsid w:val="00A62DA5"/>
    <w:rsid w:val="00A64EFA"/>
    <w:rsid w:val="00A656DC"/>
    <w:rsid w:val="00A7137B"/>
    <w:rsid w:val="00A7529D"/>
    <w:rsid w:val="00A7688D"/>
    <w:rsid w:val="00A8198A"/>
    <w:rsid w:val="00A82C60"/>
    <w:rsid w:val="00A85CFF"/>
    <w:rsid w:val="00A86890"/>
    <w:rsid w:val="00A90316"/>
    <w:rsid w:val="00A90410"/>
    <w:rsid w:val="00A90A76"/>
    <w:rsid w:val="00A94222"/>
    <w:rsid w:val="00A94809"/>
    <w:rsid w:val="00A96F7A"/>
    <w:rsid w:val="00AA0082"/>
    <w:rsid w:val="00AA02AF"/>
    <w:rsid w:val="00AA0841"/>
    <w:rsid w:val="00AA08DC"/>
    <w:rsid w:val="00AA2368"/>
    <w:rsid w:val="00AA48B2"/>
    <w:rsid w:val="00AA5379"/>
    <w:rsid w:val="00AA6D60"/>
    <w:rsid w:val="00AA7907"/>
    <w:rsid w:val="00AB225D"/>
    <w:rsid w:val="00AB648B"/>
    <w:rsid w:val="00AC392B"/>
    <w:rsid w:val="00AC54E2"/>
    <w:rsid w:val="00AC6868"/>
    <w:rsid w:val="00AD5D5D"/>
    <w:rsid w:val="00AE51A2"/>
    <w:rsid w:val="00AF2E77"/>
    <w:rsid w:val="00AF3C76"/>
    <w:rsid w:val="00B00E94"/>
    <w:rsid w:val="00B03627"/>
    <w:rsid w:val="00B041CF"/>
    <w:rsid w:val="00B0593F"/>
    <w:rsid w:val="00B144F1"/>
    <w:rsid w:val="00B16E91"/>
    <w:rsid w:val="00B206D6"/>
    <w:rsid w:val="00B23261"/>
    <w:rsid w:val="00B26CFB"/>
    <w:rsid w:val="00B30389"/>
    <w:rsid w:val="00B31650"/>
    <w:rsid w:val="00B32BE4"/>
    <w:rsid w:val="00B32F96"/>
    <w:rsid w:val="00B350D6"/>
    <w:rsid w:val="00B35943"/>
    <w:rsid w:val="00B36699"/>
    <w:rsid w:val="00B40599"/>
    <w:rsid w:val="00B40E64"/>
    <w:rsid w:val="00B4652A"/>
    <w:rsid w:val="00B46BF2"/>
    <w:rsid w:val="00B46D0D"/>
    <w:rsid w:val="00B4732F"/>
    <w:rsid w:val="00B51D8A"/>
    <w:rsid w:val="00B54911"/>
    <w:rsid w:val="00B5638B"/>
    <w:rsid w:val="00B61A29"/>
    <w:rsid w:val="00B63AA3"/>
    <w:rsid w:val="00B65ECA"/>
    <w:rsid w:val="00B663CB"/>
    <w:rsid w:val="00B67C08"/>
    <w:rsid w:val="00B724BD"/>
    <w:rsid w:val="00B73908"/>
    <w:rsid w:val="00B73C50"/>
    <w:rsid w:val="00B814D8"/>
    <w:rsid w:val="00B85CA7"/>
    <w:rsid w:val="00B87727"/>
    <w:rsid w:val="00B97213"/>
    <w:rsid w:val="00BA0394"/>
    <w:rsid w:val="00BA1D10"/>
    <w:rsid w:val="00BA27EA"/>
    <w:rsid w:val="00BB5492"/>
    <w:rsid w:val="00BC405A"/>
    <w:rsid w:val="00BC490F"/>
    <w:rsid w:val="00BC6C59"/>
    <w:rsid w:val="00BC70B1"/>
    <w:rsid w:val="00BD27F4"/>
    <w:rsid w:val="00BD4724"/>
    <w:rsid w:val="00BD4C7C"/>
    <w:rsid w:val="00BE1378"/>
    <w:rsid w:val="00BE1CDF"/>
    <w:rsid w:val="00BE2844"/>
    <w:rsid w:val="00BE7356"/>
    <w:rsid w:val="00BF0C13"/>
    <w:rsid w:val="00BF254C"/>
    <w:rsid w:val="00BF4F22"/>
    <w:rsid w:val="00BF65BA"/>
    <w:rsid w:val="00BF65F5"/>
    <w:rsid w:val="00BF6E0A"/>
    <w:rsid w:val="00C0152E"/>
    <w:rsid w:val="00C02328"/>
    <w:rsid w:val="00C024CF"/>
    <w:rsid w:val="00C02AAF"/>
    <w:rsid w:val="00C04C75"/>
    <w:rsid w:val="00C0557A"/>
    <w:rsid w:val="00C0614C"/>
    <w:rsid w:val="00C10209"/>
    <w:rsid w:val="00C14A75"/>
    <w:rsid w:val="00C173F3"/>
    <w:rsid w:val="00C1742F"/>
    <w:rsid w:val="00C1756C"/>
    <w:rsid w:val="00C228D7"/>
    <w:rsid w:val="00C23C82"/>
    <w:rsid w:val="00C24F59"/>
    <w:rsid w:val="00C2686E"/>
    <w:rsid w:val="00C32E83"/>
    <w:rsid w:val="00C3537E"/>
    <w:rsid w:val="00C364F8"/>
    <w:rsid w:val="00C3692E"/>
    <w:rsid w:val="00C4019D"/>
    <w:rsid w:val="00C51572"/>
    <w:rsid w:val="00C53F95"/>
    <w:rsid w:val="00C54445"/>
    <w:rsid w:val="00C54CDB"/>
    <w:rsid w:val="00C55D4E"/>
    <w:rsid w:val="00C604B9"/>
    <w:rsid w:val="00C61436"/>
    <w:rsid w:val="00C65762"/>
    <w:rsid w:val="00C6687F"/>
    <w:rsid w:val="00C73B24"/>
    <w:rsid w:val="00C753B5"/>
    <w:rsid w:val="00C96BAE"/>
    <w:rsid w:val="00C96F22"/>
    <w:rsid w:val="00C97F66"/>
    <w:rsid w:val="00CA013C"/>
    <w:rsid w:val="00CA2DC9"/>
    <w:rsid w:val="00CA4C13"/>
    <w:rsid w:val="00CB01AC"/>
    <w:rsid w:val="00CB1E61"/>
    <w:rsid w:val="00CB215E"/>
    <w:rsid w:val="00CB412D"/>
    <w:rsid w:val="00CB531B"/>
    <w:rsid w:val="00CB5835"/>
    <w:rsid w:val="00CC29CF"/>
    <w:rsid w:val="00CC6FFA"/>
    <w:rsid w:val="00CD15DA"/>
    <w:rsid w:val="00CD4E9F"/>
    <w:rsid w:val="00CD567E"/>
    <w:rsid w:val="00CD6037"/>
    <w:rsid w:val="00CD797C"/>
    <w:rsid w:val="00CE1F2B"/>
    <w:rsid w:val="00CE4A54"/>
    <w:rsid w:val="00CE63D3"/>
    <w:rsid w:val="00CE7029"/>
    <w:rsid w:val="00CF683E"/>
    <w:rsid w:val="00D00AC0"/>
    <w:rsid w:val="00D04827"/>
    <w:rsid w:val="00D050EC"/>
    <w:rsid w:val="00D11172"/>
    <w:rsid w:val="00D14DDD"/>
    <w:rsid w:val="00D15CA8"/>
    <w:rsid w:val="00D168DF"/>
    <w:rsid w:val="00D210ED"/>
    <w:rsid w:val="00D212AC"/>
    <w:rsid w:val="00D213D6"/>
    <w:rsid w:val="00D220E2"/>
    <w:rsid w:val="00D2268B"/>
    <w:rsid w:val="00D235EB"/>
    <w:rsid w:val="00D27864"/>
    <w:rsid w:val="00D325DB"/>
    <w:rsid w:val="00D3587F"/>
    <w:rsid w:val="00D40F6B"/>
    <w:rsid w:val="00D45321"/>
    <w:rsid w:val="00D464E4"/>
    <w:rsid w:val="00D53D8F"/>
    <w:rsid w:val="00D54C13"/>
    <w:rsid w:val="00D56AC1"/>
    <w:rsid w:val="00D61C6B"/>
    <w:rsid w:val="00D62FFA"/>
    <w:rsid w:val="00D74906"/>
    <w:rsid w:val="00D75141"/>
    <w:rsid w:val="00D772FD"/>
    <w:rsid w:val="00D8155F"/>
    <w:rsid w:val="00D846AF"/>
    <w:rsid w:val="00D87273"/>
    <w:rsid w:val="00D95A98"/>
    <w:rsid w:val="00D97319"/>
    <w:rsid w:val="00DA4A4C"/>
    <w:rsid w:val="00DA6BD9"/>
    <w:rsid w:val="00DB2599"/>
    <w:rsid w:val="00DC1F45"/>
    <w:rsid w:val="00DC48C8"/>
    <w:rsid w:val="00DC6F62"/>
    <w:rsid w:val="00DD31A1"/>
    <w:rsid w:val="00DD4DEE"/>
    <w:rsid w:val="00DD658E"/>
    <w:rsid w:val="00DD77D7"/>
    <w:rsid w:val="00DE0D5A"/>
    <w:rsid w:val="00DE23E9"/>
    <w:rsid w:val="00DE2D53"/>
    <w:rsid w:val="00DE30C0"/>
    <w:rsid w:val="00DE3E68"/>
    <w:rsid w:val="00DF1357"/>
    <w:rsid w:val="00DF159B"/>
    <w:rsid w:val="00DF6CCE"/>
    <w:rsid w:val="00DF7F5B"/>
    <w:rsid w:val="00E037E5"/>
    <w:rsid w:val="00E0644E"/>
    <w:rsid w:val="00E07E23"/>
    <w:rsid w:val="00E3685A"/>
    <w:rsid w:val="00E40143"/>
    <w:rsid w:val="00E47250"/>
    <w:rsid w:val="00E5087F"/>
    <w:rsid w:val="00E51693"/>
    <w:rsid w:val="00E52888"/>
    <w:rsid w:val="00E53408"/>
    <w:rsid w:val="00E537A7"/>
    <w:rsid w:val="00E5638D"/>
    <w:rsid w:val="00E57958"/>
    <w:rsid w:val="00E60667"/>
    <w:rsid w:val="00E60E45"/>
    <w:rsid w:val="00E61637"/>
    <w:rsid w:val="00E65BD0"/>
    <w:rsid w:val="00E66BD9"/>
    <w:rsid w:val="00E70643"/>
    <w:rsid w:val="00E711AE"/>
    <w:rsid w:val="00E721B2"/>
    <w:rsid w:val="00E762EB"/>
    <w:rsid w:val="00E76A8C"/>
    <w:rsid w:val="00E76C7A"/>
    <w:rsid w:val="00E810BF"/>
    <w:rsid w:val="00E82878"/>
    <w:rsid w:val="00E82C24"/>
    <w:rsid w:val="00E82E1F"/>
    <w:rsid w:val="00E8640B"/>
    <w:rsid w:val="00E87D90"/>
    <w:rsid w:val="00E92841"/>
    <w:rsid w:val="00E92F29"/>
    <w:rsid w:val="00EA39A1"/>
    <w:rsid w:val="00EA5FC4"/>
    <w:rsid w:val="00EB18F1"/>
    <w:rsid w:val="00EB6DB9"/>
    <w:rsid w:val="00EB7C24"/>
    <w:rsid w:val="00EC785A"/>
    <w:rsid w:val="00EE3B25"/>
    <w:rsid w:val="00EE6AA5"/>
    <w:rsid w:val="00EF0288"/>
    <w:rsid w:val="00F04407"/>
    <w:rsid w:val="00F1091F"/>
    <w:rsid w:val="00F13EDB"/>
    <w:rsid w:val="00F1512E"/>
    <w:rsid w:val="00F178E7"/>
    <w:rsid w:val="00F246FD"/>
    <w:rsid w:val="00F30388"/>
    <w:rsid w:val="00F30430"/>
    <w:rsid w:val="00F3158F"/>
    <w:rsid w:val="00F3327E"/>
    <w:rsid w:val="00F342B1"/>
    <w:rsid w:val="00F4330E"/>
    <w:rsid w:val="00F44425"/>
    <w:rsid w:val="00F47EAE"/>
    <w:rsid w:val="00F51F73"/>
    <w:rsid w:val="00F53DDF"/>
    <w:rsid w:val="00F53E46"/>
    <w:rsid w:val="00F6001D"/>
    <w:rsid w:val="00F60456"/>
    <w:rsid w:val="00F607C4"/>
    <w:rsid w:val="00F60FBF"/>
    <w:rsid w:val="00F61443"/>
    <w:rsid w:val="00F63689"/>
    <w:rsid w:val="00F63BEC"/>
    <w:rsid w:val="00F66261"/>
    <w:rsid w:val="00F66B8D"/>
    <w:rsid w:val="00F67567"/>
    <w:rsid w:val="00F67630"/>
    <w:rsid w:val="00F7162E"/>
    <w:rsid w:val="00F737A4"/>
    <w:rsid w:val="00F8205B"/>
    <w:rsid w:val="00F83FEE"/>
    <w:rsid w:val="00F85913"/>
    <w:rsid w:val="00F865B7"/>
    <w:rsid w:val="00F9481F"/>
    <w:rsid w:val="00F94E9D"/>
    <w:rsid w:val="00F97224"/>
    <w:rsid w:val="00FA1190"/>
    <w:rsid w:val="00FA3EE9"/>
    <w:rsid w:val="00FA75BD"/>
    <w:rsid w:val="00FA7FA8"/>
    <w:rsid w:val="00FB3212"/>
    <w:rsid w:val="00FB5E91"/>
    <w:rsid w:val="00FB6DA1"/>
    <w:rsid w:val="00FC434E"/>
    <w:rsid w:val="00FC4BD9"/>
    <w:rsid w:val="00FD0C78"/>
    <w:rsid w:val="00FD614B"/>
    <w:rsid w:val="00FE0418"/>
    <w:rsid w:val="00FE6F24"/>
    <w:rsid w:val="00FE7F52"/>
    <w:rsid w:val="00FF12E8"/>
    <w:rsid w:val="00FF1425"/>
    <w:rsid w:val="00FF216F"/>
    <w:rsid w:val="00FF229E"/>
    <w:rsid w:val="00FF2E35"/>
    <w:rsid w:val="00FF5AE6"/>
    <w:rsid w:val="00FF6734"/>
    <w:rsid w:val="00FF7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strokecolor="navy">
      <v:stroke color="navy" weight="1pt"/>
      <o:colormru v:ext="edit" colors="#002754,#97a9b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F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g1">
    <w:name w:val="big1"/>
    <w:basedOn w:val="a0"/>
    <w:rsid w:val="00872F4D"/>
    <w:rPr>
      <w:sz w:val="22"/>
      <w:szCs w:val="22"/>
    </w:rPr>
  </w:style>
  <w:style w:type="paragraph" w:styleId="a3">
    <w:name w:val="header"/>
    <w:basedOn w:val="a"/>
    <w:rsid w:val="00872F4D"/>
    <w:pPr>
      <w:tabs>
        <w:tab w:val="center" w:pos="4153"/>
        <w:tab w:val="right" w:pos="8306"/>
      </w:tabs>
      <w:snapToGrid w:val="0"/>
      <w:jc w:val="center"/>
    </w:pPr>
    <w:rPr>
      <w:sz w:val="18"/>
      <w:szCs w:val="18"/>
    </w:rPr>
  </w:style>
  <w:style w:type="paragraph" w:styleId="a4">
    <w:name w:val="footer"/>
    <w:basedOn w:val="a"/>
    <w:rsid w:val="00872F4D"/>
    <w:pPr>
      <w:tabs>
        <w:tab w:val="center" w:pos="4153"/>
        <w:tab w:val="right" w:pos="8306"/>
      </w:tabs>
      <w:snapToGrid w:val="0"/>
      <w:jc w:val="left"/>
    </w:pPr>
    <w:rPr>
      <w:sz w:val="18"/>
      <w:szCs w:val="18"/>
    </w:rPr>
  </w:style>
  <w:style w:type="paragraph" w:styleId="a5">
    <w:name w:val="Body Text"/>
    <w:basedOn w:val="a"/>
    <w:rsid w:val="00872F4D"/>
    <w:rPr>
      <w:sz w:val="13"/>
    </w:rPr>
  </w:style>
  <w:style w:type="character" w:styleId="a6">
    <w:name w:val="page number"/>
    <w:basedOn w:val="a0"/>
    <w:rsid w:val="00872F4D"/>
  </w:style>
  <w:style w:type="paragraph" w:customStyle="1" w:styleId="a7">
    <w:name w:val="内文表格首行"/>
    <w:basedOn w:val="a"/>
    <w:rsid w:val="00872F4D"/>
    <w:pPr>
      <w:autoSpaceDE w:val="0"/>
      <w:autoSpaceDN w:val="0"/>
      <w:adjustRightInd w:val="0"/>
      <w:jc w:val="center"/>
    </w:pPr>
    <w:rPr>
      <w:rFonts w:eastAsia="楷体_GB2312"/>
      <w:b/>
      <w:bCs/>
      <w:sz w:val="18"/>
      <w:szCs w:val="15"/>
    </w:rPr>
  </w:style>
  <w:style w:type="paragraph" w:customStyle="1" w:styleId="A30">
    <w:name w:val="A3内文三级标题"/>
    <w:basedOn w:val="a"/>
    <w:rsid w:val="00872F4D"/>
    <w:pPr>
      <w:spacing w:beforeLines="50" w:line="280" w:lineRule="exact"/>
      <w:ind w:firstLineChars="170" w:firstLine="358"/>
    </w:pPr>
    <w:rPr>
      <w:rFonts w:ascii="Arial" w:eastAsia="楷体_GB2312" w:hAnsi="Arial" w:cs="Arial"/>
      <w:b/>
    </w:rPr>
  </w:style>
  <w:style w:type="paragraph" w:customStyle="1" w:styleId="A40">
    <w:name w:val="A4内文"/>
    <w:basedOn w:val="a"/>
    <w:rsid w:val="00872F4D"/>
    <w:pPr>
      <w:spacing w:beforeLines="20" w:line="280" w:lineRule="exact"/>
      <w:ind w:firstLineChars="200" w:firstLine="384"/>
    </w:pPr>
    <w:rPr>
      <w:rFonts w:eastAsia="楷体_GB2312" w:cs="Arial"/>
      <w:color w:val="000000"/>
      <w:spacing w:val="-4"/>
      <w:sz w:val="20"/>
    </w:rPr>
  </w:style>
  <w:style w:type="paragraph" w:customStyle="1" w:styleId="B2">
    <w:name w:val="B2内文表格首行"/>
    <w:basedOn w:val="a"/>
    <w:rsid w:val="00872F4D"/>
    <w:pPr>
      <w:autoSpaceDE w:val="0"/>
      <w:autoSpaceDN w:val="0"/>
      <w:adjustRightInd w:val="0"/>
      <w:jc w:val="center"/>
    </w:pPr>
    <w:rPr>
      <w:rFonts w:eastAsia="楷体_GB2312"/>
      <w:b/>
      <w:bCs/>
      <w:sz w:val="15"/>
      <w:szCs w:val="15"/>
    </w:rPr>
  </w:style>
  <w:style w:type="paragraph" w:customStyle="1" w:styleId="B3">
    <w:name w:val="B3内文表格内容"/>
    <w:basedOn w:val="a"/>
    <w:rsid w:val="00872F4D"/>
    <w:pPr>
      <w:spacing w:line="0" w:lineRule="atLeast"/>
    </w:pPr>
    <w:rPr>
      <w:rFonts w:ascii="Arial" w:eastAsia="楷体_GB2312" w:hAnsi="Arial" w:cs="Arial"/>
      <w:sz w:val="15"/>
      <w:szCs w:val="15"/>
    </w:rPr>
  </w:style>
  <w:style w:type="paragraph" w:customStyle="1" w:styleId="B1">
    <w:name w:val="B1内文表格标题"/>
    <w:basedOn w:val="a"/>
    <w:rsid w:val="00872F4D"/>
    <w:rPr>
      <w:rFonts w:eastAsia="楷体_GB2312"/>
      <w:b/>
      <w:bCs/>
      <w:spacing w:val="-4"/>
      <w:szCs w:val="21"/>
    </w:rPr>
  </w:style>
  <w:style w:type="table" w:styleId="a8">
    <w:name w:val="Table Grid"/>
    <w:basedOn w:val="a1"/>
    <w:rsid w:val="00F737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0">
    <w:name w:val="A2内文二级标题"/>
    <w:basedOn w:val="a"/>
    <w:rsid w:val="00872F4D"/>
    <w:pPr>
      <w:spacing w:beforeLines="50"/>
      <w:ind w:firstLineChars="162" w:firstLine="358"/>
    </w:pPr>
    <w:rPr>
      <w:rFonts w:ascii="Arial" w:eastAsia="楷体_GB2312" w:hAnsi="Arial" w:cs="Arial"/>
      <w:b/>
      <w:sz w:val="22"/>
    </w:rPr>
  </w:style>
  <w:style w:type="paragraph" w:customStyle="1" w:styleId="a9">
    <w:name w:val="内文"/>
    <w:basedOn w:val="a"/>
    <w:rsid w:val="00CD797C"/>
    <w:pPr>
      <w:spacing w:beforeLines="20" w:afterLines="50" w:line="280" w:lineRule="exact"/>
      <w:ind w:firstLine="406"/>
    </w:pPr>
    <w:rPr>
      <w:rFonts w:ascii="Arial" w:eastAsia="楷体_GB2312" w:hAnsi="Arial" w:cs="Arial"/>
      <w:color w:val="000000"/>
      <w:spacing w:val="-4"/>
      <w:sz w:val="20"/>
    </w:rPr>
  </w:style>
  <w:style w:type="paragraph" w:customStyle="1" w:styleId="aa">
    <w:name w:val="图表脚注"/>
    <w:basedOn w:val="a"/>
    <w:rsid w:val="00CD797C"/>
    <w:pPr>
      <w:spacing w:line="240" w:lineRule="atLeast"/>
    </w:pPr>
    <w:rPr>
      <w:rFonts w:ascii="Arial" w:eastAsia="楷体_GB2312" w:hAnsi="Arial" w:cs="Arial"/>
      <w:color w:val="000000"/>
      <w:sz w:val="15"/>
    </w:rPr>
  </w:style>
  <w:style w:type="paragraph" w:customStyle="1" w:styleId="B4">
    <w:name w:val="B4内文图表脚注"/>
    <w:basedOn w:val="a"/>
    <w:rsid w:val="00CD797C"/>
    <w:rPr>
      <w:rFonts w:eastAsia="楷体_GB2312"/>
      <w:color w:val="000000"/>
      <w:sz w:val="15"/>
    </w:rPr>
  </w:style>
  <w:style w:type="paragraph" w:customStyle="1" w:styleId="B10">
    <w:name w:val="B1内文图表标题"/>
    <w:basedOn w:val="a"/>
    <w:rsid w:val="00CD797C"/>
    <w:rPr>
      <w:rFonts w:eastAsia="楷体_GB2312"/>
      <w:b/>
      <w:bCs/>
      <w:sz w:val="18"/>
      <w:szCs w:val="21"/>
    </w:rPr>
  </w:style>
  <w:style w:type="paragraph" w:customStyle="1" w:styleId="ab">
    <w:name w:val="内文一级标题"/>
    <w:basedOn w:val="a"/>
    <w:rsid w:val="00AE51A2"/>
    <w:pPr>
      <w:spacing w:beforeLines="200"/>
      <w:ind w:firstLineChars="195" w:firstLine="376"/>
    </w:pPr>
    <w:rPr>
      <w:rFonts w:ascii="Arial" w:eastAsia="楷体_GB2312" w:hAnsi="Arial" w:cs="Arial"/>
      <w:b/>
      <w:bCs/>
      <w:noProof/>
      <w:color w:val="000000"/>
      <w:sz w:val="32"/>
    </w:rPr>
  </w:style>
  <w:style w:type="paragraph" w:customStyle="1" w:styleId="ac">
    <w:name w:val="内文表格内容"/>
    <w:basedOn w:val="a"/>
    <w:rsid w:val="00D210ED"/>
    <w:pPr>
      <w:spacing w:line="0" w:lineRule="atLeast"/>
    </w:pPr>
    <w:rPr>
      <w:rFonts w:eastAsia="楷体_GB2312"/>
      <w:sz w:val="18"/>
      <w:szCs w:val="15"/>
    </w:rPr>
  </w:style>
  <w:style w:type="paragraph" w:customStyle="1" w:styleId="1Char">
    <w:name w:val="1 Char"/>
    <w:basedOn w:val="a"/>
    <w:rsid w:val="00E82C24"/>
    <w:pPr>
      <w:widowControl/>
      <w:spacing w:after="160" w:line="240" w:lineRule="exact"/>
    </w:pPr>
    <w:rPr>
      <w:rFonts w:cs="Arial"/>
      <w:kern w:val="0"/>
      <w:sz w:val="22"/>
      <w:szCs w:val="20"/>
      <w:lang w:eastAsia="en-US"/>
    </w:rPr>
  </w:style>
  <w:style w:type="paragraph" w:customStyle="1" w:styleId="CharCharCharCharCharCharChar">
    <w:name w:val="Char Char Char Char Char Char Char"/>
    <w:basedOn w:val="a"/>
    <w:rsid w:val="006E07B9"/>
    <w:pPr>
      <w:widowControl/>
      <w:spacing w:after="160" w:line="240" w:lineRule="exact"/>
      <w:jc w:val="left"/>
    </w:pPr>
    <w:rPr>
      <w:rFonts w:ascii="Verdana" w:hAnsi="Verdana"/>
      <w:kern w:val="0"/>
      <w:sz w:val="20"/>
      <w:szCs w:val="20"/>
      <w:lang w:eastAsia="en-US"/>
    </w:rPr>
  </w:style>
  <w:style w:type="character" w:styleId="ad">
    <w:name w:val="Placeholder Text"/>
    <w:basedOn w:val="a0"/>
    <w:uiPriority w:val="99"/>
    <w:semiHidden/>
    <w:rsid w:val="006F0EC4"/>
    <w:rPr>
      <w:color w:val="808080"/>
    </w:rPr>
  </w:style>
  <w:style w:type="paragraph" w:styleId="ae">
    <w:name w:val="Balloon Text"/>
    <w:basedOn w:val="a"/>
    <w:link w:val="Char"/>
    <w:rsid w:val="006F0EC4"/>
    <w:rPr>
      <w:sz w:val="16"/>
      <w:szCs w:val="16"/>
    </w:rPr>
  </w:style>
  <w:style w:type="character" w:customStyle="1" w:styleId="Char">
    <w:name w:val="批注框文本 Char"/>
    <w:basedOn w:val="a0"/>
    <w:link w:val="ae"/>
    <w:rsid w:val="006F0EC4"/>
    <w:rPr>
      <w:kern w:val="2"/>
      <w:sz w:val="16"/>
      <w:szCs w:val="16"/>
    </w:rPr>
  </w:style>
  <w:style w:type="table" w:customStyle="1" w:styleId="GABasicTable">
    <w:name w:val="GABasicTable"/>
    <w:basedOn w:val="a1"/>
    <w:rsid w:val="00CE63D3"/>
    <w:tblPr>
      <w:tblInd w:w="0" w:type="dxa"/>
      <w:tblCellMar>
        <w:top w:w="0" w:type="dxa"/>
        <w:left w:w="108" w:type="dxa"/>
        <w:bottom w:w="0" w:type="dxa"/>
        <w:right w:w="108" w:type="dxa"/>
      </w:tblCellMar>
    </w:tblPr>
  </w:style>
  <w:style w:type="paragraph" w:customStyle="1" w:styleId="af">
    <w:name w:val="国信正文一级标题"/>
    <w:basedOn w:val="ab"/>
    <w:link w:val="Char0"/>
    <w:rsid w:val="00586948"/>
    <w:pPr>
      <w:spacing w:beforeLines="80" w:line="280" w:lineRule="exact"/>
      <w:ind w:firstLineChars="0" w:firstLine="0"/>
      <w:outlineLvl w:val="0"/>
    </w:pPr>
    <w:rPr>
      <w:sz w:val="30"/>
    </w:rPr>
  </w:style>
  <w:style w:type="character" w:customStyle="1" w:styleId="Char0">
    <w:name w:val="国信正文一级标题 Char"/>
    <w:basedOn w:val="a0"/>
    <w:link w:val="af"/>
    <w:rsid w:val="00586948"/>
    <w:rPr>
      <w:rFonts w:ascii="Arial" w:eastAsia="楷体_GB2312" w:hAnsi="Arial" w:cs="Arial"/>
      <w:b/>
      <w:bCs/>
      <w:noProof/>
      <w:color w:val="000000"/>
      <w:kern w:val="2"/>
      <w:sz w:val="30"/>
      <w:szCs w:val="24"/>
    </w:rPr>
  </w:style>
  <w:style w:type="paragraph" w:customStyle="1" w:styleId="af0">
    <w:name w:val="国信正文前后无图表"/>
    <w:basedOn w:val="a"/>
    <w:link w:val="Char1"/>
    <w:rsid w:val="00AA2368"/>
    <w:pPr>
      <w:spacing w:beforeLines="20" w:line="280" w:lineRule="exact"/>
    </w:pPr>
    <w:rPr>
      <w:rFonts w:ascii="Arial" w:eastAsia="楷体_GB2312" w:hAnsi="Arial" w:cs="Arial"/>
      <w:color w:val="000000"/>
      <w:spacing w:val="-4"/>
      <w:sz w:val="20"/>
    </w:rPr>
  </w:style>
  <w:style w:type="character" w:customStyle="1" w:styleId="Char1">
    <w:name w:val="国信正文前后无图表 Char"/>
    <w:basedOn w:val="a0"/>
    <w:link w:val="af0"/>
    <w:rsid w:val="00AA2368"/>
    <w:rPr>
      <w:rFonts w:ascii="Arial" w:eastAsia="楷体_GB2312" w:hAnsi="Arial" w:cs="Arial"/>
      <w:color w:val="000000"/>
      <w:spacing w:val="-4"/>
      <w:kern w:val="2"/>
      <w:szCs w:val="24"/>
    </w:rPr>
  </w:style>
  <w:style w:type="paragraph" w:customStyle="1" w:styleId="A4Char">
    <w:name w:val="A4内文 Char"/>
    <w:basedOn w:val="a"/>
    <w:rsid w:val="00FD0C78"/>
    <w:pPr>
      <w:spacing w:before="62" w:after="156" w:line="280" w:lineRule="exact"/>
      <w:ind w:firstLine="384"/>
    </w:pPr>
    <w:rPr>
      <w:rFonts w:ascii="Arial" w:eastAsia="楷体_GB2312" w:hAnsi="Arial" w:cs="Arial"/>
      <w:color w:val="000000"/>
      <w:spacing w:val="-4"/>
      <w:sz w:val="20"/>
    </w:rPr>
  </w:style>
  <w:style w:type="paragraph" w:customStyle="1" w:styleId="af1">
    <w:name w:val="内文二级标题"/>
    <w:basedOn w:val="a"/>
    <w:rsid w:val="0089307E"/>
    <w:pPr>
      <w:spacing w:before="249"/>
      <w:ind w:firstLine="378"/>
    </w:pPr>
    <w:rPr>
      <w:rFonts w:ascii="Arial" w:eastAsia="楷体_GB2312" w:hAnsi="Arial" w:cs="Arial"/>
      <w:b/>
      <w:color w:val="000000"/>
      <w:sz w:val="22"/>
    </w:rPr>
  </w:style>
</w:styles>
</file>

<file path=word/webSettings.xml><?xml version="1.0" encoding="utf-8"?>
<w:webSettings xmlns:r="http://schemas.openxmlformats.org/officeDocument/2006/relationships" xmlns:w="http://schemas.openxmlformats.org/wordprocessingml/2006/main">
  <w:divs>
    <w:div w:id="93017559">
      <w:bodyDiv w:val="1"/>
      <w:marLeft w:val="0"/>
      <w:marRight w:val="0"/>
      <w:marTop w:val="0"/>
      <w:marBottom w:val="0"/>
      <w:divBdr>
        <w:top w:val="none" w:sz="0" w:space="0" w:color="auto"/>
        <w:left w:val="none" w:sz="0" w:space="0" w:color="auto"/>
        <w:bottom w:val="none" w:sz="0" w:space="0" w:color="auto"/>
        <w:right w:val="none" w:sz="0" w:space="0" w:color="auto"/>
      </w:divBdr>
    </w:div>
    <w:div w:id="1154105304">
      <w:bodyDiv w:val="1"/>
      <w:marLeft w:val="0"/>
      <w:marRight w:val="0"/>
      <w:marTop w:val="0"/>
      <w:marBottom w:val="0"/>
      <w:divBdr>
        <w:top w:val="none" w:sz="0" w:space="0" w:color="auto"/>
        <w:left w:val="none" w:sz="0" w:space="0" w:color="auto"/>
        <w:bottom w:val="none" w:sz="0" w:space="0" w:color="auto"/>
        <w:right w:val="none" w:sz="0" w:space="0" w:color="auto"/>
      </w:divBdr>
    </w:div>
    <w:div w:id="1233009196">
      <w:bodyDiv w:val="1"/>
      <w:marLeft w:val="0"/>
      <w:marRight w:val="0"/>
      <w:marTop w:val="0"/>
      <w:marBottom w:val="0"/>
      <w:divBdr>
        <w:top w:val="none" w:sz="0" w:space="0" w:color="auto"/>
        <w:left w:val="none" w:sz="0" w:space="0" w:color="auto"/>
        <w:bottom w:val="none" w:sz="0" w:space="0" w:color="auto"/>
        <w:right w:val="none" w:sz="0" w:space="0" w:color="auto"/>
      </w:divBdr>
    </w:div>
    <w:div w:id="1403138428">
      <w:bodyDiv w:val="1"/>
      <w:marLeft w:val="0"/>
      <w:marRight w:val="0"/>
      <w:marTop w:val="0"/>
      <w:marBottom w:val="0"/>
      <w:divBdr>
        <w:top w:val="none" w:sz="0" w:space="0" w:color="auto"/>
        <w:left w:val="none" w:sz="0" w:space="0" w:color="auto"/>
        <w:bottom w:val="none" w:sz="0" w:space="0" w:color="auto"/>
        <w:right w:val="none" w:sz="0" w:space="0" w:color="auto"/>
      </w:divBdr>
    </w:div>
    <w:div w:id="18145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20449;&#24687;&#25216;&#26415;&#34892;&#19994;\B-GPS&amp;GIS&#23376;&#34892;&#19994;\&#20013;&#28023;&#36798;\&#20013;&#28023;&#36798;&#20844;&#21496;&#30740;&#31350;-&#27431;&#38451;&#20181;&#21326;\&#20844;&#21496;&#30740;&#31350;&#20844;&#21496;&#24555;&#3578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A-&#20449;&#24687;&#25216;&#26415;&#34892;&#19994;\B-GPS&amp;GIS&#23376;&#34892;&#19994;\&#20013;&#28023;&#36798;\&#21355;&#26143;&#23548;&#33322;&#34892;&#19994;&#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20449;&#24687;&#25216;&#26415;&#34892;&#19994;\B-GPS&amp;GIS&#23376;&#34892;&#19994;\&#20013;&#28023;&#36798;\&#21355;&#26143;&#23548;&#33322;&#34892;&#19994;&#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xMode val="edge"/>
          <c:yMode val="edge"/>
          <c:x val="3.0555555555555582E-2"/>
          <c:y val="5.0925925925925923E-2"/>
          <c:w val="0.969444444444446"/>
          <c:h val="0.94907407407407662"/>
        </c:manualLayout>
      </c:layout>
      <c:barChart>
        <c:barDir val="col"/>
        <c:grouping val="clustered"/>
        <c:ser>
          <c:idx val="0"/>
          <c:order val="0"/>
          <c:tx>
            <c:strRef>
              <c:f>Sheet1!$C$3</c:f>
              <c:strCache>
                <c:ptCount val="1"/>
                <c:pt idx="0">
                  <c:v>GNSS设备市场规模(亿元)</c:v>
                </c:pt>
              </c:strCache>
            </c:strRef>
          </c:tx>
          <c:spPr>
            <a:solidFill>
              <a:schemeClr val="accent1">
                <a:lumMod val="75000"/>
              </a:schemeClr>
            </a:solidFill>
            <a:ln w="25400">
              <a:noFill/>
            </a:ln>
          </c:spPr>
          <c:dLbls>
            <c:txPr>
              <a:bodyPr/>
              <a:lstStyle/>
              <a:p>
                <a:pPr>
                  <a:defRPr sz="800" baseline="0"/>
                </a:pPr>
                <a:endParaRPr lang="zh-CN"/>
              </a:p>
            </c:txPr>
            <c:showVal val="1"/>
          </c:dLbls>
          <c:cat>
            <c:strRef>
              <c:f>Sheet1!$D$2:$H$2</c:f>
              <c:strCache>
                <c:ptCount val="5"/>
                <c:pt idx="0">
                  <c:v>2010</c:v>
                </c:pt>
                <c:pt idx="1">
                  <c:v>2011E</c:v>
                </c:pt>
                <c:pt idx="2">
                  <c:v>2012E</c:v>
                </c:pt>
                <c:pt idx="3">
                  <c:v>2013E</c:v>
                </c:pt>
                <c:pt idx="4">
                  <c:v>2014E</c:v>
                </c:pt>
              </c:strCache>
            </c:strRef>
          </c:cat>
          <c:val>
            <c:numRef>
              <c:f>Sheet1!$D$3:$H$3</c:f>
              <c:numCache>
                <c:formatCode>General</c:formatCode>
                <c:ptCount val="5"/>
                <c:pt idx="0">
                  <c:v>12.44</c:v>
                </c:pt>
                <c:pt idx="1">
                  <c:v>16.959999999999987</c:v>
                </c:pt>
                <c:pt idx="2">
                  <c:v>22.21</c:v>
                </c:pt>
                <c:pt idx="3">
                  <c:v>27.03</c:v>
                </c:pt>
                <c:pt idx="4">
                  <c:v>31.41</c:v>
                </c:pt>
              </c:numCache>
            </c:numRef>
          </c:val>
        </c:ser>
        <c:axId val="233191680"/>
        <c:axId val="233355136"/>
      </c:barChart>
      <c:lineChart>
        <c:grouping val="standard"/>
        <c:ser>
          <c:idx val="1"/>
          <c:order val="1"/>
          <c:tx>
            <c:strRef>
              <c:f>Sheet1!$C$4</c:f>
              <c:strCache>
                <c:ptCount val="1"/>
                <c:pt idx="0">
                  <c:v>同比增长率</c:v>
                </c:pt>
              </c:strCache>
            </c:strRef>
          </c:tx>
          <c:spPr>
            <a:ln w="9525">
              <a:solidFill>
                <a:schemeClr val="tx2">
                  <a:lumMod val="60000"/>
                  <a:lumOff val="40000"/>
                </a:schemeClr>
              </a:solidFill>
            </a:ln>
          </c:spPr>
          <c:marker>
            <c:spPr>
              <a:solidFill>
                <a:schemeClr val="tx2">
                  <a:lumMod val="60000"/>
                  <a:lumOff val="40000"/>
                </a:schemeClr>
              </a:solidFill>
              <a:ln>
                <a:solidFill>
                  <a:srgbClr val="1F497D">
                    <a:lumMod val="60000"/>
                    <a:lumOff val="40000"/>
                  </a:srgbClr>
                </a:solidFill>
              </a:ln>
            </c:spPr>
          </c:marker>
          <c:cat>
            <c:strRef>
              <c:f>Sheet1!$D$2:$H$2</c:f>
              <c:strCache>
                <c:ptCount val="5"/>
                <c:pt idx="0">
                  <c:v>2010</c:v>
                </c:pt>
                <c:pt idx="1">
                  <c:v>2011E</c:v>
                </c:pt>
                <c:pt idx="2">
                  <c:v>2012E</c:v>
                </c:pt>
                <c:pt idx="3">
                  <c:v>2013E</c:v>
                </c:pt>
                <c:pt idx="4">
                  <c:v>2014E</c:v>
                </c:pt>
              </c:strCache>
            </c:strRef>
          </c:cat>
          <c:val>
            <c:numRef>
              <c:f>Sheet1!$D$4:$H$4</c:f>
              <c:numCache>
                <c:formatCode>0%</c:formatCode>
                <c:ptCount val="5"/>
                <c:pt idx="0">
                  <c:v>0.30000000000000032</c:v>
                </c:pt>
                <c:pt idx="1">
                  <c:v>0.36334405144694548</c:v>
                </c:pt>
                <c:pt idx="2">
                  <c:v>0.30955188679245377</c:v>
                </c:pt>
                <c:pt idx="3">
                  <c:v>0.21701936064835692</c:v>
                </c:pt>
                <c:pt idx="4">
                  <c:v>0.16204217536071019</c:v>
                </c:pt>
              </c:numCache>
            </c:numRef>
          </c:val>
        </c:ser>
        <c:marker val="1"/>
        <c:axId val="238363392"/>
        <c:axId val="233356672"/>
      </c:lineChart>
      <c:catAx>
        <c:axId val="233191680"/>
        <c:scaling>
          <c:orientation val="minMax"/>
        </c:scaling>
        <c:axPos val="b"/>
        <c:majorTickMark val="in"/>
        <c:tickLblPos val="nextTo"/>
        <c:spPr>
          <a:ln w="3175">
            <a:solidFill>
              <a:srgbClr val="000000"/>
            </a:solidFill>
            <a:prstDash val="solid"/>
          </a:ln>
        </c:spPr>
        <c:txPr>
          <a:bodyPr/>
          <a:lstStyle/>
          <a:p>
            <a:pPr>
              <a:defRPr sz="800" baseline="0"/>
            </a:pPr>
            <a:endParaRPr lang="zh-CN"/>
          </a:p>
        </c:txPr>
        <c:crossAx val="233355136"/>
        <c:crosses val="autoZero"/>
        <c:auto val="1"/>
        <c:lblAlgn val="ctr"/>
        <c:lblOffset val="100"/>
      </c:catAx>
      <c:valAx>
        <c:axId val="233355136"/>
        <c:scaling>
          <c:orientation val="minMax"/>
        </c:scaling>
        <c:axPos val="l"/>
        <c:numFmt formatCode="General" sourceLinked="1"/>
        <c:majorTickMark val="in"/>
        <c:tickLblPos val="nextTo"/>
        <c:spPr>
          <a:ln w="3175">
            <a:solidFill>
              <a:srgbClr val="000000"/>
            </a:solidFill>
            <a:prstDash val="solid"/>
          </a:ln>
        </c:spPr>
        <c:txPr>
          <a:bodyPr/>
          <a:lstStyle/>
          <a:p>
            <a:pPr>
              <a:defRPr sz="800" baseline="0"/>
            </a:pPr>
            <a:endParaRPr lang="zh-CN"/>
          </a:p>
        </c:txPr>
        <c:crossAx val="233191680"/>
        <c:crosses val="autoZero"/>
        <c:crossBetween val="between"/>
      </c:valAx>
      <c:valAx>
        <c:axId val="233356672"/>
        <c:scaling>
          <c:orientation val="minMax"/>
        </c:scaling>
        <c:axPos val="r"/>
        <c:numFmt formatCode="0%" sourceLinked="1"/>
        <c:majorTickMark val="in"/>
        <c:tickLblPos val="nextTo"/>
        <c:txPr>
          <a:bodyPr/>
          <a:lstStyle/>
          <a:p>
            <a:pPr>
              <a:defRPr sz="800" baseline="0"/>
            </a:pPr>
            <a:endParaRPr lang="zh-CN"/>
          </a:p>
        </c:txPr>
        <c:crossAx val="238363392"/>
        <c:crosses val="max"/>
        <c:crossBetween val="between"/>
      </c:valAx>
      <c:catAx>
        <c:axId val="238363392"/>
        <c:scaling>
          <c:orientation val="minMax"/>
        </c:scaling>
        <c:delete val="1"/>
        <c:axPos val="b"/>
        <c:tickLblPos val="none"/>
        <c:crossAx val="233356672"/>
        <c:crosses val="autoZero"/>
        <c:auto val="1"/>
        <c:lblAlgn val="ctr"/>
        <c:lblOffset val="100"/>
      </c:catAx>
      <c:spPr>
        <a:solidFill>
          <a:srgbClr val="FFFFFF"/>
        </a:solidFill>
        <a:ln w="25400">
          <a:noFill/>
        </a:ln>
      </c:spPr>
    </c:plotArea>
    <c:legend>
      <c:legendPos val="t"/>
      <c:layout>
        <c:manualLayout>
          <c:xMode val="edge"/>
          <c:yMode val="edge"/>
          <c:x val="0.13111668757841921"/>
          <c:y val="3.3068783068783067E-2"/>
          <c:w val="0.49937264742785603"/>
          <c:h val="0.11000656167978999"/>
        </c:manualLayout>
      </c:layout>
      <c:spPr>
        <a:ln w="25400">
          <a:noFill/>
        </a:ln>
      </c:spPr>
      <c:txPr>
        <a:bodyPr/>
        <a:lstStyle/>
        <a:p>
          <a:pPr>
            <a:defRPr sz="800" baseline="0">
              <a:ea typeface="楷体_GB2312" pitchFamily="49" charset="-122"/>
            </a:defRPr>
          </a:pPr>
          <a:endParaRPr lang="zh-CN"/>
        </a:p>
      </c:txPr>
    </c:legend>
    <c:plotVisOnly val="1"/>
    <c:dispBlanksAs val="gap"/>
  </c:chart>
  <c:spPr>
    <a:solidFill>
      <a:srgbClr val="FFFFFF"/>
    </a:solidFill>
    <a:ln>
      <a:solidFill>
        <a:srgbClr val="FFFFFF"/>
      </a:solidFill>
      <a:prstDash val="solid"/>
    </a:ln>
  </c:spPr>
  <c:txPr>
    <a:bodyPr/>
    <a:lstStyle/>
    <a:p>
      <a:pPr>
        <a:defRPr baseline="0">
          <a:latin typeface="Arial" pitchFamily="34" charset="0"/>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xMode val="edge"/>
          <c:yMode val="edge"/>
          <c:x val="3.0555555555555582E-2"/>
          <c:y val="5.092592592592593E-2"/>
          <c:w val="0.969444444444446"/>
          <c:h val="0.94907407407407662"/>
        </c:manualLayout>
      </c:layout>
      <c:barChart>
        <c:barDir val="col"/>
        <c:grouping val="percentStacked"/>
        <c:ser>
          <c:idx val="0"/>
          <c:order val="0"/>
          <c:tx>
            <c:strRef>
              <c:f>Sheet1!$C$7</c:f>
              <c:strCache>
                <c:ptCount val="1"/>
                <c:pt idx="0">
                  <c:v>国外品牌</c:v>
                </c:pt>
              </c:strCache>
            </c:strRef>
          </c:tx>
          <c:spPr>
            <a:solidFill>
              <a:srgbClr val="DBE5F1"/>
            </a:solidFill>
            <a:ln w="25400">
              <a:noFill/>
            </a:ln>
          </c:spPr>
          <c:cat>
            <c:strRef>
              <c:f>Sheet1!$D$6:$H$6</c:f>
              <c:strCache>
                <c:ptCount val="5"/>
                <c:pt idx="0">
                  <c:v>2010</c:v>
                </c:pt>
                <c:pt idx="1">
                  <c:v>2011E</c:v>
                </c:pt>
                <c:pt idx="2">
                  <c:v>2012E</c:v>
                </c:pt>
                <c:pt idx="3">
                  <c:v>2013E</c:v>
                </c:pt>
                <c:pt idx="4">
                  <c:v>2014E</c:v>
                </c:pt>
              </c:strCache>
            </c:strRef>
          </c:cat>
          <c:val>
            <c:numRef>
              <c:f>Sheet1!$D$7:$H$7</c:f>
              <c:numCache>
                <c:formatCode>0%</c:formatCode>
                <c:ptCount val="5"/>
                <c:pt idx="0" formatCode="0.00%">
                  <c:v>0.23500000000000001</c:v>
                </c:pt>
                <c:pt idx="1">
                  <c:v>0.2</c:v>
                </c:pt>
                <c:pt idx="2" formatCode="0.00%">
                  <c:v>0.192</c:v>
                </c:pt>
                <c:pt idx="3" formatCode="0.00%">
                  <c:v>0.1850000000000003</c:v>
                </c:pt>
                <c:pt idx="4">
                  <c:v>0.19</c:v>
                </c:pt>
              </c:numCache>
            </c:numRef>
          </c:val>
        </c:ser>
        <c:ser>
          <c:idx val="1"/>
          <c:order val="1"/>
          <c:tx>
            <c:strRef>
              <c:f>Sheet1!$C$8</c:f>
              <c:strCache>
                <c:ptCount val="1"/>
                <c:pt idx="0">
                  <c:v>国内品牌</c:v>
                </c:pt>
              </c:strCache>
            </c:strRef>
          </c:tx>
          <c:spPr>
            <a:solidFill>
              <a:schemeClr val="tx2">
                <a:lumMod val="60000"/>
                <a:lumOff val="40000"/>
              </a:schemeClr>
            </a:solidFill>
            <a:ln w="25400">
              <a:noFill/>
            </a:ln>
          </c:spPr>
          <c:dLbls>
            <c:txPr>
              <a:bodyPr/>
              <a:lstStyle/>
              <a:p>
                <a:pPr>
                  <a:defRPr sz="800" baseline="0">
                    <a:latin typeface="Arial" pitchFamily="34" charset="0"/>
                  </a:defRPr>
                </a:pPr>
                <a:endParaRPr lang="zh-CN"/>
              </a:p>
            </c:txPr>
            <c:showVal val="1"/>
          </c:dLbls>
          <c:cat>
            <c:strRef>
              <c:f>Sheet1!$D$6:$H$6</c:f>
              <c:strCache>
                <c:ptCount val="5"/>
                <c:pt idx="0">
                  <c:v>2010</c:v>
                </c:pt>
                <c:pt idx="1">
                  <c:v>2011E</c:v>
                </c:pt>
                <c:pt idx="2">
                  <c:v>2012E</c:v>
                </c:pt>
                <c:pt idx="3">
                  <c:v>2013E</c:v>
                </c:pt>
                <c:pt idx="4">
                  <c:v>2014E</c:v>
                </c:pt>
              </c:strCache>
            </c:strRef>
          </c:cat>
          <c:val>
            <c:numRef>
              <c:f>Sheet1!$D$8:$H$8</c:f>
              <c:numCache>
                <c:formatCode>0.00%</c:formatCode>
                <c:ptCount val="5"/>
                <c:pt idx="0">
                  <c:v>0.76500000000000135</c:v>
                </c:pt>
                <c:pt idx="1">
                  <c:v>0.8</c:v>
                </c:pt>
                <c:pt idx="2">
                  <c:v>0.80800000000000005</c:v>
                </c:pt>
                <c:pt idx="3">
                  <c:v>0.81499999999999995</c:v>
                </c:pt>
                <c:pt idx="4">
                  <c:v>0.81</c:v>
                </c:pt>
              </c:numCache>
            </c:numRef>
          </c:val>
        </c:ser>
        <c:overlap val="100"/>
        <c:axId val="233376384"/>
        <c:axId val="233484672"/>
      </c:barChart>
      <c:catAx>
        <c:axId val="233376384"/>
        <c:scaling>
          <c:orientation val="minMax"/>
        </c:scaling>
        <c:axPos val="b"/>
        <c:majorTickMark val="in"/>
        <c:tickLblPos val="nextTo"/>
        <c:spPr>
          <a:ln w="3175">
            <a:solidFill>
              <a:srgbClr val="000000"/>
            </a:solidFill>
            <a:prstDash val="solid"/>
          </a:ln>
        </c:spPr>
        <c:txPr>
          <a:bodyPr/>
          <a:lstStyle/>
          <a:p>
            <a:pPr>
              <a:defRPr sz="800" baseline="0">
                <a:latin typeface="Arial"/>
                <a:ea typeface="Arial"/>
                <a:cs typeface="Arial"/>
              </a:defRPr>
            </a:pPr>
            <a:endParaRPr lang="zh-CN"/>
          </a:p>
        </c:txPr>
        <c:crossAx val="233484672"/>
        <c:crosses val="autoZero"/>
        <c:auto val="1"/>
        <c:lblAlgn val="ctr"/>
        <c:lblOffset val="100"/>
      </c:catAx>
      <c:valAx>
        <c:axId val="233484672"/>
        <c:scaling>
          <c:orientation val="minMax"/>
        </c:scaling>
        <c:axPos val="l"/>
        <c:numFmt formatCode="0%" sourceLinked="1"/>
        <c:majorTickMark val="in"/>
        <c:tickLblPos val="nextTo"/>
        <c:spPr>
          <a:ln w="3175">
            <a:solidFill>
              <a:srgbClr val="000000"/>
            </a:solidFill>
            <a:prstDash val="solid"/>
          </a:ln>
        </c:spPr>
        <c:txPr>
          <a:bodyPr/>
          <a:lstStyle/>
          <a:p>
            <a:pPr>
              <a:defRPr sz="800" baseline="0">
                <a:latin typeface="Arial"/>
                <a:ea typeface="Arial"/>
                <a:cs typeface="Arial"/>
              </a:defRPr>
            </a:pPr>
            <a:endParaRPr lang="zh-CN"/>
          </a:p>
        </c:txPr>
        <c:crossAx val="233376384"/>
        <c:crosses val="autoZero"/>
        <c:crossBetween val="between"/>
        <c:majorUnit val="0.2"/>
      </c:valAx>
      <c:spPr>
        <a:solidFill>
          <a:srgbClr val="FFFFFF"/>
        </a:solidFill>
        <a:ln w="25400">
          <a:noFill/>
        </a:ln>
      </c:spPr>
    </c:plotArea>
    <c:legend>
      <c:legendPos val="t"/>
      <c:layout>
        <c:manualLayout>
          <c:xMode val="edge"/>
          <c:yMode val="edge"/>
          <c:x val="0.34471877923777039"/>
          <c:y val="4.3975373790677052E-3"/>
          <c:w val="0.5469637463200312"/>
          <c:h val="7.5036184461111433E-2"/>
        </c:manualLayout>
      </c:layout>
      <c:spPr>
        <a:ln w="25400">
          <a:noFill/>
        </a:ln>
      </c:spPr>
      <c:txPr>
        <a:bodyPr/>
        <a:lstStyle/>
        <a:p>
          <a:pPr>
            <a:defRPr sz="800" baseline="0">
              <a:latin typeface="Arial"/>
              <a:ea typeface="楷体_GB2312" pitchFamily="49" charset="-122"/>
              <a:cs typeface="Arial"/>
            </a:defRPr>
          </a:pPr>
          <a:endParaRPr lang="zh-CN"/>
        </a:p>
      </c:txPr>
    </c:legend>
    <c:plotVisOnly val="1"/>
  </c:chart>
  <c:spPr>
    <a:solidFill>
      <a:srgbClr val="FFFFFF"/>
    </a:solidFill>
    <a:ln>
      <a:solidFill>
        <a:srgbClr val="FFFFFF"/>
      </a:solidFill>
      <a:prstDash val="solid"/>
    </a:ln>
  </c:sp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D21814ECFD4FB992A4AB9E6D3318A0"/>
        <w:category>
          <w:name w:val="常规"/>
          <w:gallery w:val="placeholder"/>
        </w:category>
        <w:types>
          <w:type w:val="bbPlcHdr"/>
        </w:types>
        <w:behaviors>
          <w:behavior w:val="content"/>
        </w:behaviors>
        <w:guid w:val="{6E91B1D5-6FE0-4089-BC24-C4AD28A8CF33}"/>
      </w:docPartPr>
      <w:docPartBody>
        <w:p w:rsidR="006367F9" w:rsidRDefault="006236CC">
          <w:pPr>
            <w:pStyle w:val="EAD21814ECFD4FB992A4AB9E6D3318A0"/>
          </w:pPr>
          <w:r w:rsidRPr="00A349D9">
            <w:rPr>
              <w:rStyle w:val="a3"/>
              <w:rFonts w:hint="eastAsia"/>
            </w:rPr>
            <w:t>单击此处输入文字。</w:t>
          </w:r>
        </w:p>
      </w:docPartBody>
    </w:docPart>
    <w:docPart>
      <w:docPartPr>
        <w:name w:val="3A2C979B3E7E4317A7BBAAFF518CA9E2"/>
        <w:category>
          <w:name w:val="常规"/>
          <w:gallery w:val="placeholder"/>
        </w:category>
        <w:types>
          <w:type w:val="bbPlcHdr"/>
        </w:types>
        <w:behaviors>
          <w:behavior w:val="content"/>
        </w:behaviors>
        <w:guid w:val="{AAB6F4AB-0C73-42E9-B65F-78E959982DC8}"/>
      </w:docPartPr>
      <w:docPartBody>
        <w:p w:rsidR="006367F9" w:rsidRDefault="006236CC">
          <w:pPr>
            <w:pStyle w:val="3A2C979B3E7E4317A7BBAAFF518CA9E2"/>
          </w:pPr>
          <w:r w:rsidRPr="00FB3350">
            <w:rPr>
              <w:rStyle w:val="a3"/>
              <w:rFonts w:hint="eastAsia"/>
            </w:rPr>
            <w:t>当前日期</w:t>
          </w:r>
        </w:p>
      </w:docPartBody>
    </w:docPart>
    <w:docPart>
      <w:docPartPr>
        <w:name w:val="59470467E7CD42A2BA53F61E1E254665"/>
        <w:category>
          <w:name w:val="常规"/>
          <w:gallery w:val="placeholder"/>
        </w:category>
        <w:types>
          <w:type w:val="bbPlcHdr"/>
        </w:types>
        <w:behaviors>
          <w:behavior w:val="content"/>
        </w:behaviors>
        <w:guid w:val="{FFFC7856-4F6E-4D49-9A16-18975525B0C6}"/>
      </w:docPartPr>
      <w:docPartBody>
        <w:p w:rsidR="00E2230F" w:rsidRDefault="0018036B">
          <w:r w:rsidRPr="00963344">
            <w:rPr>
              <w:rStyle w:val="a3"/>
              <w:rFonts w:hint="eastAsia"/>
            </w:rPr>
            <w:t>报告类型</w:t>
          </w:r>
        </w:p>
      </w:docPartBody>
    </w:docPart>
    <w:docPart>
      <w:docPartPr>
        <w:name w:val="E596F49ABD984ADD89732CE40F28A778"/>
        <w:category>
          <w:name w:val="常规"/>
          <w:gallery w:val="placeholder"/>
        </w:category>
        <w:types>
          <w:type w:val="bbPlcHdr"/>
        </w:types>
        <w:behaviors>
          <w:behavior w:val="content"/>
        </w:behaviors>
        <w:guid w:val="{DEEB9A00-C1C8-4C62-AF67-0F2EFCEBCC42}"/>
      </w:docPartPr>
      <w:docPartBody>
        <w:p w:rsidR="00E2230F" w:rsidRDefault="0018036B">
          <w:r w:rsidRPr="00963344">
            <w:rPr>
              <w:rStyle w:val="a3"/>
              <w:rFonts w:hint="eastAsia"/>
            </w:rPr>
            <w:t>国信一级行业</w:t>
          </w:r>
        </w:p>
      </w:docPartBody>
    </w:docPart>
    <w:docPart>
      <w:docPartPr>
        <w:name w:val="E33015260CD3444F9CA6FC02B0CC76C4"/>
        <w:category>
          <w:name w:val="常规"/>
          <w:gallery w:val="placeholder"/>
        </w:category>
        <w:types>
          <w:type w:val="bbPlcHdr"/>
        </w:types>
        <w:behaviors>
          <w:behavior w:val="content"/>
        </w:behaviors>
        <w:guid w:val="{3BA555D0-70AF-4635-99F9-504122134A34}"/>
      </w:docPartPr>
      <w:docPartBody>
        <w:p w:rsidR="00E2230F" w:rsidRDefault="0018036B">
          <w:r w:rsidRPr="00963344">
            <w:rPr>
              <w:rStyle w:val="a3"/>
              <w:rFonts w:hint="eastAsia"/>
            </w:rPr>
            <w:t>股票简称</w:t>
          </w:r>
        </w:p>
      </w:docPartBody>
    </w:docPart>
    <w:docPart>
      <w:docPartPr>
        <w:name w:val="D9ACAA6B5E2B482694CF622731907E55"/>
        <w:category>
          <w:name w:val="常规"/>
          <w:gallery w:val="placeholder"/>
        </w:category>
        <w:types>
          <w:type w:val="bbPlcHdr"/>
        </w:types>
        <w:behaviors>
          <w:behavior w:val="content"/>
        </w:behaviors>
        <w:guid w:val="{B97736F7-0EC4-4625-8286-3E6AA9F0E3F1}"/>
      </w:docPartPr>
      <w:docPartBody>
        <w:p w:rsidR="00E2230F" w:rsidRDefault="0018036B">
          <w:r w:rsidRPr="00963344">
            <w:rPr>
              <w:rStyle w:val="a3"/>
              <w:rFonts w:hint="eastAsia"/>
            </w:rPr>
            <w:t>股票代码</w:t>
          </w:r>
        </w:p>
      </w:docPartBody>
    </w:docPart>
    <w:docPart>
      <w:docPartPr>
        <w:name w:val="0A40D3118A0A438CA32D90A28B92D94A"/>
        <w:category>
          <w:name w:val="常规"/>
          <w:gallery w:val="placeholder"/>
        </w:category>
        <w:types>
          <w:type w:val="bbPlcHdr"/>
        </w:types>
        <w:behaviors>
          <w:behavior w:val="content"/>
        </w:behaviors>
        <w:guid w:val="{D32D5C34-F89B-4130-A1D2-C51AECAD879F}"/>
      </w:docPartPr>
      <w:docPartBody>
        <w:p w:rsidR="00E2230F" w:rsidRDefault="0018036B">
          <w:r w:rsidRPr="00963344">
            <w:rPr>
              <w:rStyle w:val="a3"/>
              <w:rFonts w:hint="eastAsia"/>
            </w:rPr>
            <w:t>公司评级</w:t>
          </w:r>
        </w:p>
      </w:docPartBody>
    </w:docPart>
    <w:docPart>
      <w:docPartPr>
        <w:name w:val="C5157AC033C845FB982333BD9A2D0E61"/>
        <w:category>
          <w:name w:val="常规"/>
          <w:gallery w:val="placeholder"/>
        </w:category>
        <w:types>
          <w:type w:val="bbPlcHdr"/>
        </w:types>
        <w:behaviors>
          <w:behavior w:val="content"/>
        </w:behaviors>
        <w:guid w:val="{F8DEC68B-11B9-4B41-89CC-F61C122F4028}"/>
      </w:docPartPr>
      <w:docPartBody>
        <w:p w:rsidR="00E2230F" w:rsidRDefault="0018036B">
          <w:r w:rsidRPr="00963344">
            <w:rPr>
              <w:rStyle w:val="a3"/>
              <w:rFonts w:hint="eastAsia"/>
            </w:rPr>
            <w:t>副标题</w:t>
          </w:r>
        </w:p>
      </w:docPartBody>
    </w:docPart>
    <w:docPart>
      <w:docPartPr>
        <w:name w:val="5C6064505E7247E4B0A8D2192641712E"/>
        <w:category>
          <w:name w:val="常规"/>
          <w:gallery w:val="placeholder"/>
        </w:category>
        <w:types>
          <w:type w:val="bbPlcHdr"/>
        </w:types>
        <w:behaviors>
          <w:behavior w:val="content"/>
        </w:behaviors>
        <w:guid w:val="{904D914A-A290-4DBD-B7BA-553A86E4F4C0}"/>
      </w:docPartPr>
      <w:docPartBody>
        <w:p w:rsidR="00E2230F" w:rsidRDefault="0018036B">
          <w:r w:rsidRPr="00963344">
            <w:rPr>
              <w:rStyle w:val="a3"/>
              <w:rFonts w:hint="eastAsia"/>
            </w:rPr>
            <w:t>公司评级</w:t>
          </w:r>
        </w:p>
      </w:docPartBody>
    </w:docPart>
    <w:docPart>
      <w:docPartPr>
        <w:name w:val="586995426D11480DBDA3B4FC4D52CF4F"/>
        <w:category>
          <w:name w:val="常规"/>
          <w:gallery w:val="placeholder"/>
        </w:category>
        <w:types>
          <w:type w:val="bbPlcHdr"/>
        </w:types>
        <w:behaviors>
          <w:behavior w:val="content"/>
        </w:behaviors>
        <w:guid w:val="{70C9B885-3754-4679-8BA4-7C44D5E7DD22}"/>
      </w:docPartPr>
      <w:docPartBody>
        <w:p w:rsidR="00E2230F" w:rsidRDefault="0018036B">
          <w:r w:rsidRPr="00963344">
            <w:rPr>
              <w:rStyle w:val="a3"/>
              <w:rFonts w:hint="eastAsia"/>
            </w:rPr>
            <w:t>国信二级行业</w:t>
          </w:r>
        </w:p>
      </w:docPartBody>
    </w:docPart>
    <w:docPart>
      <w:docPartPr>
        <w:name w:val="84403395F31B4DDD84C1EBFB909C1630"/>
        <w:category>
          <w:name w:val="常规"/>
          <w:gallery w:val="placeholder"/>
        </w:category>
        <w:types>
          <w:type w:val="bbPlcHdr"/>
        </w:types>
        <w:behaviors>
          <w:behavior w:val="content"/>
        </w:behaviors>
        <w:guid w:val="{2F2C9807-55A4-47FD-8367-E08E58B8736C}"/>
      </w:docPartPr>
      <w:docPartBody>
        <w:p w:rsidR="00E2230F" w:rsidRDefault="0018036B">
          <w:r w:rsidRPr="00963344">
            <w:rPr>
              <w:rStyle w:val="a3"/>
              <w:rFonts w:hint="eastAsia"/>
            </w:rPr>
            <w:t>当前日期</w:t>
          </w:r>
        </w:p>
      </w:docPartBody>
    </w:docPart>
    <w:docPart>
      <w:docPartPr>
        <w:name w:val="78D70B5EC1D547D88061C8A8468B081B"/>
        <w:category>
          <w:name w:val="常规"/>
          <w:gallery w:val="placeholder"/>
        </w:category>
        <w:types>
          <w:type w:val="bbPlcHdr"/>
        </w:types>
        <w:behaviors>
          <w:behavior w:val="content"/>
        </w:behaviors>
        <w:guid w:val="{DD076224-FF9A-43FD-99D1-05E7E4699270}"/>
      </w:docPartPr>
      <w:docPartBody>
        <w:p w:rsidR="00E2230F" w:rsidRDefault="0018036B">
          <w:r w:rsidRPr="00963344">
            <w:rPr>
              <w:rStyle w:val="a3"/>
              <w:rFonts w:hint="eastAsia"/>
            </w:rPr>
            <w:t>标题</w:t>
          </w:r>
        </w:p>
      </w:docPartBody>
    </w:docPart>
    <w:docPart>
      <w:docPartPr>
        <w:name w:val="A8CB1382C3674A0987C418E82A42970D"/>
        <w:category>
          <w:name w:val="常规"/>
          <w:gallery w:val="placeholder"/>
        </w:category>
        <w:types>
          <w:type w:val="bbPlcHdr"/>
        </w:types>
        <w:behaviors>
          <w:behavior w:val="content"/>
        </w:behaviors>
        <w:guid w:val="{D7F6194E-46C9-40C3-8346-875837BE770B}"/>
      </w:docPartPr>
      <w:docPartBody>
        <w:p w:rsidR="00E2230F" w:rsidRDefault="0018036B">
          <w:r w:rsidRPr="00963344">
            <w:rPr>
              <w:rStyle w:val="a3"/>
              <w:rFonts w:hint="eastAsia"/>
            </w:rPr>
            <w:t>分析师承诺</w:t>
          </w:r>
        </w:p>
      </w:docPartBody>
    </w:docPart>
    <w:docPart>
      <w:docPartPr>
        <w:name w:val="1E9BBDF3EFC94603AF3DA668306F05C2"/>
        <w:category>
          <w:name w:val="常规"/>
          <w:gallery w:val="placeholder"/>
        </w:category>
        <w:types>
          <w:type w:val="bbPlcHdr"/>
        </w:types>
        <w:behaviors>
          <w:behavior w:val="content"/>
        </w:behaviors>
        <w:guid w:val="{D7C31913-8934-42A5-8D6A-1C17FBEA2D6F}"/>
      </w:docPartPr>
      <w:docPartBody>
        <w:p w:rsidR="00E2230F" w:rsidRDefault="0018036B">
          <w:r w:rsidRPr="00963344">
            <w:rPr>
              <w:rStyle w:val="a3"/>
              <w:rFonts w:hint="eastAsia"/>
            </w:rPr>
            <w:t>风险提示</w:t>
          </w:r>
        </w:p>
      </w:docPartBody>
    </w:docPart>
    <w:docPart>
      <w:docPartPr>
        <w:name w:val="D9B7AB269964474487CB278D73523F1E"/>
        <w:category>
          <w:name w:val="常规"/>
          <w:gallery w:val="placeholder"/>
        </w:category>
        <w:types>
          <w:type w:val="bbPlcHdr"/>
        </w:types>
        <w:behaviors>
          <w:behavior w:val="content"/>
        </w:behaviors>
        <w:guid w:val="{6AD07D10-3847-4294-8753-EAAEAC2F9000}"/>
      </w:docPartPr>
      <w:docPartBody>
        <w:p w:rsidR="00E2230F" w:rsidRDefault="0018036B">
          <w:r w:rsidRPr="00963344">
            <w:rPr>
              <w:rStyle w:val="a3"/>
              <w:rFonts w:hint="eastAsia"/>
            </w:rPr>
            <w:t>投资说明</w:t>
          </w:r>
        </w:p>
      </w:docPartBody>
    </w:docPart>
    <w:docPart>
      <w:docPartPr>
        <w:name w:val="37877486D73A45548D3039C229E2D55B"/>
        <w:category>
          <w:name w:val="常规"/>
          <w:gallery w:val="placeholder"/>
        </w:category>
        <w:types>
          <w:type w:val="bbPlcHdr"/>
        </w:types>
        <w:behaviors>
          <w:behavior w:val="content"/>
        </w:behaviors>
        <w:guid w:val="{3742EB17-3278-4CC6-B3BC-9CD9535EBD56}"/>
      </w:docPartPr>
      <w:docPartBody>
        <w:p w:rsidR="00E2230F" w:rsidRDefault="0018036B">
          <w:r w:rsidRPr="00963344">
            <w:rPr>
              <w:rStyle w:val="a3"/>
              <w:rFonts w:hint="eastAsia"/>
            </w:rPr>
            <w:t>证券分析师横表</w:t>
          </w:r>
        </w:p>
      </w:docPartBody>
    </w:docPart>
    <w:docPart>
      <w:docPartPr>
        <w:name w:val="7BDFFA9FC871454D962D9556956A87E4"/>
        <w:category>
          <w:name w:val="常规"/>
          <w:gallery w:val="placeholder"/>
        </w:category>
        <w:types>
          <w:type w:val="bbPlcHdr"/>
        </w:types>
        <w:behaviors>
          <w:behavior w:val="content"/>
        </w:behaviors>
        <w:guid w:val="{FF603342-5946-4C67-9C34-AC9DE0DC50A0}"/>
      </w:docPartPr>
      <w:docPartBody>
        <w:p w:rsidR="00E2230F" w:rsidRDefault="0018036B">
          <w:r w:rsidRPr="00963344">
            <w:rPr>
              <w:rStyle w:val="a3"/>
              <w:rFonts w:hint="eastAsia"/>
            </w:rPr>
            <w:t>股票相关研究报告</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36CC"/>
    <w:rsid w:val="0018036B"/>
    <w:rsid w:val="002A7500"/>
    <w:rsid w:val="006236CC"/>
    <w:rsid w:val="006367F9"/>
    <w:rsid w:val="00DF6848"/>
    <w:rsid w:val="00E223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036B"/>
    <w:rPr>
      <w:color w:val="808080"/>
    </w:rPr>
  </w:style>
  <w:style w:type="paragraph" w:customStyle="1" w:styleId="6B9F1FD4B93A4ED1ACEC0F36208BE5FC">
    <w:name w:val="6B9F1FD4B93A4ED1ACEC0F36208BE5FC"/>
    <w:rsid w:val="006367F9"/>
    <w:pPr>
      <w:widowControl w:val="0"/>
      <w:jc w:val="both"/>
    </w:pPr>
  </w:style>
  <w:style w:type="paragraph" w:customStyle="1" w:styleId="6B4B50AA15AD4E0A988F73D2AC1CDA26">
    <w:name w:val="6B4B50AA15AD4E0A988F73D2AC1CDA26"/>
    <w:rsid w:val="006367F9"/>
    <w:pPr>
      <w:widowControl w:val="0"/>
      <w:jc w:val="both"/>
    </w:pPr>
  </w:style>
  <w:style w:type="paragraph" w:customStyle="1" w:styleId="B8D49529AAC04254B74CB2C05F80BFE7">
    <w:name w:val="B8D49529AAC04254B74CB2C05F80BFE7"/>
    <w:rsid w:val="006367F9"/>
    <w:pPr>
      <w:widowControl w:val="0"/>
      <w:jc w:val="both"/>
    </w:pPr>
  </w:style>
  <w:style w:type="paragraph" w:customStyle="1" w:styleId="5FFC33D5B606406299BE48611D51D067">
    <w:name w:val="5FFC33D5B606406299BE48611D51D067"/>
    <w:rsid w:val="006367F9"/>
    <w:pPr>
      <w:widowControl w:val="0"/>
      <w:jc w:val="both"/>
    </w:pPr>
  </w:style>
  <w:style w:type="paragraph" w:customStyle="1" w:styleId="656E08CB5C0743A086EDFA76C506BA78">
    <w:name w:val="656E08CB5C0743A086EDFA76C506BA78"/>
    <w:rsid w:val="006367F9"/>
    <w:pPr>
      <w:widowControl w:val="0"/>
      <w:jc w:val="both"/>
    </w:pPr>
  </w:style>
  <w:style w:type="paragraph" w:customStyle="1" w:styleId="6F572A67E9D44DE6B2DF5CF9BDB1D708">
    <w:name w:val="6F572A67E9D44DE6B2DF5CF9BDB1D708"/>
    <w:rsid w:val="006367F9"/>
    <w:pPr>
      <w:widowControl w:val="0"/>
      <w:jc w:val="both"/>
    </w:pPr>
  </w:style>
  <w:style w:type="paragraph" w:customStyle="1" w:styleId="73C9A01F0DE34005B352AC57C8F8E96B">
    <w:name w:val="73C9A01F0DE34005B352AC57C8F8E96B"/>
    <w:rsid w:val="006367F9"/>
    <w:pPr>
      <w:widowControl w:val="0"/>
      <w:jc w:val="both"/>
    </w:pPr>
  </w:style>
  <w:style w:type="paragraph" w:customStyle="1" w:styleId="9B0853140AA8417FB76840587C9468C0">
    <w:name w:val="9B0853140AA8417FB76840587C9468C0"/>
    <w:rsid w:val="006367F9"/>
    <w:pPr>
      <w:widowControl w:val="0"/>
      <w:jc w:val="both"/>
    </w:pPr>
  </w:style>
  <w:style w:type="paragraph" w:customStyle="1" w:styleId="26C3BB3EAF4D43E88B75750F7D329EC1">
    <w:name w:val="26C3BB3EAF4D43E88B75750F7D329EC1"/>
    <w:rsid w:val="006367F9"/>
    <w:pPr>
      <w:widowControl w:val="0"/>
      <w:jc w:val="both"/>
    </w:pPr>
  </w:style>
  <w:style w:type="paragraph" w:customStyle="1" w:styleId="4C092DD4894B4CEDBDBBD8AA0CB84806">
    <w:name w:val="4C092DD4894B4CEDBDBBD8AA0CB84806"/>
    <w:rsid w:val="006367F9"/>
    <w:pPr>
      <w:widowControl w:val="0"/>
      <w:jc w:val="both"/>
    </w:pPr>
  </w:style>
  <w:style w:type="paragraph" w:customStyle="1" w:styleId="63E4AB8BF75E4274947B055E20479855">
    <w:name w:val="63E4AB8BF75E4274947B055E20479855"/>
    <w:rsid w:val="006367F9"/>
    <w:pPr>
      <w:widowControl w:val="0"/>
      <w:jc w:val="both"/>
    </w:pPr>
  </w:style>
  <w:style w:type="paragraph" w:customStyle="1" w:styleId="EAD21814ECFD4FB992A4AB9E6D3318A0">
    <w:name w:val="EAD21814ECFD4FB992A4AB9E6D3318A0"/>
    <w:rsid w:val="006367F9"/>
    <w:pPr>
      <w:widowControl w:val="0"/>
      <w:jc w:val="both"/>
    </w:pPr>
  </w:style>
  <w:style w:type="paragraph" w:customStyle="1" w:styleId="5A2AA8FBFCB64289A69DD4C8ED158096">
    <w:name w:val="5A2AA8FBFCB64289A69DD4C8ED158096"/>
    <w:rsid w:val="006367F9"/>
    <w:pPr>
      <w:widowControl w:val="0"/>
      <w:jc w:val="both"/>
    </w:pPr>
  </w:style>
  <w:style w:type="paragraph" w:customStyle="1" w:styleId="8E60A3BE83174761B40342922779EE8C">
    <w:name w:val="8E60A3BE83174761B40342922779EE8C"/>
    <w:rsid w:val="006367F9"/>
    <w:pPr>
      <w:widowControl w:val="0"/>
      <w:jc w:val="both"/>
    </w:pPr>
  </w:style>
  <w:style w:type="paragraph" w:customStyle="1" w:styleId="5652772334294838A7B86F6738975619">
    <w:name w:val="5652772334294838A7B86F6738975619"/>
    <w:rsid w:val="006367F9"/>
    <w:pPr>
      <w:widowControl w:val="0"/>
      <w:jc w:val="both"/>
    </w:pPr>
  </w:style>
  <w:style w:type="paragraph" w:customStyle="1" w:styleId="FEACB91B98CA4575A526E3970CB93663">
    <w:name w:val="FEACB91B98CA4575A526E3970CB93663"/>
    <w:rsid w:val="006367F9"/>
    <w:pPr>
      <w:widowControl w:val="0"/>
      <w:jc w:val="both"/>
    </w:pPr>
  </w:style>
  <w:style w:type="paragraph" w:customStyle="1" w:styleId="3A2C979B3E7E4317A7BBAAFF518CA9E2">
    <w:name w:val="3A2C979B3E7E4317A7BBAAFF518CA9E2"/>
    <w:rsid w:val="006367F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E4666-9AE2-428A-B8B5-21D9F149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公司研究公司快评</Template>
  <TotalTime>199</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[Table_KeyInfo]</vt:lpstr>
    </vt:vector>
  </TitlesOfParts>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公司研究公司快评</dc:title>
  <dc:creator>欧阳仕华</dc:creator>
  <cp:lastModifiedBy>admin</cp:lastModifiedBy>
  <cp:revision>97</cp:revision>
  <cp:lastPrinted>2005-05-18T05:24:00Z</cp:lastPrinted>
  <dcterms:created xsi:type="dcterms:W3CDTF">2011-12-08T11:31:00Z</dcterms:created>
  <dcterms:modified xsi:type="dcterms:W3CDTF">2011-12-12T01:36:00Z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ckCode">
    <vt:lpwstr>300177.SZ</vt:lpwstr>
  </property>
  <property fmtid="{D5CDD505-2E9C-101B-9397-08002B2CF9AE}" pid="3" name="StockCode_Text">
    <vt:lpwstr>中海达</vt:lpwstr>
  </property>
  <property fmtid="{D5CDD505-2E9C-101B-9397-08002B2CF9AE}" pid="4" name="GACONTENTCONTROL_28ddee82-333e-4df5-885c-e306a78ecd43">
    <vt:lpwstr>GetData?Formula=PUdEUCgiU3RvY2tDb2RlIik=&amp;FunctionName=GDP&amp;ContentType=TEXT&amp;Caption=股票代码&amp;Datasource=GDP&amp;StyleName=&amp;Chart_XField=0&amp;Chart_YFields=&amp;Chart_Type=&amp;Table_IsShowTitle=1&amp;Text_IsHTML=0</vt:lpwstr>
  </property>
  <property fmtid="{D5CDD505-2E9C-101B-9397-08002B2CF9AE}" pid="5" name="GACONTENTCONTROL_ee320fb2-4bce-418a-9116-ec5a3ea17c59">
    <vt:lpwstr>GetData?Formula=PUdEUCgiU3RvY2tDb2RlIik=&amp;FunctionName=GDP&amp;ContentType=TEXT&amp;Caption=股票代码&amp;Datasource=GDP&amp;StyleName=&amp;Chart_XField=0&amp;Chart_YFields=&amp;Chart_Type=&amp;Table_IsShowTitle=1&amp;Text_IsHTML=0</vt:lpwstr>
  </property>
  <property fmtid="{D5CDD505-2E9C-101B-9397-08002B2CF9AE}" pid="6" name="GACONTENTCONTROL_985f9c49-14c7-4933-9258-5b452d4ce9a6">
    <vt:lpwstr>GetData?Formula=PUdUQ19ERVMoIiR7U3RvY2tDb2RlfSIsIjExNjMyOTI1MSIp&amp;FunctionName=GTC_DES&amp;ContentType=TEXT&amp;Caption=股票代码&amp;Datasource=GTC&amp;StyleName=&amp;Chart_XField=0&amp;Chart_YFields=&amp;Chart_Type=&amp;Table_IsShowTitle=1&amp;Text_IsHTML=0</vt:lpwstr>
  </property>
  <property fmtid="{D5CDD505-2E9C-101B-9397-08002B2CF9AE}" pid="7" name="GACONTENTCONTROL_f1844788-3cd8-4427-8470-5cfc19abad17">
    <vt:lpwstr>GetData?Formula=PUdUQ19ERVMoIiR7U3RvY2tDb2RlfSIsIjIxOTI3MTAyNyIp&amp;FunctionName=GTC_DES&amp;ContentType=TEXT&amp;Caption=股票简称&amp;Datasource=GTC&amp;StyleName=&amp;Chart_XField=0&amp;Chart_YFields=&amp;Chart_Type=&amp;Table_IsShowTitle=1&amp;Text_IsHTML=0</vt:lpwstr>
  </property>
  <property fmtid="{D5CDD505-2E9C-101B-9397-08002B2CF9AE}" pid="8" name="ReportType">
    <vt:lpwstr>309</vt:lpwstr>
  </property>
  <property fmtid="{D5CDD505-2E9C-101B-9397-08002B2CF9AE}" pid="9" name="ReportType_Text">
    <vt:lpwstr>公司快评</vt:lpwstr>
  </property>
  <property fmtid="{D5CDD505-2E9C-101B-9397-08002B2CF9AE}" pid="10" name="Level">
    <vt:lpwstr>462ccbf1-39e9-4b22-aecf-sdfsdfsdf7e0</vt:lpwstr>
  </property>
  <property fmtid="{D5CDD505-2E9C-101B-9397-08002B2CF9AE}" pid="11" name="Level_Text">
    <vt:lpwstr>——</vt:lpwstr>
  </property>
  <property fmtid="{D5CDD505-2E9C-101B-9397-08002B2CF9AE}" pid="12" name="GACONTENTCONTROL_f2a2ccf4-3222-4e41-842d-eefeacf95fcd">
    <vt:lpwstr>GetData?Formula=PUdUQ19ERVMoIiR7U3RvY2tDb2RlfSIsIjEwMDAwMDAwMDAwMTA2NCIp&amp;FunctionName=GTC_DES&amp;ContentType=TEXT&amp;Caption=国信一级行业&amp;Datasource=GTC&amp;StyleName=&amp;Chart_XField=0&amp;Chart_YFields=&amp;Chart_Type=&amp;Table_IsShowTitle=1&amp;Text_IsHTML=0</vt:lpwstr>
  </property>
  <property fmtid="{D5CDD505-2E9C-101B-9397-08002B2CF9AE}" pid="13" name="GACONTENTCONTROL_0785ea5a-8af3-4761-86bf-cf044b396dbd">
    <vt:lpwstr>GetData?Formula=PUdUQ19ERVMoIiR7U3RvY2tDb2RlfSIsIjEwMDAwMDAwMDAwMTA2NSIp&amp;FunctionName=GTC_DES&amp;ContentType=TEXT&amp;Caption=国信二级行业&amp;Datasource=GTC&amp;StyleName=&amp;Chart_XField=0&amp;Chart_YFields=&amp;Chart_Type=&amp;Table_IsShowTitle=1&amp;Text_IsHTML=0</vt:lpwstr>
  </property>
  <property fmtid="{D5CDD505-2E9C-101B-9397-08002B2CF9AE}" pid="14" name="GACONTENTCONTROL_d76f9a34-30a1-46c6-a972-37504b3ffb04">
    <vt:lpwstr>GetData?Formula=PUdEUCgiQ29tUmF0aW5nIik=&amp;FunctionName=GDP&amp;ContentType=TEXT&amp;Caption=公司评级&amp;Datasource=GDP&amp;StyleName=股票简称楷体_GB2312三号黑粗&amp;Chart_XField=0&amp;Chart_YFields=&amp;Chart_Type=&amp;Table_IsShowTitle=1&amp;Text_IsHTML=0</vt:lpwstr>
  </property>
  <property fmtid="{D5CDD505-2E9C-101B-9397-08002B2CF9AE}" pid="15" name="GACONTENTCONTROL_f3d6f896-dac5-4711-a3f5-f01bb5f7a004">
    <vt:lpwstr>GetData?Formula=PUdEUCgiQ29tUmF0aW5nIik=&amp;FunctionName=GDP&amp;ContentType=TEXT&amp;Caption=公司评级&amp;Datasource=GDP&amp;StyleName=股票简称楷体_GB2312三号黑粗&amp;Chart_XField=0&amp;Chart_YFields=&amp;Chart_Type=&amp;Table_IsShowTitle=1&amp;Text_IsHTML=0</vt:lpwstr>
  </property>
  <property fmtid="{D5CDD505-2E9C-101B-9397-08002B2CF9AE}" pid="16" name="GACONTENTCONTROL_a9e48181-f88e-49c8-8529-053383506040">
    <vt:lpwstr>GetData?Formula=PUdUQ19HWCgiJHtTdG9ja0NvZGV9IiwiMTAwMDAwMDAwMDAxMDk2IiwiJHtDb21SYXRpbmd9Iik=&amp;FunctionName=GTC_GX&amp;ContentType=TEXT&amp;Caption=公司评级&amp;Datasource=GTC&amp;StyleName=&amp;Chart_XField=0&amp;Chart_YFields=&amp;Chart_Type=&amp;Table_IsShowTitle=1&amp;Text_IsHTML=0</vt:lpwstr>
  </property>
  <property fmtid="{D5CDD505-2E9C-101B-9397-08002B2CF9AE}" pid="17" name="GACONTENTCONTROL_add2f1b6-4c59-4cf3-9953-273e5b2d419b">
    <vt:lpwstr>GetData?Formula=PUdUQ19ERVMoIjAwMDAwMi5TWiIsIjEwMDAwMDAwMDAwMTUyNCIp&amp;FunctionName=GTC_DES&amp;ContentType=TEXT&amp;Caption=当前日期&amp;Datasource=GTC&amp;StyleName=&amp;Chart_XField=0&amp;Chart_YFields=&amp;Chart_Type=&amp;Table_IsShowTitle=1&amp;Text_IsHTML=0</vt:lpwstr>
  </property>
  <property fmtid="{D5CDD505-2E9C-101B-9397-08002B2CF9AE}" pid="18" name="Subject">
    <vt:lpwstr>稳步成长的GNSS设备行业先行者</vt:lpwstr>
  </property>
  <property fmtid="{D5CDD505-2E9C-101B-9397-08002B2CF9AE}" pid="19" name="Subject_Text">
    <vt:lpwstr>稳步成长的GNSS设备行业先行者</vt:lpwstr>
  </property>
  <property fmtid="{D5CDD505-2E9C-101B-9397-08002B2CF9AE}" pid="20" name="GACONTENTCONTROL_d9f13bc9-f5be-4a2a-b602-2e020c4af708">
    <vt:lpwstr>GetData?Formula=PUdEUCgiU3ViamVjdCIp&amp;FunctionName=GDP&amp;ContentType=TEXT&amp;Caption=标题&amp;Datasource=GDP&amp;StyleName=国信主标题&amp;Chart_XField=0&amp;Chart_YFields=&amp;Chart_Type=&amp;Table_IsShowTitle=1&amp;Text_IsHTML=0</vt:lpwstr>
  </property>
  <property fmtid="{D5CDD505-2E9C-101B-9397-08002B2CF9AE}" pid="21" name="UserID">
    <vt:lpwstr>1177,1238</vt:lpwstr>
  </property>
  <property fmtid="{D5CDD505-2E9C-101B-9397-08002B2CF9AE}" pid="22" name="UserID_Text">
    <vt:lpwstr>段迎晟,欧阳仕华</vt:lpwstr>
  </property>
  <property fmtid="{D5CDD505-2E9C-101B-9397-08002B2CF9AE}" pid="23" name="GACONTENTCONTROL_60d79b74-cf05-4492-8329-1486d204216c">
    <vt:lpwstr>GetData?Formula=PUdEUCgiVXNlcklEIik=&amp;FunctionName=GDP&amp;ContentType=TEXT&amp;Caption=作者名称&amp;Datasource=GDP&amp;StyleName=&amp;Chart_XField=0&amp;Chart_YFields=&amp;Chart_Type=&amp;Table_IsShowTitle=1&amp;Text_IsHTML=0</vt:lpwstr>
  </property>
  <property fmtid="{D5CDD505-2E9C-101B-9397-08002B2CF9AE}" pid="24" name="GACONTENTCONTROL_7a1acee0-64a1-4bc7-8334-d731c75396d2">
    <vt:lpwstr>GetData?Formula=PUdEUCgiVXNlcklEIik=&amp;FunctionName=GDP&amp;ContentType=TEXT&amp;Caption=作者名称&amp;Datasource=GDP&amp;StyleName=&amp;Chart_XField=0&amp;Chart_YFields=&amp;Chart_Type=&amp;Table_IsShowTitle=1&amp;Text_IsHTML=0</vt:lpwstr>
  </property>
  <property fmtid="{D5CDD505-2E9C-101B-9397-08002B2CF9AE}" pid="25" name="GACONTENTCONTROL_71100da1-aab5-4e29-b168-a8eeb79196a6">
    <vt:lpwstr>GetData?Formula=PUdUUygiR1hfWlFGWFMiLHsiU1RBRkYgPSAnMTE0NiwxMTQ3JyJ9LCIiKQ==&amp;FunctionName=GTS&amp;ContentType=TABLE&amp;Caption=证券分析师&amp;Datasource=GTS&amp;StyleName=&amp;Chart_XField=0&amp;Chart_YFields=&amp;Chart_Type=&amp;Table_IsShowTitle=1&amp;Text_IsHTML=0</vt:lpwstr>
  </property>
  <property fmtid="{D5CDD505-2E9C-101B-9397-08002B2CF9AE}" pid="26" name="GACONTENTCONTROL_07e1710a-cd2e-44a3-a678-1a9346b64edc">
    <vt:lpwstr>GetData?Formula=PUdUUygiR1hfWlFGWFNIQiIseyJTVEFGRiA9ICcke1VzZXJJRH0nIn0sIiIp&amp;FunctionName=GTS&amp;ContentType=TABLE&amp;Caption=证券分析师横表&amp;Datasource=GTS&amp;StyleName=&amp;Chart_XField=0&amp;Chart_YFields=&amp;Chart_Type=&amp;Table_IsShowTitle=0&amp;Text_IsHTML=0</vt:lpwstr>
  </property>
  <property fmtid="{D5CDD505-2E9C-101B-9397-08002B2CF9AE}" pid="27" name="GACONTENTCONTROL_f6ed9368-0f24-4679-aa4e-0b187f8a3ffa">
    <vt:lpwstr>GetData?Formula=PUdEUCgiVXNlcklEIik=&amp;FunctionName=GDP&amp;ContentType=TEXT&amp;Caption=作者名称&amp;Datasource=GDP&amp;StyleName=&amp;Chart_XField=0&amp;Chart_YFields=&amp;Chart_Type=&amp;Table_IsShowTitle=1&amp;Text_IsHTML=0</vt:lpwstr>
  </property>
  <property fmtid="{D5CDD505-2E9C-101B-9397-08002B2CF9AE}" pid="28" name="GACONTENTCONTROL_eda2f939-9744-448e-b600-5631ce6e3f91">
    <vt:lpwstr>GetData?Formula=PUdUUygiR1hfWlFGWFNIQiIseyJTVEFGRiA9ICcke1VzZXJJRH0nIn0sIiIp&amp;FunctionName=GTS&amp;ContentType=TABLE&amp;Caption=证券分析师横表&amp;Datasource=GTS&amp;StyleName=&amp;Chart_XField=0&amp;Chart_YFields=&amp;Chart_Type=&amp;Table_IsShowTitle=0&amp;Text_IsHTML=0</vt:lpwstr>
  </property>
  <property fmtid="{D5CDD505-2E9C-101B-9397-08002B2CF9AE}" pid="29" name="GACONTENTCONTROL_32f94d97-f95c-419f-ae4f-365134729856">
    <vt:lpwstr>GetData?Formula=PUdUUygiR1hfWlFGWFNIQiIseyJTVEFGRiA9ICcxMTQ2LDExNDEnIn0sIiIp&amp;FunctionName=GTS&amp;ContentType=TABLE&amp;Caption=证券分析师横表&amp;Datasource=GTS&amp;StyleName=国信普通表格&amp;Chart_XField=0&amp;Chart_YFields=&amp;Chart_Type=&amp;Table_IsShowTitle=0&amp;Text_IsHTML=0</vt:lpwstr>
  </property>
  <property fmtid="{D5CDD505-2E9C-101B-9397-08002B2CF9AE}" pid="30" name="GACONTENTCONTROL_8f77e9c4-4a0d-4eaa-9f10-09f07d131d11">
    <vt:lpwstr>GetData?Formula=PUdUUygiR1hfWlFGWFNIQiIseyJTVEFGRiA9ICcxMTQ2LDExNDEnIn0sIiIp&amp;FunctionName=GTS&amp;ContentType=TABLE&amp;Caption=证券分析师横表&amp;Datasource=GTS&amp;StyleName=国信普通表格&amp;Chart_XField=0&amp;Chart_YFields=&amp;Chart_Type=&amp;Table_IsShowTitle=0&amp;Text_IsHTML=0</vt:lpwstr>
  </property>
  <property fmtid="{D5CDD505-2E9C-101B-9397-08002B2CF9AE}" pid="31" name="GACONTENTCONTROL_f425779f-149b-42ee-96e1-2bcb2a66f8e7">
    <vt:lpwstr>GetData?Formula=PUdUQ19ERVMoIjYwMDAwMC5TSCIsIjEwMDAwMDAwMDAwMjg1MCIp&amp;FunctionName=GTC_DES&amp;ContentType=TEXT&amp;Caption=分析师承诺&amp;Datasource=GTC&amp;StyleName=&amp;Chart_XField=0&amp;Chart_YFields=&amp;Chart_Type=&amp;Table_IsShowTitle=1&amp;Text_IsHTML=0</vt:lpwstr>
  </property>
  <property fmtid="{D5CDD505-2E9C-101B-9397-08002B2CF9AE}" pid="32" name="GACONTENTCONTROL_dada7cc4-8318-4cd3-b9fa-b88843b14bb1">
    <vt:lpwstr>GetData?Formula=PUdUQ19ERVMoIjYwMDAwMC5TSCIsIjEwMDAwMDAwMDAwMjgwNyIp&amp;FunctionName=GTC_DES&amp;ContentType=TEXT&amp;Caption=风险提示&amp;Datasource=GTC&amp;StyleName=&amp;Chart_XField=0&amp;Chart_YFields=&amp;Chart_Type=&amp;Table_IsShowTitle=1&amp;Text_IsHTML=0</vt:lpwstr>
  </property>
  <property fmtid="{D5CDD505-2E9C-101B-9397-08002B2CF9AE}" pid="33" name="GACONTENTCONTROL_969728c6-47d2-48c6-81fe-2de5c09930b3">
    <vt:lpwstr>GetData?Formula=PUdUQ19ERVMoIjYwMDAwMC5TSCIsIjEwMDAwMDAwMDAwMjg1MiIp&amp;FunctionName=GTC_DES&amp;ContentType=TEXT&amp;Caption=投资说明&amp;Datasource=GTC&amp;StyleName=&amp;Chart_XField=0&amp;Chart_YFields=&amp;Chart_Type=&amp;Table_IsShowTitle=1&amp;Text_IsHTML=0</vt:lpwstr>
  </property>
  <property fmtid="{D5CDD505-2E9C-101B-9397-08002B2CF9AE}" pid="34" name="GACONTENTCONTROL_043c8387-0262-4e88-a54e-e1852557a6f6">
    <vt:lpwstr>GetData?Formula=PUdUUygiR1hfWlFGWFNIQiIseyJTVEFGRiA9ICcke1VzZXJJZH0nIn0sIiIp&amp;FunctionName=GTS&amp;ContentType=TABLE&amp;Caption=证券分析师横表&amp;Datasource=GTS&amp;StyleName=国信证券分析师表格横表&amp;Chart_XField=0&amp;Chart_YFields=&amp;Chart_Type=&amp;Table_IsShowTitle=0&amp;Text_IsHTML=0</vt:lpwstr>
  </property>
  <property fmtid="{D5CDD505-2E9C-101B-9397-08002B2CF9AE}" pid="35" name="SubTitle">
    <vt:lpwstr>重大事件快评</vt:lpwstr>
  </property>
  <property fmtid="{D5CDD505-2E9C-101B-9397-08002B2CF9AE}" pid="36" name="SubTitle_Text">
    <vt:lpwstr>重大事件快评</vt:lpwstr>
  </property>
  <property fmtid="{D5CDD505-2E9C-101B-9397-08002B2CF9AE}" pid="37" name="GACONTENTCONTROL_a589975f-d984-4eec-87de-538be4af595a">
    <vt:lpwstr>GetData?Formula=PUdEUCgiU3ViVGl0bGUiKQ==&amp;FunctionName=GDP&amp;ContentType=TEXT&amp;Caption=副标题&amp;Datasource=GDP&amp;StyleName=&amp;Chart_XField=0&amp;Chart_YFields=&amp;Chart_Type=&amp;Table_IsShowTitle=1&amp;Text_IsHTML=0</vt:lpwstr>
  </property>
  <property fmtid="{D5CDD505-2E9C-101B-9397-08002B2CF9AE}" pid="38" name="GACONTENTCONTROL_14ae5f0b-87c3-4439-95eb-ef3481e65d0c">
    <vt:lpwstr>GetData?Formula=PUdUUygiR1hfWlFGWFNIQiIseyJTVEFGRiA9ICcke1VzZXJJZH0nIn0sIiIp&amp;FunctionName=GTS&amp;ContentType=TABLE&amp;Caption=证券分析师横表&amp;Datasource=GTS&amp;StyleName=国信证券分析师表格横表&amp;Chart_XField=0&amp;Chart_YFields=&amp;Chart_Type=&amp;Table_IsShowTitle=0&amp;Text_IsHTML=0</vt:lpwstr>
  </property>
  <property fmtid="{D5CDD505-2E9C-101B-9397-08002B2CF9AE}" pid="39" name="GACONTENTCONTROL_1ec1048f-48ef-4439-bddf-4cc024259111">
    <vt:lpwstr>GetData?Formula=PUdUQ19ERVMoIjYwMDIyMS5TSCIsIjEwMDAwMDAwMDAwMjg1MiIp&amp;FunctionName=GTC_DES&amp;ContentType=TEXT&amp;Caption=投资说明&amp;Datasource=GTC&amp;StyleName=&amp;Chart_XField=0&amp;Chart_YFields=&amp;Chart_Type=&amp;Table_IsShowTitle=1&amp;IsHTML=0</vt:lpwstr>
  </property>
  <property fmtid="{D5CDD505-2E9C-101B-9397-08002B2CF9AE}" pid="40" name="GACONTENTCONTROL_f133c875-21ba-4c01-8a50-ca42972dbc9d">
    <vt:lpwstr>GetData?Formula=PUdUQ19ERVMoIjYwMDIyMS5TSCIsIjEwMDAwMDAwMDAwMjgwNyIp&amp;FunctionName=GTC_DES&amp;ContentType=TEXT&amp;Caption=风险提示&amp;Datasource=GTC&amp;StyleName=&amp;Chart_XField=0&amp;Chart_YFields=&amp;Chart_Type=&amp;Table_IsShowTitle=1&amp;IsHTML=0</vt:lpwstr>
  </property>
  <property fmtid="{D5CDD505-2E9C-101B-9397-08002B2CF9AE}" pid="41" name="GACONTENTCONTROL_abb3a878-d551-42d8-b9c6-a280e54c03a5">
    <vt:lpwstr>GetData?Formula=PUdUQ19ERVMoIjYwMDIyMS5TSCIsIjEwMDAwMDAwMDAwMjg1MCIp&amp;FunctionName=GTC_DES&amp;ContentType=TEXT&amp;Caption=分析师承诺&amp;Datasource=GTC&amp;StyleName=&amp;Chart_XField=0&amp;Chart_YFields=&amp;Chart_Type=&amp;Table_IsShowTitle=1&amp;IsHTML=0</vt:lpwstr>
  </property>
  <property fmtid="{D5CDD505-2E9C-101B-9397-08002B2CF9AE}" pid="42" name="GACONTENTCONTROL_e8d7abfb-f87d-4ba5-b512-7631b3c26735">
    <vt:lpwstr>GetData?Formula=PUdEUCgiUmVwb3J0VHlwZSIp&amp;FunctionName=GDP&amp;ContentType=TEXT&amp;Caption=报告类型&amp;Datasource=GDP&amp;StyleName=&amp;Chart_XField=0&amp;Chart_YFields=&amp;Chart_Type=&amp;Table_IsShowTitle=1&amp;IsHTML=0</vt:lpwstr>
  </property>
  <property fmtid="{D5CDD505-2E9C-101B-9397-08002B2CF9AE}" pid="43" name="GACONTENTCONTROL_06f3cceb-a2dc-4015-b5cb-66074eaca253">
    <vt:lpwstr>GetData?Formula=PUdUQ19ERVMoIjYwMDAwMC5TSCIsIjEwMDAwMDAwMDAwMTUyNCIp&amp;FunctionName=GTC_DES&amp;ContentType=TEXT&amp;Caption=当前日期&amp;Datasource=GTC&amp;StyleName=&amp;Chart_XField=0&amp;Chart_YFields=&amp;Chart_Type=&amp;Table_IsShowTitle=1&amp;IsHTML=0</vt:lpwstr>
  </property>
  <property fmtid="{D5CDD505-2E9C-101B-9397-08002B2CF9AE}" pid="44" name="GACONTENTCONTROL_54aeb6e9-3fee-41a3-987b-dc4df0f78e59">
    <vt:lpwstr>GetData?Formula=PUdUQ19ERVMoIjYwMDAwMC5TSCIsIjEwMDAwMDAwMDAwMTUyNCIp&amp;FunctionName=GTC_DES&amp;ContentType=TEXT&amp;Caption=当前日期&amp;Datasource=GTC&amp;StyleName=&amp;Chart_XField=0&amp;Chart_YFields=&amp;Chart_Type=&amp;Table_IsShowTitle=1&amp;IsHTML=0</vt:lpwstr>
  </property>
  <property fmtid="{D5CDD505-2E9C-101B-9397-08002B2CF9AE}" pid="45" name="GACONTENTCONTROL_f95e5911-dcf6-4840-a3ae-a9684119ae16">
    <vt:lpwstr>GetData?Formula=PUdUQ19ERVMoIjYwMDAwMC5TSCIsIjEwMDAwMDAwMDAwMTUyNCIp&amp;FunctionName=GTC_DES&amp;ContentType=TEXT&amp;Caption=当前日期&amp;Datasource=GTC&amp;StyleName=&amp;Chart_XField=0&amp;Chart_YFields=&amp;Chart_Type=&amp;Table_IsShowTitle=1&amp;IsHTML=0</vt:lpwstr>
  </property>
  <property fmtid="{D5CDD505-2E9C-101B-9397-08002B2CF9AE}" pid="46" name="ComRating">
    <vt:lpwstr>171</vt:lpwstr>
  </property>
  <property fmtid="{D5CDD505-2E9C-101B-9397-08002B2CF9AE}" pid="47" name="ComRating_Text">
    <vt:lpwstr>推荐</vt:lpwstr>
  </property>
  <property fmtid="{D5CDD505-2E9C-101B-9397-08002B2CF9AE}" pid="48" name="GACONTENTCONTROL_116c3528-db61-4651-a0fc-3c213fdfdadf">
    <vt:lpwstr>GetData?Formula=PUdUUygiR1hfRkJYR1lKQkIiLHsiUkVQT1JUVFlQRSA9ICcke1JlcG9ydFR5cGV9JyJ9LCIiKQ==&amp;FunctionName=GTS&amp;ContentType=TABLE&amp;Caption=附表相关研究报告&amp;Datasource=GTS&amp;StyleName=&amp;Chart_XField=0&amp;Chart_YFields=&amp;Chart_Type=&amp;Table_IsShowTitle=1&amp;IsHTML=0</vt:lpwstr>
  </property>
  <property fmtid="{D5CDD505-2E9C-101B-9397-08002B2CF9AE}" pid="49" name="GACONTENTCONTROL_3d941982-4885-4975-bf00-3267ed8bff7b">
    <vt:lpwstr>GetData?Formula=PUdUUygiR1hfU1RPQ0tSUFQiLHsiR0FDT0RFID0gJyR7U3RvY2tDb2RlfScifSwiIik=&amp;FunctionName=GTS&amp;ContentType=TABLE&amp;Caption=股票相关研究报告&amp;Datasource=GTS&amp;StyleName=附表相关研究报告&amp;Chart_XField=0&amp;Chart_YFields=&amp;Chart_Type=&amp;Table_IsShowTitle=1&amp;IsHTML=0</vt:lpwstr>
  </property>
  <property fmtid="{D5CDD505-2E9C-101B-9397-08002B2CF9AE}" pid="50" name="PublishDate">
    <vt:lpwstr>1</vt:lpwstr>
  </property>
  <property fmtid="{D5CDD505-2E9C-101B-9397-08002B2CF9AE}" pid="51" name="PublishDate_Text">
    <vt:lpwstr>+1天</vt:lpwstr>
  </property>
  <property fmtid="{D5CDD505-2E9C-101B-9397-08002B2CF9AE}" pid="52" name="GACONTENTCONTROL_edc2902b-ca15-4ae5-ad32-916c27e457df">
    <vt:lpwstr>GetData?Formula=PUdEUCgiUHVibGlzaERhdGUiKQ==&amp;FunctionName=GDP&amp;ContentType=TEXT&amp;Caption=发布日期&amp;Datasource=GDP&amp;StyleName=&amp;Chart_XField=0&amp;Chart_YFields=&amp;Chart_Type=&amp;Table_IsShowTitle=1&amp;IsHTML=0</vt:lpwstr>
  </property>
  <property fmtid="{D5CDD505-2E9C-101B-9397-08002B2CF9AE}" pid="53" name="GACONTENTCONTROL_a86a23a7-4223-4ea7-9d1a-5b8eb4b59c59">
    <vt:lpwstr>GetData?Formula=PUdUQ19HWCgiMDAwNjAwLlNaIiwiMTAwMDAwMDAwMDAxNTI0IiwiJHtQdWJsaXNoRGF0ZX0iKQ==&amp;FunctionName=GTC_GX&amp;ContentType=TEXT&amp;Caption=当前日期&amp;Datasource=GTC&amp;StyleName=&amp;Chart_XField=0&amp;Chart_YFields=&amp;Chart_Type=&amp;Table_IsShowTitle=1&amp;IsHTML=0</vt:lpwstr>
  </property>
  <property fmtid="{D5CDD505-2E9C-101B-9397-08002B2CF9AE}" pid="54" name="GATemplateversion">
    <vt:lpwstr>国信研究公司快评1.0</vt:lpwstr>
  </property>
  <property fmtid="{D5CDD505-2E9C-101B-9397-08002B2CF9AE}" pid="55" name="GACONTENTCONTROL_PUBLISHDATE">
    <vt:lpwstr>GetData?Formula=PUdUQ19HWCgiMDAwNjAwLlNaIiwiMTAwMDAwMDAwMDAxNTI0IiwiJHtQdWJsaXNoRGF0ZX0iKQ==&amp;FunctionName=GTC_GX&amp;ContentType=TEXT&amp;Caption=当前日期&amp;Datasource=GTC&amp;StyleName=&amp;Chart_XField=0&amp;Chart_YFields=&amp;Chart_Type=&amp;Table_IsShowTitle=1&amp;IsHTML=0</vt:lpwstr>
  </property>
</Properties>
</file>