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BF0"/>
  <w:body>
    <w:p w:rsidR="0090542D" w:rsidRDefault="00916280" w:rsidP="00B80CE3">
      <w:pPr>
        <w:ind w:right="600" w:firstLineChars="4650" w:firstLine="8370"/>
        <w:rPr>
          <w:rFonts w:eastAsia="黑体" w:cs="Arial"/>
          <w:sz w:val="30"/>
          <w:szCs w:val="52"/>
        </w:rPr>
      </w:pPr>
      <w:r>
        <w:rPr>
          <w:noProof/>
        </w:rPr>
        <w:pict>
          <v:shapetype id="_x0000_t202" coordsize="21600,21600" o:spt="202" path="m,l,21600r21600,l21600,xe">
            <v:stroke joinstyle="miter"/>
            <v:path gradientshapeok="t" o:connecttype="rect"/>
          </v:shapetype>
          <v:shape id="Text Box 340" o:spid="_x0000_s1044" type="#_x0000_t202" style="position:absolute;left:0;text-align:left;margin-left:456.65pt;margin-top:41.1pt;width:117.3pt;height:23.25pt;z-index:2516720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" filled="f" fillcolor="blue" stroked="f" strokecolor="blue">
            <v:textbox>
              <w:txbxContent>
                <w:p w:rsidR="007D0BF3" w:rsidRPr="00EE31AB" w:rsidRDefault="007D0BF3" w:rsidP="00EE31AB">
                  <w:pPr>
                    <w:jc w:val="right"/>
                    <w:rPr>
                      <w:sz w:val="15"/>
                      <w:szCs w:val="15"/>
                    </w:rPr>
                  </w:pPr>
                  <w:r>
                    <w:rPr>
                      <w:rFonts w:ascii="楷体_GB2312" w:hint="eastAsia"/>
                      <w:sz w:val="15"/>
                      <w:szCs w:val="15"/>
                    </w:rPr>
                    <w:t>证券研究报告</w:t>
                  </w:r>
                </w:p>
              </w:txbxContent>
            </v:textbox>
            <w10:wrap anchorx="page" anchory="page"/>
          </v:shape>
        </w:pict>
      </w:r>
      <w:r>
        <w:rPr>
          <w:noProof/>
        </w:rPr>
        <w:pict>
          <v:shape id="Text Box 336" o:spid="_x0000_s1043" type="#_x0000_t202" style="position:absolute;left:0;text-align:left;margin-left:15.3pt;margin-top:49.15pt;width:409.2pt;height:25.5pt;z-index:2516689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" filled="f" fillcolor="blue" stroked="f" strokecolor="blue">
            <v:textbox>
              <w:txbxContent>
                <w:p w:rsidR="007D0BF3" w:rsidRPr="00AE6908" w:rsidRDefault="007D0BF3">
                  <w:pPr>
                    <w:rPr>
                      <w:rFonts w:ascii="楷体_GB2312"/>
                      <w:b/>
                      <w:sz w:val="30"/>
                      <w:szCs w:val="30"/>
                    </w:rPr>
                  </w:pPr>
                  <w:bookmarkStart w:id="0" w:name="title"/>
                  <w:bookmarkStart w:id="1" w:name="_GoBack"/>
                  <w:r>
                    <w:rPr>
                      <w:rFonts w:ascii="楷体_GB2312" w:hint="eastAsia"/>
                      <w:b/>
                      <w:sz w:val="30"/>
                      <w:szCs w:val="30"/>
                    </w:rPr>
                    <w:t>投连险行业分析报告</w:t>
                  </w:r>
                  <w:bookmarkEnd w:id="0"/>
                  <w:r>
                    <w:rPr>
                      <w:rFonts w:ascii="楷体_GB2312" w:hint="eastAsia"/>
                      <w:b/>
                      <w:sz w:val="30"/>
                      <w:szCs w:val="30"/>
                    </w:rPr>
                    <w:t>（2015.0</w:t>
                  </w:r>
                  <w:r w:rsidR="008A59CA">
                    <w:rPr>
                      <w:rFonts w:ascii="楷体_GB2312" w:hint="eastAsia"/>
                      <w:b/>
                      <w:sz w:val="30"/>
                      <w:szCs w:val="30"/>
                    </w:rPr>
                    <w:t>7</w:t>
                  </w:r>
                  <w:r>
                    <w:rPr>
                      <w:rFonts w:ascii="楷体_GB2312" w:hint="eastAsia"/>
                      <w:b/>
                      <w:sz w:val="30"/>
                      <w:szCs w:val="30"/>
                    </w:rPr>
                    <w:t>）</w:t>
                  </w:r>
                  <w:bookmarkEnd w:id="1"/>
                </w:p>
              </w:txbxContent>
            </v:textbox>
            <w10:wrap anchorx="page" anchory="page"/>
          </v:shape>
        </w:pict>
      </w:r>
      <w:r>
        <w:rPr>
          <w:noProof/>
        </w:rPr>
        <w:pict>
          <v:shape id="Text Box 335" o:spid="_x0000_s1042" type="#_x0000_t202" style="position:absolute;left:0;text-align:left;margin-left:15.3pt;margin-top:15.6pt;width:370.25pt;height:21.55pt;z-index:2516679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" filled="f" fillcolor="blue" stroked="f" strokecolor="blue">
            <v:textbox>
              <w:txbxContent>
                <w:bookmarkStart w:id="2" w:name="reportDate"/>
                <w:p w:rsidR="007D0BF3" w:rsidRDefault="00916280" w:rsidP="00832F33">
                  <w:pPr>
                    <w:jc w:val="left"/>
                  </w:pPr>
                  <w:sdt>
                    <w:sdtPr>
                      <w:rPr>
                        <w:rFonts w:eastAsia="黑体" w:cs="Arial" w:hint="eastAsia"/>
                        <w:b/>
                        <w:sz w:val="21"/>
                        <w:szCs w:val="21"/>
                      </w:rPr>
                      <w:alias w:val="报告日期"/>
                      <w:tag w:val="BDCONTENTCONTROL_5c179c93-3177-4ab7-ae62-1dc3677fa3d8"/>
                      <w:id w:val="3936421"/>
                      <w:placeholder>
                        <w:docPart w:val="9C229A2CBF2A4D5397B941BBEBDD433B"/>
                      </w:placeholder>
                      <w:text/>
                    </w:sdtPr>
                    <w:sdtEndPr/>
                    <w:sdtContent>
                      <w:r w:rsidR="00F278C8">
                        <w:rPr>
                          <w:rFonts w:eastAsia="黑体" w:cs="Arial" w:hint="eastAsia"/>
                          <w:b/>
                          <w:sz w:val="21"/>
                          <w:szCs w:val="21"/>
                        </w:rPr>
                        <w:t>2015</w:t>
                      </w:r>
                      <w:r w:rsidR="00F278C8">
                        <w:rPr>
                          <w:rFonts w:eastAsia="黑体" w:cs="Arial" w:hint="eastAsia"/>
                          <w:b/>
                          <w:sz w:val="21"/>
                          <w:szCs w:val="21"/>
                        </w:rPr>
                        <w:t>年</w:t>
                      </w:r>
                      <w:r w:rsidR="00F278C8">
                        <w:rPr>
                          <w:rFonts w:eastAsia="黑体" w:cs="Arial" w:hint="eastAsia"/>
                          <w:b/>
                          <w:sz w:val="21"/>
                          <w:szCs w:val="21"/>
                        </w:rPr>
                        <w:t>07</w:t>
                      </w:r>
                      <w:r w:rsidR="00F278C8">
                        <w:rPr>
                          <w:rFonts w:eastAsia="黑体" w:cs="Arial" w:hint="eastAsia"/>
                          <w:b/>
                          <w:sz w:val="21"/>
                          <w:szCs w:val="21"/>
                        </w:rPr>
                        <w:t>月</w:t>
                      </w:r>
                      <w:r w:rsidR="00F278C8">
                        <w:rPr>
                          <w:rFonts w:eastAsia="黑体" w:cs="Arial" w:hint="eastAsia"/>
                          <w:b/>
                          <w:sz w:val="21"/>
                          <w:szCs w:val="21"/>
                        </w:rPr>
                        <w:t>09</w:t>
                      </w:r>
                      <w:r w:rsidR="00F278C8">
                        <w:rPr>
                          <w:rFonts w:eastAsia="黑体" w:cs="Arial" w:hint="eastAsia"/>
                          <w:b/>
                          <w:sz w:val="21"/>
                          <w:szCs w:val="21"/>
                        </w:rPr>
                        <w:t>日</w:t>
                      </w:r>
                    </w:sdtContent>
                  </w:sdt>
                  <w:bookmarkEnd w:id="2"/>
                </w:p>
              </w:txbxContent>
            </v:textbox>
            <w10:wrap anchorx="page" anchory="page"/>
          </v:shape>
        </w:pict>
      </w:r>
      <w:r>
        <w:rPr>
          <w:noProof/>
        </w:rPr>
        <w:pict>
          <v:rect id="Rectangle 406" o:spid="_x0000_s1041" style="position:absolute;left:0;text-align:left;margin-left:416.25pt;margin-top:-30.75pt;width:124.5pt;height:16.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" filled="f" stroked="f" strokecolor="#339">
            <v:textbox>
              <w:txbxContent>
                <w:p w:rsidR="007D0BF3" w:rsidRPr="00EC07DB" w:rsidRDefault="007D0BF3" w:rsidP="00865BF6">
                  <w:pPr>
                    <w:jc w:val="right"/>
                    <w:rPr>
                      <w:sz w:val="15"/>
                      <w:szCs w:val="15"/>
                    </w:rPr>
                  </w:pPr>
                </w:p>
              </w:txbxContent>
            </v:textbox>
            <w10:anchorlock/>
          </v:rect>
        </w:pict>
      </w:r>
      <w:r>
        <w:rPr>
          <w:noProof/>
        </w:rPr>
        <w:pict>
          <v:shape id="Text Box 405" o:spid="_x0000_s1040" type="#_x0000_t202" style="position:absolute;left:0;text-align:left;margin-left:414.3pt;margin-top:15.6pt;width:128.45pt;height:34.3pt;z-index:251665920;visibility:visible;mso-wrap-style:non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" filled="f" stroked="f">
            <v:textbox>
              <w:txbxContent>
                <w:p w:rsidR="007D0BF3" w:rsidRPr="00E17DD1" w:rsidRDefault="007D0BF3" w:rsidP="00865BF6">
                  <w:r>
                    <w:rPr>
                      <w:noProof/>
                    </w:rPr>
                    <w:drawing>
                      <wp:inline distT="0" distB="0" distL="0" distR="0">
                        <wp:extent cx="1438275" cy="352425"/>
                        <wp:effectExtent l="0" t="0" r="9525" b="9525"/>
                        <wp:docPr id="7" name="图片 3"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命名的-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352425"/>
                                </a:xfrm>
                                <a:prstGeom prst="rect">
                                  <a:avLst/>
                                </a:prstGeom>
                                <a:noFill/>
                                <a:ln>
                                  <a:noFill/>
                                </a:ln>
                              </pic:spPr>
                            </pic:pic>
                          </a:graphicData>
                        </a:graphic>
                      </wp:inline>
                    </w:drawing>
                  </w:r>
                </w:p>
              </w:txbxContent>
            </v:textbox>
            <w10:wrap anchory="page"/>
            <w10:anchorlock/>
          </v:shape>
        </w:pict>
      </w:r>
      <w:r>
        <w:rPr>
          <w:noProof/>
        </w:rPr>
        <w:pict>
          <v:rect id="lastSuggestion" o:spid="_x0000_s1039" style="position:absolute;left:0;text-align:left;margin-left:299.1pt;margin-top:12.75pt;width:86.55pt;height:25.65pt;z-index:25165568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" filled="f" stroked="f" strokecolor="#339">
            <v:textbox>
              <w:txbxContent>
                <w:p w:rsidR="007D0BF3" w:rsidRPr="00FE4B43" w:rsidRDefault="007D0BF3" w:rsidP="006449BF">
                  <w:pPr>
                    <w:rPr>
                      <w:b/>
                      <w:sz w:val="24"/>
                      <w:szCs w:val="24"/>
                    </w:rPr>
                  </w:pPr>
                  <w:bookmarkStart w:id="3" w:name="lastInvestSuggestion"/>
                  <w:r>
                    <w:rPr>
                      <w:rFonts w:hint="eastAsia"/>
                      <w:b/>
                      <w:sz w:val="24"/>
                      <w:szCs w:val="24"/>
                    </w:rPr>
                    <w:t>买入</w:t>
                  </w:r>
                  <w:bookmarkEnd w:id="3"/>
                </w:p>
              </w:txbxContent>
            </v:textbox>
          </v:rect>
        </w:pict>
      </w:r>
    </w:p>
    <w:p w:rsidR="0090542D" w:rsidRDefault="00916280">
      <w:pPr>
        <w:jc w:val="right"/>
        <w:rPr>
          <w:rFonts w:eastAsia="黑体" w:cs="Arial"/>
          <w:sz w:val="30"/>
          <w:szCs w:val="52"/>
        </w:rPr>
      </w:pPr>
      <w:r>
        <w:rPr>
          <w:noProof/>
        </w:rPr>
        <w:pict>
          <v:shape id="Text Box 338" o:spid="_x0000_s1038" type="#_x0000_t202" style="position:absolute;left:0;text-align:left;margin-left:341.25pt;margin-top:98.35pt;width:228.75pt;height:22.1pt;z-index:2516710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" filled="f" fillcolor="blue" stroked="f" strokecolor="blue">
            <v:textbox>
              <w:txbxContent>
                <w:p w:rsidR="007D0BF3" w:rsidRDefault="00916280" w:rsidP="00F30157">
                  <w:pPr>
                    <w:jc w:val="right"/>
                  </w:pPr>
                  <w:sdt>
                    <w:sdtPr>
                      <w:rPr>
                        <w:rFonts w:hint="eastAsia"/>
                        <w:b/>
                        <w:sz w:val="24"/>
                        <w:szCs w:val="24"/>
                      </w:rPr>
                      <w:alias w:val="报告类型"/>
                      <w:tag w:val="BDCONTENTCONTROL_84bd61de-94b7-4c7c-8f81-60dfebe1887e"/>
                      <w:id w:val="1634203798"/>
                      <w:text/>
                    </w:sdtPr>
                    <w:sdtEndPr/>
                    <w:sdtContent>
                      <w:r w:rsidR="00F278C8">
                        <w:rPr>
                          <w:rFonts w:hint="eastAsia"/>
                          <w:b/>
                          <w:sz w:val="24"/>
                          <w:szCs w:val="24"/>
                        </w:rPr>
                        <w:t>投连险行业季报</w:t>
                      </w:r>
                    </w:sdtContent>
                  </w:sdt>
                </w:p>
              </w:txbxContent>
            </v:textbox>
            <w10:wrap anchorx="page" anchory="page"/>
          </v:shape>
        </w:pict>
      </w:r>
    </w:p>
    <w:p w:rsidR="0090542D" w:rsidRDefault="00916280">
      <w:pPr>
        <w:jc w:val="right"/>
        <w:rPr>
          <w:rFonts w:eastAsia="黑体" w:cs="Arial"/>
          <w:sz w:val="30"/>
          <w:szCs w:val="52"/>
        </w:rPr>
      </w:pPr>
      <w:r>
        <w:rPr>
          <w:noProof/>
        </w:rPr>
        <w:pict>
          <v:line id="Line 335" o:spid="_x0000_s1037" style="position:absolute;left:0;text-align:left;z-index:251653632;visibility:visible;mso-wrap-distance-top:-6e-5mm;mso-wrap-distance-bottom:-6e-5mm" from="-31.8pt,12.65pt" to="565.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" strokecolor="#00a0e9" strokeweight=".94pt"/>
        </w:pict>
      </w:r>
    </w:p>
    <w:p w:rsidR="00EB010E" w:rsidRDefault="00EB010E">
      <w:pPr>
        <w:jc w:val="right"/>
        <w:rPr>
          <w:rFonts w:eastAsia="黑体" w:cs="Arial"/>
          <w:sz w:val="30"/>
          <w:szCs w:val="52"/>
        </w:rPr>
      </w:pPr>
    </w:p>
    <w:tbl>
      <w:tblPr>
        <w:tblStyle w:val="af"/>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9"/>
        <w:gridCol w:w="7568"/>
      </w:tblGrid>
      <w:tr w:rsidR="00EB010E" w:rsidRPr="008A59CA" w:rsidTr="003A7A25">
        <w:trPr>
          <w:trHeight w:val="12531"/>
        </w:trPr>
        <w:tc>
          <w:tcPr>
            <w:tcW w:w="3459" w:type="dxa"/>
            <w:tcMar>
              <w:top w:w="28" w:type="dxa"/>
              <w:left w:w="0" w:type="dxa"/>
              <w:right w:w="108" w:type="dxa"/>
            </w:tcMar>
          </w:tcPr>
          <w:p w:rsidR="00351D32" w:rsidRDefault="00351D32" w:rsidP="00351D32">
            <w:pPr>
              <w:spacing w:line="14" w:lineRule="exact"/>
            </w:pPr>
          </w:p>
          <w:p w:rsidR="000E6AE0" w:rsidRPr="00F224E2" w:rsidRDefault="000E6AE0" w:rsidP="00977777">
            <w:pPr>
              <w:pStyle w:val="a6"/>
              <w:widowControl/>
              <w:pBdr>
                <w:bottom w:val="none" w:sz="0" w:space="0" w:color="auto"/>
              </w:pBdr>
              <w:tabs>
                <w:tab w:val="clear" w:pos="4153"/>
                <w:tab w:val="clear" w:pos="8306"/>
              </w:tabs>
              <w:snapToGrid/>
              <w:ind w:rightChars="300" w:right="540"/>
              <w:jc w:val="both"/>
              <w:rPr>
                <w:sz w:val="21"/>
              </w:rPr>
            </w:pPr>
          </w:p>
          <w:p w:rsidR="008D4BDD" w:rsidRPr="000E6AE0" w:rsidRDefault="008D4BDD" w:rsidP="000E6AE0">
            <w:pPr>
              <w:ind w:rightChars="300" w:right="540"/>
            </w:pPr>
          </w:p>
          <w:p w:rsidR="00F72FA2" w:rsidRDefault="00F72FA2"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sdt>
            <w:sdtPr>
              <w:rPr>
                <w:rFonts w:eastAsia="黑体" w:cs="Arial"/>
                <w:sz w:val="30"/>
                <w:szCs w:val="52"/>
              </w:rPr>
              <w:alias w:val="专题相关报告万能版"/>
              <w:tag w:val="BDCONTENTCONTROL_0694d7ec-429e-443a-8333-6c91828fed93"/>
              <w:id w:val="-68895231"/>
              <w:placeholder>
                <w:docPart w:val="E35A2625527C4CFA9637CF01FCF9B3C6"/>
              </w:placeholder>
            </w:sdtPr>
            <w:sdtEndPr/>
            <w:sdtContent>
              <w:p w:rsidR="00A05AC0" w:rsidRDefault="00A05AC0" w:rsidP="00A05AC0">
                <w:pPr>
                  <w:spacing w:line="14" w:lineRule="exact"/>
                  <w:ind w:rightChars="300" w:right="540"/>
                  <w:jc w:val="left"/>
                  <w:rPr>
                    <w:rFonts w:eastAsia="黑体" w:cs="Arial"/>
                    <w:sz w:val="30"/>
                    <w:szCs w:val="52"/>
                  </w:rPr>
                </w:pPr>
              </w:p>
              <w:tbl>
                <w:tblPr>
                  <w:tblW w:w="3368" w:type="dxa"/>
                  <w:tblLayout w:type="fixed"/>
                  <w:tblLook w:val="0000" w:firstRow="0" w:lastRow="0" w:firstColumn="0" w:lastColumn="0" w:noHBand="0" w:noVBand="0"/>
                </w:tblPr>
                <w:tblGrid>
                  <w:gridCol w:w="3368"/>
                </w:tblGrid>
                <w:tr w:rsidR="00A05AC0" w:rsidTr="004F7C74">
                  <w:trPr>
                    <w:trHeight w:val="510"/>
                  </w:trPr>
                  <w:tc>
                    <w:tcPr>
                      <w:tcW w:w="3368" w:type="dxa"/>
                      <w:vAlign w:val="bottom"/>
                    </w:tcPr>
                    <w:p w:rsidR="00A05AC0" w:rsidRPr="00A05AC0" w:rsidRDefault="00A05AC0" w:rsidP="004F7C74">
                      <w:pPr>
                        <w:ind w:rightChars="300" w:right="540"/>
                        <w:rPr>
                          <w:rFonts w:ascii="楷体_GB2312" w:cs="Arial"/>
                          <w:b/>
                          <w:sz w:val="21"/>
                          <w:szCs w:val="21"/>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626F55" w:rsidTr="004F7C74">
                  <w:trPr>
                    <w:trHeight w:val="510"/>
                  </w:trPr>
                  <w:tc>
                    <w:tcPr>
                      <w:tcW w:w="3368" w:type="dxa"/>
                      <w:vAlign w:val="bottom"/>
                    </w:tcPr>
                    <w:p w:rsidR="00626F55" w:rsidRPr="00A05AC0" w:rsidRDefault="00626F55" w:rsidP="004F7C74">
                      <w:pPr>
                        <w:ind w:rightChars="300" w:right="540"/>
                        <w:rPr>
                          <w:rFonts w:cs="Arial"/>
                          <w:szCs w:val="52"/>
                        </w:rPr>
                      </w:pPr>
                    </w:p>
                  </w:tc>
                </w:tr>
              </w:tbl>
              <w:p w:rsidR="000E6AE0" w:rsidRDefault="00916280" w:rsidP="00A05AC0">
                <w:pPr>
                  <w:spacing w:line="14" w:lineRule="exact"/>
                  <w:ind w:rightChars="300" w:right="540"/>
                  <w:jc w:val="left"/>
                  <w:rPr>
                    <w:rFonts w:eastAsia="黑体" w:cs="Arial"/>
                    <w:sz w:val="30"/>
                    <w:szCs w:val="52"/>
                  </w:rPr>
                </w:pPr>
              </w:p>
            </w:sdtContent>
          </w:sdt>
          <w:p w:rsidR="000E6AE0" w:rsidRDefault="000E6AE0" w:rsidP="000E6AE0">
            <w:pPr>
              <w:ind w:rightChars="300" w:right="540"/>
              <w:jc w:val="left"/>
              <w:rPr>
                <w:rFonts w:eastAsia="黑体" w:cs="Arial"/>
                <w:sz w:val="30"/>
                <w:szCs w:val="52"/>
              </w:rPr>
            </w:pPr>
          </w:p>
          <w:p w:rsidR="000E6AE0" w:rsidRDefault="000E6AE0" w:rsidP="00AA352E">
            <w:pPr>
              <w:jc w:val="left"/>
              <w:rPr>
                <w:rFonts w:eastAsia="黑体" w:cs="Arial"/>
                <w:sz w:val="30"/>
                <w:szCs w:val="52"/>
              </w:rPr>
            </w:pPr>
          </w:p>
          <w:p w:rsidR="00A05AC0" w:rsidRDefault="00A05AC0" w:rsidP="00AA352E">
            <w:pPr>
              <w:jc w:val="left"/>
              <w:rPr>
                <w:rFonts w:eastAsia="黑体" w:cs="Arial"/>
                <w:sz w:val="30"/>
                <w:szCs w:val="52"/>
              </w:rPr>
            </w:pPr>
          </w:p>
          <w:p w:rsidR="009562F7" w:rsidRDefault="009562F7" w:rsidP="00AA352E">
            <w:pPr>
              <w:jc w:val="left"/>
              <w:rPr>
                <w:rFonts w:eastAsia="黑体" w:cs="Arial"/>
                <w:sz w:val="30"/>
                <w:szCs w:val="52"/>
              </w:rPr>
            </w:pPr>
          </w:p>
          <w:p w:rsidR="000E6AE0" w:rsidRDefault="000E6AE0" w:rsidP="00AA352E">
            <w:pPr>
              <w:jc w:val="left"/>
              <w:rPr>
                <w:rFonts w:eastAsia="黑体" w:cs="Arial"/>
                <w:sz w:val="30"/>
                <w:szCs w:val="52"/>
              </w:rPr>
            </w:pPr>
          </w:p>
          <w:p w:rsidR="000E6AE0" w:rsidRDefault="000E6AE0" w:rsidP="00AA352E">
            <w:pPr>
              <w:jc w:val="left"/>
              <w:rPr>
                <w:rFonts w:eastAsia="黑体" w:cs="Arial"/>
                <w:sz w:val="30"/>
                <w:szCs w:val="52"/>
              </w:rPr>
            </w:pPr>
          </w:p>
          <w:p w:rsidR="00D2211C" w:rsidRPr="008D4BDD" w:rsidRDefault="00D2211C" w:rsidP="00AA352E">
            <w:pPr>
              <w:jc w:val="left"/>
              <w:rPr>
                <w:rFonts w:eastAsia="黑体" w:cs="Arial"/>
                <w:sz w:val="30"/>
                <w:szCs w:val="52"/>
              </w:rPr>
            </w:pPr>
          </w:p>
          <w:tbl>
            <w:tblPr>
              <w:tblStyle w:val="af"/>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D62C60" w:rsidTr="00A50B9B">
              <w:trPr>
                <w:trHeight w:val="2665"/>
              </w:trPr>
              <w:tc>
                <w:tcPr>
                  <w:tcW w:w="3458" w:type="dxa"/>
                  <w:tcMar>
                    <w:left w:w="57" w:type="dxa"/>
                    <w:right w:w="0" w:type="dxa"/>
                  </w:tcMar>
                  <w:vAlign w:val="bottom"/>
                </w:tcPr>
                <w:sdt>
                  <w:sdtPr>
                    <w:rPr>
                      <w:rFonts w:hint="eastAsia"/>
                      <w:b w:val="0"/>
                      <w:sz w:val="18"/>
                    </w:rPr>
                    <w:alias w:val="作者展示"/>
                    <w:tag w:val="BDCONTENTCONTROL_3df14c52-472a-44c1-9e63-51d70c06bfcd"/>
                    <w:id w:val="1476954864"/>
                    <w:placeholder>
                      <w:docPart w:val="EC6877187B6A4069AAA2AD4647EAF598"/>
                    </w:placeholder>
                  </w:sdtPr>
                  <w:sdtEndPr/>
                  <w:sdtContent>
                    <w:tbl>
                      <w:tblPr>
                        <w:tblW w:w="3458" w:type="dxa"/>
                        <w:tblLayout w:type="fixed"/>
                        <w:tblCellMar>
                          <w:left w:w="0" w:type="dxa"/>
                          <w:right w:w="0" w:type="dxa"/>
                        </w:tblCellMar>
                        <w:tblLook w:val="0000" w:firstRow="0" w:lastRow="0" w:firstColumn="0" w:lastColumn="0" w:noHBand="0" w:noVBand="0"/>
                      </w:tblPr>
                      <w:tblGrid>
                        <w:gridCol w:w="850"/>
                        <w:gridCol w:w="2608"/>
                      </w:tblGrid>
                      <w:tr w:rsidR="00F278C8" w:rsidTr="00EF0658">
                        <w:trPr>
                          <w:trHeight w:val="567"/>
                        </w:trPr>
                        <w:tc>
                          <w:tcPr>
                            <w:tcW w:w="1229" w:type="pct"/>
                            <w:tcMar>
                              <w:left w:w="0" w:type="dxa"/>
                              <w:right w:w="28" w:type="dxa"/>
                            </w:tcMar>
                          </w:tcPr>
                          <w:p w:rsidR="00F278C8" w:rsidRDefault="00F278C8" w:rsidP="004E627E">
                            <w:pPr>
                              <w:pStyle w:val="GJReportFirPageAuthorName"/>
                            </w:pPr>
                            <w:r>
                              <w:rPr>
                                <w:rFonts w:hint="eastAsia"/>
                              </w:rPr>
                              <w:t>张慧</w:t>
                            </w:r>
                          </w:p>
                        </w:tc>
                        <w:tc>
                          <w:tcPr>
                            <w:tcW w:w="3771" w:type="pct"/>
                            <w:tcMar>
                              <w:left w:w="0" w:type="dxa"/>
                              <w:right w:w="28" w:type="dxa"/>
                            </w:tcMar>
                          </w:tcPr>
                          <w:p w:rsidR="00F278C8" w:rsidRPr="00EE0794" w:rsidRDefault="00F278C8" w:rsidP="00F278C8">
                            <w:pPr>
                              <w:pStyle w:val="GJReportFirPageAuthorEmail"/>
                            </w:pPr>
                          </w:p>
                        </w:tc>
                      </w:tr>
                    </w:tbl>
                    <w:p w:rsidR="00B632AD" w:rsidRPr="006E3D11" w:rsidRDefault="00916280" w:rsidP="00F278C8">
                      <w:pPr>
                        <w:spacing w:line="14" w:lineRule="exact"/>
                      </w:pPr>
                    </w:p>
                  </w:sdtContent>
                </w:sdt>
              </w:tc>
            </w:tr>
          </w:tbl>
          <w:p w:rsidR="008D4BDD" w:rsidRPr="008D4BDD" w:rsidRDefault="008D4BDD" w:rsidP="00D62C60">
            <w:pPr>
              <w:jc w:val="left"/>
              <w:rPr>
                <w:rFonts w:eastAsia="黑体" w:cs="Arial"/>
                <w:sz w:val="30"/>
                <w:szCs w:val="52"/>
              </w:rPr>
            </w:pPr>
          </w:p>
        </w:tc>
        <w:tc>
          <w:tcPr>
            <w:tcW w:w="7568" w:type="dxa"/>
            <w:tcMar>
              <w:top w:w="28" w:type="dxa"/>
              <w:left w:w="108" w:type="dxa"/>
              <w:right w:w="28" w:type="dxa"/>
            </w:tcMar>
          </w:tcPr>
          <w:sdt>
            <w:sdtPr>
              <w:rPr>
                <w:rFonts w:ascii="楷体_GB2312" w:hint="eastAsia"/>
                <w:b/>
                <w:bCs/>
                <w:sz w:val="36"/>
                <w:szCs w:val="36"/>
              </w:rPr>
              <w:alias w:val="副标题"/>
              <w:tag w:val="BDCONTENTCONTROL_AUTO_SAVE_SubTitle"/>
              <w:id w:val="-642272724"/>
              <w:lock w:val="sdtLocked"/>
              <w:placeholder>
                <w:docPart w:val="EC6877187B6A4069AAA2AD4647EAF598"/>
              </w:placeholder>
            </w:sdtPr>
            <w:sdtEndPr/>
            <w:sdtContent>
              <w:p w:rsidR="00962AD2" w:rsidRDefault="00F11E76" w:rsidP="00AA352E">
                <w:pPr>
                  <w:ind w:rightChars="13" w:right="23"/>
                  <w:jc w:val="center"/>
                  <w:rPr>
                    <w:rFonts w:ascii="楷体_GB2312"/>
                    <w:b/>
                    <w:bCs/>
                    <w:sz w:val="36"/>
                    <w:szCs w:val="36"/>
                  </w:rPr>
                </w:pPr>
                <w:r>
                  <w:rPr>
                    <w:rFonts w:ascii="楷体_GB2312" w:hint="eastAsia"/>
                    <w:b/>
                    <w:bCs/>
                    <w:sz w:val="36"/>
                    <w:szCs w:val="36"/>
                  </w:rPr>
                  <w:t>成也萧何败也萧何</w:t>
                </w:r>
                <w:r w:rsidR="008A59CA">
                  <w:rPr>
                    <w:rFonts w:ascii="楷体_GB2312" w:hint="eastAsia"/>
                    <w:b/>
                    <w:bCs/>
                    <w:sz w:val="36"/>
                    <w:szCs w:val="36"/>
                  </w:rPr>
                  <w:t>，股票型业绩大幅回落</w:t>
                </w:r>
              </w:p>
            </w:sdtContent>
          </w:sdt>
          <w:p w:rsidR="00962AD2" w:rsidRPr="00BD4986" w:rsidRDefault="00962AD2" w:rsidP="00AA352E">
            <w:pPr>
              <w:jc w:val="left"/>
              <w:rPr>
                <w:rFonts w:eastAsia="黑体" w:cs="Arial"/>
                <w:sz w:val="30"/>
                <w:szCs w:val="52"/>
              </w:rPr>
            </w:pPr>
          </w:p>
          <w:sdt>
            <w:sdtPr>
              <w:rPr>
                <w:rFonts w:cs="Arial"/>
                <w:b/>
                <w:sz w:val="24"/>
                <w:szCs w:val="24"/>
              </w:rPr>
              <w:alias w:val="摘要"/>
              <w:tag w:val="BDCONTENTCONTROL_AUTO_SAVE_Summary"/>
              <w:id w:val="1939021410"/>
              <w:lock w:val="sdtLocked"/>
              <w:placeholder>
                <w:docPart w:val="EC6877187B6A4069AAA2AD4647EAF598"/>
              </w:placeholder>
            </w:sdtPr>
            <w:sdtEndPr>
              <w:rPr>
                <w:rFonts w:cs="Times New Roman"/>
                <w:b w:val="0"/>
                <w:sz w:val="21"/>
                <w:szCs w:val="21"/>
              </w:rPr>
            </w:sdtEndPr>
            <w:sdtContent>
              <w:p w:rsidR="00E227C4" w:rsidRPr="00346E26" w:rsidRDefault="00E227C4" w:rsidP="000E6AE0">
                <w:pPr>
                  <w:pStyle w:val="a0"/>
                  <w:spacing w:line="240" w:lineRule="auto"/>
                  <w:ind w:left="0" w:rightChars="12" w:right="22"/>
                  <w:jc w:val="left"/>
                  <w:rPr>
                    <w:b/>
                    <w:bCs/>
                    <w:color w:val="auto"/>
                    <w:sz w:val="24"/>
                  </w:rPr>
                </w:pPr>
                <w:r w:rsidRPr="00346E26">
                  <w:rPr>
                    <w:b/>
                    <w:bCs/>
                    <w:color w:val="auto"/>
                    <w:sz w:val="24"/>
                  </w:rPr>
                  <w:t>基本结论</w:t>
                </w:r>
              </w:p>
              <w:p w:rsidR="00E227C4" w:rsidRPr="00CB3C18" w:rsidRDefault="008A59CA" w:rsidP="00966BFC">
                <w:pPr>
                  <w:pStyle w:val="a0"/>
                  <w:numPr>
                    <w:ilvl w:val="0"/>
                    <w:numId w:val="9"/>
                  </w:numPr>
                  <w:spacing w:line="240" w:lineRule="auto"/>
                  <w:ind w:rightChars="12" w:right="22"/>
                  <w:rPr>
                    <w:color w:val="auto"/>
                  </w:rPr>
                </w:pPr>
                <w:r>
                  <w:rPr>
                    <w:rFonts w:hint="eastAsia"/>
                    <w:color w:val="auto"/>
                  </w:rPr>
                  <w:t>5</w:t>
                </w:r>
                <w:r>
                  <w:rPr>
                    <w:rFonts w:hint="eastAsia"/>
                    <w:color w:val="auto"/>
                  </w:rPr>
                  <w:t>月底，</w:t>
                </w:r>
                <w:r w:rsidR="006D3CA5">
                  <w:rPr>
                    <w:rFonts w:hint="eastAsia"/>
                    <w:color w:val="auto"/>
                  </w:rPr>
                  <w:t>在去杠杆引发连锁反应</w:t>
                </w:r>
                <w:r>
                  <w:rPr>
                    <w:rFonts w:hint="eastAsia"/>
                    <w:color w:val="auto"/>
                  </w:rPr>
                  <w:t>，</w:t>
                </w:r>
                <w:r>
                  <w:rPr>
                    <w:rFonts w:hint="eastAsia"/>
                    <w:color w:val="auto"/>
                  </w:rPr>
                  <w:t>A</w:t>
                </w:r>
                <w:r>
                  <w:rPr>
                    <w:rFonts w:hint="eastAsia"/>
                    <w:color w:val="auto"/>
                  </w:rPr>
                  <w:t>股</w:t>
                </w:r>
                <w:r w:rsidR="006D3CA5">
                  <w:rPr>
                    <w:rFonts w:hint="eastAsia"/>
                    <w:color w:val="auto"/>
                  </w:rPr>
                  <w:t>急转直下</w:t>
                </w:r>
                <w:r>
                  <w:rPr>
                    <w:rFonts w:hint="eastAsia"/>
                    <w:color w:val="auto"/>
                  </w:rPr>
                  <w:t>。尽管央行同时降息、降准释放流动性，引导货币政策宽松预期；交易所下调</w:t>
                </w:r>
                <w:r>
                  <w:rPr>
                    <w:rFonts w:hint="eastAsia"/>
                    <w:color w:val="auto"/>
                  </w:rPr>
                  <w:t>A</w:t>
                </w:r>
                <w:r>
                  <w:rPr>
                    <w:rFonts w:hint="eastAsia"/>
                    <w:color w:val="auto"/>
                  </w:rPr>
                  <w:t>股交易结算相关收费标准；证监会允许证券公司自行制定两融强平线；证监会放开证券公司融资渠道。但市场不为所动，依然跌跌不休，截止</w:t>
                </w:r>
                <w:r>
                  <w:rPr>
                    <w:rFonts w:hint="eastAsia"/>
                    <w:color w:val="auto"/>
                  </w:rPr>
                  <w:t>6</w:t>
                </w:r>
                <w:r>
                  <w:rPr>
                    <w:rFonts w:hint="eastAsia"/>
                    <w:color w:val="auto"/>
                  </w:rPr>
                  <w:t>月底，沪深</w:t>
                </w:r>
                <w:r>
                  <w:rPr>
                    <w:rFonts w:hint="eastAsia"/>
                    <w:color w:val="auto"/>
                  </w:rPr>
                  <w:t>300</w:t>
                </w:r>
                <w:r>
                  <w:rPr>
                    <w:rFonts w:hint="eastAsia"/>
                    <w:color w:val="auto"/>
                  </w:rPr>
                  <w:t>、中小板指、创业板指分别下跌</w:t>
                </w:r>
                <w:r>
                  <w:rPr>
                    <w:rFonts w:hint="eastAsia"/>
                    <w:color w:val="auto"/>
                  </w:rPr>
                  <w:t>7.6%</w:t>
                </w:r>
                <w:r>
                  <w:rPr>
                    <w:rFonts w:hint="eastAsia"/>
                    <w:color w:val="auto"/>
                  </w:rPr>
                  <w:t>、</w:t>
                </w:r>
                <w:r>
                  <w:rPr>
                    <w:rFonts w:hint="eastAsia"/>
                    <w:color w:val="auto"/>
                  </w:rPr>
                  <w:t>15.86%</w:t>
                </w:r>
                <w:r>
                  <w:rPr>
                    <w:rFonts w:hint="eastAsia"/>
                    <w:color w:val="auto"/>
                  </w:rPr>
                  <w:t>、</w:t>
                </w:r>
                <w:r>
                  <w:rPr>
                    <w:rFonts w:hint="eastAsia"/>
                    <w:color w:val="auto"/>
                  </w:rPr>
                  <w:t>19.31%</w:t>
                </w:r>
                <w:r>
                  <w:rPr>
                    <w:rFonts w:hint="eastAsia"/>
                    <w:color w:val="auto"/>
                  </w:rPr>
                  <w:t>。虽然降息，但</w:t>
                </w:r>
                <w:r>
                  <w:rPr>
                    <w:rFonts w:hint="eastAsia"/>
                    <w:color w:val="auto"/>
                  </w:rPr>
                  <w:t>6</w:t>
                </w:r>
                <w:r>
                  <w:rPr>
                    <w:rFonts w:hint="eastAsia"/>
                    <w:color w:val="auto"/>
                  </w:rPr>
                  <w:t>月资金价格依然较上月有所提高。</w:t>
                </w:r>
                <w:r>
                  <w:rPr>
                    <w:rFonts w:hint="eastAsia"/>
                    <w:color w:val="auto"/>
                  </w:rPr>
                  <w:t>1</w:t>
                </w:r>
                <w:r>
                  <w:rPr>
                    <w:rFonts w:hint="eastAsia"/>
                    <w:color w:val="auto"/>
                  </w:rPr>
                  <w:t>年期国债收益率下行</w:t>
                </w:r>
                <w:r>
                  <w:rPr>
                    <w:rFonts w:hint="eastAsia"/>
                    <w:color w:val="auto"/>
                  </w:rPr>
                  <w:t>20bp</w:t>
                </w:r>
                <w:r>
                  <w:rPr>
                    <w:rFonts w:hint="eastAsia"/>
                    <w:color w:val="auto"/>
                  </w:rPr>
                  <w:t>，</w:t>
                </w:r>
                <w:r>
                  <w:rPr>
                    <w:rFonts w:hint="eastAsia"/>
                    <w:color w:val="auto"/>
                  </w:rPr>
                  <w:t>1</w:t>
                </w:r>
                <w:r>
                  <w:rPr>
                    <w:rFonts w:hint="eastAsia"/>
                    <w:color w:val="auto"/>
                  </w:rPr>
                  <w:t>年期</w:t>
                </w:r>
                <w:r>
                  <w:rPr>
                    <w:rFonts w:hint="eastAsia"/>
                    <w:color w:val="auto"/>
                  </w:rPr>
                  <w:t>AAA</w:t>
                </w:r>
                <w:r>
                  <w:rPr>
                    <w:rFonts w:hint="eastAsia"/>
                    <w:color w:val="auto"/>
                  </w:rPr>
                  <w:t>级企业债收益率下行</w:t>
                </w:r>
                <w:r>
                  <w:rPr>
                    <w:rFonts w:hint="eastAsia"/>
                    <w:color w:val="auto"/>
                  </w:rPr>
                  <w:t>4bp</w:t>
                </w:r>
                <w:r>
                  <w:rPr>
                    <w:rFonts w:hint="eastAsia"/>
                    <w:color w:val="auto"/>
                  </w:rPr>
                  <w:t>，其它级别企业债上行</w:t>
                </w:r>
                <w:r>
                  <w:rPr>
                    <w:rFonts w:hint="eastAsia"/>
                    <w:color w:val="auto"/>
                  </w:rPr>
                  <w:t>7-30bp</w:t>
                </w:r>
                <w:r>
                  <w:rPr>
                    <w:rFonts w:hint="eastAsia"/>
                    <w:color w:val="auto"/>
                  </w:rPr>
                  <w:t>不等。</w:t>
                </w:r>
                <w:r>
                  <w:rPr>
                    <w:rFonts w:hint="eastAsia"/>
                    <w:color w:val="auto"/>
                  </w:rPr>
                  <w:t>6</w:t>
                </w:r>
                <w:r>
                  <w:rPr>
                    <w:rFonts w:hint="eastAsia"/>
                    <w:color w:val="auto"/>
                  </w:rPr>
                  <w:t>月，中标全债指数微涨</w:t>
                </w:r>
                <w:r>
                  <w:rPr>
                    <w:rFonts w:hint="eastAsia"/>
                    <w:color w:val="auto"/>
                  </w:rPr>
                  <w:t>0.22%</w:t>
                </w:r>
                <w:r>
                  <w:rPr>
                    <w:rFonts w:hint="eastAsia"/>
                    <w:color w:val="auto"/>
                  </w:rPr>
                  <w:t>，国债、企业债、转债涨跌幅分别为</w:t>
                </w:r>
                <w:r>
                  <w:rPr>
                    <w:rFonts w:hint="eastAsia"/>
                    <w:color w:val="auto"/>
                  </w:rPr>
                  <w:t>0.21%</w:t>
                </w:r>
                <w:r>
                  <w:rPr>
                    <w:rFonts w:hint="eastAsia"/>
                    <w:color w:val="auto"/>
                  </w:rPr>
                  <w:t>、</w:t>
                </w:r>
                <w:r>
                  <w:rPr>
                    <w:rFonts w:hint="eastAsia"/>
                    <w:color w:val="auto"/>
                  </w:rPr>
                  <w:t>-0.07%</w:t>
                </w:r>
                <w:r>
                  <w:rPr>
                    <w:rFonts w:hint="eastAsia"/>
                    <w:color w:val="auto"/>
                  </w:rPr>
                  <w:t>、</w:t>
                </w:r>
                <w:r>
                  <w:rPr>
                    <w:rFonts w:hint="eastAsia"/>
                    <w:color w:val="auto"/>
                  </w:rPr>
                  <w:t>-26.61%</w:t>
                </w:r>
                <w:r>
                  <w:rPr>
                    <w:rFonts w:hint="eastAsia"/>
                    <w:color w:val="auto"/>
                  </w:rPr>
                  <w:t>。</w:t>
                </w:r>
              </w:p>
              <w:p w:rsidR="00E227C4" w:rsidRPr="001B225E" w:rsidRDefault="006B4BFD" w:rsidP="009E23EC">
                <w:pPr>
                  <w:pStyle w:val="a0"/>
                  <w:numPr>
                    <w:ilvl w:val="0"/>
                    <w:numId w:val="9"/>
                  </w:numPr>
                  <w:spacing w:line="240" w:lineRule="auto"/>
                  <w:ind w:rightChars="12" w:right="22"/>
                </w:pPr>
                <w:r w:rsidRPr="00517B08">
                  <w:rPr>
                    <w:rFonts w:hint="eastAsia"/>
                    <w:color w:val="auto"/>
                  </w:rPr>
                  <w:t>投连险方面，</w:t>
                </w:r>
                <w:r w:rsidR="008A59CA" w:rsidRPr="00517B08">
                  <w:rPr>
                    <w:rFonts w:hint="eastAsia"/>
                    <w:color w:val="auto"/>
                  </w:rPr>
                  <w:t>纳入国金统计的</w:t>
                </w:r>
                <w:r w:rsidR="008A59CA" w:rsidRPr="00517B08">
                  <w:rPr>
                    <w:rFonts w:hint="eastAsia"/>
                    <w:color w:val="auto"/>
                  </w:rPr>
                  <w:t>19</w:t>
                </w:r>
                <w:r w:rsidR="008A59CA">
                  <w:rPr>
                    <w:rFonts w:hint="eastAsia"/>
                    <w:color w:val="auto"/>
                  </w:rPr>
                  <w:t>4</w:t>
                </w:r>
                <w:r w:rsidR="008A59CA" w:rsidRPr="00517B08">
                  <w:rPr>
                    <w:rFonts w:hint="eastAsia"/>
                    <w:color w:val="auto"/>
                  </w:rPr>
                  <w:t>个账户</w:t>
                </w:r>
                <w:r w:rsidR="008A59CA">
                  <w:rPr>
                    <w:rFonts w:hint="eastAsia"/>
                    <w:color w:val="auto"/>
                  </w:rPr>
                  <w:t>6</w:t>
                </w:r>
                <w:r w:rsidR="008A59CA">
                  <w:rPr>
                    <w:rFonts w:hint="eastAsia"/>
                    <w:color w:val="auto"/>
                  </w:rPr>
                  <w:t>月</w:t>
                </w:r>
                <w:r w:rsidR="008A59CA" w:rsidRPr="00517B08">
                  <w:rPr>
                    <w:rFonts w:hint="eastAsia"/>
                    <w:color w:val="auto"/>
                  </w:rPr>
                  <w:t>平均收益率</w:t>
                </w:r>
                <w:r w:rsidR="008A59CA">
                  <w:rPr>
                    <w:rFonts w:hint="eastAsia"/>
                    <w:color w:val="auto"/>
                  </w:rPr>
                  <w:t>-6.18</w:t>
                </w:r>
                <w:r w:rsidR="008A59CA" w:rsidRPr="00517B08">
                  <w:rPr>
                    <w:rFonts w:hint="eastAsia"/>
                    <w:color w:val="auto"/>
                  </w:rPr>
                  <w:t>%</w:t>
                </w:r>
                <w:r w:rsidR="008A59CA">
                  <w:rPr>
                    <w:rFonts w:hint="eastAsia"/>
                    <w:color w:val="auto"/>
                  </w:rPr>
                  <w:t>。</w:t>
                </w:r>
                <w:r w:rsidR="008A59CA">
                  <w:rPr>
                    <w:rFonts w:hint="eastAsia"/>
                    <w:color w:val="auto"/>
                  </w:rPr>
                  <w:t>145</w:t>
                </w:r>
                <w:r w:rsidR="008A59CA">
                  <w:rPr>
                    <w:rFonts w:hint="eastAsia"/>
                    <w:color w:val="auto"/>
                  </w:rPr>
                  <w:t>个（占比</w:t>
                </w:r>
                <w:r w:rsidR="008A59CA">
                  <w:rPr>
                    <w:rFonts w:hint="eastAsia"/>
                    <w:color w:val="auto"/>
                  </w:rPr>
                  <w:t>75%</w:t>
                </w:r>
                <w:r w:rsidR="008A59CA">
                  <w:rPr>
                    <w:rFonts w:hint="eastAsia"/>
                    <w:color w:val="auto"/>
                  </w:rPr>
                  <w:t>）</w:t>
                </w:r>
                <w:r w:rsidR="008A59CA" w:rsidRPr="00517B08">
                  <w:rPr>
                    <w:rFonts w:hint="eastAsia"/>
                    <w:color w:val="auto"/>
                  </w:rPr>
                  <w:t>账户下跌</w:t>
                </w:r>
                <w:r w:rsidR="008A59CA">
                  <w:rPr>
                    <w:rFonts w:hint="eastAsia"/>
                    <w:color w:val="auto"/>
                  </w:rPr>
                  <w:t>，其中</w:t>
                </w:r>
                <w:r w:rsidR="008A59CA">
                  <w:rPr>
                    <w:rFonts w:hint="eastAsia"/>
                    <w:color w:val="auto"/>
                  </w:rPr>
                  <w:t>2</w:t>
                </w:r>
                <w:r w:rsidR="008A59CA">
                  <w:rPr>
                    <w:rFonts w:hint="eastAsia"/>
                    <w:color w:val="auto"/>
                  </w:rPr>
                  <w:t>个股票型账户跌幅超过</w:t>
                </w:r>
                <w:r w:rsidR="008A59CA">
                  <w:rPr>
                    <w:rFonts w:hint="eastAsia"/>
                    <w:color w:val="auto"/>
                  </w:rPr>
                  <w:t>20%</w:t>
                </w:r>
                <w:r w:rsidR="008A59CA" w:rsidRPr="00517B08">
                  <w:rPr>
                    <w:rFonts w:hint="eastAsia"/>
                    <w:color w:val="auto"/>
                  </w:rPr>
                  <w:t>。</w:t>
                </w:r>
                <w:r w:rsidR="008A59CA">
                  <w:rPr>
                    <w:rFonts w:hint="eastAsia"/>
                    <w:color w:val="auto"/>
                  </w:rPr>
                  <w:t>泰康人寿</w:t>
                </w:r>
                <w:r w:rsidR="008A59CA">
                  <w:rPr>
                    <w:rFonts w:hint="eastAsia"/>
                    <w:color w:val="auto"/>
                  </w:rPr>
                  <w:t>-</w:t>
                </w:r>
                <w:r w:rsidR="008A59CA">
                  <w:rPr>
                    <w:rFonts w:hint="eastAsia"/>
                    <w:color w:val="auto"/>
                  </w:rPr>
                  <w:t>进取型的收益率最高，为</w:t>
                </w:r>
                <w:r w:rsidR="008A59CA">
                  <w:rPr>
                    <w:rFonts w:hint="eastAsia"/>
                    <w:color w:val="auto"/>
                  </w:rPr>
                  <w:t>3.27%</w:t>
                </w:r>
                <w:r w:rsidR="008A59CA">
                  <w:rPr>
                    <w:rFonts w:hint="eastAsia"/>
                    <w:color w:val="auto"/>
                  </w:rPr>
                  <w:t>，另有</w:t>
                </w:r>
                <w:r w:rsidR="008A59CA">
                  <w:rPr>
                    <w:rFonts w:hint="eastAsia"/>
                    <w:color w:val="auto"/>
                  </w:rPr>
                  <w:t>5</w:t>
                </w:r>
                <w:r w:rsidR="008A59CA">
                  <w:rPr>
                    <w:rFonts w:hint="eastAsia"/>
                    <w:color w:val="auto"/>
                  </w:rPr>
                  <w:t>个账户收益率超过</w:t>
                </w:r>
                <w:r w:rsidR="008A59CA">
                  <w:rPr>
                    <w:rFonts w:hint="eastAsia"/>
                    <w:color w:val="auto"/>
                  </w:rPr>
                  <w:t>1%</w:t>
                </w:r>
                <w:r w:rsidR="008A59CA">
                  <w:rPr>
                    <w:rFonts w:hint="eastAsia"/>
                    <w:color w:val="auto"/>
                  </w:rPr>
                  <w:t>，多数为债券型</w:t>
                </w:r>
                <w:r w:rsidR="008A59CA" w:rsidRPr="00517B08">
                  <w:rPr>
                    <w:rFonts w:hint="eastAsia"/>
                    <w:color w:val="auto"/>
                  </w:rPr>
                  <w:t>。</w:t>
                </w:r>
              </w:p>
              <w:p w:rsidR="00E227C4" w:rsidRPr="00737C31" w:rsidRDefault="008A59CA" w:rsidP="009E23EC">
                <w:pPr>
                  <w:pStyle w:val="a0"/>
                  <w:numPr>
                    <w:ilvl w:val="0"/>
                    <w:numId w:val="10"/>
                  </w:numPr>
                  <w:spacing w:line="240" w:lineRule="auto"/>
                  <w:ind w:left="709" w:rightChars="12" w:right="22" w:hanging="289"/>
                  <w:rPr>
                    <w:rFonts w:ascii="楷体_GB2312"/>
                    <w:color w:val="auto"/>
                  </w:rPr>
                </w:pPr>
                <w:r w:rsidRPr="009C50F8">
                  <w:rPr>
                    <w:rFonts w:hint="eastAsia"/>
                    <w:color w:val="auto"/>
                  </w:rPr>
                  <w:t>偏股类</w:t>
                </w:r>
                <w:r>
                  <w:rPr>
                    <w:rFonts w:hint="eastAsia"/>
                    <w:color w:val="auto"/>
                  </w:rPr>
                  <w:t>账户</w:t>
                </w:r>
                <w:r>
                  <w:rPr>
                    <w:rFonts w:hint="eastAsia"/>
                    <w:color w:val="auto"/>
                  </w:rPr>
                  <w:t>2015</w:t>
                </w:r>
                <w:r>
                  <w:rPr>
                    <w:rFonts w:hint="eastAsia"/>
                    <w:color w:val="auto"/>
                  </w:rPr>
                  <w:t>年</w:t>
                </w:r>
                <w:r>
                  <w:rPr>
                    <w:rFonts w:hint="eastAsia"/>
                    <w:color w:val="auto"/>
                  </w:rPr>
                  <w:t>6</w:t>
                </w:r>
                <w:r>
                  <w:rPr>
                    <w:rFonts w:hint="eastAsia"/>
                    <w:color w:val="auto"/>
                  </w:rPr>
                  <w:t>月平均收益率为</w:t>
                </w:r>
                <w:r>
                  <w:rPr>
                    <w:rFonts w:hint="eastAsia"/>
                    <w:color w:val="auto"/>
                  </w:rPr>
                  <w:t>-9.95%</w:t>
                </w:r>
                <w:r>
                  <w:rPr>
                    <w:rFonts w:hint="eastAsia"/>
                    <w:color w:val="auto"/>
                  </w:rPr>
                  <w:t>。股票型、股票</w:t>
                </w:r>
                <w:r>
                  <w:rPr>
                    <w:rFonts w:hint="eastAsia"/>
                    <w:color w:val="auto"/>
                  </w:rPr>
                  <w:t>-</w:t>
                </w:r>
                <w:r>
                  <w:rPr>
                    <w:rFonts w:hint="eastAsia"/>
                    <w:color w:val="auto"/>
                  </w:rPr>
                  <w:t>指数型、混合偏股型、灵活配置型的平均收益分别为</w:t>
                </w:r>
                <w:r>
                  <w:rPr>
                    <w:rFonts w:hint="eastAsia"/>
                    <w:color w:val="auto"/>
                  </w:rPr>
                  <w:t>-13%</w:t>
                </w:r>
                <w:r>
                  <w:rPr>
                    <w:rFonts w:hint="eastAsia"/>
                    <w:color w:val="auto"/>
                  </w:rPr>
                  <w:t>、</w:t>
                </w:r>
                <w:r>
                  <w:rPr>
                    <w:rFonts w:hint="eastAsia"/>
                    <w:color w:val="auto"/>
                  </w:rPr>
                  <w:t>-5.63%</w:t>
                </w:r>
                <w:r>
                  <w:rPr>
                    <w:rFonts w:hint="eastAsia"/>
                    <w:color w:val="auto"/>
                  </w:rPr>
                  <w:t>、</w:t>
                </w:r>
                <w:r>
                  <w:rPr>
                    <w:rFonts w:hint="eastAsia"/>
                    <w:color w:val="auto"/>
                  </w:rPr>
                  <w:t>-7.97%</w:t>
                </w:r>
                <w:r>
                  <w:rPr>
                    <w:rFonts w:hint="eastAsia"/>
                    <w:color w:val="auto"/>
                  </w:rPr>
                  <w:t>、</w:t>
                </w:r>
                <w:r>
                  <w:rPr>
                    <w:rFonts w:hint="eastAsia"/>
                    <w:color w:val="auto"/>
                  </w:rPr>
                  <w:t>-7.26%</w:t>
                </w:r>
                <w:r>
                  <w:rPr>
                    <w:rFonts w:hint="eastAsia"/>
                    <w:color w:val="auto"/>
                  </w:rPr>
                  <w:t>。</w:t>
                </w:r>
              </w:p>
              <w:p w:rsidR="00E227C4" w:rsidRPr="00756A77" w:rsidRDefault="008A59CA" w:rsidP="00756A77">
                <w:pPr>
                  <w:pStyle w:val="a0"/>
                  <w:numPr>
                    <w:ilvl w:val="0"/>
                    <w:numId w:val="10"/>
                  </w:numPr>
                  <w:spacing w:line="240" w:lineRule="auto"/>
                  <w:ind w:left="709" w:rightChars="12" w:right="22" w:hanging="289"/>
                  <w:rPr>
                    <w:color w:val="auto"/>
                  </w:rPr>
                </w:pPr>
                <w:r>
                  <w:rPr>
                    <w:rFonts w:hint="eastAsia"/>
                    <w:color w:val="auto"/>
                  </w:rPr>
                  <w:t>偏债类投连险</w:t>
                </w:r>
                <w:r>
                  <w:rPr>
                    <w:rFonts w:hint="eastAsia"/>
                  </w:rPr>
                  <w:t>2015</w:t>
                </w:r>
                <w:r>
                  <w:rPr>
                    <w:rFonts w:hint="eastAsia"/>
                  </w:rPr>
                  <w:t>年</w:t>
                </w:r>
                <w:r>
                  <w:rPr>
                    <w:rFonts w:hint="eastAsia"/>
                  </w:rPr>
                  <w:t>6</w:t>
                </w:r>
                <w:r>
                  <w:rPr>
                    <w:rFonts w:hint="eastAsia"/>
                  </w:rPr>
                  <w:t>月平均收益为</w:t>
                </w:r>
                <w:r>
                  <w:rPr>
                    <w:rFonts w:hint="eastAsia"/>
                  </w:rPr>
                  <w:t>-2.4%</w:t>
                </w:r>
                <w:r>
                  <w:rPr>
                    <w:rFonts w:hint="eastAsia"/>
                  </w:rPr>
                  <w:t>。</w:t>
                </w:r>
                <w:r>
                  <w:rPr>
                    <w:rFonts w:hint="eastAsia"/>
                    <w:color w:val="auto"/>
                  </w:rPr>
                  <w:t>其中，</w:t>
                </w:r>
                <w:r w:rsidRPr="00F956E5">
                  <w:rPr>
                    <w:rFonts w:hint="eastAsia"/>
                    <w:bCs/>
                    <w:color w:val="auto"/>
                  </w:rPr>
                  <w:t>混合偏债型</w:t>
                </w:r>
                <w:r>
                  <w:rPr>
                    <w:rFonts w:hint="eastAsia"/>
                    <w:color w:val="auto"/>
                  </w:rPr>
                  <w:t>、债券型和货币型账户的平均收益分别为</w:t>
                </w:r>
                <w:r>
                  <w:rPr>
                    <w:rFonts w:hint="eastAsia"/>
                    <w:bCs/>
                    <w:color w:val="auto"/>
                  </w:rPr>
                  <w:t>-7.54%</w:t>
                </w:r>
                <w:r>
                  <w:rPr>
                    <w:rFonts w:hint="eastAsia"/>
                    <w:bCs/>
                    <w:color w:val="auto"/>
                  </w:rPr>
                  <w:t>、</w:t>
                </w:r>
                <w:r>
                  <w:rPr>
                    <w:rFonts w:hint="eastAsia"/>
                    <w:bCs/>
                    <w:color w:val="auto"/>
                  </w:rPr>
                  <w:t>-1.36%</w:t>
                </w:r>
                <w:r>
                  <w:rPr>
                    <w:rFonts w:hint="eastAsia"/>
                    <w:bCs/>
                    <w:color w:val="auto"/>
                  </w:rPr>
                  <w:t>、</w:t>
                </w:r>
                <w:r>
                  <w:rPr>
                    <w:rFonts w:hint="eastAsia"/>
                    <w:bCs/>
                    <w:color w:val="auto"/>
                  </w:rPr>
                  <w:t>-0.03%</w:t>
                </w:r>
                <w:r w:rsidRPr="007C549D">
                  <w:rPr>
                    <w:rFonts w:hint="eastAsia"/>
                    <w:bCs/>
                    <w:color w:val="auto"/>
                  </w:rPr>
                  <w:t>。</w:t>
                </w:r>
              </w:p>
              <w:p w:rsidR="00E227C4" w:rsidRPr="008B3A5C" w:rsidRDefault="006B4BFD" w:rsidP="00E227C4">
                <w:pPr>
                  <w:pStyle w:val="a0"/>
                  <w:numPr>
                    <w:ilvl w:val="0"/>
                    <w:numId w:val="9"/>
                  </w:numPr>
                  <w:spacing w:line="240" w:lineRule="auto"/>
                  <w:ind w:rightChars="12" w:right="22"/>
                  <w:rPr>
                    <w:b/>
                    <w:bCs/>
                    <w:color w:val="auto"/>
                    <w:sz w:val="24"/>
                  </w:rPr>
                </w:pPr>
                <w:r>
                  <w:rPr>
                    <w:rFonts w:hint="eastAsia"/>
                    <w:color w:val="auto"/>
                  </w:rPr>
                  <w:t>纵向来看，</w:t>
                </w:r>
                <w:r w:rsidR="008A59CA">
                  <w:rPr>
                    <w:rFonts w:hint="eastAsia"/>
                    <w:color w:val="auto"/>
                  </w:rPr>
                  <w:t>1-5</w:t>
                </w:r>
                <w:r w:rsidR="008A59CA">
                  <w:rPr>
                    <w:rFonts w:hint="eastAsia"/>
                    <w:color w:val="auto"/>
                  </w:rPr>
                  <w:t>月，受益于股市，投连险整体取得了绝对收益，但</w:t>
                </w:r>
                <w:r w:rsidR="008A59CA">
                  <w:rPr>
                    <w:rFonts w:hint="eastAsia"/>
                    <w:color w:val="auto"/>
                  </w:rPr>
                  <w:t>6</w:t>
                </w:r>
                <w:r w:rsidR="008A59CA">
                  <w:rPr>
                    <w:rFonts w:hint="eastAsia"/>
                    <w:color w:val="auto"/>
                  </w:rPr>
                  <w:t>月大幅回挫。分类型看，偏债类每月收益均在</w:t>
                </w:r>
                <w:r w:rsidR="008A59CA">
                  <w:rPr>
                    <w:rFonts w:hint="eastAsia"/>
                    <w:color w:val="auto"/>
                  </w:rPr>
                  <w:t>-3~4%</w:t>
                </w:r>
                <w:r w:rsidR="008A59CA">
                  <w:rPr>
                    <w:rFonts w:hint="eastAsia"/>
                    <w:color w:val="auto"/>
                  </w:rPr>
                  <w:t>内徘徊，而偏股类</w:t>
                </w:r>
                <w:r w:rsidR="008A59CA">
                  <w:rPr>
                    <w:rFonts w:hint="eastAsia"/>
                    <w:color w:val="auto"/>
                  </w:rPr>
                  <w:t>-</w:t>
                </w:r>
                <w:r w:rsidR="008A59CA">
                  <w:rPr>
                    <w:rFonts w:hint="eastAsia"/>
                    <w:color w:val="auto"/>
                  </w:rPr>
                  <w:t>除指数型前</w:t>
                </w:r>
                <w:r w:rsidR="008A59CA">
                  <w:rPr>
                    <w:rFonts w:hint="eastAsia"/>
                    <w:color w:val="auto"/>
                  </w:rPr>
                  <w:t>2</w:t>
                </w:r>
                <w:r w:rsidR="008A59CA">
                  <w:rPr>
                    <w:rFonts w:hint="eastAsia"/>
                    <w:color w:val="auto"/>
                  </w:rPr>
                  <w:t>月月度收益均在</w:t>
                </w:r>
                <w:r w:rsidR="008A59CA">
                  <w:rPr>
                    <w:rFonts w:hint="eastAsia"/>
                    <w:color w:val="auto"/>
                  </w:rPr>
                  <w:t>4%</w:t>
                </w:r>
                <w:r w:rsidR="008A59CA">
                  <w:rPr>
                    <w:rFonts w:hint="eastAsia"/>
                    <w:color w:val="auto"/>
                  </w:rPr>
                  <w:t>左右，</w:t>
                </w:r>
                <w:r w:rsidR="008A59CA">
                  <w:rPr>
                    <w:rFonts w:hint="eastAsia"/>
                    <w:color w:val="auto"/>
                  </w:rPr>
                  <w:t>3-5</w:t>
                </w:r>
                <w:r w:rsidR="008A59CA">
                  <w:rPr>
                    <w:rFonts w:hint="eastAsia"/>
                    <w:color w:val="auto"/>
                  </w:rPr>
                  <w:t>月飙升至</w:t>
                </w:r>
                <w:r w:rsidR="008A59CA">
                  <w:rPr>
                    <w:rFonts w:hint="eastAsia"/>
                    <w:color w:val="auto"/>
                  </w:rPr>
                  <w:t>10%</w:t>
                </w:r>
                <w:r w:rsidR="008A59CA">
                  <w:rPr>
                    <w:rFonts w:hint="eastAsia"/>
                    <w:color w:val="auto"/>
                  </w:rPr>
                  <w:t>以上，</w:t>
                </w:r>
                <w:r w:rsidR="008A59CA">
                  <w:rPr>
                    <w:rFonts w:hint="eastAsia"/>
                    <w:color w:val="auto"/>
                  </w:rPr>
                  <w:t>6</w:t>
                </w:r>
                <w:r w:rsidR="008A59CA">
                  <w:rPr>
                    <w:rFonts w:hint="eastAsia"/>
                    <w:color w:val="auto"/>
                  </w:rPr>
                  <w:t>月下跌</w:t>
                </w:r>
                <w:r w:rsidR="008A59CA">
                  <w:rPr>
                    <w:rFonts w:hint="eastAsia"/>
                    <w:color w:val="auto"/>
                  </w:rPr>
                  <w:t>10.25%</w:t>
                </w:r>
                <w:r w:rsidR="008A59CA">
                  <w:rPr>
                    <w:rFonts w:hint="eastAsia"/>
                    <w:color w:val="auto"/>
                  </w:rPr>
                  <w:t>，回吐前期收益。偏股类账户中，今年</w:t>
                </w:r>
                <w:r w:rsidR="008A59CA">
                  <w:rPr>
                    <w:rFonts w:hint="eastAsia"/>
                    <w:color w:val="auto"/>
                  </w:rPr>
                  <w:t>1-6</w:t>
                </w:r>
                <w:r w:rsidR="008A59CA">
                  <w:rPr>
                    <w:rFonts w:hint="eastAsia"/>
                    <w:color w:val="auto"/>
                  </w:rPr>
                  <w:t>月，股票型在大盘表现较好的</w:t>
                </w:r>
                <w:r w:rsidR="008A59CA">
                  <w:rPr>
                    <w:rFonts w:hint="eastAsia"/>
                    <w:color w:val="auto"/>
                  </w:rPr>
                  <w:t>4</w:t>
                </w:r>
                <w:r w:rsidR="008A59CA">
                  <w:rPr>
                    <w:rFonts w:hint="eastAsia"/>
                    <w:color w:val="auto"/>
                  </w:rPr>
                  <w:t>月以及在大盘相对抗跌的</w:t>
                </w:r>
                <w:r w:rsidR="008A59CA">
                  <w:rPr>
                    <w:rFonts w:hint="eastAsia"/>
                    <w:color w:val="auto"/>
                  </w:rPr>
                  <w:t>6</w:t>
                </w:r>
                <w:r w:rsidR="008A59CA">
                  <w:rPr>
                    <w:rFonts w:hint="eastAsia"/>
                    <w:color w:val="auto"/>
                  </w:rPr>
                  <w:t>月跑输股票</w:t>
                </w:r>
                <w:r w:rsidR="008A59CA">
                  <w:rPr>
                    <w:rFonts w:hint="eastAsia"/>
                    <w:color w:val="auto"/>
                  </w:rPr>
                  <w:t>-</w:t>
                </w:r>
                <w:r w:rsidR="008A59CA">
                  <w:rPr>
                    <w:rFonts w:hint="eastAsia"/>
                    <w:color w:val="auto"/>
                  </w:rPr>
                  <w:t>指数型，其余月份均领先股票</w:t>
                </w:r>
                <w:r w:rsidR="008A59CA">
                  <w:rPr>
                    <w:rFonts w:hint="eastAsia"/>
                    <w:color w:val="auto"/>
                  </w:rPr>
                  <w:t>-</w:t>
                </w:r>
                <w:r w:rsidR="008A59CA">
                  <w:rPr>
                    <w:rFonts w:hint="eastAsia"/>
                    <w:color w:val="auto"/>
                  </w:rPr>
                  <w:t>指数型。</w:t>
                </w:r>
                <w:r w:rsidR="008A59CA">
                  <w:rPr>
                    <w:rFonts w:hint="eastAsia"/>
                    <w:color w:val="auto"/>
                  </w:rPr>
                  <w:t>1</w:t>
                </w:r>
                <w:r w:rsidR="008A59CA">
                  <w:rPr>
                    <w:rFonts w:hint="eastAsia"/>
                    <w:color w:val="auto"/>
                  </w:rPr>
                  <w:t>月以来的业绩说明，股票型配置的中小盘股权重较大。偏债类账户中，月底资金紧张，货币型</w:t>
                </w:r>
                <w:r w:rsidR="008A59CA">
                  <w:rPr>
                    <w:rFonts w:hint="eastAsia"/>
                    <w:color w:val="auto"/>
                  </w:rPr>
                  <w:t>6</w:t>
                </w:r>
                <w:r w:rsidR="008A59CA">
                  <w:rPr>
                    <w:rFonts w:hint="eastAsia"/>
                    <w:color w:val="auto"/>
                  </w:rPr>
                  <w:t>月平均收益亦为负。</w:t>
                </w:r>
              </w:p>
              <w:p w:rsidR="00BC7E24" w:rsidRPr="009846A9" w:rsidRDefault="008A59CA" w:rsidP="008A59CA">
                <w:pPr>
                  <w:pStyle w:val="a0"/>
                  <w:numPr>
                    <w:ilvl w:val="0"/>
                    <w:numId w:val="9"/>
                  </w:numPr>
                  <w:spacing w:line="240" w:lineRule="auto"/>
                  <w:ind w:rightChars="12" w:right="22"/>
                  <w:rPr>
                    <w:b/>
                    <w:bCs/>
                    <w:color w:val="auto"/>
                    <w:sz w:val="24"/>
                  </w:rPr>
                </w:pPr>
                <w:r w:rsidRPr="00971CC3">
                  <w:rPr>
                    <w:rFonts w:hint="eastAsia"/>
                    <w:color w:val="auto"/>
                  </w:rPr>
                  <w:t>近一年</w:t>
                </w:r>
                <w:r>
                  <w:rPr>
                    <w:rFonts w:hint="eastAsia"/>
                    <w:color w:val="auto"/>
                  </w:rPr>
                  <w:t>、近两年、近三年，各类投连险账户平均收益率均为正，且偏股类账户表现始终优于偏债类账户。近一年，股票</w:t>
                </w:r>
                <w:r>
                  <w:rPr>
                    <w:rFonts w:hint="eastAsia"/>
                    <w:color w:val="auto"/>
                  </w:rPr>
                  <w:t>-</w:t>
                </w:r>
                <w:r>
                  <w:rPr>
                    <w:rFonts w:hint="eastAsia"/>
                    <w:color w:val="auto"/>
                  </w:rPr>
                  <w:t>指数型账户受益于大盘指数的上扬，平均收益最高，为</w:t>
                </w:r>
                <w:r>
                  <w:rPr>
                    <w:rFonts w:hint="eastAsia"/>
                    <w:color w:val="auto"/>
                  </w:rPr>
                  <w:t>98.85%</w:t>
                </w:r>
                <w:r>
                  <w:rPr>
                    <w:rFonts w:hint="eastAsia"/>
                    <w:color w:val="auto"/>
                  </w:rPr>
                  <w:t>；股票型账户受累于中小盘股近一月的大幅下挫，近一年表现不及股票</w:t>
                </w:r>
                <w:r>
                  <w:rPr>
                    <w:rFonts w:hint="eastAsia"/>
                    <w:color w:val="auto"/>
                  </w:rPr>
                  <w:t>-</w:t>
                </w:r>
                <w:r>
                  <w:rPr>
                    <w:rFonts w:hint="eastAsia"/>
                    <w:color w:val="auto"/>
                  </w:rPr>
                  <w:t>指数型。近两年，股票型和股票</w:t>
                </w:r>
                <w:r>
                  <w:rPr>
                    <w:rFonts w:hint="eastAsia"/>
                    <w:color w:val="auto"/>
                  </w:rPr>
                  <w:t>-</w:t>
                </w:r>
                <w:r>
                  <w:rPr>
                    <w:rFonts w:hint="eastAsia"/>
                    <w:color w:val="auto"/>
                  </w:rPr>
                  <w:t>指数型账户的收益率相当。近三年，股票型账户表现优于股票</w:t>
                </w:r>
                <w:r>
                  <w:rPr>
                    <w:rFonts w:hint="eastAsia"/>
                    <w:color w:val="auto"/>
                  </w:rPr>
                  <w:t>-</w:t>
                </w:r>
                <w:r>
                  <w:rPr>
                    <w:rFonts w:hint="eastAsia"/>
                    <w:color w:val="auto"/>
                  </w:rPr>
                  <w:t>指数型。</w:t>
                </w:r>
                <w:r w:rsidR="00E227C4">
                  <w:rPr>
                    <w:rFonts w:hint="eastAsia"/>
                    <w:color w:val="auto"/>
                  </w:rPr>
                  <w:t>风险指标看，</w:t>
                </w:r>
                <w:r>
                  <w:rPr>
                    <w:rFonts w:hint="eastAsia"/>
                    <w:color w:val="auto"/>
                  </w:rPr>
                  <w:t>各类账户的风险指标</w:t>
                </w:r>
                <w:r w:rsidRPr="00144F1F">
                  <w:rPr>
                    <w:rFonts w:hint="eastAsia"/>
                    <w:color w:val="auto"/>
                  </w:rPr>
                  <w:t>均好于同期沪深</w:t>
                </w:r>
                <w:r w:rsidRPr="00144F1F">
                  <w:rPr>
                    <w:rFonts w:hint="eastAsia"/>
                    <w:color w:val="auto"/>
                  </w:rPr>
                  <w:t>300</w:t>
                </w:r>
                <w:r>
                  <w:rPr>
                    <w:rFonts w:hint="eastAsia"/>
                    <w:color w:val="auto"/>
                  </w:rPr>
                  <w:t>指数水平，其中股票型、</w:t>
                </w:r>
                <w:r w:rsidRPr="00216D2E">
                  <w:rPr>
                    <w:rFonts w:hint="eastAsia"/>
                    <w:color w:val="auto"/>
                  </w:rPr>
                  <w:t>股票</w:t>
                </w:r>
                <w:r w:rsidRPr="00216D2E">
                  <w:rPr>
                    <w:rFonts w:hint="eastAsia"/>
                    <w:color w:val="auto"/>
                  </w:rPr>
                  <w:t>-</w:t>
                </w:r>
                <w:r w:rsidRPr="00216D2E">
                  <w:rPr>
                    <w:rFonts w:hint="eastAsia"/>
                    <w:color w:val="auto"/>
                  </w:rPr>
                  <w:t>指数型与沪深</w:t>
                </w:r>
                <w:r w:rsidRPr="00216D2E">
                  <w:rPr>
                    <w:rFonts w:hint="eastAsia"/>
                    <w:color w:val="auto"/>
                  </w:rPr>
                  <w:t>300</w:t>
                </w:r>
                <w:r w:rsidRPr="00216D2E">
                  <w:rPr>
                    <w:rFonts w:hint="eastAsia"/>
                    <w:color w:val="auto"/>
                  </w:rPr>
                  <w:t>指数的表现比较接近</w:t>
                </w:r>
                <w:r>
                  <w:rPr>
                    <w:rFonts w:hint="eastAsia"/>
                    <w:color w:val="auto"/>
                  </w:rPr>
                  <w:t>，高于其它偏股类账户；债券型账户的风险高于混合偏债型账户</w:t>
                </w:r>
                <w:r w:rsidRPr="00216D2E">
                  <w:rPr>
                    <w:rFonts w:hint="eastAsia"/>
                    <w:color w:val="auto"/>
                  </w:rPr>
                  <w:t>。</w:t>
                </w:r>
                <w:r w:rsidR="00E227C4">
                  <w:rPr>
                    <w:rFonts w:hint="eastAsia"/>
                    <w:color w:val="auto"/>
                  </w:rPr>
                  <w:t>综合收益和风险来看，各类账户近一年、两年和三年的夏普比率均为正，且近一年夏普值均在</w:t>
                </w:r>
                <w:r>
                  <w:rPr>
                    <w:rFonts w:hint="eastAsia"/>
                    <w:color w:val="auto"/>
                  </w:rPr>
                  <w:t>2</w:t>
                </w:r>
                <w:r w:rsidR="00E227C4">
                  <w:rPr>
                    <w:rFonts w:hint="eastAsia"/>
                    <w:color w:val="auto"/>
                  </w:rPr>
                  <w:t>以上</w:t>
                </w:r>
                <w:r w:rsidR="00DE16A0">
                  <w:rPr>
                    <w:rFonts w:hint="eastAsia"/>
                    <w:color w:val="auto"/>
                  </w:rPr>
                  <w:t>，近两年的夏普值在</w:t>
                </w:r>
                <w:r w:rsidR="00DE16A0">
                  <w:rPr>
                    <w:rFonts w:hint="eastAsia"/>
                    <w:color w:val="auto"/>
                  </w:rPr>
                  <w:t>1</w:t>
                </w:r>
                <w:r w:rsidR="00DE16A0">
                  <w:rPr>
                    <w:rFonts w:hint="eastAsia"/>
                    <w:color w:val="auto"/>
                  </w:rPr>
                  <w:t>以上</w:t>
                </w:r>
                <w:r w:rsidR="00E227C4">
                  <w:rPr>
                    <w:rFonts w:hint="eastAsia"/>
                    <w:color w:val="auto"/>
                  </w:rPr>
                  <w:t>。</w:t>
                </w:r>
              </w:p>
            </w:sdtContent>
          </w:sdt>
        </w:tc>
      </w:tr>
    </w:tbl>
    <w:p w:rsidR="000E6AE0" w:rsidRPr="00F91C7C" w:rsidRDefault="00F91C7C" w:rsidP="00F91C7C">
      <w:pPr>
        <w:pStyle w:val="14"/>
        <w:ind w:left="0" w:firstLineChars="1400" w:firstLine="3373"/>
        <w:rPr>
          <w:color w:val="auto"/>
        </w:rPr>
      </w:pPr>
      <w:r>
        <w:rPr>
          <w:rFonts w:hint="eastAsia"/>
          <w:color w:val="auto"/>
        </w:rPr>
        <w:lastRenderedPageBreak/>
        <w:t>第一部分：</w:t>
      </w:r>
      <w:r>
        <w:rPr>
          <w:rFonts w:hint="eastAsia"/>
          <w:color w:val="auto"/>
        </w:rPr>
        <w:t>201</w:t>
      </w:r>
      <w:r w:rsidR="00E1278A">
        <w:rPr>
          <w:rFonts w:hint="eastAsia"/>
          <w:color w:val="auto"/>
        </w:rPr>
        <w:t>5</w:t>
      </w:r>
      <w:r>
        <w:rPr>
          <w:rFonts w:hint="eastAsia"/>
          <w:color w:val="auto"/>
        </w:rPr>
        <w:t>年</w:t>
      </w:r>
      <w:r w:rsidR="00984018">
        <w:rPr>
          <w:rFonts w:hint="eastAsia"/>
          <w:color w:val="auto"/>
        </w:rPr>
        <w:t>6</w:t>
      </w:r>
      <w:r w:rsidR="00966BFC">
        <w:rPr>
          <w:rFonts w:hint="eastAsia"/>
          <w:color w:val="auto"/>
        </w:rPr>
        <w:t>月</w:t>
      </w:r>
      <w:r w:rsidRPr="0099748C">
        <w:rPr>
          <w:rFonts w:hint="eastAsia"/>
          <w:color w:val="auto"/>
        </w:rPr>
        <w:t>投连险账户</w:t>
      </w:r>
      <w:r>
        <w:rPr>
          <w:rFonts w:hint="eastAsia"/>
          <w:color w:val="auto"/>
        </w:rPr>
        <w:t>业绩回顾</w:t>
      </w:r>
    </w:p>
    <w:p w:rsidR="00F91C7C" w:rsidRDefault="00F91C7C" w:rsidP="006F64B7">
      <w:pPr>
        <w:pStyle w:val="a0"/>
        <w:numPr>
          <w:ilvl w:val="4"/>
          <w:numId w:val="3"/>
        </w:numPr>
        <w:rPr>
          <w:color w:val="auto"/>
        </w:rPr>
      </w:pPr>
      <w:r w:rsidRPr="0099748C">
        <w:rPr>
          <w:rFonts w:hint="eastAsia"/>
          <w:color w:val="auto"/>
        </w:rPr>
        <w:t>参与本次报告的一共有</w:t>
      </w:r>
      <w:r>
        <w:rPr>
          <w:rFonts w:hint="eastAsia"/>
          <w:color w:val="auto"/>
        </w:rPr>
        <w:t>32</w:t>
      </w:r>
      <w:r w:rsidRPr="0099748C">
        <w:rPr>
          <w:rFonts w:hint="eastAsia"/>
          <w:color w:val="auto"/>
        </w:rPr>
        <w:t>家公司的</w:t>
      </w:r>
      <w:r>
        <w:rPr>
          <w:rFonts w:hint="eastAsia"/>
          <w:color w:val="auto"/>
        </w:rPr>
        <w:t>19</w:t>
      </w:r>
      <w:r w:rsidR="00CB3C18">
        <w:rPr>
          <w:rFonts w:hint="eastAsia"/>
          <w:color w:val="auto"/>
        </w:rPr>
        <w:t>4</w:t>
      </w:r>
      <w:r>
        <w:rPr>
          <w:rFonts w:hint="eastAsia"/>
          <w:color w:val="auto"/>
        </w:rPr>
        <w:t>个投连账户（本报告仅限于我们所掌握的投资标的和资产配置比例</w:t>
      </w:r>
      <w:r w:rsidRPr="0099748C">
        <w:rPr>
          <w:rFonts w:hint="eastAsia"/>
          <w:color w:val="auto"/>
        </w:rPr>
        <w:t>信息完整</w:t>
      </w:r>
      <w:r>
        <w:rPr>
          <w:rFonts w:hint="eastAsia"/>
          <w:color w:val="auto"/>
        </w:rPr>
        <w:t>、价格披露完整并且设立期限超过</w:t>
      </w:r>
      <w:r>
        <w:rPr>
          <w:rFonts w:hint="eastAsia"/>
          <w:color w:val="auto"/>
        </w:rPr>
        <w:t>1</w:t>
      </w:r>
      <w:r>
        <w:rPr>
          <w:rFonts w:hint="eastAsia"/>
          <w:color w:val="auto"/>
        </w:rPr>
        <w:t>个月的账户，附表亦按此规则</w:t>
      </w:r>
      <w:r w:rsidRPr="0099748C">
        <w:rPr>
          <w:rFonts w:hint="eastAsia"/>
          <w:color w:val="auto"/>
        </w:rPr>
        <w:t>）。</w:t>
      </w:r>
    </w:p>
    <w:p w:rsidR="00F91C7C" w:rsidRPr="007A51E2" w:rsidRDefault="006D3CA5" w:rsidP="006F64B7">
      <w:pPr>
        <w:pStyle w:val="a0"/>
        <w:numPr>
          <w:ilvl w:val="4"/>
          <w:numId w:val="3"/>
        </w:numPr>
        <w:rPr>
          <w:color w:val="auto"/>
        </w:rPr>
      </w:pPr>
      <w:r>
        <w:rPr>
          <w:rFonts w:hint="eastAsia"/>
          <w:color w:val="auto"/>
        </w:rPr>
        <w:t>5</w:t>
      </w:r>
      <w:r>
        <w:rPr>
          <w:rFonts w:hint="eastAsia"/>
          <w:color w:val="auto"/>
        </w:rPr>
        <w:t>月底，在去杠杆引发连锁反应，</w:t>
      </w:r>
      <w:r>
        <w:rPr>
          <w:rFonts w:hint="eastAsia"/>
          <w:color w:val="auto"/>
        </w:rPr>
        <w:t>A</w:t>
      </w:r>
      <w:r>
        <w:rPr>
          <w:rFonts w:hint="eastAsia"/>
          <w:color w:val="auto"/>
        </w:rPr>
        <w:t>股急转直下。</w:t>
      </w:r>
      <w:r w:rsidR="005C290E">
        <w:rPr>
          <w:rFonts w:hint="eastAsia"/>
          <w:color w:val="auto"/>
        </w:rPr>
        <w:t>尽管央行同时降息、降准释放流动性，引导货币政策宽松预期；交易所下调</w:t>
      </w:r>
      <w:r w:rsidR="005C290E">
        <w:rPr>
          <w:rFonts w:hint="eastAsia"/>
          <w:color w:val="auto"/>
        </w:rPr>
        <w:t>A</w:t>
      </w:r>
      <w:r w:rsidR="005C290E">
        <w:rPr>
          <w:rFonts w:hint="eastAsia"/>
          <w:color w:val="auto"/>
        </w:rPr>
        <w:t>股交易结算相关收费标准；证监会允许证券公司自行制定两融强平线；证监会放开证券公司融资渠道。但市场不为所动，依然跌跌不休，指数每天下跌</w:t>
      </w:r>
      <w:r w:rsidR="005C290E">
        <w:rPr>
          <w:rFonts w:hint="eastAsia"/>
          <w:color w:val="auto"/>
        </w:rPr>
        <w:t>100</w:t>
      </w:r>
      <w:r w:rsidR="005C290E">
        <w:rPr>
          <w:rFonts w:hint="eastAsia"/>
          <w:color w:val="auto"/>
        </w:rPr>
        <w:t>点以上，上证指数一路从</w:t>
      </w:r>
      <w:r w:rsidR="005C290E">
        <w:rPr>
          <w:rFonts w:hint="eastAsia"/>
          <w:color w:val="auto"/>
        </w:rPr>
        <w:t>5178</w:t>
      </w:r>
      <w:r w:rsidR="005C290E">
        <w:rPr>
          <w:rFonts w:hint="eastAsia"/>
          <w:color w:val="auto"/>
        </w:rPr>
        <w:t>点下探至</w:t>
      </w:r>
      <w:r w:rsidR="005C290E">
        <w:rPr>
          <w:rFonts w:hint="eastAsia"/>
          <w:color w:val="auto"/>
        </w:rPr>
        <w:t>4277</w:t>
      </w:r>
      <w:r w:rsidR="005C290E">
        <w:rPr>
          <w:rFonts w:hint="eastAsia"/>
          <w:color w:val="auto"/>
        </w:rPr>
        <w:t>点，创业板指从</w:t>
      </w:r>
      <w:r w:rsidR="005C290E">
        <w:rPr>
          <w:rFonts w:hint="eastAsia"/>
          <w:color w:val="auto"/>
        </w:rPr>
        <w:t>4037</w:t>
      </w:r>
      <w:r w:rsidR="005C290E">
        <w:rPr>
          <w:rFonts w:hint="eastAsia"/>
          <w:color w:val="auto"/>
        </w:rPr>
        <w:t>点下探至</w:t>
      </w:r>
      <w:r w:rsidR="005C290E">
        <w:rPr>
          <w:rFonts w:hint="eastAsia"/>
          <w:color w:val="auto"/>
        </w:rPr>
        <w:t>2859</w:t>
      </w:r>
      <w:r w:rsidR="005C290E">
        <w:rPr>
          <w:rFonts w:hint="eastAsia"/>
          <w:color w:val="auto"/>
        </w:rPr>
        <w:t>点，两市每天有上千只个股跌停，而创业板股票连续数天跌停。</w:t>
      </w:r>
      <w:r w:rsidR="00D167D1">
        <w:rPr>
          <w:rFonts w:hint="eastAsia"/>
          <w:color w:val="auto"/>
        </w:rPr>
        <w:t>截止</w:t>
      </w:r>
      <w:r w:rsidR="00D167D1">
        <w:rPr>
          <w:rFonts w:hint="eastAsia"/>
          <w:color w:val="auto"/>
        </w:rPr>
        <w:t>6</w:t>
      </w:r>
      <w:r w:rsidR="00D167D1">
        <w:rPr>
          <w:rFonts w:hint="eastAsia"/>
          <w:color w:val="auto"/>
        </w:rPr>
        <w:t>月底，沪深</w:t>
      </w:r>
      <w:r w:rsidR="00D167D1">
        <w:rPr>
          <w:rFonts w:hint="eastAsia"/>
          <w:color w:val="auto"/>
        </w:rPr>
        <w:t>300</w:t>
      </w:r>
      <w:r w:rsidR="00D167D1">
        <w:rPr>
          <w:rFonts w:hint="eastAsia"/>
          <w:color w:val="auto"/>
        </w:rPr>
        <w:t>、中小板指、创业板指分别下跌</w:t>
      </w:r>
      <w:r w:rsidR="00D167D1">
        <w:rPr>
          <w:rFonts w:hint="eastAsia"/>
          <w:color w:val="auto"/>
        </w:rPr>
        <w:t>7.6%</w:t>
      </w:r>
      <w:r w:rsidR="00D167D1">
        <w:rPr>
          <w:rFonts w:hint="eastAsia"/>
          <w:color w:val="auto"/>
        </w:rPr>
        <w:t>、</w:t>
      </w:r>
      <w:r w:rsidR="00D167D1">
        <w:rPr>
          <w:rFonts w:hint="eastAsia"/>
          <w:color w:val="auto"/>
        </w:rPr>
        <w:t>15.86%</w:t>
      </w:r>
      <w:r w:rsidR="00D167D1">
        <w:rPr>
          <w:rFonts w:hint="eastAsia"/>
          <w:color w:val="auto"/>
        </w:rPr>
        <w:t>、</w:t>
      </w:r>
      <w:r w:rsidR="00D167D1">
        <w:rPr>
          <w:rFonts w:hint="eastAsia"/>
          <w:color w:val="auto"/>
        </w:rPr>
        <w:t>19.31%</w:t>
      </w:r>
      <w:r w:rsidR="00D167D1">
        <w:rPr>
          <w:rFonts w:hint="eastAsia"/>
          <w:color w:val="auto"/>
        </w:rPr>
        <w:t>。中信</w:t>
      </w:r>
      <w:r w:rsidR="00D167D1">
        <w:rPr>
          <w:rFonts w:hint="eastAsia"/>
          <w:color w:val="auto"/>
        </w:rPr>
        <w:t>29</w:t>
      </w:r>
      <w:r w:rsidR="00D167D1">
        <w:rPr>
          <w:rFonts w:hint="eastAsia"/>
          <w:color w:val="auto"/>
        </w:rPr>
        <w:t>个一级行业中，仅银行、交运、煤炭飘红，</w:t>
      </w:r>
      <w:r w:rsidR="00D167D1">
        <w:rPr>
          <w:rFonts w:hint="eastAsia"/>
          <w:color w:val="auto"/>
        </w:rPr>
        <w:t>TMT</w:t>
      </w:r>
      <w:r w:rsidR="00D167D1">
        <w:rPr>
          <w:rFonts w:hint="eastAsia"/>
          <w:color w:val="auto"/>
        </w:rPr>
        <w:t>、军工领跌。</w:t>
      </w:r>
    </w:p>
    <w:p w:rsidR="00F91C7C" w:rsidRPr="00BE6600" w:rsidRDefault="007116E8" w:rsidP="006F64B7">
      <w:pPr>
        <w:pStyle w:val="a0"/>
        <w:numPr>
          <w:ilvl w:val="4"/>
          <w:numId w:val="3"/>
        </w:numPr>
        <w:rPr>
          <w:color w:val="auto"/>
        </w:rPr>
      </w:pPr>
      <w:r>
        <w:rPr>
          <w:rFonts w:hint="eastAsia"/>
          <w:color w:val="auto"/>
        </w:rPr>
        <w:t>6</w:t>
      </w:r>
      <w:r>
        <w:rPr>
          <w:rFonts w:hint="eastAsia"/>
          <w:color w:val="auto"/>
        </w:rPr>
        <w:t>月</w:t>
      </w:r>
      <w:r>
        <w:rPr>
          <w:rFonts w:hint="eastAsia"/>
          <w:color w:val="auto"/>
        </w:rPr>
        <w:t>27</w:t>
      </w:r>
      <w:r>
        <w:rPr>
          <w:rFonts w:hint="eastAsia"/>
          <w:color w:val="auto"/>
        </w:rPr>
        <w:t>日，央行同时降低存款准备金率、利率，资金价格有所回落，但是全月资金价格依然较上月有所提高</w:t>
      </w:r>
      <w:r w:rsidR="001D5598">
        <w:rPr>
          <w:rFonts w:hint="eastAsia"/>
          <w:color w:val="auto"/>
        </w:rPr>
        <w:t>。</w:t>
      </w:r>
      <w:r w:rsidR="001D5598">
        <w:rPr>
          <w:rFonts w:hint="eastAsia"/>
          <w:color w:val="auto"/>
        </w:rPr>
        <w:t>1</w:t>
      </w:r>
      <w:r w:rsidR="001D5598">
        <w:rPr>
          <w:rFonts w:hint="eastAsia"/>
          <w:color w:val="auto"/>
        </w:rPr>
        <w:t>年期国债收益率下行</w:t>
      </w:r>
      <w:r>
        <w:rPr>
          <w:rFonts w:hint="eastAsia"/>
          <w:color w:val="auto"/>
        </w:rPr>
        <w:t>20</w:t>
      </w:r>
      <w:r w:rsidR="001D5598">
        <w:rPr>
          <w:rFonts w:hint="eastAsia"/>
          <w:color w:val="auto"/>
        </w:rPr>
        <w:t>bp</w:t>
      </w:r>
      <w:r w:rsidR="001D5598">
        <w:rPr>
          <w:rFonts w:hint="eastAsia"/>
          <w:color w:val="auto"/>
        </w:rPr>
        <w:t>，</w:t>
      </w:r>
      <w:r w:rsidR="001D5598">
        <w:rPr>
          <w:rFonts w:hint="eastAsia"/>
          <w:color w:val="auto"/>
        </w:rPr>
        <w:t>1</w:t>
      </w:r>
      <w:r w:rsidR="001D5598">
        <w:rPr>
          <w:rFonts w:hint="eastAsia"/>
          <w:color w:val="auto"/>
        </w:rPr>
        <w:t>年期</w:t>
      </w:r>
      <w:r>
        <w:rPr>
          <w:rFonts w:hint="eastAsia"/>
          <w:color w:val="auto"/>
        </w:rPr>
        <w:t>AAA</w:t>
      </w:r>
      <w:r>
        <w:rPr>
          <w:rFonts w:hint="eastAsia"/>
          <w:color w:val="auto"/>
        </w:rPr>
        <w:t>级</w:t>
      </w:r>
      <w:r w:rsidR="001D5598">
        <w:rPr>
          <w:rFonts w:hint="eastAsia"/>
          <w:color w:val="auto"/>
        </w:rPr>
        <w:t>企业债收益率下行</w:t>
      </w:r>
      <w:r>
        <w:rPr>
          <w:rFonts w:hint="eastAsia"/>
          <w:color w:val="auto"/>
        </w:rPr>
        <w:t>4bp</w:t>
      </w:r>
      <w:r>
        <w:rPr>
          <w:rFonts w:hint="eastAsia"/>
          <w:color w:val="auto"/>
        </w:rPr>
        <w:t>，其它级别企业债上行</w:t>
      </w:r>
      <w:r>
        <w:rPr>
          <w:rFonts w:hint="eastAsia"/>
          <w:color w:val="auto"/>
        </w:rPr>
        <w:t>7</w:t>
      </w:r>
      <w:r w:rsidR="006B4BFD">
        <w:rPr>
          <w:rFonts w:hint="eastAsia"/>
          <w:color w:val="auto"/>
        </w:rPr>
        <w:t>-</w:t>
      </w:r>
      <w:r>
        <w:rPr>
          <w:rFonts w:hint="eastAsia"/>
          <w:color w:val="auto"/>
        </w:rPr>
        <w:t>3</w:t>
      </w:r>
      <w:r w:rsidR="001D5598">
        <w:rPr>
          <w:rFonts w:hint="eastAsia"/>
          <w:color w:val="auto"/>
        </w:rPr>
        <w:t>0bp</w:t>
      </w:r>
      <w:r w:rsidR="001D5598">
        <w:rPr>
          <w:rFonts w:hint="eastAsia"/>
          <w:color w:val="auto"/>
        </w:rPr>
        <w:t>不等。</w:t>
      </w:r>
      <w:r>
        <w:rPr>
          <w:rFonts w:hint="eastAsia"/>
          <w:color w:val="auto"/>
        </w:rPr>
        <w:t>6</w:t>
      </w:r>
      <w:r>
        <w:rPr>
          <w:rFonts w:hint="eastAsia"/>
          <w:color w:val="auto"/>
        </w:rPr>
        <w:t>月，</w:t>
      </w:r>
      <w:r w:rsidR="009846A9">
        <w:rPr>
          <w:rFonts w:hint="eastAsia"/>
          <w:color w:val="auto"/>
        </w:rPr>
        <w:t>中标全债指数</w:t>
      </w:r>
      <w:r w:rsidR="00510475">
        <w:rPr>
          <w:rFonts w:hint="eastAsia"/>
          <w:color w:val="auto"/>
        </w:rPr>
        <w:t>微</w:t>
      </w:r>
      <w:r w:rsidR="00B46938">
        <w:rPr>
          <w:rFonts w:hint="eastAsia"/>
          <w:color w:val="auto"/>
        </w:rPr>
        <w:t>涨</w:t>
      </w:r>
      <w:r>
        <w:rPr>
          <w:rFonts w:hint="eastAsia"/>
          <w:color w:val="auto"/>
        </w:rPr>
        <w:t>0.22</w:t>
      </w:r>
      <w:r w:rsidR="00510475">
        <w:rPr>
          <w:rFonts w:hint="eastAsia"/>
          <w:color w:val="auto"/>
        </w:rPr>
        <w:t>%</w:t>
      </w:r>
      <w:r w:rsidR="009846A9">
        <w:rPr>
          <w:rFonts w:hint="eastAsia"/>
          <w:color w:val="auto"/>
        </w:rPr>
        <w:t>，国债、企业债、转债</w:t>
      </w:r>
      <w:r w:rsidR="00B46938">
        <w:rPr>
          <w:rFonts w:hint="eastAsia"/>
          <w:color w:val="auto"/>
        </w:rPr>
        <w:t>涨跌幅分别为</w:t>
      </w:r>
      <w:r w:rsidR="006B4BFD">
        <w:rPr>
          <w:rFonts w:hint="eastAsia"/>
          <w:color w:val="auto"/>
        </w:rPr>
        <w:t>0.</w:t>
      </w:r>
      <w:r>
        <w:rPr>
          <w:rFonts w:hint="eastAsia"/>
          <w:color w:val="auto"/>
        </w:rPr>
        <w:t>2</w:t>
      </w:r>
      <w:r w:rsidR="006B4BFD">
        <w:rPr>
          <w:rFonts w:hint="eastAsia"/>
          <w:color w:val="auto"/>
        </w:rPr>
        <w:t>1%</w:t>
      </w:r>
      <w:r w:rsidR="006B4BFD">
        <w:rPr>
          <w:rFonts w:hint="eastAsia"/>
          <w:color w:val="auto"/>
        </w:rPr>
        <w:t>、</w:t>
      </w:r>
      <w:r>
        <w:rPr>
          <w:rFonts w:hint="eastAsia"/>
          <w:color w:val="auto"/>
        </w:rPr>
        <w:t>-0.07</w:t>
      </w:r>
      <w:r w:rsidR="006B4BFD">
        <w:rPr>
          <w:rFonts w:hint="eastAsia"/>
          <w:color w:val="auto"/>
        </w:rPr>
        <w:t>%</w:t>
      </w:r>
      <w:r w:rsidR="006B4BFD">
        <w:rPr>
          <w:rFonts w:hint="eastAsia"/>
          <w:color w:val="auto"/>
        </w:rPr>
        <w:t>、</w:t>
      </w:r>
      <w:r>
        <w:rPr>
          <w:rFonts w:hint="eastAsia"/>
          <w:color w:val="auto"/>
        </w:rPr>
        <w:t>-26.61</w:t>
      </w:r>
      <w:r w:rsidR="006B4BFD">
        <w:rPr>
          <w:rFonts w:hint="eastAsia"/>
          <w:color w:val="auto"/>
        </w:rPr>
        <w:t>%</w:t>
      </w:r>
      <w:r w:rsidR="009846A9">
        <w:rPr>
          <w:rFonts w:hint="eastAsia"/>
          <w:color w:val="auto"/>
        </w:rPr>
        <w:t>。</w:t>
      </w:r>
    </w:p>
    <w:p w:rsidR="000E6AE0" w:rsidRDefault="00F91C7C" w:rsidP="006F64B7">
      <w:pPr>
        <w:pStyle w:val="a0"/>
        <w:numPr>
          <w:ilvl w:val="4"/>
          <w:numId w:val="3"/>
        </w:numPr>
        <w:rPr>
          <w:color w:val="auto"/>
        </w:rPr>
      </w:pPr>
      <w:r w:rsidRPr="00517B08">
        <w:rPr>
          <w:rFonts w:hint="eastAsia"/>
          <w:color w:val="auto"/>
        </w:rPr>
        <w:t>投连险方面，纳入国金统计的</w:t>
      </w:r>
      <w:r w:rsidRPr="00517B08">
        <w:rPr>
          <w:rFonts w:hint="eastAsia"/>
          <w:color w:val="auto"/>
        </w:rPr>
        <w:t>19</w:t>
      </w:r>
      <w:r w:rsidR="00CB3C18">
        <w:rPr>
          <w:rFonts w:hint="eastAsia"/>
          <w:color w:val="auto"/>
        </w:rPr>
        <w:t>4</w:t>
      </w:r>
      <w:r w:rsidRPr="00517B08">
        <w:rPr>
          <w:rFonts w:hint="eastAsia"/>
          <w:color w:val="auto"/>
        </w:rPr>
        <w:t>个账户</w:t>
      </w:r>
      <w:r w:rsidR="00984018">
        <w:rPr>
          <w:rFonts w:hint="eastAsia"/>
          <w:color w:val="auto"/>
        </w:rPr>
        <w:t>6</w:t>
      </w:r>
      <w:r w:rsidR="00EF38C5">
        <w:rPr>
          <w:rFonts w:hint="eastAsia"/>
          <w:color w:val="auto"/>
        </w:rPr>
        <w:t>月</w:t>
      </w:r>
      <w:r w:rsidRPr="00517B08">
        <w:rPr>
          <w:rFonts w:hint="eastAsia"/>
          <w:color w:val="auto"/>
        </w:rPr>
        <w:t>平均收益率</w:t>
      </w:r>
      <w:r w:rsidR="00984018">
        <w:rPr>
          <w:rFonts w:hint="eastAsia"/>
          <w:color w:val="auto"/>
        </w:rPr>
        <w:t>-6.18</w:t>
      </w:r>
      <w:r w:rsidRPr="00517B08">
        <w:rPr>
          <w:rFonts w:hint="eastAsia"/>
          <w:color w:val="auto"/>
        </w:rPr>
        <w:t>%</w:t>
      </w:r>
      <w:r w:rsidR="006B4BFD">
        <w:rPr>
          <w:rFonts w:hint="eastAsia"/>
          <w:color w:val="auto"/>
        </w:rPr>
        <w:t>。</w:t>
      </w:r>
      <w:r w:rsidR="00984018">
        <w:rPr>
          <w:rFonts w:hint="eastAsia"/>
          <w:color w:val="auto"/>
        </w:rPr>
        <w:t>145</w:t>
      </w:r>
      <w:r w:rsidR="00EF38C5">
        <w:rPr>
          <w:rFonts w:hint="eastAsia"/>
          <w:color w:val="auto"/>
        </w:rPr>
        <w:t>个</w:t>
      </w:r>
      <w:r w:rsidR="00984018">
        <w:rPr>
          <w:rFonts w:hint="eastAsia"/>
          <w:color w:val="auto"/>
        </w:rPr>
        <w:t>（占比</w:t>
      </w:r>
      <w:r w:rsidR="00984018">
        <w:rPr>
          <w:rFonts w:hint="eastAsia"/>
          <w:color w:val="auto"/>
        </w:rPr>
        <w:t>75%</w:t>
      </w:r>
      <w:r w:rsidR="00984018">
        <w:rPr>
          <w:rFonts w:hint="eastAsia"/>
          <w:color w:val="auto"/>
        </w:rPr>
        <w:t>）</w:t>
      </w:r>
      <w:r w:rsidRPr="00517B08">
        <w:rPr>
          <w:rFonts w:hint="eastAsia"/>
          <w:color w:val="auto"/>
        </w:rPr>
        <w:t>账户下跌</w:t>
      </w:r>
      <w:r w:rsidR="00984018">
        <w:rPr>
          <w:rFonts w:hint="eastAsia"/>
          <w:color w:val="auto"/>
        </w:rPr>
        <w:t>，其中</w:t>
      </w:r>
      <w:r w:rsidR="00984018">
        <w:rPr>
          <w:rFonts w:hint="eastAsia"/>
          <w:color w:val="auto"/>
        </w:rPr>
        <w:t>2</w:t>
      </w:r>
      <w:r w:rsidR="00984018">
        <w:rPr>
          <w:rFonts w:hint="eastAsia"/>
          <w:color w:val="auto"/>
        </w:rPr>
        <w:t>个股票型账户跌幅超过</w:t>
      </w:r>
      <w:r w:rsidR="00984018">
        <w:rPr>
          <w:rFonts w:hint="eastAsia"/>
          <w:color w:val="auto"/>
        </w:rPr>
        <w:t>20%</w:t>
      </w:r>
      <w:r w:rsidRPr="00517B08">
        <w:rPr>
          <w:rFonts w:hint="eastAsia"/>
          <w:color w:val="auto"/>
        </w:rPr>
        <w:t>。</w:t>
      </w:r>
      <w:r w:rsidR="00984018">
        <w:rPr>
          <w:rFonts w:hint="eastAsia"/>
          <w:color w:val="auto"/>
        </w:rPr>
        <w:t>泰康人寿</w:t>
      </w:r>
      <w:r w:rsidR="00984018">
        <w:rPr>
          <w:rFonts w:hint="eastAsia"/>
          <w:color w:val="auto"/>
        </w:rPr>
        <w:t>-</w:t>
      </w:r>
      <w:r w:rsidR="00984018">
        <w:rPr>
          <w:rFonts w:hint="eastAsia"/>
          <w:color w:val="auto"/>
        </w:rPr>
        <w:t>进取型的收益率最高，为</w:t>
      </w:r>
      <w:r w:rsidR="00984018">
        <w:rPr>
          <w:rFonts w:hint="eastAsia"/>
          <w:color w:val="auto"/>
        </w:rPr>
        <w:t>3.27%</w:t>
      </w:r>
      <w:r w:rsidR="00984018">
        <w:rPr>
          <w:rFonts w:hint="eastAsia"/>
          <w:color w:val="auto"/>
        </w:rPr>
        <w:t>，另有</w:t>
      </w:r>
      <w:r w:rsidR="00984018">
        <w:rPr>
          <w:rFonts w:hint="eastAsia"/>
          <w:color w:val="auto"/>
        </w:rPr>
        <w:t>5</w:t>
      </w:r>
      <w:r w:rsidR="00984018">
        <w:rPr>
          <w:rFonts w:hint="eastAsia"/>
          <w:color w:val="auto"/>
        </w:rPr>
        <w:t>个账户收益率超过</w:t>
      </w:r>
      <w:r w:rsidR="00984018">
        <w:rPr>
          <w:rFonts w:hint="eastAsia"/>
          <w:color w:val="auto"/>
        </w:rPr>
        <w:t>1%</w:t>
      </w:r>
      <w:r w:rsidR="00984018">
        <w:rPr>
          <w:rFonts w:hint="eastAsia"/>
          <w:color w:val="auto"/>
        </w:rPr>
        <w:t>，多数为债券型</w:t>
      </w:r>
      <w:r w:rsidRPr="00517B08">
        <w:rPr>
          <w:rFonts w:hint="eastAsia"/>
          <w:color w:val="auto"/>
        </w:rPr>
        <w:t>。从不同投资类型看</w:t>
      </w:r>
      <w:r w:rsidRPr="00517B08">
        <w:rPr>
          <w:rFonts w:hint="eastAsia"/>
          <w:color w:val="auto"/>
          <w:szCs w:val="18"/>
        </w:rPr>
        <w:t>，</w:t>
      </w:r>
      <w:r w:rsidRPr="00517B08">
        <w:rPr>
          <w:rFonts w:hint="eastAsia"/>
          <w:szCs w:val="18"/>
        </w:rPr>
        <w:t>以投资权益类资产为主的偏股类</w:t>
      </w:r>
      <w:r w:rsidRPr="00517B08">
        <w:rPr>
          <w:rFonts w:hint="eastAsia"/>
          <w:szCs w:val="18"/>
        </w:rPr>
        <w:t>-</w:t>
      </w:r>
      <w:r w:rsidRPr="00517B08">
        <w:rPr>
          <w:rFonts w:hint="eastAsia"/>
          <w:szCs w:val="18"/>
        </w:rPr>
        <w:t>除指数型</w:t>
      </w:r>
      <w:r w:rsidRPr="00517B08">
        <w:rPr>
          <w:rFonts w:hint="eastAsia"/>
          <w:color w:val="auto"/>
          <w:szCs w:val="18"/>
        </w:rPr>
        <w:t>（</w:t>
      </w:r>
      <w:r w:rsidRPr="00517B08">
        <w:rPr>
          <w:rFonts w:hint="eastAsia"/>
          <w:color w:val="auto"/>
        </w:rPr>
        <w:t>含股票型、混合偏股型、灵活配置</w:t>
      </w:r>
      <w:r w:rsidRPr="00517B08">
        <w:rPr>
          <w:rFonts w:hint="eastAsia"/>
          <w:color w:val="auto"/>
          <w:szCs w:val="18"/>
        </w:rPr>
        <w:t>型）</w:t>
      </w:r>
      <w:r w:rsidRPr="00517B08">
        <w:rPr>
          <w:rFonts w:hint="eastAsia"/>
          <w:color w:val="auto"/>
        </w:rPr>
        <w:t>平均收益</w:t>
      </w:r>
      <w:r w:rsidR="00984018">
        <w:rPr>
          <w:rFonts w:hint="eastAsia"/>
          <w:color w:val="auto"/>
        </w:rPr>
        <w:t>-10.24</w:t>
      </w:r>
      <w:r w:rsidRPr="00517B08">
        <w:rPr>
          <w:rFonts w:hint="eastAsia"/>
          <w:color w:val="auto"/>
        </w:rPr>
        <w:t>%</w:t>
      </w:r>
      <w:r w:rsidRPr="00517B08">
        <w:rPr>
          <w:rFonts w:hint="eastAsia"/>
          <w:color w:val="auto"/>
        </w:rPr>
        <w:t>；以配置固定收益类为主的偏债类（含债券型、混合偏债型、货币型）平均收益</w:t>
      </w:r>
      <w:r w:rsidR="00984018">
        <w:rPr>
          <w:rFonts w:hint="eastAsia"/>
          <w:color w:val="auto"/>
        </w:rPr>
        <w:t>-2.4</w:t>
      </w:r>
      <w:r w:rsidRPr="00517B08">
        <w:rPr>
          <w:rFonts w:hint="eastAsia"/>
          <w:color w:val="auto"/>
        </w:rPr>
        <w:t>%</w:t>
      </w:r>
      <w:r w:rsidR="00984018">
        <w:rPr>
          <w:rFonts w:hint="eastAsia"/>
          <w:color w:val="auto"/>
        </w:rPr>
        <w:t>，股债表现均不佳</w:t>
      </w:r>
      <w:r w:rsidR="00B46938">
        <w:rPr>
          <w:rFonts w:hint="eastAsia"/>
          <w:color w:val="auto"/>
        </w:rPr>
        <w:t>。</w:t>
      </w:r>
    </w:p>
    <w:p w:rsidR="00485211" w:rsidRPr="00517B08" w:rsidRDefault="00485211" w:rsidP="006F64B7">
      <w:pPr>
        <w:pStyle w:val="a0"/>
        <w:numPr>
          <w:ilvl w:val="4"/>
          <w:numId w:val="3"/>
        </w:numPr>
        <w:rPr>
          <w:color w:val="auto"/>
        </w:rPr>
      </w:pPr>
      <w:r>
        <w:rPr>
          <w:rFonts w:hint="eastAsia"/>
          <w:color w:val="auto"/>
        </w:rPr>
        <w:t>纵向来看，</w:t>
      </w:r>
      <w:r w:rsidR="007D0BF3">
        <w:rPr>
          <w:rFonts w:hint="eastAsia"/>
          <w:color w:val="auto"/>
        </w:rPr>
        <w:t>1-5</w:t>
      </w:r>
      <w:r w:rsidR="007D0BF3">
        <w:rPr>
          <w:rFonts w:hint="eastAsia"/>
          <w:color w:val="auto"/>
        </w:rPr>
        <w:t>月，</w:t>
      </w:r>
      <w:r w:rsidR="00D17DAB">
        <w:rPr>
          <w:rFonts w:hint="eastAsia"/>
          <w:color w:val="auto"/>
        </w:rPr>
        <w:t>受益于股市，投连险整体</w:t>
      </w:r>
      <w:r w:rsidR="00913F79">
        <w:rPr>
          <w:rFonts w:hint="eastAsia"/>
          <w:color w:val="auto"/>
        </w:rPr>
        <w:t>取得了绝对收益</w:t>
      </w:r>
      <w:r w:rsidR="00984018">
        <w:rPr>
          <w:rFonts w:hint="eastAsia"/>
          <w:color w:val="auto"/>
        </w:rPr>
        <w:t>，但</w:t>
      </w:r>
      <w:r w:rsidR="00984018">
        <w:rPr>
          <w:rFonts w:hint="eastAsia"/>
          <w:color w:val="auto"/>
        </w:rPr>
        <w:t>6</w:t>
      </w:r>
      <w:r w:rsidR="00984018">
        <w:rPr>
          <w:rFonts w:hint="eastAsia"/>
          <w:color w:val="auto"/>
        </w:rPr>
        <w:t>月大幅回挫</w:t>
      </w:r>
      <w:r>
        <w:rPr>
          <w:rFonts w:hint="eastAsia"/>
          <w:color w:val="auto"/>
        </w:rPr>
        <w:t>。</w:t>
      </w:r>
      <w:r w:rsidR="00913F79">
        <w:rPr>
          <w:rFonts w:hint="eastAsia"/>
          <w:color w:val="auto"/>
        </w:rPr>
        <w:t>分类型看，偏债类每月收益均在</w:t>
      </w:r>
      <w:r w:rsidR="00984018">
        <w:rPr>
          <w:rFonts w:hint="eastAsia"/>
          <w:color w:val="auto"/>
        </w:rPr>
        <w:t>-3~</w:t>
      </w:r>
      <w:r w:rsidR="00242104">
        <w:rPr>
          <w:rFonts w:hint="eastAsia"/>
          <w:color w:val="auto"/>
        </w:rPr>
        <w:t>4</w:t>
      </w:r>
      <w:r w:rsidR="00913F79">
        <w:rPr>
          <w:rFonts w:hint="eastAsia"/>
          <w:color w:val="auto"/>
        </w:rPr>
        <w:t>%</w:t>
      </w:r>
      <w:r w:rsidR="00913F79">
        <w:rPr>
          <w:rFonts w:hint="eastAsia"/>
          <w:color w:val="auto"/>
        </w:rPr>
        <w:t>内徘徊，而偏股类</w:t>
      </w:r>
      <w:r w:rsidR="00913F79">
        <w:rPr>
          <w:rFonts w:hint="eastAsia"/>
          <w:color w:val="auto"/>
        </w:rPr>
        <w:t>-</w:t>
      </w:r>
      <w:r w:rsidR="00913F79">
        <w:rPr>
          <w:rFonts w:hint="eastAsia"/>
          <w:color w:val="auto"/>
        </w:rPr>
        <w:t>除指数型前</w:t>
      </w:r>
      <w:r w:rsidR="00913F79">
        <w:rPr>
          <w:rFonts w:hint="eastAsia"/>
          <w:color w:val="auto"/>
        </w:rPr>
        <w:t>2</w:t>
      </w:r>
      <w:r w:rsidR="00913F79">
        <w:rPr>
          <w:rFonts w:hint="eastAsia"/>
          <w:color w:val="auto"/>
        </w:rPr>
        <w:t>月月度收益均在</w:t>
      </w:r>
      <w:r w:rsidR="00913F79">
        <w:rPr>
          <w:rFonts w:hint="eastAsia"/>
          <w:color w:val="auto"/>
        </w:rPr>
        <w:t>4%</w:t>
      </w:r>
      <w:r w:rsidR="00913F79">
        <w:rPr>
          <w:rFonts w:hint="eastAsia"/>
          <w:color w:val="auto"/>
        </w:rPr>
        <w:t>左右，</w:t>
      </w:r>
      <w:r w:rsidR="00913F79">
        <w:rPr>
          <w:rFonts w:hint="eastAsia"/>
          <w:color w:val="auto"/>
        </w:rPr>
        <w:t>3</w:t>
      </w:r>
      <w:r w:rsidR="00242104">
        <w:rPr>
          <w:rFonts w:hint="eastAsia"/>
          <w:color w:val="auto"/>
        </w:rPr>
        <w:t>-5</w:t>
      </w:r>
      <w:r w:rsidR="00913F79">
        <w:rPr>
          <w:rFonts w:hint="eastAsia"/>
          <w:color w:val="auto"/>
        </w:rPr>
        <w:t>月飙升至</w:t>
      </w:r>
      <w:r w:rsidR="00913F79">
        <w:rPr>
          <w:rFonts w:hint="eastAsia"/>
          <w:color w:val="auto"/>
        </w:rPr>
        <w:t>1</w:t>
      </w:r>
      <w:r w:rsidR="00EF38C5">
        <w:rPr>
          <w:rFonts w:hint="eastAsia"/>
          <w:color w:val="auto"/>
        </w:rPr>
        <w:t>0</w:t>
      </w:r>
      <w:r w:rsidR="00913F79">
        <w:rPr>
          <w:rFonts w:hint="eastAsia"/>
          <w:color w:val="auto"/>
        </w:rPr>
        <w:t>%</w:t>
      </w:r>
      <w:r w:rsidR="00EF38C5">
        <w:rPr>
          <w:rFonts w:hint="eastAsia"/>
          <w:color w:val="auto"/>
        </w:rPr>
        <w:t>以上</w:t>
      </w:r>
      <w:r w:rsidR="00913F79">
        <w:rPr>
          <w:rFonts w:hint="eastAsia"/>
          <w:color w:val="auto"/>
        </w:rPr>
        <w:t>，</w:t>
      </w:r>
      <w:r w:rsidR="00984018">
        <w:rPr>
          <w:rFonts w:hint="eastAsia"/>
          <w:color w:val="auto"/>
        </w:rPr>
        <w:t>6</w:t>
      </w:r>
      <w:r w:rsidR="00984018">
        <w:rPr>
          <w:rFonts w:hint="eastAsia"/>
          <w:color w:val="auto"/>
        </w:rPr>
        <w:t>月下跌</w:t>
      </w:r>
      <w:r w:rsidR="00984018">
        <w:rPr>
          <w:rFonts w:hint="eastAsia"/>
          <w:color w:val="auto"/>
        </w:rPr>
        <w:t>10.25%</w:t>
      </w:r>
      <w:r w:rsidR="00984018">
        <w:rPr>
          <w:rFonts w:hint="eastAsia"/>
          <w:color w:val="auto"/>
        </w:rPr>
        <w:t>，回吐前期收益</w:t>
      </w:r>
      <w:r w:rsidR="00913F79">
        <w:rPr>
          <w:rFonts w:hint="eastAsia"/>
          <w:color w:val="auto"/>
        </w:rPr>
        <w:t>。</w:t>
      </w:r>
    </w:p>
    <w:tbl>
      <w:tblPr>
        <w:tblpPr w:leftFromText="180" w:rightFromText="180" w:vertAnchor="text" w:tblpY="1"/>
        <w:tblOverlap w:val="never"/>
        <w:tblW w:w="10771" w:type="dxa"/>
        <w:tblLayout w:type="fixed"/>
        <w:tblCellMar>
          <w:left w:w="0" w:type="dxa"/>
          <w:right w:w="0" w:type="dxa"/>
        </w:tblCellMar>
        <w:tblLook w:val="0000" w:firstRow="0" w:lastRow="0" w:firstColumn="0" w:lastColumn="0" w:noHBand="0" w:noVBand="0"/>
      </w:tblPr>
      <w:tblGrid>
        <w:gridCol w:w="5268"/>
        <w:gridCol w:w="236"/>
        <w:gridCol w:w="5267"/>
      </w:tblGrid>
      <w:tr w:rsidR="00F91C7C" w:rsidRPr="00FA3303" w:rsidTr="00E1278A">
        <w:trPr>
          <w:cantSplit/>
          <w:trHeight w:val="200"/>
        </w:trPr>
        <w:tc>
          <w:tcPr>
            <w:tcW w:w="5268" w:type="dxa"/>
            <w:tcBorders>
              <w:top w:val="single" w:sz="4" w:space="0" w:color="00A0E9"/>
              <w:bottom w:val="single" w:sz="4" w:space="0" w:color="00A0E9"/>
            </w:tcBorders>
            <w:shd w:val="clear" w:color="auto" w:fill="auto"/>
          </w:tcPr>
          <w:p w:rsidR="00F91C7C" w:rsidRPr="00FA3303" w:rsidRDefault="00F91C7C" w:rsidP="00966BFC">
            <w:pPr>
              <w:pStyle w:val="SubTitleLargeTable"/>
              <w:rPr>
                <w:lang w:val="en-US"/>
              </w:rPr>
            </w:pPr>
            <w:r w:rsidRPr="00FA3303">
              <w:rPr>
                <w:lang w:val="en-US"/>
              </w:rPr>
              <w:t>图表</w:t>
            </w:r>
            <w:r w:rsidRPr="00FA3303">
              <w:rPr>
                <w:lang w:val="en-US"/>
              </w:rPr>
              <w:t>1</w:t>
            </w:r>
            <w:r w:rsidRPr="00FA3303">
              <w:rPr>
                <w:lang w:val="en-US"/>
              </w:rPr>
              <w:t>：</w:t>
            </w:r>
            <w:r>
              <w:rPr>
                <w:rFonts w:hint="eastAsia"/>
              </w:rPr>
              <w:t>201</w:t>
            </w:r>
            <w:r w:rsidR="00E1278A">
              <w:rPr>
                <w:rFonts w:hint="eastAsia"/>
              </w:rPr>
              <w:t>5</w:t>
            </w:r>
            <w:r>
              <w:rPr>
                <w:rFonts w:hint="eastAsia"/>
              </w:rPr>
              <w:t>年</w:t>
            </w:r>
            <w:r w:rsidR="006C33D4">
              <w:rPr>
                <w:rFonts w:hint="eastAsia"/>
              </w:rPr>
              <w:t>6</w:t>
            </w:r>
            <w:r w:rsidR="00966BFC">
              <w:rPr>
                <w:rFonts w:hint="eastAsia"/>
              </w:rPr>
              <w:t>月</w:t>
            </w:r>
            <w:r w:rsidRPr="00EE3BC4">
              <w:rPr>
                <w:rFonts w:hint="eastAsia"/>
              </w:rPr>
              <w:t>各指数与投连险涨跌对比</w:t>
            </w:r>
          </w:p>
        </w:tc>
        <w:tc>
          <w:tcPr>
            <w:tcW w:w="236" w:type="dxa"/>
          </w:tcPr>
          <w:p w:rsidR="00F91C7C" w:rsidRPr="00FA3303" w:rsidRDefault="00F91C7C" w:rsidP="00E1278A">
            <w:pPr>
              <w:spacing w:line="10" w:lineRule="atLeast"/>
              <w:jc w:val="center"/>
              <w:rPr>
                <w:rFonts w:cs="Arial"/>
                <w:sz w:val="21"/>
                <w:szCs w:val="21"/>
              </w:rPr>
            </w:pPr>
          </w:p>
        </w:tc>
        <w:tc>
          <w:tcPr>
            <w:tcW w:w="5267" w:type="dxa"/>
            <w:tcBorders>
              <w:top w:val="single" w:sz="4" w:space="0" w:color="00A0E9"/>
              <w:bottom w:val="single" w:sz="4" w:space="0" w:color="00A0E9"/>
            </w:tcBorders>
            <w:shd w:val="clear" w:color="auto" w:fill="auto"/>
          </w:tcPr>
          <w:p w:rsidR="00F91C7C" w:rsidRPr="00FA3303" w:rsidRDefault="00F91C7C" w:rsidP="00517B08">
            <w:pPr>
              <w:pStyle w:val="SubTitleLargeTable"/>
              <w:rPr>
                <w:lang w:val="en-US"/>
              </w:rPr>
            </w:pPr>
            <w:r w:rsidRPr="00FA3303">
              <w:rPr>
                <w:lang w:val="en-US"/>
              </w:rPr>
              <w:t>图表</w:t>
            </w:r>
            <w:r w:rsidRPr="00FA3303">
              <w:rPr>
                <w:lang w:val="en-US"/>
              </w:rPr>
              <w:t>2</w:t>
            </w:r>
            <w:r w:rsidRPr="00FA3303">
              <w:rPr>
                <w:lang w:val="en-US"/>
              </w:rPr>
              <w:t>：</w:t>
            </w:r>
            <w:r w:rsidR="00485211">
              <w:rPr>
                <w:rFonts w:hint="eastAsia"/>
              </w:rPr>
              <w:t>投连险账户月度收益率</w:t>
            </w:r>
            <w:r w:rsidR="00485211">
              <w:rPr>
                <w:rFonts w:hint="eastAsia"/>
                <w:lang w:val="en-US"/>
              </w:rPr>
              <w:t>比较</w:t>
            </w:r>
          </w:p>
        </w:tc>
      </w:tr>
      <w:tr w:rsidR="00F91C7C" w:rsidRPr="00FA3303" w:rsidTr="00200D42">
        <w:tblPrEx>
          <w:tblCellMar>
            <w:left w:w="108" w:type="dxa"/>
            <w:right w:w="108" w:type="dxa"/>
          </w:tblCellMar>
        </w:tblPrEx>
        <w:trPr>
          <w:cantSplit/>
          <w:trHeight w:val="3016"/>
        </w:trPr>
        <w:tc>
          <w:tcPr>
            <w:tcW w:w="5268" w:type="dxa"/>
            <w:tcBorders>
              <w:top w:val="single" w:sz="4" w:space="0" w:color="00A0E9"/>
              <w:bottom w:val="single" w:sz="4" w:space="0" w:color="00A0E9"/>
            </w:tcBorders>
            <w:shd w:val="clear" w:color="auto" w:fill="auto"/>
          </w:tcPr>
          <w:p w:rsidR="00F91C7C" w:rsidRPr="00FA3303" w:rsidRDefault="006C33D4" w:rsidP="00E1278A">
            <w:pPr>
              <w:jc w:val="center"/>
              <w:rPr>
                <w:rFonts w:cs="Arial"/>
              </w:rPr>
            </w:pPr>
            <w:r>
              <w:rPr>
                <w:rFonts w:cs="Arial"/>
                <w:noProof/>
              </w:rPr>
              <w:drawing>
                <wp:inline distT="0" distB="0" distL="0" distR="0" wp14:anchorId="7C075B7E">
                  <wp:extent cx="3227486" cy="205938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9441" cy="2060635"/>
                          </a:xfrm>
                          <a:prstGeom prst="rect">
                            <a:avLst/>
                          </a:prstGeom>
                          <a:noFill/>
                        </pic:spPr>
                      </pic:pic>
                    </a:graphicData>
                  </a:graphic>
                </wp:inline>
              </w:drawing>
            </w:r>
          </w:p>
        </w:tc>
        <w:tc>
          <w:tcPr>
            <w:tcW w:w="236" w:type="dxa"/>
          </w:tcPr>
          <w:p w:rsidR="00F91C7C" w:rsidRPr="00FA3303" w:rsidRDefault="00F91C7C" w:rsidP="00E1278A">
            <w:pPr>
              <w:rPr>
                <w:rFonts w:cs="Arial"/>
              </w:rPr>
            </w:pPr>
          </w:p>
        </w:tc>
        <w:tc>
          <w:tcPr>
            <w:tcW w:w="5267" w:type="dxa"/>
            <w:tcBorders>
              <w:top w:val="single" w:sz="4" w:space="0" w:color="00A0E9"/>
              <w:bottom w:val="single" w:sz="4" w:space="0" w:color="00A0E9"/>
            </w:tcBorders>
            <w:shd w:val="clear" w:color="auto" w:fill="auto"/>
          </w:tcPr>
          <w:p w:rsidR="00F91C7C" w:rsidRPr="00FA3303" w:rsidRDefault="006C33D4" w:rsidP="00E1278A">
            <w:pPr>
              <w:rPr>
                <w:rFonts w:cs="Arial"/>
              </w:rPr>
            </w:pPr>
            <w:r>
              <w:rPr>
                <w:rFonts w:cs="Arial"/>
                <w:noProof/>
              </w:rPr>
              <w:drawing>
                <wp:inline distT="0" distB="0" distL="0" distR="0" wp14:anchorId="0B6FE589">
                  <wp:extent cx="3204375" cy="205938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0858" cy="2063553"/>
                          </a:xfrm>
                          <a:prstGeom prst="rect">
                            <a:avLst/>
                          </a:prstGeom>
                          <a:noFill/>
                        </pic:spPr>
                      </pic:pic>
                    </a:graphicData>
                  </a:graphic>
                </wp:inline>
              </w:drawing>
            </w:r>
          </w:p>
        </w:tc>
      </w:tr>
      <w:tr w:rsidR="00F91C7C" w:rsidRPr="00FA3303" w:rsidTr="00E1278A">
        <w:trPr>
          <w:cantSplit/>
          <w:trHeight w:val="200"/>
        </w:trPr>
        <w:tc>
          <w:tcPr>
            <w:tcW w:w="5268" w:type="dxa"/>
            <w:tcBorders>
              <w:top w:val="single" w:sz="4" w:space="0" w:color="00A0E9"/>
            </w:tcBorders>
            <w:shd w:val="clear" w:color="auto" w:fill="auto"/>
          </w:tcPr>
          <w:p w:rsidR="00F91C7C" w:rsidRPr="00FA3303" w:rsidRDefault="00F91C7C" w:rsidP="00E1278A">
            <w:pPr>
              <w:pStyle w:val="FootnoteNoline"/>
              <w:ind w:left="0"/>
            </w:pPr>
            <w:r w:rsidRPr="00FA3303">
              <w:t>来源：国金证券研究所</w:t>
            </w:r>
          </w:p>
        </w:tc>
        <w:tc>
          <w:tcPr>
            <w:tcW w:w="236" w:type="dxa"/>
          </w:tcPr>
          <w:p w:rsidR="00F91C7C" w:rsidRPr="00FA3303" w:rsidRDefault="00F91C7C" w:rsidP="00E1278A">
            <w:pPr>
              <w:spacing w:line="10" w:lineRule="atLeast"/>
              <w:jc w:val="center"/>
              <w:rPr>
                <w:rFonts w:cs="Arial"/>
                <w:sz w:val="21"/>
                <w:szCs w:val="21"/>
              </w:rPr>
            </w:pPr>
          </w:p>
        </w:tc>
        <w:tc>
          <w:tcPr>
            <w:tcW w:w="5267" w:type="dxa"/>
            <w:tcBorders>
              <w:top w:val="single" w:sz="4" w:space="0" w:color="00A0E9"/>
            </w:tcBorders>
            <w:shd w:val="clear" w:color="auto" w:fill="auto"/>
          </w:tcPr>
          <w:p w:rsidR="00F91C7C" w:rsidRPr="00FA3303" w:rsidRDefault="00F91C7C" w:rsidP="00E1278A">
            <w:pPr>
              <w:spacing w:line="10" w:lineRule="atLeast"/>
              <w:jc w:val="center"/>
              <w:rPr>
                <w:rFonts w:cs="Arial"/>
                <w:sz w:val="21"/>
                <w:szCs w:val="21"/>
              </w:rPr>
            </w:pPr>
          </w:p>
        </w:tc>
      </w:tr>
    </w:tbl>
    <w:p w:rsidR="00F91C7C" w:rsidRPr="00766A5A" w:rsidRDefault="00F91C7C" w:rsidP="00F91C7C">
      <w:pPr>
        <w:pStyle w:val="a0"/>
        <w:numPr>
          <w:ilvl w:val="4"/>
          <w:numId w:val="3"/>
        </w:numPr>
        <w:rPr>
          <w:color w:val="auto"/>
        </w:rPr>
      </w:pPr>
      <w:r w:rsidRPr="009C50F8">
        <w:rPr>
          <w:rFonts w:hint="eastAsia"/>
          <w:color w:val="auto"/>
        </w:rPr>
        <w:t>偏股类</w:t>
      </w:r>
      <w:r>
        <w:rPr>
          <w:rFonts w:hint="eastAsia"/>
          <w:color w:val="auto"/>
        </w:rPr>
        <w:t>账户</w:t>
      </w:r>
      <w:r>
        <w:rPr>
          <w:rFonts w:hint="eastAsia"/>
          <w:color w:val="auto"/>
        </w:rPr>
        <w:t>201</w:t>
      </w:r>
      <w:r w:rsidR="00517B08">
        <w:rPr>
          <w:rFonts w:hint="eastAsia"/>
          <w:color w:val="auto"/>
        </w:rPr>
        <w:t>5</w:t>
      </w:r>
      <w:r>
        <w:rPr>
          <w:rFonts w:hint="eastAsia"/>
          <w:color w:val="auto"/>
        </w:rPr>
        <w:t>年</w:t>
      </w:r>
      <w:r w:rsidR="00AE7F04">
        <w:rPr>
          <w:rFonts w:hint="eastAsia"/>
          <w:color w:val="auto"/>
        </w:rPr>
        <w:t>6</w:t>
      </w:r>
      <w:r w:rsidR="00EF38C5">
        <w:rPr>
          <w:rFonts w:hint="eastAsia"/>
          <w:color w:val="auto"/>
        </w:rPr>
        <w:t>月</w:t>
      </w:r>
      <w:r>
        <w:rPr>
          <w:rFonts w:hint="eastAsia"/>
          <w:color w:val="auto"/>
        </w:rPr>
        <w:t>平均收益率为</w:t>
      </w:r>
      <w:r w:rsidR="00AE7F04">
        <w:rPr>
          <w:rFonts w:hint="eastAsia"/>
          <w:color w:val="auto"/>
        </w:rPr>
        <w:t>-9.95%</w:t>
      </w:r>
      <w:r>
        <w:rPr>
          <w:rFonts w:hint="eastAsia"/>
          <w:color w:val="auto"/>
        </w:rPr>
        <w:t>。股票型、股票</w:t>
      </w:r>
      <w:r>
        <w:rPr>
          <w:rFonts w:hint="eastAsia"/>
          <w:color w:val="auto"/>
        </w:rPr>
        <w:t>-</w:t>
      </w:r>
      <w:r>
        <w:rPr>
          <w:rFonts w:hint="eastAsia"/>
          <w:color w:val="auto"/>
        </w:rPr>
        <w:t>指数型、混合偏股型、灵活配置型的平均收益分别为</w:t>
      </w:r>
      <w:r w:rsidR="00AE7F04">
        <w:rPr>
          <w:rFonts w:hint="eastAsia"/>
          <w:color w:val="auto"/>
        </w:rPr>
        <w:t>-13%</w:t>
      </w:r>
      <w:r w:rsidR="00AE7F04">
        <w:rPr>
          <w:rFonts w:hint="eastAsia"/>
          <w:color w:val="auto"/>
        </w:rPr>
        <w:t>、</w:t>
      </w:r>
      <w:r w:rsidR="00AE7F04">
        <w:rPr>
          <w:rFonts w:hint="eastAsia"/>
          <w:color w:val="auto"/>
        </w:rPr>
        <w:t>-5.63%</w:t>
      </w:r>
      <w:r w:rsidR="00AE7F04">
        <w:rPr>
          <w:rFonts w:hint="eastAsia"/>
          <w:color w:val="auto"/>
        </w:rPr>
        <w:t>、</w:t>
      </w:r>
      <w:r w:rsidR="00AE7F04">
        <w:rPr>
          <w:rFonts w:hint="eastAsia"/>
          <w:color w:val="auto"/>
        </w:rPr>
        <w:t>-7.97%</w:t>
      </w:r>
      <w:r w:rsidR="00AE7F04">
        <w:rPr>
          <w:rFonts w:hint="eastAsia"/>
          <w:color w:val="auto"/>
        </w:rPr>
        <w:t>、</w:t>
      </w:r>
      <w:r w:rsidR="00AE7F04">
        <w:rPr>
          <w:rFonts w:hint="eastAsia"/>
          <w:color w:val="auto"/>
        </w:rPr>
        <w:t>-7.26%</w:t>
      </w:r>
      <w:r>
        <w:rPr>
          <w:rFonts w:hint="eastAsia"/>
          <w:color w:val="auto"/>
        </w:rPr>
        <w:t>。</w:t>
      </w:r>
    </w:p>
    <w:p w:rsidR="00F91C7C" w:rsidRPr="006C7FAF" w:rsidRDefault="00F91C7C" w:rsidP="00F91C7C">
      <w:pPr>
        <w:pStyle w:val="a0"/>
        <w:numPr>
          <w:ilvl w:val="5"/>
          <w:numId w:val="4"/>
        </w:numPr>
        <w:rPr>
          <w:color w:val="auto"/>
        </w:rPr>
      </w:pPr>
      <w:r w:rsidRPr="006C7FAF">
        <w:rPr>
          <w:color w:val="auto"/>
        </w:rPr>
        <w:t>4</w:t>
      </w:r>
      <w:r w:rsidR="00517B08">
        <w:rPr>
          <w:rFonts w:hint="eastAsia"/>
          <w:color w:val="auto"/>
        </w:rPr>
        <w:t>4</w:t>
      </w:r>
      <w:r w:rsidR="00B54652">
        <w:rPr>
          <w:rFonts w:hint="eastAsia"/>
          <w:color w:val="auto"/>
        </w:rPr>
        <w:t>个股票型投连险账户</w:t>
      </w:r>
      <w:r w:rsidR="00AE7F04">
        <w:rPr>
          <w:rFonts w:hint="eastAsia"/>
          <w:color w:val="auto"/>
        </w:rPr>
        <w:t>2</w:t>
      </w:r>
      <w:r w:rsidR="005709AD">
        <w:rPr>
          <w:rFonts w:hint="eastAsia"/>
          <w:color w:val="auto"/>
        </w:rPr>
        <w:t>正</w:t>
      </w:r>
      <w:r w:rsidR="00AE7F04">
        <w:rPr>
          <w:rFonts w:hint="eastAsia"/>
          <w:color w:val="auto"/>
        </w:rPr>
        <w:t>42</w:t>
      </w:r>
      <w:r w:rsidR="005709AD">
        <w:rPr>
          <w:rFonts w:hint="eastAsia"/>
          <w:color w:val="auto"/>
        </w:rPr>
        <w:t>负</w:t>
      </w:r>
      <w:r w:rsidR="00517B08">
        <w:rPr>
          <w:rFonts w:hint="eastAsia"/>
          <w:color w:val="auto"/>
        </w:rPr>
        <w:t>。</w:t>
      </w:r>
      <w:r w:rsidR="00AE7F04">
        <w:rPr>
          <w:rFonts w:hint="eastAsia"/>
          <w:color w:val="auto"/>
        </w:rPr>
        <w:t>泰康人寿</w:t>
      </w:r>
      <w:r w:rsidR="00AE7F04">
        <w:rPr>
          <w:rFonts w:hint="eastAsia"/>
          <w:color w:val="auto"/>
        </w:rPr>
        <w:t>-</w:t>
      </w:r>
      <w:r w:rsidR="00AE7F04">
        <w:rPr>
          <w:rFonts w:hint="eastAsia"/>
          <w:color w:val="auto"/>
        </w:rPr>
        <w:t>进取型、信泰人寿</w:t>
      </w:r>
      <w:r w:rsidR="00AE7F04">
        <w:rPr>
          <w:rFonts w:hint="eastAsia"/>
          <w:color w:val="auto"/>
        </w:rPr>
        <w:t>-</w:t>
      </w:r>
      <w:r w:rsidR="00AE7F04">
        <w:rPr>
          <w:rFonts w:hint="eastAsia"/>
          <w:color w:val="auto"/>
        </w:rPr>
        <w:t>恒星优胜股票的收益率为正</w:t>
      </w:r>
      <w:r w:rsidR="005709AD">
        <w:rPr>
          <w:rFonts w:hint="eastAsia"/>
          <w:color w:val="auto"/>
        </w:rPr>
        <w:t>；</w:t>
      </w:r>
      <w:r w:rsidR="00AE7F04">
        <w:rPr>
          <w:rFonts w:hint="eastAsia"/>
          <w:color w:val="auto"/>
        </w:rPr>
        <w:t>30</w:t>
      </w:r>
      <w:r>
        <w:rPr>
          <w:rFonts w:hint="eastAsia"/>
          <w:color w:val="auto"/>
        </w:rPr>
        <w:t>个账户</w:t>
      </w:r>
      <w:r w:rsidR="00AE7F04">
        <w:rPr>
          <w:rFonts w:hint="eastAsia"/>
          <w:color w:val="auto"/>
        </w:rPr>
        <w:t>跌幅超过</w:t>
      </w:r>
      <w:r w:rsidR="00AE7F04">
        <w:rPr>
          <w:rFonts w:hint="eastAsia"/>
          <w:color w:val="auto"/>
        </w:rPr>
        <w:t>10%</w:t>
      </w:r>
      <w:r>
        <w:rPr>
          <w:rFonts w:hint="eastAsia"/>
          <w:color w:val="auto"/>
        </w:rPr>
        <w:t>。</w:t>
      </w:r>
    </w:p>
    <w:p w:rsidR="00F91C7C" w:rsidRDefault="00F91C7C" w:rsidP="00F91C7C">
      <w:pPr>
        <w:pStyle w:val="a0"/>
        <w:numPr>
          <w:ilvl w:val="5"/>
          <w:numId w:val="4"/>
        </w:numPr>
        <w:rPr>
          <w:color w:val="auto"/>
        </w:rPr>
      </w:pPr>
      <w:r>
        <w:rPr>
          <w:rFonts w:hint="eastAsia"/>
          <w:color w:val="auto"/>
        </w:rPr>
        <w:t>6</w:t>
      </w:r>
      <w:r>
        <w:rPr>
          <w:rFonts w:hint="eastAsia"/>
          <w:color w:val="auto"/>
        </w:rPr>
        <w:t>个</w:t>
      </w:r>
      <w:r w:rsidRPr="002D1D0F">
        <w:rPr>
          <w:rFonts w:hint="eastAsia"/>
          <w:color w:val="auto"/>
        </w:rPr>
        <w:t>股票</w:t>
      </w:r>
      <w:r w:rsidRPr="002D1D0F">
        <w:rPr>
          <w:color w:val="auto"/>
        </w:rPr>
        <w:t>-</w:t>
      </w:r>
      <w:r w:rsidRPr="002D1D0F">
        <w:rPr>
          <w:rFonts w:hint="eastAsia"/>
          <w:color w:val="auto"/>
        </w:rPr>
        <w:t>指数型账户</w:t>
      </w:r>
      <w:r w:rsidR="00B54652">
        <w:rPr>
          <w:rFonts w:hint="eastAsia"/>
          <w:color w:val="auto"/>
        </w:rPr>
        <w:t>的收益率全部为</w:t>
      </w:r>
      <w:r w:rsidR="00AE7F04">
        <w:rPr>
          <w:rFonts w:hint="eastAsia"/>
          <w:color w:val="auto"/>
        </w:rPr>
        <w:t>负，</w:t>
      </w:r>
      <w:r w:rsidR="00EB1C56">
        <w:rPr>
          <w:rFonts w:hint="eastAsia"/>
          <w:color w:val="auto"/>
        </w:rPr>
        <w:t>收益率</w:t>
      </w:r>
      <w:r w:rsidR="00AE7F04">
        <w:rPr>
          <w:rFonts w:hint="eastAsia"/>
          <w:color w:val="auto"/>
        </w:rPr>
        <w:t>普遍介于</w:t>
      </w:r>
      <w:r w:rsidR="00AE7F04">
        <w:rPr>
          <w:rFonts w:hint="eastAsia"/>
          <w:color w:val="auto"/>
        </w:rPr>
        <w:t>-6~-1</w:t>
      </w:r>
      <w:r w:rsidR="00B54652">
        <w:rPr>
          <w:rFonts w:hint="eastAsia"/>
          <w:color w:val="auto"/>
        </w:rPr>
        <w:t>%</w:t>
      </w:r>
      <w:r w:rsidR="00AE7F04">
        <w:rPr>
          <w:rFonts w:hint="eastAsia"/>
          <w:color w:val="auto"/>
        </w:rPr>
        <w:t>，</w:t>
      </w:r>
      <w:r w:rsidR="00AE7F04">
        <w:rPr>
          <w:rFonts w:hint="eastAsia"/>
          <w:color w:val="auto"/>
        </w:rPr>
        <w:t>1</w:t>
      </w:r>
      <w:r w:rsidR="00AE7F04">
        <w:rPr>
          <w:rFonts w:hint="eastAsia"/>
          <w:color w:val="auto"/>
        </w:rPr>
        <w:t>个账户的收益率低于</w:t>
      </w:r>
      <w:r w:rsidR="00AE7F04">
        <w:rPr>
          <w:rFonts w:hint="eastAsia"/>
          <w:color w:val="auto"/>
        </w:rPr>
        <w:t>-10%</w:t>
      </w:r>
      <w:r>
        <w:rPr>
          <w:rFonts w:hint="eastAsia"/>
          <w:color w:val="auto"/>
        </w:rPr>
        <w:t>。</w:t>
      </w:r>
    </w:p>
    <w:p w:rsidR="00F91C7C" w:rsidRDefault="00F91C7C" w:rsidP="00F91C7C">
      <w:pPr>
        <w:pStyle w:val="a0"/>
        <w:numPr>
          <w:ilvl w:val="5"/>
          <w:numId w:val="4"/>
        </w:numPr>
        <w:rPr>
          <w:color w:val="auto"/>
        </w:rPr>
      </w:pPr>
      <w:r>
        <w:rPr>
          <w:rFonts w:hint="eastAsia"/>
          <w:color w:val="auto"/>
        </w:rPr>
        <w:t>2</w:t>
      </w:r>
      <w:r w:rsidR="00517B08">
        <w:rPr>
          <w:rFonts w:hint="eastAsia"/>
          <w:color w:val="auto"/>
        </w:rPr>
        <w:t>6</w:t>
      </w:r>
      <w:r w:rsidRPr="005C63C0">
        <w:rPr>
          <w:rFonts w:hint="eastAsia"/>
          <w:color w:val="auto"/>
        </w:rPr>
        <w:t>个混合偏股型账户</w:t>
      </w:r>
      <w:r w:rsidR="00B54652">
        <w:rPr>
          <w:rFonts w:hint="eastAsia"/>
          <w:color w:val="auto"/>
        </w:rPr>
        <w:t>的收益率全部为</w:t>
      </w:r>
      <w:r w:rsidR="00AE7F04">
        <w:rPr>
          <w:rFonts w:hint="eastAsia"/>
          <w:color w:val="auto"/>
        </w:rPr>
        <w:t>负，</w:t>
      </w:r>
      <w:r w:rsidR="00AE7F04">
        <w:rPr>
          <w:rFonts w:hint="eastAsia"/>
          <w:color w:val="auto"/>
        </w:rPr>
        <w:t>9</w:t>
      </w:r>
      <w:r w:rsidR="00AE7F04">
        <w:rPr>
          <w:rFonts w:hint="eastAsia"/>
          <w:color w:val="auto"/>
        </w:rPr>
        <w:t>个账户跌幅超过</w:t>
      </w:r>
      <w:r w:rsidR="00AE7F04">
        <w:rPr>
          <w:rFonts w:hint="eastAsia"/>
          <w:color w:val="auto"/>
        </w:rPr>
        <w:t>10%</w:t>
      </w:r>
      <w:r w:rsidR="00EB1C56">
        <w:rPr>
          <w:rFonts w:hint="eastAsia"/>
          <w:color w:val="auto"/>
        </w:rPr>
        <w:t>。</w:t>
      </w:r>
      <w:r w:rsidR="00EB1C56">
        <w:rPr>
          <w:color w:val="auto"/>
        </w:rPr>
        <w:t xml:space="preserve"> </w:t>
      </w:r>
    </w:p>
    <w:p w:rsidR="00F91C7C" w:rsidRDefault="00517B08" w:rsidP="00F91C7C">
      <w:pPr>
        <w:pStyle w:val="a0"/>
        <w:numPr>
          <w:ilvl w:val="5"/>
          <w:numId w:val="4"/>
        </w:numPr>
        <w:rPr>
          <w:color w:val="auto"/>
        </w:rPr>
      </w:pPr>
      <w:r>
        <w:rPr>
          <w:rFonts w:hint="eastAsia"/>
          <w:color w:val="auto"/>
        </w:rPr>
        <w:lastRenderedPageBreak/>
        <w:t>21</w:t>
      </w:r>
      <w:r w:rsidR="00F91C7C" w:rsidRPr="00B204CF">
        <w:rPr>
          <w:rFonts w:hint="eastAsia"/>
          <w:color w:val="auto"/>
        </w:rPr>
        <w:t>个灵活配置型账户</w:t>
      </w:r>
      <w:r w:rsidR="00AE7F04">
        <w:rPr>
          <w:rFonts w:hint="eastAsia"/>
          <w:color w:val="auto"/>
        </w:rPr>
        <w:t>1</w:t>
      </w:r>
      <w:r w:rsidR="00EB1C56">
        <w:rPr>
          <w:rFonts w:hint="eastAsia"/>
          <w:color w:val="auto"/>
        </w:rPr>
        <w:t>正</w:t>
      </w:r>
      <w:r w:rsidR="00AE7F04">
        <w:rPr>
          <w:rFonts w:hint="eastAsia"/>
          <w:color w:val="auto"/>
        </w:rPr>
        <w:t>20</w:t>
      </w:r>
      <w:r w:rsidR="00EB1C56">
        <w:rPr>
          <w:rFonts w:hint="eastAsia"/>
          <w:color w:val="auto"/>
        </w:rPr>
        <w:t>负</w:t>
      </w:r>
      <w:r w:rsidR="00F91C7C">
        <w:rPr>
          <w:rFonts w:hint="eastAsia"/>
          <w:color w:val="auto"/>
        </w:rPr>
        <w:t>。</w:t>
      </w:r>
      <w:r w:rsidR="00AE7F04">
        <w:rPr>
          <w:rFonts w:hint="eastAsia"/>
          <w:color w:val="auto"/>
        </w:rPr>
        <w:t>泰康人寿</w:t>
      </w:r>
      <w:r w:rsidR="00AE7F04">
        <w:rPr>
          <w:rFonts w:hint="eastAsia"/>
          <w:color w:val="auto"/>
        </w:rPr>
        <w:t>-</w:t>
      </w:r>
      <w:r w:rsidR="00AE7F04">
        <w:rPr>
          <w:rFonts w:hint="eastAsia"/>
          <w:color w:val="auto"/>
        </w:rPr>
        <w:t>创新动力型的价格小幅上涨</w:t>
      </w:r>
      <w:r w:rsidR="00AE7F04">
        <w:rPr>
          <w:rFonts w:hint="eastAsia"/>
          <w:color w:val="auto"/>
        </w:rPr>
        <w:t>1.33%</w:t>
      </w:r>
      <w:r w:rsidR="00AE7F04">
        <w:rPr>
          <w:rFonts w:hint="eastAsia"/>
          <w:color w:val="auto"/>
        </w:rPr>
        <w:t>，</w:t>
      </w:r>
      <w:r w:rsidR="00AE7F04">
        <w:rPr>
          <w:rFonts w:hint="eastAsia"/>
          <w:color w:val="auto"/>
        </w:rPr>
        <w:t>5</w:t>
      </w:r>
      <w:r w:rsidR="00AE7F04">
        <w:rPr>
          <w:rFonts w:hint="eastAsia"/>
          <w:color w:val="auto"/>
        </w:rPr>
        <w:t>个账户的跌幅超过</w:t>
      </w:r>
      <w:r w:rsidR="00AE7F04">
        <w:rPr>
          <w:rFonts w:hint="eastAsia"/>
          <w:color w:val="auto"/>
        </w:rPr>
        <w:t>10%</w:t>
      </w:r>
      <w:r w:rsidR="00AE7F04">
        <w:rPr>
          <w:rFonts w:hint="eastAsia"/>
          <w:color w:val="auto"/>
        </w:rPr>
        <w:t>。</w:t>
      </w:r>
    </w:p>
    <w:p w:rsidR="00F91C7C" w:rsidRPr="007C549D" w:rsidRDefault="00F91C7C" w:rsidP="00F91C7C">
      <w:pPr>
        <w:pStyle w:val="a0"/>
        <w:numPr>
          <w:ilvl w:val="4"/>
          <w:numId w:val="3"/>
        </w:numPr>
        <w:rPr>
          <w:color w:val="auto"/>
        </w:rPr>
      </w:pPr>
      <w:r>
        <w:rPr>
          <w:rFonts w:hint="eastAsia"/>
          <w:color w:val="auto"/>
        </w:rPr>
        <w:t>偏债类投连险</w:t>
      </w:r>
      <w:r>
        <w:rPr>
          <w:rFonts w:hint="eastAsia"/>
        </w:rPr>
        <w:t>201</w:t>
      </w:r>
      <w:r w:rsidR="00517B08">
        <w:rPr>
          <w:rFonts w:hint="eastAsia"/>
        </w:rPr>
        <w:t>5</w:t>
      </w:r>
      <w:r>
        <w:rPr>
          <w:rFonts w:hint="eastAsia"/>
        </w:rPr>
        <w:t>年</w:t>
      </w:r>
      <w:r w:rsidR="00AE7F04">
        <w:rPr>
          <w:rFonts w:hint="eastAsia"/>
        </w:rPr>
        <w:t>6</w:t>
      </w:r>
      <w:r w:rsidR="005709AD">
        <w:rPr>
          <w:rFonts w:hint="eastAsia"/>
        </w:rPr>
        <w:t>月</w:t>
      </w:r>
      <w:r>
        <w:rPr>
          <w:rFonts w:hint="eastAsia"/>
        </w:rPr>
        <w:t>平均收益为</w:t>
      </w:r>
      <w:r w:rsidR="00AE7F04">
        <w:rPr>
          <w:rFonts w:hint="eastAsia"/>
        </w:rPr>
        <w:t>-2.4</w:t>
      </w:r>
      <w:r>
        <w:rPr>
          <w:rFonts w:hint="eastAsia"/>
        </w:rPr>
        <w:t>%</w:t>
      </w:r>
      <w:r>
        <w:rPr>
          <w:rFonts w:hint="eastAsia"/>
        </w:rPr>
        <w:t>。</w:t>
      </w:r>
      <w:r>
        <w:rPr>
          <w:rFonts w:hint="eastAsia"/>
          <w:color w:val="auto"/>
        </w:rPr>
        <w:t>其中，</w:t>
      </w:r>
      <w:r w:rsidRPr="00F956E5">
        <w:rPr>
          <w:rFonts w:hint="eastAsia"/>
          <w:bCs/>
          <w:color w:val="auto"/>
        </w:rPr>
        <w:t>混合偏债型</w:t>
      </w:r>
      <w:r>
        <w:rPr>
          <w:rFonts w:hint="eastAsia"/>
          <w:color w:val="auto"/>
        </w:rPr>
        <w:t>、债券型和货币型账户的平均收益分别为</w:t>
      </w:r>
      <w:r w:rsidR="00AE7F04">
        <w:rPr>
          <w:rFonts w:hint="eastAsia"/>
          <w:bCs/>
          <w:color w:val="auto"/>
        </w:rPr>
        <w:t>-7.54%</w:t>
      </w:r>
      <w:r w:rsidR="00AE7F04">
        <w:rPr>
          <w:rFonts w:hint="eastAsia"/>
          <w:bCs/>
          <w:color w:val="auto"/>
        </w:rPr>
        <w:t>、</w:t>
      </w:r>
      <w:r w:rsidR="00AE7F04">
        <w:rPr>
          <w:rFonts w:hint="eastAsia"/>
          <w:bCs/>
          <w:color w:val="auto"/>
        </w:rPr>
        <w:t>-1.36%</w:t>
      </w:r>
      <w:r w:rsidR="00AE7F04">
        <w:rPr>
          <w:rFonts w:hint="eastAsia"/>
          <w:bCs/>
          <w:color w:val="auto"/>
        </w:rPr>
        <w:t>、</w:t>
      </w:r>
      <w:r w:rsidR="00AE7F04">
        <w:rPr>
          <w:rFonts w:hint="eastAsia"/>
          <w:bCs/>
          <w:color w:val="auto"/>
        </w:rPr>
        <w:t>-0.03%</w:t>
      </w:r>
      <w:r w:rsidRPr="007C549D">
        <w:rPr>
          <w:rFonts w:hint="eastAsia"/>
          <w:bCs/>
          <w:color w:val="auto"/>
        </w:rPr>
        <w:t>。</w:t>
      </w:r>
    </w:p>
    <w:p w:rsidR="00F91C7C" w:rsidRDefault="00F91C7C" w:rsidP="00F91C7C">
      <w:pPr>
        <w:pStyle w:val="a0"/>
        <w:numPr>
          <w:ilvl w:val="5"/>
          <w:numId w:val="4"/>
        </w:numPr>
        <w:rPr>
          <w:color w:val="auto"/>
        </w:rPr>
      </w:pPr>
      <w:r>
        <w:rPr>
          <w:rFonts w:hint="eastAsia"/>
          <w:bCs/>
          <w:color w:val="auto"/>
        </w:rPr>
        <w:t>22</w:t>
      </w:r>
      <w:r>
        <w:rPr>
          <w:rFonts w:hint="eastAsia"/>
          <w:bCs/>
          <w:color w:val="auto"/>
        </w:rPr>
        <w:t>个混合偏债型账户</w:t>
      </w:r>
      <w:r w:rsidR="00EB1C56">
        <w:rPr>
          <w:rFonts w:hint="eastAsia"/>
          <w:color w:val="auto"/>
        </w:rPr>
        <w:t>1</w:t>
      </w:r>
      <w:r w:rsidR="00EB1C56">
        <w:rPr>
          <w:rFonts w:hint="eastAsia"/>
          <w:color w:val="auto"/>
        </w:rPr>
        <w:t>正</w:t>
      </w:r>
      <w:r w:rsidR="00AE7F04">
        <w:rPr>
          <w:rFonts w:hint="eastAsia"/>
          <w:color w:val="auto"/>
        </w:rPr>
        <w:t>2</w:t>
      </w:r>
      <w:r w:rsidR="00EB1C56">
        <w:rPr>
          <w:rFonts w:hint="eastAsia"/>
          <w:color w:val="auto"/>
        </w:rPr>
        <w:t>1</w:t>
      </w:r>
      <w:r w:rsidR="00EB1C56">
        <w:rPr>
          <w:rFonts w:hint="eastAsia"/>
          <w:color w:val="auto"/>
        </w:rPr>
        <w:t>负</w:t>
      </w:r>
      <w:r w:rsidR="00517B08">
        <w:rPr>
          <w:rFonts w:hint="eastAsia"/>
          <w:color w:val="auto"/>
        </w:rPr>
        <w:t>。</w:t>
      </w:r>
      <w:r w:rsidR="00AE7F04">
        <w:rPr>
          <w:rFonts w:hint="eastAsia"/>
          <w:color w:val="auto"/>
        </w:rPr>
        <w:t>华泰人寿</w:t>
      </w:r>
      <w:r w:rsidR="00AE7F04">
        <w:rPr>
          <w:rFonts w:hint="eastAsia"/>
          <w:color w:val="auto"/>
        </w:rPr>
        <w:t>-</w:t>
      </w:r>
      <w:r w:rsidR="00AE7F04">
        <w:rPr>
          <w:rFonts w:hint="eastAsia"/>
          <w:color w:val="auto"/>
        </w:rPr>
        <w:t>稳健型的收益率</w:t>
      </w:r>
      <w:r w:rsidR="007D0BF3">
        <w:rPr>
          <w:rFonts w:hint="eastAsia"/>
          <w:color w:val="auto"/>
        </w:rPr>
        <w:t>最高，但</w:t>
      </w:r>
      <w:r w:rsidR="00AE7F04">
        <w:rPr>
          <w:rFonts w:hint="eastAsia"/>
          <w:color w:val="auto"/>
        </w:rPr>
        <w:t>不足</w:t>
      </w:r>
      <w:r w:rsidR="00AE7F04">
        <w:rPr>
          <w:rFonts w:hint="eastAsia"/>
          <w:color w:val="auto"/>
        </w:rPr>
        <w:t>1%</w:t>
      </w:r>
      <w:r w:rsidR="00EB1C56">
        <w:rPr>
          <w:rFonts w:hint="eastAsia"/>
          <w:color w:val="auto"/>
        </w:rPr>
        <w:t>；</w:t>
      </w:r>
      <w:r w:rsidR="00AE7F04">
        <w:rPr>
          <w:rFonts w:hint="eastAsia"/>
          <w:color w:val="auto"/>
        </w:rPr>
        <w:t>6</w:t>
      </w:r>
      <w:r w:rsidR="00913F79">
        <w:rPr>
          <w:rFonts w:hint="eastAsia"/>
          <w:color w:val="auto"/>
        </w:rPr>
        <w:t>个账户的</w:t>
      </w:r>
      <w:r w:rsidR="00AE7F04">
        <w:rPr>
          <w:rFonts w:hint="eastAsia"/>
          <w:color w:val="auto"/>
        </w:rPr>
        <w:t>跌幅超过</w:t>
      </w:r>
      <w:r w:rsidR="00AE7F04">
        <w:rPr>
          <w:rFonts w:hint="eastAsia"/>
          <w:color w:val="auto"/>
        </w:rPr>
        <w:t>10%</w:t>
      </w:r>
      <w:r>
        <w:rPr>
          <w:rFonts w:hint="eastAsia"/>
          <w:color w:val="auto"/>
        </w:rPr>
        <w:t>。</w:t>
      </w:r>
    </w:p>
    <w:p w:rsidR="00F91C7C" w:rsidRPr="007C549D" w:rsidRDefault="00F91C7C" w:rsidP="00F91C7C">
      <w:pPr>
        <w:pStyle w:val="a0"/>
        <w:numPr>
          <w:ilvl w:val="5"/>
          <w:numId w:val="4"/>
        </w:numPr>
        <w:rPr>
          <w:color w:val="auto"/>
        </w:rPr>
      </w:pPr>
      <w:r>
        <w:rPr>
          <w:rFonts w:hint="eastAsia"/>
          <w:color w:val="auto"/>
        </w:rPr>
        <w:t>4</w:t>
      </w:r>
      <w:r w:rsidR="00517B08">
        <w:rPr>
          <w:rFonts w:hint="eastAsia"/>
          <w:color w:val="auto"/>
        </w:rPr>
        <w:t>9</w:t>
      </w:r>
      <w:r w:rsidRPr="00605DF2">
        <w:rPr>
          <w:rFonts w:hint="eastAsia"/>
          <w:color w:val="auto"/>
        </w:rPr>
        <w:t>个</w:t>
      </w:r>
      <w:r>
        <w:rPr>
          <w:rFonts w:hint="eastAsia"/>
          <w:color w:val="auto"/>
        </w:rPr>
        <w:t>债券型账户</w:t>
      </w:r>
      <w:r w:rsidR="00AE7F04">
        <w:rPr>
          <w:rFonts w:hint="eastAsia"/>
          <w:color w:val="auto"/>
        </w:rPr>
        <w:t>22</w:t>
      </w:r>
      <w:r w:rsidR="005709AD">
        <w:rPr>
          <w:rFonts w:hint="eastAsia"/>
          <w:color w:val="auto"/>
        </w:rPr>
        <w:t>正</w:t>
      </w:r>
      <w:r w:rsidR="00AE7F04">
        <w:rPr>
          <w:rFonts w:hint="eastAsia"/>
          <w:color w:val="auto"/>
        </w:rPr>
        <w:t>27</w:t>
      </w:r>
      <w:r w:rsidR="005709AD">
        <w:rPr>
          <w:rFonts w:hint="eastAsia"/>
          <w:color w:val="auto"/>
        </w:rPr>
        <w:t>负。</w:t>
      </w:r>
      <w:r w:rsidR="00AE7F04">
        <w:rPr>
          <w:rFonts w:hint="eastAsia"/>
          <w:color w:val="auto"/>
        </w:rPr>
        <w:t>泰康人寿</w:t>
      </w:r>
      <w:r w:rsidR="00AE7F04">
        <w:rPr>
          <w:rFonts w:hint="eastAsia"/>
          <w:color w:val="auto"/>
        </w:rPr>
        <w:t>-</w:t>
      </w:r>
      <w:r w:rsidR="00AE7F04">
        <w:rPr>
          <w:rFonts w:hint="eastAsia"/>
          <w:color w:val="auto"/>
        </w:rPr>
        <w:t>开泰</w:t>
      </w:r>
      <w:r w:rsidR="00AE7F04">
        <w:rPr>
          <w:rFonts w:hint="eastAsia"/>
          <w:color w:val="auto"/>
        </w:rPr>
        <w:t>-</w:t>
      </w:r>
      <w:r w:rsidR="00AE7F04">
        <w:rPr>
          <w:rFonts w:hint="eastAsia"/>
          <w:color w:val="auto"/>
        </w:rPr>
        <w:t>稳利精选、生命人寿</w:t>
      </w:r>
      <w:r w:rsidR="00AE7F04">
        <w:rPr>
          <w:rFonts w:hint="eastAsia"/>
          <w:color w:val="auto"/>
        </w:rPr>
        <w:t>-</w:t>
      </w:r>
      <w:r w:rsidR="00AE7F04">
        <w:rPr>
          <w:rFonts w:hint="eastAsia"/>
          <w:color w:val="auto"/>
        </w:rPr>
        <w:t>增强货币型、国华人寿</w:t>
      </w:r>
      <w:r w:rsidR="00AE7F04">
        <w:rPr>
          <w:rFonts w:hint="eastAsia"/>
          <w:color w:val="auto"/>
        </w:rPr>
        <w:t>-</w:t>
      </w:r>
      <w:r w:rsidR="00AE7F04">
        <w:rPr>
          <w:rFonts w:hint="eastAsia"/>
          <w:color w:val="auto"/>
        </w:rPr>
        <w:t>灵活型的收益率小幅超过</w:t>
      </w:r>
      <w:r w:rsidR="00AE7F04">
        <w:rPr>
          <w:rFonts w:hint="eastAsia"/>
          <w:color w:val="auto"/>
        </w:rPr>
        <w:t>1%</w:t>
      </w:r>
      <w:r w:rsidR="00AE7F04">
        <w:rPr>
          <w:rFonts w:hint="eastAsia"/>
          <w:color w:val="auto"/>
        </w:rPr>
        <w:t>；</w:t>
      </w:r>
      <w:r w:rsidR="00AE7F04">
        <w:rPr>
          <w:rFonts w:hint="eastAsia"/>
          <w:color w:val="auto"/>
        </w:rPr>
        <w:t>1</w:t>
      </w:r>
      <w:r w:rsidR="00AE7F04">
        <w:rPr>
          <w:rFonts w:hint="eastAsia"/>
          <w:color w:val="auto"/>
        </w:rPr>
        <w:t>个账户跌幅在</w:t>
      </w:r>
      <w:r w:rsidR="00AE7F04">
        <w:rPr>
          <w:rFonts w:hint="eastAsia"/>
          <w:color w:val="auto"/>
        </w:rPr>
        <w:t>10%</w:t>
      </w:r>
      <w:r w:rsidR="00AE7F04">
        <w:rPr>
          <w:rFonts w:hint="eastAsia"/>
          <w:color w:val="auto"/>
        </w:rPr>
        <w:t>以上</w:t>
      </w:r>
      <w:r w:rsidR="00517B08">
        <w:rPr>
          <w:rFonts w:hint="eastAsia"/>
          <w:color w:val="auto"/>
        </w:rPr>
        <w:t>。</w:t>
      </w:r>
    </w:p>
    <w:p w:rsidR="00F91C7C" w:rsidRPr="00F91C7C" w:rsidRDefault="00F91C7C" w:rsidP="00F91C7C">
      <w:pPr>
        <w:pStyle w:val="a0"/>
        <w:numPr>
          <w:ilvl w:val="5"/>
          <w:numId w:val="4"/>
        </w:numPr>
        <w:rPr>
          <w:color w:val="auto"/>
        </w:rPr>
      </w:pPr>
      <w:r>
        <w:rPr>
          <w:rFonts w:hint="eastAsia"/>
          <w:color w:val="auto"/>
        </w:rPr>
        <w:t>2</w:t>
      </w:r>
      <w:r w:rsidR="00913F79">
        <w:rPr>
          <w:rFonts w:hint="eastAsia"/>
          <w:color w:val="auto"/>
        </w:rPr>
        <w:t>6</w:t>
      </w:r>
      <w:r w:rsidRPr="00DB0468">
        <w:rPr>
          <w:rFonts w:hint="eastAsia"/>
          <w:color w:val="auto"/>
        </w:rPr>
        <w:t>个货币型</w:t>
      </w:r>
      <w:r w:rsidR="00913F79">
        <w:rPr>
          <w:rFonts w:hint="eastAsia"/>
          <w:color w:val="auto"/>
        </w:rPr>
        <w:t>账户</w:t>
      </w:r>
      <w:r w:rsidR="00AE7F04">
        <w:rPr>
          <w:rFonts w:hint="eastAsia"/>
          <w:color w:val="auto"/>
        </w:rPr>
        <w:t>23</w:t>
      </w:r>
      <w:r w:rsidR="00AE7F04">
        <w:rPr>
          <w:rFonts w:hint="eastAsia"/>
          <w:color w:val="auto"/>
        </w:rPr>
        <w:t>正</w:t>
      </w:r>
      <w:r w:rsidR="00AE7F04">
        <w:rPr>
          <w:rFonts w:hint="eastAsia"/>
          <w:color w:val="auto"/>
        </w:rPr>
        <w:t>3</w:t>
      </w:r>
      <w:r w:rsidR="00AE7F04">
        <w:rPr>
          <w:rFonts w:hint="eastAsia"/>
          <w:color w:val="auto"/>
        </w:rPr>
        <w:t>负</w:t>
      </w:r>
      <w:r w:rsidR="00913F79">
        <w:rPr>
          <w:rFonts w:hint="eastAsia"/>
          <w:color w:val="auto"/>
        </w:rPr>
        <w:t>。</w:t>
      </w:r>
      <w:r w:rsidR="00AE7F04">
        <w:rPr>
          <w:rFonts w:hint="eastAsia"/>
          <w:color w:val="auto"/>
        </w:rPr>
        <w:t>正收益介于</w:t>
      </w:r>
      <w:r w:rsidR="00AE7F04">
        <w:rPr>
          <w:rFonts w:hint="eastAsia"/>
          <w:color w:val="auto"/>
        </w:rPr>
        <w:t>0.1~0.4%</w:t>
      </w:r>
      <w:r w:rsidR="00AE7F04">
        <w:rPr>
          <w:rFonts w:hint="eastAsia"/>
          <w:color w:val="auto"/>
        </w:rPr>
        <w:t>；</w:t>
      </w:r>
      <w:r w:rsidR="00AE7F04">
        <w:rPr>
          <w:rFonts w:hint="eastAsia"/>
          <w:color w:val="auto"/>
        </w:rPr>
        <w:t>2</w:t>
      </w:r>
      <w:r w:rsidR="00AE7F04">
        <w:rPr>
          <w:rFonts w:hint="eastAsia"/>
          <w:color w:val="auto"/>
        </w:rPr>
        <w:t>只产品的负收益接近</w:t>
      </w:r>
      <w:r w:rsidR="00AE7F04">
        <w:rPr>
          <w:rFonts w:hint="eastAsia"/>
          <w:color w:val="auto"/>
        </w:rPr>
        <w:t>-3%</w:t>
      </w:r>
      <w:r>
        <w:rPr>
          <w:rFonts w:hint="eastAsia"/>
          <w:color w:val="auto"/>
        </w:rPr>
        <w:t>。</w:t>
      </w:r>
    </w:p>
    <w:tbl>
      <w:tblPr>
        <w:tblpPr w:leftFromText="180" w:rightFromText="180" w:vertAnchor="text" w:tblpY="1"/>
        <w:tblOverlap w:val="never"/>
        <w:tblW w:w="7370" w:type="dxa"/>
        <w:tblInd w:w="3402" w:type="dxa"/>
        <w:tblBorders>
          <w:top w:val="single" w:sz="4" w:space="0" w:color="00A0E9"/>
          <w:insideH w:val="single" w:sz="4" w:space="0" w:color="00A0E9"/>
          <w:insideV w:val="single" w:sz="4" w:space="0" w:color="00A0E9"/>
        </w:tblBorders>
        <w:tblLayout w:type="fixed"/>
        <w:tblCellMar>
          <w:left w:w="0" w:type="dxa"/>
          <w:right w:w="0" w:type="dxa"/>
        </w:tblCellMar>
        <w:tblLook w:val="0000" w:firstRow="0" w:lastRow="0" w:firstColumn="0" w:lastColumn="0" w:noHBand="0" w:noVBand="0"/>
      </w:tblPr>
      <w:tblGrid>
        <w:gridCol w:w="7370"/>
      </w:tblGrid>
      <w:tr w:rsidR="00F91C7C" w:rsidTr="00E1278A">
        <w:trPr>
          <w:cantSplit/>
          <w:trHeight w:val="200"/>
        </w:trPr>
        <w:tc>
          <w:tcPr>
            <w:tcW w:w="7370" w:type="dxa"/>
            <w:shd w:val="clear" w:color="auto" w:fill="auto"/>
          </w:tcPr>
          <w:p w:rsidR="00F91C7C" w:rsidRDefault="00F91C7C" w:rsidP="00966BFC">
            <w:pPr>
              <w:pStyle w:val="SubTitleLargeTable"/>
            </w:pPr>
            <w:r>
              <w:rPr>
                <w:rFonts w:hint="eastAsia"/>
              </w:rPr>
              <w:t>图表</w:t>
            </w:r>
            <w:r>
              <w:rPr>
                <w:rFonts w:hint="eastAsia"/>
              </w:rPr>
              <w:t>3</w:t>
            </w:r>
            <w:r>
              <w:rPr>
                <w:rFonts w:hint="eastAsia"/>
              </w:rPr>
              <w:t>：</w:t>
            </w:r>
            <w:r>
              <w:rPr>
                <w:rFonts w:hint="eastAsia"/>
              </w:rPr>
              <w:t>201</w:t>
            </w:r>
            <w:r w:rsidR="00517B08">
              <w:rPr>
                <w:rFonts w:hint="eastAsia"/>
              </w:rPr>
              <w:t>5</w:t>
            </w:r>
            <w:r>
              <w:rPr>
                <w:rFonts w:hint="eastAsia"/>
              </w:rPr>
              <w:t>年</w:t>
            </w:r>
            <w:r w:rsidR="006C33D4">
              <w:rPr>
                <w:rFonts w:hint="eastAsia"/>
              </w:rPr>
              <w:t>6</w:t>
            </w:r>
            <w:r w:rsidR="00966BFC">
              <w:rPr>
                <w:rFonts w:hint="eastAsia"/>
              </w:rPr>
              <w:t>月</w:t>
            </w:r>
            <w:r w:rsidRPr="00EE3BC4">
              <w:rPr>
                <w:rFonts w:hint="eastAsia"/>
              </w:rPr>
              <w:t>投连险</w:t>
            </w:r>
            <w:r>
              <w:rPr>
                <w:rFonts w:hint="eastAsia"/>
              </w:rPr>
              <w:t>各类账户平均收益率</w:t>
            </w:r>
            <w:r w:rsidRPr="00EE3BC4">
              <w:rPr>
                <w:rFonts w:hint="eastAsia"/>
              </w:rPr>
              <w:t>对比</w:t>
            </w:r>
          </w:p>
        </w:tc>
      </w:tr>
      <w:tr w:rsidR="00F91C7C" w:rsidTr="00517B08">
        <w:tblPrEx>
          <w:tblCellMar>
            <w:left w:w="108" w:type="dxa"/>
            <w:right w:w="108" w:type="dxa"/>
          </w:tblCellMar>
        </w:tblPrEx>
        <w:trPr>
          <w:cantSplit/>
          <w:trHeight w:val="3509"/>
        </w:trPr>
        <w:tc>
          <w:tcPr>
            <w:tcW w:w="7370" w:type="dxa"/>
            <w:shd w:val="clear" w:color="auto" w:fill="auto"/>
            <w:vAlign w:val="center"/>
          </w:tcPr>
          <w:p w:rsidR="00F91C7C" w:rsidRPr="006B5505" w:rsidRDefault="006C33D4" w:rsidP="00E1278A">
            <w:pPr>
              <w:pStyle w:val="a0"/>
              <w:spacing w:after="0" w:line="10" w:lineRule="atLeast"/>
              <w:ind w:left="0"/>
              <w:jc w:val="center"/>
              <w:rPr>
                <w:color w:val="auto"/>
              </w:rPr>
            </w:pPr>
            <w:r>
              <w:rPr>
                <w:noProof/>
                <w:color w:val="auto"/>
              </w:rPr>
              <w:drawing>
                <wp:inline distT="0" distB="0" distL="0" distR="0" wp14:anchorId="51848F8D">
                  <wp:extent cx="4578350" cy="263398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8350" cy="2633980"/>
                          </a:xfrm>
                          <a:prstGeom prst="rect">
                            <a:avLst/>
                          </a:prstGeom>
                          <a:noFill/>
                        </pic:spPr>
                      </pic:pic>
                    </a:graphicData>
                  </a:graphic>
                </wp:inline>
              </w:drawing>
            </w:r>
          </w:p>
        </w:tc>
      </w:tr>
      <w:tr w:rsidR="00F91C7C" w:rsidTr="00E1278A">
        <w:trPr>
          <w:cantSplit/>
          <w:trHeight w:val="200"/>
        </w:trPr>
        <w:tc>
          <w:tcPr>
            <w:tcW w:w="7370" w:type="dxa"/>
            <w:shd w:val="clear" w:color="auto" w:fill="auto"/>
          </w:tcPr>
          <w:p w:rsidR="00F91C7C" w:rsidRDefault="00F91C7C" w:rsidP="00E1278A">
            <w:pPr>
              <w:pStyle w:val="FootnoteNoline"/>
              <w:ind w:left="0"/>
            </w:pPr>
            <w:r>
              <w:rPr>
                <w:rFonts w:hint="eastAsia"/>
              </w:rPr>
              <w:t>来源：国金证券研究所</w:t>
            </w:r>
          </w:p>
        </w:tc>
      </w:tr>
    </w:tbl>
    <w:p w:rsidR="00F91C7C" w:rsidRDefault="00C47DC3" w:rsidP="00E6532C">
      <w:pPr>
        <w:pStyle w:val="a0"/>
        <w:numPr>
          <w:ilvl w:val="4"/>
          <w:numId w:val="3"/>
        </w:numPr>
        <w:rPr>
          <w:color w:val="auto"/>
        </w:rPr>
      </w:pPr>
      <w:r>
        <w:rPr>
          <w:rFonts w:hint="eastAsia"/>
          <w:color w:val="auto"/>
        </w:rPr>
        <w:t>纵向来看，</w:t>
      </w:r>
      <w:r w:rsidR="00A43609">
        <w:rPr>
          <w:rFonts w:hint="eastAsia"/>
          <w:color w:val="auto"/>
        </w:rPr>
        <w:t>偏股类账户中，</w:t>
      </w:r>
      <w:r w:rsidR="00242104">
        <w:rPr>
          <w:rFonts w:hint="eastAsia"/>
          <w:color w:val="auto"/>
        </w:rPr>
        <w:t>今年</w:t>
      </w:r>
      <w:r w:rsidR="00242104">
        <w:rPr>
          <w:rFonts w:hint="eastAsia"/>
          <w:color w:val="auto"/>
        </w:rPr>
        <w:t>1-</w:t>
      </w:r>
      <w:r w:rsidR="00AE7F04">
        <w:rPr>
          <w:rFonts w:hint="eastAsia"/>
          <w:color w:val="auto"/>
        </w:rPr>
        <w:t>6</w:t>
      </w:r>
      <w:r w:rsidR="00242104">
        <w:rPr>
          <w:rFonts w:hint="eastAsia"/>
          <w:color w:val="auto"/>
        </w:rPr>
        <w:t>月，</w:t>
      </w:r>
      <w:r>
        <w:rPr>
          <w:rFonts w:hint="eastAsia"/>
          <w:color w:val="auto"/>
        </w:rPr>
        <w:t>股票型</w:t>
      </w:r>
      <w:r w:rsidR="00242104">
        <w:rPr>
          <w:rFonts w:hint="eastAsia"/>
          <w:color w:val="auto"/>
        </w:rPr>
        <w:t>在大盘表现较好的</w:t>
      </w:r>
      <w:r w:rsidR="00242104">
        <w:rPr>
          <w:rFonts w:hint="eastAsia"/>
          <w:color w:val="auto"/>
        </w:rPr>
        <w:t>4</w:t>
      </w:r>
      <w:r w:rsidR="00AE7F04">
        <w:rPr>
          <w:rFonts w:hint="eastAsia"/>
          <w:color w:val="auto"/>
        </w:rPr>
        <w:t>月以及在大盘相对抗跌的</w:t>
      </w:r>
      <w:r w:rsidR="00AE7F04">
        <w:rPr>
          <w:rFonts w:hint="eastAsia"/>
          <w:color w:val="auto"/>
        </w:rPr>
        <w:t>6</w:t>
      </w:r>
      <w:r w:rsidR="00AE7F04">
        <w:rPr>
          <w:rFonts w:hint="eastAsia"/>
          <w:color w:val="auto"/>
        </w:rPr>
        <w:t>月跑输股票</w:t>
      </w:r>
      <w:r w:rsidR="00AE7F04">
        <w:rPr>
          <w:rFonts w:hint="eastAsia"/>
          <w:color w:val="auto"/>
        </w:rPr>
        <w:t>-</w:t>
      </w:r>
      <w:r w:rsidR="00AE7F04">
        <w:rPr>
          <w:rFonts w:hint="eastAsia"/>
          <w:color w:val="auto"/>
        </w:rPr>
        <w:t>指数型，</w:t>
      </w:r>
      <w:r w:rsidR="00242104">
        <w:rPr>
          <w:rFonts w:hint="eastAsia"/>
          <w:color w:val="auto"/>
        </w:rPr>
        <w:t>其余月份均领先股票</w:t>
      </w:r>
      <w:r w:rsidR="00242104">
        <w:rPr>
          <w:rFonts w:hint="eastAsia"/>
          <w:color w:val="auto"/>
        </w:rPr>
        <w:t>-</w:t>
      </w:r>
      <w:r w:rsidR="00242104">
        <w:rPr>
          <w:rFonts w:hint="eastAsia"/>
          <w:color w:val="auto"/>
        </w:rPr>
        <w:t>指数型</w:t>
      </w:r>
      <w:r w:rsidR="005709AD">
        <w:rPr>
          <w:rFonts w:hint="eastAsia"/>
          <w:color w:val="auto"/>
        </w:rPr>
        <w:t>。</w:t>
      </w:r>
      <w:r w:rsidR="00AE7F04">
        <w:rPr>
          <w:rFonts w:hint="eastAsia"/>
          <w:color w:val="auto"/>
        </w:rPr>
        <w:t>1</w:t>
      </w:r>
      <w:r w:rsidR="00AE7F04">
        <w:rPr>
          <w:rFonts w:hint="eastAsia"/>
          <w:color w:val="auto"/>
        </w:rPr>
        <w:t>月以来的业绩说明，</w:t>
      </w:r>
      <w:r w:rsidR="00242104">
        <w:rPr>
          <w:rFonts w:hint="eastAsia"/>
          <w:color w:val="auto"/>
        </w:rPr>
        <w:t>股票型配置的中小盘股</w:t>
      </w:r>
      <w:r w:rsidR="00AE7F04">
        <w:rPr>
          <w:rFonts w:hint="eastAsia"/>
          <w:color w:val="auto"/>
        </w:rPr>
        <w:t>权重较大</w:t>
      </w:r>
      <w:r w:rsidR="00242104">
        <w:rPr>
          <w:rFonts w:hint="eastAsia"/>
          <w:color w:val="auto"/>
        </w:rPr>
        <w:t>。</w:t>
      </w:r>
      <w:r>
        <w:rPr>
          <w:rFonts w:hint="eastAsia"/>
          <w:color w:val="auto"/>
        </w:rPr>
        <w:t>偏债类账户中，</w:t>
      </w:r>
      <w:r w:rsidR="00AE7F04">
        <w:rPr>
          <w:rFonts w:hint="eastAsia"/>
          <w:color w:val="auto"/>
        </w:rPr>
        <w:t>月底资金紧张，</w:t>
      </w:r>
      <w:r w:rsidR="00716F61">
        <w:rPr>
          <w:rFonts w:hint="eastAsia"/>
          <w:color w:val="auto"/>
        </w:rPr>
        <w:t>货币型</w:t>
      </w:r>
      <w:r w:rsidR="00AE7F04">
        <w:rPr>
          <w:rFonts w:hint="eastAsia"/>
          <w:color w:val="auto"/>
        </w:rPr>
        <w:t>6</w:t>
      </w:r>
      <w:r w:rsidR="00AE7F04">
        <w:rPr>
          <w:rFonts w:hint="eastAsia"/>
          <w:color w:val="auto"/>
        </w:rPr>
        <w:t>月平均收益亦为负</w:t>
      </w:r>
      <w:r>
        <w:rPr>
          <w:rFonts w:hint="eastAsia"/>
          <w:color w:val="auto"/>
        </w:rPr>
        <w:t>。</w:t>
      </w:r>
    </w:p>
    <w:tbl>
      <w:tblPr>
        <w:tblW w:w="5000" w:type="pct"/>
        <w:tblLook w:val="04A0" w:firstRow="1" w:lastRow="0" w:firstColumn="1" w:lastColumn="0" w:noHBand="0" w:noVBand="1"/>
      </w:tblPr>
      <w:tblGrid>
        <w:gridCol w:w="2509"/>
        <w:gridCol w:w="1381"/>
        <w:gridCol w:w="1381"/>
        <w:gridCol w:w="1459"/>
        <w:gridCol w:w="1381"/>
        <w:gridCol w:w="1381"/>
        <w:gridCol w:w="1383"/>
      </w:tblGrid>
      <w:tr w:rsidR="0051446F" w:rsidRPr="0051446F" w:rsidTr="0051446F">
        <w:trPr>
          <w:trHeight w:val="285"/>
        </w:trPr>
        <w:tc>
          <w:tcPr>
            <w:tcW w:w="5000" w:type="pct"/>
            <w:gridSpan w:val="7"/>
            <w:tcBorders>
              <w:top w:val="single" w:sz="4" w:space="0" w:color="3399FF"/>
              <w:left w:val="nil"/>
              <w:bottom w:val="single" w:sz="8" w:space="0" w:color="0066FF"/>
              <w:right w:val="nil"/>
            </w:tcBorders>
            <w:shd w:val="clear" w:color="auto" w:fill="auto"/>
            <w:vAlign w:val="center"/>
            <w:hideMark/>
          </w:tcPr>
          <w:p w:rsidR="0051446F" w:rsidRPr="0051446F" w:rsidRDefault="0051446F" w:rsidP="0051446F">
            <w:pPr>
              <w:widowControl/>
              <w:jc w:val="left"/>
              <w:rPr>
                <w:rFonts w:ascii="楷体_GB2312" w:hAnsi="宋体" w:cs="宋体"/>
                <w:b/>
                <w:bCs/>
                <w:i/>
                <w:iCs/>
                <w:color w:val="000000"/>
                <w:kern w:val="0"/>
                <w:sz w:val="21"/>
                <w:szCs w:val="21"/>
              </w:rPr>
            </w:pPr>
            <w:r w:rsidRPr="0051446F">
              <w:rPr>
                <w:rFonts w:ascii="楷体_GB2312" w:hAnsi="宋体" w:cs="宋体" w:hint="eastAsia"/>
                <w:b/>
                <w:bCs/>
                <w:i/>
                <w:iCs/>
                <w:color w:val="000000"/>
                <w:kern w:val="0"/>
                <w:sz w:val="21"/>
                <w:szCs w:val="21"/>
              </w:rPr>
              <w:t>图表4：投连险账户收益特征</w:t>
            </w:r>
          </w:p>
        </w:tc>
      </w:tr>
      <w:tr w:rsidR="0051446F" w:rsidRPr="0051446F" w:rsidTr="0051446F">
        <w:trPr>
          <w:trHeight w:val="285"/>
        </w:trPr>
        <w:tc>
          <w:tcPr>
            <w:tcW w:w="1153" w:type="pct"/>
            <w:tcBorders>
              <w:top w:val="nil"/>
              <w:bottom w:val="single" w:sz="8" w:space="0" w:color="0066FF"/>
              <w:right w:val="single" w:sz="8" w:space="0" w:color="0066FF"/>
            </w:tcBorders>
            <w:shd w:val="clear" w:color="auto" w:fill="auto"/>
            <w:vAlign w:val="center"/>
            <w:hideMark/>
          </w:tcPr>
          <w:p w:rsidR="0051446F" w:rsidRPr="0051446F" w:rsidRDefault="0051446F" w:rsidP="0051446F">
            <w:pPr>
              <w:widowControl/>
              <w:jc w:val="left"/>
              <w:rPr>
                <w:rFonts w:ascii="宋体" w:eastAsia="宋体" w:hAnsi="宋体" w:cs="宋体"/>
                <w:b/>
                <w:bCs/>
                <w:color w:val="000000"/>
                <w:kern w:val="0"/>
                <w:szCs w:val="18"/>
              </w:rPr>
            </w:pPr>
            <w:r w:rsidRPr="0051446F">
              <w:rPr>
                <w:rFonts w:ascii="宋体" w:eastAsia="宋体" w:hAnsi="宋体" w:cs="宋体" w:hint="eastAsia"/>
                <w:b/>
                <w:bCs/>
                <w:color w:val="000000"/>
                <w:kern w:val="0"/>
                <w:szCs w:val="18"/>
              </w:rPr>
              <w:t xml:space="preserve">　</w:t>
            </w:r>
          </w:p>
        </w:tc>
        <w:tc>
          <w:tcPr>
            <w:tcW w:w="635" w:type="pct"/>
            <w:tcBorders>
              <w:top w:val="nil"/>
              <w:left w:val="nil"/>
              <w:bottom w:val="single" w:sz="8" w:space="0" w:color="0066FF"/>
              <w:right w:val="single" w:sz="8" w:space="0" w:color="0066FF"/>
            </w:tcBorders>
            <w:shd w:val="clear" w:color="auto" w:fill="auto"/>
            <w:vAlign w:val="center"/>
            <w:hideMark/>
          </w:tcPr>
          <w:p w:rsidR="0051446F" w:rsidRPr="0051446F" w:rsidRDefault="0051446F" w:rsidP="0051446F">
            <w:pPr>
              <w:widowControl/>
              <w:jc w:val="center"/>
              <w:rPr>
                <w:rFonts w:ascii="宋体" w:eastAsia="宋体" w:hAnsi="宋体" w:cs="宋体"/>
                <w:b/>
                <w:bCs/>
                <w:color w:val="000000"/>
                <w:kern w:val="0"/>
                <w:szCs w:val="18"/>
              </w:rPr>
            </w:pPr>
            <w:r w:rsidRPr="0051446F">
              <w:rPr>
                <w:rFonts w:ascii="宋体" w:eastAsia="宋体" w:hAnsi="宋体" w:cs="宋体" w:hint="eastAsia"/>
                <w:b/>
                <w:bCs/>
                <w:color w:val="000000"/>
                <w:kern w:val="0"/>
                <w:szCs w:val="18"/>
              </w:rPr>
              <w:t>1月</w:t>
            </w:r>
          </w:p>
        </w:tc>
        <w:tc>
          <w:tcPr>
            <w:tcW w:w="635" w:type="pct"/>
            <w:tcBorders>
              <w:top w:val="nil"/>
              <w:left w:val="nil"/>
              <w:bottom w:val="single" w:sz="8" w:space="0" w:color="0066FF"/>
              <w:right w:val="single" w:sz="8" w:space="0" w:color="0066FF"/>
            </w:tcBorders>
            <w:shd w:val="clear" w:color="auto" w:fill="auto"/>
            <w:vAlign w:val="center"/>
            <w:hideMark/>
          </w:tcPr>
          <w:p w:rsidR="0051446F" w:rsidRPr="0051446F" w:rsidRDefault="0051446F" w:rsidP="0051446F">
            <w:pPr>
              <w:widowControl/>
              <w:jc w:val="center"/>
              <w:rPr>
                <w:rFonts w:ascii="宋体" w:eastAsia="宋体" w:hAnsi="宋体" w:cs="宋体"/>
                <w:b/>
                <w:bCs/>
                <w:color w:val="000000"/>
                <w:kern w:val="0"/>
                <w:szCs w:val="18"/>
              </w:rPr>
            </w:pPr>
            <w:r w:rsidRPr="0051446F">
              <w:rPr>
                <w:rFonts w:ascii="宋体" w:eastAsia="宋体" w:hAnsi="宋体" w:cs="宋体" w:hint="eastAsia"/>
                <w:b/>
                <w:bCs/>
                <w:color w:val="000000"/>
                <w:kern w:val="0"/>
                <w:szCs w:val="18"/>
              </w:rPr>
              <w:t>2月</w:t>
            </w:r>
          </w:p>
        </w:tc>
        <w:tc>
          <w:tcPr>
            <w:tcW w:w="671" w:type="pct"/>
            <w:tcBorders>
              <w:top w:val="nil"/>
              <w:left w:val="nil"/>
              <w:bottom w:val="single" w:sz="8" w:space="0" w:color="0066FF"/>
              <w:right w:val="single" w:sz="8" w:space="0" w:color="0066FF"/>
            </w:tcBorders>
            <w:shd w:val="clear" w:color="auto" w:fill="auto"/>
            <w:vAlign w:val="center"/>
            <w:hideMark/>
          </w:tcPr>
          <w:p w:rsidR="0051446F" w:rsidRPr="0051446F" w:rsidRDefault="0051446F" w:rsidP="0051446F">
            <w:pPr>
              <w:widowControl/>
              <w:jc w:val="center"/>
              <w:rPr>
                <w:rFonts w:ascii="宋体" w:eastAsia="宋体" w:hAnsi="宋体" w:cs="宋体"/>
                <w:b/>
                <w:bCs/>
                <w:color w:val="000000"/>
                <w:kern w:val="0"/>
                <w:szCs w:val="18"/>
              </w:rPr>
            </w:pPr>
            <w:r w:rsidRPr="0051446F">
              <w:rPr>
                <w:rFonts w:ascii="宋体" w:eastAsia="宋体" w:hAnsi="宋体" w:cs="宋体" w:hint="eastAsia"/>
                <w:b/>
                <w:bCs/>
                <w:color w:val="000000"/>
                <w:kern w:val="0"/>
                <w:szCs w:val="18"/>
              </w:rPr>
              <w:t>3月</w:t>
            </w:r>
          </w:p>
        </w:tc>
        <w:tc>
          <w:tcPr>
            <w:tcW w:w="635" w:type="pct"/>
            <w:tcBorders>
              <w:top w:val="nil"/>
              <w:left w:val="nil"/>
              <w:bottom w:val="single" w:sz="8" w:space="0" w:color="0066FF"/>
              <w:right w:val="single" w:sz="8" w:space="0" w:color="0066FF"/>
            </w:tcBorders>
            <w:shd w:val="clear" w:color="auto" w:fill="auto"/>
            <w:vAlign w:val="center"/>
            <w:hideMark/>
          </w:tcPr>
          <w:p w:rsidR="0051446F" w:rsidRPr="0051446F" w:rsidRDefault="0051446F" w:rsidP="0051446F">
            <w:pPr>
              <w:widowControl/>
              <w:jc w:val="center"/>
              <w:rPr>
                <w:rFonts w:ascii="宋体" w:eastAsia="宋体" w:hAnsi="宋体" w:cs="宋体"/>
                <w:b/>
                <w:bCs/>
                <w:color w:val="000000"/>
                <w:kern w:val="0"/>
                <w:szCs w:val="18"/>
              </w:rPr>
            </w:pPr>
            <w:r w:rsidRPr="0051446F">
              <w:rPr>
                <w:rFonts w:ascii="宋体" w:eastAsia="宋体" w:hAnsi="宋体" w:cs="宋体" w:hint="eastAsia"/>
                <w:b/>
                <w:bCs/>
                <w:color w:val="000000"/>
                <w:kern w:val="0"/>
                <w:szCs w:val="18"/>
              </w:rPr>
              <w:t>4月</w:t>
            </w:r>
          </w:p>
        </w:tc>
        <w:tc>
          <w:tcPr>
            <w:tcW w:w="635" w:type="pct"/>
            <w:tcBorders>
              <w:top w:val="nil"/>
              <w:left w:val="nil"/>
              <w:bottom w:val="single" w:sz="8" w:space="0" w:color="0066FF"/>
              <w:right w:val="single" w:sz="8" w:space="0" w:color="0066FF"/>
            </w:tcBorders>
            <w:shd w:val="clear" w:color="auto" w:fill="auto"/>
            <w:vAlign w:val="center"/>
            <w:hideMark/>
          </w:tcPr>
          <w:p w:rsidR="0051446F" w:rsidRPr="0051446F" w:rsidRDefault="0051446F" w:rsidP="0051446F">
            <w:pPr>
              <w:widowControl/>
              <w:jc w:val="center"/>
              <w:rPr>
                <w:rFonts w:ascii="宋体" w:eastAsia="宋体" w:hAnsi="宋体" w:cs="宋体"/>
                <w:b/>
                <w:bCs/>
                <w:color w:val="000000"/>
                <w:kern w:val="0"/>
                <w:szCs w:val="18"/>
              </w:rPr>
            </w:pPr>
            <w:r w:rsidRPr="0051446F">
              <w:rPr>
                <w:rFonts w:ascii="宋体" w:eastAsia="宋体" w:hAnsi="宋体" w:cs="宋体" w:hint="eastAsia"/>
                <w:b/>
                <w:bCs/>
                <w:color w:val="000000"/>
                <w:kern w:val="0"/>
                <w:szCs w:val="18"/>
              </w:rPr>
              <w:t>5月</w:t>
            </w:r>
          </w:p>
        </w:tc>
        <w:tc>
          <w:tcPr>
            <w:tcW w:w="635" w:type="pct"/>
            <w:tcBorders>
              <w:top w:val="nil"/>
              <w:left w:val="nil"/>
              <w:bottom w:val="single" w:sz="8" w:space="0" w:color="0066FF"/>
            </w:tcBorders>
            <w:shd w:val="clear" w:color="auto" w:fill="auto"/>
            <w:vAlign w:val="center"/>
            <w:hideMark/>
          </w:tcPr>
          <w:p w:rsidR="0051446F" w:rsidRPr="0051446F" w:rsidRDefault="0051446F" w:rsidP="0051446F">
            <w:pPr>
              <w:widowControl/>
              <w:jc w:val="center"/>
              <w:rPr>
                <w:rFonts w:ascii="宋体" w:eastAsia="宋体" w:hAnsi="宋体" w:cs="宋体"/>
                <w:b/>
                <w:bCs/>
                <w:color w:val="000000"/>
                <w:kern w:val="0"/>
                <w:szCs w:val="18"/>
              </w:rPr>
            </w:pPr>
            <w:r w:rsidRPr="0051446F">
              <w:rPr>
                <w:rFonts w:ascii="宋体" w:eastAsia="宋体" w:hAnsi="宋体" w:cs="宋体" w:hint="eastAsia"/>
                <w:b/>
                <w:bCs/>
                <w:color w:val="000000"/>
                <w:kern w:val="0"/>
                <w:szCs w:val="18"/>
              </w:rPr>
              <w:t>6月</w:t>
            </w:r>
          </w:p>
        </w:tc>
      </w:tr>
      <w:tr w:rsidR="0051446F" w:rsidRPr="0051446F" w:rsidTr="0051446F">
        <w:trPr>
          <w:trHeight w:val="285"/>
        </w:trPr>
        <w:tc>
          <w:tcPr>
            <w:tcW w:w="1153"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ascii="宋体" w:eastAsia="宋体" w:hAnsi="宋体" w:cs="宋体"/>
                <w:b/>
                <w:bCs/>
                <w:color w:val="000000"/>
                <w:kern w:val="0"/>
                <w:szCs w:val="18"/>
              </w:rPr>
            </w:pPr>
            <w:r w:rsidRPr="0051446F">
              <w:rPr>
                <w:rFonts w:ascii="宋体" w:eastAsia="宋体" w:hAnsi="宋体" w:cs="宋体" w:hint="eastAsia"/>
                <w:b/>
                <w:bCs/>
                <w:color w:val="000000"/>
                <w:kern w:val="0"/>
                <w:szCs w:val="18"/>
              </w:rPr>
              <w:t>股票型</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5.49%</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5.14%</w:t>
            </w:r>
          </w:p>
        </w:tc>
        <w:tc>
          <w:tcPr>
            <w:tcW w:w="671"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15.20%</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12.09%</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17.16%</w:t>
            </w:r>
          </w:p>
        </w:tc>
        <w:tc>
          <w:tcPr>
            <w:tcW w:w="635" w:type="pct"/>
            <w:tcBorders>
              <w:top w:val="nil"/>
              <w:left w:val="nil"/>
              <w:bottom w:val="single" w:sz="8" w:space="0" w:color="00A0E9"/>
            </w:tcBorders>
            <w:shd w:val="clear" w:color="auto" w:fill="auto"/>
            <w:vAlign w:val="center"/>
            <w:hideMark/>
          </w:tcPr>
          <w:p w:rsidR="0051446F" w:rsidRPr="0051446F" w:rsidRDefault="0051446F" w:rsidP="0051446F">
            <w:pPr>
              <w:widowControl/>
              <w:jc w:val="center"/>
              <w:rPr>
                <w:rFonts w:eastAsia="宋体" w:cs="Arial"/>
                <w:color w:val="FF0000"/>
                <w:kern w:val="0"/>
                <w:szCs w:val="18"/>
              </w:rPr>
            </w:pPr>
            <w:r w:rsidRPr="0051446F">
              <w:rPr>
                <w:rFonts w:eastAsia="宋体" w:cs="Arial"/>
                <w:color w:val="FF0000"/>
                <w:kern w:val="0"/>
                <w:szCs w:val="18"/>
              </w:rPr>
              <w:t>-13.00%</w:t>
            </w:r>
          </w:p>
        </w:tc>
      </w:tr>
      <w:tr w:rsidR="0051446F" w:rsidRPr="0051446F" w:rsidTr="0051446F">
        <w:trPr>
          <w:trHeight w:val="285"/>
        </w:trPr>
        <w:tc>
          <w:tcPr>
            <w:tcW w:w="1153"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ascii="宋体" w:eastAsia="宋体" w:hAnsi="宋体" w:cs="宋体"/>
                <w:b/>
                <w:bCs/>
                <w:color w:val="000000"/>
                <w:kern w:val="0"/>
                <w:szCs w:val="18"/>
              </w:rPr>
            </w:pPr>
            <w:r w:rsidRPr="0051446F">
              <w:rPr>
                <w:rFonts w:ascii="宋体" w:eastAsia="宋体" w:hAnsi="宋体" w:cs="宋体" w:hint="eastAsia"/>
                <w:b/>
                <w:bCs/>
                <w:color w:val="000000"/>
                <w:kern w:val="0"/>
                <w:szCs w:val="18"/>
              </w:rPr>
              <w:t>股票-指数型</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FF0000"/>
                <w:kern w:val="0"/>
                <w:szCs w:val="18"/>
              </w:rPr>
            </w:pPr>
            <w:r w:rsidRPr="0051446F">
              <w:rPr>
                <w:rFonts w:eastAsia="宋体" w:cs="Arial"/>
                <w:color w:val="FF0000"/>
                <w:kern w:val="0"/>
                <w:szCs w:val="18"/>
              </w:rPr>
              <w:t>-1.57%</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3.73%</w:t>
            </w:r>
          </w:p>
        </w:tc>
        <w:tc>
          <w:tcPr>
            <w:tcW w:w="671"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13.74%</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15.78%</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4.18%</w:t>
            </w:r>
          </w:p>
        </w:tc>
        <w:tc>
          <w:tcPr>
            <w:tcW w:w="635" w:type="pct"/>
            <w:tcBorders>
              <w:top w:val="nil"/>
              <w:left w:val="nil"/>
              <w:bottom w:val="single" w:sz="8" w:space="0" w:color="00A0E9"/>
            </w:tcBorders>
            <w:shd w:val="clear" w:color="auto" w:fill="auto"/>
            <w:vAlign w:val="center"/>
            <w:hideMark/>
          </w:tcPr>
          <w:p w:rsidR="0051446F" w:rsidRPr="0051446F" w:rsidRDefault="0051446F" w:rsidP="0051446F">
            <w:pPr>
              <w:widowControl/>
              <w:jc w:val="center"/>
              <w:rPr>
                <w:rFonts w:eastAsia="宋体" w:cs="Arial"/>
                <w:color w:val="FF0000"/>
                <w:kern w:val="0"/>
                <w:szCs w:val="18"/>
              </w:rPr>
            </w:pPr>
            <w:r w:rsidRPr="0051446F">
              <w:rPr>
                <w:rFonts w:eastAsia="宋体" w:cs="Arial"/>
                <w:color w:val="FF0000"/>
                <w:kern w:val="0"/>
                <w:szCs w:val="18"/>
              </w:rPr>
              <w:t>-5.63%</w:t>
            </w:r>
          </w:p>
        </w:tc>
      </w:tr>
      <w:tr w:rsidR="0051446F" w:rsidRPr="0051446F" w:rsidTr="0051446F">
        <w:trPr>
          <w:trHeight w:val="285"/>
        </w:trPr>
        <w:tc>
          <w:tcPr>
            <w:tcW w:w="1153"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ascii="宋体" w:eastAsia="宋体" w:hAnsi="宋体" w:cs="宋体"/>
                <w:b/>
                <w:bCs/>
                <w:color w:val="000000"/>
                <w:kern w:val="0"/>
                <w:szCs w:val="18"/>
              </w:rPr>
            </w:pPr>
            <w:r w:rsidRPr="0051446F">
              <w:rPr>
                <w:rFonts w:ascii="宋体" w:eastAsia="宋体" w:hAnsi="宋体" w:cs="宋体" w:hint="eastAsia"/>
                <w:b/>
                <w:bCs/>
                <w:color w:val="000000"/>
                <w:kern w:val="0"/>
                <w:szCs w:val="18"/>
              </w:rPr>
              <w:t>混合偏股型</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3.34%</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3.57%</w:t>
            </w:r>
          </w:p>
        </w:tc>
        <w:tc>
          <w:tcPr>
            <w:tcW w:w="671"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11.50%</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10.26%</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12.63%</w:t>
            </w:r>
          </w:p>
        </w:tc>
        <w:tc>
          <w:tcPr>
            <w:tcW w:w="635" w:type="pct"/>
            <w:tcBorders>
              <w:top w:val="nil"/>
              <w:left w:val="nil"/>
              <w:bottom w:val="single" w:sz="8" w:space="0" w:color="00A0E9"/>
            </w:tcBorders>
            <w:shd w:val="clear" w:color="auto" w:fill="auto"/>
            <w:vAlign w:val="center"/>
            <w:hideMark/>
          </w:tcPr>
          <w:p w:rsidR="0051446F" w:rsidRPr="0051446F" w:rsidRDefault="0051446F" w:rsidP="0051446F">
            <w:pPr>
              <w:widowControl/>
              <w:jc w:val="center"/>
              <w:rPr>
                <w:rFonts w:eastAsia="宋体" w:cs="Arial"/>
                <w:color w:val="FF0000"/>
                <w:kern w:val="0"/>
                <w:szCs w:val="18"/>
              </w:rPr>
            </w:pPr>
            <w:r w:rsidRPr="0051446F">
              <w:rPr>
                <w:rFonts w:eastAsia="宋体" w:cs="Arial"/>
                <w:color w:val="FF0000"/>
                <w:kern w:val="0"/>
                <w:szCs w:val="18"/>
              </w:rPr>
              <w:t>-7.97%</w:t>
            </w:r>
          </w:p>
        </w:tc>
      </w:tr>
      <w:tr w:rsidR="0051446F" w:rsidRPr="0051446F" w:rsidTr="0051446F">
        <w:trPr>
          <w:trHeight w:val="285"/>
        </w:trPr>
        <w:tc>
          <w:tcPr>
            <w:tcW w:w="1153"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ascii="宋体" w:eastAsia="宋体" w:hAnsi="宋体" w:cs="宋体"/>
                <w:b/>
                <w:bCs/>
                <w:color w:val="000000"/>
                <w:kern w:val="0"/>
                <w:szCs w:val="18"/>
              </w:rPr>
            </w:pPr>
            <w:r w:rsidRPr="0051446F">
              <w:rPr>
                <w:rFonts w:ascii="宋体" w:eastAsia="宋体" w:hAnsi="宋体" w:cs="宋体" w:hint="eastAsia"/>
                <w:b/>
                <w:bCs/>
                <w:color w:val="000000"/>
                <w:kern w:val="0"/>
                <w:szCs w:val="18"/>
              </w:rPr>
              <w:t>灵活配置型</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3.38%</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2.83%</w:t>
            </w:r>
          </w:p>
        </w:tc>
        <w:tc>
          <w:tcPr>
            <w:tcW w:w="671"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11.06%</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11.06%</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10.97%</w:t>
            </w:r>
          </w:p>
        </w:tc>
        <w:tc>
          <w:tcPr>
            <w:tcW w:w="635" w:type="pct"/>
            <w:tcBorders>
              <w:top w:val="nil"/>
              <w:left w:val="nil"/>
              <w:bottom w:val="single" w:sz="8" w:space="0" w:color="00A0E9"/>
            </w:tcBorders>
            <w:shd w:val="clear" w:color="auto" w:fill="auto"/>
            <w:vAlign w:val="center"/>
            <w:hideMark/>
          </w:tcPr>
          <w:p w:rsidR="0051446F" w:rsidRPr="0051446F" w:rsidRDefault="0051446F" w:rsidP="0051446F">
            <w:pPr>
              <w:widowControl/>
              <w:jc w:val="center"/>
              <w:rPr>
                <w:rFonts w:eastAsia="宋体" w:cs="Arial"/>
                <w:color w:val="FF0000"/>
                <w:kern w:val="0"/>
                <w:szCs w:val="18"/>
              </w:rPr>
            </w:pPr>
            <w:r w:rsidRPr="0051446F">
              <w:rPr>
                <w:rFonts w:eastAsia="宋体" w:cs="Arial"/>
                <w:color w:val="FF0000"/>
                <w:kern w:val="0"/>
                <w:szCs w:val="18"/>
              </w:rPr>
              <w:t>-7.26%</w:t>
            </w:r>
          </w:p>
        </w:tc>
      </w:tr>
      <w:tr w:rsidR="0051446F" w:rsidRPr="0051446F" w:rsidTr="0051446F">
        <w:trPr>
          <w:trHeight w:val="285"/>
        </w:trPr>
        <w:tc>
          <w:tcPr>
            <w:tcW w:w="1153"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ascii="宋体" w:eastAsia="宋体" w:hAnsi="宋体" w:cs="宋体"/>
                <w:b/>
                <w:bCs/>
                <w:color w:val="000000"/>
                <w:kern w:val="0"/>
                <w:szCs w:val="18"/>
              </w:rPr>
            </w:pPr>
            <w:r w:rsidRPr="0051446F">
              <w:rPr>
                <w:rFonts w:ascii="宋体" w:eastAsia="宋体" w:hAnsi="宋体" w:cs="宋体" w:hint="eastAsia"/>
                <w:b/>
                <w:bCs/>
                <w:color w:val="000000"/>
                <w:kern w:val="0"/>
                <w:szCs w:val="18"/>
              </w:rPr>
              <w:t>混合偏债型</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2.37%</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2.72%</w:t>
            </w:r>
          </w:p>
        </w:tc>
        <w:tc>
          <w:tcPr>
            <w:tcW w:w="671"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8.00%</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7.35%</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9.73%</w:t>
            </w:r>
          </w:p>
        </w:tc>
        <w:tc>
          <w:tcPr>
            <w:tcW w:w="635" w:type="pct"/>
            <w:tcBorders>
              <w:top w:val="nil"/>
              <w:left w:val="nil"/>
              <w:bottom w:val="single" w:sz="8" w:space="0" w:color="00A0E9"/>
            </w:tcBorders>
            <w:shd w:val="clear" w:color="auto" w:fill="auto"/>
            <w:vAlign w:val="center"/>
            <w:hideMark/>
          </w:tcPr>
          <w:p w:rsidR="0051446F" w:rsidRPr="0051446F" w:rsidRDefault="0051446F" w:rsidP="0051446F">
            <w:pPr>
              <w:widowControl/>
              <w:jc w:val="center"/>
              <w:rPr>
                <w:rFonts w:eastAsia="宋体" w:cs="Arial"/>
                <w:color w:val="FF0000"/>
                <w:kern w:val="0"/>
                <w:szCs w:val="18"/>
              </w:rPr>
            </w:pPr>
            <w:r w:rsidRPr="0051446F">
              <w:rPr>
                <w:rFonts w:eastAsia="宋体" w:cs="Arial"/>
                <w:color w:val="FF0000"/>
                <w:kern w:val="0"/>
                <w:szCs w:val="18"/>
              </w:rPr>
              <w:t>-7.54%</w:t>
            </w:r>
          </w:p>
        </w:tc>
      </w:tr>
      <w:tr w:rsidR="0051446F" w:rsidRPr="0051446F" w:rsidTr="0051446F">
        <w:trPr>
          <w:trHeight w:val="285"/>
        </w:trPr>
        <w:tc>
          <w:tcPr>
            <w:tcW w:w="1153"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ascii="宋体" w:eastAsia="宋体" w:hAnsi="宋体" w:cs="宋体"/>
                <w:b/>
                <w:bCs/>
                <w:color w:val="000000"/>
                <w:kern w:val="0"/>
                <w:szCs w:val="18"/>
              </w:rPr>
            </w:pPr>
            <w:r w:rsidRPr="0051446F">
              <w:rPr>
                <w:rFonts w:ascii="宋体" w:eastAsia="宋体" w:hAnsi="宋体" w:cs="宋体" w:hint="eastAsia"/>
                <w:b/>
                <w:bCs/>
                <w:color w:val="000000"/>
                <w:kern w:val="0"/>
                <w:szCs w:val="18"/>
              </w:rPr>
              <w:t>债券型</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1.07%</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0.99%</w:t>
            </w:r>
          </w:p>
        </w:tc>
        <w:tc>
          <w:tcPr>
            <w:tcW w:w="671"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1.58%</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2.10%</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2.27%</w:t>
            </w:r>
          </w:p>
        </w:tc>
        <w:tc>
          <w:tcPr>
            <w:tcW w:w="635" w:type="pct"/>
            <w:tcBorders>
              <w:top w:val="nil"/>
              <w:left w:val="nil"/>
              <w:bottom w:val="single" w:sz="8" w:space="0" w:color="00A0E9"/>
            </w:tcBorders>
            <w:shd w:val="clear" w:color="auto" w:fill="auto"/>
            <w:vAlign w:val="center"/>
            <w:hideMark/>
          </w:tcPr>
          <w:p w:rsidR="0051446F" w:rsidRPr="0051446F" w:rsidRDefault="0051446F" w:rsidP="0051446F">
            <w:pPr>
              <w:widowControl/>
              <w:jc w:val="center"/>
              <w:rPr>
                <w:rFonts w:eastAsia="宋体" w:cs="Arial"/>
                <w:color w:val="FF0000"/>
                <w:kern w:val="0"/>
                <w:szCs w:val="18"/>
              </w:rPr>
            </w:pPr>
            <w:r w:rsidRPr="0051446F">
              <w:rPr>
                <w:rFonts w:eastAsia="宋体" w:cs="Arial"/>
                <w:color w:val="FF0000"/>
                <w:kern w:val="0"/>
                <w:szCs w:val="18"/>
              </w:rPr>
              <w:t>-1.36%</w:t>
            </w:r>
          </w:p>
        </w:tc>
      </w:tr>
      <w:tr w:rsidR="0051446F" w:rsidRPr="0051446F" w:rsidTr="0051446F">
        <w:trPr>
          <w:trHeight w:val="285"/>
        </w:trPr>
        <w:tc>
          <w:tcPr>
            <w:tcW w:w="1153"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ascii="宋体" w:eastAsia="宋体" w:hAnsi="宋体" w:cs="宋体"/>
                <w:b/>
                <w:bCs/>
                <w:color w:val="000000"/>
                <w:kern w:val="0"/>
                <w:szCs w:val="18"/>
              </w:rPr>
            </w:pPr>
            <w:r w:rsidRPr="0051446F">
              <w:rPr>
                <w:rFonts w:ascii="宋体" w:eastAsia="宋体" w:hAnsi="宋体" w:cs="宋体" w:hint="eastAsia"/>
                <w:b/>
                <w:bCs/>
                <w:color w:val="000000"/>
                <w:kern w:val="0"/>
                <w:szCs w:val="18"/>
              </w:rPr>
              <w:t>货币型</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0.42%</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0.35%</w:t>
            </w:r>
          </w:p>
        </w:tc>
        <w:tc>
          <w:tcPr>
            <w:tcW w:w="671"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0.36%</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0.46%</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0.65%</w:t>
            </w:r>
          </w:p>
        </w:tc>
        <w:tc>
          <w:tcPr>
            <w:tcW w:w="635" w:type="pct"/>
            <w:tcBorders>
              <w:top w:val="nil"/>
              <w:left w:val="nil"/>
              <w:bottom w:val="single" w:sz="8" w:space="0" w:color="00A0E9"/>
            </w:tcBorders>
            <w:shd w:val="clear" w:color="auto" w:fill="auto"/>
            <w:vAlign w:val="center"/>
            <w:hideMark/>
          </w:tcPr>
          <w:p w:rsidR="0051446F" w:rsidRPr="0051446F" w:rsidRDefault="0051446F" w:rsidP="0051446F">
            <w:pPr>
              <w:widowControl/>
              <w:jc w:val="center"/>
              <w:rPr>
                <w:rFonts w:eastAsia="宋体" w:cs="Arial"/>
                <w:color w:val="FF0000"/>
                <w:kern w:val="0"/>
                <w:szCs w:val="18"/>
              </w:rPr>
            </w:pPr>
            <w:r w:rsidRPr="0051446F">
              <w:rPr>
                <w:rFonts w:eastAsia="宋体" w:cs="Arial"/>
                <w:color w:val="FF0000"/>
                <w:kern w:val="0"/>
                <w:szCs w:val="18"/>
              </w:rPr>
              <w:t>-0.03%</w:t>
            </w:r>
          </w:p>
        </w:tc>
      </w:tr>
      <w:tr w:rsidR="0051446F" w:rsidRPr="0051446F" w:rsidTr="0051446F">
        <w:trPr>
          <w:trHeight w:val="285"/>
        </w:trPr>
        <w:tc>
          <w:tcPr>
            <w:tcW w:w="1153"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ascii="宋体" w:eastAsia="宋体" w:hAnsi="宋体" w:cs="宋体"/>
                <w:b/>
                <w:bCs/>
                <w:color w:val="000000"/>
                <w:kern w:val="0"/>
                <w:szCs w:val="18"/>
              </w:rPr>
            </w:pPr>
            <w:r w:rsidRPr="0051446F">
              <w:rPr>
                <w:rFonts w:ascii="宋体" w:eastAsia="宋体" w:hAnsi="宋体" w:cs="宋体" w:hint="eastAsia"/>
                <w:b/>
                <w:bCs/>
                <w:color w:val="000000"/>
                <w:kern w:val="0"/>
                <w:szCs w:val="18"/>
              </w:rPr>
              <w:t>沪深300</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FF0000"/>
                <w:kern w:val="0"/>
                <w:szCs w:val="18"/>
              </w:rPr>
            </w:pPr>
            <w:r w:rsidRPr="0051446F">
              <w:rPr>
                <w:rFonts w:eastAsia="宋体" w:cs="Arial"/>
                <w:color w:val="FF0000"/>
                <w:kern w:val="0"/>
                <w:szCs w:val="18"/>
              </w:rPr>
              <w:t>-2.81%</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4.03%</w:t>
            </w:r>
          </w:p>
        </w:tc>
        <w:tc>
          <w:tcPr>
            <w:tcW w:w="671"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13.39%</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17.25%</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1.91%</w:t>
            </w:r>
          </w:p>
        </w:tc>
        <w:tc>
          <w:tcPr>
            <w:tcW w:w="635" w:type="pct"/>
            <w:tcBorders>
              <w:top w:val="nil"/>
              <w:left w:val="nil"/>
              <w:bottom w:val="single" w:sz="8" w:space="0" w:color="00A0E9"/>
            </w:tcBorders>
            <w:shd w:val="clear" w:color="auto" w:fill="auto"/>
            <w:vAlign w:val="center"/>
            <w:hideMark/>
          </w:tcPr>
          <w:p w:rsidR="0051446F" w:rsidRPr="0051446F" w:rsidRDefault="0051446F" w:rsidP="0051446F">
            <w:pPr>
              <w:widowControl/>
              <w:jc w:val="center"/>
              <w:rPr>
                <w:rFonts w:eastAsia="宋体" w:cs="Arial"/>
                <w:color w:val="FF0000"/>
                <w:kern w:val="0"/>
                <w:szCs w:val="18"/>
              </w:rPr>
            </w:pPr>
            <w:r w:rsidRPr="0051446F">
              <w:rPr>
                <w:rFonts w:eastAsia="宋体" w:cs="Arial"/>
                <w:color w:val="FF0000"/>
                <w:kern w:val="0"/>
                <w:szCs w:val="18"/>
              </w:rPr>
              <w:t>-7.60%</w:t>
            </w:r>
          </w:p>
        </w:tc>
      </w:tr>
      <w:tr w:rsidR="0051446F" w:rsidRPr="0051446F" w:rsidTr="0051446F">
        <w:trPr>
          <w:trHeight w:val="285"/>
        </w:trPr>
        <w:tc>
          <w:tcPr>
            <w:tcW w:w="1153"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ascii="宋体" w:eastAsia="宋体" w:hAnsi="宋体" w:cs="宋体"/>
                <w:b/>
                <w:bCs/>
                <w:color w:val="000000"/>
                <w:kern w:val="0"/>
                <w:szCs w:val="18"/>
              </w:rPr>
            </w:pPr>
            <w:r w:rsidRPr="0051446F">
              <w:rPr>
                <w:rFonts w:ascii="宋体" w:eastAsia="宋体" w:hAnsi="宋体" w:cs="宋体" w:hint="eastAsia"/>
                <w:b/>
                <w:bCs/>
                <w:color w:val="000000"/>
                <w:kern w:val="0"/>
                <w:szCs w:val="18"/>
              </w:rPr>
              <w:t>中小板指</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10.72%</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9.66%</w:t>
            </w:r>
          </w:p>
        </w:tc>
        <w:tc>
          <w:tcPr>
            <w:tcW w:w="671"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20.74%</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9.63%</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25.01%</w:t>
            </w:r>
          </w:p>
        </w:tc>
        <w:tc>
          <w:tcPr>
            <w:tcW w:w="635" w:type="pct"/>
            <w:tcBorders>
              <w:top w:val="nil"/>
              <w:left w:val="nil"/>
              <w:bottom w:val="single" w:sz="8" w:space="0" w:color="00A0E9"/>
            </w:tcBorders>
            <w:shd w:val="clear" w:color="auto" w:fill="auto"/>
            <w:vAlign w:val="center"/>
            <w:hideMark/>
          </w:tcPr>
          <w:p w:rsidR="0051446F" w:rsidRPr="0051446F" w:rsidRDefault="0051446F" w:rsidP="0051446F">
            <w:pPr>
              <w:widowControl/>
              <w:jc w:val="center"/>
              <w:rPr>
                <w:rFonts w:eastAsia="宋体" w:cs="Arial"/>
                <w:color w:val="FF0000"/>
                <w:kern w:val="0"/>
                <w:szCs w:val="18"/>
              </w:rPr>
            </w:pPr>
            <w:r w:rsidRPr="0051446F">
              <w:rPr>
                <w:rFonts w:eastAsia="宋体" w:cs="Arial"/>
                <w:color w:val="FF0000"/>
                <w:kern w:val="0"/>
                <w:szCs w:val="18"/>
              </w:rPr>
              <w:t>-15.86%</w:t>
            </w:r>
          </w:p>
        </w:tc>
      </w:tr>
      <w:tr w:rsidR="0051446F" w:rsidRPr="0051446F" w:rsidTr="0051446F">
        <w:trPr>
          <w:trHeight w:val="285"/>
        </w:trPr>
        <w:tc>
          <w:tcPr>
            <w:tcW w:w="1153"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ascii="宋体" w:eastAsia="宋体" w:hAnsi="宋体" w:cs="宋体"/>
                <w:b/>
                <w:bCs/>
                <w:color w:val="000000"/>
                <w:kern w:val="0"/>
                <w:szCs w:val="18"/>
              </w:rPr>
            </w:pPr>
            <w:r w:rsidRPr="0051446F">
              <w:rPr>
                <w:rFonts w:ascii="宋体" w:eastAsia="宋体" w:hAnsi="宋体" w:cs="宋体" w:hint="eastAsia"/>
                <w:b/>
                <w:bCs/>
                <w:color w:val="000000"/>
                <w:kern w:val="0"/>
                <w:szCs w:val="18"/>
              </w:rPr>
              <w:t>创业板指</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14.19%</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14.72%</w:t>
            </w:r>
          </w:p>
        </w:tc>
        <w:tc>
          <w:tcPr>
            <w:tcW w:w="671"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21.12%</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22.38%</w:t>
            </w:r>
          </w:p>
        </w:tc>
        <w:tc>
          <w:tcPr>
            <w:tcW w:w="635" w:type="pct"/>
            <w:tcBorders>
              <w:top w:val="nil"/>
              <w:left w:val="nil"/>
              <w:bottom w:val="single" w:sz="8" w:space="0" w:color="00A0E9"/>
              <w:right w:val="single" w:sz="8" w:space="0" w:color="00A0E9"/>
            </w:tcBorders>
            <w:shd w:val="clear" w:color="auto" w:fill="auto"/>
            <w:vAlign w:val="center"/>
            <w:hideMark/>
          </w:tcPr>
          <w:p w:rsidR="0051446F" w:rsidRPr="0051446F" w:rsidRDefault="0051446F" w:rsidP="0051446F">
            <w:pPr>
              <w:widowControl/>
              <w:jc w:val="center"/>
              <w:rPr>
                <w:rFonts w:eastAsia="宋体" w:cs="Arial"/>
                <w:color w:val="000000"/>
                <w:kern w:val="0"/>
                <w:szCs w:val="18"/>
              </w:rPr>
            </w:pPr>
            <w:r w:rsidRPr="0051446F">
              <w:rPr>
                <w:rFonts w:eastAsia="宋体" w:cs="Arial"/>
                <w:color w:val="000000"/>
                <w:kern w:val="0"/>
                <w:szCs w:val="18"/>
              </w:rPr>
              <w:t>23.97%</w:t>
            </w:r>
          </w:p>
        </w:tc>
        <w:tc>
          <w:tcPr>
            <w:tcW w:w="635" w:type="pct"/>
            <w:tcBorders>
              <w:top w:val="nil"/>
              <w:left w:val="nil"/>
              <w:bottom w:val="single" w:sz="8" w:space="0" w:color="00A0E9"/>
            </w:tcBorders>
            <w:shd w:val="clear" w:color="auto" w:fill="auto"/>
            <w:vAlign w:val="center"/>
            <w:hideMark/>
          </w:tcPr>
          <w:p w:rsidR="0051446F" w:rsidRPr="0051446F" w:rsidRDefault="0051446F" w:rsidP="0051446F">
            <w:pPr>
              <w:widowControl/>
              <w:jc w:val="center"/>
              <w:rPr>
                <w:rFonts w:eastAsia="宋体" w:cs="Arial"/>
                <w:color w:val="FF0000"/>
                <w:kern w:val="0"/>
                <w:szCs w:val="18"/>
              </w:rPr>
            </w:pPr>
            <w:r w:rsidRPr="0051446F">
              <w:rPr>
                <w:rFonts w:eastAsia="宋体" w:cs="Arial"/>
                <w:color w:val="FF0000"/>
                <w:kern w:val="0"/>
                <w:szCs w:val="18"/>
              </w:rPr>
              <w:t>-19.31%</w:t>
            </w:r>
          </w:p>
        </w:tc>
      </w:tr>
      <w:tr w:rsidR="0051446F" w:rsidRPr="0051446F" w:rsidTr="0051446F">
        <w:trPr>
          <w:trHeight w:val="270"/>
        </w:trPr>
        <w:tc>
          <w:tcPr>
            <w:tcW w:w="5000" w:type="pct"/>
            <w:gridSpan w:val="7"/>
            <w:tcBorders>
              <w:top w:val="single" w:sz="8" w:space="0" w:color="00A0E9"/>
              <w:left w:val="nil"/>
              <w:bottom w:val="nil"/>
              <w:right w:val="nil"/>
            </w:tcBorders>
            <w:shd w:val="clear" w:color="auto" w:fill="auto"/>
            <w:vAlign w:val="center"/>
            <w:hideMark/>
          </w:tcPr>
          <w:p w:rsidR="0051446F" w:rsidRPr="0051446F" w:rsidRDefault="0051446F" w:rsidP="0051446F">
            <w:pPr>
              <w:widowControl/>
              <w:jc w:val="left"/>
              <w:rPr>
                <w:rFonts w:ascii="楷体_GB2312" w:hAnsi="宋体" w:cs="宋体"/>
                <w:color w:val="000000"/>
                <w:kern w:val="0"/>
                <w:sz w:val="15"/>
                <w:szCs w:val="15"/>
              </w:rPr>
            </w:pPr>
            <w:r w:rsidRPr="0051446F">
              <w:rPr>
                <w:rFonts w:ascii="楷体_GB2312" w:hAnsi="宋体" w:cs="宋体" w:hint="eastAsia"/>
                <w:color w:val="000000"/>
                <w:kern w:val="0"/>
                <w:sz w:val="15"/>
                <w:szCs w:val="15"/>
              </w:rPr>
              <w:t>来源：国金证券研究所</w:t>
            </w:r>
            <w:r w:rsidRPr="0051446F">
              <w:rPr>
                <w:rFonts w:cs="Arial"/>
                <w:color w:val="000000"/>
                <w:kern w:val="0"/>
                <w:sz w:val="15"/>
                <w:szCs w:val="15"/>
              </w:rPr>
              <w:t xml:space="preserve"> </w:t>
            </w:r>
          </w:p>
        </w:tc>
      </w:tr>
    </w:tbl>
    <w:p w:rsidR="00F91C7C" w:rsidRPr="00E54B00" w:rsidRDefault="00F91C7C" w:rsidP="00F91C7C">
      <w:pPr>
        <w:pStyle w:val="14"/>
        <w:ind w:leftChars="1890"/>
        <w:rPr>
          <w:color w:val="auto"/>
        </w:rPr>
      </w:pPr>
      <w:r w:rsidRPr="005147A7">
        <w:rPr>
          <w:rFonts w:hint="eastAsia"/>
          <w:color w:val="auto"/>
        </w:rPr>
        <w:lastRenderedPageBreak/>
        <w:t>第</w:t>
      </w:r>
      <w:r>
        <w:rPr>
          <w:rFonts w:hint="eastAsia"/>
          <w:color w:val="auto"/>
        </w:rPr>
        <w:t>二</w:t>
      </w:r>
      <w:r w:rsidRPr="005147A7">
        <w:rPr>
          <w:rFonts w:hint="eastAsia"/>
          <w:color w:val="auto"/>
        </w:rPr>
        <w:t>部分</w:t>
      </w:r>
      <w:r>
        <w:rPr>
          <w:rFonts w:hint="eastAsia"/>
          <w:color w:val="auto"/>
        </w:rPr>
        <w:t>：</w:t>
      </w:r>
      <w:r w:rsidRPr="00DA7A5F">
        <w:rPr>
          <w:rFonts w:hint="eastAsia"/>
          <w:color w:val="auto"/>
        </w:rPr>
        <w:t>中长期投连险账户风险收益特征分析</w:t>
      </w:r>
    </w:p>
    <w:p w:rsidR="00F91C7C" w:rsidRDefault="00F91C7C" w:rsidP="00F91C7C">
      <w:pPr>
        <w:pStyle w:val="a0"/>
        <w:numPr>
          <w:ilvl w:val="4"/>
          <w:numId w:val="3"/>
        </w:numPr>
        <w:rPr>
          <w:color w:val="auto"/>
        </w:rPr>
      </w:pPr>
      <w:r>
        <w:rPr>
          <w:rFonts w:hint="eastAsia"/>
          <w:color w:val="auto"/>
        </w:rPr>
        <w:t>以下对设立期限较长账户过去一年、两年、三年这三个统计</w:t>
      </w:r>
      <w:r w:rsidR="00B328D8">
        <w:rPr>
          <w:rFonts w:hint="eastAsia"/>
          <w:color w:val="auto"/>
        </w:rPr>
        <w:t>区间的风险收益指标进行统计，综合考察投连险账户对市场的适应能力</w:t>
      </w:r>
      <w:r>
        <w:rPr>
          <w:rFonts w:hint="eastAsia"/>
          <w:color w:val="auto"/>
        </w:rPr>
        <w:t>及风险控制能力。</w:t>
      </w:r>
    </w:p>
    <w:p w:rsidR="00F91C7C" w:rsidRDefault="00F91C7C" w:rsidP="00F91C7C">
      <w:pPr>
        <w:pStyle w:val="a0"/>
        <w:numPr>
          <w:ilvl w:val="4"/>
          <w:numId w:val="3"/>
        </w:numPr>
        <w:rPr>
          <w:color w:val="auto"/>
        </w:rPr>
      </w:pPr>
      <w:r>
        <w:rPr>
          <w:rFonts w:hint="eastAsia"/>
          <w:color w:val="auto"/>
        </w:rPr>
        <w:t>图表</w:t>
      </w:r>
      <w:r w:rsidR="00D004D6">
        <w:rPr>
          <w:rFonts w:hint="eastAsia"/>
          <w:color w:val="auto"/>
        </w:rPr>
        <w:t>5</w:t>
      </w:r>
      <w:r>
        <w:rPr>
          <w:rFonts w:hint="eastAsia"/>
          <w:color w:val="auto"/>
        </w:rPr>
        <w:t>显示了投连险各类账户近一年、两年、三年考察时段的收益指标。</w:t>
      </w:r>
      <w:r w:rsidRPr="00971CC3">
        <w:rPr>
          <w:rFonts w:hint="eastAsia"/>
          <w:color w:val="auto"/>
        </w:rPr>
        <w:t>近一年</w:t>
      </w:r>
      <w:r w:rsidR="00B328D8">
        <w:rPr>
          <w:rFonts w:hint="eastAsia"/>
          <w:color w:val="auto"/>
        </w:rPr>
        <w:t>，沪深</w:t>
      </w:r>
      <w:r w:rsidR="00B328D8">
        <w:rPr>
          <w:rFonts w:hint="eastAsia"/>
          <w:color w:val="auto"/>
        </w:rPr>
        <w:t>300</w:t>
      </w:r>
      <w:r w:rsidR="00B328D8">
        <w:rPr>
          <w:rFonts w:hint="eastAsia"/>
          <w:color w:val="auto"/>
        </w:rPr>
        <w:t>和中证</w:t>
      </w:r>
      <w:r w:rsidR="00B328D8">
        <w:rPr>
          <w:rFonts w:hint="eastAsia"/>
          <w:color w:val="auto"/>
        </w:rPr>
        <w:t>500</w:t>
      </w:r>
      <w:r w:rsidR="00B328D8">
        <w:rPr>
          <w:rFonts w:hint="eastAsia"/>
          <w:color w:val="auto"/>
        </w:rPr>
        <w:t>分别上涨</w:t>
      </w:r>
      <w:r w:rsidR="00B328D8">
        <w:rPr>
          <w:rFonts w:hint="eastAsia"/>
          <w:color w:val="auto"/>
        </w:rPr>
        <w:t>106.59</w:t>
      </w:r>
      <w:r w:rsidR="00220736">
        <w:rPr>
          <w:rFonts w:hint="eastAsia"/>
          <w:color w:val="auto"/>
        </w:rPr>
        <w:t>%</w:t>
      </w:r>
      <w:r w:rsidR="00B328D8">
        <w:rPr>
          <w:rFonts w:hint="eastAsia"/>
          <w:color w:val="auto"/>
        </w:rPr>
        <w:t>和</w:t>
      </w:r>
      <w:r w:rsidR="00B328D8">
        <w:rPr>
          <w:rFonts w:hint="eastAsia"/>
          <w:color w:val="auto"/>
        </w:rPr>
        <w:t>126.91%</w:t>
      </w:r>
      <w:r w:rsidR="00B328D8">
        <w:rPr>
          <w:rFonts w:hint="eastAsia"/>
          <w:color w:val="auto"/>
        </w:rPr>
        <w:t>，</w:t>
      </w:r>
      <w:r>
        <w:rPr>
          <w:rFonts w:hint="eastAsia"/>
          <w:color w:val="auto"/>
        </w:rPr>
        <w:t>各类投连险账户平均收益率均为正</w:t>
      </w:r>
      <w:r w:rsidR="00B328D8">
        <w:rPr>
          <w:rFonts w:hint="eastAsia"/>
          <w:color w:val="auto"/>
        </w:rPr>
        <w:t>，偏股类账户表现优于偏债类账户。偏股类账户中，</w:t>
      </w:r>
      <w:r>
        <w:rPr>
          <w:rFonts w:hint="eastAsia"/>
          <w:color w:val="auto"/>
        </w:rPr>
        <w:t>股票</w:t>
      </w:r>
      <w:r>
        <w:rPr>
          <w:rFonts w:hint="eastAsia"/>
          <w:color w:val="auto"/>
        </w:rPr>
        <w:t>-</w:t>
      </w:r>
      <w:r>
        <w:rPr>
          <w:rFonts w:hint="eastAsia"/>
          <w:color w:val="auto"/>
        </w:rPr>
        <w:t>指数型账户受益于</w:t>
      </w:r>
      <w:r w:rsidR="00716F61">
        <w:rPr>
          <w:rFonts w:hint="eastAsia"/>
          <w:color w:val="auto"/>
        </w:rPr>
        <w:t>大盘</w:t>
      </w:r>
      <w:r>
        <w:rPr>
          <w:rFonts w:hint="eastAsia"/>
          <w:color w:val="auto"/>
        </w:rPr>
        <w:t>指数的上扬，平均</w:t>
      </w:r>
      <w:r w:rsidR="00756A77">
        <w:rPr>
          <w:rFonts w:hint="eastAsia"/>
          <w:color w:val="auto"/>
        </w:rPr>
        <w:t>收益最高，</w:t>
      </w:r>
      <w:r w:rsidR="00216D2E">
        <w:rPr>
          <w:rFonts w:hint="eastAsia"/>
          <w:color w:val="auto"/>
        </w:rPr>
        <w:t>为</w:t>
      </w:r>
      <w:r w:rsidR="00B328D8">
        <w:rPr>
          <w:rFonts w:hint="eastAsia"/>
          <w:color w:val="auto"/>
        </w:rPr>
        <w:t>98.85%</w:t>
      </w:r>
      <w:r w:rsidR="00B328D8">
        <w:rPr>
          <w:rFonts w:hint="eastAsia"/>
          <w:color w:val="auto"/>
        </w:rPr>
        <w:t>；股票型账户受累于中小盘股近一月的大幅下挫，近一年表现不及股票</w:t>
      </w:r>
      <w:r w:rsidR="00B328D8">
        <w:rPr>
          <w:rFonts w:hint="eastAsia"/>
          <w:color w:val="auto"/>
        </w:rPr>
        <w:t>-</w:t>
      </w:r>
      <w:r w:rsidR="00B328D8">
        <w:rPr>
          <w:rFonts w:hint="eastAsia"/>
          <w:color w:val="auto"/>
        </w:rPr>
        <w:t>指数型</w:t>
      </w:r>
      <w:r w:rsidR="00756A77">
        <w:rPr>
          <w:rFonts w:hint="eastAsia"/>
          <w:color w:val="auto"/>
        </w:rPr>
        <w:t>。</w:t>
      </w:r>
      <w:r>
        <w:rPr>
          <w:rFonts w:hint="eastAsia"/>
          <w:color w:val="auto"/>
        </w:rPr>
        <w:t>近两年</w:t>
      </w:r>
      <w:r w:rsidR="00B328D8">
        <w:rPr>
          <w:rFonts w:hint="eastAsia"/>
          <w:color w:val="auto"/>
        </w:rPr>
        <w:t>，沪深</w:t>
      </w:r>
      <w:r w:rsidR="00B328D8">
        <w:rPr>
          <w:rFonts w:hint="eastAsia"/>
          <w:color w:val="auto"/>
        </w:rPr>
        <w:t>300</w:t>
      </w:r>
      <w:r w:rsidR="00B328D8">
        <w:rPr>
          <w:rFonts w:hint="eastAsia"/>
          <w:color w:val="auto"/>
        </w:rPr>
        <w:t>和中证</w:t>
      </w:r>
      <w:r w:rsidR="00B328D8">
        <w:rPr>
          <w:rFonts w:hint="eastAsia"/>
          <w:color w:val="auto"/>
        </w:rPr>
        <w:t>500</w:t>
      </w:r>
      <w:r w:rsidR="00B328D8">
        <w:rPr>
          <w:rFonts w:hint="eastAsia"/>
          <w:color w:val="auto"/>
        </w:rPr>
        <w:t>分别上涨</w:t>
      </w:r>
      <w:r w:rsidR="00B328D8">
        <w:rPr>
          <w:rFonts w:hint="eastAsia"/>
          <w:color w:val="auto"/>
        </w:rPr>
        <w:t>103.26%</w:t>
      </w:r>
      <w:r w:rsidR="00B328D8">
        <w:rPr>
          <w:rFonts w:hint="eastAsia"/>
          <w:color w:val="auto"/>
        </w:rPr>
        <w:t>和</w:t>
      </w:r>
      <w:r w:rsidR="00B328D8">
        <w:rPr>
          <w:rFonts w:hint="eastAsia"/>
          <w:color w:val="auto"/>
        </w:rPr>
        <w:t>175.22%</w:t>
      </w:r>
      <w:r w:rsidR="00B328D8">
        <w:rPr>
          <w:rFonts w:hint="eastAsia"/>
          <w:color w:val="auto"/>
        </w:rPr>
        <w:t>，各类投连险账户平均收益率均为正，偏股类账户表现优于偏债类账户。偏股类账户中，股票型和股票</w:t>
      </w:r>
      <w:r w:rsidR="00B328D8">
        <w:rPr>
          <w:rFonts w:hint="eastAsia"/>
          <w:color w:val="auto"/>
        </w:rPr>
        <w:t>-</w:t>
      </w:r>
      <w:r w:rsidR="00B328D8">
        <w:rPr>
          <w:rFonts w:hint="eastAsia"/>
          <w:color w:val="auto"/>
        </w:rPr>
        <w:t>指数型账户的收益率相当。</w:t>
      </w:r>
      <w:r w:rsidR="00756A77">
        <w:rPr>
          <w:rFonts w:hint="eastAsia"/>
          <w:color w:val="auto"/>
        </w:rPr>
        <w:t>近三年</w:t>
      </w:r>
      <w:r>
        <w:rPr>
          <w:rFonts w:hint="eastAsia"/>
          <w:color w:val="auto"/>
        </w:rPr>
        <w:t>，沪深</w:t>
      </w:r>
      <w:r>
        <w:rPr>
          <w:rFonts w:hint="eastAsia"/>
          <w:color w:val="auto"/>
        </w:rPr>
        <w:t>300</w:t>
      </w:r>
      <w:r w:rsidR="00B328D8">
        <w:rPr>
          <w:rFonts w:hint="eastAsia"/>
          <w:color w:val="auto"/>
        </w:rPr>
        <w:t>和中证</w:t>
      </w:r>
      <w:r w:rsidR="00B328D8">
        <w:rPr>
          <w:rFonts w:hint="eastAsia"/>
          <w:color w:val="auto"/>
        </w:rPr>
        <w:t>500</w:t>
      </w:r>
      <w:r w:rsidR="00B328D8">
        <w:rPr>
          <w:rFonts w:hint="eastAsia"/>
          <w:color w:val="auto"/>
        </w:rPr>
        <w:t>分别</w:t>
      </w:r>
      <w:r w:rsidR="009108A3">
        <w:rPr>
          <w:rFonts w:hint="eastAsia"/>
          <w:color w:val="auto"/>
        </w:rPr>
        <w:t>上涨</w:t>
      </w:r>
      <w:r w:rsidR="00B328D8">
        <w:rPr>
          <w:rFonts w:hint="eastAsia"/>
          <w:color w:val="auto"/>
        </w:rPr>
        <w:t>81.71</w:t>
      </w:r>
      <w:r w:rsidR="009108A3">
        <w:rPr>
          <w:rFonts w:hint="eastAsia"/>
          <w:color w:val="auto"/>
        </w:rPr>
        <w:t>%</w:t>
      </w:r>
      <w:r w:rsidR="00B328D8">
        <w:rPr>
          <w:rFonts w:hint="eastAsia"/>
          <w:color w:val="auto"/>
        </w:rPr>
        <w:t>和</w:t>
      </w:r>
      <w:r w:rsidR="00B328D8">
        <w:rPr>
          <w:rFonts w:hint="eastAsia"/>
          <w:color w:val="auto"/>
        </w:rPr>
        <w:t>156.59%</w:t>
      </w:r>
      <w:r w:rsidR="00004957">
        <w:rPr>
          <w:rFonts w:hint="eastAsia"/>
          <w:color w:val="auto"/>
        </w:rPr>
        <w:t>，</w:t>
      </w:r>
      <w:r w:rsidR="00D004D6">
        <w:rPr>
          <w:rFonts w:hint="eastAsia"/>
          <w:color w:val="auto"/>
        </w:rPr>
        <w:t>各类投连险账户平均收益率均为正</w:t>
      </w:r>
      <w:r w:rsidR="00B328D8">
        <w:rPr>
          <w:rFonts w:hint="eastAsia"/>
          <w:color w:val="auto"/>
        </w:rPr>
        <w:t>，偏股类账户表现优于偏债类</w:t>
      </w:r>
      <w:r w:rsidR="00D004D6">
        <w:rPr>
          <w:rFonts w:hint="eastAsia"/>
          <w:color w:val="auto"/>
        </w:rPr>
        <w:t>。</w:t>
      </w:r>
      <w:r w:rsidR="00B328D8">
        <w:rPr>
          <w:rFonts w:hint="eastAsia"/>
          <w:color w:val="auto"/>
        </w:rPr>
        <w:t>偏股类账户</w:t>
      </w:r>
      <w:r w:rsidR="00D004D6">
        <w:rPr>
          <w:rFonts w:hint="eastAsia"/>
          <w:color w:val="auto"/>
        </w:rPr>
        <w:t>中，</w:t>
      </w:r>
      <w:r w:rsidR="00756A77">
        <w:rPr>
          <w:rFonts w:hint="eastAsia"/>
          <w:color w:val="auto"/>
        </w:rPr>
        <w:t>股票型账户表现优于股票</w:t>
      </w:r>
      <w:r w:rsidR="00756A77">
        <w:rPr>
          <w:rFonts w:hint="eastAsia"/>
          <w:color w:val="auto"/>
        </w:rPr>
        <w:t>-</w:t>
      </w:r>
      <w:r w:rsidR="00756A77">
        <w:rPr>
          <w:rFonts w:hint="eastAsia"/>
          <w:color w:val="auto"/>
        </w:rPr>
        <w:t>指数型。</w:t>
      </w:r>
    </w:p>
    <w:tbl>
      <w:tblPr>
        <w:tblW w:w="5000" w:type="pct"/>
        <w:tblLook w:val="04A0" w:firstRow="1" w:lastRow="0" w:firstColumn="1" w:lastColumn="0" w:noHBand="0" w:noVBand="1"/>
      </w:tblPr>
      <w:tblGrid>
        <w:gridCol w:w="1543"/>
        <w:gridCol w:w="1081"/>
        <w:gridCol w:w="1085"/>
        <w:gridCol w:w="1081"/>
        <w:gridCol w:w="1083"/>
        <w:gridCol w:w="1085"/>
        <w:gridCol w:w="964"/>
        <w:gridCol w:w="1057"/>
        <w:gridCol w:w="1085"/>
        <w:gridCol w:w="811"/>
      </w:tblGrid>
      <w:tr w:rsidR="00F91C7C" w:rsidRPr="00D5118B" w:rsidTr="00E1278A">
        <w:trPr>
          <w:trHeight w:val="198"/>
        </w:trPr>
        <w:tc>
          <w:tcPr>
            <w:tcW w:w="5000" w:type="pct"/>
            <w:gridSpan w:val="10"/>
            <w:tcBorders>
              <w:top w:val="single" w:sz="4" w:space="0" w:color="3399FF"/>
              <w:left w:val="nil"/>
              <w:bottom w:val="single" w:sz="4" w:space="0" w:color="33CCFF"/>
              <w:right w:val="nil"/>
            </w:tcBorders>
            <w:shd w:val="clear" w:color="auto" w:fill="auto"/>
            <w:hideMark/>
          </w:tcPr>
          <w:p w:rsidR="00F91C7C" w:rsidRPr="00D5118B" w:rsidRDefault="00F91C7C" w:rsidP="00B54652">
            <w:pPr>
              <w:jc w:val="left"/>
              <w:rPr>
                <w:rFonts w:ascii="楷体_GB2312" w:hAnsi="宋体" w:cs="宋体"/>
                <w:b/>
                <w:bCs/>
                <w:i/>
                <w:iCs/>
                <w:color w:val="000000"/>
                <w:sz w:val="21"/>
                <w:szCs w:val="21"/>
              </w:rPr>
            </w:pPr>
            <w:r w:rsidRPr="00D5118B">
              <w:rPr>
                <w:rFonts w:ascii="楷体_GB2312" w:hAnsi="宋体" w:cs="宋体" w:hint="eastAsia"/>
                <w:b/>
                <w:bCs/>
                <w:i/>
                <w:iCs/>
                <w:color w:val="000000"/>
                <w:sz w:val="21"/>
                <w:szCs w:val="21"/>
              </w:rPr>
              <w:t>图表</w:t>
            </w:r>
            <w:r w:rsidR="00B54652">
              <w:rPr>
                <w:rFonts w:cs="Arial" w:hint="eastAsia"/>
                <w:b/>
                <w:bCs/>
                <w:i/>
                <w:iCs/>
                <w:color w:val="000000"/>
                <w:sz w:val="21"/>
                <w:szCs w:val="21"/>
              </w:rPr>
              <w:t>5</w:t>
            </w:r>
            <w:r w:rsidRPr="00D5118B">
              <w:rPr>
                <w:rFonts w:ascii="楷体_GB2312" w:hAnsi="宋体" w:cs="宋体" w:hint="eastAsia"/>
                <w:b/>
                <w:bCs/>
                <w:i/>
                <w:iCs/>
                <w:color w:val="000000"/>
                <w:sz w:val="21"/>
                <w:szCs w:val="21"/>
              </w:rPr>
              <w:t>：投连险账户收益特征</w:t>
            </w:r>
          </w:p>
        </w:tc>
      </w:tr>
      <w:tr w:rsidR="00216D2E" w:rsidRPr="00D5118B" w:rsidTr="0016178D">
        <w:trPr>
          <w:trHeight w:val="285"/>
        </w:trPr>
        <w:tc>
          <w:tcPr>
            <w:tcW w:w="709" w:type="pct"/>
            <w:tcBorders>
              <w:top w:val="single" w:sz="4" w:space="0" w:color="3399FF"/>
              <w:left w:val="nil"/>
              <w:bottom w:val="single" w:sz="4" w:space="0" w:color="3399FF"/>
              <w:right w:val="single" w:sz="4" w:space="0" w:color="3399FF"/>
            </w:tcBorders>
            <w:shd w:val="clear" w:color="auto" w:fill="auto"/>
            <w:vAlign w:val="center"/>
            <w:hideMark/>
          </w:tcPr>
          <w:p w:rsidR="00F91C7C" w:rsidRPr="00D5118B" w:rsidRDefault="00F91C7C" w:rsidP="00E1278A">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 xml:space="preserve">　</w:t>
            </w:r>
          </w:p>
        </w:tc>
        <w:tc>
          <w:tcPr>
            <w:tcW w:w="1493" w:type="pct"/>
            <w:gridSpan w:val="3"/>
            <w:tcBorders>
              <w:top w:val="single" w:sz="4" w:space="0" w:color="3399FF"/>
              <w:left w:val="single" w:sz="4" w:space="0" w:color="3399FF"/>
              <w:bottom w:val="single" w:sz="4" w:space="0" w:color="3399FF"/>
              <w:right w:val="single" w:sz="4" w:space="0" w:color="3399FF"/>
            </w:tcBorders>
            <w:shd w:val="clear" w:color="auto" w:fill="auto"/>
            <w:vAlign w:val="center"/>
            <w:hideMark/>
          </w:tcPr>
          <w:p w:rsidR="00F91C7C" w:rsidRPr="00D5118B" w:rsidRDefault="00F91C7C" w:rsidP="00E1278A">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近一年</w:t>
            </w:r>
          </w:p>
        </w:tc>
        <w:tc>
          <w:tcPr>
            <w:tcW w:w="1440" w:type="pct"/>
            <w:gridSpan w:val="3"/>
            <w:tcBorders>
              <w:top w:val="single" w:sz="4" w:space="0" w:color="3399FF"/>
              <w:left w:val="single" w:sz="4" w:space="0" w:color="3399FF"/>
              <w:bottom w:val="single" w:sz="4" w:space="0" w:color="3399FF"/>
              <w:right w:val="single" w:sz="4" w:space="0" w:color="3399FF"/>
            </w:tcBorders>
            <w:shd w:val="clear" w:color="auto" w:fill="auto"/>
            <w:vAlign w:val="center"/>
            <w:hideMark/>
          </w:tcPr>
          <w:p w:rsidR="00F91C7C" w:rsidRPr="00D5118B" w:rsidRDefault="00F91C7C" w:rsidP="00E1278A">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近两年</w:t>
            </w:r>
          </w:p>
        </w:tc>
        <w:tc>
          <w:tcPr>
            <w:tcW w:w="1359" w:type="pct"/>
            <w:gridSpan w:val="3"/>
            <w:tcBorders>
              <w:top w:val="single" w:sz="4" w:space="0" w:color="3399FF"/>
              <w:left w:val="single" w:sz="4" w:space="0" w:color="3399FF"/>
              <w:bottom w:val="single" w:sz="4" w:space="0" w:color="3399FF"/>
              <w:right w:val="nil"/>
            </w:tcBorders>
            <w:shd w:val="clear" w:color="auto" w:fill="auto"/>
            <w:vAlign w:val="center"/>
            <w:hideMark/>
          </w:tcPr>
          <w:p w:rsidR="00F91C7C" w:rsidRPr="00D5118B" w:rsidRDefault="00F91C7C" w:rsidP="00E1278A">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近三年</w:t>
            </w:r>
          </w:p>
        </w:tc>
      </w:tr>
      <w:tr w:rsidR="0016178D" w:rsidRPr="00D5118B" w:rsidTr="0016178D">
        <w:trPr>
          <w:trHeight w:val="285"/>
        </w:trPr>
        <w:tc>
          <w:tcPr>
            <w:tcW w:w="709" w:type="pct"/>
            <w:tcBorders>
              <w:top w:val="single" w:sz="4" w:space="0" w:color="3399FF"/>
              <w:left w:val="nil"/>
              <w:bottom w:val="single" w:sz="4" w:space="0" w:color="3399FF"/>
              <w:right w:val="single" w:sz="4" w:space="0" w:color="3399FF"/>
            </w:tcBorders>
            <w:shd w:val="clear" w:color="auto" w:fill="auto"/>
            <w:vAlign w:val="center"/>
            <w:hideMark/>
          </w:tcPr>
          <w:p w:rsidR="00F91C7C" w:rsidRPr="00D5118B" w:rsidRDefault="00F91C7C" w:rsidP="00E1278A">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 xml:space="preserve">　</w:t>
            </w:r>
          </w:p>
        </w:tc>
        <w:tc>
          <w:tcPr>
            <w:tcW w:w="497" w:type="pct"/>
            <w:tcBorders>
              <w:top w:val="single" w:sz="4" w:space="0" w:color="3399FF"/>
              <w:left w:val="single" w:sz="4" w:space="0" w:color="3399FF"/>
              <w:bottom w:val="single" w:sz="4" w:space="0" w:color="3399FF"/>
              <w:right w:val="single" w:sz="4" w:space="0" w:color="3399FF"/>
            </w:tcBorders>
            <w:shd w:val="clear" w:color="auto" w:fill="auto"/>
            <w:vAlign w:val="center"/>
            <w:hideMark/>
          </w:tcPr>
          <w:p w:rsidR="00F91C7C" w:rsidRPr="00D5118B" w:rsidRDefault="00F91C7C" w:rsidP="00E1278A">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平均</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hideMark/>
          </w:tcPr>
          <w:p w:rsidR="00F91C7C" w:rsidRPr="00D5118B" w:rsidRDefault="00F91C7C" w:rsidP="00E1278A">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最高</w:t>
            </w:r>
          </w:p>
        </w:tc>
        <w:tc>
          <w:tcPr>
            <w:tcW w:w="497" w:type="pct"/>
            <w:tcBorders>
              <w:top w:val="single" w:sz="4" w:space="0" w:color="3399FF"/>
              <w:left w:val="single" w:sz="4" w:space="0" w:color="3399FF"/>
              <w:bottom w:val="single" w:sz="4" w:space="0" w:color="3399FF"/>
              <w:right w:val="single" w:sz="4" w:space="0" w:color="3399FF"/>
            </w:tcBorders>
            <w:shd w:val="clear" w:color="auto" w:fill="auto"/>
            <w:vAlign w:val="center"/>
            <w:hideMark/>
          </w:tcPr>
          <w:p w:rsidR="00F91C7C" w:rsidRPr="00D5118B" w:rsidRDefault="00F91C7C" w:rsidP="00E1278A">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最低</w:t>
            </w:r>
          </w:p>
        </w:tc>
        <w:tc>
          <w:tcPr>
            <w:tcW w:w="498" w:type="pct"/>
            <w:tcBorders>
              <w:top w:val="single" w:sz="4" w:space="0" w:color="3399FF"/>
              <w:left w:val="single" w:sz="4" w:space="0" w:color="3399FF"/>
              <w:bottom w:val="single" w:sz="4" w:space="0" w:color="3399FF"/>
              <w:right w:val="single" w:sz="4" w:space="0" w:color="3399FF"/>
            </w:tcBorders>
            <w:shd w:val="clear" w:color="auto" w:fill="auto"/>
            <w:vAlign w:val="center"/>
            <w:hideMark/>
          </w:tcPr>
          <w:p w:rsidR="00F91C7C" w:rsidRPr="00D5118B" w:rsidRDefault="00F91C7C" w:rsidP="00E1278A">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平均</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hideMark/>
          </w:tcPr>
          <w:p w:rsidR="00F91C7C" w:rsidRPr="00D5118B" w:rsidRDefault="00F91C7C" w:rsidP="00E1278A">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最高</w:t>
            </w:r>
          </w:p>
        </w:tc>
        <w:tc>
          <w:tcPr>
            <w:tcW w:w="443" w:type="pct"/>
            <w:tcBorders>
              <w:top w:val="single" w:sz="4" w:space="0" w:color="3399FF"/>
              <w:left w:val="single" w:sz="4" w:space="0" w:color="3399FF"/>
              <w:bottom w:val="single" w:sz="4" w:space="0" w:color="3399FF"/>
              <w:right w:val="single" w:sz="4" w:space="0" w:color="3399FF"/>
            </w:tcBorders>
            <w:shd w:val="clear" w:color="auto" w:fill="auto"/>
            <w:vAlign w:val="center"/>
            <w:hideMark/>
          </w:tcPr>
          <w:p w:rsidR="00F91C7C" w:rsidRPr="00D5118B" w:rsidRDefault="00F91C7C" w:rsidP="00E1278A">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最低</w:t>
            </w:r>
          </w:p>
        </w:tc>
        <w:tc>
          <w:tcPr>
            <w:tcW w:w="486" w:type="pct"/>
            <w:tcBorders>
              <w:top w:val="single" w:sz="4" w:space="0" w:color="3399FF"/>
              <w:left w:val="single" w:sz="4" w:space="0" w:color="3399FF"/>
              <w:bottom w:val="single" w:sz="4" w:space="0" w:color="3399FF"/>
              <w:right w:val="single" w:sz="4" w:space="0" w:color="3399FF"/>
            </w:tcBorders>
            <w:shd w:val="clear" w:color="auto" w:fill="auto"/>
            <w:vAlign w:val="center"/>
            <w:hideMark/>
          </w:tcPr>
          <w:p w:rsidR="00F91C7C" w:rsidRPr="00D5118B" w:rsidRDefault="00F91C7C" w:rsidP="00E1278A">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平均</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hideMark/>
          </w:tcPr>
          <w:p w:rsidR="00F91C7C" w:rsidRPr="00D5118B" w:rsidRDefault="00F91C7C" w:rsidP="00E1278A">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最高</w:t>
            </w:r>
          </w:p>
        </w:tc>
        <w:tc>
          <w:tcPr>
            <w:tcW w:w="374" w:type="pct"/>
            <w:tcBorders>
              <w:top w:val="single" w:sz="4" w:space="0" w:color="3399FF"/>
              <w:left w:val="single" w:sz="4" w:space="0" w:color="3399FF"/>
              <w:bottom w:val="single" w:sz="4" w:space="0" w:color="3399FF"/>
              <w:right w:val="nil"/>
            </w:tcBorders>
            <w:shd w:val="clear" w:color="auto" w:fill="auto"/>
            <w:vAlign w:val="center"/>
            <w:hideMark/>
          </w:tcPr>
          <w:p w:rsidR="00F91C7C" w:rsidRPr="00D5118B" w:rsidRDefault="00F91C7C" w:rsidP="00E1278A">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最低</w:t>
            </w:r>
          </w:p>
        </w:tc>
      </w:tr>
      <w:tr w:rsidR="0016178D" w:rsidRPr="00D5118B" w:rsidTr="0016178D">
        <w:trPr>
          <w:trHeight w:val="285"/>
        </w:trPr>
        <w:tc>
          <w:tcPr>
            <w:tcW w:w="709" w:type="pct"/>
            <w:tcBorders>
              <w:top w:val="single" w:sz="4" w:space="0" w:color="3399FF"/>
              <w:left w:val="nil"/>
              <w:bottom w:val="single" w:sz="4" w:space="0" w:color="3399FF"/>
              <w:right w:val="single" w:sz="4" w:space="0" w:color="3399FF"/>
            </w:tcBorders>
            <w:shd w:val="clear" w:color="auto" w:fill="auto"/>
            <w:vAlign w:val="center"/>
            <w:hideMark/>
          </w:tcPr>
          <w:p w:rsidR="0016178D" w:rsidRPr="00D5118B" w:rsidRDefault="0016178D" w:rsidP="009108A3">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股票型账户</w:t>
            </w:r>
          </w:p>
        </w:tc>
        <w:tc>
          <w:tcPr>
            <w:tcW w:w="497"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81.30%</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153.92%</w:t>
            </w:r>
          </w:p>
        </w:tc>
        <w:tc>
          <w:tcPr>
            <w:tcW w:w="497"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3.47%</w:t>
            </w:r>
          </w:p>
        </w:tc>
        <w:tc>
          <w:tcPr>
            <w:tcW w:w="498"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95.06%</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182.92%</w:t>
            </w:r>
          </w:p>
        </w:tc>
        <w:tc>
          <w:tcPr>
            <w:tcW w:w="443"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38.92%</w:t>
            </w:r>
          </w:p>
        </w:tc>
        <w:tc>
          <w:tcPr>
            <w:tcW w:w="486"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99.27%</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190.93%</w:t>
            </w:r>
          </w:p>
        </w:tc>
        <w:tc>
          <w:tcPr>
            <w:tcW w:w="374" w:type="pct"/>
            <w:tcBorders>
              <w:top w:val="single" w:sz="4" w:space="0" w:color="3399FF"/>
              <w:left w:val="single" w:sz="4" w:space="0" w:color="3399FF"/>
              <w:bottom w:val="single" w:sz="4" w:space="0" w:color="3399FF"/>
              <w:right w:val="nil"/>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38.46%</w:t>
            </w:r>
          </w:p>
        </w:tc>
      </w:tr>
      <w:tr w:rsidR="0016178D" w:rsidRPr="00D5118B" w:rsidTr="0016178D">
        <w:trPr>
          <w:trHeight w:val="285"/>
        </w:trPr>
        <w:tc>
          <w:tcPr>
            <w:tcW w:w="709" w:type="pct"/>
            <w:tcBorders>
              <w:top w:val="single" w:sz="4" w:space="0" w:color="3399FF"/>
              <w:left w:val="nil"/>
              <w:bottom w:val="single" w:sz="4" w:space="0" w:color="3399FF"/>
              <w:right w:val="single" w:sz="4" w:space="0" w:color="3399FF"/>
            </w:tcBorders>
            <w:shd w:val="clear" w:color="auto" w:fill="auto"/>
            <w:vAlign w:val="center"/>
            <w:hideMark/>
          </w:tcPr>
          <w:p w:rsidR="0016178D" w:rsidRPr="00D5118B" w:rsidRDefault="0016178D" w:rsidP="009108A3">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股票-指数型账户</w:t>
            </w:r>
          </w:p>
        </w:tc>
        <w:tc>
          <w:tcPr>
            <w:tcW w:w="497"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98.85%</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105.61%</w:t>
            </w:r>
          </w:p>
        </w:tc>
        <w:tc>
          <w:tcPr>
            <w:tcW w:w="497"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96.19%</w:t>
            </w:r>
          </w:p>
        </w:tc>
        <w:tc>
          <w:tcPr>
            <w:tcW w:w="498"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96.28%</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105.61%</w:t>
            </w:r>
          </w:p>
        </w:tc>
        <w:tc>
          <w:tcPr>
            <w:tcW w:w="443"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74.73%</w:t>
            </w:r>
          </w:p>
        </w:tc>
        <w:tc>
          <w:tcPr>
            <w:tcW w:w="486"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74.39%</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87.78%</w:t>
            </w:r>
          </w:p>
        </w:tc>
        <w:tc>
          <w:tcPr>
            <w:tcW w:w="374" w:type="pct"/>
            <w:tcBorders>
              <w:top w:val="single" w:sz="4" w:space="0" w:color="3399FF"/>
              <w:left w:val="single" w:sz="4" w:space="0" w:color="3399FF"/>
              <w:bottom w:val="single" w:sz="4" w:space="0" w:color="3399FF"/>
              <w:right w:val="nil"/>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48.68%</w:t>
            </w:r>
          </w:p>
        </w:tc>
      </w:tr>
      <w:tr w:rsidR="0016178D" w:rsidRPr="00D5118B" w:rsidTr="0016178D">
        <w:trPr>
          <w:trHeight w:val="285"/>
        </w:trPr>
        <w:tc>
          <w:tcPr>
            <w:tcW w:w="709" w:type="pct"/>
            <w:tcBorders>
              <w:top w:val="single" w:sz="4" w:space="0" w:color="3399FF"/>
              <w:left w:val="nil"/>
              <w:bottom w:val="single" w:sz="4" w:space="0" w:color="3399FF"/>
              <w:right w:val="single" w:sz="4" w:space="0" w:color="3399FF"/>
            </w:tcBorders>
            <w:shd w:val="clear" w:color="auto" w:fill="auto"/>
            <w:vAlign w:val="center"/>
            <w:hideMark/>
          </w:tcPr>
          <w:p w:rsidR="0016178D" w:rsidRPr="00D5118B" w:rsidRDefault="0016178D" w:rsidP="009108A3">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混合偏股型账户</w:t>
            </w:r>
          </w:p>
        </w:tc>
        <w:tc>
          <w:tcPr>
            <w:tcW w:w="497"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68.40%</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152.35%</w:t>
            </w:r>
          </w:p>
        </w:tc>
        <w:tc>
          <w:tcPr>
            <w:tcW w:w="497"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35.00%</w:t>
            </w:r>
          </w:p>
        </w:tc>
        <w:tc>
          <w:tcPr>
            <w:tcW w:w="498"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74.46%</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149.65%</w:t>
            </w:r>
          </w:p>
        </w:tc>
        <w:tc>
          <w:tcPr>
            <w:tcW w:w="443"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44.75%</w:t>
            </w:r>
          </w:p>
        </w:tc>
        <w:tc>
          <w:tcPr>
            <w:tcW w:w="486"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74.50%</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146.24%</w:t>
            </w:r>
          </w:p>
        </w:tc>
        <w:tc>
          <w:tcPr>
            <w:tcW w:w="374" w:type="pct"/>
            <w:tcBorders>
              <w:top w:val="single" w:sz="4" w:space="0" w:color="3399FF"/>
              <w:left w:val="single" w:sz="4" w:space="0" w:color="3399FF"/>
              <w:bottom w:val="single" w:sz="4" w:space="0" w:color="3399FF"/>
              <w:right w:val="nil"/>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38.88%</w:t>
            </w:r>
          </w:p>
        </w:tc>
      </w:tr>
      <w:tr w:rsidR="0016178D" w:rsidRPr="00D5118B" w:rsidTr="0016178D">
        <w:trPr>
          <w:trHeight w:val="285"/>
        </w:trPr>
        <w:tc>
          <w:tcPr>
            <w:tcW w:w="709" w:type="pct"/>
            <w:tcBorders>
              <w:top w:val="single" w:sz="4" w:space="0" w:color="3399FF"/>
              <w:left w:val="nil"/>
              <w:bottom w:val="single" w:sz="4" w:space="0" w:color="3399FF"/>
              <w:right w:val="single" w:sz="4" w:space="0" w:color="3399FF"/>
            </w:tcBorders>
            <w:shd w:val="clear" w:color="auto" w:fill="auto"/>
            <w:vAlign w:val="center"/>
            <w:hideMark/>
          </w:tcPr>
          <w:p w:rsidR="0016178D" w:rsidRPr="00D5118B" w:rsidRDefault="0016178D" w:rsidP="009108A3">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灵活配置型账户</w:t>
            </w:r>
          </w:p>
        </w:tc>
        <w:tc>
          <w:tcPr>
            <w:tcW w:w="497"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65.09%</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140.42%</w:t>
            </w:r>
          </w:p>
        </w:tc>
        <w:tc>
          <w:tcPr>
            <w:tcW w:w="497"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22.04%</w:t>
            </w:r>
          </w:p>
        </w:tc>
        <w:tc>
          <w:tcPr>
            <w:tcW w:w="498"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70.49%</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162.64%</w:t>
            </w:r>
          </w:p>
        </w:tc>
        <w:tc>
          <w:tcPr>
            <w:tcW w:w="443"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23.97%</w:t>
            </w:r>
          </w:p>
        </w:tc>
        <w:tc>
          <w:tcPr>
            <w:tcW w:w="486"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60.11%</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112.01%</w:t>
            </w:r>
          </w:p>
        </w:tc>
        <w:tc>
          <w:tcPr>
            <w:tcW w:w="374" w:type="pct"/>
            <w:tcBorders>
              <w:top w:val="single" w:sz="4" w:space="0" w:color="3399FF"/>
              <w:left w:val="single" w:sz="4" w:space="0" w:color="3399FF"/>
              <w:bottom w:val="single" w:sz="4" w:space="0" w:color="3399FF"/>
              <w:right w:val="nil"/>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25.48%</w:t>
            </w:r>
          </w:p>
        </w:tc>
      </w:tr>
      <w:tr w:rsidR="0016178D" w:rsidRPr="00D5118B" w:rsidTr="0016178D">
        <w:trPr>
          <w:trHeight w:val="285"/>
        </w:trPr>
        <w:tc>
          <w:tcPr>
            <w:tcW w:w="709" w:type="pct"/>
            <w:tcBorders>
              <w:top w:val="single" w:sz="4" w:space="0" w:color="3399FF"/>
              <w:left w:val="nil"/>
              <w:bottom w:val="single" w:sz="4" w:space="0" w:color="3399FF"/>
              <w:right w:val="single" w:sz="4" w:space="0" w:color="3399FF"/>
            </w:tcBorders>
            <w:shd w:val="clear" w:color="auto" w:fill="auto"/>
            <w:vAlign w:val="center"/>
            <w:hideMark/>
          </w:tcPr>
          <w:p w:rsidR="0016178D" w:rsidRPr="00D5118B" w:rsidRDefault="0016178D" w:rsidP="009108A3">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债券型账户</w:t>
            </w:r>
          </w:p>
        </w:tc>
        <w:tc>
          <w:tcPr>
            <w:tcW w:w="497"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43.63%</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81.03%</w:t>
            </w:r>
          </w:p>
        </w:tc>
        <w:tc>
          <w:tcPr>
            <w:tcW w:w="497"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4.99%</w:t>
            </w:r>
          </w:p>
        </w:tc>
        <w:tc>
          <w:tcPr>
            <w:tcW w:w="498"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50.74%</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82.45%</w:t>
            </w:r>
          </w:p>
        </w:tc>
        <w:tc>
          <w:tcPr>
            <w:tcW w:w="443"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8.90%</w:t>
            </w:r>
          </w:p>
        </w:tc>
        <w:tc>
          <w:tcPr>
            <w:tcW w:w="486"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48.89%</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87.52%</w:t>
            </w:r>
          </w:p>
        </w:tc>
        <w:tc>
          <w:tcPr>
            <w:tcW w:w="374" w:type="pct"/>
            <w:tcBorders>
              <w:top w:val="single" w:sz="4" w:space="0" w:color="3399FF"/>
              <w:left w:val="single" w:sz="4" w:space="0" w:color="3399FF"/>
              <w:bottom w:val="single" w:sz="4" w:space="0" w:color="3399FF"/>
              <w:right w:val="nil"/>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13.77%</w:t>
            </w:r>
          </w:p>
        </w:tc>
      </w:tr>
      <w:tr w:rsidR="0016178D" w:rsidRPr="00D5118B" w:rsidTr="0016178D">
        <w:trPr>
          <w:trHeight w:val="285"/>
        </w:trPr>
        <w:tc>
          <w:tcPr>
            <w:tcW w:w="709" w:type="pct"/>
            <w:tcBorders>
              <w:top w:val="single" w:sz="4" w:space="0" w:color="3399FF"/>
              <w:left w:val="nil"/>
              <w:bottom w:val="single" w:sz="4" w:space="0" w:color="3399FF"/>
              <w:right w:val="single" w:sz="4" w:space="0" w:color="3399FF"/>
            </w:tcBorders>
            <w:shd w:val="clear" w:color="auto" w:fill="auto"/>
            <w:vAlign w:val="center"/>
            <w:hideMark/>
          </w:tcPr>
          <w:p w:rsidR="0016178D" w:rsidRPr="00D5118B" w:rsidRDefault="0016178D" w:rsidP="009108A3">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混合偏债型账户</w:t>
            </w:r>
          </w:p>
        </w:tc>
        <w:tc>
          <w:tcPr>
            <w:tcW w:w="497"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15.81%</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38.54%</w:t>
            </w:r>
          </w:p>
        </w:tc>
        <w:tc>
          <w:tcPr>
            <w:tcW w:w="497"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FF0000"/>
                <w:szCs w:val="18"/>
              </w:rPr>
            </w:pPr>
            <w:r w:rsidRPr="0016178D">
              <w:rPr>
                <w:rFonts w:asciiTheme="minorEastAsia" w:eastAsiaTheme="minorEastAsia" w:hAnsiTheme="minorEastAsia" w:hint="eastAsia"/>
                <w:color w:val="FF0000"/>
                <w:szCs w:val="18"/>
              </w:rPr>
              <w:t>-3.50%</w:t>
            </w:r>
          </w:p>
        </w:tc>
        <w:tc>
          <w:tcPr>
            <w:tcW w:w="498"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20.91%</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39.87%</w:t>
            </w:r>
          </w:p>
        </w:tc>
        <w:tc>
          <w:tcPr>
            <w:tcW w:w="443"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FF0000"/>
                <w:szCs w:val="18"/>
              </w:rPr>
            </w:pPr>
            <w:r w:rsidRPr="0016178D">
              <w:rPr>
                <w:rFonts w:asciiTheme="minorEastAsia" w:eastAsiaTheme="minorEastAsia" w:hAnsiTheme="minorEastAsia" w:hint="eastAsia"/>
                <w:color w:val="FF0000"/>
                <w:szCs w:val="18"/>
              </w:rPr>
              <w:t>-2.23%</w:t>
            </w:r>
          </w:p>
        </w:tc>
        <w:tc>
          <w:tcPr>
            <w:tcW w:w="486"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24.26%</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40.95%</w:t>
            </w:r>
          </w:p>
        </w:tc>
        <w:tc>
          <w:tcPr>
            <w:tcW w:w="374" w:type="pct"/>
            <w:tcBorders>
              <w:top w:val="single" w:sz="4" w:space="0" w:color="3399FF"/>
              <w:left w:val="single" w:sz="4" w:space="0" w:color="3399FF"/>
              <w:bottom w:val="single" w:sz="4" w:space="0" w:color="3399FF"/>
              <w:right w:val="nil"/>
            </w:tcBorders>
            <w:shd w:val="clear" w:color="auto" w:fill="auto"/>
            <w:vAlign w:val="center"/>
          </w:tcPr>
          <w:p w:rsidR="0016178D" w:rsidRPr="0016178D" w:rsidRDefault="0016178D" w:rsidP="0016178D">
            <w:pPr>
              <w:jc w:val="center"/>
              <w:rPr>
                <w:rFonts w:asciiTheme="minorEastAsia" w:eastAsiaTheme="minorEastAsia" w:hAnsiTheme="minorEastAsia" w:cs="宋体"/>
                <w:color w:val="FF0000"/>
                <w:szCs w:val="18"/>
              </w:rPr>
            </w:pPr>
            <w:r w:rsidRPr="0016178D">
              <w:rPr>
                <w:rFonts w:asciiTheme="minorEastAsia" w:eastAsiaTheme="minorEastAsia" w:hAnsiTheme="minorEastAsia" w:hint="eastAsia"/>
                <w:color w:val="FF0000"/>
                <w:szCs w:val="18"/>
              </w:rPr>
              <w:t>-1.41%</w:t>
            </w:r>
          </w:p>
        </w:tc>
      </w:tr>
      <w:tr w:rsidR="0016178D" w:rsidRPr="00D5118B" w:rsidTr="0016178D">
        <w:trPr>
          <w:trHeight w:val="285"/>
        </w:trPr>
        <w:tc>
          <w:tcPr>
            <w:tcW w:w="709" w:type="pct"/>
            <w:tcBorders>
              <w:top w:val="single" w:sz="4" w:space="0" w:color="3399FF"/>
              <w:left w:val="nil"/>
              <w:bottom w:val="single" w:sz="4" w:space="0" w:color="3399FF"/>
              <w:right w:val="single" w:sz="4" w:space="0" w:color="3399FF"/>
            </w:tcBorders>
            <w:shd w:val="clear" w:color="auto" w:fill="auto"/>
            <w:vAlign w:val="center"/>
            <w:hideMark/>
          </w:tcPr>
          <w:p w:rsidR="0016178D" w:rsidRPr="00D5118B" w:rsidRDefault="0016178D" w:rsidP="009108A3">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货币型账户</w:t>
            </w:r>
          </w:p>
        </w:tc>
        <w:tc>
          <w:tcPr>
            <w:tcW w:w="497"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4.66%</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13.10%</w:t>
            </w:r>
          </w:p>
        </w:tc>
        <w:tc>
          <w:tcPr>
            <w:tcW w:w="497"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2.83%</w:t>
            </w:r>
          </w:p>
        </w:tc>
        <w:tc>
          <w:tcPr>
            <w:tcW w:w="498"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9.33%</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18.11%</w:t>
            </w:r>
          </w:p>
        </w:tc>
        <w:tc>
          <w:tcPr>
            <w:tcW w:w="443"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5.85%</w:t>
            </w:r>
          </w:p>
        </w:tc>
        <w:tc>
          <w:tcPr>
            <w:tcW w:w="486"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12.59%</w:t>
            </w:r>
          </w:p>
        </w:tc>
        <w:tc>
          <w:tcPr>
            <w:tcW w:w="499" w:type="pct"/>
            <w:tcBorders>
              <w:top w:val="single" w:sz="4" w:space="0" w:color="3399FF"/>
              <w:left w:val="single" w:sz="4" w:space="0" w:color="3399FF"/>
              <w:bottom w:val="single" w:sz="4" w:space="0" w:color="3399FF"/>
              <w:right w:val="single" w:sz="4" w:space="0" w:color="3399FF"/>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21.38%</w:t>
            </w:r>
          </w:p>
        </w:tc>
        <w:tc>
          <w:tcPr>
            <w:tcW w:w="374" w:type="pct"/>
            <w:tcBorders>
              <w:top w:val="single" w:sz="4" w:space="0" w:color="3399FF"/>
              <w:left w:val="single" w:sz="4" w:space="0" w:color="3399FF"/>
              <w:bottom w:val="single" w:sz="4" w:space="0" w:color="3399FF"/>
              <w:right w:val="nil"/>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8.01%</w:t>
            </w:r>
          </w:p>
        </w:tc>
      </w:tr>
      <w:tr w:rsidR="0016178D" w:rsidRPr="00D5118B" w:rsidTr="0016178D">
        <w:trPr>
          <w:trHeight w:val="285"/>
        </w:trPr>
        <w:tc>
          <w:tcPr>
            <w:tcW w:w="709" w:type="pct"/>
            <w:tcBorders>
              <w:top w:val="single" w:sz="4" w:space="0" w:color="3399FF"/>
              <w:bottom w:val="single" w:sz="4" w:space="0" w:color="3399FF"/>
              <w:right w:val="single" w:sz="4" w:space="0" w:color="3399FF"/>
            </w:tcBorders>
            <w:shd w:val="clear" w:color="000000" w:fill="D9D9D9"/>
            <w:vAlign w:val="center"/>
            <w:hideMark/>
          </w:tcPr>
          <w:p w:rsidR="0016178D" w:rsidRPr="00D5118B" w:rsidRDefault="0016178D" w:rsidP="009108A3">
            <w:pPr>
              <w:jc w:val="center"/>
              <w:rPr>
                <w:rFonts w:ascii="宋体" w:eastAsia="宋体" w:hAnsi="宋体" w:cs="宋体"/>
                <w:b/>
                <w:bCs/>
                <w:color w:val="000000"/>
                <w:szCs w:val="18"/>
              </w:rPr>
            </w:pPr>
            <w:r w:rsidRPr="00D5118B">
              <w:rPr>
                <w:rFonts w:ascii="宋体" w:eastAsia="宋体" w:hAnsi="宋体" w:cs="宋体" w:hint="eastAsia"/>
                <w:b/>
                <w:bCs/>
                <w:color w:val="000000"/>
                <w:szCs w:val="18"/>
              </w:rPr>
              <w:t>沪深300</w:t>
            </w:r>
          </w:p>
        </w:tc>
        <w:tc>
          <w:tcPr>
            <w:tcW w:w="497" w:type="pct"/>
            <w:tcBorders>
              <w:top w:val="single" w:sz="4" w:space="0" w:color="3399FF"/>
              <w:left w:val="single" w:sz="4" w:space="0" w:color="3399FF"/>
              <w:bottom w:val="single" w:sz="4" w:space="0" w:color="3399FF"/>
              <w:right w:val="single" w:sz="4" w:space="0" w:color="3399FF"/>
            </w:tcBorders>
            <w:shd w:val="clear" w:color="000000" w:fill="D9D9D9"/>
            <w:vAlign w:val="center"/>
            <w:hideMark/>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106.59%</w:t>
            </w:r>
          </w:p>
        </w:tc>
        <w:tc>
          <w:tcPr>
            <w:tcW w:w="499" w:type="pct"/>
            <w:tcBorders>
              <w:top w:val="single" w:sz="4" w:space="0" w:color="3399FF"/>
              <w:left w:val="single" w:sz="4" w:space="0" w:color="3399FF"/>
              <w:bottom w:val="single" w:sz="4" w:space="0" w:color="3399FF"/>
              <w:right w:val="single" w:sz="4" w:space="0" w:color="3399FF"/>
            </w:tcBorders>
            <w:shd w:val="clear" w:color="000000" w:fill="D9D9D9"/>
            <w:vAlign w:val="center"/>
            <w:hideMark/>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cs="宋体" w:hint="eastAsia"/>
                <w:color w:val="000000"/>
                <w:szCs w:val="18"/>
              </w:rPr>
              <w:t>-</w:t>
            </w:r>
          </w:p>
        </w:tc>
        <w:tc>
          <w:tcPr>
            <w:tcW w:w="497" w:type="pct"/>
            <w:tcBorders>
              <w:top w:val="single" w:sz="4" w:space="0" w:color="3399FF"/>
              <w:left w:val="single" w:sz="4" w:space="0" w:color="3399FF"/>
              <w:bottom w:val="single" w:sz="4" w:space="0" w:color="3399FF"/>
              <w:right w:val="single" w:sz="4" w:space="0" w:color="3399FF"/>
            </w:tcBorders>
            <w:shd w:val="clear" w:color="000000" w:fill="D9D9D9"/>
            <w:vAlign w:val="center"/>
            <w:hideMark/>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cs="宋体" w:hint="eastAsia"/>
                <w:color w:val="000000"/>
                <w:szCs w:val="18"/>
              </w:rPr>
              <w:t>-</w:t>
            </w:r>
          </w:p>
        </w:tc>
        <w:tc>
          <w:tcPr>
            <w:tcW w:w="498" w:type="pct"/>
            <w:tcBorders>
              <w:top w:val="single" w:sz="4" w:space="0" w:color="3399FF"/>
              <w:left w:val="single" w:sz="4" w:space="0" w:color="3399FF"/>
              <w:bottom w:val="single" w:sz="4" w:space="0" w:color="3399FF"/>
              <w:right w:val="single" w:sz="4" w:space="0" w:color="3399FF"/>
            </w:tcBorders>
            <w:shd w:val="clear" w:color="000000" w:fill="D9D9D9"/>
            <w:vAlign w:val="center"/>
            <w:hideMark/>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103.26%</w:t>
            </w:r>
          </w:p>
        </w:tc>
        <w:tc>
          <w:tcPr>
            <w:tcW w:w="499" w:type="pct"/>
            <w:tcBorders>
              <w:top w:val="single" w:sz="4" w:space="0" w:color="3399FF"/>
              <w:left w:val="single" w:sz="4" w:space="0" w:color="3399FF"/>
              <w:bottom w:val="single" w:sz="4" w:space="0" w:color="3399FF"/>
              <w:right w:val="single" w:sz="4" w:space="0" w:color="3399FF"/>
            </w:tcBorders>
            <w:shd w:val="clear" w:color="000000" w:fill="D9D9D9"/>
            <w:vAlign w:val="center"/>
            <w:hideMark/>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cs="宋体" w:hint="eastAsia"/>
                <w:color w:val="000000"/>
                <w:szCs w:val="18"/>
              </w:rPr>
              <w:t>-</w:t>
            </w:r>
          </w:p>
        </w:tc>
        <w:tc>
          <w:tcPr>
            <w:tcW w:w="443" w:type="pct"/>
            <w:tcBorders>
              <w:top w:val="single" w:sz="4" w:space="0" w:color="3399FF"/>
              <w:left w:val="single" w:sz="4" w:space="0" w:color="3399FF"/>
              <w:bottom w:val="single" w:sz="4" w:space="0" w:color="3399FF"/>
              <w:right w:val="single" w:sz="4" w:space="0" w:color="3399FF"/>
            </w:tcBorders>
            <w:shd w:val="clear" w:color="000000" w:fill="D9D9D9"/>
            <w:vAlign w:val="center"/>
            <w:hideMark/>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cs="宋体" w:hint="eastAsia"/>
                <w:color w:val="000000"/>
                <w:szCs w:val="18"/>
              </w:rPr>
              <w:t>-</w:t>
            </w:r>
          </w:p>
        </w:tc>
        <w:tc>
          <w:tcPr>
            <w:tcW w:w="486" w:type="pct"/>
            <w:tcBorders>
              <w:top w:val="single" w:sz="4" w:space="0" w:color="3399FF"/>
              <w:left w:val="single" w:sz="4" w:space="0" w:color="3399FF"/>
              <w:bottom w:val="single" w:sz="4" w:space="0" w:color="3399FF"/>
              <w:right w:val="single" w:sz="4" w:space="0" w:color="3399FF"/>
            </w:tcBorders>
            <w:shd w:val="clear" w:color="000000" w:fill="D9D9D9"/>
            <w:vAlign w:val="center"/>
            <w:hideMark/>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81.71%</w:t>
            </w:r>
          </w:p>
        </w:tc>
        <w:tc>
          <w:tcPr>
            <w:tcW w:w="499" w:type="pct"/>
            <w:tcBorders>
              <w:top w:val="single" w:sz="4" w:space="0" w:color="3399FF"/>
              <w:left w:val="single" w:sz="4" w:space="0" w:color="3399FF"/>
              <w:bottom w:val="single" w:sz="4" w:space="0" w:color="3399FF"/>
              <w:right w:val="single" w:sz="4" w:space="0" w:color="3399FF"/>
            </w:tcBorders>
            <w:shd w:val="clear" w:color="000000" w:fill="D9D9D9"/>
            <w:vAlign w:val="center"/>
            <w:hideMark/>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w:t>
            </w:r>
          </w:p>
        </w:tc>
        <w:tc>
          <w:tcPr>
            <w:tcW w:w="374" w:type="pct"/>
            <w:tcBorders>
              <w:top w:val="single" w:sz="4" w:space="0" w:color="3399FF"/>
              <w:left w:val="single" w:sz="4" w:space="0" w:color="3399FF"/>
              <w:bottom w:val="single" w:sz="4" w:space="0" w:color="3399FF"/>
              <w:right w:val="nil"/>
            </w:tcBorders>
            <w:shd w:val="clear" w:color="000000" w:fill="D9D9D9"/>
            <w:vAlign w:val="center"/>
            <w:hideMark/>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w:t>
            </w:r>
          </w:p>
        </w:tc>
      </w:tr>
      <w:tr w:rsidR="0016178D" w:rsidRPr="00D5118B" w:rsidTr="0016178D">
        <w:trPr>
          <w:trHeight w:val="285"/>
        </w:trPr>
        <w:tc>
          <w:tcPr>
            <w:tcW w:w="709" w:type="pct"/>
            <w:tcBorders>
              <w:top w:val="single" w:sz="4" w:space="0" w:color="3399FF"/>
              <w:bottom w:val="single" w:sz="4" w:space="0" w:color="3399FF"/>
              <w:right w:val="single" w:sz="4" w:space="0" w:color="3399FF"/>
            </w:tcBorders>
            <w:shd w:val="clear" w:color="000000" w:fill="D9D9D9"/>
            <w:vAlign w:val="center"/>
          </w:tcPr>
          <w:p w:rsidR="0016178D" w:rsidRPr="00D5118B" w:rsidRDefault="0016178D" w:rsidP="009108A3">
            <w:pPr>
              <w:jc w:val="center"/>
              <w:rPr>
                <w:rFonts w:ascii="宋体" w:eastAsia="宋体" w:hAnsi="宋体" w:cs="宋体"/>
                <w:b/>
                <w:bCs/>
                <w:color w:val="000000"/>
                <w:szCs w:val="18"/>
              </w:rPr>
            </w:pPr>
            <w:r>
              <w:rPr>
                <w:rFonts w:ascii="宋体" w:eastAsia="宋体" w:hAnsi="宋体" w:cs="宋体" w:hint="eastAsia"/>
                <w:b/>
                <w:bCs/>
                <w:color w:val="000000"/>
                <w:szCs w:val="18"/>
              </w:rPr>
              <w:t>中证500</w:t>
            </w:r>
          </w:p>
        </w:tc>
        <w:tc>
          <w:tcPr>
            <w:tcW w:w="497" w:type="pct"/>
            <w:tcBorders>
              <w:top w:val="single" w:sz="4" w:space="0" w:color="3399FF"/>
              <w:left w:val="single" w:sz="4" w:space="0" w:color="3399FF"/>
              <w:bottom w:val="single" w:sz="4" w:space="0" w:color="3399FF"/>
              <w:right w:val="single" w:sz="4" w:space="0" w:color="3399FF"/>
            </w:tcBorders>
            <w:shd w:val="clear" w:color="000000"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126.91%</w:t>
            </w:r>
          </w:p>
        </w:tc>
        <w:tc>
          <w:tcPr>
            <w:tcW w:w="499" w:type="pct"/>
            <w:tcBorders>
              <w:top w:val="single" w:sz="4" w:space="0" w:color="3399FF"/>
              <w:left w:val="single" w:sz="4" w:space="0" w:color="3399FF"/>
              <w:bottom w:val="single" w:sz="4" w:space="0" w:color="3399FF"/>
              <w:right w:val="single" w:sz="4" w:space="0" w:color="3399FF"/>
            </w:tcBorders>
            <w:shd w:val="clear" w:color="000000"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cs="宋体" w:hint="eastAsia"/>
                <w:color w:val="000000"/>
                <w:szCs w:val="18"/>
              </w:rPr>
              <w:t>-</w:t>
            </w:r>
          </w:p>
        </w:tc>
        <w:tc>
          <w:tcPr>
            <w:tcW w:w="497" w:type="pct"/>
            <w:tcBorders>
              <w:top w:val="single" w:sz="4" w:space="0" w:color="3399FF"/>
              <w:left w:val="single" w:sz="4" w:space="0" w:color="3399FF"/>
              <w:bottom w:val="single" w:sz="4" w:space="0" w:color="3399FF"/>
              <w:right w:val="single" w:sz="4" w:space="0" w:color="3399FF"/>
            </w:tcBorders>
            <w:shd w:val="clear" w:color="000000"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cs="宋体" w:hint="eastAsia"/>
                <w:color w:val="000000"/>
                <w:szCs w:val="18"/>
              </w:rPr>
              <w:t>-</w:t>
            </w:r>
          </w:p>
        </w:tc>
        <w:tc>
          <w:tcPr>
            <w:tcW w:w="498" w:type="pct"/>
            <w:tcBorders>
              <w:top w:val="single" w:sz="4" w:space="0" w:color="3399FF"/>
              <w:left w:val="single" w:sz="4" w:space="0" w:color="3399FF"/>
              <w:bottom w:val="single" w:sz="4" w:space="0" w:color="3399FF"/>
              <w:right w:val="single" w:sz="4" w:space="0" w:color="3399FF"/>
            </w:tcBorders>
            <w:shd w:val="clear" w:color="000000"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175.22%</w:t>
            </w:r>
          </w:p>
        </w:tc>
        <w:tc>
          <w:tcPr>
            <w:tcW w:w="499" w:type="pct"/>
            <w:tcBorders>
              <w:top w:val="single" w:sz="4" w:space="0" w:color="3399FF"/>
              <w:left w:val="single" w:sz="4" w:space="0" w:color="3399FF"/>
              <w:bottom w:val="single" w:sz="4" w:space="0" w:color="3399FF"/>
              <w:right w:val="single" w:sz="4" w:space="0" w:color="3399FF"/>
            </w:tcBorders>
            <w:shd w:val="clear" w:color="000000"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cs="宋体" w:hint="eastAsia"/>
                <w:color w:val="000000"/>
                <w:szCs w:val="18"/>
              </w:rPr>
              <w:t>-</w:t>
            </w:r>
          </w:p>
        </w:tc>
        <w:tc>
          <w:tcPr>
            <w:tcW w:w="443" w:type="pct"/>
            <w:tcBorders>
              <w:top w:val="single" w:sz="4" w:space="0" w:color="3399FF"/>
              <w:left w:val="single" w:sz="4" w:space="0" w:color="3399FF"/>
              <w:bottom w:val="single" w:sz="4" w:space="0" w:color="3399FF"/>
              <w:right w:val="single" w:sz="4" w:space="0" w:color="3399FF"/>
            </w:tcBorders>
            <w:shd w:val="clear" w:color="000000"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cs="宋体" w:hint="eastAsia"/>
                <w:color w:val="000000"/>
                <w:szCs w:val="18"/>
              </w:rPr>
              <w:t>-</w:t>
            </w:r>
          </w:p>
        </w:tc>
        <w:tc>
          <w:tcPr>
            <w:tcW w:w="486" w:type="pct"/>
            <w:tcBorders>
              <w:top w:val="single" w:sz="4" w:space="0" w:color="3399FF"/>
              <w:left w:val="single" w:sz="4" w:space="0" w:color="3399FF"/>
              <w:bottom w:val="single" w:sz="4" w:space="0" w:color="3399FF"/>
              <w:right w:val="single" w:sz="4" w:space="0" w:color="3399FF"/>
            </w:tcBorders>
            <w:shd w:val="clear" w:color="000000"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156.59%</w:t>
            </w:r>
          </w:p>
        </w:tc>
        <w:tc>
          <w:tcPr>
            <w:tcW w:w="499" w:type="pct"/>
            <w:tcBorders>
              <w:top w:val="single" w:sz="4" w:space="0" w:color="3399FF"/>
              <w:left w:val="single" w:sz="4" w:space="0" w:color="3399FF"/>
              <w:bottom w:val="single" w:sz="4" w:space="0" w:color="3399FF"/>
              <w:right w:val="single" w:sz="4" w:space="0" w:color="3399FF"/>
            </w:tcBorders>
            <w:shd w:val="clear" w:color="000000"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w:t>
            </w:r>
          </w:p>
        </w:tc>
        <w:tc>
          <w:tcPr>
            <w:tcW w:w="374" w:type="pct"/>
            <w:tcBorders>
              <w:top w:val="single" w:sz="4" w:space="0" w:color="3399FF"/>
              <w:left w:val="single" w:sz="4" w:space="0" w:color="3399FF"/>
              <w:bottom w:val="single" w:sz="4" w:space="0" w:color="3399FF"/>
              <w:right w:val="nil"/>
            </w:tcBorders>
            <w:shd w:val="clear" w:color="000000"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w:t>
            </w:r>
          </w:p>
        </w:tc>
      </w:tr>
      <w:tr w:rsidR="009108A3" w:rsidRPr="00D5118B" w:rsidTr="00E1278A">
        <w:trPr>
          <w:trHeight w:val="310"/>
        </w:trPr>
        <w:tc>
          <w:tcPr>
            <w:tcW w:w="5000" w:type="pct"/>
            <w:gridSpan w:val="10"/>
            <w:tcBorders>
              <w:top w:val="single" w:sz="4" w:space="0" w:color="3399FF"/>
              <w:left w:val="nil"/>
              <w:bottom w:val="single" w:sz="4" w:space="0" w:color="3399FF"/>
              <w:right w:val="nil"/>
            </w:tcBorders>
            <w:shd w:val="clear" w:color="auto" w:fill="auto"/>
            <w:vAlign w:val="center"/>
            <w:hideMark/>
          </w:tcPr>
          <w:p w:rsidR="009108A3" w:rsidRPr="00D5118B" w:rsidRDefault="009108A3" w:rsidP="007D0BF3">
            <w:pPr>
              <w:jc w:val="left"/>
              <w:rPr>
                <w:rFonts w:ascii="楷体_GB2312" w:hAnsi="宋体" w:cs="宋体"/>
                <w:szCs w:val="18"/>
              </w:rPr>
            </w:pPr>
            <w:r w:rsidRPr="00D5118B">
              <w:rPr>
                <w:rFonts w:ascii="楷体_GB2312" w:hAnsi="宋体" w:cs="宋体" w:hint="eastAsia"/>
                <w:szCs w:val="18"/>
              </w:rPr>
              <w:t>注：以上收益均为简单平均结果，数据截止</w:t>
            </w:r>
            <w:r w:rsidRPr="00D5118B">
              <w:rPr>
                <w:rFonts w:cs="Arial"/>
                <w:szCs w:val="18"/>
              </w:rPr>
              <w:t>201</w:t>
            </w:r>
            <w:r>
              <w:rPr>
                <w:rFonts w:cs="Arial" w:hint="eastAsia"/>
                <w:szCs w:val="18"/>
              </w:rPr>
              <w:t>5</w:t>
            </w:r>
            <w:r w:rsidRPr="00D5118B">
              <w:rPr>
                <w:rFonts w:ascii="楷体_GB2312" w:hAnsi="宋体" w:cs="宋体" w:hint="eastAsia"/>
                <w:szCs w:val="18"/>
              </w:rPr>
              <w:t>年</w:t>
            </w:r>
            <w:r w:rsidR="007D0BF3">
              <w:rPr>
                <w:rFonts w:cs="Arial" w:hint="eastAsia"/>
                <w:szCs w:val="18"/>
              </w:rPr>
              <w:t>6</w:t>
            </w:r>
            <w:r w:rsidRPr="00D5118B">
              <w:rPr>
                <w:rFonts w:ascii="楷体_GB2312" w:hAnsi="宋体" w:cs="宋体" w:hint="eastAsia"/>
                <w:szCs w:val="18"/>
              </w:rPr>
              <w:t>月。</w:t>
            </w:r>
          </w:p>
        </w:tc>
      </w:tr>
      <w:tr w:rsidR="009108A3" w:rsidRPr="00D5118B" w:rsidTr="0016178D">
        <w:trPr>
          <w:trHeight w:val="270"/>
        </w:trPr>
        <w:tc>
          <w:tcPr>
            <w:tcW w:w="4127" w:type="pct"/>
            <w:gridSpan w:val="8"/>
            <w:tcBorders>
              <w:top w:val="single" w:sz="4" w:space="0" w:color="3399FF"/>
              <w:left w:val="nil"/>
              <w:bottom w:val="nil"/>
              <w:right w:val="nil"/>
            </w:tcBorders>
            <w:shd w:val="clear" w:color="auto" w:fill="auto"/>
            <w:hideMark/>
          </w:tcPr>
          <w:p w:rsidR="009108A3" w:rsidRPr="00D5118B" w:rsidRDefault="009108A3" w:rsidP="00E1278A">
            <w:pPr>
              <w:rPr>
                <w:rFonts w:ascii="楷体_GB2312" w:hAnsi="宋体" w:cs="宋体"/>
                <w:color w:val="000000"/>
                <w:sz w:val="15"/>
                <w:szCs w:val="15"/>
              </w:rPr>
            </w:pPr>
            <w:r w:rsidRPr="00D5118B">
              <w:rPr>
                <w:rFonts w:ascii="楷体_GB2312" w:hAnsi="宋体" w:cs="宋体" w:hint="eastAsia"/>
                <w:color w:val="000000"/>
                <w:sz w:val="15"/>
                <w:szCs w:val="15"/>
              </w:rPr>
              <w:t>来源：国金证券研究所</w:t>
            </w:r>
          </w:p>
        </w:tc>
        <w:tc>
          <w:tcPr>
            <w:tcW w:w="499" w:type="pct"/>
            <w:tcBorders>
              <w:top w:val="single" w:sz="4" w:space="0" w:color="3399FF"/>
              <w:left w:val="nil"/>
              <w:bottom w:val="nil"/>
              <w:right w:val="nil"/>
            </w:tcBorders>
            <w:shd w:val="clear" w:color="auto" w:fill="auto"/>
            <w:noWrap/>
            <w:vAlign w:val="center"/>
            <w:hideMark/>
          </w:tcPr>
          <w:p w:rsidR="009108A3" w:rsidRPr="00D5118B" w:rsidRDefault="009108A3" w:rsidP="00E1278A">
            <w:pPr>
              <w:jc w:val="left"/>
              <w:rPr>
                <w:rFonts w:ascii="宋体" w:eastAsia="宋体" w:hAnsi="宋体" w:cs="宋体"/>
                <w:color w:val="000000"/>
                <w:sz w:val="22"/>
              </w:rPr>
            </w:pPr>
          </w:p>
        </w:tc>
        <w:tc>
          <w:tcPr>
            <w:tcW w:w="374" w:type="pct"/>
            <w:tcBorders>
              <w:top w:val="single" w:sz="4" w:space="0" w:color="3399FF"/>
              <w:left w:val="nil"/>
              <w:bottom w:val="nil"/>
              <w:right w:val="nil"/>
            </w:tcBorders>
            <w:shd w:val="clear" w:color="auto" w:fill="auto"/>
            <w:noWrap/>
            <w:vAlign w:val="center"/>
            <w:hideMark/>
          </w:tcPr>
          <w:p w:rsidR="009108A3" w:rsidRPr="00D5118B" w:rsidRDefault="009108A3" w:rsidP="00E1278A">
            <w:pPr>
              <w:jc w:val="left"/>
              <w:rPr>
                <w:rFonts w:ascii="宋体" w:eastAsia="宋体" w:hAnsi="宋体" w:cs="宋体"/>
                <w:color w:val="000000"/>
                <w:sz w:val="22"/>
              </w:rPr>
            </w:pPr>
          </w:p>
        </w:tc>
      </w:tr>
    </w:tbl>
    <w:p w:rsidR="00F91C7C" w:rsidRPr="00216D2E" w:rsidRDefault="00F91C7C" w:rsidP="00216D2E">
      <w:pPr>
        <w:pStyle w:val="a0"/>
        <w:numPr>
          <w:ilvl w:val="4"/>
          <w:numId w:val="3"/>
        </w:numPr>
        <w:rPr>
          <w:color w:val="auto"/>
        </w:rPr>
      </w:pPr>
      <w:r w:rsidRPr="00144F1F">
        <w:rPr>
          <w:rFonts w:hint="eastAsia"/>
          <w:color w:val="auto"/>
        </w:rPr>
        <w:t>图表</w:t>
      </w:r>
      <w:r w:rsidR="00D004D6">
        <w:rPr>
          <w:rFonts w:hint="eastAsia"/>
          <w:color w:val="auto"/>
        </w:rPr>
        <w:t>6</w:t>
      </w:r>
      <w:r w:rsidRPr="00144F1F">
        <w:rPr>
          <w:rFonts w:hint="eastAsia"/>
          <w:color w:val="auto"/>
        </w:rPr>
        <w:t>反映了近一年、两年、三年考察时段中各类投连险账户的风险指标</w:t>
      </w:r>
      <w:r>
        <w:rPr>
          <w:rFonts w:hint="eastAsia"/>
          <w:color w:val="auto"/>
        </w:rPr>
        <w:t>。</w:t>
      </w:r>
      <w:r w:rsidR="0091053C">
        <w:rPr>
          <w:rFonts w:hint="eastAsia"/>
          <w:color w:val="auto"/>
        </w:rPr>
        <w:t>各类账户的</w:t>
      </w:r>
      <w:r w:rsidR="00220736">
        <w:rPr>
          <w:rFonts w:hint="eastAsia"/>
          <w:color w:val="auto"/>
        </w:rPr>
        <w:t>风险指标</w:t>
      </w:r>
      <w:r w:rsidR="0091053C" w:rsidRPr="00144F1F">
        <w:rPr>
          <w:rFonts w:hint="eastAsia"/>
          <w:color w:val="auto"/>
        </w:rPr>
        <w:t>均好于同期沪深</w:t>
      </w:r>
      <w:r w:rsidR="0091053C" w:rsidRPr="00144F1F">
        <w:rPr>
          <w:rFonts w:hint="eastAsia"/>
          <w:color w:val="auto"/>
        </w:rPr>
        <w:t>300</w:t>
      </w:r>
      <w:r w:rsidR="0091053C">
        <w:rPr>
          <w:rFonts w:hint="eastAsia"/>
          <w:color w:val="auto"/>
        </w:rPr>
        <w:t>指数水平，</w:t>
      </w:r>
      <w:r w:rsidR="00220736">
        <w:rPr>
          <w:rFonts w:hint="eastAsia"/>
          <w:color w:val="auto"/>
        </w:rPr>
        <w:t>其中</w:t>
      </w:r>
      <w:r w:rsidR="00216D2E">
        <w:rPr>
          <w:rFonts w:hint="eastAsia"/>
          <w:color w:val="auto"/>
        </w:rPr>
        <w:t>股票型、</w:t>
      </w:r>
      <w:r w:rsidR="00220736" w:rsidRPr="00216D2E">
        <w:rPr>
          <w:rFonts w:hint="eastAsia"/>
          <w:color w:val="auto"/>
        </w:rPr>
        <w:t>股票</w:t>
      </w:r>
      <w:r w:rsidR="00220736" w:rsidRPr="00216D2E">
        <w:rPr>
          <w:rFonts w:hint="eastAsia"/>
          <w:color w:val="auto"/>
        </w:rPr>
        <w:t>-</w:t>
      </w:r>
      <w:r w:rsidR="00220736" w:rsidRPr="00216D2E">
        <w:rPr>
          <w:rFonts w:hint="eastAsia"/>
          <w:color w:val="auto"/>
        </w:rPr>
        <w:t>指数型与沪深</w:t>
      </w:r>
      <w:r w:rsidR="00220736" w:rsidRPr="00216D2E">
        <w:rPr>
          <w:rFonts w:hint="eastAsia"/>
          <w:color w:val="auto"/>
        </w:rPr>
        <w:t>300</w:t>
      </w:r>
      <w:r w:rsidR="00220736" w:rsidRPr="00216D2E">
        <w:rPr>
          <w:rFonts w:hint="eastAsia"/>
          <w:color w:val="auto"/>
        </w:rPr>
        <w:t>指数的表现比较接近</w:t>
      </w:r>
      <w:r w:rsidR="008A59CA">
        <w:rPr>
          <w:rFonts w:hint="eastAsia"/>
          <w:color w:val="auto"/>
        </w:rPr>
        <w:t>，高于其它偏股类账户</w:t>
      </w:r>
      <w:r w:rsidR="00B328D8">
        <w:rPr>
          <w:rFonts w:hint="eastAsia"/>
          <w:color w:val="auto"/>
        </w:rPr>
        <w:t>；债券型账户的风险高于混合偏债型账户</w:t>
      </w:r>
      <w:r w:rsidR="0091053C" w:rsidRPr="00216D2E">
        <w:rPr>
          <w:rFonts w:hint="eastAsia"/>
          <w:color w:val="auto"/>
        </w:rPr>
        <w:t>。</w:t>
      </w:r>
    </w:p>
    <w:tbl>
      <w:tblPr>
        <w:tblpPr w:leftFromText="180" w:rightFromText="180" w:vertAnchor="text" w:horzAnchor="margin" w:tblpXSpec="right" w:tblpY="16"/>
        <w:tblOverlap w:val="never"/>
        <w:tblW w:w="7228" w:type="dxa"/>
        <w:tblBorders>
          <w:top w:val="single" w:sz="4" w:space="0" w:color="00A0E9"/>
          <w:insideH w:val="single" w:sz="4" w:space="0" w:color="00A0E9"/>
          <w:insideV w:val="single" w:sz="4" w:space="0" w:color="00A0E9"/>
        </w:tblBorders>
        <w:tblLayout w:type="fixed"/>
        <w:tblCellMar>
          <w:left w:w="0" w:type="dxa"/>
          <w:right w:w="0" w:type="dxa"/>
        </w:tblCellMar>
        <w:tblLook w:val="0000" w:firstRow="0" w:lastRow="0" w:firstColumn="0" w:lastColumn="0" w:noHBand="0" w:noVBand="0"/>
      </w:tblPr>
      <w:tblGrid>
        <w:gridCol w:w="1560"/>
        <w:gridCol w:w="992"/>
        <w:gridCol w:w="850"/>
        <w:gridCol w:w="849"/>
        <w:gridCol w:w="993"/>
        <w:gridCol w:w="992"/>
        <w:gridCol w:w="992"/>
      </w:tblGrid>
      <w:tr w:rsidR="009108A3" w:rsidTr="001B4630">
        <w:trPr>
          <w:cantSplit/>
          <w:trHeight w:val="200"/>
        </w:trPr>
        <w:tc>
          <w:tcPr>
            <w:tcW w:w="7228" w:type="dxa"/>
            <w:gridSpan w:val="7"/>
            <w:shd w:val="clear" w:color="auto" w:fill="auto"/>
          </w:tcPr>
          <w:p w:rsidR="009108A3" w:rsidRDefault="009108A3" w:rsidP="001B4630">
            <w:pPr>
              <w:pStyle w:val="SubTitleLargeTable"/>
            </w:pPr>
            <w:r>
              <w:rPr>
                <w:rFonts w:hint="eastAsia"/>
              </w:rPr>
              <w:t>图表</w:t>
            </w:r>
            <w:r>
              <w:rPr>
                <w:rFonts w:hint="eastAsia"/>
              </w:rPr>
              <w:t>6</w:t>
            </w:r>
            <w:r>
              <w:rPr>
                <w:rFonts w:hint="eastAsia"/>
              </w:rPr>
              <w:t>：投连险账户风险特征</w:t>
            </w:r>
          </w:p>
        </w:tc>
      </w:tr>
      <w:tr w:rsidR="009108A3" w:rsidTr="001B4630">
        <w:trPr>
          <w:cantSplit/>
          <w:trHeight w:val="312"/>
        </w:trPr>
        <w:tc>
          <w:tcPr>
            <w:tcW w:w="1560" w:type="dxa"/>
            <w:vMerge w:val="restart"/>
            <w:shd w:val="clear" w:color="auto" w:fill="auto"/>
            <w:vAlign w:val="center"/>
          </w:tcPr>
          <w:p w:rsidR="009108A3" w:rsidRPr="0056030B" w:rsidRDefault="009108A3" w:rsidP="001B4630">
            <w:pPr>
              <w:pStyle w:val="a0"/>
              <w:spacing w:after="0" w:line="10" w:lineRule="atLeast"/>
              <w:ind w:left="0"/>
              <w:jc w:val="center"/>
              <w:rPr>
                <w:color w:val="auto"/>
                <w:sz w:val="18"/>
                <w:szCs w:val="18"/>
              </w:rPr>
            </w:pPr>
          </w:p>
        </w:tc>
        <w:tc>
          <w:tcPr>
            <w:tcW w:w="2691" w:type="dxa"/>
            <w:gridSpan w:val="3"/>
            <w:shd w:val="clear" w:color="auto" w:fill="auto"/>
            <w:vAlign w:val="center"/>
          </w:tcPr>
          <w:p w:rsidR="009108A3" w:rsidRPr="00B022EE" w:rsidRDefault="009108A3" w:rsidP="001B4630">
            <w:pPr>
              <w:pStyle w:val="a0"/>
              <w:spacing w:after="0" w:line="10" w:lineRule="atLeast"/>
              <w:ind w:left="0"/>
              <w:jc w:val="center"/>
              <w:rPr>
                <w:rFonts w:ascii="宋体" w:eastAsia="宋体" w:hAnsi="宋体"/>
                <w:b/>
                <w:color w:val="auto"/>
                <w:sz w:val="18"/>
                <w:szCs w:val="18"/>
              </w:rPr>
            </w:pPr>
            <w:r w:rsidRPr="00B022EE">
              <w:rPr>
                <w:rFonts w:ascii="宋体" w:eastAsia="宋体" w:hAnsi="宋体" w:hint="eastAsia"/>
                <w:b/>
                <w:color w:val="auto"/>
                <w:sz w:val="18"/>
                <w:szCs w:val="18"/>
              </w:rPr>
              <w:t>标准差（年化）</w:t>
            </w:r>
          </w:p>
        </w:tc>
        <w:tc>
          <w:tcPr>
            <w:tcW w:w="2977" w:type="dxa"/>
            <w:gridSpan w:val="3"/>
            <w:shd w:val="clear" w:color="auto" w:fill="auto"/>
            <w:vAlign w:val="center"/>
          </w:tcPr>
          <w:p w:rsidR="009108A3" w:rsidRPr="00B022EE" w:rsidRDefault="009108A3" w:rsidP="001B4630">
            <w:pPr>
              <w:pStyle w:val="a0"/>
              <w:spacing w:after="0" w:line="10" w:lineRule="atLeast"/>
              <w:ind w:left="0"/>
              <w:jc w:val="center"/>
              <w:rPr>
                <w:rFonts w:ascii="宋体" w:eastAsia="宋体" w:hAnsi="宋体"/>
                <w:b/>
                <w:color w:val="auto"/>
                <w:sz w:val="18"/>
                <w:szCs w:val="18"/>
              </w:rPr>
            </w:pPr>
            <w:r>
              <w:rPr>
                <w:rFonts w:ascii="宋体" w:eastAsia="宋体" w:hAnsi="宋体" w:hint="eastAsia"/>
                <w:b/>
                <w:color w:val="auto"/>
                <w:sz w:val="18"/>
                <w:szCs w:val="18"/>
              </w:rPr>
              <w:t>最大回撤</w:t>
            </w:r>
          </w:p>
        </w:tc>
      </w:tr>
      <w:tr w:rsidR="009108A3" w:rsidTr="001B4630">
        <w:trPr>
          <w:cantSplit/>
          <w:trHeight w:val="312"/>
        </w:trPr>
        <w:tc>
          <w:tcPr>
            <w:tcW w:w="1560" w:type="dxa"/>
            <w:vMerge/>
            <w:shd w:val="clear" w:color="auto" w:fill="auto"/>
            <w:vAlign w:val="center"/>
          </w:tcPr>
          <w:p w:rsidR="009108A3" w:rsidRPr="0056030B" w:rsidRDefault="009108A3" w:rsidP="001B4630">
            <w:pPr>
              <w:pStyle w:val="a0"/>
              <w:spacing w:after="0" w:line="10" w:lineRule="atLeast"/>
              <w:ind w:left="0"/>
              <w:jc w:val="center"/>
              <w:rPr>
                <w:color w:val="auto"/>
                <w:sz w:val="18"/>
                <w:szCs w:val="18"/>
              </w:rPr>
            </w:pPr>
          </w:p>
        </w:tc>
        <w:tc>
          <w:tcPr>
            <w:tcW w:w="992" w:type="dxa"/>
            <w:shd w:val="clear" w:color="auto" w:fill="auto"/>
            <w:vAlign w:val="center"/>
          </w:tcPr>
          <w:p w:rsidR="009108A3" w:rsidRPr="0019593B" w:rsidRDefault="009108A3" w:rsidP="001B4630">
            <w:pPr>
              <w:jc w:val="center"/>
              <w:rPr>
                <w:rFonts w:ascii="宋体" w:eastAsia="宋体" w:hAnsi="宋体" w:cs="宋体"/>
                <w:b/>
                <w:bCs/>
                <w:color w:val="000000"/>
                <w:szCs w:val="18"/>
              </w:rPr>
            </w:pPr>
            <w:r w:rsidRPr="0019593B">
              <w:rPr>
                <w:rFonts w:ascii="宋体" w:eastAsia="宋体" w:hAnsi="宋体" w:hint="eastAsia"/>
                <w:b/>
                <w:bCs/>
                <w:color w:val="000000"/>
                <w:szCs w:val="18"/>
              </w:rPr>
              <w:t>近一年</w:t>
            </w:r>
          </w:p>
        </w:tc>
        <w:tc>
          <w:tcPr>
            <w:tcW w:w="850" w:type="dxa"/>
            <w:shd w:val="clear" w:color="auto" w:fill="auto"/>
            <w:vAlign w:val="center"/>
          </w:tcPr>
          <w:p w:rsidR="009108A3" w:rsidRPr="0019593B" w:rsidRDefault="009108A3" w:rsidP="001B4630">
            <w:pPr>
              <w:jc w:val="center"/>
              <w:rPr>
                <w:rFonts w:ascii="宋体" w:eastAsia="宋体" w:hAnsi="宋体"/>
                <w:b/>
                <w:bCs/>
                <w:color w:val="000000"/>
                <w:szCs w:val="18"/>
              </w:rPr>
            </w:pPr>
            <w:r w:rsidRPr="0019593B">
              <w:rPr>
                <w:rFonts w:ascii="宋体" w:eastAsia="宋体" w:hAnsi="宋体" w:hint="eastAsia"/>
                <w:b/>
                <w:bCs/>
                <w:color w:val="000000"/>
                <w:szCs w:val="18"/>
              </w:rPr>
              <w:t>近两年</w:t>
            </w:r>
          </w:p>
        </w:tc>
        <w:tc>
          <w:tcPr>
            <w:tcW w:w="849" w:type="dxa"/>
            <w:shd w:val="clear" w:color="auto" w:fill="auto"/>
            <w:vAlign w:val="center"/>
          </w:tcPr>
          <w:p w:rsidR="009108A3" w:rsidRPr="0019593B" w:rsidRDefault="009108A3" w:rsidP="001B4630">
            <w:pPr>
              <w:jc w:val="center"/>
              <w:rPr>
                <w:rFonts w:ascii="宋体" w:eastAsia="宋体" w:hAnsi="宋体" w:cs="宋体"/>
                <w:b/>
                <w:bCs/>
                <w:color w:val="000000"/>
                <w:szCs w:val="18"/>
              </w:rPr>
            </w:pPr>
            <w:r w:rsidRPr="0019593B">
              <w:rPr>
                <w:rFonts w:ascii="宋体" w:eastAsia="宋体" w:hAnsi="宋体" w:hint="eastAsia"/>
                <w:b/>
                <w:bCs/>
                <w:color w:val="000000"/>
                <w:szCs w:val="18"/>
              </w:rPr>
              <w:t>近三年</w:t>
            </w:r>
          </w:p>
        </w:tc>
        <w:tc>
          <w:tcPr>
            <w:tcW w:w="993" w:type="dxa"/>
            <w:shd w:val="clear" w:color="auto" w:fill="auto"/>
            <w:vAlign w:val="center"/>
          </w:tcPr>
          <w:p w:rsidR="009108A3" w:rsidRPr="0019593B" w:rsidRDefault="009108A3" w:rsidP="001B4630">
            <w:pPr>
              <w:jc w:val="center"/>
              <w:rPr>
                <w:rFonts w:ascii="宋体" w:eastAsia="宋体" w:hAnsi="宋体" w:cs="宋体"/>
                <w:b/>
                <w:bCs/>
                <w:color w:val="000000"/>
                <w:szCs w:val="18"/>
              </w:rPr>
            </w:pPr>
            <w:r w:rsidRPr="0019593B">
              <w:rPr>
                <w:rFonts w:ascii="宋体" w:eastAsia="宋体" w:hAnsi="宋体" w:hint="eastAsia"/>
                <w:b/>
                <w:bCs/>
                <w:color w:val="000000"/>
                <w:szCs w:val="18"/>
              </w:rPr>
              <w:t>近一年</w:t>
            </w:r>
          </w:p>
        </w:tc>
        <w:tc>
          <w:tcPr>
            <w:tcW w:w="992" w:type="dxa"/>
            <w:shd w:val="clear" w:color="auto" w:fill="auto"/>
            <w:vAlign w:val="center"/>
          </w:tcPr>
          <w:p w:rsidR="009108A3" w:rsidRPr="0019593B" w:rsidRDefault="009108A3" w:rsidP="001B4630">
            <w:pPr>
              <w:jc w:val="center"/>
              <w:rPr>
                <w:rFonts w:ascii="宋体" w:eastAsia="宋体" w:hAnsi="宋体"/>
                <w:b/>
                <w:bCs/>
                <w:color w:val="000000"/>
                <w:szCs w:val="18"/>
              </w:rPr>
            </w:pPr>
            <w:r w:rsidRPr="0019593B">
              <w:rPr>
                <w:rFonts w:ascii="宋体" w:eastAsia="宋体" w:hAnsi="宋体" w:hint="eastAsia"/>
                <w:b/>
                <w:bCs/>
                <w:color w:val="000000"/>
                <w:szCs w:val="18"/>
              </w:rPr>
              <w:t>近两年</w:t>
            </w:r>
          </w:p>
        </w:tc>
        <w:tc>
          <w:tcPr>
            <w:tcW w:w="992" w:type="dxa"/>
            <w:shd w:val="clear" w:color="auto" w:fill="auto"/>
            <w:vAlign w:val="center"/>
          </w:tcPr>
          <w:p w:rsidR="009108A3" w:rsidRPr="0019593B" w:rsidRDefault="009108A3" w:rsidP="001B4630">
            <w:pPr>
              <w:jc w:val="center"/>
              <w:rPr>
                <w:rFonts w:ascii="宋体" w:eastAsia="宋体" w:hAnsi="宋体" w:cs="宋体"/>
                <w:b/>
                <w:bCs/>
                <w:color w:val="000000"/>
                <w:szCs w:val="18"/>
              </w:rPr>
            </w:pPr>
            <w:r w:rsidRPr="0019593B">
              <w:rPr>
                <w:rFonts w:ascii="宋体" w:eastAsia="宋体" w:hAnsi="宋体" w:hint="eastAsia"/>
                <w:b/>
                <w:bCs/>
                <w:color w:val="000000"/>
                <w:szCs w:val="18"/>
              </w:rPr>
              <w:t>近三年</w:t>
            </w:r>
          </w:p>
        </w:tc>
      </w:tr>
      <w:tr w:rsidR="0016178D" w:rsidRPr="00332E55" w:rsidTr="0016178D">
        <w:trPr>
          <w:cantSplit/>
          <w:trHeight w:val="312"/>
        </w:trPr>
        <w:tc>
          <w:tcPr>
            <w:tcW w:w="1560" w:type="dxa"/>
            <w:shd w:val="clear" w:color="auto" w:fill="auto"/>
            <w:vAlign w:val="center"/>
          </w:tcPr>
          <w:p w:rsidR="0016178D" w:rsidRPr="00084D2A" w:rsidRDefault="0016178D" w:rsidP="001B4630">
            <w:pPr>
              <w:jc w:val="center"/>
              <w:rPr>
                <w:rFonts w:ascii="宋体" w:eastAsia="宋体" w:hAnsi="宋体" w:cs="宋体"/>
                <w:b/>
                <w:bCs/>
                <w:color w:val="000000"/>
                <w:szCs w:val="18"/>
              </w:rPr>
            </w:pPr>
            <w:r w:rsidRPr="00084D2A">
              <w:rPr>
                <w:rFonts w:ascii="宋体" w:eastAsia="宋体" w:hAnsi="宋体" w:hint="eastAsia"/>
                <w:b/>
                <w:bCs/>
                <w:color w:val="000000"/>
                <w:szCs w:val="18"/>
              </w:rPr>
              <w:t>股票型账户</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25.13%</w:t>
            </w:r>
          </w:p>
        </w:tc>
        <w:tc>
          <w:tcPr>
            <w:tcW w:w="850"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21.29%</w:t>
            </w:r>
          </w:p>
        </w:tc>
        <w:tc>
          <w:tcPr>
            <w:tcW w:w="849"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20.08%</w:t>
            </w:r>
          </w:p>
        </w:tc>
        <w:tc>
          <w:tcPr>
            <w:tcW w:w="993"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16.76%</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17.46%</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17.58%</w:t>
            </w:r>
          </w:p>
        </w:tc>
      </w:tr>
      <w:tr w:rsidR="0016178D" w:rsidRPr="00332E55" w:rsidTr="0016178D">
        <w:trPr>
          <w:cantSplit/>
          <w:trHeight w:val="312"/>
        </w:trPr>
        <w:tc>
          <w:tcPr>
            <w:tcW w:w="1560" w:type="dxa"/>
            <w:shd w:val="clear" w:color="auto" w:fill="auto"/>
            <w:vAlign w:val="center"/>
          </w:tcPr>
          <w:p w:rsidR="0016178D" w:rsidRPr="00084D2A" w:rsidRDefault="0016178D" w:rsidP="001B4630">
            <w:pPr>
              <w:jc w:val="center"/>
              <w:rPr>
                <w:rFonts w:ascii="宋体" w:eastAsia="宋体" w:hAnsi="宋体" w:cs="宋体"/>
                <w:b/>
                <w:bCs/>
                <w:color w:val="000000"/>
                <w:szCs w:val="18"/>
              </w:rPr>
            </w:pPr>
            <w:r w:rsidRPr="00084D2A">
              <w:rPr>
                <w:rFonts w:ascii="宋体" w:eastAsia="宋体" w:hAnsi="宋体" w:hint="eastAsia"/>
                <w:b/>
                <w:bCs/>
                <w:color w:val="000000"/>
                <w:szCs w:val="18"/>
              </w:rPr>
              <w:t>股票-指数型账户</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25.48%</w:t>
            </w:r>
          </w:p>
        </w:tc>
        <w:tc>
          <w:tcPr>
            <w:tcW w:w="850"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20.99%</w:t>
            </w:r>
          </w:p>
        </w:tc>
        <w:tc>
          <w:tcPr>
            <w:tcW w:w="849"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20.97%</w:t>
            </w:r>
          </w:p>
        </w:tc>
        <w:tc>
          <w:tcPr>
            <w:tcW w:w="993"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15.51%</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16.47%</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20.79%</w:t>
            </w:r>
          </w:p>
        </w:tc>
      </w:tr>
      <w:tr w:rsidR="0016178D" w:rsidRPr="00332E55" w:rsidTr="0016178D">
        <w:trPr>
          <w:cantSplit/>
          <w:trHeight w:val="312"/>
        </w:trPr>
        <w:tc>
          <w:tcPr>
            <w:tcW w:w="1560" w:type="dxa"/>
            <w:shd w:val="clear" w:color="auto" w:fill="auto"/>
            <w:vAlign w:val="center"/>
          </w:tcPr>
          <w:p w:rsidR="0016178D" w:rsidRPr="00084D2A" w:rsidRDefault="0016178D" w:rsidP="001B4630">
            <w:pPr>
              <w:jc w:val="center"/>
              <w:rPr>
                <w:rFonts w:ascii="宋体" w:eastAsia="宋体" w:hAnsi="宋体" w:cs="宋体"/>
                <w:b/>
                <w:bCs/>
                <w:color w:val="000000"/>
                <w:szCs w:val="18"/>
              </w:rPr>
            </w:pPr>
            <w:r w:rsidRPr="00084D2A">
              <w:rPr>
                <w:rFonts w:ascii="宋体" w:eastAsia="宋体" w:hAnsi="宋体" w:hint="eastAsia"/>
                <w:b/>
                <w:bCs/>
                <w:color w:val="000000"/>
                <w:szCs w:val="18"/>
              </w:rPr>
              <w:t>混合偏股型账户</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19.50%</w:t>
            </w:r>
          </w:p>
        </w:tc>
        <w:tc>
          <w:tcPr>
            <w:tcW w:w="850"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16.53%</w:t>
            </w:r>
          </w:p>
        </w:tc>
        <w:tc>
          <w:tcPr>
            <w:tcW w:w="849"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15.54%</w:t>
            </w:r>
          </w:p>
        </w:tc>
        <w:tc>
          <w:tcPr>
            <w:tcW w:w="993"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12.52%</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13.36%</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13.79%</w:t>
            </w:r>
          </w:p>
        </w:tc>
      </w:tr>
      <w:tr w:rsidR="0016178D" w:rsidRPr="00332E55" w:rsidTr="0016178D">
        <w:trPr>
          <w:cantSplit/>
          <w:trHeight w:val="312"/>
        </w:trPr>
        <w:tc>
          <w:tcPr>
            <w:tcW w:w="1560" w:type="dxa"/>
            <w:shd w:val="clear" w:color="auto" w:fill="auto"/>
            <w:vAlign w:val="center"/>
          </w:tcPr>
          <w:p w:rsidR="0016178D" w:rsidRPr="00084D2A" w:rsidRDefault="0016178D" w:rsidP="001B4630">
            <w:pPr>
              <w:jc w:val="center"/>
              <w:rPr>
                <w:rFonts w:ascii="宋体" w:eastAsia="宋体" w:hAnsi="宋体" w:cs="宋体"/>
                <w:b/>
                <w:bCs/>
                <w:color w:val="000000"/>
                <w:szCs w:val="18"/>
              </w:rPr>
            </w:pPr>
            <w:r w:rsidRPr="00084D2A">
              <w:rPr>
                <w:rFonts w:ascii="宋体" w:eastAsia="宋体" w:hAnsi="宋体" w:hint="eastAsia"/>
                <w:b/>
                <w:bCs/>
                <w:color w:val="000000"/>
                <w:szCs w:val="18"/>
              </w:rPr>
              <w:t>灵活配置型账户</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19.79%</w:t>
            </w:r>
          </w:p>
        </w:tc>
        <w:tc>
          <w:tcPr>
            <w:tcW w:w="850"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16.20%</w:t>
            </w:r>
          </w:p>
        </w:tc>
        <w:tc>
          <w:tcPr>
            <w:tcW w:w="849"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15.65%</w:t>
            </w:r>
          </w:p>
        </w:tc>
        <w:tc>
          <w:tcPr>
            <w:tcW w:w="993"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11.78%</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12.74%</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16.19%</w:t>
            </w:r>
          </w:p>
        </w:tc>
      </w:tr>
      <w:tr w:rsidR="0016178D" w:rsidRPr="00220736" w:rsidTr="0016178D">
        <w:trPr>
          <w:cantSplit/>
          <w:trHeight w:val="312"/>
        </w:trPr>
        <w:tc>
          <w:tcPr>
            <w:tcW w:w="1560" w:type="dxa"/>
            <w:shd w:val="clear" w:color="auto" w:fill="auto"/>
            <w:vAlign w:val="center"/>
          </w:tcPr>
          <w:p w:rsidR="0016178D" w:rsidRPr="00084D2A" w:rsidRDefault="0016178D" w:rsidP="001B4630">
            <w:pPr>
              <w:jc w:val="center"/>
              <w:rPr>
                <w:rFonts w:ascii="宋体" w:eastAsia="宋体" w:hAnsi="宋体" w:cs="宋体"/>
                <w:b/>
                <w:bCs/>
                <w:color w:val="000000"/>
                <w:szCs w:val="18"/>
              </w:rPr>
            </w:pPr>
            <w:r w:rsidRPr="00084D2A">
              <w:rPr>
                <w:rFonts w:ascii="宋体" w:eastAsia="宋体" w:hAnsi="宋体" w:hint="eastAsia"/>
                <w:b/>
                <w:bCs/>
                <w:color w:val="000000"/>
                <w:szCs w:val="18"/>
              </w:rPr>
              <w:t>债券型账户</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14.82%</w:t>
            </w:r>
          </w:p>
        </w:tc>
        <w:tc>
          <w:tcPr>
            <w:tcW w:w="850"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11.85%</w:t>
            </w:r>
          </w:p>
        </w:tc>
        <w:tc>
          <w:tcPr>
            <w:tcW w:w="849"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11.09%</w:t>
            </w:r>
          </w:p>
        </w:tc>
        <w:tc>
          <w:tcPr>
            <w:tcW w:w="993"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10.43%</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10.87%</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11.68%</w:t>
            </w:r>
          </w:p>
        </w:tc>
      </w:tr>
      <w:tr w:rsidR="0016178D" w:rsidRPr="007137DB" w:rsidTr="0016178D">
        <w:trPr>
          <w:cantSplit/>
          <w:trHeight w:val="312"/>
        </w:trPr>
        <w:tc>
          <w:tcPr>
            <w:tcW w:w="1560" w:type="dxa"/>
            <w:shd w:val="clear" w:color="auto" w:fill="auto"/>
            <w:vAlign w:val="center"/>
          </w:tcPr>
          <w:p w:rsidR="0016178D" w:rsidRPr="00084D2A" w:rsidRDefault="0016178D" w:rsidP="001B4630">
            <w:pPr>
              <w:jc w:val="center"/>
              <w:rPr>
                <w:rFonts w:ascii="宋体" w:eastAsia="宋体" w:hAnsi="宋体" w:cs="宋体"/>
                <w:b/>
                <w:bCs/>
                <w:color w:val="000000"/>
                <w:szCs w:val="18"/>
              </w:rPr>
            </w:pPr>
            <w:r w:rsidRPr="00084D2A">
              <w:rPr>
                <w:rFonts w:ascii="宋体" w:eastAsia="宋体" w:hAnsi="宋体" w:hint="eastAsia"/>
                <w:b/>
                <w:bCs/>
                <w:color w:val="000000"/>
                <w:szCs w:val="18"/>
              </w:rPr>
              <w:t>混合偏债型账户</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4.74%</w:t>
            </w:r>
          </w:p>
        </w:tc>
        <w:tc>
          <w:tcPr>
            <w:tcW w:w="850"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4.64%</w:t>
            </w:r>
          </w:p>
        </w:tc>
        <w:tc>
          <w:tcPr>
            <w:tcW w:w="849"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4.37%</w:t>
            </w:r>
          </w:p>
        </w:tc>
        <w:tc>
          <w:tcPr>
            <w:tcW w:w="993"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2.60%</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3.39%</w:t>
            </w:r>
          </w:p>
        </w:tc>
        <w:tc>
          <w:tcPr>
            <w:tcW w:w="992"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4.17%</w:t>
            </w:r>
          </w:p>
        </w:tc>
      </w:tr>
      <w:tr w:rsidR="0016178D" w:rsidRPr="00332E55" w:rsidTr="0016178D">
        <w:trPr>
          <w:cantSplit/>
          <w:trHeight w:val="312"/>
        </w:trPr>
        <w:tc>
          <w:tcPr>
            <w:tcW w:w="1560" w:type="dxa"/>
            <w:tcBorders>
              <w:bottom w:val="single" w:sz="4" w:space="0" w:color="00A0E9"/>
            </w:tcBorders>
            <w:shd w:val="clear" w:color="auto" w:fill="auto"/>
            <w:vAlign w:val="center"/>
          </w:tcPr>
          <w:p w:rsidR="0016178D" w:rsidRPr="00084D2A" w:rsidRDefault="0016178D" w:rsidP="001B4630">
            <w:pPr>
              <w:jc w:val="center"/>
              <w:rPr>
                <w:rFonts w:ascii="宋体" w:eastAsia="宋体" w:hAnsi="宋体" w:cs="宋体"/>
                <w:b/>
                <w:bCs/>
                <w:color w:val="000000"/>
                <w:szCs w:val="18"/>
              </w:rPr>
            </w:pPr>
            <w:r w:rsidRPr="00084D2A">
              <w:rPr>
                <w:rFonts w:ascii="宋体" w:eastAsia="宋体" w:hAnsi="宋体" w:hint="eastAsia"/>
                <w:b/>
                <w:bCs/>
                <w:color w:val="000000"/>
                <w:szCs w:val="18"/>
              </w:rPr>
              <w:t>货币型账户</w:t>
            </w:r>
          </w:p>
        </w:tc>
        <w:tc>
          <w:tcPr>
            <w:tcW w:w="992" w:type="dxa"/>
            <w:tcBorders>
              <w:bottom w:val="single" w:sz="4" w:space="0" w:color="00A0E9"/>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0.90%</w:t>
            </w:r>
          </w:p>
        </w:tc>
        <w:tc>
          <w:tcPr>
            <w:tcW w:w="850" w:type="dxa"/>
            <w:tcBorders>
              <w:bottom w:val="single" w:sz="4" w:space="0" w:color="00A0E9"/>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0.74%</w:t>
            </w:r>
          </w:p>
        </w:tc>
        <w:tc>
          <w:tcPr>
            <w:tcW w:w="849" w:type="dxa"/>
            <w:tcBorders>
              <w:bottom w:val="single" w:sz="4" w:space="0" w:color="00A0E9"/>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0.75%</w:t>
            </w:r>
          </w:p>
        </w:tc>
        <w:tc>
          <w:tcPr>
            <w:tcW w:w="993" w:type="dxa"/>
            <w:tcBorders>
              <w:bottom w:val="single" w:sz="4" w:space="0" w:color="00A0E9"/>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0.54%</w:t>
            </w:r>
          </w:p>
        </w:tc>
        <w:tc>
          <w:tcPr>
            <w:tcW w:w="992" w:type="dxa"/>
            <w:tcBorders>
              <w:bottom w:val="single" w:sz="4" w:space="0" w:color="00A0E9"/>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0.56%</w:t>
            </w:r>
          </w:p>
        </w:tc>
        <w:tc>
          <w:tcPr>
            <w:tcW w:w="992" w:type="dxa"/>
            <w:tcBorders>
              <w:bottom w:val="single" w:sz="4" w:space="0" w:color="00A0E9"/>
            </w:tcBorders>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0.65%</w:t>
            </w:r>
          </w:p>
        </w:tc>
      </w:tr>
      <w:tr w:rsidR="0016178D" w:rsidRPr="00332E55" w:rsidTr="0016178D">
        <w:trPr>
          <w:cantSplit/>
          <w:trHeight w:val="312"/>
        </w:trPr>
        <w:tc>
          <w:tcPr>
            <w:tcW w:w="1560" w:type="dxa"/>
            <w:tcBorders>
              <w:bottom w:val="single" w:sz="4" w:space="0" w:color="00A0E9"/>
            </w:tcBorders>
            <w:shd w:val="clear" w:color="auto" w:fill="D9D9D9"/>
            <w:vAlign w:val="center"/>
          </w:tcPr>
          <w:p w:rsidR="0016178D" w:rsidRPr="00084D2A" w:rsidRDefault="0016178D" w:rsidP="001B4630">
            <w:pPr>
              <w:jc w:val="center"/>
              <w:rPr>
                <w:rFonts w:ascii="宋体" w:eastAsia="宋体" w:hAnsi="宋体"/>
                <w:b/>
                <w:bCs/>
                <w:color w:val="000000"/>
                <w:szCs w:val="18"/>
              </w:rPr>
            </w:pPr>
            <w:r w:rsidRPr="00084D2A">
              <w:rPr>
                <w:rFonts w:ascii="宋体" w:eastAsia="宋体" w:hAnsi="宋体" w:hint="eastAsia"/>
                <w:b/>
                <w:bCs/>
                <w:color w:val="000000"/>
                <w:szCs w:val="18"/>
              </w:rPr>
              <w:t>沪深300</w:t>
            </w:r>
          </w:p>
        </w:tc>
        <w:tc>
          <w:tcPr>
            <w:tcW w:w="992"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29.15%</w:t>
            </w:r>
          </w:p>
        </w:tc>
        <w:tc>
          <w:tcPr>
            <w:tcW w:w="850"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23.94%</w:t>
            </w:r>
          </w:p>
        </w:tc>
        <w:tc>
          <w:tcPr>
            <w:tcW w:w="849"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23.69%</w:t>
            </w:r>
          </w:p>
        </w:tc>
        <w:tc>
          <w:tcPr>
            <w:tcW w:w="993"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18.72%</w:t>
            </w:r>
          </w:p>
        </w:tc>
        <w:tc>
          <w:tcPr>
            <w:tcW w:w="992"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18.72%</w:t>
            </w:r>
          </w:p>
        </w:tc>
        <w:tc>
          <w:tcPr>
            <w:tcW w:w="992"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23.41%</w:t>
            </w:r>
          </w:p>
        </w:tc>
      </w:tr>
      <w:tr w:rsidR="0016178D" w:rsidRPr="00332E55" w:rsidTr="0016178D">
        <w:trPr>
          <w:cantSplit/>
          <w:trHeight w:val="312"/>
        </w:trPr>
        <w:tc>
          <w:tcPr>
            <w:tcW w:w="1560" w:type="dxa"/>
            <w:tcBorders>
              <w:bottom w:val="single" w:sz="4" w:space="0" w:color="00A0E9"/>
            </w:tcBorders>
            <w:shd w:val="clear" w:color="auto" w:fill="D9D9D9"/>
            <w:vAlign w:val="center"/>
          </w:tcPr>
          <w:p w:rsidR="0016178D" w:rsidRPr="00084D2A" w:rsidRDefault="0016178D" w:rsidP="001B4630">
            <w:pPr>
              <w:jc w:val="center"/>
              <w:rPr>
                <w:rFonts w:ascii="宋体" w:eastAsia="宋体" w:hAnsi="宋体"/>
                <w:b/>
                <w:bCs/>
                <w:color w:val="000000"/>
                <w:szCs w:val="18"/>
              </w:rPr>
            </w:pPr>
            <w:r>
              <w:rPr>
                <w:rFonts w:ascii="宋体" w:eastAsia="宋体" w:hAnsi="宋体" w:hint="eastAsia"/>
                <w:b/>
                <w:bCs/>
                <w:color w:val="000000"/>
                <w:szCs w:val="18"/>
              </w:rPr>
              <w:t>中证500</w:t>
            </w:r>
          </w:p>
        </w:tc>
        <w:tc>
          <w:tcPr>
            <w:tcW w:w="992"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29.52%</w:t>
            </w:r>
          </w:p>
        </w:tc>
        <w:tc>
          <w:tcPr>
            <w:tcW w:w="850"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24.87%</w:t>
            </w:r>
          </w:p>
        </w:tc>
        <w:tc>
          <w:tcPr>
            <w:tcW w:w="849"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24.86%</w:t>
            </w:r>
          </w:p>
        </w:tc>
        <w:tc>
          <w:tcPr>
            <w:tcW w:w="993"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21.37%</w:t>
            </w:r>
          </w:p>
        </w:tc>
        <w:tc>
          <w:tcPr>
            <w:tcW w:w="992"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21.37%</w:t>
            </w:r>
          </w:p>
        </w:tc>
        <w:tc>
          <w:tcPr>
            <w:tcW w:w="992"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21.37%</w:t>
            </w:r>
          </w:p>
        </w:tc>
      </w:tr>
      <w:tr w:rsidR="009108A3" w:rsidTr="001B4630">
        <w:trPr>
          <w:cantSplit/>
          <w:trHeight w:val="312"/>
        </w:trPr>
        <w:tc>
          <w:tcPr>
            <w:tcW w:w="7228" w:type="dxa"/>
            <w:gridSpan w:val="7"/>
            <w:tcBorders>
              <w:top w:val="single" w:sz="4" w:space="0" w:color="00A0E9"/>
            </w:tcBorders>
            <w:shd w:val="clear" w:color="auto" w:fill="auto"/>
            <w:vAlign w:val="center"/>
          </w:tcPr>
          <w:p w:rsidR="009108A3" w:rsidRPr="0056030B" w:rsidRDefault="009108A3" w:rsidP="0016178D">
            <w:pPr>
              <w:pStyle w:val="a0"/>
              <w:spacing w:after="0" w:line="10" w:lineRule="atLeast"/>
              <w:ind w:left="0"/>
              <w:jc w:val="left"/>
              <w:rPr>
                <w:color w:val="auto"/>
                <w:sz w:val="18"/>
                <w:szCs w:val="18"/>
              </w:rPr>
            </w:pPr>
            <w:r w:rsidRPr="0056030B">
              <w:rPr>
                <w:rFonts w:hint="eastAsia"/>
                <w:color w:val="auto"/>
                <w:sz w:val="18"/>
                <w:szCs w:val="18"/>
              </w:rPr>
              <w:t>注：数据截止</w:t>
            </w:r>
            <w:r w:rsidRPr="0056030B">
              <w:rPr>
                <w:rFonts w:hint="eastAsia"/>
                <w:color w:val="auto"/>
                <w:sz w:val="18"/>
                <w:szCs w:val="18"/>
              </w:rPr>
              <w:t>201</w:t>
            </w:r>
            <w:r>
              <w:rPr>
                <w:rFonts w:hint="eastAsia"/>
                <w:color w:val="auto"/>
                <w:sz w:val="18"/>
                <w:szCs w:val="18"/>
              </w:rPr>
              <w:t>5</w:t>
            </w:r>
            <w:r w:rsidRPr="0056030B">
              <w:rPr>
                <w:rFonts w:hint="eastAsia"/>
                <w:color w:val="auto"/>
                <w:sz w:val="18"/>
                <w:szCs w:val="18"/>
              </w:rPr>
              <w:t>年</w:t>
            </w:r>
            <w:r w:rsidR="0016178D">
              <w:rPr>
                <w:rFonts w:hint="eastAsia"/>
                <w:color w:val="auto"/>
                <w:sz w:val="18"/>
                <w:szCs w:val="18"/>
              </w:rPr>
              <w:t>6</w:t>
            </w:r>
            <w:r w:rsidRPr="0056030B">
              <w:rPr>
                <w:rFonts w:hint="eastAsia"/>
                <w:color w:val="auto"/>
                <w:sz w:val="18"/>
                <w:szCs w:val="18"/>
              </w:rPr>
              <w:t>月。</w:t>
            </w:r>
          </w:p>
        </w:tc>
      </w:tr>
      <w:tr w:rsidR="009108A3" w:rsidTr="001B4630">
        <w:trPr>
          <w:cantSplit/>
          <w:trHeight w:val="200"/>
        </w:trPr>
        <w:tc>
          <w:tcPr>
            <w:tcW w:w="7228" w:type="dxa"/>
            <w:gridSpan w:val="7"/>
            <w:shd w:val="clear" w:color="auto" w:fill="auto"/>
          </w:tcPr>
          <w:p w:rsidR="009108A3" w:rsidRDefault="009108A3" w:rsidP="001B4630">
            <w:pPr>
              <w:pStyle w:val="FootnoteNoline"/>
              <w:ind w:left="0"/>
            </w:pPr>
            <w:r>
              <w:rPr>
                <w:rFonts w:hint="eastAsia"/>
              </w:rPr>
              <w:t>来源：国金证券研究所</w:t>
            </w:r>
          </w:p>
        </w:tc>
      </w:tr>
    </w:tbl>
    <w:p w:rsidR="00F91C7C" w:rsidRPr="009108A3" w:rsidRDefault="00F91C7C" w:rsidP="00F91C7C">
      <w:pPr>
        <w:pStyle w:val="a0"/>
        <w:ind w:left="3430"/>
        <w:rPr>
          <w:color w:val="auto"/>
        </w:rPr>
      </w:pPr>
    </w:p>
    <w:p w:rsidR="009108A3" w:rsidRDefault="009108A3" w:rsidP="00F91C7C">
      <w:pPr>
        <w:pStyle w:val="a0"/>
        <w:ind w:left="3430"/>
        <w:rPr>
          <w:color w:val="auto"/>
        </w:rPr>
      </w:pPr>
    </w:p>
    <w:p w:rsidR="009108A3" w:rsidRDefault="009108A3" w:rsidP="00F91C7C">
      <w:pPr>
        <w:pStyle w:val="a0"/>
        <w:ind w:left="3430"/>
        <w:rPr>
          <w:color w:val="auto"/>
        </w:rPr>
      </w:pPr>
    </w:p>
    <w:p w:rsidR="009108A3" w:rsidRDefault="009108A3" w:rsidP="00F91C7C">
      <w:pPr>
        <w:pStyle w:val="a0"/>
        <w:ind w:left="3430"/>
        <w:rPr>
          <w:color w:val="auto"/>
        </w:rPr>
      </w:pPr>
    </w:p>
    <w:p w:rsidR="009108A3" w:rsidRPr="00810482" w:rsidRDefault="009108A3" w:rsidP="00F91C7C">
      <w:pPr>
        <w:pStyle w:val="a0"/>
        <w:ind w:left="3430"/>
        <w:rPr>
          <w:color w:val="auto"/>
        </w:rPr>
      </w:pPr>
    </w:p>
    <w:p w:rsidR="00810482" w:rsidRDefault="00810482" w:rsidP="00F91C7C">
      <w:pPr>
        <w:pStyle w:val="a0"/>
        <w:ind w:left="3430"/>
        <w:rPr>
          <w:color w:val="auto"/>
        </w:rPr>
      </w:pPr>
    </w:p>
    <w:p w:rsidR="00810482" w:rsidRDefault="00810482" w:rsidP="00F91C7C">
      <w:pPr>
        <w:pStyle w:val="a0"/>
        <w:ind w:left="3430"/>
        <w:rPr>
          <w:color w:val="auto"/>
        </w:rPr>
      </w:pPr>
    </w:p>
    <w:p w:rsidR="00810482" w:rsidRPr="00F91C7C" w:rsidRDefault="00810482" w:rsidP="00F91C7C">
      <w:pPr>
        <w:pStyle w:val="a0"/>
        <w:ind w:left="3430"/>
        <w:rPr>
          <w:color w:val="auto"/>
        </w:rPr>
      </w:pPr>
    </w:p>
    <w:p w:rsidR="00F91C7C" w:rsidRDefault="00F91C7C" w:rsidP="00F91C7C">
      <w:pPr>
        <w:pStyle w:val="a0"/>
        <w:ind w:left="3430"/>
        <w:rPr>
          <w:color w:val="auto"/>
        </w:rPr>
      </w:pPr>
    </w:p>
    <w:p w:rsidR="00F91C7C" w:rsidRDefault="00F91C7C" w:rsidP="00F91C7C">
      <w:pPr>
        <w:pStyle w:val="a0"/>
        <w:ind w:left="3430"/>
        <w:rPr>
          <w:color w:val="auto"/>
        </w:rPr>
      </w:pPr>
    </w:p>
    <w:p w:rsidR="00F91C7C" w:rsidRDefault="00F91C7C" w:rsidP="00F91C7C">
      <w:pPr>
        <w:pStyle w:val="a0"/>
        <w:ind w:left="3430"/>
        <w:rPr>
          <w:color w:val="auto"/>
        </w:rPr>
      </w:pPr>
    </w:p>
    <w:p w:rsidR="00F91C7C" w:rsidRPr="00F91C7C" w:rsidRDefault="00F91C7C" w:rsidP="00F91C7C">
      <w:pPr>
        <w:pStyle w:val="a0"/>
        <w:ind w:left="3430"/>
        <w:rPr>
          <w:color w:val="auto"/>
        </w:rPr>
      </w:pPr>
    </w:p>
    <w:p w:rsidR="00F91C7C" w:rsidRDefault="00F91C7C" w:rsidP="00B328D8">
      <w:pPr>
        <w:pStyle w:val="a0"/>
        <w:rPr>
          <w:color w:val="auto"/>
        </w:rPr>
      </w:pPr>
    </w:p>
    <w:p w:rsidR="00F91C7C" w:rsidRDefault="00F91C7C" w:rsidP="00F91C7C">
      <w:pPr>
        <w:pStyle w:val="a0"/>
        <w:numPr>
          <w:ilvl w:val="4"/>
          <w:numId w:val="3"/>
        </w:numPr>
        <w:rPr>
          <w:color w:val="auto"/>
        </w:rPr>
      </w:pPr>
      <w:r>
        <w:rPr>
          <w:rFonts w:hint="eastAsia"/>
          <w:color w:val="auto"/>
        </w:rPr>
        <w:t>图表</w:t>
      </w:r>
      <w:r w:rsidR="00D004D6">
        <w:rPr>
          <w:rFonts w:hint="eastAsia"/>
          <w:color w:val="auto"/>
        </w:rPr>
        <w:t>7</w:t>
      </w:r>
      <w:r>
        <w:rPr>
          <w:rFonts w:hint="eastAsia"/>
          <w:color w:val="auto"/>
        </w:rPr>
        <w:t>反映各账户近一年、两年、三年风险调整后收益水平（即夏普比率）。下面分类别考察投连险账户的风险调整后收益情况：</w:t>
      </w:r>
    </w:p>
    <w:p w:rsidR="00F91C7C" w:rsidRDefault="00F91C7C" w:rsidP="00F91C7C">
      <w:pPr>
        <w:pStyle w:val="a0"/>
        <w:numPr>
          <w:ilvl w:val="5"/>
          <w:numId w:val="4"/>
        </w:numPr>
        <w:rPr>
          <w:color w:val="auto"/>
        </w:rPr>
      </w:pPr>
      <w:r w:rsidRPr="00E97093">
        <w:rPr>
          <w:rFonts w:hint="eastAsia"/>
          <w:color w:val="auto"/>
        </w:rPr>
        <w:t>在</w:t>
      </w:r>
      <w:r w:rsidRPr="00E97093">
        <w:rPr>
          <w:rFonts w:hint="eastAsia"/>
          <w:color w:val="auto"/>
        </w:rPr>
        <w:t>4</w:t>
      </w:r>
      <w:r w:rsidR="0091053C">
        <w:rPr>
          <w:rFonts w:hint="eastAsia"/>
          <w:color w:val="auto"/>
        </w:rPr>
        <w:t>4</w:t>
      </w:r>
      <w:r w:rsidRPr="00E97093">
        <w:rPr>
          <w:rFonts w:hint="eastAsia"/>
          <w:color w:val="auto"/>
        </w:rPr>
        <w:t>个</w:t>
      </w:r>
      <w:r>
        <w:rPr>
          <w:rFonts w:hint="eastAsia"/>
          <w:color w:val="auto"/>
        </w:rPr>
        <w:t>运作满一年的股票型账户</w:t>
      </w:r>
      <w:r w:rsidR="009108A3">
        <w:rPr>
          <w:rFonts w:hint="eastAsia"/>
          <w:color w:val="auto"/>
        </w:rPr>
        <w:t>43</w:t>
      </w:r>
      <w:r w:rsidR="009108A3">
        <w:rPr>
          <w:rFonts w:hint="eastAsia"/>
          <w:color w:val="auto"/>
        </w:rPr>
        <w:t>正</w:t>
      </w:r>
      <w:r w:rsidR="009108A3">
        <w:rPr>
          <w:rFonts w:hint="eastAsia"/>
          <w:color w:val="auto"/>
        </w:rPr>
        <w:t>1</w:t>
      </w:r>
      <w:r w:rsidR="009108A3">
        <w:rPr>
          <w:rFonts w:hint="eastAsia"/>
          <w:color w:val="auto"/>
        </w:rPr>
        <w:t>负</w:t>
      </w:r>
      <w:r>
        <w:rPr>
          <w:rFonts w:hint="eastAsia"/>
          <w:color w:val="auto"/>
        </w:rPr>
        <w:t>；</w:t>
      </w:r>
      <w:r w:rsidR="009108A3">
        <w:rPr>
          <w:rFonts w:hint="eastAsia"/>
          <w:color w:val="auto"/>
        </w:rPr>
        <w:t>43</w:t>
      </w:r>
      <w:r w:rsidR="009108A3">
        <w:rPr>
          <w:rFonts w:hint="eastAsia"/>
          <w:color w:val="auto"/>
        </w:rPr>
        <w:t>个账户的夏普比率均在</w:t>
      </w:r>
      <w:r w:rsidR="0031692A">
        <w:rPr>
          <w:rFonts w:hint="eastAsia"/>
          <w:color w:val="auto"/>
        </w:rPr>
        <w:t>1</w:t>
      </w:r>
      <w:r w:rsidR="009108A3">
        <w:rPr>
          <w:rFonts w:hint="eastAsia"/>
          <w:color w:val="auto"/>
        </w:rPr>
        <w:t>以上，其中，</w:t>
      </w:r>
      <w:r w:rsidR="0031692A">
        <w:rPr>
          <w:rFonts w:hint="eastAsia"/>
          <w:color w:val="auto"/>
        </w:rPr>
        <w:t>光大永明人寿</w:t>
      </w:r>
      <w:r w:rsidR="0031692A">
        <w:rPr>
          <w:rFonts w:hint="eastAsia"/>
          <w:color w:val="auto"/>
        </w:rPr>
        <w:t>-</w:t>
      </w:r>
      <w:r w:rsidR="0031692A">
        <w:rPr>
          <w:rFonts w:hint="eastAsia"/>
          <w:color w:val="auto"/>
        </w:rPr>
        <w:t>进取型</w:t>
      </w:r>
      <w:r w:rsidR="006E1A5D">
        <w:rPr>
          <w:rFonts w:hint="eastAsia"/>
          <w:color w:val="auto"/>
        </w:rPr>
        <w:t>的夏普比率最高，为</w:t>
      </w:r>
      <w:r w:rsidR="006E1A5D">
        <w:rPr>
          <w:rFonts w:hint="eastAsia"/>
          <w:color w:val="auto"/>
        </w:rPr>
        <w:t>4.</w:t>
      </w:r>
      <w:r w:rsidR="0031692A">
        <w:rPr>
          <w:rFonts w:hint="eastAsia"/>
          <w:color w:val="auto"/>
        </w:rPr>
        <w:t>0</w:t>
      </w:r>
      <w:r w:rsidR="006E1A5D">
        <w:rPr>
          <w:rFonts w:hint="eastAsia"/>
          <w:color w:val="auto"/>
        </w:rPr>
        <w:t>2</w:t>
      </w:r>
      <w:r>
        <w:rPr>
          <w:rFonts w:hint="eastAsia"/>
          <w:color w:val="auto"/>
        </w:rPr>
        <w:t>。最近两年纳入统计的</w:t>
      </w:r>
      <w:r>
        <w:rPr>
          <w:rFonts w:hint="eastAsia"/>
          <w:color w:val="auto"/>
        </w:rPr>
        <w:t>4</w:t>
      </w:r>
      <w:r w:rsidR="0091053C">
        <w:rPr>
          <w:rFonts w:hint="eastAsia"/>
          <w:color w:val="auto"/>
        </w:rPr>
        <w:t>3</w:t>
      </w:r>
      <w:r w:rsidR="00D004D6">
        <w:rPr>
          <w:rFonts w:hint="eastAsia"/>
          <w:color w:val="auto"/>
        </w:rPr>
        <w:t>个账户中</w:t>
      </w:r>
      <w:r w:rsidR="00D544B8">
        <w:rPr>
          <w:rFonts w:hint="eastAsia"/>
          <w:color w:val="auto"/>
        </w:rPr>
        <w:t>，</w:t>
      </w:r>
      <w:r w:rsidR="00D004D6">
        <w:rPr>
          <w:rFonts w:hint="eastAsia"/>
          <w:color w:val="auto"/>
        </w:rPr>
        <w:t>所有账户的夏普比率均</w:t>
      </w:r>
      <w:r w:rsidR="0031692A">
        <w:rPr>
          <w:rFonts w:hint="eastAsia"/>
          <w:color w:val="auto"/>
        </w:rPr>
        <w:t>为正</w:t>
      </w:r>
      <w:r w:rsidR="006E1A5D">
        <w:rPr>
          <w:rFonts w:hint="eastAsia"/>
          <w:color w:val="auto"/>
        </w:rPr>
        <w:t>，其中，</w:t>
      </w:r>
      <w:r w:rsidR="0031692A">
        <w:rPr>
          <w:rFonts w:hint="eastAsia"/>
          <w:color w:val="auto"/>
        </w:rPr>
        <w:t>光大永明人寿</w:t>
      </w:r>
      <w:r w:rsidR="0031692A">
        <w:rPr>
          <w:rFonts w:hint="eastAsia"/>
          <w:color w:val="auto"/>
        </w:rPr>
        <w:t>-</w:t>
      </w:r>
      <w:r w:rsidR="0031692A">
        <w:rPr>
          <w:rFonts w:hint="eastAsia"/>
          <w:color w:val="auto"/>
        </w:rPr>
        <w:t>进取型</w:t>
      </w:r>
      <w:r w:rsidR="006E1A5D">
        <w:rPr>
          <w:rFonts w:hint="eastAsia"/>
          <w:color w:val="auto"/>
        </w:rPr>
        <w:t>的夏普比率最高，为</w:t>
      </w:r>
      <w:r w:rsidR="006E1A5D">
        <w:rPr>
          <w:rFonts w:hint="eastAsia"/>
          <w:color w:val="auto"/>
        </w:rPr>
        <w:t>2.</w:t>
      </w:r>
      <w:r w:rsidR="0031692A">
        <w:rPr>
          <w:rFonts w:hint="eastAsia"/>
          <w:color w:val="auto"/>
        </w:rPr>
        <w:t>39</w:t>
      </w:r>
      <w:r>
        <w:rPr>
          <w:rFonts w:hint="eastAsia"/>
          <w:color w:val="auto"/>
        </w:rPr>
        <w:t>。过去三年，</w:t>
      </w:r>
      <w:r>
        <w:rPr>
          <w:rFonts w:hint="eastAsia"/>
          <w:color w:val="auto"/>
        </w:rPr>
        <w:t>4</w:t>
      </w:r>
      <w:r w:rsidR="006E1A5D">
        <w:rPr>
          <w:rFonts w:hint="eastAsia"/>
          <w:color w:val="auto"/>
        </w:rPr>
        <w:t>2</w:t>
      </w:r>
      <w:r>
        <w:rPr>
          <w:rFonts w:hint="eastAsia"/>
          <w:color w:val="auto"/>
        </w:rPr>
        <w:t>个运作满三年的股票型账户的夏普比率全部为正，</w:t>
      </w:r>
      <w:r w:rsidR="006E1A5D">
        <w:rPr>
          <w:rFonts w:hint="eastAsia"/>
          <w:color w:val="auto"/>
        </w:rPr>
        <w:t>其中，</w:t>
      </w:r>
      <w:r w:rsidR="0031692A">
        <w:rPr>
          <w:rFonts w:hint="eastAsia"/>
          <w:color w:val="auto"/>
        </w:rPr>
        <w:t>光大永明人寿</w:t>
      </w:r>
      <w:r w:rsidR="0031692A">
        <w:rPr>
          <w:rFonts w:hint="eastAsia"/>
          <w:color w:val="auto"/>
        </w:rPr>
        <w:t>-</w:t>
      </w:r>
      <w:r w:rsidR="0031692A">
        <w:rPr>
          <w:rFonts w:hint="eastAsia"/>
          <w:color w:val="auto"/>
        </w:rPr>
        <w:t>进取型的夏普比率</w:t>
      </w:r>
      <w:r w:rsidR="006E1A5D">
        <w:rPr>
          <w:rFonts w:hint="eastAsia"/>
          <w:color w:val="auto"/>
        </w:rPr>
        <w:t>最高，为</w:t>
      </w:r>
      <w:r w:rsidR="006E1A5D">
        <w:rPr>
          <w:rFonts w:hint="eastAsia"/>
          <w:color w:val="auto"/>
        </w:rPr>
        <w:t>1.</w:t>
      </w:r>
      <w:r w:rsidR="0031692A">
        <w:rPr>
          <w:rFonts w:hint="eastAsia"/>
          <w:color w:val="auto"/>
        </w:rPr>
        <w:t>68</w:t>
      </w:r>
      <w:r>
        <w:rPr>
          <w:rFonts w:hint="eastAsia"/>
          <w:color w:val="auto"/>
        </w:rPr>
        <w:t>。</w:t>
      </w:r>
      <w:r w:rsidR="0031692A">
        <w:rPr>
          <w:rFonts w:hint="eastAsia"/>
          <w:color w:val="auto"/>
        </w:rPr>
        <w:t>光大永明人寿</w:t>
      </w:r>
      <w:r w:rsidR="0031692A">
        <w:rPr>
          <w:rFonts w:hint="eastAsia"/>
          <w:color w:val="auto"/>
        </w:rPr>
        <w:t>-</w:t>
      </w:r>
      <w:r w:rsidR="0031692A">
        <w:rPr>
          <w:rFonts w:hint="eastAsia"/>
          <w:color w:val="auto"/>
        </w:rPr>
        <w:t>进取型</w:t>
      </w:r>
      <w:r>
        <w:rPr>
          <w:rFonts w:hint="eastAsia"/>
          <w:color w:val="auto"/>
        </w:rPr>
        <w:t>近年的表现持续领先。</w:t>
      </w:r>
    </w:p>
    <w:p w:rsidR="00F91C7C" w:rsidRDefault="00F91C7C" w:rsidP="00F91C7C">
      <w:pPr>
        <w:pStyle w:val="a0"/>
        <w:numPr>
          <w:ilvl w:val="5"/>
          <w:numId w:val="4"/>
        </w:numPr>
        <w:rPr>
          <w:color w:val="auto"/>
        </w:rPr>
      </w:pPr>
      <w:r>
        <w:rPr>
          <w:rFonts w:hint="eastAsia"/>
          <w:color w:val="auto"/>
        </w:rPr>
        <w:t>6</w:t>
      </w:r>
      <w:r>
        <w:rPr>
          <w:rFonts w:hint="eastAsia"/>
          <w:color w:val="auto"/>
        </w:rPr>
        <w:t>个运作满三年的</w:t>
      </w:r>
      <w:r w:rsidRPr="00F17AD6">
        <w:rPr>
          <w:rFonts w:hint="eastAsia"/>
          <w:color w:val="auto"/>
        </w:rPr>
        <w:t>股票</w:t>
      </w:r>
      <w:r w:rsidRPr="00F17AD6">
        <w:rPr>
          <w:rFonts w:hint="eastAsia"/>
          <w:color w:val="auto"/>
        </w:rPr>
        <w:t>-</w:t>
      </w:r>
      <w:r w:rsidRPr="00F17AD6">
        <w:rPr>
          <w:rFonts w:hint="eastAsia"/>
          <w:color w:val="auto"/>
        </w:rPr>
        <w:t>指数型账户</w:t>
      </w:r>
      <w:r>
        <w:rPr>
          <w:rFonts w:hint="eastAsia"/>
          <w:color w:val="auto"/>
        </w:rPr>
        <w:t>，在近一年、近两年、近三年的统计范围内的夏普值均为正，且过去一年均在</w:t>
      </w:r>
      <w:r w:rsidR="001E4AF1">
        <w:rPr>
          <w:rFonts w:hint="eastAsia"/>
          <w:color w:val="auto"/>
        </w:rPr>
        <w:t>2</w:t>
      </w:r>
      <w:r>
        <w:rPr>
          <w:rFonts w:hint="eastAsia"/>
          <w:color w:val="auto"/>
        </w:rPr>
        <w:t>以上。指数型在趋势性行情中的表现突出。</w:t>
      </w:r>
    </w:p>
    <w:p w:rsidR="00F91C7C" w:rsidRDefault="00F91C7C" w:rsidP="00F91C7C">
      <w:pPr>
        <w:pStyle w:val="a0"/>
        <w:numPr>
          <w:ilvl w:val="5"/>
          <w:numId w:val="4"/>
        </w:numPr>
        <w:rPr>
          <w:color w:val="auto"/>
        </w:rPr>
      </w:pPr>
      <w:r>
        <w:rPr>
          <w:rFonts w:hint="eastAsia"/>
          <w:color w:val="auto"/>
        </w:rPr>
        <w:t>2</w:t>
      </w:r>
      <w:r w:rsidR="0091053C">
        <w:rPr>
          <w:rFonts w:hint="eastAsia"/>
          <w:color w:val="auto"/>
        </w:rPr>
        <w:t>6</w:t>
      </w:r>
      <w:r>
        <w:rPr>
          <w:rFonts w:hint="eastAsia"/>
          <w:color w:val="auto"/>
        </w:rPr>
        <w:t>个运作满一年的混合偏股型账户中，夏普比率</w:t>
      </w:r>
      <w:r w:rsidR="001E4AF1">
        <w:rPr>
          <w:rFonts w:hint="eastAsia"/>
          <w:color w:val="auto"/>
        </w:rPr>
        <w:t>均在</w:t>
      </w:r>
      <w:r w:rsidR="0031692A">
        <w:rPr>
          <w:rFonts w:hint="eastAsia"/>
          <w:color w:val="auto"/>
        </w:rPr>
        <w:t>1</w:t>
      </w:r>
      <w:r w:rsidR="001E4AF1">
        <w:rPr>
          <w:rFonts w:hint="eastAsia"/>
          <w:color w:val="auto"/>
        </w:rPr>
        <w:t>以上</w:t>
      </w:r>
      <w:r w:rsidR="006E1A5D">
        <w:rPr>
          <w:rFonts w:hint="eastAsia"/>
          <w:color w:val="auto"/>
        </w:rPr>
        <w:t>，其中，</w:t>
      </w:r>
      <w:r w:rsidR="0031692A">
        <w:rPr>
          <w:rFonts w:hint="eastAsia"/>
          <w:color w:val="auto"/>
        </w:rPr>
        <w:t>华泰人寿</w:t>
      </w:r>
      <w:r w:rsidR="0031692A">
        <w:rPr>
          <w:rFonts w:hint="eastAsia"/>
          <w:color w:val="auto"/>
        </w:rPr>
        <w:t>-</w:t>
      </w:r>
      <w:r w:rsidR="0031692A">
        <w:rPr>
          <w:rFonts w:hint="eastAsia"/>
          <w:color w:val="auto"/>
        </w:rPr>
        <w:t>进取型</w:t>
      </w:r>
      <w:r w:rsidR="006E1A5D">
        <w:rPr>
          <w:rFonts w:hint="eastAsia"/>
          <w:color w:val="auto"/>
        </w:rPr>
        <w:t>的夏普比率最高，为</w:t>
      </w:r>
      <w:r w:rsidR="0031692A">
        <w:rPr>
          <w:rFonts w:hint="eastAsia"/>
          <w:color w:val="auto"/>
        </w:rPr>
        <w:t>3.50</w:t>
      </w:r>
      <w:r>
        <w:rPr>
          <w:rFonts w:hint="eastAsia"/>
          <w:color w:val="auto"/>
        </w:rPr>
        <w:t>。</w:t>
      </w:r>
      <w:r w:rsidR="00A7651E">
        <w:rPr>
          <w:rFonts w:hint="eastAsia"/>
          <w:color w:val="auto"/>
        </w:rPr>
        <w:t>25</w:t>
      </w:r>
      <w:r w:rsidR="00A7651E">
        <w:rPr>
          <w:rFonts w:hint="eastAsia"/>
          <w:color w:val="auto"/>
        </w:rPr>
        <w:t>个运作满</w:t>
      </w:r>
      <w:r w:rsidR="00A7651E">
        <w:rPr>
          <w:rFonts w:hint="eastAsia"/>
          <w:color w:val="auto"/>
        </w:rPr>
        <w:t>2</w:t>
      </w:r>
      <w:r w:rsidR="00A7651E">
        <w:rPr>
          <w:rFonts w:hint="eastAsia"/>
          <w:color w:val="auto"/>
        </w:rPr>
        <w:t>年的账户中</w:t>
      </w:r>
      <w:r w:rsidR="009108A3">
        <w:rPr>
          <w:rFonts w:hint="eastAsia"/>
          <w:color w:val="auto"/>
        </w:rPr>
        <w:t>，所有账户的夏普值均在</w:t>
      </w:r>
      <w:r w:rsidR="009108A3">
        <w:rPr>
          <w:rFonts w:hint="eastAsia"/>
          <w:color w:val="auto"/>
        </w:rPr>
        <w:t>1</w:t>
      </w:r>
      <w:r w:rsidR="009108A3">
        <w:rPr>
          <w:rFonts w:hint="eastAsia"/>
          <w:color w:val="auto"/>
        </w:rPr>
        <w:t>以上</w:t>
      </w:r>
      <w:r w:rsidR="006E1A5D">
        <w:rPr>
          <w:rFonts w:hint="eastAsia"/>
          <w:color w:val="auto"/>
        </w:rPr>
        <w:t>，其中，</w:t>
      </w:r>
      <w:r w:rsidR="0031692A">
        <w:rPr>
          <w:rFonts w:hint="eastAsia"/>
          <w:color w:val="auto"/>
        </w:rPr>
        <w:t>华泰人寿</w:t>
      </w:r>
      <w:r w:rsidR="0031692A">
        <w:rPr>
          <w:rFonts w:hint="eastAsia"/>
          <w:color w:val="auto"/>
        </w:rPr>
        <w:t>-</w:t>
      </w:r>
      <w:r w:rsidR="0031692A">
        <w:rPr>
          <w:rFonts w:hint="eastAsia"/>
          <w:color w:val="auto"/>
        </w:rPr>
        <w:t>平衡型</w:t>
      </w:r>
      <w:r w:rsidR="006E1A5D">
        <w:rPr>
          <w:rFonts w:hint="eastAsia"/>
          <w:color w:val="auto"/>
        </w:rPr>
        <w:t>的夏普比率最高，为</w:t>
      </w:r>
      <w:r w:rsidR="006E1A5D">
        <w:rPr>
          <w:rFonts w:hint="eastAsia"/>
          <w:color w:val="auto"/>
        </w:rPr>
        <w:t>2.</w:t>
      </w:r>
      <w:r w:rsidR="0031692A">
        <w:rPr>
          <w:rFonts w:hint="eastAsia"/>
          <w:color w:val="auto"/>
        </w:rPr>
        <w:t>12</w:t>
      </w:r>
      <w:r>
        <w:rPr>
          <w:rFonts w:hint="eastAsia"/>
          <w:color w:val="auto"/>
        </w:rPr>
        <w:t>。</w:t>
      </w:r>
      <w:r w:rsidR="00A7651E">
        <w:rPr>
          <w:rFonts w:hint="eastAsia"/>
          <w:color w:val="auto"/>
        </w:rPr>
        <w:t>25</w:t>
      </w:r>
      <w:r w:rsidR="00A7651E">
        <w:rPr>
          <w:rFonts w:hint="eastAsia"/>
          <w:color w:val="auto"/>
        </w:rPr>
        <w:t>个运作满</w:t>
      </w:r>
      <w:r w:rsidR="00A7651E">
        <w:rPr>
          <w:rFonts w:hint="eastAsia"/>
          <w:color w:val="auto"/>
        </w:rPr>
        <w:t>3</w:t>
      </w:r>
      <w:r w:rsidR="00A7651E">
        <w:rPr>
          <w:rFonts w:hint="eastAsia"/>
          <w:color w:val="auto"/>
        </w:rPr>
        <w:t>年的账户中</w:t>
      </w:r>
      <w:r>
        <w:rPr>
          <w:rFonts w:hint="eastAsia"/>
          <w:color w:val="auto"/>
        </w:rPr>
        <w:t>，</w:t>
      </w:r>
      <w:r w:rsidR="00A7651E">
        <w:rPr>
          <w:rFonts w:hint="eastAsia"/>
          <w:color w:val="auto"/>
        </w:rPr>
        <w:t>所有账户的夏普比率均为正</w:t>
      </w:r>
      <w:r w:rsidR="006E1A5D">
        <w:rPr>
          <w:rFonts w:hint="eastAsia"/>
          <w:color w:val="auto"/>
        </w:rPr>
        <w:t>，其中太平人寿</w:t>
      </w:r>
      <w:r w:rsidR="006E1A5D">
        <w:rPr>
          <w:rFonts w:hint="eastAsia"/>
          <w:color w:val="auto"/>
        </w:rPr>
        <w:t>-</w:t>
      </w:r>
      <w:r w:rsidR="006E1A5D">
        <w:rPr>
          <w:rFonts w:hint="eastAsia"/>
          <w:color w:val="auto"/>
        </w:rPr>
        <w:t>智选动力增长的夏普比率最高，为</w:t>
      </w:r>
      <w:r w:rsidR="006E1A5D">
        <w:rPr>
          <w:rFonts w:hint="eastAsia"/>
          <w:color w:val="auto"/>
        </w:rPr>
        <w:t>1.95</w:t>
      </w:r>
      <w:r>
        <w:rPr>
          <w:rFonts w:hint="eastAsia"/>
          <w:color w:val="auto"/>
        </w:rPr>
        <w:t>。</w:t>
      </w:r>
    </w:p>
    <w:p w:rsidR="00F91C7C" w:rsidRPr="00A7651E" w:rsidRDefault="00A7651E" w:rsidP="00A7651E">
      <w:pPr>
        <w:pStyle w:val="a0"/>
        <w:numPr>
          <w:ilvl w:val="5"/>
          <w:numId w:val="4"/>
        </w:numPr>
        <w:rPr>
          <w:color w:val="auto"/>
        </w:rPr>
      </w:pPr>
      <w:r>
        <w:rPr>
          <w:rFonts w:hint="eastAsia"/>
          <w:color w:val="auto"/>
        </w:rPr>
        <w:t>21</w:t>
      </w:r>
      <w:r w:rsidR="00F91C7C" w:rsidRPr="00117F84">
        <w:rPr>
          <w:rFonts w:hint="eastAsia"/>
          <w:color w:val="auto"/>
        </w:rPr>
        <w:t>个运作满</w:t>
      </w:r>
      <w:r w:rsidR="009108A3">
        <w:rPr>
          <w:rFonts w:hint="eastAsia"/>
          <w:color w:val="auto"/>
        </w:rPr>
        <w:t>一年的灵活配置类账户的夏普比率全部为正</w:t>
      </w:r>
      <w:r w:rsidR="006E1A5D">
        <w:rPr>
          <w:rFonts w:hint="eastAsia"/>
          <w:color w:val="auto"/>
        </w:rPr>
        <w:t>，其中，</w:t>
      </w:r>
      <w:r w:rsidR="0031692A">
        <w:rPr>
          <w:rFonts w:hint="eastAsia"/>
          <w:color w:val="auto"/>
        </w:rPr>
        <w:t>光大永明人寿</w:t>
      </w:r>
      <w:r w:rsidR="0031692A">
        <w:rPr>
          <w:rFonts w:hint="eastAsia"/>
          <w:color w:val="auto"/>
        </w:rPr>
        <w:t>-</w:t>
      </w:r>
      <w:r w:rsidR="0031692A">
        <w:rPr>
          <w:rFonts w:hint="eastAsia"/>
          <w:color w:val="auto"/>
        </w:rPr>
        <w:t>平衡型</w:t>
      </w:r>
      <w:r w:rsidR="006E1A5D">
        <w:rPr>
          <w:rFonts w:hint="eastAsia"/>
          <w:color w:val="auto"/>
        </w:rPr>
        <w:t>的夏普比率最高，为</w:t>
      </w:r>
      <w:r w:rsidR="0031692A">
        <w:rPr>
          <w:rFonts w:hint="eastAsia"/>
          <w:color w:val="auto"/>
        </w:rPr>
        <w:t>3.82</w:t>
      </w:r>
      <w:r w:rsidR="00F91C7C" w:rsidRPr="00A7651E">
        <w:rPr>
          <w:rFonts w:hint="eastAsia"/>
          <w:color w:val="auto"/>
        </w:rPr>
        <w:t>。</w:t>
      </w:r>
      <w:r w:rsidR="009108A3">
        <w:rPr>
          <w:rFonts w:hint="eastAsia"/>
          <w:color w:val="auto"/>
        </w:rPr>
        <w:t>21</w:t>
      </w:r>
      <w:r w:rsidR="009108A3">
        <w:rPr>
          <w:rFonts w:hint="eastAsia"/>
          <w:color w:val="auto"/>
        </w:rPr>
        <w:t>个运作满两年账户的夏普比率全部为正</w:t>
      </w:r>
      <w:r w:rsidR="006E1A5D">
        <w:rPr>
          <w:rFonts w:hint="eastAsia"/>
          <w:color w:val="auto"/>
        </w:rPr>
        <w:t>，其中</w:t>
      </w:r>
      <w:r w:rsidR="0031692A">
        <w:rPr>
          <w:rFonts w:hint="eastAsia"/>
          <w:color w:val="auto"/>
        </w:rPr>
        <w:t>光大永明人寿</w:t>
      </w:r>
      <w:r w:rsidR="0031692A">
        <w:rPr>
          <w:rFonts w:hint="eastAsia"/>
          <w:color w:val="auto"/>
        </w:rPr>
        <w:t>-</w:t>
      </w:r>
      <w:r w:rsidR="0031692A">
        <w:rPr>
          <w:rFonts w:hint="eastAsia"/>
          <w:color w:val="auto"/>
        </w:rPr>
        <w:t>平衡型</w:t>
      </w:r>
      <w:r w:rsidR="006E1A5D">
        <w:rPr>
          <w:rFonts w:hint="eastAsia"/>
          <w:color w:val="auto"/>
        </w:rPr>
        <w:t>最高，为</w:t>
      </w:r>
      <w:r w:rsidR="006E1A5D">
        <w:rPr>
          <w:rFonts w:hint="eastAsia"/>
          <w:color w:val="auto"/>
        </w:rPr>
        <w:t>2.</w:t>
      </w:r>
      <w:r w:rsidR="0031692A">
        <w:rPr>
          <w:rFonts w:hint="eastAsia"/>
          <w:color w:val="auto"/>
        </w:rPr>
        <w:t>25</w:t>
      </w:r>
      <w:r w:rsidR="009108A3">
        <w:rPr>
          <w:rFonts w:hint="eastAsia"/>
          <w:color w:val="auto"/>
        </w:rPr>
        <w:t>。</w:t>
      </w:r>
      <w:r w:rsidR="001E4AF1">
        <w:rPr>
          <w:rFonts w:hint="eastAsia"/>
          <w:color w:val="auto"/>
        </w:rPr>
        <w:t>20</w:t>
      </w:r>
      <w:r w:rsidR="009108A3">
        <w:rPr>
          <w:rFonts w:hint="eastAsia"/>
          <w:color w:val="auto"/>
        </w:rPr>
        <w:t>个运作满三年</w:t>
      </w:r>
      <w:r w:rsidR="001E4AF1">
        <w:rPr>
          <w:rFonts w:hint="eastAsia"/>
          <w:color w:val="auto"/>
        </w:rPr>
        <w:t>账户</w:t>
      </w:r>
      <w:r w:rsidR="009108A3">
        <w:rPr>
          <w:rFonts w:hint="eastAsia"/>
          <w:color w:val="auto"/>
        </w:rPr>
        <w:t>的夏普比率均为正</w:t>
      </w:r>
      <w:r w:rsidR="006E1A5D">
        <w:rPr>
          <w:rFonts w:hint="eastAsia"/>
          <w:color w:val="auto"/>
        </w:rPr>
        <w:t>，其中</w:t>
      </w:r>
      <w:r w:rsidR="0031692A">
        <w:rPr>
          <w:rFonts w:hint="eastAsia"/>
          <w:color w:val="auto"/>
        </w:rPr>
        <w:t>招商信诺人寿</w:t>
      </w:r>
      <w:r w:rsidR="0031692A">
        <w:rPr>
          <w:rFonts w:hint="eastAsia"/>
          <w:color w:val="auto"/>
        </w:rPr>
        <w:t>-</w:t>
      </w:r>
      <w:r w:rsidR="0031692A">
        <w:rPr>
          <w:rFonts w:hint="eastAsia"/>
          <w:color w:val="auto"/>
        </w:rPr>
        <w:t>灵动</w:t>
      </w:r>
      <w:r w:rsidR="0031692A">
        <w:rPr>
          <w:rFonts w:hint="eastAsia"/>
          <w:color w:val="auto"/>
        </w:rPr>
        <w:t>A</w:t>
      </w:r>
      <w:r w:rsidR="0031692A">
        <w:rPr>
          <w:rFonts w:hint="eastAsia"/>
          <w:color w:val="auto"/>
        </w:rPr>
        <w:t>型</w:t>
      </w:r>
      <w:r w:rsidR="006E1A5D">
        <w:rPr>
          <w:rFonts w:hint="eastAsia"/>
          <w:color w:val="auto"/>
        </w:rPr>
        <w:t>的夏普比率最高，为</w:t>
      </w:r>
      <w:r w:rsidR="006E1A5D">
        <w:rPr>
          <w:rFonts w:hint="eastAsia"/>
          <w:color w:val="auto"/>
        </w:rPr>
        <w:t>1.</w:t>
      </w:r>
      <w:r w:rsidR="0031692A">
        <w:rPr>
          <w:rFonts w:hint="eastAsia"/>
          <w:color w:val="auto"/>
        </w:rPr>
        <w:t>45</w:t>
      </w:r>
      <w:r w:rsidR="00F91C7C" w:rsidRPr="00A7651E">
        <w:rPr>
          <w:rFonts w:hint="eastAsia"/>
          <w:color w:val="auto"/>
        </w:rPr>
        <w:t>。</w:t>
      </w:r>
    </w:p>
    <w:tbl>
      <w:tblPr>
        <w:tblpPr w:leftFromText="180" w:rightFromText="180" w:vertAnchor="text" w:tblpX="3402" w:tblpY="1"/>
        <w:tblOverlap w:val="never"/>
        <w:tblW w:w="7370" w:type="dxa"/>
        <w:tblBorders>
          <w:top w:val="single" w:sz="4" w:space="0" w:color="00A0E9"/>
          <w:insideH w:val="single" w:sz="4" w:space="0" w:color="00A0E9"/>
          <w:insideV w:val="single" w:sz="4" w:space="0" w:color="00A0E9"/>
        </w:tblBorders>
        <w:tblLayout w:type="fixed"/>
        <w:tblCellMar>
          <w:left w:w="0" w:type="dxa"/>
          <w:right w:w="0" w:type="dxa"/>
        </w:tblCellMar>
        <w:tblLook w:val="0000" w:firstRow="0" w:lastRow="0" w:firstColumn="0" w:lastColumn="0" w:noHBand="0" w:noVBand="0"/>
      </w:tblPr>
      <w:tblGrid>
        <w:gridCol w:w="2694"/>
        <w:gridCol w:w="1701"/>
        <w:gridCol w:w="1559"/>
        <w:gridCol w:w="1416"/>
      </w:tblGrid>
      <w:tr w:rsidR="00F91C7C" w:rsidTr="00E1278A">
        <w:trPr>
          <w:cantSplit/>
          <w:trHeight w:val="200"/>
        </w:trPr>
        <w:tc>
          <w:tcPr>
            <w:tcW w:w="7370" w:type="dxa"/>
            <w:gridSpan w:val="4"/>
            <w:shd w:val="clear" w:color="auto" w:fill="auto"/>
          </w:tcPr>
          <w:p w:rsidR="00F91C7C" w:rsidRDefault="00F91C7C" w:rsidP="00B54652">
            <w:pPr>
              <w:pStyle w:val="SubTitleLargeTable"/>
            </w:pPr>
            <w:bookmarkStart w:id="4" w:name="投连险账户风险收益特征"/>
            <w:r>
              <w:rPr>
                <w:rFonts w:hint="eastAsia"/>
              </w:rPr>
              <w:t>图表</w:t>
            </w:r>
            <w:bookmarkEnd w:id="4"/>
            <w:r w:rsidR="00B54652">
              <w:rPr>
                <w:rFonts w:hint="eastAsia"/>
              </w:rPr>
              <w:t>7</w:t>
            </w:r>
            <w:r>
              <w:rPr>
                <w:rFonts w:hint="eastAsia"/>
              </w:rPr>
              <w:t>：投连险账户风险调整后收益特征</w:t>
            </w:r>
          </w:p>
        </w:tc>
      </w:tr>
      <w:tr w:rsidR="00F91C7C" w:rsidTr="00E1278A">
        <w:trPr>
          <w:cantSplit/>
          <w:trHeight w:val="312"/>
        </w:trPr>
        <w:tc>
          <w:tcPr>
            <w:tcW w:w="2694" w:type="dxa"/>
            <w:vMerge w:val="restart"/>
            <w:shd w:val="clear" w:color="auto" w:fill="auto"/>
            <w:vAlign w:val="center"/>
          </w:tcPr>
          <w:p w:rsidR="00F91C7C" w:rsidRPr="0056030B" w:rsidRDefault="00F91C7C" w:rsidP="00E1278A">
            <w:pPr>
              <w:pStyle w:val="a0"/>
              <w:spacing w:after="0" w:line="10" w:lineRule="atLeast"/>
              <w:ind w:left="0"/>
              <w:jc w:val="center"/>
              <w:rPr>
                <w:color w:val="auto"/>
                <w:sz w:val="18"/>
                <w:szCs w:val="18"/>
              </w:rPr>
            </w:pPr>
          </w:p>
        </w:tc>
        <w:tc>
          <w:tcPr>
            <w:tcW w:w="4676" w:type="dxa"/>
            <w:gridSpan w:val="3"/>
            <w:shd w:val="clear" w:color="auto" w:fill="auto"/>
            <w:vAlign w:val="center"/>
          </w:tcPr>
          <w:p w:rsidR="00F91C7C" w:rsidRPr="00B022EE" w:rsidRDefault="00F91C7C" w:rsidP="00E1278A">
            <w:pPr>
              <w:pStyle w:val="a0"/>
              <w:spacing w:after="0" w:line="10" w:lineRule="atLeast"/>
              <w:ind w:left="0"/>
              <w:jc w:val="center"/>
              <w:rPr>
                <w:rFonts w:ascii="宋体" w:eastAsia="宋体" w:hAnsi="宋体"/>
                <w:b/>
                <w:color w:val="auto"/>
                <w:sz w:val="18"/>
                <w:szCs w:val="18"/>
              </w:rPr>
            </w:pPr>
            <w:r w:rsidRPr="00B022EE">
              <w:rPr>
                <w:rFonts w:ascii="宋体" w:eastAsia="宋体" w:hAnsi="宋体" w:hint="eastAsia"/>
                <w:b/>
                <w:color w:val="auto"/>
                <w:sz w:val="18"/>
                <w:szCs w:val="18"/>
              </w:rPr>
              <w:t>夏普比率（年化）</w:t>
            </w:r>
          </w:p>
        </w:tc>
      </w:tr>
      <w:tr w:rsidR="00F91C7C" w:rsidTr="00E1278A">
        <w:trPr>
          <w:cantSplit/>
          <w:trHeight w:val="312"/>
        </w:trPr>
        <w:tc>
          <w:tcPr>
            <w:tcW w:w="2694" w:type="dxa"/>
            <w:vMerge/>
            <w:shd w:val="clear" w:color="auto" w:fill="auto"/>
            <w:vAlign w:val="center"/>
          </w:tcPr>
          <w:p w:rsidR="00F91C7C" w:rsidRPr="0056030B" w:rsidRDefault="00F91C7C" w:rsidP="00E1278A">
            <w:pPr>
              <w:pStyle w:val="a0"/>
              <w:spacing w:after="0" w:line="10" w:lineRule="atLeast"/>
              <w:ind w:left="0"/>
              <w:jc w:val="center"/>
              <w:rPr>
                <w:color w:val="auto"/>
                <w:sz w:val="18"/>
                <w:szCs w:val="18"/>
              </w:rPr>
            </w:pPr>
          </w:p>
        </w:tc>
        <w:tc>
          <w:tcPr>
            <w:tcW w:w="1701" w:type="dxa"/>
            <w:shd w:val="clear" w:color="auto" w:fill="auto"/>
            <w:vAlign w:val="center"/>
          </w:tcPr>
          <w:p w:rsidR="00F91C7C" w:rsidRPr="0019593B" w:rsidRDefault="00F91C7C" w:rsidP="00E1278A">
            <w:pPr>
              <w:jc w:val="center"/>
              <w:rPr>
                <w:rFonts w:ascii="宋体" w:eastAsia="宋体" w:hAnsi="宋体" w:cs="宋体"/>
                <w:b/>
                <w:bCs/>
                <w:color w:val="000000"/>
                <w:szCs w:val="18"/>
              </w:rPr>
            </w:pPr>
            <w:r w:rsidRPr="0019593B">
              <w:rPr>
                <w:rFonts w:ascii="宋体" w:eastAsia="宋体" w:hAnsi="宋体" w:hint="eastAsia"/>
                <w:b/>
                <w:bCs/>
                <w:color w:val="000000"/>
                <w:szCs w:val="18"/>
              </w:rPr>
              <w:t>近一年</w:t>
            </w:r>
          </w:p>
        </w:tc>
        <w:tc>
          <w:tcPr>
            <w:tcW w:w="1559" w:type="dxa"/>
            <w:shd w:val="clear" w:color="auto" w:fill="auto"/>
            <w:vAlign w:val="center"/>
          </w:tcPr>
          <w:p w:rsidR="00F91C7C" w:rsidRPr="0019593B" w:rsidRDefault="00F91C7C" w:rsidP="00E1278A">
            <w:pPr>
              <w:jc w:val="center"/>
              <w:rPr>
                <w:rFonts w:ascii="宋体" w:eastAsia="宋体" w:hAnsi="宋体"/>
                <w:b/>
                <w:bCs/>
                <w:color w:val="000000"/>
                <w:szCs w:val="18"/>
              </w:rPr>
            </w:pPr>
            <w:r w:rsidRPr="0019593B">
              <w:rPr>
                <w:rFonts w:ascii="宋体" w:eastAsia="宋体" w:hAnsi="宋体" w:hint="eastAsia"/>
                <w:b/>
                <w:bCs/>
                <w:color w:val="000000"/>
                <w:szCs w:val="18"/>
              </w:rPr>
              <w:t>近两年</w:t>
            </w:r>
          </w:p>
        </w:tc>
        <w:tc>
          <w:tcPr>
            <w:tcW w:w="1416" w:type="dxa"/>
            <w:shd w:val="clear" w:color="auto" w:fill="auto"/>
            <w:vAlign w:val="center"/>
          </w:tcPr>
          <w:p w:rsidR="00F91C7C" w:rsidRPr="0019593B" w:rsidRDefault="00F91C7C" w:rsidP="00E1278A">
            <w:pPr>
              <w:jc w:val="center"/>
              <w:rPr>
                <w:rFonts w:ascii="宋体" w:eastAsia="宋体" w:hAnsi="宋体" w:cs="宋体"/>
                <w:b/>
                <w:bCs/>
                <w:color w:val="000000"/>
                <w:szCs w:val="18"/>
              </w:rPr>
            </w:pPr>
            <w:r w:rsidRPr="0019593B">
              <w:rPr>
                <w:rFonts w:ascii="宋体" w:eastAsia="宋体" w:hAnsi="宋体" w:hint="eastAsia"/>
                <w:b/>
                <w:bCs/>
                <w:color w:val="000000"/>
                <w:szCs w:val="18"/>
              </w:rPr>
              <w:t>近三年</w:t>
            </w:r>
          </w:p>
        </w:tc>
      </w:tr>
      <w:tr w:rsidR="0016178D" w:rsidRPr="00332E55" w:rsidTr="0016178D">
        <w:trPr>
          <w:cantSplit/>
          <w:trHeight w:val="312"/>
        </w:trPr>
        <w:tc>
          <w:tcPr>
            <w:tcW w:w="2694" w:type="dxa"/>
            <w:shd w:val="clear" w:color="auto" w:fill="auto"/>
            <w:vAlign w:val="center"/>
          </w:tcPr>
          <w:p w:rsidR="0016178D" w:rsidRPr="00084D2A" w:rsidRDefault="0016178D" w:rsidP="009108A3">
            <w:pPr>
              <w:jc w:val="center"/>
              <w:rPr>
                <w:rFonts w:ascii="宋体" w:eastAsia="宋体" w:hAnsi="宋体" w:cs="宋体"/>
                <w:b/>
                <w:bCs/>
                <w:color w:val="000000"/>
                <w:szCs w:val="18"/>
              </w:rPr>
            </w:pPr>
            <w:r w:rsidRPr="00084D2A">
              <w:rPr>
                <w:rFonts w:ascii="宋体" w:eastAsia="宋体" w:hAnsi="宋体" w:hint="eastAsia"/>
                <w:b/>
                <w:bCs/>
                <w:color w:val="000000"/>
                <w:szCs w:val="18"/>
              </w:rPr>
              <w:t>股票型账户</w:t>
            </w:r>
          </w:p>
        </w:tc>
        <w:tc>
          <w:tcPr>
            <w:tcW w:w="1701"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2.40</w:t>
            </w:r>
          </w:p>
        </w:tc>
        <w:tc>
          <w:tcPr>
            <w:tcW w:w="1559"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1.63</w:t>
            </w:r>
          </w:p>
        </w:tc>
        <w:tc>
          <w:tcPr>
            <w:tcW w:w="1416"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1.17</w:t>
            </w:r>
          </w:p>
        </w:tc>
      </w:tr>
      <w:tr w:rsidR="0016178D" w:rsidRPr="00332E55" w:rsidTr="0016178D">
        <w:trPr>
          <w:cantSplit/>
          <w:trHeight w:val="312"/>
        </w:trPr>
        <w:tc>
          <w:tcPr>
            <w:tcW w:w="2694" w:type="dxa"/>
            <w:shd w:val="clear" w:color="auto" w:fill="auto"/>
            <w:vAlign w:val="center"/>
          </w:tcPr>
          <w:p w:rsidR="0016178D" w:rsidRPr="00084D2A" w:rsidRDefault="0016178D" w:rsidP="009108A3">
            <w:pPr>
              <w:jc w:val="center"/>
              <w:rPr>
                <w:rFonts w:ascii="宋体" w:eastAsia="宋体" w:hAnsi="宋体" w:cs="宋体"/>
                <w:b/>
                <w:bCs/>
                <w:color w:val="000000"/>
                <w:szCs w:val="18"/>
              </w:rPr>
            </w:pPr>
            <w:r w:rsidRPr="00084D2A">
              <w:rPr>
                <w:rFonts w:ascii="宋体" w:eastAsia="宋体" w:hAnsi="宋体" w:hint="eastAsia"/>
                <w:b/>
                <w:bCs/>
                <w:color w:val="000000"/>
                <w:szCs w:val="18"/>
              </w:rPr>
              <w:t>股票-指数型账户</w:t>
            </w:r>
          </w:p>
        </w:tc>
        <w:tc>
          <w:tcPr>
            <w:tcW w:w="1701"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2.71</w:t>
            </w:r>
          </w:p>
        </w:tc>
        <w:tc>
          <w:tcPr>
            <w:tcW w:w="1559"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1.54</w:t>
            </w:r>
          </w:p>
        </w:tc>
        <w:tc>
          <w:tcPr>
            <w:tcW w:w="1416"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0.83</w:t>
            </w:r>
          </w:p>
        </w:tc>
      </w:tr>
      <w:tr w:rsidR="0016178D" w:rsidRPr="00332E55" w:rsidTr="0016178D">
        <w:trPr>
          <w:cantSplit/>
          <w:trHeight w:val="312"/>
        </w:trPr>
        <w:tc>
          <w:tcPr>
            <w:tcW w:w="2694" w:type="dxa"/>
            <w:shd w:val="clear" w:color="auto" w:fill="auto"/>
            <w:vAlign w:val="center"/>
          </w:tcPr>
          <w:p w:rsidR="0016178D" w:rsidRPr="00084D2A" w:rsidRDefault="0016178D" w:rsidP="009108A3">
            <w:pPr>
              <w:jc w:val="center"/>
              <w:rPr>
                <w:rFonts w:ascii="宋体" w:eastAsia="宋体" w:hAnsi="宋体" w:cs="宋体"/>
                <w:b/>
                <w:bCs/>
                <w:color w:val="000000"/>
                <w:szCs w:val="18"/>
              </w:rPr>
            </w:pPr>
            <w:r w:rsidRPr="00084D2A">
              <w:rPr>
                <w:rFonts w:ascii="宋体" w:eastAsia="宋体" w:hAnsi="宋体" w:hint="eastAsia"/>
                <w:b/>
                <w:bCs/>
                <w:color w:val="000000"/>
                <w:szCs w:val="18"/>
              </w:rPr>
              <w:t>混合偏股型账户</w:t>
            </w:r>
          </w:p>
        </w:tc>
        <w:tc>
          <w:tcPr>
            <w:tcW w:w="1701"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2.73</w:t>
            </w:r>
          </w:p>
        </w:tc>
        <w:tc>
          <w:tcPr>
            <w:tcW w:w="1559"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1.64</w:t>
            </w:r>
          </w:p>
        </w:tc>
        <w:tc>
          <w:tcPr>
            <w:tcW w:w="1416"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1.12</w:t>
            </w:r>
          </w:p>
        </w:tc>
      </w:tr>
      <w:tr w:rsidR="0016178D" w:rsidRPr="00332E55" w:rsidTr="0016178D">
        <w:trPr>
          <w:cantSplit/>
          <w:trHeight w:val="312"/>
        </w:trPr>
        <w:tc>
          <w:tcPr>
            <w:tcW w:w="2694" w:type="dxa"/>
            <w:shd w:val="clear" w:color="auto" w:fill="auto"/>
            <w:vAlign w:val="center"/>
          </w:tcPr>
          <w:p w:rsidR="0016178D" w:rsidRPr="00084D2A" w:rsidRDefault="0016178D" w:rsidP="009108A3">
            <w:pPr>
              <w:jc w:val="center"/>
              <w:rPr>
                <w:rFonts w:ascii="宋体" w:eastAsia="宋体" w:hAnsi="宋体" w:cs="宋体"/>
                <w:b/>
                <w:bCs/>
                <w:color w:val="000000"/>
                <w:szCs w:val="18"/>
              </w:rPr>
            </w:pPr>
            <w:r w:rsidRPr="00084D2A">
              <w:rPr>
                <w:rFonts w:ascii="宋体" w:eastAsia="宋体" w:hAnsi="宋体" w:hint="eastAsia"/>
                <w:b/>
                <w:bCs/>
                <w:color w:val="000000"/>
                <w:szCs w:val="18"/>
              </w:rPr>
              <w:t>灵活配置型账户</w:t>
            </w:r>
          </w:p>
        </w:tc>
        <w:tc>
          <w:tcPr>
            <w:tcW w:w="1701"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2.62</w:t>
            </w:r>
          </w:p>
        </w:tc>
        <w:tc>
          <w:tcPr>
            <w:tcW w:w="1559"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1.58</w:t>
            </w:r>
          </w:p>
        </w:tc>
        <w:tc>
          <w:tcPr>
            <w:tcW w:w="1416" w:type="dxa"/>
            <w:shd w:val="clear" w:color="auto" w:fill="auto"/>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0.95</w:t>
            </w:r>
          </w:p>
        </w:tc>
      </w:tr>
      <w:tr w:rsidR="00F91C7C" w:rsidRPr="00332E55" w:rsidTr="0016178D">
        <w:trPr>
          <w:cantSplit/>
          <w:trHeight w:val="312"/>
        </w:trPr>
        <w:tc>
          <w:tcPr>
            <w:tcW w:w="2694" w:type="dxa"/>
            <w:shd w:val="clear" w:color="auto" w:fill="auto"/>
            <w:vAlign w:val="center"/>
          </w:tcPr>
          <w:p w:rsidR="00F91C7C" w:rsidRPr="00084D2A" w:rsidRDefault="00F91C7C" w:rsidP="009108A3">
            <w:pPr>
              <w:jc w:val="center"/>
              <w:rPr>
                <w:rFonts w:ascii="宋体" w:eastAsia="宋体" w:hAnsi="宋体" w:cs="宋体"/>
                <w:b/>
                <w:bCs/>
                <w:color w:val="000000"/>
                <w:szCs w:val="18"/>
              </w:rPr>
            </w:pPr>
            <w:r w:rsidRPr="00084D2A">
              <w:rPr>
                <w:rFonts w:ascii="宋体" w:eastAsia="宋体" w:hAnsi="宋体" w:hint="eastAsia"/>
                <w:b/>
                <w:bCs/>
                <w:color w:val="000000"/>
                <w:szCs w:val="18"/>
              </w:rPr>
              <w:t>债券型账户</w:t>
            </w:r>
          </w:p>
        </w:tc>
        <w:tc>
          <w:tcPr>
            <w:tcW w:w="1701" w:type="dxa"/>
            <w:shd w:val="clear" w:color="auto" w:fill="auto"/>
            <w:vAlign w:val="center"/>
          </w:tcPr>
          <w:p w:rsidR="00F91C7C" w:rsidRPr="0016178D" w:rsidRDefault="00F91C7C" w:rsidP="0016178D">
            <w:pPr>
              <w:jc w:val="center"/>
              <w:rPr>
                <w:rFonts w:asciiTheme="minorEastAsia" w:eastAsiaTheme="minorEastAsia" w:hAnsiTheme="minorEastAsia"/>
                <w:color w:val="000000"/>
                <w:szCs w:val="18"/>
              </w:rPr>
            </w:pPr>
            <w:r w:rsidRPr="0016178D">
              <w:rPr>
                <w:rFonts w:asciiTheme="minorEastAsia" w:eastAsiaTheme="minorEastAsia" w:hAnsiTheme="minorEastAsia"/>
                <w:color w:val="000000"/>
                <w:szCs w:val="18"/>
              </w:rPr>
              <w:t>——</w:t>
            </w:r>
          </w:p>
        </w:tc>
        <w:tc>
          <w:tcPr>
            <w:tcW w:w="1559" w:type="dxa"/>
            <w:shd w:val="clear" w:color="auto" w:fill="auto"/>
            <w:vAlign w:val="center"/>
          </w:tcPr>
          <w:p w:rsidR="00F91C7C" w:rsidRPr="0016178D" w:rsidRDefault="00F91C7C" w:rsidP="0016178D">
            <w:pPr>
              <w:jc w:val="center"/>
              <w:rPr>
                <w:rFonts w:asciiTheme="minorEastAsia" w:eastAsiaTheme="minorEastAsia" w:hAnsiTheme="minorEastAsia"/>
                <w:color w:val="000000"/>
                <w:szCs w:val="18"/>
              </w:rPr>
            </w:pPr>
            <w:r w:rsidRPr="0016178D">
              <w:rPr>
                <w:rFonts w:asciiTheme="minorEastAsia" w:eastAsiaTheme="minorEastAsia" w:hAnsiTheme="minorEastAsia"/>
                <w:color w:val="000000"/>
                <w:szCs w:val="18"/>
              </w:rPr>
              <w:t>——</w:t>
            </w:r>
          </w:p>
        </w:tc>
        <w:tc>
          <w:tcPr>
            <w:tcW w:w="1416" w:type="dxa"/>
            <w:shd w:val="clear" w:color="auto" w:fill="auto"/>
            <w:vAlign w:val="center"/>
          </w:tcPr>
          <w:p w:rsidR="00F91C7C" w:rsidRPr="0016178D" w:rsidRDefault="00F91C7C" w:rsidP="0016178D">
            <w:pPr>
              <w:jc w:val="center"/>
              <w:rPr>
                <w:rFonts w:asciiTheme="minorEastAsia" w:eastAsiaTheme="minorEastAsia" w:hAnsiTheme="minorEastAsia"/>
                <w:color w:val="000000"/>
                <w:szCs w:val="18"/>
              </w:rPr>
            </w:pPr>
            <w:r w:rsidRPr="0016178D">
              <w:rPr>
                <w:rFonts w:asciiTheme="minorEastAsia" w:eastAsiaTheme="minorEastAsia" w:hAnsiTheme="minorEastAsia"/>
                <w:color w:val="000000"/>
                <w:szCs w:val="18"/>
              </w:rPr>
              <w:t>——</w:t>
            </w:r>
          </w:p>
        </w:tc>
      </w:tr>
      <w:tr w:rsidR="00102430" w:rsidRPr="007137DB" w:rsidTr="0016178D">
        <w:trPr>
          <w:cantSplit/>
          <w:trHeight w:val="312"/>
        </w:trPr>
        <w:tc>
          <w:tcPr>
            <w:tcW w:w="2694" w:type="dxa"/>
            <w:shd w:val="clear" w:color="auto" w:fill="auto"/>
            <w:vAlign w:val="center"/>
          </w:tcPr>
          <w:p w:rsidR="00102430" w:rsidRPr="00084D2A" w:rsidRDefault="00102430" w:rsidP="009108A3">
            <w:pPr>
              <w:jc w:val="center"/>
              <w:rPr>
                <w:rFonts w:ascii="宋体" w:eastAsia="宋体" w:hAnsi="宋体" w:cs="宋体"/>
                <w:b/>
                <w:bCs/>
                <w:color w:val="000000"/>
                <w:szCs w:val="18"/>
              </w:rPr>
            </w:pPr>
            <w:r w:rsidRPr="00084D2A">
              <w:rPr>
                <w:rFonts w:ascii="宋体" w:eastAsia="宋体" w:hAnsi="宋体" w:hint="eastAsia"/>
                <w:b/>
                <w:bCs/>
                <w:color w:val="000000"/>
                <w:szCs w:val="18"/>
              </w:rPr>
              <w:t>混合偏债型账户</w:t>
            </w:r>
          </w:p>
        </w:tc>
        <w:tc>
          <w:tcPr>
            <w:tcW w:w="1701" w:type="dxa"/>
            <w:shd w:val="clear" w:color="auto" w:fill="auto"/>
            <w:vAlign w:val="center"/>
          </w:tcPr>
          <w:p w:rsidR="00102430" w:rsidRPr="0016178D" w:rsidRDefault="00102430" w:rsidP="0016178D">
            <w:pPr>
              <w:jc w:val="center"/>
              <w:rPr>
                <w:rFonts w:asciiTheme="minorEastAsia" w:eastAsiaTheme="minorEastAsia" w:hAnsiTheme="minorEastAsia"/>
                <w:color w:val="000000"/>
                <w:szCs w:val="18"/>
              </w:rPr>
            </w:pPr>
            <w:r w:rsidRPr="0016178D">
              <w:rPr>
                <w:rFonts w:asciiTheme="minorEastAsia" w:eastAsiaTheme="minorEastAsia" w:hAnsiTheme="minorEastAsia"/>
                <w:color w:val="000000"/>
                <w:szCs w:val="18"/>
              </w:rPr>
              <w:t>——</w:t>
            </w:r>
          </w:p>
        </w:tc>
        <w:tc>
          <w:tcPr>
            <w:tcW w:w="1559" w:type="dxa"/>
            <w:shd w:val="clear" w:color="auto" w:fill="auto"/>
            <w:vAlign w:val="center"/>
          </w:tcPr>
          <w:p w:rsidR="00102430" w:rsidRPr="0016178D" w:rsidRDefault="00102430" w:rsidP="0016178D">
            <w:pPr>
              <w:jc w:val="center"/>
              <w:rPr>
                <w:rFonts w:asciiTheme="minorEastAsia" w:eastAsiaTheme="minorEastAsia" w:hAnsiTheme="minorEastAsia"/>
                <w:color w:val="000000"/>
                <w:szCs w:val="18"/>
              </w:rPr>
            </w:pPr>
            <w:r w:rsidRPr="0016178D">
              <w:rPr>
                <w:rFonts w:asciiTheme="minorEastAsia" w:eastAsiaTheme="minorEastAsia" w:hAnsiTheme="minorEastAsia"/>
                <w:color w:val="000000"/>
                <w:szCs w:val="18"/>
              </w:rPr>
              <w:t>——</w:t>
            </w:r>
          </w:p>
        </w:tc>
        <w:tc>
          <w:tcPr>
            <w:tcW w:w="1416" w:type="dxa"/>
            <w:shd w:val="clear" w:color="auto" w:fill="auto"/>
            <w:vAlign w:val="center"/>
          </w:tcPr>
          <w:p w:rsidR="00102430" w:rsidRPr="0016178D" w:rsidRDefault="00102430" w:rsidP="0016178D">
            <w:pPr>
              <w:jc w:val="center"/>
              <w:rPr>
                <w:rFonts w:asciiTheme="minorEastAsia" w:eastAsiaTheme="minorEastAsia" w:hAnsiTheme="minorEastAsia"/>
                <w:color w:val="000000"/>
                <w:szCs w:val="18"/>
              </w:rPr>
            </w:pPr>
            <w:r w:rsidRPr="0016178D">
              <w:rPr>
                <w:rFonts w:asciiTheme="minorEastAsia" w:eastAsiaTheme="minorEastAsia" w:hAnsiTheme="minorEastAsia"/>
                <w:color w:val="000000"/>
                <w:szCs w:val="18"/>
              </w:rPr>
              <w:t>——</w:t>
            </w:r>
          </w:p>
        </w:tc>
      </w:tr>
      <w:tr w:rsidR="00F91C7C" w:rsidRPr="00332E55" w:rsidTr="0016178D">
        <w:trPr>
          <w:cantSplit/>
          <w:trHeight w:val="312"/>
        </w:trPr>
        <w:tc>
          <w:tcPr>
            <w:tcW w:w="2694" w:type="dxa"/>
            <w:tcBorders>
              <w:bottom w:val="single" w:sz="4" w:space="0" w:color="00A0E9"/>
            </w:tcBorders>
            <w:shd w:val="clear" w:color="auto" w:fill="auto"/>
            <w:vAlign w:val="center"/>
          </w:tcPr>
          <w:p w:rsidR="00F91C7C" w:rsidRPr="00084D2A" w:rsidRDefault="00F91C7C" w:rsidP="009108A3">
            <w:pPr>
              <w:jc w:val="center"/>
              <w:rPr>
                <w:rFonts w:ascii="宋体" w:eastAsia="宋体" w:hAnsi="宋体" w:cs="宋体"/>
                <w:b/>
                <w:bCs/>
                <w:color w:val="000000"/>
                <w:szCs w:val="18"/>
              </w:rPr>
            </w:pPr>
            <w:r w:rsidRPr="00084D2A">
              <w:rPr>
                <w:rFonts w:ascii="宋体" w:eastAsia="宋体" w:hAnsi="宋体" w:hint="eastAsia"/>
                <w:b/>
                <w:bCs/>
                <w:color w:val="000000"/>
                <w:szCs w:val="18"/>
              </w:rPr>
              <w:t>货币型账户</w:t>
            </w:r>
          </w:p>
        </w:tc>
        <w:tc>
          <w:tcPr>
            <w:tcW w:w="1701" w:type="dxa"/>
            <w:tcBorders>
              <w:bottom w:val="single" w:sz="4" w:space="0" w:color="00A0E9"/>
            </w:tcBorders>
            <w:shd w:val="clear" w:color="auto" w:fill="auto"/>
            <w:vAlign w:val="center"/>
          </w:tcPr>
          <w:p w:rsidR="00F91C7C" w:rsidRPr="0016178D" w:rsidRDefault="00F91C7C" w:rsidP="0016178D">
            <w:pPr>
              <w:jc w:val="center"/>
              <w:rPr>
                <w:rFonts w:asciiTheme="minorEastAsia" w:eastAsiaTheme="minorEastAsia" w:hAnsiTheme="minorEastAsia"/>
                <w:color w:val="000000"/>
                <w:szCs w:val="18"/>
              </w:rPr>
            </w:pPr>
            <w:r w:rsidRPr="0016178D">
              <w:rPr>
                <w:rFonts w:asciiTheme="minorEastAsia" w:eastAsiaTheme="minorEastAsia" w:hAnsiTheme="minorEastAsia"/>
                <w:color w:val="000000"/>
                <w:szCs w:val="18"/>
              </w:rPr>
              <w:t>——</w:t>
            </w:r>
          </w:p>
        </w:tc>
        <w:tc>
          <w:tcPr>
            <w:tcW w:w="1559" w:type="dxa"/>
            <w:tcBorders>
              <w:bottom w:val="single" w:sz="4" w:space="0" w:color="00A0E9"/>
            </w:tcBorders>
            <w:shd w:val="clear" w:color="auto" w:fill="auto"/>
            <w:vAlign w:val="center"/>
          </w:tcPr>
          <w:p w:rsidR="00F91C7C" w:rsidRPr="0016178D" w:rsidRDefault="00F91C7C" w:rsidP="0016178D">
            <w:pPr>
              <w:jc w:val="center"/>
              <w:rPr>
                <w:rFonts w:asciiTheme="minorEastAsia" w:eastAsiaTheme="minorEastAsia" w:hAnsiTheme="minorEastAsia"/>
                <w:color w:val="000000"/>
                <w:szCs w:val="18"/>
              </w:rPr>
            </w:pPr>
            <w:r w:rsidRPr="0016178D">
              <w:rPr>
                <w:rFonts w:asciiTheme="minorEastAsia" w:eastAsiaTheme="minorEastAsia" w:hAnsiTheme="minorEastAsia"/>
                <w:color w:val="000000"/>
                <w:szCs w:val="18"/>
              </w:rPr>
              <w:t>——</w:t>
            </w:r>
          </w:p>
        </w:tc>
        <w:tc>
          <w:tcPr>
            <w:tcW w:w="1416" w:type="dxa"/>
            <w:tcBorders>
              <w:bottom w:val="single" w:sz="4" w:space="0" w:color="00A0E9"/>
            </w:tcBorders>
            <w:shd w:val="clear" w:color="auto" w:fill="auto"/>
            <w:vAlign w:val="center"/>
          </w:tcPr>
          <w:p w:rsidR="00F91C7C" w:rsidRPr="0016178D" w:rsidRDefault="00F91C7C" w:rsidP="0016178D">
            <w:pPr>
              <w:jc w:val="center"/>
              <w:rPr>
                <w:rFonts w:asciiTheme="minorEastAsia" w:eastAsiaTheme="minorEastAsia" w:hAnsiTheme="minorEastAsia"/>
                <w:color w:val="000000"/>
                <w:szCs w:val="18"/>
              </w:rPr>
            </w:pPr>
            <w:r w:rsidRPr="0016178D">
              <w:rPr>
                <w:rFonts w:asciiTheme="minorEastAsia" w:eastAsiaTheme="minorEastAsia" w:hAnsiTheme="minorEastAsia"/>
                <w:color w:val="000000"/>
                <w:szCs w:val="18"/>
              </w:rPr>
              <w:t>——</w:t>
            </w:r>
          </w:p>
        </w:tc>
      </w:tr>
      <w:tr w:rsidR="0016178D" w:rsidRPr="00332E55" w:rsidTr="0016178D">
        <w:trPr>
          <w:cantSplit/>
          <w:trHeight w:val="312"/>
        </w:trPr>
        <w:tc>
          <w:tcPr>
            <w:tcW w:w="2694" w:type="dxa"/>
            <w:tcBorders>
              <w:bottom w:val="single" w:sz="4" w:space="0" w:color="00A0E9"/>
            </w:tcBorders>
            <w:shd w:val="clear" w:color="auto" w:fill="D9D9D9"/>
            <w:vAlign w:val="center"/>
          </w:tcPr>
          <w:p w:rsidR="0016178D" w:rsidRPr="00084D2A" w:rsidRDefault="0016178D" w:rsidP="009108A3">
            <w:pPr>
              <w:jc w:val="center"/>
              <w:rPr>
                <w:rFonts w:ascii="宋体" w:eastAsia="宋体" w:hAnsi="宋体"/>
                <w:b/>
                <w:bCs/>
                <w:color w:val="000000"/>
                <w:szCs w:val="18"/>
              </w:rPr>
            </w:pPr>
            <w:r w:rsidRPr="00084D2A">
              <w:rPr>
                <w:rFonts w:ascii="宋体" w:eastAsia="宋体" w:hAnsi="宋体" w:hint="eastAsia"/>
                <w:b/>
                <w:bCs/>
                <w:color w:val="000000"/>
                <w:szCs w:val="18"/>
              </w:rPr>
              <w:t>沪深300</w:t>
            </w:r>
          </w:p>
        </w:tc>
        <w:tc>
          <w:tcPr>
            <w:tcW w:w="1701"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2.47</w:t>
            </w:r>
          </w:p>
        </w:tc>
        <w:tc>
          <w:tcPr>
            <w:tcW w:w="1559"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1.42</w:t>
            </w:r>
          </w:p>
        </w:tc>
        <w:tc>
          <w:tcPr>
            <w:tcW w:w="1416"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0.80</w:t>
            </w:r>
          </w:p>
        </w:tc>
      </w:tr>
      <w:tr w:rsidR="0016178D" w:rsidRPr="00332E55" w:rsidTr="0016178D">
        <w:trPr>
          <w:cantSplit/>
          <w:trHeight w:val="312"/>
        </w:trPr>
        <w:tc>
          <w:tcPr>
            <w:tcW w:w="2694" w:type="dxa"/>
            <w:tcBorders>
              <w:bottom w:val="single" w:sz="4" w:space="0" w:color="00A0E9"/>
            </w:tcBorders>
            <w:shd w:val="clear" w:color="auto" w:fill="D9D9D9"/>
            <w:vAlign w:val="center"/>
          </w:tcPr>
          <w:p w:rsidR="0016178D" w:rsidRPr="00084D2A" w:rsidRDefault="0016178D" w:rsidP="009108A3">
            <w:pPr>
              <w:jc w:val="center"/>
              <w:rPr>
                <w:rFonts w:ascii="宋体" w:eastAsia="宋体" w:hAnsi="宋体"/>
                <w:b/>
                <w:bCs/>
                <w:color w:val="000000"/>
                <w:szCs w:val="18"/>
              </w:rPr>
            </w:pPr>
            <w:r>
              <w:rPr>
                <w:rFonts w:ascii="宋体" w:eastAsia="宋体" w:hAnsi="宋体" w:hint="eastAsia"/>
                <w:b/>
                <w:bCs/>
                <w:color w:val="000000"/>
                <w:szCs w:val="18"/>
              </w:rPr>
              <w:t>中证500</w:t>
            </w:r>
          </w:p>
        </w:tc>
        <w:tc>
          <w:tcPr>
            <w:tcW w:w="1701"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2.94</w:t>
            </w:r>
          </w:p>
        </w:tc>
        <w:tc>
          <w:tcPr>
            <w:tcW w:w="1559"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2.09</w:t>
            </w:r>
          </w:p>
        </w:tc>
        <w:tc>
          <w:tcPr>
            <w:tcW w:w="1416" w:type="dxa"/>
            <w:tcBorders>
              <w:bottom w:val="single" w:sz="4" w:space="0" w:color="00A0E9"/>
            </w:tcBorders>
            <w:shd w:val="clear" w:color="auto" w:fill="D9D9D9"/>
            <w:vAlign w:val="center"/>
          </w:tcPr>
          <w:p w:rsidR="0016178D" w:rsidRPr="0016178D" w:rsidRDefault="0016178D" w:rsidP="0016178D">
            <w:pPr>
              <w:jc w:val="center"/>
              <w:rPr>
                <w:rFonts w:asciiTheme="minorEastAsia" w:eastAsiaTheme="minorEastAsia" w:hAnsiTheme="minorEastAsia" w:cs="宋体"/>
                <w:color w:val="000000"/>
                <w:szCs w:val="18"/>
              </w:rPr>
            </w:pPr>
            <w:r w:rsidRPr="0016178D">
              <w:rPr>
                <w:rFonts w:asciiTheme="minorEastAsia" w:eastAsiaTheme="minorEastAsia" w:hAnsiTheme="minorEastAsia" w:hint="eastAsia"/>
                <w:color w:val="000000"/>
                <w:szCs w:val="18"/>
              </w:rPr>
              <w:t>1.32</w:t>
            </w:r>
          </w:p>
        </w:tc>
      </w:tr>
      <w:tr w:rsidR="00F91C7C" w:rsidTr="00E1278A">
        <w:trPr>
          <w:cantSplit/>
          <w:trHeight w:val="312"/>
        </w:trPr>
        <w:tc>
          <w:tcPr>
            <w:tcW w:w="7370" w:type="dxa"/>
            <w:gridSpan w:val="4"/>
            <w:tcBorders>
              <w:top w:val="single" w:sz="4" w:space="0" w:color="00A0E9"/>
            </w:tcBorders>
            <w:shd w:val="clear" w:color="auto" w:fill="auto"/>
            <w:vAlign w:val="center"/>
          </w:tcPr>
          <w:p w:rsidR="00F91C7C" w:rsidRPr="0056030B" w:rsidRDefault="00F91C7C" w:rsidP="0016178D">
            <w:pPr>
              <w:pStyle w:val="a0"/>
              <w:spacing w:after="0" w:line="10" w:lineRule="atLeast"/>
              <w:ind w:left="0"/>
              <w:jc w:val="left"/>
              <w:rPr>
                <w:color w:val="auto"/>
                <w:sz w:val="18"/>
                <w:szCs w:val="18"/>
              </w:rPr>
            </w:pPr>
            <w:r w:rsidRPr="0056030B">
              <w:rPr>
                <w:rFonts w:hint="eastAsia"/>
                <w:color w:val="auto"/>
                <w:sz w:val="18"/>
                <w:szCs w:val="18"/>
              </w:rPr>
              <w:t>注：数据截止</w:t>
            </w:r>
            <w:r w:rsidRPr="0056030B">
              <w:rPr>
                <w:rFonts w:hint="eastAsia"/>
                <w:color w:val="auto"/>
                <w:sz w:val="18"/>
                <w:szCs w:val="18"/>
              </w:rPr>
              <w:t>201</w:t>
            </w:r>
            <w:r w:rsidR="00E1278A">
              <w:rPr>
                <w:rFonts w:hint="eastAsia"/>
                <w:color w:val="auto"/>
                <w:sz w:val="18"/>
                <w:szCs w:val="18"/>
              </w:rPr>
              <w:t>5</w:t>
            </w:r>
            <w:r w:rsidRPr="0056030B">
              <w:rPr>
                <w:rFonts w:hint="eastAsia"/>
                <w:color w:val="auto"/>
                <w:sz w:val="18"/>
                <w:szCs w:val="18"/>
              </w:rPr>
              <w:t>年</w:t>
            </w:r>
            <w:r w:rsidR="0016178D">
              <w:rPr>
                <w:rFonts w:hint="eastAsia"/>
                <w:color w:val="auto"/>
                <w:sz w:val="18"/>
                <w:szCs w:val="18"/>
              </w:rPr>
              <w:t>6</w:t>
            </w:r>
            <w:r w:rsidRPr="0056030B">
              <w:rPr>
                <w:rFonts w:hint="eastAsia"/>
                <w:color w:val="auto"/>
                <w:sz w:val="18"/>
                <w:szCs w:val="18"/>
              </w:rPr>
              <w:t>月。</w:t>
            </w:r>
          </w:p>
        </w:tc>
      </w:tr>
      <w:tr w:rsidR="00F91C7C" w:rsidTr="00E1278A">
        <w:trPr>
          <w:cantSplit/>
          <w:trHeight w:val="200"/>
        </w:trPr>
        <w:tc>
          <w:tcPr>
            <w:tcW w:w="7370" w:type="dxa"/>
            <w:gridSpan w:val="4"/>
            <w:shd w:val="clear" w:color="auto" w:fill="auto"/>
          </w:tcPr>
          <w:p w:rsidR="00F91C7C" w:rsidRDefault="00F91C7C" w:rsidP="00E1278A">
            <w:pPr>
              <w:pStyle w:val="FootnoteNoline"/>
              <w:ind w:left="0"/>
            </w:pPr>
            <w:r>
              <w:rPr>
                <w:rFonts w:hint="eastAsia"/>
              </w:rPr>
              <w:t>来源：国金证券研究所</w:t>
            </w:r>
          </w:p>
        </w:tc>
      </w:tr>
    </w:tbl>
    <w:p w:rsidR="00F91C7C" w:rsidRDefault="00F91C7C" w:rsidP="00F91C7C">
      <w:pPr>
        <w:pStyle w:val="a0"/>
        <w:ind w:left="3430"/>
        <w:rPr>
          <w:color w:val="auto"/>
        </w:rPr>
      </w:pPr>
    </w:p>
    <w:p w:rsidR="00F91C7C" w:rsidRDefault="00F91C7C" w:rsidP="00F91C7C">
      <w:pPr>
        <w:pStyle w:val="a0"/>
        <w:ind w:left="3430"/>
        <w:rPr>
          <w:color w:val="auto"/>
        </w:rPr>
      </w:pPr>
    </w:p>
    <w:p w:rsidR="00F91C7C" w:rsidRDefault="00F91C7C" w:rsidP="00F91C7C">
      <w:pPr>
        <w:pStyle w:val="a0"/>
        <w:ind w:left="3430"/>
        <w:rPr>
          <w:color w:val="auto"/>
        </w:rPr>
      </w:pPr>
    </w:p>
    <w:p w:rsidR="00F91C7C" w:rsidRDefault="00F91C7C" w:rsidP="00F91C7C">
      <w:pPr>
        <w:pStyle w:val="a0"/>
        <w:ind w:left="3430"/>
        <w:rPr>
          <w:color w:val="auto"/>
        </w:rPr>
      </w:pPr>
    </w:p>
    <w:p w:rsidR="00F91C7C" w:rsidRDefault="00F91C7C" w:rsidP="00F91C7C">
      <w:pPr>
        <w:pStyle w:val="a0"/>
        <w:ind w:left="3430"/>
        <w:rPr>
          <w:color w:val="auto"/>
        </w:rPr>
      </w:pPr>
    </w:p>
    <w:p w:rsidR="00F91C7C" w:rsidRDefault="00F91C7C" w:rsidP="00F91C7C">
      <w:pPr>
        <w:pStyle w:val="a0"/>
        <w:ind w:left="3430"/>
        <w:rPr>
          <w:color w:val="auto"/>
        </w:rPr>
      </w:pPr>
    </w:p>
    <w:p w:rsidR="00F91C7C" w:rsidRDefault="00F91C7C" w:rsidP="00F91C7C">
      <w:pPr>
        <w:pStyle w:val="a0"/>
        <w:ind w:left="3430"/>
        <w:rPr>
          <w:color w:val="auto"/>
        </w:rPr>
      </w:pPr>
    </w:p>
    <w:p w:rsidR="00F91C7C" w:rsidRDefault="00F91C7C" w:rsidP="00F91C7C">
      <w:pPr>
        <w:pStyle w:val="a0"/>
        <w:ind w:left="3430"/>
        <w:rPr>
          <w:color w:val="auto"/>
        </w:rPr>
      </w:pPr>
    </w:p>
    <w:p w:rsidR="00F91C7C" w:rsidRDefault="00F91C7C" w:rsidP="00F91C7C">
      <w:pPr>
        <w:pStyle w:val="a0"/>
        <w:ind w:left="3430"/>
        <w:rPr>
          <w:color w:val="auto"/>
        </w:rPr>
      </w:pPr>
    </w:p>
    <w:p w:rsidR="00F91C7C" w:rsidRDefault="00F91C7C" w:rsidP="00F91C7C">
      <w:pPr>
        <w:pStyle w:val="a0"/>
        <w:ind w:left="3430"/>
        <w:rPr>
          <w:color w:val="auto"/>
        </w:rPr>
      </w:pPr>
    </w:p>
    <w:p w:rsidR="00F91C7C" w:rsidRDefault="00F91C7C" w:rsidP="00F91C7C">
      <w:pPr>
        <w:pStyle w:val="a0"/>
        <w:ind w:left="3430"/>
        <w:rPr>
          <w:color w:val="auto"/>
        </w:rPr>
      </w:pPr>
    </w:p>
    <w:p w:rsidR="00F91C7C" w:rsidRPr="00F91C7C" w:rsidRDefault="00F91C7C" w:rsidP="00F91C7C">
      <w:pPr>
        <w:widowControl/>
        <w:jc w:val="left"/>
        <w:rPr>
          <w:sz w:val="21"/>
        </w:rPr>
      </w:pPr>
    </w:p>
    <w:p w:rsidR="00F91C7C" w:rsidRDefault="00F91C7C" w:rsidP="00F91C7C">
      <w:pPr>
        <w:widowControl/>
        <w:jc w:val="left"/>
        <w:rPr>
          <w:sz w:val="21"/>
        </w:rPr>
        <w:sectPr w:rsidR="00F91C7C" w:rsidSect="00A87799">
          <w:headerReference w:type="default" r:id="rId13"/>
          <w:footerReference w:type="even" r:id="rId14"/>
          <w:footerReference w:type="default" r:id="rId15"/>
          <w:headerReference w:type="first" r:id="rId16"/>
          <w:footerReference w:type="first" r:id="rId17"/>
          <w:type w:val="continuous"/>
          <w:pgSz w:w="11907" w:h="16840" w:code="9"/>
          <w:pgMar w:top="1440" w:right="624" w:bottom="1440" w:left="624" w:header="851" w:footer="397" w:gutter="0"/>
          <w:cols w:space="720"/>
          <w:titlePg/>
        </w:sectPr>
      </w:pPr>
    </w:p>
    <w:p w:rsidR="00F91C7C" w:rsidRDefault="00F91C7C" w:rsidP="00F91C7C">
      <w:pPr>
        <w:pStyle w:val="14"/>
        <w:ind w:leftChars="1890"/>
        <w:rPr>
          <w:color w:val="auto"/>
        </w:rPr>
      </w:pPr>
      <w:r w:rsidRPr="00234269">
        <w:rPr>
          <w:rFonts w:hint="eastAsia"/>
          <w:color w:val="auto"/>
        </w:rPr>
        <w:lastRenderedPageBreak/>
        <w:t>第</w:t>
      </w:r>
      <w:r>
        <w:rPr>
          <w:rFonts w:hint="eastAsia"/>
          <w:color w:val="auto"/>
        </w:rPr>
        <w:t>三</w:t>
      </w:r>
      <w:r w:rsidRPr="00234269">
        <w:rPr>
          <w:rFonts w:hint="eastAsia"/>
          <w:color w:val="auto"/>
        </w:rPr>
        <w:t>部分：截止</w:t>
      </w:r>
      <w:r w:rsidRPr="00234269">
        <w:rPr>
          <w:rFonts w:hint="eastAsia"/>
          <w:color w:val="auto"/>
        </w:rPr>
        <w:t>201</w:t>
      </w:r>
      <w:r w:rsidR="00E1278A">
        <w:rPr>
          <w:rFonts w:hint="eastAsia"/>
          <w:color w:val="auto"/>
        </w:rPr>
        <w:t>5</w:t>
      </w:r>
      <w:r w:rsidRPr="00234269">
        <w:rPr>
          <w:rFonts w:hint="eastAsia"/>
          <w:color w:val="auto"/>
        </w:rPr>
        <w:t>年</w:t>
      </w:r>
      <w:r w:rsidR="0031692A">
        <w:rPr>
          <w:rFonts w:hint="eastAsia"/>
          <w:color w:val="auto"/>
        </w:rPr>
        <w:t>6</w:t>
      </w:r>
      <w:r>
        <w:rPr>
          <w:rFonts w:hint="eastAsia"/>
          <w:color w:val="auto"/>
        </w:rPr>
        <w:t>月底</w:t>
      </w:r>
      <w:r w:rsidRPr="00234269">
        <w:rPr>
          <w:rFonts w:hint="eastAsia"/>
          <w:color w:val="auto"/>
        </w:rPr>
        <w:t>投资连结保险账户</w:t>
      </w:r>
      <w:r>
        <w:rPr>
          <w:rFonts w:hint="eastAsia"/>
          <w:color w:val="auto"/>
        </w:rPr>
        <w:t>风险</w:t>
      </w:r>
      <w:r w:rsidRPr="00234269">
        <w:rPr>
          <w:rFonts w:hint="eastAsia"/>
          <w:color w:val="auto"/>
        </w:rPr>
        <w:t>收益</w:t>
      </w:r>
      <w:r>
        <w:rPr>
          <w:rFonts w:hint="eastAsia"/>
          <w:color w:val="auto"/>
        </w:rPr>
        <w:t>指标</w:t>
      </w:r>
    </w:p>
    <w:tbl>
      <w:tblPr>
        <w:tblW w:w="15601" w:type="dxa"/>
        <w:jc w:val="center"/>
        <w:tblBorders>
          <w:top w:val="single" w:sz="4" w:space="0" w:color="00A0E9"/>
          <w:insideH w:val="single" w:sz="4" w:space="0" w:color="00A0E9"/>
          <w:insideV w:val="single" w:sz="4" w:space="0" w:color="00A0E9"/>
        </w:tblBorders>
        <w:tblLayout w:type="fixed"/>
        <w:tblCellMar>
          <w:left w:w="0" w:type="dxa"/>
          <w:right w:w="0" w:type="dxa"/>
        </w:tblCellMar>
        <w:tblLook w:val="0000" w:firstRow="0" w:lastRow="0" w:firstColumn="0" w:lastColumn="0" w:noHBand="0" w:noVBand="0"/>
      </w:tblPr>
      <w:tblGrid>
        <w:gridCol w:w="2653"/>
        <w:gridCol w:w="1276"/>
        <w:gridCol w:w="992"/>
        <w:gridCol w:w="709"/>
        <w:gridCol w:w="969"/>
        <w:gridCol w:w="748"/>
        <w:gridCol w:w="748"/>
        <w:gridCol w:w="750"/>
        <w:gridCol w:w="748"/>
        <w:gridCol w:w="748"/>
        <w:gridCol w:w="749"/>
        <w:gridCol w:w="748"/>
        <w:gridCol w:w="748"/>
        <w:gridCol w:w="749"/>
        <w:gridCol w:w="748"/>
        <w:gridCol w:w="748"/>
        <w:gridCol w:w="749"/>
        <w:gridCol w:w="21"/>
      </w:tblGrid>
      <w:tr w:rsidR="00F91C7C" w:rsidRPr="00495842" w:rsidTr="00E1278A">
        <w:trPr>
          <w:trHeight w:val="227"/>
          <w:tblHeader/>
          <w:jc w:val="center"/>
        </w:trPr>
        <w:tc>
          <w:tcPr>
            <w:tcW w:w="15601" w:type="dxa"/>
            <w:gridSpan w:val="18"/>
            <w:shd w:val="clear" w:color="auto" w:fill="auto"/>
          </w:tcPr>
          <w:p w:rsidR="00F91C7C" w:rsidRPr="00495842" w:rsidRDefault="00F91C7C" w:rsidP="00E1278A">
            <w:pPr>
              <w:pStyle w:val="SubTitleLargeTable"/>
              <w:rPr>
                <w:rFonts w:ascii="楷体_GB2312"/>
              </w:rPr>
            </w:pPr>
            <w:r w:rsidRPr="00495842">
              <w:rPr>
                <w:rFonts w:ascii="楷体_GB2312" w:hint="eastAsia"/>
              </w:rPr>
              <w:t>图表</w:t>
            </w:r>
            <w:r>
              <w:rPr>
                <w:rFonts w:hint="eastAsia"/>
              </w:rPr>
              <w:t>1</w:t>
            </w:r>
            <w:r w:rsidRPr="00DB4BB6">
              <w:rPr>
                <w:rFonts w:hint="eastAsia"/>
              </w:rPr>
              <w:t>：</w:t>
            </w:r>
            <w:r w:rsidRPr="00495842">
              <w:rPr>
                <w:rFonts w:ascii="楷体_GB2312" w:hint="eastAsia"/>
                <w:lang w:val="en-US"/>
              </w:rPr>
              <w:t>股票型投连险账户（不含指数型）</w:t>
            </w:r>
          </w:p>
        </w:tc>
      </w:tr>
      <w:tr w:rsidR="00F91C7C" w:rsidRPr="00495842" w:rsidTr="00E1278A">
        <w:trPr>
          <w:gridAfter w:val="1"/>
          <w:wAfter w:w="21" w:type="dxa"/>
          <w:trHeight w:val="227"/>
          <w:tblHeader/>
          <w:jc w:val="center"/>
        </w:trPr>
        <w:tc>
          <w:tcPr>
            <w:tcW w:w="2653" w:type="dxa"/>
            <w:vMerge w:val="restart"/>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公司</w:t>
            </w:r>
          </w:p>
        </w:tc>
        <w:tc>
          <w:tcPr>
            <w:tcW w:w="1276" w:type="dxa"/>
            <w:vMerge w:val="restart"/>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投资账户</w:t>
            </w:r>
          </w:p>
        </w:tc>
        <w:tc>
          <w:tcPr>
            <w:tcW w:w="992" w:type="dxa"/>
            <w:vMerge w:val="restart"/>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截止日期</w:t>
            </w:r>
          </w:p>
        </w:tc>
        <w:tc>
          <w:tcPr>
            <w:tcW w:w="3924" w:type="dxa"/>
            <w:gridSpan w:val="5"/>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绝对收益</w:t>
            </w:r>
          </w:p>
        </w:tc>
        <w:tc>
          <w:tcPr>
            <w:tcW w:w="2245" w:type="dxa"/>
            <w:gridSpan w:val="3"/>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标准差(年化)</w:t>
            </w:r>
          </w:p>
        </w:tc>
        <w:tc>
          <w:tcPr>
            <w:tcW w:w="2245" w:type="dxa"/>
            <w:gridSpan w:val="3"/>
            <w:shd w:val="clear" w:color="auto" w:fill="auto"/>
            <w:vAlign w:val="center"/>
          </w:tcPr>
          <w:p w:rsidR="00F91C7C" w:rsidRPr="00B022EE" w:rsidRDefault="00102430" w:rsidP="00E1278A">
            <w:pPr>
              <w:jc w:val="center"/>
              <w:rPr>
                <w:rFonts w:ascii="宋体" w:eastAsia="宋体" w:hAnsi="宋体" w:cs="Arial"/>
                <w:b/>
                <w:bCs/>
                <w:color w:val="000000"/>
                <w:szCs w:val="18"/>
              </w:rPr>
            </w:pPr>
            <w:r>
              <w:rPr>
                <w:rFonts w:ascii="宋体" w:eastAsia="宋体" w:hAnsi="宋体" w:cs="Arial" w:hint="eastAsia"/>
                <w:b/>
                <w:bCs/>
                <w:color w:val="000000"/>
                <w:szCs w:val="18"/>
              </w:rPr>
              <w:t>最大回撤</w:t>
            </w:r>
          </w:p>
        </w:tc>
        <w:tc>
          <w:tcPr>
            <w:tcW w:w="2245" w:type="dxa"/>
            <w:gridSpan w:val="3"/>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夏普比率(年化)</w:t>
            </w:r>
          </w:p>
        </w:tc>
      </w:tr>
      <w:tr w:rsidR="00F91C7C" w:rsidRPr="00495842" w:rsidTr="00E1278A">
        <w:trPr>
          <w:gridAfter w:val="1"/>
          <w:wAfter w:w="21" w:type="dxa"/>
          <w:trHeight w:val="227"/>
          <w:tblHeader/>
          <w:jc w:val="center"/>
        </w:trPr>
        <w:tc>
          <w:tcPr>
            <w:tcW w:w="2653" w:type="dxa"/>
            <w:vMerge/>
            <w:shd w:val="clear" w:color="auto" w:fill="auto"/>
            <w:vAlign w:val="center"/>
          </w:tcPr>
          <w:p w:rsidR="00F91C7C" w:rsidRPr="00B022EE" w:rsidRDefault="00F91C7C" w:rsidP="00E1278A">
            <w:pPr>
              <w:pStyle w:val="21"/>
              <w:spacing w:after="0" w:line="10" w:lineRule="atLeast"/>
              <w:ind w:left="0"/>
              <w:jc w:val="center"/>
              <w:rPr>
                <w:rFonts w:ascii="宋体" w:eastAsia="宋体" w:hAnsi="宋体"/>
              </w:rPr>
            </w:pPr>
          </w:p>
        </w:tc>
        <w:tc>
          <w:tcPr>
            <w:tcW w:w="1276" w:type="dxa"/>
            <w:vMerge/>
            <w:shd w:val="clear" w:color="auto" w:fill="auto"/>
            <w:vAlign w:val="center"/>
          </w:tcPr>
          <w:p w:rsidR="00F91C7C" w:rsidRPr="00B022EE" w:rsidRDefault="00F91C7C" w:rsidP="00E1278A">
            <w:pPr>
              <w:pStyle w:val="21"/>
              <w:spacing w:after="0" w:line="10" w:lineRule="atLeast"/>
              <w:ind w:left="0"/>
              <w:jc w:val="center"/>
              <w:rPr>
                <w:rFonts w:ascii="宋体" w:eastAsia="宋体" w:hAnsi="宋体"/>
              </w:rPr>
            </w:pPr>
          </w:p>
        </w:tc>
        <w:tc>
          <w:tcPr>
            <w:tcW w:w="992" w:type="dxa"/>
            <w:vMerge/>
            <w:shd w:val="clear" w:color="auto" w:fill="auto"/>
            <w:vAlign w:val="center"/>
          </w:tcPr>
          <w:p w:rsidR="00F91C7C" w:rsidRPr="00B022EE" w:rsidRDefault="00F91C7C" w:rsidP="00E1278A">
            <w:pPr>
              <w:pStyle w:val="21"/>
              <w:spacing w:after="0" w:line="10" w:lineRule="atLeast"/>
              <w:ind w:left="0"/>
              <w:jc w:val="center"/>
              <w:rPr>
                <w:rFonts w:ascii="宋体" w:eastAsia="宋体" w:hAnsi="宋体"/>
              </w:rPr>
            </w:pPr>
          </w:p>
        </w:tc>
        <w:tc>
          <w:tcPr>
            <w:tcW w:w="709"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bCs/>
                <w:color w:val="000000"/>
                <w:szCs w:val="18"/>
              </w:rPr>
              <w:t>近一月</w:t>
            </w:r>
          </w:p>
        </w:tc>
        <w:tc>
          <w:tcPr>
            <w:tcW w:w="969"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szCs w:val="18"/>
              </w:rPr>
              <w:t>近</w:t>
            </w:r>
            <w:r>
              <w:rPr>
                <w:rFonts w:ascii="宋体" w:eastAsia="宋体" w:hAnsi="宋体" w:cs="Arial" w:hint="eastAsia"/>
                <w:b/>
                <w:szCs w:val="18"/>
              </w:rPr>
              <w:t>一季度</w:t>
            </w:r>
          </w:p>
        </w:tc>
        <w:tc>
          <w:tcPr>
            <w:tcW w:w="748"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bCs/>
                <w:color w:val="000000"/>
                <w:szCs w:val="18"/>
              </w:rPr>
              <w:t>近一年</w:t>
            </w:r>
          </w:p>
        </w:tc>
        <w:tc>
          <w:tcPr>
            <w:tcW w:w="748"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近两年</w:t>
            </w:r>
          </w:p>
        </w:tc>
        <w:tc>
          <w:tcPr>
            <w:tcW w:w="750"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近三年</w:t>
            </w:r>
          </w:p>
        </w:tc>
        <w:tc>
          <w:tcPr>
            <w:tcW w:w="748" w:type="dxa"/>
            <w:shd w:val="clear" w:color="auto" w:fill="auto"/>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bCs/>
                <w:color w:val="000000"/>
                <w:szCs w:val="18"/>
              </w:rPr>
              <w:t>近一年</w:t>
            </w:r>
          </w:p>
        </w:tc>
        <w:tc>
          <w:tcPr>
            <w:tcW w:w="748"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近两年</w:t>
            </w:r>
          </w:p>
        </w:tc>
        <w:tc>
          <w:tcPr>
            <w:tcW w:w="749"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近三年</w:t>
            </w:r>
          </w:p>
        </w:tc>
        <w:tc>
          <w:tcPr>
            <w:tcW w:w="748" w:type="dxa"/>
            <w:shd w:val="clear" w:color="auto" w:fill="auto"/>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bCs/>
                <w:color w:val="000000"/>
                <w:szCs w:val="18"/>
              </w:rPr>
              <w:t>近一年</w:t>
            </w:r>
          </w:p>
        </w:tc>
        <w:tc>
          <w:tcPr>
            <w:tcW w:w="748"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近两年</w:t>
            </w:r>
          </w:p>
        </w:tc>
        <w:tc>
          <w:tcPr>
            <w:tcW w:w="749"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近三年</w:t>
            </w:r>
          </w:p>
        </w:tc>
        <w:tc>
          <w:tcPr>
            <w:tcW w:w="748" w:type="dxa"/>
            <w:shd w:val="clear" w:color="auto" w:fill="auto"/>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bCs/>
                <w:color w:val="000000"/>
                <w:szCs w:val="18"/>
              </w:rPr>
              <w:t>近一年</w:t>
            </w:r>
          </w:p>
        </w:tc>
        <w:tc>
          <w:tcPr>
            <w:tcW w:w="748"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近两年</w:t>
            </w:r>
          </w:p>
        </w:tc>
        <w:tc>
          <w:tcPr>
            <w:tcW w:w="749"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近三年</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泰康人寿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进取型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3.27%</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36.09%</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153.92%</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182.92%</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182.41%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24.14%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21.47%</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21.49%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10.09%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12.55%</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16.46%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3.77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2.33</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1.56</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信泰人寿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恒星优胜股票投资账户</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1.68%</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1.79%</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3.47%</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-6.18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恒安标准人寿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成长型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-2.23%</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10.36%</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56.92%</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65.94%</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73.58%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11.35%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10.62%</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10.65%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8.09%</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9.18%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2.16</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1.52</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光大永明人寿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进取型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-2.34%</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44.28%</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144.30%</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167.05%</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179.16%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22.52%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20.32%</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5.40%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12.21%</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4.02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2.39</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1.68</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生命人寿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进取II</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-4.47%</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11.71%</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73.89%</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70.72%</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63.79%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34.83%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27.52%</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26.93%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20.99%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20.99%</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20.99%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0.93</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0.59</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中国平安保险</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进取</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-6.16%</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26.98%</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104.97%</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121.44%</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162.33%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25.37%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21.10%</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19.05%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12.95%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12.95%</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12.95%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1.86</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1.65</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泰康人寿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优选成长型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-6.60%</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17.21%</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126.87%</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161.66%</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146.07%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26.54%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22.68%</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23.18%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18.27%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18.27%</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18.27%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2.03</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1.25</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友邦保险</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增长组合</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-7.22%</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13.02%</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68.70%</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70.48%</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73.25%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23.55%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19.09%</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18.25%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14.67%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14.67%</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14.67%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1.31</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0.92</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泰康人寿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基金精选</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-8.47%</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17.71%</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74.31%</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81.87%</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91.04%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19.87%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15.84%</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14.81%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12.25%</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1.92</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1.45</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海康人寿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精彩型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-8.74%</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16.81%</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54.51%</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53.64%</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60.56%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20.48%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15.41%</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13.15%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17.21%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17.21%</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17.21%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1.30</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1.07</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中德安联人寿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财富成长型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-8.92%</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12.14%</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64.54%</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70.52%</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69.10%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19.81%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16.42%</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16.03%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15.62%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15.62%</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15.62%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1.52</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1.00</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友邦保险</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内需精选组合</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-9.68%</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11.45%</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71.42%</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62.77%</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25.61%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21.70%</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16.39%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18.39%</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1.09</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生命人寿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进取I</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-9.95%</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14.40%</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80.76%</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77.85%</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92.01%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22.10%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17.87%</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17.28%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16.39%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16.39%</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16.39%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1.58</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中英人寿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积极型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-9.99%</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17.37%</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84.21%</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89.55%</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91.90%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23.35%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19.17%</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18.61%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17.52%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17.52%</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17.52%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1.62</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1.12</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长生人寿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卓越成长型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-10.86%</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11.01%</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76.53%</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85.97%</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87.61%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24.31%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19.98%</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18.93%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12.44%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12.66%</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12.76%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1.81</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1.26</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中国平安保险</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精选权益</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-11.32%</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18.77%</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70.43%</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79.36%</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102.23%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27.12%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23.56%</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22.34%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19.65%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19.65%</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19.65%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1.28</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1.08</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中德安联人寿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成长型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-11.33%</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13.39%</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67.66%</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70.35%</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58.57%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23.37%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19.35%</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19.08%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18.63%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18.63%</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18.63%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1.32</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0.75</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中荷人寿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成长型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-12.55%</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13.34%</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74.88%</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89.60%</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95.65%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23.87%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20.14%</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19.05%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19.06%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19.06%</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19.06%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1.57</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1.15</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中国平安保险</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基金</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-12.77%</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14.34%</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74.70%</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81.00%</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84.45%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22.22%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18.37%</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17.22%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18.25%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18.25%</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18.25%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1.59</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1.15</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国泰人寿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增长型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-12.99%</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19.75%</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101.60%</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122.67%</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109.80%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27.13%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21.83%</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20.54%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21.29%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21.29%</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21.29%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1.83</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1.19</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中英人寿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成长型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-13.06%</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14.80%</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78.39%</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81.92%</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82.31%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24.06%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19.50%</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18.82%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19.06%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19.06%</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19.06%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1.53</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1.05</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建信人寿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主动积极型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-14.03%</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18.91%</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79.47%</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86.41%</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101.07%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27.01%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21.20%</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19.04%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21.88%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21.88%</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21.88%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1.47</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1.20</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信诚人寿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成长先锋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-14.24%</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13.73%</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67.45%</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81.51%</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81.83%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23.64%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19.25%</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18.22%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19.86%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19.86%</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19.86%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1.54</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1.07</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中美联泰大都会</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8020进取型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-14.44%</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-4.58%</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59.91%</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58.52%</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46.27%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22.39%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18.92%</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17.86%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12.59%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14.20%</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19.11%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1.39</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0.81</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太平人寿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价值先锋型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-14.56%</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15.75%</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104.14%</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160.33%</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177.65%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24.64%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22.33%</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21.40%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16.23%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16.23%</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16.23%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3.10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2.23</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1.65</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信诚人寿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积极成长</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-15.14%</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14.68%</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72.46%</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79.70%</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75.25%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25.87%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20.44%</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18.98%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21.57%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21.57%</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21.57%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1.44</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0.97</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恒安标准人寿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进取型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-15.42%</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0.62%</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84.19%</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85.24%</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66.72%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24.55%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21.59%</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20.63%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14.15%</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20.85%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1.70</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1.01</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信诚人寿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积极长红利</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-15.56%</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8.36%</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54.61%</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50.05%</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47.39%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30.88%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23.36%</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19.82%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22.01%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22.01%</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22.01%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0.86</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0.61</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中国人寿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国寿进取股票</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-15.58%</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4.59%</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85.35%</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82.45%</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83.60%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30.75%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23.78%</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21.04%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23.41%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23.41%</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23.41%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1.31</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0.98</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锐取A型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-16.45%</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9.76%</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72.86%</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89.76%</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112.91%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25.68%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20.58%</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20.53%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14.80%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14.80%</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15.07%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1.83</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1.41</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汇丰人寿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积极进取</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-16.58%</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11.53%</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76.64%</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82.94%</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75.82%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22.76%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18.98%</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17.56%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16.26%</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16.26%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1.88</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1.26</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积极型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-16.64%</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14.10%</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76.38%</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83.43%</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88.20%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26.22%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21.75%</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20.59%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21.74%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21.74%</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21.74%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1.40</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1.02</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瑞泰人寿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进取型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-16.69%</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2.82%</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78.19%</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86.18%</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91.04%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26.32%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21.62%</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20.46%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20.85%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20.85%</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20.85%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1.47</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1.06</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中美联泰大都会</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股票型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-16.99%</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7.13%</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74.55%</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82.77%</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88.40%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25.85%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21.08%</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19.83%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13.70%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13.70%</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13.70%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1.74</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1.27</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lastRenderedPageBreak/>
              <w:t>海康人寿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积极型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-17.58%</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15.13%</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76.43%</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85.51%</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93.46%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29.11%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23.69%</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21.94%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23.96%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23.96%</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23.96%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1.34</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1.02</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太平人寿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蓝筹成长型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-18.81%</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40.21%</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134.14%</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168.90%</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190.93%</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36.79%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29.93%</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27.24%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27.29%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27.29%</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27.29%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1.75</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1.39</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先锋A型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-18.86%</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9.75%</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78.11%</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85.99%</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88.01%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25.21%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20.88%</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19.29%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14.74%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14.74%</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14.74%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1.81</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1.31</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瑞泰人寿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财智进取</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-18.88%</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13.97%</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88.39%</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104.02%</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111.16%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27.84%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22.79%</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20.98%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22.67%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22.67%</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22.67%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1.62</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1.20</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汇丰人寿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汇锋进取</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-19.02%</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14.66%</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128.53%</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127.22%</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161.08%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30.58%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25.59%</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23.97%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15.96%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18.24%</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18.24%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1.92</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1.57</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生命人寿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精选股票型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-19.23%</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6.75%</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62.89%</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88.65%</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81.97%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25.29%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23.96%</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23.92%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13.92%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13.92%</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20.32%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1.70</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1.10</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生命人寿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优选平衡型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-19.48%</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4.83%</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73.21%</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130.37%</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109.18%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26.75%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24.96%</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24.99%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13.12%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17.52%</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17.77%</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2.03</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1.24</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先锋B型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-19.94%</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11.97%</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87.42%</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98.60%</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101.94%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27.40%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22.24%</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20.28%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15.12%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15.12%</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15.12%</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1.87</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1.38</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太平人寿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策略成长型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-22.12%</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28.09%</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111.67%</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163.02%</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151.10%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35.90%</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28.75%</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26.24%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23.65%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23.65%</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23.65%</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2.28</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1.77</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1.23</w:t>
            </w:r>
          </w:p>
        </w:tc>
      </w:tr>
      <w:tr w:rsidR="009123A3" w:rsidRPr="00B022EE" w:rsidTr="009123A3">
        <w:trPr>
          <w:gridAfter w:val="1"/>
          <w:wAfter w:w="21" w:type="dxa"/>
          <w:trHeight w:val="170"/>
          <w:jc w:val="center"/>
        </w:trPr>
        <w:tc>
          <w:tcPr>
            <w:tcW w:w="2653"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276"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先锋C型</w:t>
            </w:r>
          </w:p>
        </w:tc>
        <w:tc>
          <w:tcPr>
            <w:tcW w:w="992"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0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-31.07%</w:t>
            </w:r>
          </w:p>
        </w:tc>
        <w:tc>
          <w:tcPr>
            <w:tcW w:w="969"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-6.03%</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43.19%</w:t>
            </w:r>
          </w:p>
        </w:tc>
        <w:tc>
          <w:tcPr>
            <w:tcW w:w="748"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38.92%</w:t>
            </w:r>
          </w:p>
        </w:tc>
        <w:tc>
          <w:tcPr>
            <w:tcW w:w="750" w:type="dxa"/>
            <w:tcBorders>
              <w:bottom w:val="single" w:sz="4" w:space="0" w:color="00A0E9"/>
            </w:tcBorders>
            <w:shd w:val="clear" w:color="auto" w:fill="D9D9D9"/>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38.46%</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32.49%</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25.68%</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22.84%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24.74%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24.74%</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24.74%</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1.81</w:t>
            </w:r>
          </w:p>
        </w:tc>
        <w:tc>
          <w:tcPr>
            <w:tcW w:w="748"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1.05</w:t>
            </w:r>
          </w:p>
        </w:tc>
        <w:tc>
          <w:tcPr>
            <w:tcW w:w="749" w:type="dxa"/>
            <w:tcBorders>
              <w:bottom w:val="single" w:sz="4" w:space="0" w:color="00A0E9"/>
            </w:tcBorders>
            <w:shd w:val="clear" w:color="auto" w:fill="auto"/>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0.76</w:t>
            </w:r>
          </w:p>
        </w:tc>
      </w:tr>
      <w:tr w:rsidR="009123A3" w:rsidRPr="00B022EE" w:rsidTr="009123A3">
        <w:trPr>
          <w:gridAfter w:val="1"/>
          <w:wAfter w:w="21" w:type="dxa"/>
          <w:trHeight w:val="227"/>
          <w:jc w:val="center"/>
        </w:trPr>
        <w:tc>
          <w:tcPr>
            <w:tcW w:w="2653" w:type="dxa"/>
            <w:tcBorders>
              <w:bottom w:val="single" w:sz="4" w:space="0" w:color="00A0E9"/>
            </w:tcBorders>
            <w:shd w:val="clear" w:color="auto" w:fill="8DB3E2"/>
            <w:vAlign w:val="center"/>
          </w:tcPr>
          <w:p w:rsidR="009123A3" w:rsidRPr="007F742D" w:rsidRDefault="009123A3" w:rsidP="00E1278A">
            <w:pPr>
              <w:rPr>
                <w:rFonts w:ascii="宋体" w:eastAsia="宋体" w:hAnsi="宋体" w:cs="宋体"/>
                <w:color w:val="000000"/>
                <w:szCs w:val="18"/>
              </w:rPr>
            </w:pPr>
            <w:r w:rsidRPr="007F742D">
              <w:rPr>
                <w:rFonts w:ascii="宋体" w:eastAsia="宋体" w:hAnsi="宋体" w:hint="eastAsia"/>
                <w:color w:val="000000"/>
                <w:szCs w:val="18"/>
              </w:rPr>
              <w:t xml:space="preserve">　</w:t>
            </w:r>
          </w:p>
        </w:tc>
        <w:tc>
          <w:tcPr>
            <w:tcW w:w="1276" w:type="dxa"/>
            <w:tcBorders>
              <w:bottom w:val="single" w:sz="4" w:space="0" w:color="00A0E9"/>
            </w:tcBorders>
            <w:shd w:val="clear" w:color="auto" w:fill="8DB3E2"/>
            <w:vAlign w:val="center"/>
          </w:tcPr>
          <w:p w:rsidR="009123A3" w:rsidRPr="007F742D" w:rsidRDefault="009123A3" w:rsidP="00E1278A">
            <w:pPr>
              <w:jc w:val="center"/>
              <w:rPr>
                <w:rFonts w:ascii="宋体" w:eastAsia="宋体" w:hAnsi="宋体" w:cs="宋体"/>
                <w:color w:val="000000"/>
                <w:szCs w:val="18"/>
              </w:rPr>
            </w:pPr>
            <w:r w:rsidRPr="007F742D">
              <w:rPr>
                <w:rFonts w:ascii="宋体" w:eastAsia="宋体" w:hAnsi="宋体" w:hint="eastAsia"/>
                <w:color w:val="000000"/>
                <w:szCs w:val="18"/>
              </w:rPr>
              <w:t xml:space="preserve">　</w:t>
            </w:r>
          </w:p>
        </w:tc>
        <w:tc>
          <w:tcPr>
            <w:tcW w:w="992" w:type="dxa"/>
            <w:tcBorders>
              <w:bottom w:val="single" w:sz="4" w:space="0" w:color="00A0E9"/>
            </w:tcBorders>
            <w:shd w:val="clear" w:color="auto" w:fill="8DB3E2"/>
            <w:vAlign w:val="center"/>
          </w:tcPr>
          <w:p w:rsidR="009123A3" w:rsidRPr="007F742D" w:rsidRDefault="009123A3" w:rsidP="00E1278A">
            <w:pPr>
              <w:jc w:val="center"/>
              <w:rPr>
                <w:rFonts w:ascii="宋体" w:eastAsia="宋体" w:hAnsi="宋体" w:cs="宋体"/>
                <w:b/>
                <w:color w:val="000000"/>
                <w:szCs w:val="18"/>
              </w:rPr>
            </w:pPr>
            <w:r w:rsidRPr="007F742D">
              <w:rPr>
                <w:rFonts w:ascii="宋体" w:eastAsia="宋体" w:hAnsi="宋体" w:hint="eastAsia"/>
                <w:b/>
                <w:color w:val="000000"/>
                <w:szCs w:val="18"/>
              </w:rPr>
              <w:t xml:space="preserve">平均　</w:t>
            </w:r>
          </w:p>
        </w:tc>
        <w:tc>
          <w:tcPr>
            <w:tcW w:w="709"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-13.00%</w:t>
            </w:r>
          </w:p>
        </w:tc>
        <w:tc>
          <w:tcPr>
            <w:tcW w:w="969"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13.94%</w:t>
            </w:r>
          </w:p>
        </w:tc>
        <w:tc>
          <w:tcPr>
            <w:tcW w:w="748"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81.30%</w:t>
            </w:r>
          </w:p>
        </w:tc>
        <w:tc>
          <w:tcPr>
            <w:tcW w:w="748"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95.06%</w:t>
            </w:r>
          </w:p>
        </w:tc>
        <w:tc>
          <w:tcPr>
            <w:tcW w:w="750"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99.27%</w:t>
            </w:r>
          </w:p>
        </w:tc>
        <w:tc>
          <w:tcPr>
            <w:tcW w:w="748" w:type="dxa"/>
            <w:tcBorders>
              <w:bottom w:val="single" w:sz="4" w:space="0" w:color="00A0E9"/>
            </w:tcBorders>
            <w:shd w:val="clear" w:color="auto" w:fill="8DB3E2"/>
            <w:vAlign w:val="center"/>
          </w:tcPr>
          <w:p w:rsidR="009123A3" w:rsidRPr="007F742D" w:rsidRDefault="009123A3" w:rsidP="00E1278A">
            <w:pPr>
              <w:jc w:val="center"/>
              <w:rPr>
                <w:rFonts w:ascii="宋体" w:eastAsia="宋体" w:hAnsi="宋体" w:cs="Arial"/>
                <w:color w:val="000000"/>
                <w:szCs w:val="18"/>
              </w:rPr>
            </w:pPr>
            <w:r w:rsidRPr="007F742D">
              <w:rPr>
                <w:rFonts w:ascii="宋体" w:eastAsia="宋体" w:hAnsi="宋体" w:cs="Arial"/>
                <w:color w:val="000000"/>
                <w:szCs w:val="18"/>
              </w:rPr>
              <w:t>-</w:t>
            </w:r>
          </w:p>
        </w:tc>
        <w:tc>
          <w:tcPr>
            <w:tcW w:w="748" w:type="dxa"/>
            <w:tcBorders>
              <w:bottom w:val="single" w:sz="4" w:space="0" w:color="00A0E9"/>
            </w:tcBorders>
            <w:shd w:val="clear" w:color="auto" w:fill="8DB3E2"/>
            <w:vAlign w:val="center"/>
          </w:tcPr>
          <w:p w:rsidR="009123A3" w:rsidRPr="007F742D" w:rsidRDefault="009123A3" w:rsidP="00E1278A">
            <w:pPr>
              <w:jc w:val="center"/>
              <w:rPr>
                <w:rFonts w:ascii="宋体" w:eastAsia="宋体" w:hAnsi="宋体" w:cs="Arial"/>
                <w:color w:val="000000"/>
                <w:szCs w:val="18"/>
              </w:rPr>
            </w:pPr>
            <w:r w:rsidRPr="007F742D">
              <w:rPr>
                <w:rFonts w:ascii="宋体" w:eastAsia="宋体" w:hAnsi="宋体" w:cs="Arial"/>
                <w:color w:val="000000"/>
                <w:szCs w:val="18"/>
              </w:rPr>
              <w:t>-</w:t>
            </w:r>
          </w:p>
        </w:tc>
        <w:tc>
          <w:tcPr>
            <w:tcW w:w="749" w:type="dxa"/>
            <w:tcBorders>
              <w:bottom w:val="single" w:sz="4" w:space="0" w:color="00A0E9"/>
            </w:tcBorders>
            <w:shd w:val="clear" w:color="auto" w:fill="8DB3E2"/>
            <w:vAlign w:val="center"/>
          </w:tcPr>
          <w:p w:rsidR="009123A3" w:rsidRPr="007F742D" w:rsidRDefault="009123A3" w:rsidP="00E1278A">
            <w:pPr>
              <w:jc w:val="center"/>
              <w:rPr>
                <w:rFonts w:ascii="宋体" w:eastAsia="宋体" w:hAnsi="宋体" w:cs="Arial"/>
                <w:color w:val="000000"/>
                <w:szCs w:val="18"/>
              </w:rPr>
            </w:pPr>
            <w:r w:rsidRPr="007F742D">
              <w:rPr>
                <w:rFonts w:ascii="宋体" w:eastAsia="宋体" w:hAnsi="宋体" w:cs="Arial"/>
                <w:color w:val="000000"/>
                <w:szCs w:val="18"/>
              </w:rPr>
              <w:t>-</w:t>
            </w:r>
          </w:p>
        </w:tc>
        <w:tc>
          <w:tcPr>
            <w:tcW w:w="748" w:type="dxa"/>
            <w:tcBorders>
              <w:bottom w:val="single" w:sz="4" w:space="0" w:color="00A0E9"/>
            </w:tcBorders>
            <w:shd w:val="clear" w:color="auto" w:fill="8DB3E2"/>
            <w:vAlign w:val="center"/>
          </w:tcPr>
          <w:p w:rsidR="009123A3" w:rsidRPr="007F742D" w:rsidRDefault="009123A3" w:rsidP="00E1278A">
            <w:pPr>
              <w:jc w:val="center"/>
              <w:rPr>
                <w:rFonts w:ascii="宋体" w:eastAsia="宋体" w:hAnsi="宋体" w:cs="Arial"/>
                <w:color w:val="000000"/>
                <w:szCs w:val="18"/>
              </w:rPr>
            </w:pPr>
            <w:r w:rsidRPr="007F742D">
              <w:rPr>
                <w:rFonts w:ascii="宋体" w:eastAsia="宋体" w:hAnsi="宋体" w:cs="Arial"/>
                <w:color w:val="000000"/>
                <w:szCs w:val="18"/>
              </w:rPr>
              <w:t>-</w:t>
            </w:r>
          </w:p>
        </w:tc>
        <w:tc>
          <w:tcPr>
            <w:tcW w:w="748" w:type="dxa"/>
            <w:tcBorders>
              <w:bottom w:val="single" w:sz="4" w:space="0" w:color="00A0E9"/>
            </w:tcBorders>
            <w:shd w:val="clear" w:color="auto" w:fill="8DB3E2"/>
            <w:vAlign w:val="center"/>
          </w:tcPr>
          <w:p w:rsidR="009123A3" w:rsidRPr="007F742D" w:rsidRDefault="009123A3" w:rsidP="00E1278A">
            <w:pPr>
              <w:jc w:val="center"/>
              <w:rPr>
                <w:rFonts w:ascii="宋体" w:eastAsia="宋体" w:hAnsi="宋体" w:cs="Arial"/>
                <w:color w:val="000000"/>
                <w:szCs w:val="18"/>
              </w:rPr>
            </w:pPr>
            <w:r w:rsidRPr="007F742D">
              <w:rPr>
                <w:rFonts w:ascii="宋体" w:eastAsia="宋体" w:hAnsi="宋体" w:cs="Arial"/>
                <w:color w:val="000000"/>
                <w:szCs w:val="18"/>
              </w:rPr>
              <w:t>-</w:t>
            </w:r>
          </w:p>
        </w:tc>
        <w:tc>
          <w:tcPr>
            <w:tcW w:w="749" w:type="dxa"/>
            <w:tcBorders>
              <w:bottom w:val="single" w:sz="4" w:space="0" w:color="00A0E9"/>
            </w:tcBorders>
            <w:shd w:val="clear" w:color="auto" w:fill="8DB3E2"/>
            <w:vAlign w:val="center"/>
          </w:tcPr>
          <w:p w:rsidR="009123A3" w:rsidRPr="007F742D" w:rsidRDefault="009123A3" w:rsidP="00E1278A">
            <w:pPr>
              <w:jc w:val="center"/>
              <w:rPr>
                <w:rFonts w:ascii="宋体" w:eastAsia="宋体" w:hAnsi="宋体" w:cs="Arial"/>
                <w:color w:val="000000"/>
                <w:szCs w:val="18"/>
              </w:rPr>
            </w:pPr>
            <w:r w:rsidRPr="007F742D">
              <w:rPr>
                <w:rFonts w:ascii="宋体" w:eastAsia="宋体" w:hAnsi="宋体" w:cs="Arial"/>
                <w:color w:val="000000"/>
                <w:szCs w:val="18"/>
              </w:rPr>
              <w:t>-</w:t>
            </w:r>
          </w:p>
        </w:tc>
        <w:tc>
          <w:tcPr>
            <w:tcW w:w="748" w:type="dxa"/>
            <w:tcBorders>
              <w:bottom w:val="single" w:sz="4" w:space="0" w:color="00A0E9"/>
            </w:tcBorders>
            <w:shd w:val="clear" w:color="auto" w:fill="8DB3E2"/>
            <w:vAlign w:val="center"/>
          </w:tcPr>
          <w:p w:rsidR="009123A3" w:rsidRPr="007F742D" w:rsidRDefault="009123A3" w:rsidP="00E1278A">
            <w:pPr>
              <w:jc w:val="center"/>
              <w:rPr>
                <w:rFonts w:ascii="宋体" w:eastAsia="宋体" w:hAnsi="宋体" w:cs="Arial"/>
                <w:color w:val="000000"/>
                <w:szCs w:val="18"/>
              </w:rPr>
            </w:pPr>
            <w:r w:rsidRPr="007F742D">
              <w:rPr>
                <w:rFonts w:ascii="宋体" w:eastAsia="宋体" w:hAnsi="宋体" w:cs="Arial"/>
                <w:color w:val="000000"/>
                <w:szCs w:val="18"/>
              </w:rPr>
              <w:t>-</w:t>
            </w:r>
          </w:p>
        </w:tc>
        <w:tc>
          <w:tcPr>
            <w:tcW w:w="748" w:type="dxa"/>
            <w:tcBorders>
              <w:bottom w:val="single" w:sz="4" w:space="0" w:color="00A0E9"/>
            </w:tcBorders>
            <w:shd w:val="clear" w:color="auto" w:fill="8DB3E2"/>
            <w:vAlign w:val="center"/>
          </w:tcPr>
          <w:p w:rsidR="009123A3" w:rsidRPr="007F742D" w:rsidRDefault="009123A3" w:rsidP="00E1278A">
            <w:pPr>
              <w:jc w:val="center"/>
              <w:rPr>
                <w:rFonts w:ascii="宋体" w:eastAsia="宋体" w:hAnsi="宋体" w:cs="Arial"/>
                <w:color w:val="000000"/>
                <w:szCs w:val="18"/>
              </w:rPr>
            </w:pPr>
            <w:r w:rsidRPr="007F742D">
              <w:rPr>
                <w:rFonts w:ascii="宋体" w:eastAsia="宋体" w:hAnsi="宋体" w:cs="Arial"/>
                <w:color w:val="000000"/>
                <w:szCs w:val="18"/>
              </w:rPr>
              <w:t>-</w:t>
            </w:r>
          </w:p>
        </w:tc>
        <w:tc>
          <w:tcPr>
            <w:tcW w:w="749" w:type="dxa"/>
            <w:tcBorders>
              <w:bottom w:val="single" w:sz="4" w:space="0" w:color="00A0E9"/>
            </w:tcBorders>
            <w:shd w:val="clear" w:color="auto" w:fill="8DB3E2"/>
            <w:vAlign w:val="center"/>
          </w:tcPr>
          <w:p w:rsidR="009123A3" w:rsidRPr="007F742D" w:rsidRDefault="009123A3" w:rsidP="00E1278A">
            <w:pPr>
              <w:jc w:val="center"/>
              <w:rPr>
                <w:rFonts w:ascii="宋体" w:eastAsia="宋体" w:hAnsi="宋体" w:cs="Arial"/>
                <w:color w:val="000000"/>
                <w:szCs w:val="18"/>
              </w:rPr>
            </w:pPr>
            <w:r w:rsidRPr="007F742D">
              <w:rPr>
                <w:rFonts w:ascii="宋体" w:eastAsia="宋体" w:hAnsi="宋体" w:cs="Arial"/>
                <w:color w:val="000000"/>
                <w:szCs w:val="18"/>
              </w:rPr>
              <w:t>-</w:t>
            </w:r>
          </w:p>
        </w:tc>
      </w:tr>
      <w:tr w:rsidR="00F91C7C" w:rsidRPr="00495842" w:rsidTr="00E1278A">
        <w:trPr>
          <w:trHeight w:val="227"/>
          <w:jc w:val="center"/>
        </w:trPr>
        <w:tc>
          <w:tcPr>
            <w:tcW w:w="15601" w:type="dxa"/>
            <w:gridSpan w:val="18"/>
            <w:tcBorders>
              <w:top w:val="single" w:sz="4" w:space="0" w:color="00A0E9"/>
            </w:tcBorders>
            <w:shd w:val="clear" w:color="auto" w:fill="auto"/>
            <w:vAlign w:val="center"/>
          </w:tcPr>
          <w:p w:rsidR="00F91C7C" w:rsidRPr="00EC1804" w:rsidRDefault="00F91C7C" w:rsidP="00E1278A">
            <w:pPr>
              <w:jc w:val="left"/>
              <w:rPr>
                <w:rFonts w:cs="Arial"/>
                <w:bCs/>
                <w:color w:val="000000"/>
                <w:szCs w:val="18"/>
              </w:rPr>
            </w:pPr>
            <w:r w:rsidRPr="00EC1804">
              <w:rPr>
                <w:rFonts w:cs="Arial"/>
                <w:bCs/>
                <w:color w:val="000000"/>
                <w:szCs w:val="18"/>
              </w:rPr>
              <w:t>注：按照</w:t>
            </w:r>
            <w:r w:rsidR="006A6E83">
              <w:rPr>
                <w:rFonts w:cs="Arial" w:hint="eastAsia"/>
                <w:bCs/>
                <w:color w:val="000000"/>
                <w:szCs w:val="18"/>
              </w:rPr>
              <w:t>近一月</w:t>
            </w:r>
            <w:r w:rsidRPr="00EC1804">
              <w:rPr>
                <w:rFonts w:cs="Arial"/>
                <w:bCs/>
                <w:color w:val="000000"/>
                <w:szCs w:val="18"/>
              </w:rPr>
              <w:t>收益率由高到低顺序排列</w:t>
            </w:r>
            <w:r>
              <w:rPr>
                <w:rFonts w:cs="Arial" w:hint="eastAsia"/>
                <w:bCs/>
                <w:color w:val="000000"/>
                <w:szCs w:val="18"/>
              </w:rPr>
              <w:t>，下同</w:t>
            </w:r>
          </w:p>
        </w:tc>
      </w:tr>
      <w:tr w:rsidR="00F91C7C" w:rsidRPr="00495842" w:rsidTr="00E1278A">
        <w:trPr>
          <w:trHeight w:val="227"/>
          <w:jc w:val="center"/>
        </w:trPr>
        <w:tc>
          <w:tcPr>
            <w:tcW w:w="15601" w:type="dxa"/>
            <w:gridSpan w:val="18"/>
            <w:shd w:val="clear" w:color="auto" w:fill="auto"/>
          </w:tcPr>
          <w:p w:rsidR="00F91C7C" w:rsidRPr="00495842" w:rsidRDefault="00F91C7C" w:rsidP="00E1278A">
            <w:pPr>
              <w:pStyle w:val="FootnoteNoline"/>
              <w:ind w:left="0"/>
              <w:rPr>
                <w:rFonts w:ascii="楷体_GB2312"/>
              </w:rPr>
            </w:pPr>
            <w:r w:rsidRPr="00495842">
              <w:rPr>
                <w:rFonts w:ascii="楷体_GB2312" w:hint="eastAsia"/>
              </w:rPr>
              <w:t>来源：国金证券研究所</w:t>
            </w:r>
          </w:p>
        </w:tc>
      </w:tr>
    </w:tbl>
    <w:p w:rsidR="00F91C7C" w:rsidRDefault="00F91C7C" w:rsidP="00F91C7C">
      <w:pPr>
        <w:pStyle w:val="21"/>
        <w:ind w:left="0"/>
      </w:pPr>
    </w:p>
    <w:tbl>
      <w:tblPr>
        <w:tblW w:w="15601" w:type="dxa"/>
        <w:jc w:val="center"/>
        <w:tblBorders>
          <w:top w:val="single" w:sz="4" w:space="0" w:color="00A0E9"/>
          <w:insideH w:val="single" w:sz="4" w:space="0" w:color="00A0E9"/>
          <w:insideV w:val="single" w:sz="4" w:space="0" w:color="00A0E9"/>
        </w:tblBorders>
        <w:tblLayout w:type="fixed"/>
        <w:tblCellMar>
          <w:left w:w="0" w:type="dxa"/>
          <w:right w:w="0" w:type="dxa"/>
        </w:tblCellMar>
        <w:tblLook w:val="0000" w:firstRow="0" w:lastRow="0" w:firstColumn="0" w:lastColumn="0" w:noHBand="0" w:noVBand="0"/>
      </w:tblPr>
      <w:tblGrid>
        <w:gridCol w:w="2835"/>
        <w:gridCol w:w="1304"/>
        <w:gridCol w:w="964"/>
        <w:gridCol w:w="748"/>
        <w:gridCol w:w="748"/>
        <w:gridCol w:w="748"/>
        <w:gridCol w:w="748"/>
        <w:gridCol w:w="750"/>
        <w:gridCol w:w="748"/>
        <w:gridCol w:w="748"/>
        <w:gridCol w:w="749"/>
        <w:gridCol w:w="748"/>
        <w:gridCol w:w="748"/>
        <w:gridCol w:w="749"/>
        <w:gridCol w:w="748"/>
        <w:gridCol w:w="748"/>
        <w:gridCol w:w="749"/>
        <w:gridCol w:w="21"/>
      </w:tblGrid>
      <w:tr w:rsidR="00F91C7C" w:rsidRPr="00495842" w:rsidTr="00E1278A">
        <w:trPr>
          <w:trHeight w:val="227"/>
          <w:tblHeader/>
          <w:jc w:val="center"/>
        </w:trPr>
        <w:tc>
          <w:tcPr>
            <w:tcW w:w="15601" w:type="dxa"/>
            <w:gridSpan w:val="18"/>
            <w:shd w:val="clear" w:color="auto" w:fill="auto"/>
          </w:tcPr>
          <w:p w:rsidR="00F91C7C" w:rsidRPr="00495842" w:rsidRDefault="00F91C7C" w:rsidP="00E1278A">
            <w:pPr>
              <w:pStyle w:val="SubTitleLargeTable"/>
              <w:rPr>
                <w:rFonts w:ascii="楷体_GB2312"/>
              </w:rPr>
            </w:pPr>
            <w:r w:rsidRPr="00495842">
              <w:rPr>
                <w:rFonts w:ascii="楷体_GB2312" w:hint="eastAsia"/>
              </w:rPr>
              <w:t>图表</w:t>
            </w:r>
            <w:r>
              <w:rPr>
                <w:rFonts w:hint="eastAsia"/>
              </w:rPr>
              <w:t>2</w:t>
            </w:r>
            <w:r w:rsidRPr="00DB4BB6">
              <w:rPr>
                <w:rFonts w:hint="eastAsia"/>
              </w:rPr>
              <w:t>：</w:t>
            </w:r>
            <w:r>
              <w:rPr>
                <w:rFonts w:hint="eastAsia"/>
                <w:lang w:val="en-US"/>
              </w:rPr>
              <w:t>股票</w:t>
            </w:r>
            <w:r>
              <w:rPr>
                <w:rFonts w:hint="eastAsia"/>
                <w:lang w:val="en-US"/>
              </w:rPr>
              <w:t>-</w:t>
            </w:r>
            <w:r>
              <w:rPr>
                <w:rFonts w:hint="eastAsia"/>
                <w:lang w:val="en-US"/>
              </w:rPr>
              <w:t>指数型</w:t>
            </w:r>
            <w:r w:rsidRPr="004301A2">
              <w:rPr>
                <w:rFonts w:hint="eastAsia"/>
                <w:lang w:val="en-US"/>
              </w:rPr>
              <w:t>投连险账户</w:t>
            </w:r>
          </w:p>
        </w:tc>
      </w:tr>
      <w:tr w:rsidR="00F91C7C" w:rsidRPr="00495842" w:rsidTr="00E1278A">
        <w:trPr>
          <w:gridAfter w:val="1"/>
          <w:wAfter w:w="21" w:type="dxa"/>
          <w:trHeight w:val="227"/>
          <w:tblHeader/>
          <w:jc w:val="center"/>
        </w:trPr>
        <w:tc>
          <w:tcPr>
            <w:tcW w:w="2835" w:type="dxa"/>
            <w:vMerge w:val="restart"/>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公司</w:t>
            </w:r>
          </w:p>
        </w:tc>
        <w:tc>
          <w:tcPr>
            <w:tcW w:w="1304" w:type="dxa"/>
            <w:vMerge w:val="restart"/>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投资账户</w:t>
            </w:r>
          </w:p>
        </w:tc>
        <w:tc>
          <w:tcPr>
            <w:tcW w:w="964" w:type="dxa"/>
            <w:vMerge w:val="restart"/>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截止日期</w:t>
            </w:r>
          </w:p>
        </w:tc>
        <w:tc>
          <w:tcPr>
            <w:tcW w:w="3742" w:type="dxa"/>
            <w:gridSpan w:val="5"/>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绝对收益</w:t>
            </w:r>
          </w:p>
        </w:tc>
        <w:tc>
          <w:tcPr>
            <w:tcW w:w="2245" w:type="dxa"/>
            <w:gridSpan w:val="3"/>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标准差(年化)</w:t>
            </w:r>
          </w:p>
        </w:tc>
        <w:tc>
          <w:tcPr>
            <w:tcW w:w="2245" w:type="dxa"/>
            <w:gridSpan w:val="3"/>
            <w:shd w:val="clear" w:color="auto" w:fill="auto"/>
            <w:vAlign w:val="center"/>
          </w:tcPr>
          <w:p w:rsidR="00F91C7C" w:rsidRPr="00B022EE" w:rsidRDefault="00102430" w:rsidP="00E1278A">
            <w:pPr>
              <w:jc w:val="center"/>
              <w:rPr>
                <w:rFonts w:ascii="宋体" w:eastAsia="宋体" w:hAnsi="宋体" w:cs="Arial"/>
                <w:b/>
                <w:bCs/>
                <w:color w:val="000000"/>
                <w:szCs w:val="18"/>
              </w:rPr>
            </w:pPr>
            <w:r>
              <w:rPr>
                <w:rFonts w:ascii="宋体" w:eastAsia="宋体" w:hAnsi="宋体" w:cs="Arial" w:hint="eastAsia"/>
                <w:b/>
                <w:bCs/>
                <w:color w:val="000000"/>
                <w:szCs w:val="18"/>
              </w:rPr>
              <w:t>最大回撤</w:t>
            </w:r>
          </w:p>
        </w:tc>
        <w:tc>
          <w:tcPr>
            <w:tcW w:w="2245" w:type="dxa"/>
            <w:gridSpan w:val="3"/>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夏普比率(年化)</w:t>
            </w:r>
          </w:p>
        </w:tc>
      </w:tr>
      <w:tr w:rsidR="00F91C7C" w:rsidRPr="00495842" w:rsidTr="00E1278A">
        <w:trPr>
          <w:gridAfter w:val="1"/>
          <w:wAfter w:w="21" w:type="dxa"/>
          <w:trHeight w:val="227"/>
          <w:tblHeader/>
          <w:jc w:val="center"/>
        </w:trPr>
        <w:tc>
          <w:tcPr>
            <w:tcW w:w="2835" w:type="dxa"/>
            <w:vMerge/>
            <w:shd w:val="clear" w:color="auto" w:fill="auto"/>
            <w:vAlign w:val="center"/>
          </w:tcPr>
          <w:p w:rsidR="00F91C7C" w:rsidRPr="00B022EE" w:rsidRDefault="00F91C7C" w:rsidP="00E1278A">
            <w:pPr>
              <w:pStyle w:val="21"/>
              <w:spacing w:after="0" w:line="10" w:lineRule="atLeast"/>
              <w:ind w:left="0"/>
              <w:jc w:val="center"/>
              <w:rPr>
                <w:rFonts w:ascii="宋体" w:eastAsia="宋体" w:hAnsi="宋体"/>
              </w:rPr>
            </w:pPr>
          </w:p>
        </w:tc>
        <w:tc>
          <w:tcPr>
            <w:tcW w:w="1304" w:type="dxa"/>
            <w:vMerge/>
            <w:shd w:val="clear" w:color="auto" w:fill="auto"/>
            <w:vAlign w:val="center"/>
          </w:tcPr>
          <w:p w:rsidR="00F91C7C" w:rsidRPr="00B022EE" w:rsidRDefault="00F91C7C" w:rsidP="00E1278A">
            <w:pPr>
              <w:pStyle w:val="21"/>
              <w:spacing w:after="0" w:line="10" w:lineRule="atLeast"/>
              <w:ind w:left="0"/>
              <w:jc w:val="center"/>
              <w:rPr>
                <w:rFonts w:ascii="宋体" w:eastAsia="宋体" w:hAnsi="宋体"/>
              </w:rPr>
            </w:pPr>
          </w:p>
        </w:tc>
        <w:tc>
          <w:tcPr>
            <w:tcW w:w="964" w:type="dxa"/>
            <w:vMerge/>
            <w:shd w:val="clear" w:color="auto" w:fill="auto"/>
            <w:vAlign w:val="center"/>
          </w:tcPr>
          <w:p w:rsidR="00F91C7C" w:rsidRPr="00B022EE" w:rsidRDefault="00F91C7C" w:rsidP="00E1278A">
            <w:pPr>
              <w:pStyle w:val="21"/>
              <w:spacing w:after="0" w:line="10" w:lineRule="atLeast"/>
              <w:ind w:left="0"/>
              <w:jc w:val="center"/>
              <w:rPr>
                <w:rFonts w:ascii="宋体" w:eastAsia="宋体" w:hAnsi="宋体"/>
              </w:rPr>
            </w:pPr>
          </w:p>
        </w:tc>
        <w:tc>
          <w:tcPr>
            <w:tcW w:w="748"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bCs/>
                <w:color w:val="000000"/>
                <w:szCs w:val="18"/>
              </w:rPr>
              <w:t>近一月</w:t>
            </w:r>
          </w:p>
        </w:tc>
        <w:tc>
          <w:tcPr>
            <w:tcW w:w="748"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szCs w:val="18"/>
              </w:rPr>
              <w:t>近</w:t>
            </w:r>
            <w:r>
              <w:rPr>
                <w:rFonts w:ascii="宋体" w:eastAsia="宋体" w:hAnsi="宋体" w:cs="Arial" w:hint="eastAsia"/>
                <w:b/>
                <w:szCs w:val="18"/>
              </w:rPr>
              <w:t>一季度</w:t>
            </w:r>
          </w:p>
        </w:tc>
        <w:tc>
          <w:tcPr>
            <w:tcW w:w="748"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bCs/>
                <w:color w:val="000000"/>
                <w:szCs w:val="18"/>
              </w:rPr>
              <w:t>近一年</w:t>
            </w:r>
          </w:p>
        </w:tc>
        <w:tc>
          <w:tcPr>
            <w:tcW w:w="748"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近两年</w:t>
            </w:r>
          </w:p>
        </w:tc>
        <w:tc>
          <w:tcPr>
            <w:tcW w:w="750"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近三年</w:t>
            </w:r>
          </w:p>
        </w:tc>
        <w:tc>
          <w:tcPr>
            <w:tcW w:w="748" w:type="dxa"/>
            <w:shd w:val="clear" w:color="auto" w:fill="auto"/>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bCs/>
                <w:color w:val="000000"/>
                <w:szCs w:val="18"/>
              </w:rPr>
              <w:t>近一年</w:t>
            </w:r>
          </w:p>
        </w:tc>
        <w:tc>
          <w:tcPr>
            <w:tcW w:w="748"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近两年</w:t>
            </w:r>
          </w:p>
        </w:tc>
        <w:tc>
          <w:tcPr>
            <w:tcW w:w="749"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近三年</w:t>
            </w:r>
          </w:p>
        </w:tc>
        <w:tc>
          <w:tcPr>
            <w:tcW w:w="748" w:type="dxa"/>
            <w:shd w:val="clear" w:color="auto" w:fill="auto"/>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bCs/>
                <w:color w:val="000000"/>
                <w:szCs w:val="18"/>
              </w:rPr>
              <w:t>近一年</w:t>
            </w:r>
          </w:p>
        </w:tc>
        <w:tc>
          <w:tcPr>
            <w:tcW w:w="748"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近两年</w:t>
            </w:r>
          </w:p>
        </w:tc>
        <w:tc>
          <w:tcPr>
            <w:tcW w:w="749"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近三年</w:t>
            </w:r>
          </w:p>
        </w:tc>
        <w:tc>
          <w:tcPr>
            <w:tcW w:w="748" w:type="dxa"/>
            <w:shd w:val="clear" w:color="auto" w:fill="auto"/>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bCs/>
                <w:color w:val="000000"/>
                <w:szCs w:val="18"/>
              </w:rPr>
              <w:t>近一年</w:t>
            </w:r>
          </w:p>
        </w:tc>
        <w:tc>
          <w:tcPr>
            <w:tcW w:w="748"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近两年</w:t>
            </w:r>
          </w:p>
        </w:tc>
        <w:tc>
          <w:tcPr>
            <w:tcW w:w="749"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近三年</w:t>
            </w:r>
          </w:p>
        </w:tc>
      </w:tr>
      <w:tr w:rsidR="009123A3" w:rsidRPr="00495842" w:rsidTr="009D158F">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成长型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-1.52%</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14.08%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105.61%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105.61%</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87.78%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21.36%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18.98%</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19.79%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8.23%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14.03%</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20.87%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3.37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1.83</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1.02</w:t>
            </w:r>
          </w:p>
        </w:tc>
      </w:tr>
      <w:tr w:rsidR="009123A3" w:rsidRPr="00495842" w:rsidTr="009D158F">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海康人寿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指数加强型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-4.36%</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13.80%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100.44%</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101.42%</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83.57%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26.33%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21.72%</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21.37%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15.81%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15.81%</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19.04%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1.51</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0.88</w:t>
            </w:r>
          </w:p>
        </w:tc>
      </w:tr>
      <w:tr w:rsidR="009123A3" w:rsidRPr="00495842" w:rsidTr="009D158F">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中英人寿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指数型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-4.96%</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15.73%</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96.19%</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99.15%</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74.50%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23.10%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19.31%</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19.90%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15.58%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15.58%</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18.26%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1.67</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0.85</w:t>
            </w:r>
          </w:p>
        </w:tc>
      </w:tr>
      <w:tr w:rsidR="009123A3" w:rsidRPr="00495842" w:rsidTr="009D158F">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中英人寿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指数增强型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-5.02%</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14.69%</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97.81%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99.75%</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73.25%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23.86%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19.95%</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20.28%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15.71%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15.71%</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19.81%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1.63</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0.83</w:t>
            </w:r>
          </w:p>
        </w:tc>
      </w:tr>
      <w:tr w:rsidR="009123A3" w:rsidRPr="00495842" w:rsidTr="009D158F">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建信人寿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指数成长型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-5.85%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12.38%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96.48%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97.05%</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78.55%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26.18%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21.13%</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20.45%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17.10%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17.10%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19.32%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0.86</w:t>
            </w:r>
          </w:p>
        </w:tc>
      </w:tr>
      <w:tr w:rsidR="009123A3" w:rsidRPr="00495842" w:rsidTr="009D158F">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光大永明人寿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指数型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-12.08%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11.67%</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96.55%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74.73%</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48.68%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32.07%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24.85%</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24.03%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20.60%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20.60%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27.44%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0.53</w:t>
            </w:r>
          </w:p>
        </w:tc>
      </w:tr>
      <w:tr w:rsidR="009123A3" w:rsidRPr="00495842" w:rsidTr="009123A3">
        <w:trPr>
          <w:gridAfter w:val="1"/>
          <w:wAfter w:w="21" w:type="dxa"/>
          <w:trHeight w:val="227"/>
          <w:jc w:val="center"/>
        </w:trPr>
        <w:tc>
          <w:tcPr>
            <w:tcW w:w="2835" w:type="dxa"/>
            <w:tcBorders>
              <w:bottom w:val="single" w:sz="4" w:space="0" w:color="00A0E9"/>
            </w:tcBorders>
            <w:shd w:val="clear" w:color="auto" w:fill="8DB3E2"/>
            <w:vAlign w:val="center"/>
          </w:tcPr>
          <w:p w:rsidR="009123A3" w:rsidRPr="001831AC" w:rsidRDefault="009123A3" w:rsidP="00E1278A">
            <w:pPr>
              <w:rPr>
                <w:rFonts w:ascii="宋体" w:eastAsia="宋体" w:hAnsi="宋体" w:cs="宋体"/>
                <w:color w:val="000000"/>
                <w:sz w:val="22"/>
              </w:rPr>
            </w:pPr>
          </w:p>
        </w:tc>
        <w:tc>
          <w:tcPr>
            <w:tcW w:w="1304" w:type="dxa"/>
            <w:tcBorders>
              <w:bottom w:val="single" w:sz="4" w:space="0" w:color="00A0E9"/>
            </w:tcBorders>
            <w:shd w:val="clear" w:color="auto" w:fill="8DB3E2"/>
            <w:vAlign w:val="center"/>
          </w:tcPr>
          <w:p w:rsidR="009123A3" w:rsidRPr="001831AC" w:rsidRDefault="009123A3" w:rsidP="00E1278A">
            <w:pPr>
              <w:rPr>
                <w:rFonts w:ascii="宋体" w:eastAsia="宋体" w:hAnsi="宋体" w:cs="宋体"/>
                <w:color w:val="000000"/>
                <w:sz w:val="22"/>
              </w:rPr>
            </w:pPr>
          </w:p>
        </w:tc>
        <w:tc>
          <w:tcPr>
            <w:tcW w:w="964"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 w:val="22"/>
              </w:rPr>
            </w:pPr>
            <w:r w:rsidRPr="007F742D">
              <w:rPr>
                <w:rFonts w:ascii="宋体" w:eastAsia="宋体" w:hAnsi="宋体" w:hint="eastAsia"/>
                <w:b/>
                <w:color w:val="000000"/>
                <w:szCs w:val="18"/>
              </w:rPr>
              <w:t>平均</w:t>
            </w:r>
          </w:p>
        </w:tc>
        <w:tc>
          <w:tcPr>
            <w:tcW w:w="748" w:type="dxa"/>
            <w:tcBorders>
              <w:bottom w:val="single" w:sz="4" w:space="0" w:color="00A0E9"/>
            </w:tcBorders>
            <w:shd w:val="clear" w:color="auto" w:fill="8DB3E2"/>
            <w:vAlign w:val="center"/>
          </w:tcPr>
          <w:p w:rsidR="009123A3" w:rsidRPr="008A59CA" w:rsidRDefault="009123A3" w:rsidP="009123A3">
            <w:pPr>
              <w:jc w:val="center"/>
              <w:rPr>
                <w:rFonts w:asciiTheme="minorEastAsia" w:eastAsiaTheme="minorEastAsia" w:hAnsiTheme="minorEastAsia" w:cs="宋体"/>
                <w:color w:val="9C0006"/>
                <w:szCs w:val="18"/>
              </w:rPr>
            </w:pPr>
            <w:r w:rsidRPr="008A59CA">
              <w:rPr>
                <w:rFonts w:asciiTheme="minorEastAsia" w:eastAsiaTheme="minorEastAsia" w:hAnsiTheme="minorEastAsia" w:hint="eastAsia"/>
                <w:color w:val="9C0006"/>
                <w:szCs w:val="18"/>
              </w:rPr>
              <w:t>-5.63%</w:t>
            </w:r>
          </w:p>
        </w:tc>
        <w:tc>
          <w:tcPr>
            <w:tcW w:w="748" w:type="dxa"/>
            <w:tcBorders>
              <w:bottom w:val="single" w:sz="4" w:space="0" w:color="00A0E9"/>
            </w:tcBorders>
            <w:shd w:val="clear" w:color="auto" w:fill="8DB3E2"/>
            <w:vAlign w:val="center"/>
          </w:tcPr>
          <w:p w:rsidR="009123A3" w:rsidRPr="008A59CA" w:rsidRDefault="009123A3" w:rsidP="009123A3">
            <w:pPr>
              <w:jc w:val="center"/>
              <w:rPr>
                <w:rFonts w:asciiTheme="minorEastAsia" w:eastAsiaTheme="minorEastAsia" w:hAnsiTheme="minorEastAsia" w:cs="宋体"/>
                <w:color w:val="000000"/>
                <w:szCs w:val="18"/>
              </w:rPr>
            </w:pPr>
            <w:r w:rsidRPr="008A59CA">
              <w:rPr>
                <w:rFonts w:asciiTheme="minorEastAsia" w:eastAsiaTheme="minorEastAsia" w:hAnsiTheme="minorEastAsia" w:hint="eastAsia"/>
                <w:color w:val="000000"/>
                <w:szCs w:val="18"/>
              </w:rPr>
              <w:t>13.73%</w:t>
            </w:r>
          </w:p>
        </w:tc>
        <w:tc>
          <w:tcPr>
            <w:tcW w:w="748" w:type="dxa"/>
            <w:tcBorders>
              <w:bottom w:val="single" w:sz="4" w:space="0" w:color="00A0E9"/>
            </w:tcBorders>
            <w:shd w:val="clear" w:color="auto" w:fill="8DB3E2"/>
            <w:vAlign w:val="center"/>
          </w:tcPr>
          <w:p w:rsidR="009123A3" w:rsidRPr="008A59CA" w:rsidRDefault="009123A3" w:rsidP="009123A3">
            <w:pPr>
              <w:jc w:val="center"/>
              <w:rPr>
                <w:rFonts w:asciiTheme="minorEastAsia" w:eastAsiaTheme="minorEastAsia" w:hAnsiTheme="minorEastAsia" w:cs="宋体"/>
                <w:color w:val="000000"/>
                <w:szCs w:val="18"/>
              </w:rPr>
            </w:pPr>
            <w:r w:rsidRPr="008A59CA">
              <w:rPr>
                <w:rFonts w:asciiTheme="minorEastAsia" w:eastAsiaTheme="minorEastAsia" w:hAnsiTheme="minorEastAsia" w:hint="eastAsia"/>
                <w:color w:val="000000"/>
                <w:szCs w:val="18"/>
              </w:rPr>
              <w:t>98.85%</w:t>
            </w:r>
          </w:p>
        </w:tc>
        <w:tc>
          <w:tcPr>
            <w:tcW w:w="748" w:type="dxa"/>
            <w:tcBorders>
              <w:bottom w:val="single" w:sz="4" w:space="0" w:color="00A0E9"/>
            </w:tcBorders>
            <w:shd w:val="clear" w:color="auto" w:fill="8DB3E2"/>
            <w:vAlign w:val="center"/>
          </w:tcPr>
          <w:p w:rsidR="009123A3" w:rsidRPr="008A59CA" w:rsidRDefault="009123A3" w:rsidP="009123A3">
            <w:pPr>
              <w:jc w:val="center"/>
              <w:rPr>
                <w:rFonts w:asciiTheme="minorEastAsia" w:eastAsiaTheme="minorEastAsia" w:hAnsiTheme="minorEastAsia" w:cs="宋体"/>
                <w:color w:val="000000"/>
                <w:szCs w:val="18"/>
              </w:rPr>
            </w:pPr>
            <w:r w:rsidRPr="008A59CA">
              <w:rPr>
                <w:rFonts w:asciiTheme="minorEastAsia" w:eastAsiaTheme="minorEastAsia" w:hAnsiTheme="minorEastAsia" w:hint="eastAsia"/>
                <w:color w:val="000000"/>
                <w:szCs w:val="18"/>
              </w:rPr>
              <w:t>96.28%</w:t>
            </w:r>
          </w:p>
        </w:tc>
        <w:tc>
          <w:tcPr>
            <w:tcW w:w="750" w:type="dxa"/>
            <w:tcBorders>
              <w:bottom w:val="single" w:sz="4" w:space="0" w:color="00A0E9"/>
            </w:tcBorders>
            <w:shd w:val="clear" w:color="auto" w:fill="8DB3E2"/>
            <w:vAlign w:val="center"/>
          </w:tcPr>
          <w:p w:rsidR="009123A3" w:rsidRPr="008A59CA" w:rsidRDefault="009123A3" w:rsidP="009123A3">
            <w:pPr>
              <w:jc w:val="center"/>
              <w:rPr>
                <w:rFonts w:asciiTheme="minorEastAsia" w:eastAsiaTheme="minorEastAsia" w:hAnsiTheme="minorEastAsia" w:cs="宋体"/>
                <w:color w:val="000000"/>
                <w:szCs w:val="18"/>
              </w:rPr>
            </w:pPr>
            <w:r w:rsidRPr="008A59CA">
              <w:rPr>
                <w:rFonts w:asciiTheme="minorEastAsia" w:eastAsiaTheme="minorEastAsia" w:hAnsiTheme="minorEastAsia" w:hint="eastAsia"/>
                <w:color w:val="000000"/>
                <w:szCs w:val="18"/>
              </w:rPr>
              <w:t>74.39%</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9"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9"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9"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r>
      <w:tr w:rsidR="00F91C7C" w:rsidRPr="00495842" w:rsidTr="00E1278A">
        <w:trPr>
          <w:trHeight w:val="227"/>
          <w:jc w:val="center"/>
        </w:trPr>
        <w:tc>
          <w:tcPr>
            <w:tcW w:w="15601" w:type="dxa"/>
            <w:gridSpan w:val="18"/>
            <w:shd w:val="clear" w:color="auto" w:fill="auto"/>
          </w:tcPr>
          <w:p w:rsidR="00F91C7C" w:rsidRPr="00495842" w:rsidRDefault="00F91C7C" w:rsidP="00E1278A">
            <w:pPr>
              <w:pStyle w:val="FootnoteNoline"/>
              <w:ind w:left="0"/>
              <w:rPr>
                <w:rFonts w:ascii="楷体_GB2312"/>
              </w:rPr>
            </w:pPr>
            <w:r w:rsidRPr="00495842">
              <w:rPr>
                <w:rFonts w:ascii="楷体_GB2312" w:hint="eastAsia"/>
              </w:rPr>
              <w:t>来源：国金证券研究所</w:t>
            </w:r>
          </w:p>
        </w:tc>
      </w:tr>
    </w:tbl>
    <w:p w:rsidR="00F91C7C" w:rsidRDefault="00F91C7C" w:rsidP="00F91C7C">
      <w:pPr>
        <w:pStyle w:val="a0"/>
        <w:ind w:left="0"/>
      </w:pPr>
    </w:p>
    <w:tbl>
      <w:tblPr>
        <w:tblW w:w="15601" w:type="dxa"/>
        <w:jc w:val="center"/>
        <w:tblBorders>
          <w:top w:val="single" w:sz="4" w:space="0" w:color="00A0E9"/>
          <w:insideH w:val="single" w:sz="4" w:space="0" w:color="00A0E9"/>
          <w:insideV w:val="single" w:sz="4" w:space="0" w:color="00A0E9"/>
        </w:tblBorders>
        <w:tblLayout w:type="fixed"/>
        <w:tblCellMar>
          <w:left w:w="0" w:type="dxa"/>
          <w:right w:w="0" w:type="dxa"/>
        </w:tblCellMar>
        <w:tblLook w:val="0000" w:firstRow="0" w:lastRow="0" w:firstColumn="0" w:lastColumn="0" w:noHBand="0" w:noVBand="0"/>
      </w:tblPr>
      <w:tblGrid>
        <w:gridCol w:w="2835"/>
        <w:gridCol w:w="1304"/>
        <w:gridCol w:w="964"/>
        <w:gridCol w:w="748"/>
        <w:gridCol w:w="748"/>
        <w:gridCol w:w="748"/>
        <w:gridCol w:w="748"/>
        <w:gridCol w:w="750"/>
        <w:gridCol w:w="748"/>
        <w:gridCol w:w="748"/>
        <w:gridCol w:w="749"/>
        <w:gridCol w:w="748"/>
        <w:gridCol w:w="748"/>
        <w:gridCol w:w="749"/>
        <w:gridCol w:w="748"/>
        <w:gridCol w:w="748"/>
        <w:gridCol w:w="749"/>
        <w:gridCol w:w="21"/>
      </w:tblGrid>
      <w:tr w:rsidR="00F91C7C" w:rsidRPr="00495842" w:rsidTr="00E1278A">
        <w:trPr>
          <w:trHeight w:val="227"/>
          <w:tblHeader/>
          <w:jc w:val="center"/>
        </w:trPr>
        <w:tc>
          <w:tcPr>
            <w:tcW w:w="15601" w:type="dxa"/>
            <w:gridSpan w:val="18"/>
            <w:shd w:val="clear" w:color="auto" w:fill="auto"/>
          </w:tcPr>
          <w:p w:rsidR="00F91C7C" w:rsidRPr="00495842" w:rsidRDefault="00F91C7C" w:rsidP="00E1278A">
            <w:pPr>
              <w:pStyle w:val="SubTitleLargeTable"/>
              <w:rPr>
                <w:rFonts w:ascii="楷体_GB2312"/>
              </w:rPr>
            </w:pPr>
            <w:r w:rsidRPr="00495842">
              <w:rPr>
                <w:rFonts w:ascii="楷体_GB2312" w:hint="eastAsia"/>
              </w:rPr>
              <w:t>图表</w:t>
            </w:r>
            <w:r>
              <w:rPr>
                <w:rFonts w:hint="eastAsia"/>
              </w:rPr>
              <w:t>3</w:t>
            </w:r>
            <w:r w:rsidRPr="00DB4BB6">
              <w:rPr>
                <w:rFonts w:hint="eastAsia"/>
              </w:rPr>
              <w:t>：</w:t>
            </w:r>
            <w:r w:rsidRPr="00636F55">
              <w:rPr>
                <w:rFonts w:hint="eastAsia"/>
                <w:lang w:val="en-US"/>
              </w:rPr>
              <w:t>混合偏股型投连险账户</w:t>
            </w:r>
          </w:p>
        </w:tc>
      </w:tr>
      <w:tr w:rsidR="00F91C7C" w:rsidRPr="006B356A" w:rsidTr="00E1278A">
        <w:trPr>
          <w:gridAfter w:val="1"/>
          <w:wAfter w:w="21" w:type="dxa"/>
          <w:trHeight w:val="227"/>
          <w:tblHeader/>
          <w:jc w:val="center"/>
        </w:trPr>
        <w:tc>
          <w:tcPr>
            <w:tcW w:w="2835" w:type="dxa"/>
            <w:vMerge w:val="restart"/>
            <w:shd w:val="clear" w:color="auto" w:fill="auto"/>
            <w:vAlign w:val="center"/>
          </w:tcPr>
          <w:p w:rsidR="00F91C7C" w:rsidRPr="006B356A" w:rsidRDefault="00F91C7C" w:rsidP="00E1278A">
            <w:pPr>
              <w:jc w:val="center"/>
              <w:rPr>
                <w:rFonts w:ascii="宋体" w:eastAsia="宋体" w:hAnsi="宋体" w:cs="Arial"/>
                <w:b/>
                <w:bCs/>
                <w:color w:val="000000"/>
                <w:szCs w:val="18"/>
              </w:rPr>
            </w:pPr>
            <w:r w:rsidRPr="006B356A">
              <w:rPr>
                <w:rFonts w:ascii="宋体" w:eastAsia="宋体" w:hAnsi="宋体" w:cs="Arial" w:hint="eastAsia"/>
                <w:b/>
                <w:bCs/>
                <w:color w:val="000000"/>
                <w:szCs w:val="18"/>
              </w:rPr>
              <w:t>公司</w:t>
            </w:r>
          </w:p>
        </w:tc>
        <w:tc>
          <w:tcPr>
            <w:tcW w:w="1304" w:type="dxa"/>
            <w:vMerge w:val="restart"/>
            <w:shd w:val="clear" w:color="auto" w:fill="auto"/>
            <w:vAlign w:val="center"/>
          </w:tcPr>
          <w:p w:rsidR="00F91C7C" w:rsidRPr="006B356A" w:rsidRDefault="00F91C7C" w:rsidP="00E1278A">
            <w:pPr>
              <w:jc w:val="center"/>
              <w:rPr>
                <w:rFonts w:ascii="宋体" w:eastAsia="宋体" w:hAnsi="宋体" w:cs="Arial"/>
                <w:b/>
                <w:bCs/>
                <w:color w:val="000000"/>
                <w:szCs w:val="18"/>
              </w:rPr>
            </w:pPr>
            <w:r w:rsidRPr="006B356A">
              <w:rPr>
                <w:rFonts w:ascii="宋体" w:eastAsia="宋体" w:hAnsi="宋体" w:cs="Arial" w:hint="eastAsia"/>
                <w:b/>
                <w:bCs/>
                <w:color w:val="000000"/>
                <w:szCs w:val="18"/>
              </w:rPr>
              <w:t>投资账户</w:t>
            </w:r>
          </w:p>
        </w:tc>
        <w:tc>
          <w:tcPr>
            <w:tcW w:w="964" w:type="dxa"/>
            <w:vMerge w:val="restart"/>
            <w:shd w:val="clear" w:color="auto" w:fill="auto"/>
            <w:vAlign w:val="center"/>
          </w:tcPr>
          <w:p w:rsidR="00F91C7C" w:rsidRPr="006B356A" w:rsidRDefault="00F91C7C" w:rsidP="00E1278A">
            <w:pPr>
              <w:jc w:val="center"/>
              <w:rPr>
                <w:rFonts w:ascii="宋体" w:eastAsia="宋体" w:hAnsi="宋体" w:cs="Arial"/>
                <w:b/>
                <w:bCs/>
                <w:color w:val="000000"/>
                <w:szCs w:val="18"/>
              </w:rPr>
            </w:pPr>
            <w:r w:rsidRPr="006B356A">
              <w:rPr>
                <w:rFonts w:ascii="宋体" w:eastAsia="宋体" w:hAnsi="宋体" w:cs="Arial" w:hint="eastAsia"/>
                <w:b/>
                <w:bCs/>
                <w:color w:val="000000"/>
                <w:szCs w:val="18"/>
              </w:rPr>
              <w:t>截止日期</w:t>
            </w:r>
          </w:p>
        </w:tc>
        <w:tc>
          <w:tcPr>
            <w:tcW w:w="3742" w:type="dxa"/>
            <w:gridSpan w:val="5"/>
            <w:tcBorders>
              <w:bottom w:val="single" w:sz="4" w:space="0" w:color="00A0E9"/>
            </w:tcBorders>
            <w:shd w:val="clear" w:color="auto" w:fill="D9D9D9"/>
            <w:vAlign w:val="center"/>
          </w:tcPr>
          <w:p w:rsidR="00F91C7C" w:rsidRPr="006B356A" w:rsidRDefault="00F91C7C" w:rsidP="00E1278A">
            <w:pPr>
              <w:jc w:val="center"/>
              <w:rPr>
                <w:rFonts w:ascii="宋体" w:eastAsia="宋体" w:hAnsi="宋体" w:cs="Arial"/>
                <w:b/>
                <w:bCs/>
                <w:color w:val="000000"/>
                <w:szCs w:val="18"/>
              </w:rPr>
            </w:pPr>
            <w:r w:rsidRPr="006B356A">
              <w:rPr>
                <w:rFonts w:ascii="宋体" w:eastAsia="宋体" w:hAnsi="宋体" w:cs="Arial" w:hint="eastAsia"/>
                <w:b/>
                <w:bCs/>
                <w:color w:val="000000"/>
                <w:szCs w:val="18"/>
              </w:rPr>
              <w:t>绝对收益</w:t>
            </w:r>
          </w:p>
        </w:tc>
        <w:tc>
          <w:tcPr>
            <w:tcW w:w="2245" w:type="dxa"/>
            <w:gridSpan w:val="3"/>
            <w:shd w:val="clear" w:color="auto" w:fill="auto"/>
            <w:vAlign w:val="center"/>
          </w:tcPr>
          <w:p w:rsidR="00F91C7C" w:rsidRPr="006B356A" w:rsidRDefault="00F91C7C" w:rsidP="00E1278A">
            <w:pPr>
              <w:jc w:val="center"/>
              <w:rPr>
                <w:rFonts w:ascii="宋体" w:eastAsia="宋体" w:hAnsi="宋体" w:cs="Arial"/>
                <w:b/>
                <w:bCs/>
                <w:color w:val="000000"/>
                <w:szCs w:val="18"/>
              </w:rPr>
            </w:pPr>
            <w:r w:rsidRPr="006B356A">
              <w:rPr>
                <w:rFonts w:ascii="宋体" w:eastAsia="宋体" w:hAnsi="宋体" w:cs="Arial" w:hint="eastAsia"/>
                <w:b/>
                <w:bCs/>
                <w:color w:val="000000"/>
                <w:szCs w:val="18"/>
              </w:rPr>
              <w:t>标准差(年化)</w:t>
            </w:r>
          </w:p>
        </w:tc>
        <w:tc>
          <w:tcPr>
            <w:tcW w:w="2245" w:type="dxa"/>
            <w:gridSpan w:val="3"/>
            <w:shd w:val="clear" w:color="auto" w:fill="auto"/>
            <w:vAlign w:val="center"/>
          </w:tcPr>
          <w:p w:rsidR="00F91C7C" w:rsidRPr="006B356A" w:rsidRDefault="00102430" w:rsidP="00E1278A">
            <w:pPr>
              <w:jc w:val="center"/>
              <w:rPr>
                <w:rFonts w:ascii="宋体" w:eastAsia="宋体" w:hAnsi="宋体" w:cs="Arial"/>
                <w:b/>
                <w:bCs/>
                <w:color w:val="000000"/>
                <w:szCs w:val="18"/>
              </w:rPr>
            </w:pPr>
            <w:r>
              <w:rPr>
                <w:rFonts w:ascii="宋体" w:eastAsia="宋体" w:hAnsi="宋体" w:cs="Arial" w:hint="eastAsia"/>
                <w:b/>
                <w:bCs/>
                <w:color w:val="000000"/>
                <w:szCs w:val="18"/>
              </w:rPr>
              <w:t>最大回撤</w:t>
            </w:r>
          </w:p>
        </w:tc>
        <w:tc>
          <w:tcPr>
            <w:tcW w:w="2245" w:type="dxa"/>
            <w:gridSpan w:val="3"/>
            <w:shd w:val="clear" w:color="auto" w:fill="auto"/>
            <w:vAlign w:val="center"/>
          </w:tcPr>
          <w:p w:rsidR="00F91C7C" w:rsidRPr="006B356A" w:rsidRDefault="00F91C7C" w:rsidP="00E1278A">
            <w:pPr>
              <w:jc w:val="center"/>
              <w:rPr>
                <w:rFonts w:ascii="宋体" w:eastAsia="宋体" w:hAnsi="宋体" w:cs="Arial"/>
                <w:b/>
                <w:bCs/>
                <w:color w:val="000000"/>
                <w:szCs w:val="18"/>
              </w:rPr>
            </w:pPr>
            <w:r w:rsidRPr="006B356A">
              <w:rPr>
                <w:rFonts w:ascii="宋体" w:eastAsia="宋体" w:hAnsi="宋体" w:cs="Arial" w:hint="eastAsia"/>
                <w:b/>
                <w:bCs/>
                <w:color w:val="000000"/>
                <w:szCs w:val="18"/>
              </w:rPr>
              <w:t>夏普比率(年化)</w:t>
            </w:r>
          </w:p>
        </w:tc>
      </w:tr>
      <w:tr w:rsidR="00F91C7C" w:rsidRPr="006B356A" w:rsidTr="00E1278A">
        <w:trPr>
          <w:gridAfter w:val="1"/>
          <w:wAfter w:w="21" w:type="dxa"/>
          <w:trHeight w:val="227"/>
          <w:tblHeader/>
          <w:jc w:val="center"/>
        </w:trPr>
        <w:tc>
          <w:tcPr>
            <w:tcW w:w="2835" w:type="dxa"/>
            <w:vMerge/>
            <w:shd w:val="clear" w:color="auto" w:fill="auto"/>
            <w:vAlign w:val="center"/>
          </w:tcPr>
          <w:p w:rsidR="00F91C7C" w:rsidRPr="006B356A" w:rsidRDefault="00F91C7C" w:rsidP="00E1278A">
            <w:pPr>
              <w:pStyle w:val="21"/>
              <w:spacing w:after="0" w:line="10" w:lineRule="atLeast"/>
              <w:ind w:left="0"/>
              <w:jc w:val="center"/>
              <w:rPr>
                <w:rFonts w:ascii="宋体" w:eastAsia="宋体" w:hAnsi="宋体"/>
              </w:rPr>
            </w:pPr>
          </w:p>
        </w:tc>
        <w:tc>
          <w:tcPr>
            <w:tcW w:w="1304" w:type="dxa"/>
            <w:vMerge/>
            <w:shd w:val="clear" w:color="auto" w:fill="auto"/>
            <w:vAlign w:val="center"/>
          </w:tcPr>
          <w:p w:rsidR="00F91C7C" w:rsidRPr="006B356A" w:rsidRDefault="00F91C7C" w:rsidP="00E1278A">
            <w:pPr>
              <w:pStyle w:val="21"/>
              <w:spacing w:after="0" w:line="10" w:lineRule="atLeast"/>
              <w:ind w:left="0"/>
              <w:jc w:val="center"/>
              <w:rPr>
                <w:rFonts w:ascii="宋体" w:eastAsia="宋体" w:hAnsi="宋体"/>
              </w:rPr>
            </w:pPr>
          </w:p>
        </w:tc>
        <w:tc>
          <w:tcPr>
            <w:tcW w:w="964" w:type="dxa"/>
            <w:vMerge/>
            <w:shd w:val="clear" w:color="auto" w:fill="auto"/>
            <w:vAlign w:val="center"/>
          </w:tcPr>
          <w:p w:rsidR="00F91C7C" w:rsidRPr="006B356A" w:rsidRDefault="00F91C7C" w:rsidP="00E1278A">
            <w:pPr>
              <w:pStyle w:val="21"/>
              <w:spacing w:after="0" w:line="10" w:lineRule="atLeast"/>
              <w:ind w:left="0"/>
              <w:jc w:val="center"/>
              <w:rPr>
                <w:rFonts w:ascii="宋体" w:eastAsia="宋体" w:hAnsi="宋体"/>
              </w:rPr>
            </w:pPr>
          </w:p>
        </w:tc>
        <w:tc>
          <w:tcPr>
            <w:tcW w:w="748" w:type="dxa"/>
            <w:tcBorders>
              <w:bottom w:val="single" w:sz="4" w:space="0" w:color="00A0E9"/>
            </w:tcBorders>
            <w:shd w:val="clear" w:color="auto" w:fill="D9D9D9"/>
            <w:vAlign w:val="center"/>
          </w:tcPr>
          <w:p w:rsidR="00F91C7C" w:rsidRPr="006B356A" w:rsidRDefault="00F91C7C" w:rsidP="00E1278A">
            <w:pPr>
              <w:jc w:val="center"/>
              <w:rPr>
                <w:rFonts w:ascii="宋体" w:eastAsia="宋体" w:hAnsi="宋体" w:cs="Arial"/>
                <w:b/>
                <w:szCs w:val="18"/>
              </w:rPr>
            </w:pPr>
            <w:r w:rsidRPr="006B356A">
              <w:rPr>
                <w:rFonts w:ascii="宋体" w:eastAsia="宋体" w:hAnsi="宋体" w:cs="Arial" w:hint="eastAsia"/>
                <w:b/>
                <w:bCs/>
                <w:color w:val="000000"/>
                <w:szCs w:val="18"/>
              </w:rPr>
              <w:t>近一月</w:t>
            </w:r>
          </w:p>
        </w:tc>
        <w:tc>
          <w:tcPr>
            <w:tcW w:w="748" w:type="dxa"/>
            <w:tcBorders>
              <w:bottom w:val="single" w:sz="4" w:space="0" w:color="00A0E9"/>
            </w:tcBorders>
            <w:shd w:val="clear" w:color="auto" w:fill="D9D9D9"/>
            <w:vAlign w:val="center"/>
          </w:tcPr>
          <w:p w:rsidR="00F91C7C" w:rsidRPr="006B356A" w:rsidRDefault="00F91C7C" w:rsidP="00E1278A">
            <w:pPr>
              <w:jc w:val="center"/>
              <w:rPr>
                <w:rFonts w:ascii="宋体" w:eastAsia="宋体" w:hAnsi="宋体" w:cs="Arial"/>
                <w:b/>
                <w:szCs w:val="18"/>
              </w:rPr>
            </w:pPr>
            <w:r w:rsidRPr="006B356A">
              <w:rPr>
                <w:rFonts w:ascii="宋体" w:eastAsia="宋体" w:hAnsi="宋体" w:cs="Arial" w:hint="eastAsia"/>
                <w:b/>
                <w:szCs w:val="18"/>
              </w:rPr>
              <w:t>近</w:t>
            </w:r>
            <w:r>
              <w:rPr>
                <w:rFonts w:ascii="宋体" w:eastAsia="宋体" w:hAnsi="宋体" w:cs="Arial" w:hint="eastAsia"/>
                <w:b/>
                <w:szCs w:val="18"/>
              </w:rPr>
              <w:t>一季度</w:t>
            </w:r>
          </w:p>
        </w:tc>
        <w:tc>
          <w:tcPr>
            <w:tcW w:w="748" w:type="dxa"/>
            <w:tcBorders>
              <w:bottom w:val="single" w:sz="4" w:space="0" w:color="00A0E9"/>
            </w:tcBorders>
            <w:shd w:val="clear" w:color="auto" w:fill="D9D9D9"/>
            <w:vAlign w:val="center"/>
          </w:tcPr>
          <w:p w:rsidR="00F91C7C" w:rsidRPr="006B356A" w:rsidRDefault="00F91C7C" w:rsidP="00E1278A">
            <w:pPr>
              <w:jc w:val="center"/>
              <w:rPr>
                <w:rFonts w:ascii="宋体" w:eastAsia="宋体" w:hAnsi="宋体" w:cs="Arial"/>
                <w:b/>
                <w:szCs w:val="18"/>
              </w:rPr>
            </w:pPr>
            <w:r w:rsidRPr="006B356A">
              <w:rPr>
                <w:rFonts w:ascii="宋体" w:eastAsia="宋体" w:hAnsi="宋体" w:cs="Arial" w:hint="eastAsia"/>
                <w:b/>
                <w:bCs/>
                <w:color w:val="000000"/>
                <w:szCs w:val="18"/>
              </w:rPr>
              <w:t>近一年</w:t>
            </w:r>
          </w:p>
        </w:tc>
        <w:tc>
          <w:tcPr>
            <w:tcW w:w="748" w:type="dxa"/>
            <w:tcBorders>
              <w:bottom w:val="single" w:sz="4" w:space="0" w:color="00A0E9"/>
            </w:tcBorders>
            <w:shd w:val="clear" w:color="auto" w:fill="D9D9D9"/>
            <w:vAlign w:val="center"/>
          </w:tcPr>
          <w:p w:rsidR="00F91C7C" w:rsidRPr="006B356A" w:rsidRDefault="00F91C7C" w:rsidP="00E1278A">
            <w:pPr>
              <w:jc w:val="center"/>
              <w:rPr>
                <w:rFonts w:ascii="宋体" w:eastAsia="宋体" w:hAnsi="宋体" w:cs="Arial"/>
                <w:b/>
                <w:bCs/>
                <w:color w:val="000000"/>
                <w:szCs w:val="18"/>
              </w:rPr>
            </w:pPr>
            <w:r w:rsidRPr="006B356A">
              <w:rPr>
                <w:rFonts w:ascii="宋体" w:eastAsia="宋体" w:hAnsi="宋体" w:cs="Arial" w:hint="eastAsia"/>
                <w:b/>
                <w:bCs/>
                <w:color w:val="000000"/>
                <w:szCs w:val="18"/>
              </w:rPr>
              <w:t>近两年</w:t>
            </w:r>
          </w:p>
        </w:tc>
        <w:tc>
          <w:tcPr>
            <w:tcW w:w="750" w:type="dxa"/>
            <w:tcBorders>
              <w:bottom w:val="single" w:sz="4" w:space="0" w:color="00A0E9"/>
            </w:tcBorders>
            <w:shd w:val="clear" w:color="auto" w:fill="D9D9D9"/>
            <w:vAlign w:val="center"/>
          </w:tcPr>
          <w:p w:rsidR="00F91C7C" w:rsidRPr="006B356A" w:rsidRDefault="00F91C7C" w:rsidP="00E1278A">
            <w:pPr>
              <w:jc w:val="center"/>
              <w:rPr>
                <w:rFonts w:ascii="宋体" w:eastAsia="宋体" w:hAnsi="宋体" w:cs="Arial"/>
                <w:b/>
                <w:bCs/>
                <w:color w:val="000000"/>
                <w:szCs w:val="18"/>
              </w:rPr>
            </w:pPr>
            <w:r w:rsidRPr="006B356A">
              <w:rPr>
                <w:rFonts w:ascii="宋体" w:eastAsia="宋体" w:hAnsi="宋体" w:cs="Arial" w:hint="eastAsia"/>
                <w:b/>
                <w:bCs/>
                <w:color w:val="000000"/>
                <w:szCs w:val="18"/>
              </w:rPr>
              <w:t>近三年</w:t>
            </w:r>
          </w:p>
        </w:tc>
        <w:tc>
          <w:tcPr>
            <w:tcW w:w="748" w:type="dxa"/>
            <w:shd w:val="clear" w:color="auto" w:fill="auto"/>
            <w:vAlign w:val="center"/>
          </w:tcPr>
          <w:p w:rsidR="00F91C7C" w:rsidRPr="006B356A" w:rsidRDefault="00F91C7C" w:rsidP="00E1278A">
            <w:pPr>
              <w:jc w:val="center"/>
              <w:rPr>
                <w:rFonts w:ascii="宋体" w:eastAsia="宋体" w:hAnsi="宋体" w:cs="Arial"/>
                <w:b/>
                <w:szCs w:val="18"/>
              </w:rPr>
            </w:pPr>
            <w:r w:rsidRPr="006B356A">
              <w:rPr>
                <w:rFonts w:ascii="宋体" w:eastAsia="宋体" w:hAnsi="宋体" w:cs="Arial" w:hint="eastAsia"/>
                <w:b/>
                <w:bCs/>
                <w:color w:val="000000"/>
                <w:szCs w:val="18"/>
              </w:rPr>
              <w:t>近一年</w:t>
            </w:r>
          </w:p>
        </w:tc>
        <w:tc>
          <w:tcPr>
            <w:tcW w:w="748" w:type="dxa"/>
            <w:shd w:val="clear" w:color="auto" w:fill="auto"/>
            <w:vAlign w:val="center"/>
          </w:tcPr>
          <w:p w:rsidR="00F91C7C" w:rsidRPr="006B356A" w:rsidRDefault="00F91C7C" w:rsidP="00E1278A">
            <w:pPr>
              <w:jc w:val="center"/>
              <w:rPr>
                <w:rFonts w:ascii="宋体" w:eastAsia="宋体" w:hAnsi="宋体" w:cs="Arial"/>
                <w:b/>
                <w:bCs/>
                <w:color w:val="000000"/>
                <w:szCs w:val="18"/>
              </w:rPr>
            </w:pPr>
            <w:r w:rsidRPr="006B356A">
              <w:rPr>
                <w:rFonts w:ascii="宋体" w:eastAsia="宋体" w:hAnsi="宋体" w:cs="Arial" w:hint="eastAsia"/>
                <w:b/>
                <w:bCs/>
                <w:color w:val="000000"/>
                <w:szCs w:val="18"/>
              </w:rPr>
              <w:t>近两年</w:t>
            </w:r>
          </w:p>
        </w:tc>
        <w:tc>
          <w:tcPr>
            <w:tcW w:w="749" w:type="dxa"/>
            <w:shd w:val="clear" w:color="auto" w:fill="auto"/>
            <w:vAlign w:val="center"/>
          </w:tcPr>
          <w:p w:rsidR="00F91C7C" w:rsidRPr="006B356A" w:rsidRDefault="00F91C7C" w:rsidP="00E1278A">
            <w:pPr>
              <w:jc w:val="center"/>
              <w:rPr>
                <w:rFonts w:ascii="宋体" w:eastAsia="宋体" w:hAnsi="宋体" w:cs="Arial"/>
                <w:b/>
                <w:bCs/>
                <w:color w:val="000000"/>
                <w:szCs w:val="18"/>
              </w:rPr>
            </w:pPr>
            <w:r w:rsidRPr="006B356A">
              <w:rPr>
                <w:rFonts w:ascii="宋体" w:eastAsia="宋体" w:hAnsi="宋体" w:cs="Arial" w:hint="eastAsia"/>
                <w:b/>
                <w:bCs/>
                <w:color w:val="000000"/>
                <w:szCs w:val="18"/>
              </w:rPr>
              <w:t>近三年</w:t>
            </w:r>
          </w:p>
        </w:tc>
        <w:tc>
          <w:tcPr>
            <w:tcW w:w="748" w:type="dxa"/>
            <w:shd w:val="clear" w:color="auto" w:fill="auto"/>
            <w:vAlign w:val="center"/>
          </w:tcPr>
          <w:p w:rsidR="00F91C7C" w:rsidRPr="006B356A" w:rsidRDefault="00F91C7C" w:rsidP="00E1278A">
            <w:pPr>
              <w:jc w:val="center"/>
              <w:rPr>
                <w:rFonts w:ascii="宋体" w:eastAsia="宋体" w:hAnsi="宋体" w:cs="Arial"/>
                <w:b/>
                <w:szCs w:val="18"/>
              </w:rPr>
            </w:pPr>
            <w:r w:rsidRPr="006B356A">
              <w:rPr>
                <w:rFonts w:ascii="宋体" w:eastAsia="宋体" w:hAnsi="宋体" w:cs="Arial" w:hint="eastAsia"/>
                <w:b/>
                <w:bCs/>
                <w:color w:val="000000"/>
                <w:szCs w:val="18"/>
              </w:rPr>
              <w:t>近一年</w:t>
            </w:r>
          </w:p>
        </w:tc>
        <w:tc>
          <w:tcPr>
            <w:tcW w:w="748" w:type="dxa"/>
            <w:shd w:val="clear" w:color="auto" w:fill="auto"/>
            <w:vAlign w:val="center"/>
          </w:tcPr>
          <w:p w:rsidR="00F91C7C" w:rsidRPr="006B356A" w:rsidRDefault="00F91C7C" w:rsidP="00E1278A">
            <w:pPr>
              <w:jc w:val="center"/>
              <w:rPr>
                <w:rFonts w:ascii="宋体" w:eastAsia="宋体" w:hAnsi="宋体" w:cs="Arial"/>
                <w:b/>
                <w:bCs/>
                <w:color w:val="000000"/>
                <w:szCs w:val="18"/>
              </w:rPr>
            </w:pPr>
            <w:r w:rsidRPr="006B356A">
              <w:rPr>
                <w:rFonts w:ascii="宋体" w:eastAsia="宋体" w:hAnsi="宋体" w:cs="Arial" w:hint="eastAsia"/>
                <w:b/>
                <w:bCs/>
                <w:color w:val="000000"/>
                <w:szCs w:val="18"/>
              </w:rPr>
              <w:t>近两年</w:t>
            </w:r>
          </w:p>
        </w:tc>
        <w:tc>
          <w:tcPr>
            <w:tcW w:w="749" w:type="dxa"/>
            <w:shd w:val="clear" w:color="auto" w:fill="auto"/>
            <w:vAlign w:val="center"/>
          </w:tcPr>
          <w:p w:rsidR="00F91C7C" w:rsidRPr="006B356A" w:rsidRDefault="00F91C7C" w:rsidP="00E1278A">
            <w:pPr>
              <w:jc w:val="center"/>
              <w:rPr>
                <w:rFonts w:ascii="宋体" w:eastAsia="宋体" w:hAnsi="宋体" w:cs="Arial"/>
                <w:b/>
                <w:bCs/>
                <w:color w:val="000000"/>
                <w:szCs w:val="18"/>
              </w:rPr>
            </w:pPr>
            <w:r w:rsidRPr="006B356A">
              <w:rPr>
                <w:rFonts w:ascii="宋体" w:eastAsia="宋体" w:hAnsi="宋体" w:cs="Arial" w:hint="eastAsia"/>
                <w:b/>
                <w:bCs/>
                <w:color w:val="000000"/>
                <w:szCs w:val="18"/>
              </w:rPr>
              <w:t>近三年</w:t>
            </w:r>
          </w:p>
        </w:tc>
        <w:tc>
          <w:tcPr>
            <w:tcW w:w="748" w:type="dxa"/>
            <w:shd w:val="clear" w:color="auto" w:fill="auto"/>
            <w:vAlign w:val="center"/>
          </w:tcPr>
          <w:p w:rsidR="00F91C7C" w:rsidRPr="006B356A" w:rsidRDefault="00F91C7C" w:rsidP="00E1278A">
            <w:pPr>
              <w:jc w:val="center"/>
              <w:rPr>
                <w:rFonts w:ascii="宋体" w:eastAsia="宋体" w:hAnsi="宋体" w:cs="Arial"/>
                <w:b/>
                <w:szCs w:val="18"/>
              </w:rPr>
            </w:pPr>
            <w:r w:rsidRPr="006B356A">
              <w:rPr>
                <w:rFonts w:ascii="宋体" w:eastAsia="宋体" w:hAnsi="宋体" w:cs="Arial" w:hint="eastAsia"/>
                <w:b/>
                <w:bCs/>
                <w:color w:val="000000"/>
                <w:szCs w:val="18"/>
              </w:rPr>
              <w:t>近一年</w:t>
            </w:r>
          </w:p>
        </w:tc>
        <w:tc>
          <w:tcPr>
            <w:tcW w:w="748" w:type="dxa"/>
            <w:shd w:val="clear" w:color="auto" w:fill="auto"/>
            <w:vAlign w:val="center"/>
          </w:tcPr>
          <w:p w:rsidR="00F91C7C" w:rsidRPr="006B356A" w:rsidRDefault="00F91C7C" w:rsidP="00E1278A">
            <w:pPr>
              <w:jc w:val="center"/>
              <w:rPr>
                <w:rFonts w:ascii="宋体" w:eastAsia="宋体" w:hAnsi="宋体" w:cs="Arial"/>
                <w:b/>
                <w:bCs/>
                <w:color w:val="000000"/>
                <w:szCs w:val="18"/>
              </w:rPr>
            </w:pPr>
            <w:r w:rsidRPr="006B356A">
              <w:rPr>
                <w:rFonts w:ascii="宋体" w:eastAsia="宋体" w:hAnsi="宋体" w:cs="Arial" w:hint="eastAsia"/>
                <w:b/>
                <w:bCs/>
                <w:color w:val="000000"/>
                <w:szCs w:val="18"/>
              </w:rPr>
              <w:t>近两年</w:t>
            </w:r>
          </w:p>
        </w:tc>
        <w:tc>
          <w:tcPr>
            <w:tcW w:w="749" w:type="dxa"/>
            <w:shd w:val="clear" w:color="auto" w:fill="auto"/>
            <w:vAlign w:val="center"/>
          </w:tcPr>
          <w:p w:rsidR="00F91C7C" w:rsidRPr="006B356A" w:rsidRDefault="00F91C7C" w:rsidP="00E1278A">
            <w:pPr>
              <w:jc w:val="center"/>
              <w:rPr>
                <w:rFonts w:ascii="宋体" w:eastAsia="宋体" w:hAnsi="宋体" w:cs="Arial"/>
                <w:b/>
                <w:bCs/>
                <w:color w:val="000000"/>
                <w:szCs w:val="18"/>
              </w:rPr>
            </w:pPr>
            <w:r w:rsidRPr="006B356A">
              <w:rPr>
                <w:rFonts w:ascii="宋体" w:eastAsia="宋体" w:hAnsi="宋体" w:cs="Arial" w:hint="eastAsia"/>
                <w:b/>
                <w:bCs/>
                <w:color w:val="000000"/>
                <w:szCs w:val="18"/>
              </w:rPr>
              <w:t>近三年</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信泰人寿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恒星智胜基金投资账户</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-0.56%</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4.84%</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35.00%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10.89%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5.34%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合众人寿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-1.09%</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21.25%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59.58%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63.91%</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50.33%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15.20%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14.42%</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12.88%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6.36%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12.23%</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1.59</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0.91</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华泰人寿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进取型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-1.53%</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39.06%</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152.35%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149.65%</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144.46%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26.44%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22.04%</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21.31%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16.04%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16.04%</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17.07%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3.50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1.35</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华泰人寿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-1.56%</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26.31%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108.38%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107.23%</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107.55%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18.48%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16.07%</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15.81%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10.20%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10.89%</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13.38%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2.12</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1.42</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lastRenderedPageBreak/>
              <w:t>中国平安保险</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-1.58%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19.77%</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60.75%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67.28%</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68.70%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14.41%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11.73%</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10.44%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7.04%</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3.18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1.46</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生命人寿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平衡I</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-3.15%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15.50%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78.90%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71.53%</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66.55%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25.50%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19.74%</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17.27%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17.10%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17.10%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17.10%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1.28</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0.88</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中德安联人寿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-4.51%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7.95%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39.39%</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44.75%</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38.88%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12.77%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11.00%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10.80%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10.27%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10.27%</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10.27%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1.41</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0.77</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友邦保险</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优选平衡组合</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-5.65%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9.43%</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45.62%</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48.77%</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52.07%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16.32%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13.05%</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12.61%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11.06%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11.06%</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11.06%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1.33</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0.93</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太平人寿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智胜动力增长</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-6.40%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31.83%</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93.56%</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97.70%</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97.48%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19.85%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16.67%</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15.39%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10.31%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10.31%</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10.65%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3.30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1.96</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1.38</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中德安联人寿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理财平衡型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-6.71%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10.40%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49.52%</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56.21%</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58.39%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15.24%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12.26%</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11.45%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12.16%</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1.64</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1.15</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中美联泰大都会</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5545平衡型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-7.13%</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2.79%</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45.29%</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45.56%</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40.98%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14.73%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12.82%</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6.28%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10.42%</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12.36%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1.54</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0.94</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中英人寿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-7.96%</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13.00%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56.15%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66.43%</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70.10%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16.66%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13.58%</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13.38%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13.13%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13.13%</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13.13%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1.76</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生命人寿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平衡II</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-8.18%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5.18%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63.40%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64.25%</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67.48%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25.24%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19.67%</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18.34%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19.21%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19.21%</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19.21%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0.87</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中英人寿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平衡配置型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-8.71%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11.37%</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60.88%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67.41%</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64.43%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17.10%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14.02%</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13.64%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13.33%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13.33%</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13.33%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1.74</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1.11</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和谐B型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-8.79%</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10.09%</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65.79%</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65.84%</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65.90%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19.40%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17.55%</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16.89%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9.53%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16.23%</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16.23%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1.64</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1.12</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和谐A型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-8.79%</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10.00%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62.33%</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62.78%</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69.86%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18.87%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17.61%</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16.78%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9.22%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16.55%</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16.55%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1.58</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1.17</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配置型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-9.41%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16.01%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68.13%</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71.70%</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73.38%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19.79%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18.38%</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17.76%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14.97%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15.18%</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15.18%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1.46</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1.01</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工银安盛人寿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进取</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-10.45%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15.66%</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80.07%</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90.19%</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87.19%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21.36%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17.76%</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17.67%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17.19%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17.19%</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17.19%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1.76</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1.13</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建信人寿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平衡收益型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-11.13%</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21.64%</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70.61%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74.06%</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81.44%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21.84%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17.42%</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15.62%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16.47%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16.47%</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16.47%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1.55</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1.20</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北大方正人寿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成长型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-11.18%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4.88%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53.01%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59.26%</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48.80%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19.38%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16.78%</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17.53%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9.67%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11.80%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15.17%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1.58</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0.87</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太平人寿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智选动力增长</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-11.64%</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13.26%</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105.41%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130.75%</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146.24%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25.69%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20.84%</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18.03%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11.64%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11.64%</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11.64%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1.97</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1.62</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信诚人寿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策略成长</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-12.55%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8.27%</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44.15%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48.78%</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51.10%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19.39%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15.28%</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13.30%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17.95%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17.95%</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17.95%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0.91</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汇丰人寿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平衡增长</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-12.92%</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8.59%</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49.08%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57.37%</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53.44%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17.27%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14.22%</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12.79%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9.85%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9.96%</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9.96%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1.79</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中美联泰大都会</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混合偏股型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-14.14%</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10.11%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72.37%</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77.20%</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77.53%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24.75%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19.80%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18.67%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13.95%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1.72</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1.20</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瑞泰人寿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成长型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-15.35%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16.89%</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83.93%</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92.10%</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96.41%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25.35%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20.33%</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19.07%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19.27%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19.27%</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19.27%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1.63</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1.17</w:t>
            </w:r>
          </w:p>
        </w:tc>
      </w:tr>
      <w:tr w:rsidR="009123A3" w:rsidRPr="006B356A" w:rsidTr="0078126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瑞泰人寿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财智成长</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-16.20%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15.10%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74.69%</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80.73%</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83.82%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25.13%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20.21%</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18.97%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19.87%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19.87%</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19.87%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1.49</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1.06</w:t>
            </w:r>
          </w:p>
        </w:tc>
      </w:tr>
      <w:tr w:rsidR="009123A3" w:rsidRPr="00495842" w:rsidTr="009123A3">
        <w:trPr>
          <w:gridAfter w:val="1"/>
          <w:wAfter w:w="21" w:type="dxa"/>
          <w:trHeight w:val="227"/>
          <w:jc w:val="center"/>
        </w:trPr>
        <w:tc>
          <w:tcPr>
            <w:tcW w:w="2835" w:type="dxa"/>
            <w:tcBorders>
              <w:bottom w:val="single" w:sz="4" w:space="0" w:color="00A0E9"/>
            </w:tcBorders>
            <w:shd w:val="clear" w:color="auto" w:fill="8DB3E2"/>
            <w:vAlign w:val="center"/>
          </w:tcPr>
          <w:p w:rsidR="009123A3" w:rsidRPr="001831AC" w:rsidRDefault="009123A3" w:rsidP="00E1278A">
            <w:pPr>
              <w:rPr>
                <w:rFonts w:ascii="宋体" w:eastAsia="宋体" w:hAnsi="宋体" w:cs="宋体"/>
                <w:color w:val="000000"/>
                <w:sz w:val="22"/>
              </w:rPr>
            </w:pPr>
          </w:p>
        </w:tc>
        <w:tc>
          <w:tcPr>
            <w:tcW w:w="1304" w:type="dxa"/>
            <w:tcBorders>
              <w:bottom w:val="single" w:sz="4" w:space="0" w:color="00A0E9"/>
            </w:tcBorders>
            <w:shd w:val="clear" w:color="auto" w:fill="8DB3E2"/>
            <w:vAlign w:val="center"/>
          </w:tcPr>
          <w:p w:rsidR="009123A3" w:rsidRPr="001831AC" w:rsidRDefault="009123A3" w:rsidP="00E1278A">
            <w:pPr>
              <w:rPr>
                <w:rFonts w:ascii="宋体" w:eastAsia="宋体" w:hAnsi="宋体" w:cs="宋体"/>
                <w:color w:val="000000"/>
                <w:sz w:val="22"/>
              </w:rPr>
            </w:pPr>
          </w:p>
        </w:tc>
        <w:tc>
          <w:tcPr>
            <w:tcW w:w="964"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 w:val="22"/>
              </w:rPr>
            </w:pPr>
            <w:r w:rsidRPr="007F742D">
              <w:rPr>
                <w:rFonts w:ascii="宋体" w:eastAsia="宋体" w:hAnsi="宋体" w:hint="eastAsia"/>
                <w:b/>
                <w:color w:val="000000"/>
                <w:szCs w:val="18"/>
              </w:rPr>
              <w:t>平均</w:t>
            </w:r>
          </w:p>
        </w:tc>
        <w:tc>
          <w:tcPr>
            <w:tcW w:w="748"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-7.97%</w:t>
            </w:r>
          </w:p>
        </w:tc>
        <w:tc>
          <w:tcPr>
            <w:tcW w:w="748"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14.20%</w:t>
            </w:r>
          </w:p>
        </w:tc>
        <w:tc>
          <w:tcPr>
            <w:tcW w:w="748"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68.40%</w:t>
            </w:r>
          </w:p>
        </w:tc>
        <w:tc>
          <w:tcPr>
            <w:tcW w:w="748"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74.46%</w:t>
            </w:r>
          </w:p>
        </w:tc>
        <w:tc>
          <w:tcPr>
            <w:tcW w:w="750"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74.50%</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9"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9"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9"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r>
      <w:tr w:rsidR="00F91C7C" w:rsidRPr="00495842" w:rsidTr="00E1278A">
        <w:trPr>
          <w:trHeight w:val="227"/>
          <w:jc w:val="center"/>
        </w:trPr>
        <w:tc>
          <w:tcPr>
            <w:tcW w:w="15601" w:type="dxa"/>
            <w:gridSpan w:val="18"/>
            <w:shd w:val="clear" w:color="auto" w:fill="auto"/>
          </w:tcPr>
          <w:p w:rsidR="00F91C7C" w:rsidRPr="00495842" w:rsidRDefault="00F91C7C" w:rsidP="00E1278A">
            <w:pPr>
              <w:pStyle w:val="FootnoteNoline"/>
              <w:ind w:left="0"/>
              <w:rPr>
                <w:rFonts w:ascii="楷体_GB2312"/>
              </w:rPr>
            </w:pPr>
            <w:r w:rsidRPr="00495842">
              <w:rPr>
                <w:rFonts w:ascii="楷体_GB2312" w:hint="eastAsia"/>
              </w:rPr>
              <w:t>来源：国金证券研究所</w:t>
            </w:r>
          </w:p>
        </w:tc>
      </w:tr>
    </w:tbl>
    <w:p w:rsidR="00F91C7C" w:rsidRDefault="00F91C7C" w:rsidP="00F91C7C">
      <w:pPr>
        <w:pStyle w:val="a0"/>
        <w:ind w:left="0"/>
      </w:pPr>
    </w:p>
    <w:tbl>
      <w:tblPr>
        <w:tblW w:w="15601" w:type="dxa"/>
        <w:jc w:val="center"/>
        <w:tblBorders>
          <w:top w:val="single" w:sz="4" w:space="0" w:color="00A0E9"/>
          <w:insideH w:val="single" w:sz="4" w:space="0" w:color="00A0E9"/>
          <w:insideV w:val="single" w:sz="4" w:space="0" w:color="00A0E9"/>
        </w:tblBorders>
        <w:tblLayout w:type="fixed"/>
        <w:tblCellMar>
          <w:left w:w="0" w:type="dxa"/>
          <w:right w:w="0" w:type="dxa"/>
        </w:tblCellMar>
        <w:tblLook w:val="0000" w:firstRow="0" w:lastRow="0" w:firstColumn="0" w:lastColumn="0" w:noHBand="0" w:noVBand="0"/>
      </w:tblPr>
      <w:tblGrid>
        <w:gridCol w:w="2835"/>
        <w:gridCol w:w="1304"/>
        <w:gridCol w:w="964"/>
        <w:gridCol w:w="748"/>
        <w:gridCol w:w="748"/>
        <w:gridCol w:w="748"/>
        <w:gridCol w:w="748"/>
        <w:gridCol w:w="750"/>
        <w:gridCol w:w="748"/>
        <w:gridCol w:w="748"/>
        <w:gridCol w:w="749"/>
        <w:gridCol w:w="748"/>
        <w:gridCol w:w="748"/>
        <w:gridCol w:w="749"/>
        <w:gridCol w:w="748"/>
        <w:gridCol w:w="748"/>
        <w:gridCol w:w="749"/>
        <w:gridCol w:w="21"/>
      </w:tblGrid>
      <w:tr w:rsidR="00F91C7C" w:rsidRPr="00495842" w:rsidTr="00E1278A">
        <w:trPr>
          <w:trHeight w:val="227"/>
          <w:tblHeader/>
          <w:jc w:val="center"/>
        </w:trPr>
        <w:tc>
          <w:tcPr>
            <w:tcW w:w="15601" w:type="dxa"/>
            <w:gridSpan w:val="18"/>
            <w:shd w:val="clear" w:color="auto" w:fill="auto"/>
          </w:tcPr>
          <w:p w:rsidR="00F91C7C" w:rsidRPr="00495842" w:rsidRDefault="00F91C7C" w:rsidP="00E1278A">
            <w:pPr>
              <w:pStyle w:val="SubTitleLargeTable"/>
              <w:rPr>
                <w:rFonts w:ascii="楷体_GB2312"/>
              </w:rPr>
            </w:pPr>
            <w:r w:rsidRPr="00495842">
              <w:rPr>
                <w:rFonts w:ascii="楷体_GB2312" w:hint="eastAsia"/>
              </w:rPr>
              <w:t>图表</w:t>
            </w:r>
            <w:r>
              <w:rPr>
                <w:rFonts w:hint="eastAsia"/>
              </w:rPr>
              <w:t>4</w:t>
            </w:r>
            <w:r w:rsidRPr="00DB4BB6">
              <w:rPr>
                <w:rFonts w:hint="eastAsia"/>
              </w:rPr>
              <w:t>：</w:t>
            </w:r>
            <w:r>
              <w:rPr>
                <w:rFonts w:hint="eastAsia"/>
                <w:lang w:val="en-US"/>
              </w:rPr>
              <w:t>灵活配置型</w:t>
            </w:r>
            <w:r w:rsidRPr="00636F55">
              <w:rPr>
                <w:rFonts w:hint="eastAsia"/>
                <w:lang w:val="en-US"/>
              </w:rPr>
              <w:t>投连险账户</w:t>
            </w:r>
          </w:p>
        </w:tc>
      </w:tr>
      <w:tr w:rsidR="00F91C7C" w:rsidRPr="00495842" w:rsidTr="00E1278A">
        <w:trPr>
          <w:gridAfter w:val="1"/>
          <w:wAfter w:w="21" w:type="dxa"/>
          <w:trHeight w:val="227"/>
          <w:tblHeader/>
          <w:jc w:val="center"/>
        </w:trPr>
        <w:tc>
          <w:tcPr>
            <w:tcW w:w="2835" w:type="dxa"/>
            <w:vMerge w:val="restart"/>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公司</w:t>
            </w:r>
          </w:p>
        </w:tc>
        <w:tc>
          <w:tcPr>
            <w:tcW w:w="1304" w:type="dxa"/>
            <w:vMerge w:val="restart"/>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投资账户</w:t>
            </w:r>
          </w:p>
        </w:tc>
        <w:tc>
          <w:tcPr>
            <w:tcW w:w="964" w:type="dxa"/>
            <w:vMerge w:val="restart"/>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截止日期</w:t>
            </w:r>
          </w:p>
        </w:tc>
        <w:tc>
          <w:tcPr>
            <w:tcW w:w="3742" w:type="dxa"/>
            <w:gridSpan w:val="5"/>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绝对收益</w:t>
            </w:r>
          </w:p>
        </w:tc>
        <w:tc>
          <w:tcPr>
            <w:tcW w:w="2245" w:type="dxa"/>
            <w:gridSpan w:val="3"/>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标准差(年化)</w:t>
            </w:r>
          </w:p>
        </w:tc>
        <w:tc>
          <w:tcPr>
            <w:tcW w:w="2245" w:type="dxa"/>
            <w:gridSpan w:val="3"/>
            <w:shd w:val="clear" w:color="auto" w:fill="auto"/>
            <w:vAlign w:val="center"/>
          </w:tcPr>
          <w:p w:rsidR="00F91C7C" w:rsidRPr="00B022EE" w:rsidRDefault="00102430" w:rsidP="00E1278A">
            <w:pPr>
              <w:jc w:val="center"/>
              <w:rPr>
                <w:rFonts w:ascii="宋体" w:eastAsia="宋体" w:hAnsi="宋体" w:cs="Arial"/>
                <w:b/>
                <w:bCs/>
                <w:color w:val="000000"/>
                <w:szCs w:val="18"/>
              </w:rPr>
            </w:pPr>
            <w:r>
              <w:rPr>
                <w:rFonts w:ascii="宋体" w:eastAsia="宋体" w:hAnsi="宋体" w:cs="Arial" w:hint="eastAsia"/>
                <w:b/>
                <w:bCs/>
                <w:color w:val="000000"/>
                <w:szCs w:val="18"/>
              </w:rPr>
              <w:t>最大回撤</w:t>
            </w:r>
          </w:p>
        </w:tc>
        <w:tc>
          <w:tcPr>
            <w:tcW w:w="2245" w:type="dxa"/>
            <w:gridSpan w:val="3"/>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夏普比率(年化)</w:t>
            </w:r>
          </w:p>
        </w:tc>
      </w:tr>
      <w:tr w:rsidR="00F91C7C" w:rsidRPr="00495842" w:rsidTr="00E1278A">
        <w:trPr>
          <w:gridAfter w:val="1"/>
          <w:wAfter w:w="21" w:type="dxa"/>
          <w:trHeight w:val="227"/>
          <w:tblHeader/>
          <w:jc w:val="center"/>
        </w:trPr>
        <w:tc>
          <w:tcPr>
            <w:tcW w:w="2835" w:type="dxa"/>
            <w:vMerge/>
            <w:shd w:val="clear" w:color="auto" w:fill="auto"/>
            <w:vAlign w:val="center"/>
          </w:tcPr>
          <w:p w:rsidR="00F91C7C" w:rsidRPr="00B022EE" w:rsidRDefault="00F91C7C" w:rsidP="00E1278A">
            <w:pPr>
              <w:pStyle w:val="21"/>
              <w:spacing w:after="0" w:line="10" w:lineRule="atLeast"/>
              <w:ind w:left="0"/>
              <w:jc w:val="center"/>
              <w:rPr>
                <w:rFonts w:ascii="宋体" w:eastAsia="宋体" w:hAnsi="宋体"/>
              </w:rPr>
            </w:pPr>
          </w:p>
        </w:tc>
        <w:tc>
          <w:tcPr>
            <w:tcW w:w="1304" w:type="dxa"/>
            <w:vMerge/>
            <w:shd w:val="clear" w:color="auto" w:fill="auto"/>
            <w:vAlign w:val="center"/>
          </w:tcPr>
          <w:p w:rsidR="00F91C7C" w:rsidRPr="00B022EE" w:rsidRDefault="00F91C7C" w:rsidP="00E1278A">
            <w:pPr>
              <w:pStyle w:val="21"/>
              <w:spacing w:after="0" w:line="10" w:lineRule="atLeast"/>
              <w:ind w:left="0"/>
              <w:jc w:val="center"/>
              <w:rPr>
                <w:rFonts w:ascii="宋体" w:eastAsia="宋体" w:hAnsi="宋体"/>
              </w:rPr>
            </w:pPr>
          </w:p>
        </w:tc>
        <w:tc>
          <w:tcPr>
            <w:tcW w:w="964" w:type="dxa"/>
            <w:vMerge/>
            <w:shd w:val="clear" w:color="auto" w:fill="auto"/>
            <w:vAlign w:val="center"/>
          </w:tcPr>
          <w:p w:rsidR="00F91C7C" w:rsidRPr="00B022EE" w:rsidRDefault="00F91C7C" w:rsidP="00E1278A">
            <w:pPr>
              <w:pStyle w:val="21"/>
              <w:spacing w:after="0" w:line="10" w:lineRule="atLeast"/>
              <w:ind w:left="0"/>
              <w:jc w:val="center"/>
              <w:rPr>
                <w:rFonts w:ascii="宋体" w:eastAsia="宋体" w:hAnsi="宋体"/>
              </w:rPr>
            </w:pPr>
          </w:p>
        </w:tc>
        <w:tc>
          <w:tcPr>
            <w:tcW w:w="748"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bCs/>
                <w:color w:val="000000"/>
                <w:szCs w:val="18"/>
              </w:rPr>
              <w:t>近一月</w:t>
            </w:r>
          </w:p>
        </w:tc>
        <w:tc>
          <w:tcPr>
            <w:tcW w:w="748"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szCs w:val="18"/>
              </w:rPr>
              <w:t>近</w:t>
            </w:r>
            <w:r>
              <w:rPr>
                <w:rFonts w:ascii="宋体" w:eastAsia="宋体" w:hAnsi="宋体" w:cs="Arial" w:hint="eastAsia"/>
                <w:b/>
                <w:szCs w:val="18"/>
              </w:rPr>
              <w:t>一季度</w:t>
            </w:r>
          </w:p>
        </w:tc>
        <w:tc>
          <w:tcPr>
            <w:tcW w:w="748"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bCs/>
                <w:color w:val="000000"/>
                <w:szCs w:val="18"/>
              </w:rPr>
              <w:t>近一年</w:t>
            </w:r>
          </w:p>
        </w:tc>
        <w:tc>
          <w:tcPr>
            <w:tcW w:w="748"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近两年</w:t>
            </w:r>
          </w:p>
        </w:tc>
        <w:tc>
          <w:tcPr>
            <w:tcW w:w="750"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近三年</w:t>
            </w:r>
          </w:p>
        </w:tc>
        <w:tc>
          <w:tcPr>
            <w:tcW w:w="748" w:type="dxa"/>
            <w:shd w:val="clear" w:color="auto" w:fill="auto"/>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bCs/>
                <w:color w:val="000000"/>
                <w:szCs w:val="18"/>
              </w:rPr>
              <w:t>近一年</w:t>
            </w:r>
          </w:p>
        </w:tc>
        <w:tc>
          <w:tcPr>
            <w:tcW w:w="748"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近两年</w:t>
            </w:r>
          </w:p>
        </w:tc>
        <w:tc>
          <w:tcPr>
            <w:tcW w:w="749"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近三年</w:t>
            </w:r>
          </w:p>
        </w:tc>
        <w:tc>
          <w:tcPr>
            <w:tcW w:w="748" w:type="dxa"/>
            <w:shd w:val="clear" w:color="auto" w:fill="auto"/>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bCs/>
                <w:color w:val="000000"/>
                <w:szCs w:val="18"/>
              </w:rPr>
              <w:t>近一年</w:t>
            </w:r>
          </w:p>
        </w:tc>
        <w:tc>
          <w:tcPr>
            <w:tcW w:w="748"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近两年</w:t>
            </w:r>
          </w:p>
        </w:tc>
        <w:tc>
          <w:tcPr>
            <w:tcW w:w="749"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近三年</w:t>
            </w:r>
          </w:p>
        </w:tc>
        <w:tc>
          <w:tcPr>
            <w:tcW w:w="748" w:type="dxa"/>
            <w:shd w:val="clear" w:color="auto" w:fill="auto"/>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bCs/>
                <w:color w:val="000000"/>
                <w:szCs w:val="18"/>
              </w:rPr>
              <w:t>近一年</w:t>
            </w:r>
          </w:p>
        </w:tc>
        <w:tc>
          <w:tcPr>
            <w:tcW w:w="748"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近两年</w:t>
            </w:r>
          </w:p>
        </w:tc>
        <w:tc>
          <w:tcPr>
            <w:tcW w:w="749"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hint="eastAsia"/>
                <w:b/>
                <w:bCs/>
                <w:color w:val="000000"/>
                <w:szCs w:val="18"/>
              </w:rPr>
              <w:t>近三年</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泰康人寿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创新动力型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1.33%</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21.56%</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95.34%</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94.03%</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22.17%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20.08%</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10.11%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12.26%</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1.51</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光大永明人寿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光大策略</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-0.12%</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21.81%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22.04%</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23.97%</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26.92%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36.32%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26.67%</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24.39%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16.47%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16.47%</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28.55%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0.63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0.42</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0.32</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光大永明人寿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-0.17%</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35.94%</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88.96%</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96.94%</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77.24%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16.51%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14.23%</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14.48%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9.30%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15.02%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2.25</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1.20</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工银安盛人寿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和谐</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-2.69%</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6.23%</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37.85%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38.35%</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34.07%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11.94%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9.46%</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8.96%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7.66%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7.66%</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7.84%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1.38</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0.77</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泰康人寿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平衡配置型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-4.10%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15.88%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69.09%</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84.48%</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91.13%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17.64%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14.18%</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14.55%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12.19%</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1.36</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合众人寿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进取型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-4.37%</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25.46%</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84.05%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84.33%</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61.85%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20.26%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18.00%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16.21%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7.81%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14.69%</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15.58%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1.63</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0.90</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海康人寿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成长型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-4.52%</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7.54%</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37.29%</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44.07%</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48.00%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10.38%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8.92%</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8.59%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6.71%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6.71%</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6.71%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1.77</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1.24</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lastRenderedPageBreak/>
              <w:t>泰康人寿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积极成长型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-4.66%</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12.14%</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82.11%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77.89%</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68.09%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23.42%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21.13%</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21.30%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10.04%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13.02%</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25.00%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1.28</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0.76</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中宏人寿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中宏“投资管家”</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-5.37%</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6.44%</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28.44%</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27.32%</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25.48%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10.54%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8.27%</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7.24%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9.05%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9.05%</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9.05%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1.15</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0.69</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中美联泰大都会</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稳赢利益</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-5.62%</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31.38%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32.54%</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29.66%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10.03%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8.17%</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7.68%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4.90%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5.14%</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7.99%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1.65</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0.97</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海康人寿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-7.55%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8.28%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38.16%</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38.09%</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42.62%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13.78%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10.20%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8.78%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12.26%</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1.39</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1.11</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-7.74%</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14.55%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74.51%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79.53%</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80.11%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22.31%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19.49%</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18.08%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17.14%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17.14%</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17.14%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1.47</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1.04</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中国平安保险</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发展</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-8.12%</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10.62%</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47.90%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55.05%</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60.00%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15.13%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12.27%</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11.42%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12.23%</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1.64</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中宏人寿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稳健成长型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-9.18%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10.12%</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64.53%</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62.76%</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50.47%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18.93%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15.06%</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14.31%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15.28%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15.28%</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15.54%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0.83</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中宏人寿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行业焦点型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-9.22%</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7.08%</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68.91%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67.22%</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48.02%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17.85%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15.40%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15.85%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14.40%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14.40%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1.56</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0.73</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中宏人寿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积极成长型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-9.95%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15.87%</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77.85%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75.83%</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55.99%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21.95%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18.05%</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17.51%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17.78%</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17.78%</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19.93%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0.78</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灵动A型</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-11.35%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18.27%</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70.55%</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86.12%</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112.01%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24.52%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19.10%</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19.17%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12.57%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12.57%</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15.56%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1.84</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1.45</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中意人寿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积极进取</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-12.24%</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65.99%</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89.02%</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34.27%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20.05%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16.82%</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21.43%</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11.42%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11.42%</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34.24%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0.54</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中国人寿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国寿精选价值</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-14.60%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43.61%</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140.42%</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162.64%</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100.31%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38.34%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28.19%</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26.59%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17.62%</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17.62%</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30.87%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1.73</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0.88</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进取</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-16.02%</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16.34%</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88.96%</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98.74%</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103.86%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26.14%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22.11%</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20.76%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21.46%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21.46%</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21.46%</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1.56</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1.14</w:t>
            </w:r>
          </w:p>
        </w:tc>
      </w:tr>
      <w:tr w:rsidR="009123A3" w:rsidRPr="00495842" w:rsidTr="0091380E">
        <w:trPr>
          <w:gridAfter w:val="1"/>
          <w:wAfter w:w="21" w:type="dxa"/>
          <w:trHeight w:val="170"/>
          <w:jc w:val="center"/>
        </w:trPr>
        <w:tc>
          <w:tcPr>
            <w:tcW w:w="2835"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新华人寿</w:t>
            </w:r>
          </w:p>
        </w:tc>
        <w:tc>
          <w:tcPr>
            <w:tcW w:w="130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创世之约</w:t>
            </w:r>
          </w:p>
        </w:tc>
        <w:tc>
          <w:tcPr>
            <w:tcW w:w="96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-16.27%</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1.72%</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52.56%</w:t>
            </w:r>
          </w:p>
        </w:tc>
        <w:tc>
          <w:tcPr>
            <w:tcW w:w="748"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61.45%</w:t>
            </w:r>
          </w:p>
        </w:tc>
        <w:tc>
          <w:tcPr>
            <w:tcW w:w="750"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52.11%</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17.34%</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14.48%</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15.69%</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7.10%</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8.99%</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12.65%</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2.97</w:t>
            </w:r>
          </w:p>
        </w:tc>
        <w:tc>
          <w:tcPr>
            <w:tcW w:w="748"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1.89</w:t>
            </w:r>
          </w:p>
        </w:tc>
        <w:tc>
          <w:tcPr>
            <w:tcW w:w="749"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1.02</w:t>
            </w:r>
          </w:p>
        </w:tc>
      </w:tr>
      <w:tr w:rsidR="009123A3" w:rsidRPr="00495842" w:rsidTr="009123A3">
        <w:trPr>
          <w:gridAfter w:val="1"/>
          <w:wAfter w:w="21" w:type="dxa"/>
          <w:trHeight w:val="227"/>
          <w:jc w:val="center"/>
        </w:trPr>
        <w:tc>
          <w:tcPr>
            <w:tcW w:w="2835" w:type="dxa"/>
            <w:tcBorders>
              <w:bottom w:val="single" w:sz="4" w:space="0" w:color="00A0E9"/>
            </w:tcBorders>
            <w:shd w:val="clear" w:color="auto" w:fill="8DB3E2"/>
            <w:vAlign w:val="center"/>
          </w:tcPr>
          <w:p w:rsidR="009123A3" w:rsidRPr="001831AC" w:rsidRDefault="009123A3" w:rsidP="00E1278A">
            <w:pPr>
              <w:rPr>
                <w:rFonts w:ascii="宋体" w:eastAsia="宋体" w:hAnsi="宋体" w:cs="宋体"/>
                <w:color w:val="000000"/>
                <w:sz w:val="22"/>
              </w:rPr>
            </w:pPr>
          </w:p>
        </w:tc>
        <w:tc>
          <w:tcPr>
            <w:tcW w:w="1304" w:type="dxa"/>
            <w:tcBorders>
              <w:bottom w:val="single" w:sz="4" w:space="0" w:color="00A0E9"/>
            </w:tcBorders>
            <w:shd w:val="clear" w:color="auto" w:fill="8DB3E2"/>
            <w:vAlign w:val="center"/>
          </w:tcPr>
          <w:p w:rsidR="009123A3" w:rsidRPr="001831AC" w:rsidRDefault="009123A3" w:rsidP="00E1278A">
            <w:pPr>
              <w:rPr>
                <w:rFonts w:ascii="宋体" w:eastAsia="宋体" w:hAnsi="宋体" w:cs="宋体"/>
                <w:color w:val="000000"/>
                <w:sz w:val="22"/>
              </w:rPr>
            </w:pPr>
          </w:p>
        </w:tc>
        <w:tc>
          <w:tcPr>
            <w:tcW w:w="964"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 w:val="22"/>
              </w:rPr>
            </w:pPr>
            <w:r w:rsidRPr="007F742D">
              <w:rPr>
                <w:rFonts w:ascii="宋体" w:eastAsia="宋体" w:hAnsi="宋体" w:hint="eastAsia"/>
                <w:b/>
                <w:color w:val="000000"/>
                <w:szCs w:val="18"/>
              </w:rPr>
              <w:t>平均</w:t>
            </w:r>
          </w:p>
        </w:tc>
        <w:tc>
          <w:tcPr>
            <w:tcW w:w="748"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-7.26%</w:t>
            </w:r>
          </w:p>
        </w:tc>
        <w:tc>
          <w:tcPr>
            <w:tcW w:w="748"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14.40%</w:t>
            </w:r>
          </w:p>
        </w:tc>
        <w:tc>
          <w:tcPr>
            <w:tcW w:w="748"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65.09%</w:t>
            </w:r>
          </w:p>
        </w:tc>
        <w:tc>
          <w:tcPr>
            <w:tcW w:w="748"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70.49%</w:t>
            </w:r>
          </w:p>
        </w:tc>
        <w:tc>
          <w:tcPr>
            <w:tcW w:w="750"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60.11%</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9"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9"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8"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749"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r>
      <w:tr w:rsidR="00F91C7C" w:rsidRPr="00495842" w:rsidTr="00E1278A">
        <w:trPr>
          <w:trHeight w:val="227"/>
          <w:jc w:val="center"/>
        </w:trPr>
        <w:tc>
          <w:tcPr>
            <w:tcW w:w="15601" w:type="dxa"/>
            <w:gridSpan w:val="18"/>
            <w:shd w:val="clear" w:color="auto" w:fill="auto"/>
          </w:tcPr>
          <w:p w:rsidR="00F91C7C" w:rsidRPr="00495842" w:rsidRDefault="00F91C7C" w:rsidP="00E1278A">
            <w:pPr>
              <w:pStyle w:val="FootnoteNoline"/>
              <w:ind w:left="0"/>
              <w:rPr>
                <w:rFonts w:ascii="楷体_GB2312"/>
              </w:rPr>
            </w:pPr>
            <w:r w:rsidRPr="00495842">
              <w:rPr>
                <w:rFonts w:ascii="楷体_GB2312" w:hint="eastAsia"/>
              </w:rPr>
              <w:t>来源：国金证券研究所</w:t>
            </w:r>
          </w:p>
        </w:tc>
      </w:tr>
    </w:tbl>
    <w:p w:rsidR="00F91C7C" w:rsidRDefault="00F91C7C" w:rsidP="00F91C7C">
      <w:pPr>
        <w:pStyle w:val="a0"/>
        <w:ind w:left="0"/>
      </w:pPr>
    </w:p>
    <w:tbl>
      <w:tblPr>
        <w:tblW w:w="5500" w:type="pct"/>
        <w:tblInd w:w="-743" w:type="dxa"/>
        <w:tblLook w:val="04A0" w:firstRow="1" w:lastRow="0" w:firstColumn="1" w:lastColumn="0" w:noHBand="0" w:noVBand="1"/>
      </w:tblPr>
      <w:tblGrid>
        <w:gridCol w:w="3120"/>
        <w:gridCol w:w="1416"/>
        <w:gridCol w:w="1135"/>
        <w:gridCol w:w="851"/>
        <w:gridCol w:w="992"/>
        <w:gridCol w:w="851"/>
        <w:gridCol w:w="989"/>
        <w:gridCol w:w="855"/>
        <w:gridCol w:w="851"/>
        <w:gridCol w:w="992"/>
        <w:gridCol w:w="851"/>
        <w:gridCol w:w="992"/>
        <w:gridCol w:w="851"/>
        <w:gridCol w:w="848"/>
      </w:tblGrid>
      <w:tr w:rsidR="006A6E83" w:rsidRPr="006A6E83" w:rsidTr="006A6E83">
        <w:trPr>
          <w:trHeight w:val="285"/>
        </w:trPr>
        <w:tc>
          <w:tcPr>
            <w:tcW w:w="5000" w:type="pct"/>
            <w:gridSpan w:val="14"/>
            <w:tcBorders>
              <w:top w:val="single" w:sz="8" w:space="0" w:color="00A0E9"/>
              <w:left w:val="nil"/>
              <w:bottom w:val="single" w:sz="8" w:space="0" w:color="00A0E9"/>
              <w:right w:val="nil"/>
            </w:tcBorders>
            <w:shd w:val="clear" w:color="auto" w:fill="auto"/>
            <w:vAlign w:val="center"/>
            <w:hideMark/>
          </w:tcPr>
          <w:p w:rsidR="006A6E83" w:rsidRPr="006A6E83" w:rsidRDefault="006A6E83" w:rsidP="006A6E83">
            <w:pPr>
              <w:widowControl/>
              <w:jc w:val="left"/>
              <w:rPr>
                <w:rFonts w:ascii="楷体_GB2312" w:hAnsi="宋体" w:cs="宋体"/>
                <w:b/>
                <w:bCs/>
                <w:i/>
                <w:iCs/>
                <w:color w:val="000000"/>
                <w:kern w:val="0"/>
                <w:sz w:val="21"/>
                <w:szCs w:val="21"/>
              </w:rPr>
            </w:pPr>
            <w:r w:rsidRPr="006A6E83">
              <w:rPr>
                <w:rFonts w:ascii="楷体_GB2312" w:hAnsi="宋体" w:cs="宋体" w:hint="eastAsia"/>
                <w:b/>
                <w:bCs/>
                <w:i/>
                <w:iCs/>
                <w:color w:val="000000"/>
                <w:kern w:val="0"/>
                <w:sz w:val="21"/>
                <w:szCs w:val="21"/>
              </w:rPr>
              <w:t>图表</w:t>
            </w:r>
            <w:r w:rsidRPr="006A6E83">
              <w:rPr>
                <w:rFonts w:cs="Arial"/>
                <w:b/>
                <w:bCs/>
                <w:i/>
                <w:iCs/>
                <w:color w:val="000000"/>
                <w:kern w:val="0"/>
                <w:sz w:val="21"/>
                <w:szCs w:val="21"/>
              </w:rPr>
              <w:t>5</w:t>
            </w:r>
            <w:r w:rsidRPr="006A6E83">
              <w:rPr>
                <w:rFonts w:ascii="楷体_GB2312" w:hAnsi="宋体" w:cs="宋体" w:hint="eastAsia"/>
                <w:b/>
                <w:bCs/>
                <w:i/>
                <w:iCs/>
                <w:color w:val="000000"/>
                <w:kern w:val="0"/>
                <w:sz w:val="21"/>
                <w:szCs w:val="21"/>
              </w:rPr>
              <w:t>：混合偏债型投连险账户</w:t>
            </w:r>
          </w:p>
        </w:tc>
      </w:tr>
      <w:tr w:rsidR="006A6E83" w:rsidRPr="006A6E83" w:rsidTr="00177727">
        <w:trPr>
          <w:trHeight w:val="170"/>
        </w:trPr>
        <w:tc>
          <w:tcPr>
            <w:tcW w:w="1000" w:type="pct"/>
            <w:vMerge w:val="restart"/>
            <w:tcBorders>
              <w:top w:val="nil"/>
              <w:left w:val="nil"/>
              <w:bottom w:val="single" w:sz="8" w:space="0" w:color="00A0E9"/>
              <w:right w:val="single" w:sz="8" w:space="0" w:color="00A0E9"/>
            </w:tcBorders>
            <w:shd w:val="clear" w:color="auto" w:fill="auto"/>
            <w:vAlign w:val="center"/>
            <w:hideMark/>
          </w:tcPr>
          <w:p w:rsidR="006A6E83" w:rsidRPr="006A6E83" w:rsidRDefault="006A6E83" w:rsidP="006A6E8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公司</w:t>
            </w:r>
          </w:p>
        </w:tc>
        <w:tc>
          <w:tcPr>
            <w:tcW w:w="454" w:type="pct"/>
            <w:vMerge w:val="restart"/>
            <w:tcBorders>
              <w:top w:val="nil"/>
              <w:left w:val="single" w:sz="8" w:space="0" w:color="00A0E9"/>
              <w:bottom w:val="single" w:sz="8" w:space="0" w:color="00A0E9"/>
              <w:right w:val="single" w:sz="8" w:space="0" w:color="00A0E9"/>
            </w:tcBorders>
            <w:shd w:val="clear" w:color="auto" w:fill="auto"/>
            <w:vAlign w:val="center"/>
            <w:hideMark/>
          </w:tcPr>
          <w:p w:rsidR="006A6E83" w:rsidRPr="006A6E83" w:rsidRDefault="006A6E83" w:rsidP="006A6E8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投资账户</w:t>
            </w:r>
          </w:p>
        </w:tc>
        <w:tc>
          <w:tcPr>
            <w:tcW w:w="364" w:type="pct"/>
            <w:vMerge w:val="restart"/>
            <w:tcBorders>
              <w:top w:val="nil"/>
              <w:left w:val="single" w:sz="8" w:space="0" w:color="00A0E9"/>
              <w:bottom w:val="single" w:sz="8" w:space="0" w:color="00A0E9"/>
              <w:right w:val="single" w:sz="8" w:space="0" w:color="00A0E9"/>
            </w:tcBorders>
            <w:shd w:val="clear" w:color="auto" w:fill="auto"/>
            <w:vAlign w:val="center"/>
            <w:hideMark/>
          </w:tcPr>
          <w:p w:rsidR="006A6E83" w:rsidRPr="006A6E83" w:rsidRDefault="006A6E83" w:rsidP="006A6E8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截止日期</w:t>
            </w:r>
          </w:p>
        </w:tc>
        <w:tc>
          <w:tcPr>
            <w:tcW w:w="1455" w:type="pct"/>
            <w:gridSpan w:val="5"/>
            <w:tcBorders>
              <w:top w:val="single" w:sz="8" w:space="0" w:color="00A0E9"/>
              <w:left w:val="nil"/>
              <w:bottom w:val="single" w:sz="8" w:space="0" w:color="00A0E9"/>
              <w:right w:val="single" w:sz="8" w:space="0" w:color="00A0E9"/>
            </w:tcBorders>
            <w:shd w:val="clear" w:color="000000" w:fill="D9D9D9"/>
            <w:vAlign w:val="center"/>
            <w:hideMark/>
          </w:tcPr>
          <w:p w:rsidR="006A6E83" w:rsidRPr="006A6E83" w:rsidRDefault="006A6E83" w:rsidP="006A6E8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绝对收益</w:t>
            </w:r>
          </w:p>
        </w:tc>
        <w:tc>
          <w:tcPr>
            <w:tcW w:w="864" w:type="pct"/>
            <w:gridSpan w:val="3"/>
            <w:tcBorders>
              <w:top w:val="single" w:sz="8" w:space="0" w:color="00A0E9"/>
              <w:left w:val="nil"/>
              <w:bottom w:val="single" w:sz="8" w:space="0" w:color="00A0E9"/>
              <w:right w:val="single" w:sz="8" w:space="0" w:color="00A0E9"/>
            </w:tcBorders>
            <w:shd w:val="clear" w:color="auto" w:fill="auto"/>
            <w:vAlign w:val="center"/>
            <w:hideMark/>
          </w:tcPr>
          <w:p w:rsidR="006A6E83" w:rsidRPr="006A6E83" w:rsidRDefault="006A6E83" w:rsidP="006A6E8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标准差(年化)</w:t>
            </w:r>
          </w:p>
        </w:tc>
        <w:tc>
          <w:tcPr>
            <w:tcW w:w="863" w:type="pct"/>
            <w:gridSpan w:val="3"/>
            <w:tcBorders>
              <w:top w:val="single" w:sz="8" w:space="0" w:color="00A0E9"/>
              <w:left w:val="nil"/>
              <w:bottom w:val="single" w:sz="8" w:space="0" w:color="00A0E9"/>
            </w:tcBorders>
            <w:shd w:val="clear" w:color="auto" w:fill="auto"/>
            <w:vAlign w:val="center"/>
            <w:hideMark/>
          </w:tcPr>
          <w:p w:rsidR="006A6E83" w:rsidRPr="006A6E83" w:rsidRDefault="006A6E83" w:rsidP="006A6E8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最大回撤</w:t>
            </w:r>
          </w:p>
        </w:tc>
      </w:tr>
      <w:tr w:rsidR="006A6E83" w:rsidRPr="006A6E83" w:rsidTr="00177727">
        <w:trPr>
          <w:trHeight w:val="170"/>
        </w:trPr>
        <w:tc>
          <w:tcPr>
            <w:tcW w:w="1000" w:type="pct"/>
            <w:vMerge/>
            <w:tcBorders>
              <w:top w:val="nil"/>
              <w:left w:val="nil"/>
              <w:bottom w:val="single" w:sz="8" w:space="0" w:color="00A0E9"/>
              <w:right w:val="single" w:sz="8" w:space="0" w:color="00A0E9"/>
            </w:tcBorders>
            <w:vAlign w:val="center"/>
            <w:hideMark/>
          </w:tcPr>
          <w:p w:rsidR="006A6E83" w:rsidRPr="006A6E83" w:rsidRDefault="006A6E83" w:rsidP="006A6E83">
            <w:pPr>
              <w:widowControl/>
              <w:jc w:val="left"/>
              <w:rPr>
                <w:rFonts w:ascii="宋体" w:eastAsia="宋体" w:hAnsi="宋体" w:cs="宋体"/>
                <w:b/>
                <w:bCs/>
                <w:color w:val="000000"/>
                <w:kern w:val="0"/>
                <w:szCs w:val="18"/>
              </w:rPr>
            </w:pPr>
          </w:p>
        </w:tc>
        <w:tc>
          <w:tcPr>
            <w:tcW w:w="454" w:type="pct"/>
            <w:vMerge/>
            <w:tcBorders>
              <w:top w:val="nil"/>
              <w:left w:val="single" w:sz="8" w:space="0" w:color="00A0E9"/>
              <w:bottom w:val="single" w:sz="8" w:space="0" w:color="00A0E9"/>
              <w:right w:val="single" w:sz="8" w:space="0" w:color="00A0E9"/>
            </w:tcBorders>
            <w:vAlign w:val="center"/>
            <w:hideMark/>
          </w:tcPr>
          <w:p w:rsidR="006A6E83" w:rsidRPr="006A6E83" w:rsidRDefault="006A6E83" w:rsidP="006A6E83">
            <w:pPr>
              <w:widowControl/>
              <w:jc w:val="left"/>
              <w:rPr>
                <w:rFonts w:ascii="宋体" w:eastAsia="宋体" w:hAnsi="宋体" w:cs="宋体"/>
                <w:b/>
                <w:bCs/>
                <w:color w:val="000000"/>
                <w:kern w:val="0"/>
                <w:szCs w:val="18"/>
              </w:rPr>
            </w:pPr>
          </w:p>
        </w:tc>
        <w:tc>
          <w:tcPr>
            <w:tcW w:w="364" w:type="pct"/>
            <w:vMerge/>
            <w:tcBorders>
              <w:top w:val="nil"/>
              <w:left w:val="single" w:sz="8" w:space="0" w:color="00A0E9"/>
              <w:bottom w:val="single" w:sz="8" w:space="0" w:color="00A0E9"/>
              <w:right w:val="single" w:sz="8" w:space="0" w:color="00A0E9"/>
            </w:tcBorders>
            <w:vAlign w:val="center"/>
            <w:hideMark/>
          </w:tcPr>
          <w:p w:rsidR="006A6E83" w:rsidRPr="006A6E83" w:rsidRDefault="006A6E83" w:rsidP="006A6E83">
            <w:pPr>
              <w:widowControl/>
              <w:jc w:val="left"/>
              <w:rPr>
                <w:rFonts w:ascii="宋体" w:eastAsia="宋体" w:hAnsi="宋体" w:cs="宋体"/>
                <w:b/>
                <w:bCs/>
                <w:color w:val="000000"/>
                <w:kern w:val="0"/>
                <w:szCs w:val="18"/>
              </w:rPr>
            </w:pPr>
          </w:p>
        </w:tc>
        <w:tc>
          <w:tcPr>
            <w:tcW w:w="273" w:type="pct"/>
            <w:tcBorders>
              <w:top w:val="nil"/>
              <w:left w:val="nil"/>
              <w:bottom w:val="single" w:sz="8" w:space="0" w:color="00A0E9"/>
              <w:right w:val="single" w:sz="8" w:space="0" w:color="00A0E9"/>
            </w:tcBorders>
            <w:shd w:val="clear" w:color="000000" w:fill="D9D9D9"/>
            <w:vAlign w:val="center"/>
            <w:hideMark/>
          </w:tcPr>
          <w:p w:rsidR="006A6E83" w:rsidRPr="006A6E83" w:rsidRDefault="006A6E83" w:rsidP="006A6E8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近一月</w:t>
            </w:r>
          </w:p>
        </w:tc>
        <w:tc>
          <w:tcPr>
            <w:tcW w:w="318" w:type="pct"/>
            <w:tcBorders>
              <w:top w:val="nil"/>
              <w:left w:val="nil"/>
              <w:bottom w:val="single" w:sz="8" w:space="0" w:color="00A0E9"/>
              <w:right w:val="single" w:sz="8" w:space="0" w:color="00A0E9"/>
            </w:tcBorders>
            <w:shd w:val="clear" w:color="000000" w:fill="D9D9D9"/>
            <w:vAlign w:val="center"/>
            <w:hideMark/>
          </w:tcPr>
          <w:p w:rsidR="006A6E83" w:rsidRPr="006A6E83" w:rsidRDefault="006A6E83" w:rsidP="006A6E8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近一季度</w:t>
            </w:r>
          </w:p>
        </w:tc>
        <w:tc>
          <w:tcPr>
            <w:tcW w:w="273" w:type="pct"/>
            <w:tcBorders>
              <w:top w:val="nil"/>
              <w:left w:val="nil"/>
              <w:bottom w:val="single" w:sz="8" w:space="0" w:color="00A0E9"/>
              <w:right w:val="single" w:sz="8" w:space="0" w:color="00A0E9"/>
            </w:tcBorders>
            <w:shd w:val="clear" w:color="000000" w:fill="D9D9D9"/>
            <w:vAlign w:val="center"/>
            <w:hideMark/>
          </w:tcPr>
          <w:p w:rsidR="006A6E83" w:rsidRPr="006A6E83" w:rsidRDefault="006A6E83" w:rsidP="006A6E8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近一年</w:t>
            </w:r>
          </w:p>
        </w:tc>
        <w:tc>
          <w:tcPr>
            <w:tcW w:w="317" w:type="pct"/>
            <w:tcBorders>
              <w:top w:val="nil"/>
              <w:left w:val="nil"/>
              <w:bottom w:val="single" w:sz="8" w:space="0" w:color="00A0E9"/>
              <w:right w:val="single" w:sz="8" w:space="0" w:color="00A0E9"/>
            </w:tcBorders>
            <w:shd w:val="clear" w:color="000000" w:fill="D9D9D9"/>
            <w:vAlign w:val="center"/>
            <w:hideMark/>
          </w:tcPr>
          <w:p w:rsidR="006A6E83" w:rsidRPr="006A6E83" w:rsidRDefault="006A6E83" w:rsidP="006A6E8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近两年</w:t>
            </w:r>
          </w:p>
        </w:tc>
        <w:tc>
          <w:tcPr>
            <w:tcW w:w="274" w:type="pct"/>
            <w:tcBorders>
              <w:top w:val="nil"/>
              <w:left w:val="nil"/>
              <w:bottom w:val="single" w:sz="8" w:space="0" w:color="00A0E9"/>
              <w:right w:val="single" w:sz="8" w:space="0" w:color="00A0E9"/>
            </w:tcBorders>
            <w:shd w:val="clear" w:color="000000" w:fill="D9D9D9"/>
            <w:vAlign w:val="center"/>
            <w:hideMark/>
          </w:tcPr>
          <w:p w:rsidR="006A6E83" w:rsidRPr="006A6E83" w:rsidRDefault="006A6E83" w:rsidP="006A6E8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近三年</w:t>
            </w:r>
          </w:p>
        </w:tc>
        <w:tc>
          <w:tcPr>
            <w:tcW w:w="273" w:type="pct"/>
            <w:tcBorders>
              <w:top w:val="nil"/>
              <w:left w:val="nil"/>
              <w:bottom w:val="single" w:sz="8" w:space="0" w:color="00A0E9"/>
              <w:right w:val="single" w:sz="8" w:space="0" w:color="00A0E9"/>
            </w:tcBorders>
            <w:shd w:val="clear" w:color="auto" w:fill="auto"/>
            <w:vAlign w:val="center"/>
            <w:hideMark/>
          </w:tcPr>
          <w:p w:rsidR="006A6E83" w:rsidRPr="006A6E83" w:rsidRDefault="006A6E83" w:rsidP="006A6E8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近一年</w:t>
            </w:r>
          </w:p>
        </w:tc>
        <w:tc>
          <w:tcPr>
            <w:tcW w:w="318" w:type="pct"/>
            <w:tcBorders>
              <w:top w:val="nil"/>
              <w:left w:val="nil"/>
              <w:bottom w:val="single" w:sz="8" w:space="0" w:color="00A0E9"/>
              <w:right w:val="single" w:sz="8" w:space="0" w:color="00A0E9"/>
            </w:tcBorders>
            <w:shd w:val="clear" w:color="auto" w:fill="auto"/>
            <w:vAlign w:val="center"/>
            <w:hideMark/>
          </w:tcPr>
          <w:p w:rsidR="006A6E83" w:rsidRPr="006A6E83" w:rsidRDefault="006A6E83" w:rsidP="006A6E8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近两年</w:t>
            </w:r>
          </w:p>
        </w:tc>
        <w:tc>
          <w:tcPr>
            <w:tcW w:w="273" w:type="pct"/>
            <w:tcBorders>
              <w:top w:val="nil"/>
              <w:left w:val="nil"/>
              <w:bottom w:val="single" w:sz="8" w:space="0" w:color="00A0E9"/>
              <w:right w:val="single" w:sz="8" w:space="0" w:color="00A0E9"/>
            </w:tcBorders>
            <w:shd w:val="clear" w:color="auto" w:fill="auto"/>
            <w:vAlign w:val="center"/>
            <w:hideMark/>
          </w:tcPr>
          <w:p w:rsidR="006A6E83" w:rsidRPr="006A6E83" w:rsidRDefault="006A6E83" w:rsidP="006A6E8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近三年</w:t>
            </w:r>
          </w:p>
        </w:tc>
        <w:tc>
          <w:tcPr>
            <w:tcW w:w="318" w:type="pct"/>
            <w:tcBorders>
              <w:top w:val="nil"/>
              <w:left w:val="nil"/>
              <w:bottom w:val="single" w:sz="8" w:space="0" w:color="00A0E9"/>
              <w:right w:val="single" w:sz="8" w:space="0" w:color="00A0E9"/>
            </w:tcBorders>
            <w:shd w:val="clear" w:color="auto" w:fill="auto"/>
            <w:vAlign w:val="center"/>
            <w:hideMark/>
          </w:tcPr>
          <w:p w:rsidR="006A6E83" w:rsidRPr="006A6E83" w:rsidRDefault="006A6E83" w:rsidP="006A6E8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近一年</w:t>
            </w:r>
          </w:p>
        </w:tc>
        <w:tc>
          <w:tcPr>
            <w:tcW w:w="273" w:type="pct"/>
            <w:tcBorders>
              <w:top w:val="nil"/>
              <w:left w:val="nil"/>
              <w:bottom w:val="single" w:sz="8" w:space="0" w:color="00A0E9"/>
              <w:right w:val="single" w:sz="8" w:space="0" w:color="00A0E9"/>
            </w:tcBorders>
            <w:shd w:val="clear" w:color="auto" w:fill="auto"/>
            <w:vAlign w:val="center"/>
            <w:hideMark/>
          </w:tcPr>
          <w:p w:rsidR="006A6E83" w:rsidRPr="006A6E83" w:rsidRDefault="006A6E83" w:rsidP="006A6E8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近两年</w:t>
            </w:r>
          </w:p>
        </w:tc>
        <w:tc>
          <w:tcPr>
            <w:tcW w:w="272" w:type="pct"/>
            <w:tcBorders>
              <w:top w:val="nil"/>
              <w:left w:val="nil"/>
              <w:bottom w:val="single" w:sz="8" w:space="0" w:color="00A0E9"/>
              <w:right w:val="nil"/>
            </w:tcBorders>
            <w:shd w:val="clear" w:color="auto" w:fill="auto"/>
            <w:vAlign w:val="center"/>
            <w:hideMark/>
          </w:tcPr>
          <w:p w:rsidR="006A6E83" w:rsidRPr="006A6E83" w:rsidRDefault="006A6E83" w:rsidP="006A6E8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近三年</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华泰人寿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稳健型</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0.94%</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0.85%</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4.99%</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8.90%</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13.77%</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1.48%</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1.10%</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1.07%</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0.76%</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0.76%</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0.76%</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中国平安保险</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-0.58%</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7.83%</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22.26%</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27.72%</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32.82%</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5.71%</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4.29%</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3.63%</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2.52%</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2.52%</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2.52%</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工银安盛人寿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-3.38%</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6.51%</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26.32%</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29.52%</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30.76%</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8.12%</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6.64%</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6.40%</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6.40%</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6.40%</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6.40%</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友邦保险</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稳健组合</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-3.39%</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5.78%</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25.33%</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31.08%</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32.06%</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8.49%</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6.82%</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6.85%</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5.67%</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5.67%</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5.67%</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恒安标准人寿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平衡型</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-4.59%</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6.98%</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31.72%</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35.62%</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37.52%</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8.88%</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7.44%</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6.91%</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5.02%</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5.02%</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5.02%</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国泰人寿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平衡型</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-5.18%</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12.09%</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46.02%</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60.51%</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57.60%</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16.85%</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13.49%</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12.81%</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14.36%</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14.36%</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14.36%</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中美联泰大都会</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3070稳健型</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-5.87%</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0.27%</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29.50%</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29.68%</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28.63%</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10.13%</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8.48%</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7.69%</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6.28%</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6.86%</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8.00%</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北大方正人寿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平衡型</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-6.00%</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2.69%</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52.07%</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58.28%</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40.86%</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15.78%</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14.65%</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14.73%</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5.45%</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11.53%</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16.93%</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中意人寿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策略增长</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-6.12%</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16.85%</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56.21%</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60.26%</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51.98%</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21.59%</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16.38%</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14.66%</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11.28%</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11.28%</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11.28%</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太平人寿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智胜平衡稳健</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-6.38%</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11.31%</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28.17%</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35.99%</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31.79%</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11.20%</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8.26%</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7.37%</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8.58%</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8.58%</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8.58%</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太平人寿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精选平衡型</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-6.48%</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8.50%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41.24%</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51.05%</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40.33%</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17.18%</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13.13%</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12.20%</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12.51%</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12.51%</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12.51%</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中国人寿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国寿平衡增长</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-6.64%</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25.79%</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81.03%</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82.45%</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71.03%</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21.49%</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17.31%</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17.69%</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13.47%</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16.62%</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20.46%</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信诚人寿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稳健配置</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-7.69%</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8.75%</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32.78%</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37.27%</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41.12%</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13.39%</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10.34%</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8.89%</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11.70%</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11.70%</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11.70%</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工银安盛人寿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卓越</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-9.07%</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11.59%</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56.03%</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60.66%</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65.68%</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17.97%</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14.74%</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14.13%</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14.77%</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14.77%</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14.77%</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lastRenderedPageBreak/>
              <w:t>中意人寿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增长</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-9.35%</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2.39%</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51.14%</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65.80%</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68.14%</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15.15%</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12.10%</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11.17%</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8.68%</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8.68%</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8.68%</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中美联泰大都会</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混合偏债型</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-9.78%</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3.23%</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31.74%</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39.65%</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41.97%</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12.07%</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9.67%</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8.78%</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7.73%</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7.73%</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7.73%</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太平人寿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均衡收益型</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-10.24%</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8.05%</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60.07%</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72.91%</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38.14%</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19.63%</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14.89%</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16.20%</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14.59%</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14.59%</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20.79%</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长生人寿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稳健增值型</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-11.48%</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10.55%</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61.69%</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73.06%</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78.26%</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17.62%</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14.70%</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13.90%</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8.91%</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8.91%</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10.18%</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信诚人寿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平衡增长</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-12.05%</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8.93%</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40.78%</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43.15%</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41.61%</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18.41%</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14.32%</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12.37%</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16.83%</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16.83%</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16.83%</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瑞泰人寿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财智平衡</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-13.63%</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14.49%</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70.11%</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77.38%</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81.87%</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21.88%</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17.21%</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15.51%</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17.36%</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17.36%</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17.36%</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瑞泰人寿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平衡型</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-14.15%</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13.17%</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67.23%</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80.03%</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87.52%</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21.63%</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17.30%</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15.60%</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17.68%</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17.68%</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17.68%</w:t>
            </w:r>
          </w:p>
        </w:tc>
      </w:tr>
      <w:tr w:rsidR="009123A3" w:rsidRPr="00177727" w:rsidTr="009D158F">
        <w:trPr>
          <w:trHeight w:val="170"/>
        </w:trPr>
        <w:tc>
          <w:tcPr>
            <w:tcW w:w="1000"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中荷人寿</w:t>
            </w:r>
          </w:p>
        </w:tc>
        <w:tc>
          <w:tcPr>
            <w:tcW w:w="45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平衡型</w:t>
            </w:r>
          </w:p>
        </w:tc>
        <w:tc>
          <w:tcPr>
            <w:tcW w:w="364"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-14.85%</w:t>
            </w:r>
          </w:p>
        </w:tc>
        <w:tc>
          <w:tcPr>
            <w:tcW w:w="318"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6.03%</w:t>
            </w:r>
          </w:p>
        </w:tc>
        <w:tc>
          <w:tcPr>
            <w:tcW w:w="273"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43.45%</w:t>
            </w:r>
          </w:p>
        </w:tc>
        <w:tc>
          <w:tcPr>
            <w:tcW w:w="317"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55.32%</w:t>
            </w:r>
          </w:p>
        </w:tc>
        <w:tc>
          <w:tcPr>
            <w:tcW w:w="274" w:type="pct"/>
            <w:tcBorders>
              <w:top w:val="nil"/>
              <w:left w:val="nil"/>
              <w:bottom w:val="single" w:sz="8" w:space="0" w:color="00A0E9"/>
              <w:right w:val="single" w:sz="8" w:space="0" w:color="00A0E9"/>
            </w:tcBorders>
            <w:shd w:val="clear" w:color="000000" w:fill="D9D9D9"/>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62.10%</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21.45%</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17.38%</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15.49%</w:t>
            </w:r>
          </w:p>
        </w:tc>
        <w:tc>
          <w:tcPr>
            <w:tcW w:w="318"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18.86%</w:t>
            </w:r>
          </w:p>
        </w:tc>
        <w:tc>
          <w:tcPr>
            <w:tcW w:w="273" w:type="pct"/>
            <w:tcBorders>
              <w:top w:val="nil"/>
              <w:left w:val="nil"/>
              <w:bottom w:val="single" w:sz="8" w:space="0" w:color="00A0E9"/>
              <w:right w:val="single" w:sz="8" w:space="0" w:color="00A0E9"/>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18.86%</w:t>
            </w:r>
          </w:p>
        </w:tc>
        <w:tc>
          <w:tcPr>
            <w:tcW w:w="272" w:type="pct"/>
            <w:tcBorders>
              <w:top w:val="nil"/>
              <w:left w:val="nil"/>
              <w:bottom w:val="single" w:sz="8" w:space="0" w:color="00A0E9"/>
              <w:right w:val="nil"/>
            </w:tcBorders>
            <w:shd w:val="clear" w:color="auto" w:fill="auto"/>
            <w:vAlign w:val="bottom"/>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18.86%</w:t>
            </w:r>
          </w:p>
        </w:tc>
      </w:tr>
      <w:tr w:rsidR="009123A3" w:rsidRPr="006A6E83" w:rsidTr="009123A3">
        <w:trPr>
          <w:trHeight w:val="170"/>
        </w:trPr>
        <w:tc>
          <w:tcPr>
            <w:tcW w:w="1000" w:type="pct"/>
            <w:tcBorders>
              <w:top w:val="nil"/>
              <w:left w:val="nil"/>
              <w:bottom w:val="single" w:sz="8" w:space="0" w:color="00A0E9"/>
              <w:right w:val="single" w:sz="8" w:space="0" w:color="00A0E9"/>
            </w:tcBorders>
            <w:shd w:val="clear" w:color="000000" w:fill="8DB3E2"/>
            <w:vAlign w:val="center"/>
            <w:hideMark/>
          </w:tcPr>
          <w:p w:rsidR="009123A3" w:rsidRPr="006A6E83" w:rsidRDefault="009123A3" w:rsidP="009123A3">
            <w:pPr>
              <w:widowControl/>
              <w:jc w:val="center"/>
              <w:rPr>
                <w:rFonts w:ascii="宋体" w:eastAsia="宋体" w:hAnsi="宋体" w:cs="宋体"/>
                <w:color w:val="000000"/>
                <w:kern w:val="0"/>
                <w:sz w:val="22"/>
              </w:rPr>
            </w:pPr>
          </w:p>
        </w:tc>
        <w:tc>
          <w:tcPr>
            <w:tcW w:w="454" w:type="pct"/>
            <w:tcBorders>
              <w:top w:val="nil"/>
              <w:left w:val="nil"/>
              <w:bottom w:val="single" w:sz="8" w:space="0" w:color="00A0E9"/>
              <w:right w:val="single" w:sz="8" w:space="0" w:color="00A0E9"/>
            </w:tcBorders>
            <w:shd w:val="clear" w:color="000000" w:fill="8DB3E2"/>
            <w:vAlign w:val="center"/>
            <w:hideMark/>
          </w:tcPr>
          <w:p w:rsidR="009123A3" w:rsidRPr="006A6E83" w:rsidRDefault="009123A3" w:rsidP="009123A3">
            <w:pPr>
              <w:widowControl/>
              <w:jc w:val="center"/>
              <w:rPr>
                <w:rFonts w:ascii="宋体" w:eastAsia="宋体" w:hAnsi="宋体" w:cs="宋体"/>
                <w:color w:val="000000"/>
                <w:kern w:val="0"/>
                <w:sz w:val="22"/>
              </w:rPr>
            </w:pPr>
          </w:p>
        </w:tc>
        <w:tc>
          <w:tcPr>
            <w:tcW w:w="364" w:type="pct"/>
            <w:tcBorders>
              <w:top w:val="nil"/>
              <w:left w:val="nil"/>
              <w:bottom w:val="single" w:sz="8" w:space="0" w:color="00A0E9"/>
              <w:right w:val="single" w:sz="8" w:space="0" w:color="00A0E9"/>
            </w:tcBorders>
            <w:shd w:val="clear" w:color="000000" w:fill="8DB3E2"/>
            <w:vAlign w:val="center"/>
            <w:hideMark/>
          </w:tcPr>
          <w:p w:rsidR="009123A3" w:rsidRPr="006A6E83" w:rsidRDefault="009123A3" w:rsidP="009123A3">
            <w:pPr>
              <w:widowControl/>
              <w:jc w:val="center"/>
              <w:rPr>
                <w:rFonts w:ascii="宋体" w:eastAsia="宋体" w:hAnsi="宋体" w:cs="宋体"/>
                <w:b/>
                <w:bCs/>
                <w:color w:val="000000"/>
                <w:kern w:val="0"/>
                <w:szCs w:val="18"/>
              </w:rPr>
            </w:pPr>
            <w:r w:rsidRPr="006A6E83">
              <w:rPr>
                <w:rFonts w:ascii="宋体" w:eastAsia="宋体" w:hAnsi="宋体" w:cs="宋体" w:hint="eastAsia"/>
                <w:b/>
                <w:bCs/>
                <w:color w:val="000000"/>
                <w:kern w:val="0"/>
                <w:szCs w:val="18"/>
              </w:rPr>
              <w:t>平均</w:t>
            </w:r>
          </w:p>
        </w:tc>
        <w:tc>
          <w:tcPr>
            <w:tcW w:w="273" w:type="pct"/>
            <w:tcBorders>
              <w:top w:val="nil"/>
              <w:left w:val="nil"/>
              <w:bottom w:val="single" w:sz="8" w:space="0" w:color="00A0E9"/>
              <w:right w:val="single" w:sz="8" w:space="0" w:color="00A0E9"/>
            </w:tcBorders>
            <w:shd w:val="clear" w:color="000000" w:fill="8DB3E2"/>
            <w:vAlign w:val="center"/>
            <w:hideMark/>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-7.54%</w:t>
            </w:r>
          </w:p>
        </w:tc>
        <w:tc>
          <w:tcPr>
            <w:tcW w:w="318" w:type="pct"/>
            <w:tcBorders>
              <w:top w:val="nil"/>
              <w:left w:val="nil"/>
              <w:bottom w:val="single" w:sz="8" w:space="0" w:color="00A0E9"/>
              <w:right w:val="single" w:sz="8" w:space="0" w:color="00A0E9"/>
            </w:tcBorders>
            <w:shd w:val="clear" w:color="000000" w:fill="8DB3E2"/>
            <w:vAlign w:val="center"/>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8.76%</w:t>
            </w:r>
          </w:p>
        </w:tc>
        <w:tc>
          <w:tcPr>
            <w:tcW w:w="273" w:type="pct"/>
            <w:tcBorders>
              <w:top w:val="nil"/>
              <w:left w:val="nil"/>
              <w:bottom w:val="single" w:sz="8" w:space="0" w:color="00A0E9"/>
              <w:right w:val="single" w:sz="8" w:space="0" w:color="00A0E9"/>
            </w:tcBorders>
            <w:shd w:val="clear" w:color="000000" w:fill="8DB3E2"/>
            <w:vAlign w:val="center"/>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43.63%</w:t>
            </w:r>
          </w:p>
        </w:tc>
        <w:tc>
          <w:tcPr>
            <w:tcW w:w="317" w:type="pct"/>
            <w:tcBorders>
              <w:top w:val="nil"/>
              <w:left w:val="nil"/>
              <w:bottom w:val="single" w:sz="8" w:space="0" w:color="00A0E9"/>
              <w:right w:val="single" w:sz="8" w:space="0" w:color="00A0E9"/>
            </w:tcBorders>
            <w:shd w:val="clear" w:color="000000" w:fill="8DB3E2"/>
            <w:vAlign w:val="center"/>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50.74%</w:t>
            </w:r>
          </w:p>
        </w:tc>
        <w:tc>
          <w:tcPr>
            <w:tcW w:w="274" w:type="pct"/>
            <w:tcBorders>
              <w:top w:val="nil"/>
              <w:left w:val="nil"/>
              <w:bottom w:val="single" w:sz="8" w:space="0" w:color="00A0E9"/>
              <w:right w:val="single" w:sz="8" w:space="0" w:color="00A0E9"/>
            </w:tcBorders>
            <w:shd w:val="clear" w:color="000000" w:fill="8DB3E2"/>
            <w:vAlign w:val="center"/>
            <w:hideMark/>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48.89%</w:t>
            </w:r>
          </w:p>
        </w:tc>
        <w:tc>
          <w:tcPr>
            <w:tcW w:w="273" w:type="pct"/>
            <w:tcBorders>
              <w:top w:val="nil"/>
              <w:left w:val="nil"/>
              <w:bottom w:val="single" w:sz="8" w:space="0" w:color="00A0E9"/>
              <w:right w:val="single" w:sz="8" w:space="0" w:color="00A0E9"/>
            </w:tcBorders>
            <w:shd w:val="clear" w:color="000000" w:fill="8DB3E2"/>
            <w:vAlign w:val="center"/>
            <w:hideMark/>
          </w:tcPr>
          <w:p w:rsidR="009123A3" w:rsidRPr="006A6E83" w:rsidRDefault="009123A3" w:rsidP="009123A3">
            <w:pPr>
              <w:widowControl/>
              <w:jc w:val="center"/>
              <w:rPr>
                <w:rFonts w:ascii="宋体" w:eastAsia="宋体" w:hAnsi="宋体" w:cs="宋体"/>
                <w:color w:val="000000"/>
                <w:kern w:val="0"/>
                <w:szCs w:val="18"/>
              </w:rPr>
            </w:pPr>
            <w:r w:rsidRPr="006A6E83">
              <w:rPr>
                <w:rFonts w:ascii="宋体" w:eastAsia="宋体" w:hAnsi="宋体" w:cs="宋体" w:hint="eastAsia"/>
                <w:color w:val="000000"/>
                <w:kern w:val="0"/>
                <w:szCs w:val="18"/>
              </w:rPr>
              <w:t>-</w:t>
            </w:r>
          </w:p>
        </w:tc>
        <w:tc>
          <w:tcPr>
            <w:tcW w:w="318" w:type="pct"/>
            <w:tcBorders>
              <w:top w:val="nil"/>
              <w:left w:val="nil"/>
              <w:bottom w:val="single" w:sz="8" w:space="0" w:color="00A0E9"/>
              <w:right w:val="single" w:sz="8" w:space="0" w:color="00A0E9"/>
            </w:tcBorders>
            <w:shd w:val="clear" w:color="000000" w:fill="8DB3E2"/>
            <w:vAlign w:val="center"/>
            <w:hideMark/>
          </w:tcPr>
          <w:p w:rsidR="009123A3" w:rsidRPr="006A6E83" w:rsidRDefault="009123A3" w:rsidP="009123A3">
            <w:pPr>
              <w:widowControl/>
              <w:jc w:val="center"/>
              <w:rPr>
                <w:rFonts w:ascii="宋体" w:eastAsia="宋体" w:hAnsi="宋体" w:cs="宋体"/>
                <w:color w:val="000000"/>
                <w:kern w:val="0"/>
                <w:szCs w:val="18"/>
              </w:rPr>
            </w:pPr>
            <w:r w:rsidRPr="006A6E83">
              <w:rPr>
                <w:rFonts w:ascii="宋体" w:eastAsia="宋体" w:hAnsi="宋体" w:cs="宋体" w:hint="eastAsia"/>
                <w:color w:val="000000"/>
                <w:kern w:val="0"/>
                <w:szCs w:val="18"/>
              </w:rPr>
              <w:t>-</w:t>
            </w:r>
          </w:p>
        </w:tc>
        <w:tc>
          <w:tcPr>
            <w:tcW w:w="273" w:type="pct"/>
            <w:tcBorders>
              <w:top w:val="nil"/>
              <w:left w:val="nil"/>
              <w:bottom w:val="single" w:sz="8" w:space="0" w:color="00A0E9"/>
              <w:right w:val="single" w:sz="8" w:space="0" w:color="00A0E9"/>
            </w:tcBorders>
            <w:shd w:val="clear" w:color="000000" w:fill="8DB3E2"/>
            <w:vAlign w:val="center"/>
            <w:hideMark/>
          </w:tcPr>
          <w:p w:rsidR="009123A3" w:rsidRPr="006A6E83" w:rsidRDefault="009123A3" w:rsidP="009123A3">
            <w:pPr>
              <w:widowControl/>
              <w:jc w:val="center"/>
              <w:rPr>
                <w:rFonts w:ascii="宋体" w:eastAsia="宋体" w:hAnsi="宋体" w:cs="宋体"/>
                <w:color w:val="000000"/>
                <w:kern w:val="0"/>
                <w:szCs w:val="18"/>
              </w:rPr>
            </w:pPr>
            <w:r w:rsidRPr="006A6E83">
              <w:rPr>
                <w:rFonts w:ascii="宋体" w:eastAsia="宋体" w:hAnsi="宋体" w:cs="宋体" w:hint="eastAsia"/>
                <w:color w:val="000000"/>
                <w:kern w:val="0"/>
                <w:szCs w:val="18"/>
              </w:rPr>
              <w:t>-</w:t>
            </w:r>
          </w:p>
        </w:tc>
        <w:tc>
          <w:tcPr>
            <w:tcW w:w="318" w:type="pct"/>
            <w:tcBorders>
              <w:top w:val="nil"/>
              <w:left w:val="nil"/>
              <w:bottom w:val="single" w:sz="8" w:space="0" w:color="00A0E9"/>
              <w:right w:val="single" w:sz="8" w:space="0" w:color="00A0E9"/>
            </w:tcBorders>
            <w:shd w:val="clear" w:color="000000" w:fill="8DB3E2"/>
            <w:vAlign w:val="center"/>
            <w:hideMark/>
          </w:tcPr>
          <w:p w:rsidR="009123A3" w:rsidRPr="006A6E83" w:rsidRDefault="009123A3" w:rsidP="009123A3">
            <w:pPr>
              <w:widowControl/>
              <w:jc w:val="center"/>
              <w:rPr>
                <w:rFonts w:ascii="宋体" w:eastAsia="宋体" w:hAnsi="宋体" w:cs="宋体"/>
                <w:color w:val="000000"/>
                <w:kern w:val="0"/>
                <w:szCs w:val="18"/>
              </w:rPr>
            </w:pPr>
            <w:r w:rsidRPr="006A6E83">
              <w:rPr>
                <w:rFonts w:ascii="宋体" w:eastAsia="宋体" w:hAnsi="宋体" w:cs="宋体" w:hint="eastAsia"/>
                <w:color w:val="000000"/>
                <w:kern w:val="0"/>
                <w:szCs w:val="18"/>
              </w:rPr>
              <w:t>-</w:t>
            </w:r>
          </w:p>
        </w:tc>
        <w:tc>
          <w:tcPr>
            <w:tcW w:w="273" w:type="pct"/>
            <w:tcBorders>
              <w:top w:val="nil"/>
              <w:left w:val="nil"/>
              <w:bottom w:val="single" w:sz="8" w:space="0" w:color="00A0E9"/>
              <w:right w:val="single" w:sz="8" w:space="0" w:color="00A0E9"/>
            </w:tcBorders>
            <w:shd w:val="clear" w:color="000000" w:fill="8DB3E2"/>
            <w:vAlign w:val="center"/>
            <w:hideMark/>
          </w:tcPr>
          <w:p w:rsidR="009123A3" w:rsidRPr="006A6E83" w:rsidRDefault="009123A3" w:rsidP="009123A3">
            <w:pPr>
              <w:widowControl/>
              <w:jc w:val="center"/>
              <w:rPr>
                <w:rFonts w:ascii="宋体" w:eastAsia="宋体" w:hAnsi="宋体" w:cs="宋体"/>
                <w:color w:val="000000"/>
                <w:kern w:val="0"/>
                <w:szCs w:val="18"/>
              </w:rPr>
            </w:pPr>
            <w:r w:rsidRPr="006A6E83">
              <w:rPr>
                <w:rFonts w:ascii="宋体" w:eastAsia="宋体" w:hAnsi="宋体" w:cs="宋体" w:hint="eastAsia"/>
                <w:color w:val="000000"/>
                <w:kern w:val="0"/>
                <w:szCs w:val="18"/>
              </w:rPr>
              <w:t>-</w:t>
            </w:r>
          </w:p>
        </w:tc>
        <w:tc>
          <w:tcPr>
            <w:tcW w:w="272" w:type="pct"/>
            <w:tcBorders>
              <w:top w:val="nil"/>
              <w:left w:val="nil"/>
              <w:bottom w:val="single" w:sz="8" w:space="0" w:color="00A0E9"/>
              <w:right w:val="nil"/>
            </w:tcBorders>
            <w:shd w:val="clear" w:color="000000" w:fill="8DB3E2"/>
            <w:vAlign w:val="center"/>
            <w:hideMark/>
          </w:tcPr>
          <w:p w:rsidR="009123A3" w:rsidRPr="006A6E83" w:rsidRDefault="009123A3" w:rsidP="009123A3">
            <w:pPr>
              <w:widowControl/>
              <w:jc w:val="center"/>
              <w:rPr>
                <w:rFonts w:ascii="宋体" w:eastAsia="宋体" w:hAnsi="宋体" w:cs="宋体"/>
                <w:color w:val="000000"/>
                <w:kern w:val="0"/>
                <w:szCs w:val="18"/>
              </w:rPr>
            </w:pPr>
            <w:r w:rsidRPr="006A6E83">
              <w:rPr>
                <w:rFonts w:ascii="宋体" w:eastAsia="宋体" w:hAnsi="宋体" w:cs="宋体" w:hint="eastAsia"/>
                <w:color w:val="000000"/>
                <w:kern w:val="0"/>
                <w:szCs w:val="18"/>
              </w:rPr>
              <w:t>-</w:t>
            </w:r>
          </w:p>
        </w:tc>
      </w:tr>
      <w:tr w:rsidR="006A6E83" w:rsidRPr="006A6E83" w:rsidTr="006A6E83">
        <w:trPr>
          <w:trHeight w:val="270"/>
        </w:trPr>
        <w:tc>
          <w:tcPr>
            <w:tcW w:w="5000" w:type="pct"/>
            <w:gridSpan w:val="14"/>
            <w:tcBorders>
              <w:top w:val="single" w:sz="8" w:space="0" w:color="00A0E9"/>
              <w:left w:val="nil"/>
              <w:bottom w:val="nil"/>
              <w:right w:val="nil"/>
            </w:tcBorders>
            <w:shd w:val="clear" w:color="auto" w:fill="auto"/>
            <w:vAlign w:val="center"/>
            <w:hideMark/>
          </w:tcPr>
          <w:p w:rsidR="006A6E83" w:rsidRPr="006A6E83" w:rsidRDefault="006A6E83" w:rsidP="006A6E83">
            <w:pPr>
              <w:widowControl/>
              <w:rPr>
                <w:rFonts w:ascii="楷体_GB2312" w:hAnsi="宋体" w:cs="宋体"/>
                <w:color w:val="000000"/>
                <w:kern w:val="0"/>
                <w:sz w:val="15"/>
                <w:szCs w:val="15"/>
              </w:rPr>
            </w:pPr>
            <w:r w:rsidRPr="006A6E83">
              <w:rPr>
                <w:rFonts w:ascii="楷体_GB2312" w:hAnsi="宋体" w:cs="宋体" w:hint="eastAsia"/>
                <w:color w:val="000000"/>
                <w:kern w:val="0"/>
                <w:sz w:val="15"/>
                <w:szCs w:val="15"/>
              </w:rPr>
              <w:t>来源：国金证券研究所</w:t>
            </w:r>
          </w:p>
        </w:tc>
      </w:tr>
    </w:tbl>
    <w:p w:rsidR="006A6E83" w:rsidRDefault="006A6E83" w:rsidP="00F91C7C">
      <w:pPr>
        <w:pStyle w:val="a0"/>
        <w:ind w:left="0"/>
      </w:pPr>
    </w:p>
    <w:tbl>
      <w:tblPr>
        <w:tblW w:w="15601" w:type="dxa"/>
        <w:jc w:val="center"/>
        <w:tblBorders>
          <w:top w:val="single" w:sz="4" w:space="0" w:color="00A0E9"/>
          <w:insideH w:val="single" w:sz="4" w:space="0" w:color="00A0E9"/>
          <w:insideV w:val="single" w:sz="4" w:space="0" w:color="00A0E9"/>
        </w:tblBorders>
        <w:tblLayout w:type="fixed"/>
        <w:tblCellMar>
          <w:left w:w="0" w:type="dxa"/>
          <w:right w:w="0" w:type="dxa"/>
        </w:tblCellMar>
        <w:tblLook w:val="0000" w:firstRow="0" w:lastRow="0" w:firstColumn="0" w:lastColumn="0" w:noHBand="0" w:noVBand="0"/>
      </w:tblPr>
      <w:tblGrid>
        <w:gridCol w:w="3016"/>
        <w:gridCol w:w="1474"/>
        <w:gridCol w:w="1134"/>
        <w:gridCol w:w="907"/>
        <w:gridCol w:w="907"/>
        <w:gridCol w:w="907"/>
        <w:gridCol w:w="907"/>
        <w:gridCol w:w="907"/>
        <w:gridCol w:w="907"/>
        <w:gridCol w:w="907"/>
        <w:gridCol w:w="907"/>
        <w:gridCol w:w="907"/>
        <w:gridCol w:w="907"/>
        <w:gridCol w:w="907"/>
      </w:tblGrid>
      <w:tr w:rsidR="00F91C7C" w:rsidTr="00E1278A">
        <w:trPr>
          <w:trHeight w:val="227"/>
          <w:tblHeader/>
          <w:jc w:val="center"/>
        </w:trPr>
        <w:tc>
          <w:tcPr>
            <w:tcW w:w="15601" w:type="dxa"/>
            <w:gridSpan w:val="14"/>
            <w:shd w:val="clear" w:color="auto" w:fill="auto"/>
          </w:tcPr>
          <w:p w:rsidR="00F91C7C" w:rsidRDefault="00F91C7C" w:rsidP="00E1278A">
            <w:pPr>
              <w:pStyle w:val="SubTitleLargeTable"/>
            </w:pPr>
            <w:r>
              <w:rPr>
                <w:rFonts w:hint="eastAsia"/>
              </w:rPr>
              <w:t>图表</w:t>
            </w:r>
            <w:r>
              <w:rPr>
                <w:rFonts w:hint="eastAsia"/>
              </w:rPr>
              <w:t>6</w:t>
            </w:r>
            <w:r>
              <w:rPr>
                <w:rFonts w:hint="eastAsia"/>
              </w:rPr>
              <w:t>：</w:t>
            </w:r>
            <w:r>
              <w:rPr>
                <w:rFonts w:hint="eastAsia"/>
                <w:lang w:val="en-US"/>
              </w:rPr>
              <w:t>债券型</w:t>
            </w:r>
            <w:r w:rsidRPr="00636F55">
              <w:rPr>
                <w:rFonts w:hint="eastAsia"/>
                <w:lang w:val="en-US"/>
              </w:rPr>
              <w:t>投连险账户</w:t>
            </w:r>
          </w:p>
        </w:tc>
      </w:tr>
      <w:tr w:rsidR="00F91C7C" w:rsidRPr="00495842" w:rsidTr="00E1278A">
        <w:trPr>
          <w:trHeight w:val="227"/>
          <w:tblHeader/>
          <w:jc w:val="center"/>
        </w:trPr>
        <w:tc>
          <w:tcPr>
            <w:tcW w:w="3016" w:type="dxa"/>
            <w:vMerge w:val="restart"/>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公司</w:t>
            </w:r>
          </w:p>
        </w:tc>
        <w:tc>
          <w:tcPr>
            <w:tcW w:w="1474" w:type="dxa"/>
            <w:vMerge w:val="restart"/>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投资账户</w:t>
            </w:r>
          </w:p>
        </w:tc>
        <w:tc>
          <w:tcPr>
            <w:tcW w:w="1134" w:type="dxa"/>
            <w:vMerge w:val="restart"/>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截止日期</w:t>
            </w:r>
          </w:p>
        </w:tc>
        <w:tc>
          <w:tcPr>
            <w:tcW w:w="4535" w:type="dxa"/>
            <w:gridSpan w:val="5"/>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绝对收益</w:t>
            </w:r>
          </w:p>
        </w:tc>
        <w:tc>
          <w:tcPr>
            <w:tcW w:w="2721" w:type="dxa"/>
            <w:gridSpan w:val="3"/>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标准差(年化)</w:t>
            </w:r>
          </w:p>
        </w:tc>
        <w:tc>
          <w:tcPr>
            <w:tcW w:w="2721" w:type="dxa"/>
            <w:gridSpan w:val="3"/>
            <w:shd w:val="clear" w:color="auto" w:fill="auto"/>
            <w:vAlign w:val="center"/>
          </w:tcPr>
          <w:p w:rsidR="00F91C7C" w:rsidRPr="00B022EE" w:rsidRDefault="00102430" w:rsidP="00E1278A">
            <w:pPr>
              <w:jc w:val="center"/>
              <w:rPr>
                <w:rFonts w:ascii="宋体" w:eastAsia="宋体" w:hAnsi="宋体" w:cs="Arial"/>
                <w:b/>
                <w:bCs/>
                <w:color w:val="000000"/>
                <w:szCs w:val="18"/>
              </w:rPr>
            </w:pPr>
            <w:r>
              <w:rPr>
                <w:rFonts w:ascii="宋体" w:eastAsia="宋体" w:hAnsi="宋体" w:cs="Arial" w:hint="eastAsia"/>
                <w:b/>
                <w:bCs/>
                <w:color w:val="000000"/>
                <w:szCs w:val="18"/>
              </w:rPr>
              <w:t>最大回撤</w:t>
            </w:r>
          </w:p>
        </w:tc>
      </w:tr>
      <w:tr w:rsidR="00F91C7C" w:rsidRPr="00495842" w:rsidTr="00E1278A">
        <w:trPr>
          <w:trHeight w:val="227"/>
          <w:tblHeader/>
          <w:jc w:val="center"/>
        </w:trPr>
        <w:tc>
          <w:tcPr>
            <w:tcW w:w="3016" w:type="dxa"/>
            <w:vMerge/>
            <w:shd w:val="clear" w:color="auto" w:fill="auto"/>
            <w:vAlign w:val="center"/>
          </w:tcPr>
          <w:p w:rsidR="00F91C7C" w:rsidRPr="00B022EE" w:rsidRDefault="00F91C7C" w:rsidP="00E1278A">
            <w:pPr>
              <w:pStyle w:val="21"/>
              <w:spacing w:after="0" w:line="10" w:lineRule="atLeast"/>
              <w:ind w:left="0"/>
              <w:jc w:val="center"/>
              <w:rPr>
                <w:rFonts w:ascii="宋体" w:eastAsia="宋体" w:hAnsi="宋体"/>
                <w:sz w:val="18"/>
                <w:szCs w:val="18"/>
              </w:rPr>
            </w:pPr>
          </w:p>
        </w:tc>
        <w:tc>
          <w:tcPr>
            <w:tcW w:w="1474" w:type="dxa"/>
            <w:vMerge/>
            <w:shd w:val="clear" w:color="auto" w:fill="auto"/>
            <w:vAlign w:val="center"/>
          </w:tcPr>
          <w:p w:rsidR="00F91C7C" w:rsidRPr="00B022EE" w:rsidRDefault="00F91C7C" w:rsidP="00E1278A">
            <w:pPr>
              <w:pStyle w:val="21"/>
              <w:spacing w:after="0" w:line="10" w:lineRule="atLeast"/>
              <w:ind w:left="0"/>
              <w:jc w:val="center"/>
              <w:rPr>
                <w:rFonts w:ascii="宋体" w:eastAsia="宋体" w:hAnsi="宋体"/>
                <w:sz w:val="18"/>
                <w:szCs w:val="18"/>
              </w:rPr>
            </w:pPr>
          </w:p>
        </w:tc>
        <w:tc>
          <w:tcPr>
            <w:tcW w:w="1134" w:type="dxa"/>
            <w:vMerge/>
            <w:shd w:val="clear" w:color="auto" w:fill="auto"/>
            <w:vAlign w:val="center"/>
          </w:tcPr>
          <w:p w:rsidR="00F91C7C" w:rsidRPr="00B022EE" w:rsidRDefault="00F91C7C" w:rsidP="00E1278A">
            <w:pPr>
              <w:pStyle w:val="21"/>
              <w:spacing w:after="0" w:line="10" w:lineRule="atLeast"/>
              <w:ind w:left="0"/>
              <w:jc w:val="center"/>
              <w:rPr>
                <w:rFonts w:ascii="宋体" w:eastAsia="宋体" w:hAnsi="宋体"/>
                <w:sz w:val="18"/>
                <w:szCs w:val="18"/>
              </w:rPr>
            </w:pPr>
          </w:p>
        </w:tc>
        <w:tc>
          <w:tcPr>
            <w:tcW w:w="907"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bCs/>
                <w:color w:val="000000"/>
                <w:szCs w:val="18"/>
              </w:rPr>
              <w:t>近一月</w:t>
            </w:r>
          </w:p>
        </w:tc>
        <w:tc>
          <w:tcPr>
            <w:tcW w:w="907"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szCs w:val="18"/>
              </w:rPr>
              <w:t>近</w:t>
            </w:r>
            <w:r>
              <w:rPr>
                <w:rFonts w:ascii="宋体" w:eastAsia="宋体" w:hAnsi="宋体" w:cs="Arial" w:hint="eastAsia"/>
                <w:b/>
                <w:szCs w:val="18"/>
              </w:rPr>
              <w:t>一季度</w:t>
            </w:r>
          </w:p>
        </w:tc>
        <w:tc>
          <w:tcPr>
            <w:tcW w:w="907"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b/>
                <w:bCs/>
                <w:color w:val="000000"/>
                <w:szCs w:val="18"/>
              </w:rPr>
              <w:t>近一年</w:t>
            </w:r>
          </w:p>
        </w:tc>
        <w:tc>
          <w:tcPr>
            <w:tcW w:w="907"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近两年</w:t>
            </w:r>
          </w:p>
        </w:tc>
        <w:tc>
          <w:tcPr>
            <w:tcW w:w="907"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近三年</w:t>
            </w:r>
          </w:p>
        </w:tc>
        <w:tc>
          <w:tcPr>
            <w:tcW w:w="907" w:type="dxa"/>
            <w:shd w:val="clear" w:color="auto" w:fill="auto"/>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b/>
                <w:bCs/>
                <w:color w:val="000000"/>
                <w:szCs w:val="18"/>
              </w:rPr>
              <w:t>近一年</w:t>
            </w:r>
          </w:p>
        </w:tc>
        <w:tc>
          <w:tcPr>
            <w:tcW w:w="907"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近两年</w:t>
            </w:r>
          </w:p>
        </w:tc>
        <w:tc>
          <w:tcPr>
            <w:tcW w:w="907"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近三年</w:t>
            </w:r>
          </w:p>
        </w:tc>
        <w:tc>
          <w:tcPr>
            <w:tcW w:w="907" w:type="dxa"/>
            <w:shd w:val="clear" w:color="auto" w:fill="auto"/>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b/>
                <w:bCs/>
                <w:color w:val="000000"/>
                <w:szCs w:val="18"/>
              </w:rPr>
              <w:t>近一年</w:t>
            </w:r>
          </w:p>
        </w:tc>
        <w:tc>
          <w:tcPr>
            <w:tcW w:w="907"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近两年</w:t>
            </w:r>
          </w:p>
        </w:tc>
        <w:tc>
          <w:tcPr>
            <w:tcW w:w="907"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近三年</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泰康人寿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开泰-稳利精选</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13.32%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25.97%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35.16%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40.95%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5.95%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5.05%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4.72%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4.10%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生命人寿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增强货币型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6.15%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23.65%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30.25%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36.58%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6.51%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5.18%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4.43%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2.49%</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国华人寿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灵活型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7.65%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中英人寿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5.59%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20.94%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20.36%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24.91%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3.79%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3.58%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3.38%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6.01%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7.36%</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太平人寿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稳健避险型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0.78%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6.49%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13.44%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14.18%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1.96%</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生命人寿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稳健II</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0.76%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5.82%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22.18%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27.72%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34.91%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7.80%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5.75%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5.25%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3.61%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3.61%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3.61%</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光大永明人寿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光明财富慧选</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0.68%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光大永明人寿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光大优选</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0.60%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6.94%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合众人寿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稳健收益型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8.35%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0.60%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国华人寿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7.43%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弘康人寿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平稳增利型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弘康人寿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增利180</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0.48%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6.00%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太平人寿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平衡稳定型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0.46%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4.66%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8.67%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10.78%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0.45%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0.77%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0.65%</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弘康人寿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灵活配置型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0.42%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5.20%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10.76%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阳光人寿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债券型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0.40%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5.83%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12.08%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18.77%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光大永明人寿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光明财富智选</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7.54%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0.40%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太平人寿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稳健安心型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6.54%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10.93%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13.93%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1.03%</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泰康人寿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五年定期保证收益</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7.11%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6.83%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10.61%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6.07%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6.56%</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泰康人寿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稳健收益型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9.01%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26.15%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33.63%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38.75%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5.81%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4.73%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4.23%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2.78%</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信泰人寿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恒星稳胜债券投资账户</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6.55%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中国人寿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国寿稳健债券</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9.82%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9.53%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18.03%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3.75%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4.03%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4.03%</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工银安盛人寿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安心</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5.83%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8.60%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0.40%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0.18%</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汇丰人寿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稳健成长</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-0.08%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8.14%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11.76%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13.29%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2.41%</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信诚人寿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优选全债</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-0.12%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3.49%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14.49%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18.12%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22.67%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2.27%</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lastRenderedPageBreak/>
              <w:t>中荷人寿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避险型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-0.17%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8.49%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11.51%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15.15%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1.11%</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海康人寿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-0.43%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14.07%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19.55%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26.61%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5.03%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6.21%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5.41%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7.73%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7.73%</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中荷人寿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-0.71%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3.56%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12.48%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12.72%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16.77%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3.32%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4.96%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5.54%</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合众人寿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-0.78%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5.18%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25.00%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27.83%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32.75%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6.48%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5.46%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4.88%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4.17%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5.02%</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恒安标准人寿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债券型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-0.79%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10.69%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15.33%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4.60%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3.38%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5.39%</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光大永明人寿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-0.85%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21.60%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26.38%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11.86%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6.40%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4.73%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6.14%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13.21%</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北大方正人寿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-0.95%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9.49%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9.50%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12.96%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4.38%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4.26%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3.97%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6.10%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8.31%</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中国平安保险</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价值增长</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-1.18%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5.60%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13.81%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18.78%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23.25%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4.03%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1.97%</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生命人寿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稳健I</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-1.42%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20.90%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22.87%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28.67%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7.10%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8.54%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7.27%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3.75%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7.46%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7.46%</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建信人寿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现金增利型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-2.17%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3.12%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36.65%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37.96%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40.18%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12.77%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9.86%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8.57%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5.22%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5.94%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7.92%</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添利C型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-2.29%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4.18%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27.43%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31.70%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35.53%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5.38%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4.75%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3.47%</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中意人寿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-2.66%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4.37%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21.23%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25.49%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30.07%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5.30%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4.39%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3.96%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3.31%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4.17%</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中德安联人寿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债券稳健型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-2.70%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-3.88%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-3.50%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-2.23%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-1.41%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4.22%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4.22%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4.22%</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信诚人寿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打新立稳</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-2.87%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6.81%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38.54%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35.07%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37.87%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9.40%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7.97%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6.84%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5.54%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7.86%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8.88%</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中意人寿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安逸稳健</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-2.98%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0.46%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14.76%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18.33%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22.98%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4.95%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4.08%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3.71%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3.71%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4.88%</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太平人寿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智选忠诚保证</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-3.11%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13.09%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29.90%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39.87%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30.85%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11.03%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8.25%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7.72%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5.06%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5.06%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9.87%</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中美联泰大都会</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债券型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-3.14%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13.53%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15.41%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19.77%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5.64%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4.38%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2.76%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4.23%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5.04%</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添利B型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-3.25%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3.17%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26.61%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29.92%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32.89%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7.63%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5.80%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5.08%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3.07%</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瑞泰人寿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财智增值</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-3.94%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6.01%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24.66%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25.93%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29.01%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8.20%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6.31%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5.74%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6.74%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6.74%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6.74%</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稳健</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-4.33%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2.15%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30.25%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34.27%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38.30%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9.46%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7.36%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6.24%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7.08%</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瑞泰人寿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增值型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-4.98%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6.93%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30.18%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31.20%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34.60%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8.77%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6.91%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6.04%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6.58%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6.58%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6.58%</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瑞泰人寿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财智稳定</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-5.10%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16.01%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16.65%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19.85%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5.31%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7.91%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6.22%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6.22%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9.09%</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瑞泰人寿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稳定型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-5.30%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4.08%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19.36%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20.39%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23.81%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7.24%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5.49%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4.75%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6.36%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6.36%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6.36%</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平稳型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-8.38%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-2.66%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24.49%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29.82%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31.79%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14.06%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10.14%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8.51%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添利A型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-14.45%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-9.52%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24.91%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29.05%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29.67%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14.08%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10.61%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9.61%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9.61%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9.61%</w:t>
            </w:r>
          </w:p>
        </w:tc>
      </w:tr>
      <w:tr w:rsidR="009123A3" w:rsidRPr="00495842" w:rsidTr="009123A3">
        <w:trPr>
          <w:trHeight w:val="147"/>
          <w:jc w:val="center"/>
        </w:trPr>
        <w:tc>
          <w:tcPr>
            <w:tcW w:w="3016" w:type="dxa"/>
            <w:tcBorders>
              <w:bottom w:val="single" w:sz="4" w:space="0" w:color="00A0E9"/>
            </w:tcBorders>
            <w:shd w:val="clear" w:color="auto" w:fill="8DB3E2"/>
            <w:vAlign w:val="center"/>
          </w:tcPr>
          <w:p w:rsidR="009123A3" w:rsidRPr="001831AC" w:rsidRDefault="009123A3" w:rsidP="00E1278A">
            <w:pPr>
              <w:rPr>
                <w:rFonts w:ascii="宋体" w:eastAsia="宋体" w:hAnsi="宋体" w:cs="宋体"/>
                <w:color w:val="000000"/>
                <w:sz w:val="22"/>
              </w:rPr>
            </w:pPr>
          </w:p>
        </w:tc>
        <w:tc>
          <w:tcPr>
            <w:tcW w:w="1474" w:type="dxa"/>
            <w:tcBorders>
              <w:bottom w:val="single" w:sz="4" w:space="0" w:color="00A0E9"/>
            </w:tcBorders>
            <w:shd w:val="clear" w:color="auto" w:fill="8DB3E2"/>
            <w:vAlign w:val="center"/>
          </w:tcPr>
          <w:p w:rsidR="009123A3" w:rsidRPr="001831AC" w:rsidRDefault="009123A3" w:rsidP="00E1278A">
            <w:pPr>
              <w:rPr>
                <w:rFonts w:ascii="宋体" w:eastAsia="宋体" w:hAnsi="宋体" w:cs="宋体"/>
                <w:color w:val="000000"/>
                <w:sz w:val="22"/>
              </w:rPr>
            </w:pPr>
          </w:p>
        </w:tc>
        <w:tc>
          <w:tcPr>
            <w:tcW w:w="1134"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 w:val="22"/>
              </w:rPr>
            </w:pPr>
            <w:r w:rsidRPr="007F742D">
              <w:rPr>
                <w:rFonts w:ascii="宋体" w:eastAsia="宋体" w:hAnsi="宋体" w:hint="eastAsia"/>
                <w:b/>
                <w:color w:val="000000"/>
                <w:szCs w:val="18"/>
              </w:rPr>
              <w:t>平均</w:t>
            </w:r>
          </w:p>
        </w:tc>
        <w:tc>
          <w:tcPr>
            <w:tcW w:w="907"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-1.36%</w:t>
            </w:r>
          </w:p>
        </w:tc>
        <w:tc>
          <w:tcPr>
            <w:tcW w:w="907"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2.97%</w:t>
            </w:r>
          </w:p>
        </w:tc>
        <w:tc>
          <w:tcPr>
            <w:tcW w:w="907"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15.81%</w:t>
            </w:r>
          </w:p>
        </w:tc>
        <w:tc>
          <w:tcPr>
            <w:tcW w:w="907"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20.91%</w:t>
            </w:r>
          </w:p>
        </w:tc>
        <w:tc>
          <w:tcPr>
            <w:tcW w:w="907"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24.26%</w:t>
            </w:r>
          </w:p>
        </w:tc>
        <w:tc>
          <w:tcPr>
            <w:tcW w:w="907"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907"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907"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907"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907"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907"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r>
      <w:tr w:rsidR="00F91C7C" w:rsidTr="00E1278A">
        <w:trPr>
          <w:trHeight w:val="227"/>
          <w:jc w:val="center"/>
        </w:trPr>
        <w:tc>
          <w:tcPr>
            <w:tcW w:w="15601" w:type="dxa"/>
            <w:gridSpan w:val="14"/>
            <w:shd w:val="clear" w:color="auto" w:fill="auto"/>
          </w:tcPr>
          <w:p w:rsidR="00F91C7C" w:rsidRDefault="00F91C7C" w:rsidP="00E1278A">
            <w:pPr>
              <w:pStyle w:val="FootnoteNoline"/>
              <w:ind w:left="0"/>
            </w:pPr>
            <w:r>
              <w:rPr>
                <w:rFonts w:hint="eastAsia"/>
              </w:rPr>
              <w:t>来源：国金证券研究所</w:t>
            </w:r>
          </w:p>
        </w:tc>
      </w:tr>
    </w:tbl>
    <w:p w:rsidR="00F91C7C" w:rsidRDefault="00F91C7C" w:rsidP="00F91C7C">
      <w:pPr>
        <w:pStyle w:val="a0"/>
        <w:ind w:left="0"/>
      </w:pPr>
    </w:p>
    <w:tbl>
      <w:tblPr>
        <w:tblW w:w="15601" w:type="dxa"/>
        <w:jc w:val="center"/>
        <w:tblBorders>
          <w:top w:val="single" w:sz="4" w:space="0" w:color="00A0E9"/>
          <w:insideH w:val="single" w:sz="4" w:space="0" w:color="00A0E9"/>
          <w:insideV w:val="single" w:sz="4" w:space="0" w:color="00A0E9"/>
        </w:tblBorders>
        <w:tblLayout w:type="fixed"/>
        <w:tblCellMar>
          <w:left w:w="0" w:type="dxa"/>
          <w:right w:w="0" w:type="dxa"/>
        </w:tblCellMar>
        <w:tblLook w:val="0000" w:firstRow="0" w:lastRow="0" w:firstColumn="0" w:lastColumn="0" w:noHBand="0" w:noVBand="0"/>
      </w:tblPr>
      <w:tblGrid>
        <w:gridCol w:w="3016"/>
        <w:gridCol w:w="1474"/>
        <w:gridCol w:w="1134"/>
        <w:gridCol w:w="907"/>
        <w:gridCol w:w="907"/>
        <w:gridCol w:w="907"/>
        <w:gridCol w:w="907"/>
        <w:gridCol w:w="907"/>
        <w:gridCol w:w="907"/>
        <w:gridCol w:w="907"/>
        <w:gridCol w:w="907"/>
        <w:gridCol w:w="907"/>
        <w:gridCol w:w="907"/>
        <w:gridCol w:w="907"/>
      </w:tblGrid>
      <w:tr w:rsidR="00F91C7C" w:rsidTr="00E1278A">
        <w:trPr>
          <w:trHeight w:val="227"/>
          <w:tblHeader/>
          <w:jc w:val="center"/>
        </w:trPr>
        <w:tc>
          <w:tcPr>
            <w:tcW w:w="15601" w:type="dxa"/>
            <w:gridSpan w:val="14"/>
            <w:shd w:val="clear" w:color="auto" w:fill="auto"/>
          </w:tcPr>
          <w:p w:rsidR="00F91C7C" w:rsidRDefault="00F91C7C" w:rsidP="00E1278A">
            <w:pPr>
              <w:pStyle w:val="SubTitleLargeTable"/>
            </w:pPr>
            <w:r>
              <w:rPr>
                <w:rFonts w:hint="eastAsia"/>
              </w:rPr>
              <w:t>图表</w:t>
            </w:r>
            <w:r>
              <w:rPr>
                <w:rFonts w:hint="eastAsia"/>
              </w:rPr>
              <w:t>7</w:t>
            </w:r>
            <w:r>
              <w:rPr>
                <w:rFonts w:hint="eastAsia"/>
              </w:rPr>
              <w:t>：</w:t>
            </w:r>
            <w:r>
              <w:rPr>
                <w:rFonts w:hint="eastAsia"/>
                <w:lang w:val="en-US"/>
              </w:rPr>
              <w:t>货币型</w:t>
            </w:r>
            <w:r w:rsidRPr="00636F55">
              <w:rPr>
                <w:rFonts w:hint="eastAsia"/>
                <w:lang w:val="en-US"/>
              </w:rPr>
              <w:t>投连险账户</w:t>
            </w:r>
          </w:p>
        </w:tc>
      </w:tr>
      <w:tr w:rsidR="00F91C7C" w:rsidRPr="00495842" w:rsidTr="00E1278A">
        <w:trPr>
          <w:trHeight w:val="227"/>
          <w:tblHeader/>
          <w:jc w:val="center"/>
        </w:trPr>
        <w:tc>
          <w:tcPr>
            <w:tcW w:w="3016" w:type="dxa"/>
            <w:vMerge w:val="restart"/>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公司</w:t>
            </w:r>
          </w:p>
        </w:tc>
        <w:tc>
          <w:tcPr>
            <w:tcW w:w="1474" w:type="dxa"/>
            <w:vMerge w:val="restart"/>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投资账户</w:t>
            </w:r>
          </w:p>
        </w:tc>
        <w:tc>
          <w:tcPr>
            <w:tcW w:w="1134" w:type="dxa"/>
            <w:vMerge w:val="restart"/>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截止日期</w:t>
            </w:r>
          </w:p>
        </w:tc>
        <w:tc>
          <w:tcPr>
            <w:tcW w:w="4535" w:type="dxa"/>
            <w:gridSpan w:val="5"/>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绝对收益</w:t>
            </w:r>
          </w:p>
        </w:tc>
        <w:tc>
          <w:tcPr>
            <w:tcW w:w="2721" w:type="dxa"/>
            <w:gridSpan w:val="3"/>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标准差(年化)</w:t>
            </w:r>
          </w:p>
        </w:tc>
        <w:tc>
          <w:tcPr>
            <w:tcW w:w="2721" w:type="dxa"/>
            <w:gridSpan w:val="3"/>
            <w:shd w:val="clear" w:color="auto" w:fill="auto"/>
            <w:vAlign w:val="center"/>
          </w:tcPr>
          <w:p w:rsidR="00F91C7C" w:rsidRPr="00B022EE" w:rsidRDefault="00102430" w:rsidP="00E1278A">
            <w:pPr>
              <w:jc w:val="center"/>
              <w:rPr>
                <w:rFonts w:ascii="宋体" w:eastAsia="宋体" w:hAnsi="宋体" w:cs="Arial"/>
                <w:b/>
                <w:bCs/>
                <w:color w:val="000000"/>
                <w:szCs w:val="18"/>
              </w:rPr>
            </w:pPr>
            <w:r>
              <w:rPr>
                <w:rFonts w:ascii="宋体" w:eastAsia="宋体" w:hAnsi="宋体" w:cs="Arial" w:hint="eastAsia"/>
                <w:b/>
                <w:bCs/>
                <w:color w:val="000000"/>
                <w:szCs w:val="18"/>
              </w:rPr>
              <w:t>最大回撤</w:t>
            </w:r>
          </w:p>
        </w:tc>
      </w:tr>
      <w:tr w:rsidR="00F91C7C" w:rsidRPr="00495842" w:rsidTr="00E1278A">
        <w:trPr>
          <w:trHeight w:val="227"/>
          <w:tblHeader/>
          <w:jc w:val="center"/>
        </w:trPr>
        <w:tc>
          <w:tcPr>
            <w:tcW w:w="3016" w:type="dxa"/>
            <w:vMerge/>
            <w:shd w:val="clear" w:color="auto" w:fill="auto"/>
            <w:vAlign w:val="center"/>
          </w:tcPr>
          <w:p w:rsidR="00F91C7C" w:rsidRPr="00B022EE" w:rsidRDefault="00F91C7C" w:rsidP="00E1278A">
            <w:pPr>
              <w:pStyle w:val="21"/>
              <w:spacing w:after="0" w:line="10" w:lineRule="atLeast"/>
              <w:ind w:left="0"/>
              <w:jc w:val="center"/>
              <w:rPr>
                <w:rFonts w:ascii="宋体" w:eastAsia="宋体" w:hAnsi="宋体"/>
                <w:sz w:val="18"/>
                <w:szCs w:val="18"/>
              </w:rPr>
            </w:pPr>
          </w:p>
        </w:tc>
        <w:tc>
          <w:tcPr>
            <w:tcW w:w="1474" w:type="dxa"/>
            <w:vMerge/>
            <w:shd w:val="clear" w:color="auto" w:fill="auto"/>
            <w:vAlign w:val="center"/>
          </w:tcPr>
          <w:p w:rsidR="00F91C7C" w:rsidRPr="00B022EE" w:rsidRDefault="00F91C7C" w:rsidP="00E1278A">
            <w:pPr>
              <w:pStyle w:val="21"/>
              <w:spacing w:after="0" w:line="10" w:lineRule="atLeast"/>
              <w:ind w:left="0"/>
              <w:jc w:val="center"/>
              <w:rPr>
                <w:rFonts w:ascii="宋体" w:eastAsia="宋体" w:hAnsi="宋体"/>
                <w:sz w:val="18"/>
                <w:szCs w:val="18"/>
              </w:rPr>
            </w:pPr>
          </w:p>
        </w:tc>
        <w:tc>
          <w:tcPr>
            <w:tcW w:w="1134" w:type="dxa"/>
            <w:vMerge/>
            <w:shd w:val="clear" w:color="auto" w:fill="auto"/>
            <w:vAlign w:val="center"/>
          </w:tcPr>
          <w:p w:rsidR="00F91C7C" w:rsidRPr="00B022EE" w:rsidRDefault="00F91C7C" w:rsidP="00E1278A">
            <w:pPr>
              <w:pStyle w:val="21"/>
              <w:spacing w:after="0" w:line="10" w:lineRule="atLeast"/>
              <w:ind w:left="0"/>
              <w:jc w:val="center"/>
              <w:rPr>
                <w:rFonts w:ascii="宋体" w:eastAsia="宋体" w:hAnsi="宋体"/>
                <w:sz w:val="18"/>
                <w:szCs w:val="18"/>
              </w:rPr>
            </w:pPr>
          </w:p>
        </w:tc>
        <w:tc>
          <w:tcPr>
            <w:tcW w:w="907"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bCs/>
                <w:color w:val="000000"/>
                <w:szCs w:val="18"/>
              </w:rPr>
              <w:t>近一月</w:t>
            </w:r>
          </w:p>
        </w:tc>
        <w:tc>
          <w:tcPr>
            <w:tcW w:w="907"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hint="eastAsia"/>
                <w:b/>
                <w:szCs w:val="18"/>
              </w:rPr>
              <w:t>近</w:t>
            </w:r>
            <w:r>
              <w:rPr>
                <w:rFonts w:ascii="宋体" w:eastAsia="宋体" w:hAnsi="宋体" w:cs="Arial" w:hint="eastAsia"/>
                <w:b/>
                <w:szCs w:val="18"/>
              </w:rPr>
              <w:t>一季度</w:t>
            </w:r>
          </w:p>
        </w:tc>
        <w:tc>
          <w:tcPr>
            <w:tcW w:w="907"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b/>
                <w:bCs/>
                <w:color w:val="000000"/>
                <w:szCs w:val="18"/>
              </w:rPr>
              <w:t>近一年</w:t>
            </w:r>
          </w:p>
        </w:tc>
        <w:tc>
          <w:tcPr>
            <w:tcW w:w="907"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近两年</w:t>
            </w:r>
          </w:p>
        </w:tc>
        <w:tc>
          <w:tcPr>
            <w:tcW w:w="907" w:type="dxa"/>
            <w:tcBorders>
              <w:bottom w:val="single" w:sz="4" w:space="0" w:color="00A0E9"/>
            </w:tcBorders>
            <w:shd w:val="clear" w:color="auto" w:fill="D9D9D9"/>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近三年</w:t>
            </w:r>
          </w:p>
        </w:tc>
        <w:tc>
          <w:tcPr>
            <w:tcW w:w="907" w:type="dxa"/>
            <w:shd w:val="clear" w:color="auto" w:fill="auto"/>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b/>
                <w:bCs/>
                <w:color w:val="000000"/>
                <w:szCs w:val="18"/>
              </w:rPr>
              <w:t>近一年</w:t>
            </w:r>
          </w:p>
        </w:tc>
        <w:tc>
          <w:tcPr>
            <w:tcW w:w="907"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近两年</w:t>
            </w:r>
          </w:p>
        </w:tc>
        <w:tc>
          <w:tcPr>
            <w:tcW w:w="907"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近三年</w:t>
            </w:r>
          </w:p>
        </w:tc>
        <w:tc>
          <w:tcPr>
            <w:tcW w:w="907" w:type="dxa"/>
            <w:shd w:val="clear" w:color="auto" w:fill="auto"/>
            <w:vAlign w:val="center"/>
          </w:tcPr>
          <w:p w:rsidR="00F91C7C" w:rsidRPr="00B022EE" w:rsidRDefault="00F91C7C" w:rsidP="00E1278A">
            <w:pPr>
              <w:jc w:val="center"/>
              <w:rPr>
                <w:rFonts w:ascii="宋体" w:eastAsia="宋体" w:hAnsi="宋体" w:cs="Arial"/>
                <w:b/>
                <w:szCs w:val="18"/>
              </w:rPr>
            </w:pPr>
            <w:r w:rsidRPr="00B022EE">
              <w:rPr>
                <w:rFonts w:ascii="宋体" w:eastAsia="宋体" w:hAnsi="宋体" w:cs="Arial"/>
                <w:b/>
                <w:bCs/>
                <w:color w:val="000000"/>
                <w:szCs w:val="18"/>
              </w:rPr>
              <w:t>近一年</w:t>
            </w:r>
          </w:p>
        </w:tc>
        <w:tc>
          <w:tcPr>
            <w:tcW w:w="907"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近两年</w:t>
            </w:r>
          </w:p>
        </w:tc>
        <w:tc>
          <w:tcPr>
            <w:tcW w:w="907" w:type="dxa"/>
            <w:shd w:val="clear" w:color="auto" w:fill="auto"/>
            <w:vAlign w:val="center"/>
          </w:tcPr>
          <w:p w:rsidR="00F91C7C" w:rsidRPr="00B022EE" w:rsidRDefault="00F91C7C" w:rsidP="00E1278A">
            <w:pPr>
              <w:jc w:val="center"/>
              <w:rPr>
                <w:rFonts w:ascii="宋体" w:eastAsia="宋体" w:hAnsi="宋体" w:cs="Arial"/>
                <w:b/>
                <w:bCs/>
                <w:color w:val="000000"/>
                <w:szCs w:val="18"/>
              </w:rPr>
            </w:pPr>
            <w:r w:rsidRPr="00B022EE">
              <w:rPr>
                <w:rFonts w:ascii="宋体" w:eastAsia="宋体" w:hAnsi="宋体" w:cs="Arial"/>
                <w:b/>
                <w:bCs/>
                <w:color w:val="000000"/>
                <w:szCs w:val="18"/>
              </w:rPr>
              <w:t>近三年</w:t>
            </w:r>
          </w:p>
        </w:tc>
      </w:tr>
      <w:tr w:rsidR="009123A3" w:rsidRPr="00495842" w:rsidTr="001B4630">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光大永明人寿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光明财富稳定收益</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4.00%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1B4630">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光大永明人寿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光明精选</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1B4630">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中国平安保险</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保证收益</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4.78%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9.86%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14.18%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1B4630">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中德安联人寿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省心安益型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4.11%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8.71%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12.12%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lastRenderedPageBreak/>
              <w:t>长生人寿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安心得益型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8.51%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11.93%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国泰人寿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货币型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4.10%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9.08%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12.58%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0.01%</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货币A型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4.19%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8.64%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中英人寿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避险型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3.55%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7.44%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10.25%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0.06%</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太平人寿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安益避险型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6.04%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11.60%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14.04%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0.42%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1.11%</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中德安联人寿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安益型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4.02%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8.61%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12.02%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泰康人寿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货币避险型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5.80%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13.02%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16.78%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1.01%</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友邦保险</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货币市场</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3.46%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7.54%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10.23%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瑞泰人寿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避险型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0.78%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8.34%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11.89%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0.24%</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中美联泰大都会</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货币型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0.69%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3.35%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6.98%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9.83%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信诚人寿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现金增利</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2.54%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7.76%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12.98%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15.72%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1.27%</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0.96%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0.48%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0.48%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0.48%</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恒安标准人寿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现金型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4.11%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9.01%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12.81%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7.65%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5.38%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4.42%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现金增值</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0.65%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3.60%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8.17%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11.80%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中国平安保险</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货币</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4.64%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10.54%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14.58%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0.46%</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中宏人寿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现金管理型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0.68%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5.85%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8.01%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货币B型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3.81%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8.45%</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11.89%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光大永明人寿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货币市场</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4.19%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9.37%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13.32%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0.62%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0.80%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0.54%</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海康人寿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安逸型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0.13%</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0.64%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6.64%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8.91%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招商信诺人寿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无忧型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0.44%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3.42%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7.64%</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11.00%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0.18%</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0.16%</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0.15%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0.00%</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海康人寿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安全型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-0.17%</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2.88%</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6.52%</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9.50%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0.42%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0.31%</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0.29%</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0.34%</w:t>
            </w:r>
          </w:p>
        </w:tc>
      </w:tr>
      <w:tr w:rsidR="009123A3" w:rsidRPr="00495842" w:rsidTr="009D158F">
        <w:trPr>
          <w:trHeight w:val="170"/>
          <w:jc w:val="center"/>
        </w:trPr>
        <w:tc>
          <w:tcPr>
            <w:tcW w:w="3016"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瑞泰人寿</w:t>
            </w:r>
          </w:p>
        </w:tc>
        <w:tc>
          <w:tcPr>
            <w:tcW w:w="147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安益型</w:t>
            </w:r>
          </w:p>
        </w:tc>
        <w:tc>
          <w:tcPr>
            <w:tcW w:w="1134"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2015/6/30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-2.81%</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1.70%</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7.69%</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12.26%</w:t>
            </w:r>
          </w:p>
        </w:tc>
        <w:tc>
          <w:tcPr>
            <w:tcW w:w="907" w:type="dxa"/>
            <w:tcBorders>
              <w:bottom w:val="single" w:sz="4" w:space="0" w:color="00A0E9"/>
            </w:tcBorders>
            <w:shd w:val="clear" w:color="auto" w:fill="D9D9D9"/>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15.23%</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3.25%</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2.32%</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1.94%</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3.20%</w:t>
            </w:r>
          </w:p>
        </w:tc>
        <w:tc>
          <w:tcPr>
            <w:tcW w:w="907" w:type="dxa"/>
            <w:tcBorders>
              <w:bottom w:val="single" w:sz="4" w:space="0" w:color="00A0E9"/>
            </w:tcBorders>
            <w:shd w:val="clear" w:color="auto" w:fill="auto"/>
            <w:vAlign w:val="bottom"/>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3.20%</w:t>
            </w:r>
          </w:p>
        </w:tc>
      </w:tr>
      <w:tr w:rsidR="009123A3" w:rsidRPr="00495842" w:rsidTr="009123A3">
        <w:trPr>
          <w:trHeight w:val="147"/>
          <w:jc w:val="center"/>
        </w:trPr>
        <w:tc>
          <w:tcPr>
            <w:tcW w:w="3016" w:type="dxa"/>
            <w:tcBorders>
              <w:bottom w:val="single" w:sz="4" w:space="0" w:color="00A0E9"/>
            </w:tcBorders>
            <w:shd w:val="clear" w:color="auto" w:fill="8DB3E2"/>
            <w:vAlign w:val="center"/>
          </w:tcPr>
          <w:p w:rsidR="009123A3" w:rsidRPr="001831AC" w:rsidRDefault="009123A3" w:rsidP="00E1278A">
            <w:pPr>
              <w:rPr>
                <w:rFonts w:ascii="宋体" w:eastAsia="宋体" w:hAnsi="宋体" w:cs="宋体"/>
                <w:color w:val="000000"/>
                <w:sz w:val="22"/>
              </w:rPr>
            </w:pPr>
          </w:p>
        </w:tc>
        <w:tc>
          <w:tcPr>
            <w:tcW w:w="1474" w:type="dxa"/>
            <w:tcBorders>
              <w:bottom w:val="single" w:sz="4" w:space="0" w:color="00A0E9"/>
            </w:tcBorders>
            <w:shd w:val="clear" w:color="auto" w:fill="8DB3E2"/>
            <w:vAlign w:val="center"/>
          </w:tcPr>
          <w:p w:rsidR="009123A3" w:rsidRPr="001831AC" w:rsidRDefault="009123A3" w:rsidP="00E1278A">
            <w:pPr>
              <w:rPr>
                <w:rFonts w:ascii="宋体" w:eastAsia="宋体" w:hAnsi="宋体" w:cs="宋体"/>
                <w:color w:val="000000"/>
                <w:sz w:val="22"/>
              </w:rPr>
            </w:pPr>
          </w:p>
        </w:tc>
        <w:tc>
          <w:tcPr>
            <w:tcW w:w="1134"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 w:val="22"/>
              </w:rPr>
            </w:pPr>
            <w:r w:rsidRPr="007F742D">
              <w:rPr>
                <w:rFonts w:ascii="宋体" w:eastAsia="宋体" w:hAnsi="宋体" w:hint="eastAsia"/>
                <w:b/>
                <w:color w:val="000000"/>
                <w:szCs w:val="18"/>
              </w:rPr>
              <w:t>平均</w:t>
            </w:r>
          </w:p>
        </w:tc>
        <w:tc>
          <w:tcPr>
            <w:tcW w:w="907"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9C0006"/>
                <w:szCs w:val="18"/>
              </w:rPr>
            </w:pPr>
            <w:r w:rsidRPr="009123A3">
              <w:rPr>
                <w:rFonts w:asciiTheme="minorEastAsia" w:eastAsiaTheme="minorEastAsia" w:hAnsiTheme="minorEastAsia" w:hint="eastAsia"/>
                <w:color w:val="9C0006"/>
                <w:szCs w:val="18"/>
              </w:rPr>
              <w:t>-0.03%</w:t>
            </w:r>
          </w:p>
        </w:tc>
        <w:tc>
          <w:tcPr>
            <w:tcW w:w="907"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1.07%</w:t>
            </w:r>
          </w:p>
        </w:tc>
        <w:tc>
          <w:tcPr>
            <w:tcW w:w="907"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4.66%</w:t>
            </w:r>
          </w:p>
        </w:tc>
        <w:tc>
          <w:tcPr>
            <w:tcW w:w="907"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9.33%</w:t>
            </w:r>
          </w:p>
        </w:tc>
        <w:tc>
          <w:tcPr>
            <w:tcW w:w="907" w:type="dxa"/>
            <w:tcBorders>
              <w:bottom w:val="single" w:sz="4" w:space="0" w:color="00A0E9"/>
            </w:tcBorders>
            <w:shd w:val="clear" w:color="auto" w:fill="8DB3E2"/>
            <w:vAlign w:val="center"/>
          </w:tcPr>
          <w:p w:rsidR="009123A3" w:rsidRPr="009123A3" w:rsidRDefault="009123A3" w:rsidP="009123A3">
            <w:pPr>
              <w:jc w:val="center"/>
              <w:rPr>
                <w:rFonts w:asciiTheme="minorEastAsia" w:eastAsiaTheme="minorEastAsia" w:hAnsiTheme="minorEastAsia" w:cs="宋体"/>
                <w:color w:val="000000"/>
                <w:szCs w:val="18"/>
              </w:rPr>
            </w:pPr>
            <w:r w:rsidRPr="009123A3">
              <w:rPr>
                <w:rFonts w:asciiTheme="minorEastAsia" w:eastAsiaTheme="minorEastAsia" w:hAnsiTheme="minorEastAsia" w:hint="eastAsia"/>
                <w:color w:val="000000"/>
                <w:szCs w:val="18"/>
              </w:rPr>
              <w:t>12.59%</w:t>
            </w:r>
          </w:p>
        </w:tc>
        <w:tc>
          <w:tcPr>
            <w:tcW w:w="907"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907"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907"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907"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907"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c>
          <w:tcPr>
            <w:tcW w:w="907" w:type="dxa"/>
            <w:tcBorders>
              <w:bottom w:val="single" w:sz="4" w:space="0" w:color="00A0E9"/>
            </w:tcBorders>
            <w:shd w:val="clear" w:color="auto" w:fill="8DB3E2"/>
            <w:vAlign w:val="center"/>
          </w:tcPr>
          <w:p w:rsidR="009123A3" w:rsidRPr="001831AC" w:rsidRDefault="009123A3" w:rsidP="00E1278A">
            <w:pPr>
              <w:jc w:val="center"/>
              <w:rPr>
                <w:rFonts w:ascii="宋体" w:eastAsia="宋体" w:hAnsi="宋体" w:cs="宋体"/>
                <w:color w:val="000000"/>
                <w:szCs w:val="18"/>
              </w:rPr>
            </w:pPr>
            <w:r w:rsidRPr="001831AC">
              <w:rPr>
                <w:rFonts w:ascii="宋体" w:eastAsia="宋体" w:hAnsi="宋体" w:hint="eastAsia"/>
                <w:color w:val="000000"/>
                <w:szCs w:val="18"/>
              </w:rPr>
              <w:t>-</w:t>
            </w:r>
          </w:p>
        </w:tc>
      </w:tr>
      <w:tr w:rsidR="00F91C7C" w:rsidTr="00E1278A">
        <w:trPr>
          <w:trHeight w:val="227"/>
          <w:jc w:val="center"/>
        </w:trPr>
        <w:tc>
          <w:tcPr>
            <w:tcW w:w="15601" w:type="dxa"/>
            <w:gridSpan w:val="14"/>
            <w:shd w:val="clear" w:color="auto" w:fill="auto"/>
          </w:tcPr>
          <w:p w:rsidR="00F91C7C" w:rsidRDefault="00F91C7C" w:rsidP="00E1278A">
            <w:pPr>
              <w:pStyle w:val="FootnoteNoline"/>
              <w:ind w:left="0"/>
            </w:pPr>
            <w:r>
              <w:rPr>
                <w:rFonts w:hint="eastAsia"/>
              </w:rPr>
              <w:t>来源：国金证券研究所</w:t>
            </w:r>
          </w:p>
        </w:tc>
      </w:tr>
    </w:tbl>
    <w:p w:rsidR="00F91C7C" w:rsidRDefault="00F91C7C" w:rsidP="00F91C7C">
      <w:pPr>
        <w:pStyle w:val="a0"/>
        <w:ind w:left="0"/>
      </w:pPr>
    </w:p>
    <w:p w:rsidR="00F91C7C" w:rsidRDefault="00F91C7C" w:rsidP="00F91C7C">
      <w:pPr>
        <w:pStyle w:val="a0"/>
        <w:ind w:left="0"/>
      </w:pPr>
      <w:r>
        <w:br w:type="page"/>
      </w:r>
    </w:p>
    <w:p w:rsidR="00F91C7C" w:rsidRDefault="00F91C7C" w:rsidP="00F91C7C">
      <w:pPr>
        <w:pStyle w:val="a0"/>
        <w:ind w:left="0"/>
        <w:sectPr w:rsidR="00F91C7C" w:rsidSect="00F91C7C">
          <w:type w:val="continuous"/>
          <w:pgSz w:w="16840" w:h="11907" w:orient="landscape" w:code="9"/>
          <w:pgMar w:top="624" w:right="1440" w:bottom="624" w:left="1440" w:header="851" w:footer="397" w:gutter="0"/>
          <w:cols w:space="720"/>
          <w:titlePg/>
        </w:sectPr>
      </w:pPr>
    </w:p>
    <w:p w:rsidR="00F91C7C" w:rsidRDefault="00F91C7C" w:rsidP="00F91C7C">
      <w:pPr>
        <w:pStyle w:val="14"/>
        <w:ind w:leftChars="1890"/>
        <w:rPr>
          <w:color w:val="auto"/>
        </w:rPr>
      </w:pPr>
      <w:r w:rsidRPr="00D01098">
        <w:rPr>
          <w:rFonts w:hint="eastAsia"/>
          <w:color w:val="auto"/>
        </w:rPr>
        <w:lastRenderedPageBreak/>
        <w:t>第</w:t>
      </w:r>
      <w:r>
        <w:rPr>
          <w:rFonts w:hint="eastAsia"/>
          <w:color w:val="auto"/>
        </w:rPr>
        <w:t>四</w:t>
      </w:r>
      <w:r w:rsidRPr="00D01098">
        <w:rPr>
          <w:rFonts w:hint="eastAsia"/>
          <w:color w:val="auto"/>
        </w:rPr>
        <w:t>部分：投连险产品及分类介绍</w:t>
      </w:r>
    </w:p>
    <w:p w:rsidR="00F91C7C" w:rsidRPr="008A4A51" w:rsidRDefault="00F91C7C" w:rsidP="00F91C7C">
      <w:pPr>
        <w:pStyle w:val="a0"/>
        <w:numPr>
          <w:ilvl w:val="4"/>
          <w:numId w:val="3"/>
        </w:numPr>
      </w:pPr>
      <w:r w:rsidRPr="008A4A51">
        <w:rPr>
          <w:rFonts w:hint="eastAsia"/>
        </w:rPr>
        <w:t>投资连结保险（以下简称投连险）是集保险和投资于一身的保险产品。每款投连产品除了具备一般保险功能外，还包含若干不同类型投资账户。投保人的部分保费作为购买寿险保障，其余保费作为投资资金按投保人的意愿分配在几个投资账户中。投资账户投资于证券市场、债券市场、货币市场工具、公开发行上市的封闭式证券投资基金、开放式证券投资基金、各类债券型、货币型基金等。</w:t>
      </w:r>
    </w:p>
    <w:p w:rsidR="00F91C7C" w:rsidRPr="008A4A51" w:rsidRDefault="00F91C7C" w:rsidP="00F91C7C">
      <w:pPr>
        <w:pStyle w:val="a0"/>
        <w:numPr>
          <w:ilvl w:val="4"/>
          <w:numId w:val="3"/>
        </w:numPr>
      </w:pPr>
      <w:r w:rsidRPr="008A4A51">
        <w:rPr>
          <w:rFonts w:hint="eastAsia"/>
        </w:rPr>
        <w:t>根据我们覆盖范围之内的资料显示，</w:t>
      </w:r>
      <w:r>
        <w:rPr>
          <w:rFonts w:hint="eastAsia"/>
        </w:rPr>
        <w:t>截至目前，市场</w:t>
      </w:r>
      <w:r w:rsidRPr="008A4A51">
        <w:rPr>
          <w:rFonts w:hint="eastAsia"/>
        </w:rPr>
        <w:t>推出投连险产品的保险公司</w:t>
      </w:r>
      <w:r>
        <w:rPr>
          <w:rFonts w:hint="eastAsia"/>
        </w:rPr>
        <w:t>共</w:t>
      </w:r>
      <w:r>
        <w:rPr>
          <w:rFonts w:hint="eastAsia"/>
        </w:rPr>
        <w:t>32</w:t>
      </w:r>
      <w:r w:rsidRPr="008A4A51">
        <w:rPr>
          <w:rFonts w:hint="eastAsia"/>
        </w:rPr>
        <w:t>家，各类投连账户</w:t>
      </w:r>
      <w:r>
        <w:rPr>
          <w:rFonts w:hint="eastAsia"/>
        </w:rPr>
        <w:t>共</w:t>
      </w:r>
      <w:r w:rsidRPr="008A4A51">
        <w:rPr>
          <w:rFonts w:hint="eastAsia"/>
        </w:rPr>
        <w:t>1</w:t>
      </w:r>
      <w:r>
        <w:rPr>
          <w:rFonts w:hint="eastAsia"/>
        </w:rPr>
        <w:t>9</w:t>
      </w:r>
      <w:r w:rsidR="00CB3C18">
        <w:rPr>
          <w:rFonts w:hint="eastAsia"/>
        </w:rPr>
        <w:t>5</w:t>
      </w:r>
      <w:r w:rsidRPr="008A4A51">
        <w:rPr>
          <w:rFonts w:hint="eastAsia"/>
        </w:rPr>
        <w:t>个</w:t>
      </w:r>
      <w:r>
        <w:rPr>
          <w:rFonts w:hint="eastAsia"/>
        </w:rPr>
        <w:t>，纳入国金统计的投连账户共</w:t>
      </w:r>
      <w:r>
        <w:rPr>
          <w:rFonts w:hint="eastAsia"/>
        </w:rPr>
        <w:t>19</w:t>
      </w:r>
      <w:r w:rsidR="00CB3C18">
        <w:rPr>
          <w:rFonts w:hint="eastAsia"/>
        </w:rPr>
        <w:t>4</w:t>
      </w:r>
      <w:r>
        <w:rPr>
          <w:rFonts w:hint="eastAsia"/>
        </w:rPr>
        <w:t>个</w:t>
      </w:r>
      <w:r w:rsidRPr="008A4A51">
        <w:rPr>
          <w:rFonts w:hint="eastAsia"/>
        </w:rPr>
        <w:t>。</w:t>
      </w:r>
    </w:p>
    <w:p w:rsidR="00F91C7C" w:rsidRDefault="00F91C7C" w:rsidP="00F91C7C">
      <w:pPr>
        <w:pStyle w:val="a0"/>
        <w:numPr>
          <w:ilvl w:val="4"/>
          <w:numId w:val="3"/>
        </w:numPr>
      </w:pPr>
      <w:r w:rsidRPr="008A4A51">
        <w:rPr>
          <w:rFonts w:hint="eastAsia"/>
        </w:rPr>
        <w:t>为了更加客观量化地比较，我们将不同的投连险账户分类并在同类别内比较。由于投连险账户资产投资范围比较广，除了股票、债券、现金类之外还有各种类型的基金。为了更为准确地分类，我们根据投连险产品说明书、投资报告，首先将投连险账户所投资的证券类资产按比例折算为权益类、固定收益类、现金类等三类基础资产（详见</w:t>
      </w:r>
      <w:r>
        <w:rPr>
          <w:rFonts w:hint="eastAsia"/>
        </w:rPr>
        <w:t>下表</w:t>
      </w:r>
      <w:r w:rsidRPr="008A4A51">
        <w:rPr>
          <w:rFonts w:hint="eastAsia"/>
        </w:rPr>
        <w:t>），然后依据这三类资产上的配置比例对投连账户进行分类。</w:t>
      </w:r>
    </w:p>
    <w:tbl>
      <w:tblPr>
        <w:tblW w:w="7371" w:type="dxa"/>
        <w:tblInd w:w="3402" w:type="dxa"/>
        <w:tblBorders>
          <w:top w:val="single" w:sz="4" w:space="0" w:color="00A0E9"/>
          <w:insideH w:val="single" w:sz="4" w:space="0" w:color="00A0E9"/>
          <w:insideV w:val="single" w:sz="4" w:space="0" w:color="00A0E9"/>
        </w:tblBorders>
        <w:tblLayout w:type="fixed"/>
        <w:tblCellMar>
          <w:left w:w="0" w:type="dxa"/>
          <w:right w:w="0" w:type="dxa"/>
        </w:tblCellMar>
        <w:tblLook w:val="0000" w:firstRow="0" w:lastRow="0" w:firstColumn="0" w:lastColumn="0" w:noHBand="0" w:noVBand="0"/>
      </w:tblPr>
      <w:tblGrid>
        <w:gridCol w:w="3969"/>
        <w:gridCol w:w="1134"/>
        <w:gridCol w:w="1134"/>
        <w:gridCol w:w="1134"/>
      </w:tblGrid>
      <w:tr w:rsidR="00F91C7C" w:rsidTr="00E1278A">
        <w:trPr>
          <w:cantSplit/>
          <w:trHeight w:val="200"/>
        </w:trPr>
        <w:tc>
          <w:tcPr>
            <w:tcW w:w="7370" w:type="dxa"/>
            <w:gridSpan w:val="4"/>
            <w:shd w:val="clear" w:color="auto" w:fill="auto"/>
          </w:tcPr>
          <w:p w:rsidR="00F91C7C" w:rsidRDefault="00F91C7C" w:rsidP="00E1278A">
            <w:pPr>
              <w:pStyle w:val="SubTitleLargeTable"/>
            </w:pPr>
            <w:bookmarkStart w:id="5" w:name="各类型基金资产折算表"/>
            <w:r>
              <w:rPr>
                <w:rFonts w:hint="eastAsia"/>
              </w:rPr>
              <w:t>图表</w:t>
            </w:r>
            <w:bookmarkEnd w:id="5"/>
            <w:r>
              <w:rPr>
                <w:rFonts w:hint="eastAsia"/>
              </w:rPr>
              <w:t>1</w:t>
            </w:r>
            <w:r>
              <w:rPr>
                <w:rFonts w:hint="eastAsia"/>
              </w:rPr>
              <w:t>：</w:t>
            </w:r>
            <w:r w:rsidRPr="00D01098">
              <w:rPr>
                <w:rFonts w:hint="eastAsia"/>
              </w:rPr>
              <w:t>各类型基金资产折算表</w:t>
            </w:r>
          </w:p>
        </w:tc>
      </w:tr>
      <w:tr w:rsidR="00F91C7C" w:rsidTr="00E1278A">
        <w:trPr>
          <w:cantSplit/>
          <w:trHeight w:val="316"/>
        </w:trPr>
        <w:tc>
          <w:tcPr>
            <w:tcW w:w="3969" w:type="dxa"/>
            <w:shd w:val="clear" w:color="auto" w:fill="D9D9D9"/>
            <w:vAlign w:val="center"/>
          </w:tcPr>
          <w:p w:rsidR="00F91C7C" w:rsidRPr="00B022EE" w:rsidRDefault="00F91C7C" w:rsidP="00E1278A">
            <w:pPr>
              <w:jc w:val="center"/>
              <w:rPr>
                <w:rFonts w:ascii="宋体" w:eastAsia="宋体" w:hAnsi="宋体" w:cs="Arial"/>
                <w:b/>
              </w:rPr>
            </w:pPr>
            <w:r w:rsidRPr="00B022EE">
              <w:rPr>
                <w:rFonts w:ascii="宋体" w:eastAsia="宋体" w:hAnsi="宋体" w:cs="Arial"/>
                <w:b/>
              </w:rPr>
              <w:t>类别（各投连险账户所描述的投资对象）</w:t>
            </w:r>
          </w:p>
        </w:tc>
        <w:tc>
          <w:tcPr>
            <w:tcW w:w="1134" w:type="dxa"/>
            <w:shd w:val="clear" w:color="auto" w:fill="D9D9D9"/>
            <w:vAlign w:val="center"/>
          </w:tcPr>
          <w:p w:rsidR="00F91C7C" w:rsidRPr="00B022EE" w:rsidRDefault="00F91C7C" w:rsidP="00E1278A">
            <w:pPr>
              <w:jc w:val="center"/>
              <w:rPr>
                <w:rFonts w:ascii="宋体" w:eastAsia="宋体" w:hAnsi="宋体" w:cs="Arial"/>
                <w:b/>
              </w:rPr>
            </w:pPr>
            <w:r w:rsidRPr="00B022EE">
              <w:rPr>
                <w:rFonts w:ascii="宋体" w:eastAsia="宋体" w:hAnsi="宋体" w:cs="Arial"/>
                <w:b/>
              </w:rPr>
              <w:t>权益类</w:t>
            </w:r>
          </w:p>
        </w:tc>
        <w:tc>
          <w:tcPr>
            <w:tcW w:w="1134" w:type="dxa"/>
            <w:shd w:val="clear" w:color="auto" w:fill="D9D9D9"/>
            <w:vAlign w:val="center"/>
          </w:tcPr>
          <w:p w:rsidR="00F91C7C" w:rsidRPr="00B022EE" w:rsidRDefault="00F91C7C" w:rsidP="00E1278A">
            <w:pPr>
              <w:jc w:val="center"/>
              <w:rPr>
                <w:rFonts w:ascii="宋体" w:eastAsia="宋体" w:hAnsi="宋体" w:cs="Arial"/>
                <w:b/>
              </w:rPr>
            </w:pPr>
            <w:r w:rsidRPr="00B022EE">
              <w:rPr>
                <w:rFonts w:ascii="宋体" w:eastAsia="宋体" w:hAnsi="宋体" w:cs="Arial"/>
                <w:b/>
              </w:rPr>
              <w:t>固定收益类</w:t>
            </w:r>
          </w:p>
        </w:tc>
        <w:tc>
          <w:tcPr>
            <w:tcW w:w="1134" w:type="dxa"/>
            <w:shd w:val="clear" w:color="auto" w:fill="D9D9D9"/>
            <w:vAlign w:val="center"/>
          </w:tcPr>
          <w:p w:rsidR="00F91C7C" w:rsidRPr="00B022EE" w:rsidRDefault="00F91C7C" w:rsidP="00E1278A">
            <w:pPr>
              <w:jc w:val="center"/>
              <w:rPr>
                <w:rFonts w:ascii="宋体" w:eastAsia="宋体" w:hAnsi="宋体" w:cs="Arial"/>
                <w:b/>
              </w:rPr>
            </w:pPr>
            <w:r w:rsidRPr="00B022EE">
              <w:rPr>
                <w:rFonts w:ascii="宋体" w:eastAsia="宋体" w:hAnsi="宋体" w:cs="Arial"/>
                <w:b/>
              </w:rPr>
              <w:t>现金类</w:t>
            </w:r>
          </w:p>
        </w:tc>
      </w:tr>
      <w:tr w:rsidR="00F91C7C" w:rsidTr="00E1278A">
        <w:trPr>
          <w:cantSplit/>
          <w:trHeight w:val="312"/>
        </w:trPr>
        <w:tc>
          <w:tcPr>
            <w:tcW w:w="3969" w:type="dxa"/>
            <w:shd w:val="clear" w:color="auto" w:fill="auto"/>
            <w:vAlign w:val="center"/>
          </w:tcPr>
          <w:p w:rsidR="00F91C7C" w:rsidRPr="00B022EE" w:rsidRDefault="00F91C7C" w:rsidP="00E1278A">
            <w:pPr>
              <w:jc w:val="center"/>
              <w:rPr>
                <w:rFonts w:ascii="宋体" w:eastAsia="宋体" w:hAnsi="宋体" w:cs="Arial"/>
                <w:szCs w:val="18"/>
              </w:rPr>
            </w:pPr>
            <w:r w:rsidRPr="00B022EE">
              <w:rPr>
                <w:rFonts w:ascii="宋体" w:eastAsia="宋体" w:hAnsi="宋体" w:cs="Arial" w:hint="eastAsia"/>
                <w:szCs w:val="18"/>
              </w:rPr>
              <w:t>开放式股票型基金/封闭式基金/股票类基金</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100%</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w:t>
            </w:r>
          </w:p>
        </w:tc>
      </w:tr>
      <w:tr w:rsidR="00F91C7C" w:rsidTr="00E1278A">
        <w:trPr>
          <w:cantSplit/>
          <w:trHeight w:val="312"/>
        </w:trPr>
        <w:tc>
          <w:tcPr>
            <w:tcW w:w="3969" w:type="dxa"/>
            <w:shd w:val="clear" w:color="auto" w:fill="auto"/>
            <w:vAlign w:val="center"/>
          </w:tcPr>
          <w:p w:rsidR="00F91C7C" w:rsidRPr="00B022EE" w:rsidRDefault="00F91C7C" w:rsidP="00E1278A">
            <w:pPr>
              <w:jc w:val="center"/>
              <w:rPr>
                <w:rFonts w:ascii="宋体" w:eastAsia="宋体" w:hAnsi="宋体" w:cs="Arial"/>
                <w:szCs w:val="18"/>
              </w:rPr>
            </w:pPr>
            <w:r w:rsidRPr="00B022EE">
              <w:rPr>
                <w:rFonts w:ascii="宋体" w:eastAsia="宋体" w:hAnsi="宋体" w:cs="Arial" w:hint="eastAsia"/>
                <w:szCs w:val="18"/>
              </w:rPr>
              <w:t>股票主导型/偏股票型基金</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80%</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20%</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w:t>
            </w:r>
          </w:p>
        </w:tc>
      </w:tr>
      <w:tr w:rsidR="00F91C7C" w:rsidTr="00E1278A">
        <w:trPr>
          <w:cantSplit/>
          <w:trHeight w:val="312"/>
        </w:trPr>
        <w:tc>
          <w:tcPr>
            <w:tcW w:w="3969" w:type="dxa"/>
            <w:shd w:val="clear" w:color="auto" w:fill="auto"/>
            <w:vAlign w:val="center"/>
          </w:tcPr>
          <w:p w:rsidR="00F91C7C" w:rsidRPr="00B022EE" w:rsidRDefault="00F91C7C" w:rsidP="00E1278A">
            <w:pPr>
              <w:jc w:val="center"/>
              <w:rPr>
                <w:rFonts w:ascii="宋体" w:eastAsia="宋体" w:hAnsi="宋体" w:cs="Arial"/>
                <w:szCs w:val="18"/>
              </w:rPr>
            </w:pPr>
            <w:r w:rsidRPr="00B022EE">
              <w:rPr>
                <w:rFonts w:ascii="宋体" w:eastAsia="宋体" w:hAnsi="宋体" w:cs="Arial" w:hint="eastAsia"/>
                <w:szCs w:val="18"/>
              </w:rPr>
              <w:t>混合型基金/平衡型基金/配置型基金</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60%</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40%</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w:t>
            </w:r>
          </w:p>
        </w:tc>
      </w:tr>
      <w:tr w:rsidR="00F91C7C" w:rsidTr="00E1278A">
        <w:trPr>
          <w:cantSplit/>
          <w:trHeight w:val="312"/>
        </w:trPr>
        <w:tc>
          <w:tcPr>
            <w:tcW w:w="3969" w:type="dxa"/>
            <w:shd w:val="clear" w:color="auto" w:fill="auto"/>
            <w:vAlign w:val="center"/>
          </w:tcPr>
          <w:p w:rsidR="00F91C7C" w:rsidRPr="00B022EE" w:rsidRDefault="00F91C7C" w:rsidP="00E1278A">
            <w:pPr>
              <w:jc w:val="center"/>
              <w:rPr>
                <w:rFonts w:ascii="宋体" w:eastAsia="宋体" w:hAnsi="宋体" w:cs="Arial"/>
                <w:szCs w:val="18"/>
              </w:rPr>
            </w:pPr>
            <w:r w:rsidRPr="00B022EE">
              <w:rPr>
                <w:rFonts w:ascii="宋体" w:eastAsia="宋体" w:hAnsi="宋体" w:cs="Arial" w:hint="eastAsia"/>
                <w:szCs w:val="18"/>
              </w:rPr>
              <w:t>证券投资基金</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50%</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50%</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w:t>
            </w:r>
          </w:p>
        </w:tc>
      </w:tr>
      <w:tr w:rsidR="00F91C7C" w:rsidTr="00E1278A">
        <w:trPr>
          <w:cantSplit/>
          <w:trHeight w:val="312"/>
        </w:trPr>
        <w:tc>
          <w:tcPr>
            <w:tcW w:w="3969" w:type="dxa"/>
            <w:shd w:val="clear" w:color="auto" w:fill="auto"/>
            <w:vAlign w:val="center"/>
          </w:tcPr>
          <w:p w:rsidR="00F91C7C" w:rsidRPr="00B022EE" w:rsidRDefault="00F91C7C" w:rsidP="00E1278A">
            <w:pPr>
              <w:jc w:val="center"/>
              <w:rPr>
                <w:rFonts w:ascii="宋体" w:eastAsia="宋体" w:hAnsi="宋体" w:cs="Arial"/>
                <w:szCs w:val="18"/>
              </w:rPr>
            </w:pPr>
            <w:r w:rsidRPr="00B022EE">
              <w:rPr>
                <w:rFonts w:ascii="宋体" w:eastAsia="宋体" w:hAnsi="宋体" w:cs="Arial" w:hint="eastAsia"/>
                <w:szCs w:val="18"/>
              </w:rPr>
              <w:t>债券型基金/债券主导型</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100%</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w:t>
            </w:r>
          </w:p>
        </w:tc>
      </w:tr>
      <w:tr w:rsidR="00F91C7C" w:rsidTr="00E1278A">
        <w:trPr>
          <w:cantSplit/>
          <w:trHeight w:val="312"/>
        </w:trPr>
        <w:tc>
          <w:tcPr>
            <w:tcW w:w="3969" w:type="dxa"/>
            <w:shd w:val="clear" w:color="auto" w:fill="auto"/>
            <w:vAlign w:val="center"/>
          </w:tcPr>
          <w:p w:rsidR="00F91C7C" w:rsidRPr="00B022EE" w:rsidRDefault="00F91C7C" w:rsidP="00E1278A">
            <w:pPr>
              <w:jc w:val="center"/>
              <w:rPr>
                <w:rFonts w:ascii="宋体" w:eastAsia="宋体" w:hAnsi="宋体" w:cs="Arial"/>
                <w:szCs w:val="18"/>
              </w:rPr>
            </w:pPr>
            <w:r w:rsidRPr="00B022EE">
              <w:rPr>
                <w:rFonts w:ascii="宋体" w:eastAsia="宋体" w:hAnsi="宋体" w:cs="Arial" w:hint="eastAsia"/>
                <w:szCs w:val="18"/>
              </w:rPr>
              <w:t>货币市场基金</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w:t>
            </w:r>
          </w:p>
        </w:tc>
        <w:tc>
          <w:tcPr>
            <w:tcW w:w="1134" w:type="dxa"/>
            <w:shd w:val="clear" w:color="auto" w:fill="auto"/>
            <w:vAlign w:val="center"/>
          </w:tcPr>
          <w:p w:rsidR="00F91C7C" w:rsidRPr="005E19BF" w:rsidRDefault="00F91C7C" w:rsidP="00E1278A">
            <w:pPr>
              <w:jc w:val="center"/>
              <w:rPr>
                <w:rFonts w:ascii="宋体" w:eastAsia="宋体" w:hAnsi="宋体" w:cs="Arial"/>
                <w:szCs w:val="18"/>
              </w:rPr>
            </w:pPr>
            <w:r w:rsidRPr="005E19BF">
              <w:rPr>
                <w:rFonts w:ascii="宋体" w:eastAsia="宋体" w:hAnsi="宋体" w:cs="Arial"/>
                <w:szCs w:val="18"/>
              </w:rPr>
              <w:t>100%</w:t>
            </w:r>
          </w:p>
        </w:tc>
      </w:tr>
      <w:tr w:rsidR="00F91C7C" w:rsidTr="00E1278A">
        <w:trPr>
          <w:cantSplit/>
          <w:trHeight w:val="200"/>
        </w:trPr>
        <w:tc>
          <w:tcPr>
            <w:tcW w:w="7370" w:type="dxa"/>
            <w:gridSpan w:val="4"/>
            <w:shd w:val="clear" w:color="auto" w:fill="auto"/>
          </w:tcPr>
          <w:p w:rsidR="00F91C7C" w:rsidRDefault="00F91C7C" w:rsidP="00E1278A">
            <w:pPr>
              <w:pStyle w:val="FootnoteNoline"/>
              <w:ind w:left="0"/>
            </w:pPr>
            <w:r>
              <w:rPr>
                <w:rFonts w:hint="eastAsia"/>
              </w:rPr>
              <w:t>来源：国金证券研究所</w:t>
            </w:r>
          </w:p>
        </w:tc>
      </w:tr>
    </w:tbl>
    <w:p w:rsidR="00F91C7C" w:rsidRDefault="00F91C7C" w:rsidP="00F91C7C">
      <w:pPr>
        <w:pStyle w:val="a0"/>
        <w:numPr>
          <w:ilvl w:val="4"/>
          <w:numId w:val="3"/>
        </w:numPr>
        <w:rPr>
          <w:color w:val="auto"/>
        </w:rPr>
      </w:pPr>
      <w:r w:rsidRPr="00A663AD">
        <w:rPr>
          <w:rFonts w:hint="eastAsia"/>
          <w:color w:val="auto"/>
        </w:rPr>
        <w:t>按照折算之后的资产配置比例，将投连险账户划分为</w:t>
      </w:r>
      <w:r>
        <w:rPr>
          <w:rFonts w:hint="eastAsia"/>
          <w:color w:val="auto"/>
        </w:rPr>
        <w:t>七</w:t>
      </w:r>
      <w:r w:rsidRPr="00C339DB">
        <w:rPr>
          <w:rFonts w:hint="eastAsia"/>
          <w:color w:val="auto"/>
        </w:rPr>
        <w:t>种类型</w:t>
      </w:r>
      <w:r>
        <w:rPr>
          <w:rFonts w:hint="eastAsia"/>
          <w:color w:val="auto"/>
        </w:rPr>
        <w:t>，</w:t>
      </w:r>
      <w:r w:rsidRPr="00C339DB">
        <w:rPr>
          <w:rFonts w:hint="eastAsia"/>
          <w:color w:val="auto"/>
        </w:rPr>
        <w:t>各个类型划分及标准见</w:t>
      </w:r>
      <w:r>
        <w:rPr>
          <w:rFonts w:hint="eastAsia"/>
          <w:color w:val="auto"/>
        </w:rPr>
        <w:t>下表。</w:t>
      </w:r>
    </w:p>
    <w:tbl>
      <w:tblPr>
        <w:tblW w:w="7371" w:type="dxa"/>
        <w:tblInd w:w="3402" w:type="dxa"/>
        <w:tblBorders>
          <w:top w:val="single" w:sz="4" w:space="0" w:color="00A0E9"/>
          <w:insideH w:val="single" w:sz="4" w:space="0" w:color="00A0E9"/>
          <w:insideV w:val="single" w:sz="4" w:space="0" w:color="00A0E9"/>
        </w:tblBorders>
        <w:tblLayout w:type="fixed"/>
        <w:tblCellMar>
          <w:left w:w="0" w:type="dxa"/>
          <w:right w:w="0" w:type="dxa"/>
        </w:tblCellMar>
        <w:tblLook w:val="0000" w:firstRow="0" w:lastRow="0" w:firstColumn="0" w:lastColumn="0" w:noHBand="0" w:noVBand="0"/>
      </w:tblPr>
      <w:tblGrid>
        <w:gridCol w:w="1843"/>
        <w:gridCol w:w="2976"/>
        <w:gridCol w:w="1276"/>
        <w:gridCol w:w="1276"/>
      </w:tblGrid>
      <w:tr w:rsidR="00F91C7C" w:rsidTr="00E1278A">
        <w:trPr>
          <w:cantSplit/>
          <w:trHeight w:val="200"/>
        </w:trPr>
        <w:tc>
          <w:tcPr>
            <w:tcW w:w="7371" w:type="dxa"/>
            <w:gridSpan w:val="4"/>
            <w:shd w:val="clear" w:color="auto" w:fill="auto"/>
          </w:tcPr>
          <w:p w:rsidR="00F91C7C" w:rsidRDefault="00F91C7C" w:rsidP="00E1278A">
            <w:pPr>
              <w:pStyle w:val="SubTitleLargeTable"/>
            </w:pPr>
            <w:bookmarkStart w:id="6" w:name="投连险账户类型划分及标准"/>
            <w:r>
              <w:rPr>
                <w:rFonts w:hint="eastAsia"/>
              </w:rPr>
              <w:t>图表</w:t>
            </w:r>
            <w:bookmarkEnd w:id="6"/>
            <w:r>
              <w:rPr>
                <w:rFonts w:hint="eastAsia"/>
              </w:rPr>
              <w:t>2</w:t>
            </w:r>
            <w:r>
              <w:rPr>
                <w:rFonts w:hint="eastAsia"/>
              </w:rPr>
              <w:t>：</w:t>
            </w:r>
            <w:r w:rsidRPr="00D01098">
              <w:rPr>
                <w:rFonts w:hint="eastAsia"/>
              </w:rPr>
              <w:t>投连险账户类型划分及标准</w:t>
            </w:r>
          </w:p>
        </w:tc>
      </w:tr>
      <w:tr w:rsidR="00F91C7C" w:rsidTr="00E1278A">
        <w:trPr>
          <w:cantSplit/>
          <w:trHeight w:val="283"/>
        </w:trPr>
        <w:tc>
          <w:tcPr>
            <w:tcW w:w="1843" w:type="dxa"/>
            <w:shd w:val="clear" w:color="auto" w:fill="D9D9D9"/>
            <w:vAlign w:val="center"/>
          </w:tcPr>
          <w:p w:rsidR="00F91C7C" w:rsidRPr="00B022EE" w:rsidRDefault="00F91C7C" w:rsidP="00E1278A">
            <w:pPr>
              <w:spacing w:line="10" w:lineRule="atLeast"/>
              <w:jc w:val="center"/>
              <w:rPr>
                <w:rFonts w:ascii="宋体" w:eastAsia="宋体" w:hAnsi="宋体" w:cs="Arial"/>
                <w:b/>
                <w:bCs/>
                <w:szCs w:val="18"/>
              </w:rPr>
            </w:pPr>
            <w:r w:rsidRPr="00B022EE">
              <w:rPr>
                <w:rFonts w:ascii="宋体" w:eastAsia="宋体" w:hAnsi="宋体" w:cs="Arial"/>
                <w:b/>
                <w:bCs/>
                <w:szCs w:val="18"/>
              </w:rPr>
              <w:t>分类标准</w:t>
            </w:r>
          </w:p>
        </w:tc>
        <w:tc>
          <w:tcPr>
            <w:tcW w:w="2976" w:type="dxa"/>
            <w:shd w:val="clear" w:color="auto" w:fill="D9D9D9"/>
            <w:vAlign w:val="center"/>
          </w:tcPr>
          <w:p w:rsidR="00F91C7C" w:rsidRPr="00B022EE" w:rsidRDefault="00F91C7C" w:rsidP="00E1278A">
            <w:pPr>
              <w:spacing w:line="10" w:lineRule="atLeast"/>
              <w:jc w:val="center"/>
              <w:rPr>
                <w:rFonts w:ascii="宋体" w:eastAsia="宋体" w:hAnsi="宋体" w:cs="Arial"/>
                <w:b/>
                <w:bCs/>
                <w:szCs w:val="18"/>
              </w:rPr>
            </w:pPr>
            <w:r w:rsidRPr="00B022EE">
              <w:rPr>
                <w:rFonts w:ascii="宋体" w:eastAsia="宋体" w:hAnsi="宋体" w:cs="Arial"/>
                <w:b/>
                <w:bCs/>
                <w:szCs w:val="18"/>
              </w:rPr>
              <w:t>权益类</w:t>
            </w:r>
          </w:p>
        </w:tc>
        <w:tc>
          <w:tcPr>
            <w:tcW w:w="1276" w:type="dxa"/>
            <w:shd w:val="clear" w:color="auto" w:fill="D9D9D9"/>
            <w:vAlign w:val="center"/>
          </w:tcPr>
          <w:p w:rsidR="00F91C7C" w:rsidRPr="00B022EE" w:rsidRDefault="00F91C7C" w:rsidP="00E1278A">
            <w:pPr>
              <w:spacing w:line="10" w:lineRule="atLeast"/>
              <w:jc w:val="center"/>
              <w:rPr>
                <w:rFonts w:ascii="宋体" w:eastAsia="宋体" w:hAnsi="宋体" w:cs="Arial"/>
                <w:b/>
                <w:bCs/>
                <w:szCs w:val="18"/>
              </w:rPr>
            </w:pPr>
            <w:r w:rsidRPr="00B022EE">
              <w:rPr>
                <w:rFonts w:ascii="宋体" w:eastAsia="宋体" w:hAnsi="宋体" w:cs="Arial"/>
                <w:b/>
                <w:bCs/>
                <w:szCs w:val="18"/>
              </w:rPr>
              <w:t>固定收益类</w:t>
            </w:r>
          </w:p>
        </w:tc>
        <w:tc>
          <w:tcPr>
            <w:tcW w:w="1276" w:type="dxa"/>
            <w:shd w:val="clear" w:color="auto" w:fill="D9D9D9"/>
            <w:vAlign w:val="center"/>
          </w:tcPr>
          <w:p w:rsidR="00F91C7C" w:rsidRPr="00B022EE" w:rsidRDefault="00F91C7C" w:rsidP="00E1278A">
            <w:pPr>
              <w:spacing w:line="10" w:lineRule="atLeast"/>
              <w:jc w:val="center"/>
              <w:rPr>
                <w:rFonts w:ascii="宋体" w:eastAsia="宋体" w:hAnsi="宋体" w:cs="Arial"/>
                <w:b/>
                <w:bCs/>
                <w:szCs w:val="18"/>
              </w:rPr>
            </w:pPr>
            <w:r w:rsidRPr="00B022EE">
              <w:rPr>
                <w:rFonts w:ascii="宋体" w:eastAsia="宋体" w:hAnsi="宋体" w:cs="Arial"/>
                <w:b/>
                <w:bCs/>
                <w:szCs w:val="18"/>
              </w:rPr>
              <w:t>现金类</w:t>
            </w:r>
          </w:p>
        </w:tc>
      </w:tr>
      <w:tr w:rsidR="00F91C7C" w:rsidTr="00E1278A">
        <w:trPr>
          <w:cantSplit/>
          <w:trHeight w:val="283"/>
        </w:trPr>
        <w:tc>
          <w:tcPr>
            <w:tcW w:w="1843" w:type="dxa"/>
            <w:shd w:val="clear" w:color="auto" w:fill="auto"/>
            <w:vAlign w:val="center"/>
          </w:tcPr>
          <w:p w:rsidR="00F91C7C" w:rsidRPr="00B022EE" w:rsidRDefault="00F91C7C" w:rsidP="00E1278A">
            <w:pPr>
              <w:spacing w:line="10" w:lineRule="atLeast"/>
              <w:jc w:val="center"/>
              <w:rPr>
                <w:rFonts w:ascii="宋体" w:eastAsia="宋体" w:hAnsi="宋体" w:cs="Arial"/>
                <w:sz w:val="20"/>
                <w:szCs w:val="18"/>
              </w:rPr>
            </w:pPr>
            <w:r w:rsidRPr="00B022EE">
              <w:rPr>
                <w:rFonts w:ascii="宋体" w:eastAsia="宋体" w:hAnsi="宋体" w:cs="Arial"/>
                <w:sz w:val="20"/>
                <w:szCs w:val="18"/>
              </w:rPr>
              <w:t>股票型</w:t>
            </w:r>
          </w:p>
        </w:tc>
        <w:tc>
          <w:tcPr>
            <w:tcW w:w="2976" w:type="dxa"/>
            <w:shd w:val="clear" w:color="auto" w:fill="auto"/>
            <w:vAlign w:val="center"/>
          </w:tcPr>
          <w:p w:rsidR="00F91C7C" w:rsidRPr="00B022EE" w:rsidRDefault="00F91C7C" w:rsidP="00E1278A">
            <w:pPr>
              <w:spacing w:line="10" w:lineRule="atLeast"/>
              <w:jc w:val="center"/>
              <w:rPr>
                <w:rFonts w:ascii="宋体" w:eastAsia="宋体" w:hAnsi="宋体" w:cs="Arial"/>
                <w:sz w:val="20"/>
                <w:szCs w:val="18"/>
              </w:rPr>
            </w:pPr>
            <w:r w:rsidRPr="00B022EE">
              <w:rPr>
                <w:rFonts w:ascii="宋体" w:eastAsia="宋体" w:hAnsi="宋体" w:cs="Arial"/>
                <w:sz w:val="20"/>
                <w:szCs w:val="18"/>
              </w:rPr>
              <w:t>配置均值&gt;=60%</w:t>
            </w:r>
          </w:p>
        </w:tc>
        <w:tc>
          <w:tcPr>
            <w:tcW w:w="1276" w:type="dxa"/>
            <w:shd w:val="clear" w:color="auto" w:fill="auto"/>
            <w:vAlign w:val="center"/>
          </w:tcPr>
          <w:p w:rsidR="00F91C7C" w:rsidRPr="00B022EE" w:rsidRDefault="00F91C7C" w:rsidP="00E1278A">
            <w:pPr>
              <w:spacing w:line="10" w:lineRule="atLeast"/>
              <w:jc w:val="center"/>
              <w:rPr>
                <w:rFonts w:ascii="宋体" w:eastAsia="宋体" w:hAnsi="宋体" w:cs="Arial"/>
                <w:sz w:val="20"/>
                <w:szCs w:val="18"/>
              </w:rPr>
            </w:pPr>
          </w:p>
        </w:tc>
        <w:tc>
          <w:tcPr>
            <w:tcW w:w="1276" w:type="dxa"/>
            <w:shd w:val="clear" w:color="auto" w:fill="auto"/>
            <w:vAlign w:val="center"/>
          </w:tcPr>
          <w:p w:rsidR="00F91C7C" w:rsidRPr="00B022EE" w:rsidRDefault="00F91C7C" w:rsidP="00E1278A">
            <w:pPr>
              <w:spacing w:line="10" w:lineRule="atLeast"/>
              <w:jc w:val="center"/>
              <w:rPr>
                <w:rFonts w:ascii="宋体" w:eastAsia="宋体" w:hAnsi="宋体" w:cs="Arial"/>
                <w:sz w:val="20"/>
                <w:szCs w:val="18"/>
              </w:rPr>
            </w:pPr>
          </w:p>
        </w:tc>
      </w:tr>
      <w:tr w:rsidR="00F91C7C" w:rsidTr="00E1278A">
        <w:trPr>
          <w:cantSplit/>
          <w:trHeight w:val="283"/>
        </w:trPr>
        <w:tc>
          <w:tcPr>
            <w:tcW w:w="1843" w:type="dxa"/>
            <w:shd w:val="clear" w:color="auto" w:fill="auto"/>
            <w:vAlign w:val="center"/>
          </w:tcPr>
          <w:p w:rsidR="00F91C7C" w:rsidRPr="00B022EE" w:rsidRDefault="00F91C7C" w:rsidP="00E1278A">
            <w:pPr>
              <w:spacing w:line="10" w:lineRule="atLeast"/>
              <w:jc w:val="center"/>
              <w:rPr>
                <w:rFonts w:ascii="宋体" w:eastAsia="宋体" w:hAnsi="宋体" w:cs="Arial"/>
                <w:i/>
                <w:sz w:val="20"/>
                <w:szCs w:val="18"/>
              </w:rPr>
            </w:pPr>
            <w:r w:rsidRPr="00B022EE">
              <w:rPr>
                <w:rFonts w:ascii="宋体" w:eastAsia="宋体" w:hAnsi="宋体" w:cs="Arial"/>
                <w:i/>
                <w:sz w:val="20"/>
                <w:szCs w:val="18"/>
              </w:rPr>
              <w:t>其中：股票-指数型</w:t>
            </w:r>
          </w:p>
        </w:tc>
        <w:tc>
          <w:tcPr>
            <w:tcW w:w="2976" w:type="dxa"/>
            <w:shd w:val="clear" w:color="auto" w:fill="auto"/>
            <w:vAlign w:val="center"/>
          </w:tcPr>
          <w:p w:rsidR="00F91C7C" w:rsidRPr="00B022EE" w:rsidRDefault="00F91C7C" w:rsidP="00E1278A">
            <w:pPr>
              <w:spacing w:line="10" w:lineRule="atLeast"/>
              <w:jc w:val="center"/>
              <w:rPr>
                <w:rFonts w:ascii="宋体" w:eastAsia="宋体" w:hAnsi="宋体" w:cs="Arial"/>
                <w:i/>
                <w:sz w:val="20"/>
                <w:szCs w:val="18"/>
              </w:rPr>
            </w:pPr>
            <w:r w:rsidRPr="00B022EE">
              <w:rPr>
                <w:rFonts w:ascii="宋体" w:eastAsia="宋体" w:hAnsi="宋体" w:cs="Arial"/>
                <w:i/>
                <w:sz w:val="20"/>
                <w:szCs w:val="18"/>
              </w:rPr>
              <w:t>跟踪指数或投资指数型基金</w:t>
            </w:r>
          </w:p>
        </w:tc>
        <w:tc>
          <w:tcPr>
            <w:tcW w:w="1276" w:type="dxa"/>
            <w:shd w:val="clear" w:color="auto" w:fill="auto"/>
            <w:vAlign w:val="center"/>
          </w:tcPr>
          <w:p w:rsidR="00F91C7C" w:rsidRPr="00B022EE" w:rsidRDefault="00F91C7C" w:rsidP="00E1278A">
            <w:pPr>
              <w:spacing w:line="10" w:lineRule="atLeast"/>
              <w:jc w:val="center"/>
              <w:rPr>
                <w:rFonts w:ascii="宋体" w:eastAsia="宋体" w:hAnsi="宋体" w:cs="Arial"/>
                <w:sz w:val="20"/>
                <w:szCs w:val="18"/>
              </w:rPr>
            </w:pPr>
          </w:p>
        </w:tc>
        <w:tc>
          <w:tcPr>
            <w:tcW w:w="1276" w:type="dxa"/>
            <w:shd w:val="clear" w:color="auto" w:fill="auto"/>
            <w:vAlign w:val="center"/>
          </w:tcPr>
          <w:p w:rsidR="00F91C7C" w:rsidRPr="00B022EE" w:rsidRDefault="00F91C7C" w:rsidP="00E1278A">
            <w:pPr>
              <w:spacing w:line="10" w:lineRule="atLeast"/>
              <w:jc w:val="center"/>
              <w:rPr>
                <w:rFonts w:ascii="宋体" w:eastAsia="宋体" w:hAnsi="宋体" w:cs="Arial"/>
                <w:sz w:val="20"/>
                <w:szCs w:val="18"/>
              </w:rPr>
            </w:pPr>
          </w:p>
        </w:tc>
      </w:tr>
      <w:tr w:rsidR="00F91C7C" w:rsidTr="00E1278A">
        <w:trPr>
          <w:cantSplit/>
          <w:trHeight w:val="283"/>
        </w:trPr>
        <w:tc>
          <w:tcPr>
            <w:tcW w:w="1843" w:type="dxa"/>
            <w:shd w:val="clear" w:color="auto" w:fill="auto"/>
            <w:vAlign w:val="center"/>
          </w:tcPr>
          <w:p w:rsidR="00F91C7C" w:rsidRPr="00B022EE" w:rsidRDefault="00F91C7C" w:rsidP="00E1278A">
            <w:pPr>
              <w:spacing w:line="10" w:lineRule="atLeast"/>
              <w:jc w:val="center"/>
              <w:rPr>
                <w:rFonts w:ascii="宋体" w:eastAsia="宋体" w:hAnsi="宋体" w:cs="Arial"/>
                <w:sz w:val="20"/>
                <w:szCs w:val="18"/>
              </w:rPr>
            </w:pPr>
            <w:r w:rsidRPr="00B022EE">
              <w:rPr>
                <w:rFonts w:ascii="宋体" w:eastAsia="宋体" w:hAnsi="宋体" w:cs="Arial"/>
                <w:sz w:val="20"/>
                <w:szCs w:val="18"/>
              </w:rPr>
              <w:t>债券型</w:t>
            </w:r>
          </w:p>
        </w:tc>
        <w:tc>
          <w:tcPr>
            <w:tcW w:w="2976" w:type="dxa"/>
            <w:shd w:val="clear" w:color="auto" w:fill="auto"/>
            <w:vAlign w:val="center"/>
          </w:tcPr>
          <w:p w:rsidR="00F91C7C" w:rsidRPr="00B022EE" w:rsidRDefault="00F91C7C" w:rsidP="00E1278A">
            <w:pPr>
              <w:pStyle w:val="a0"/>
              <w:spacing w:after="0" w:line="10" w:lineRule="atLeast"/>
              <w:ind w:left="0"/>
              <w:jc w:val="center"/>
              <w:rPr>
                <w:rFonts w:ascii="宋体" w:eastAsia="宋体" w:hAnsi="宋体"/>
                <w:color w:val="auto"/>
                <w:sz w:val="20"/>
                <w:szCs w:val="18"/>
              </w:rPr>
            </w:pPr>
          </w:p>
        </w:tc>
        <w:tc>
          <w:tcPr>
            <w:tcW w:w="2552" w:type="dxa"/>
            <w:gridSpan w:val="2"/>
            <w:shd w:val="clear" w:color="auto" w:fill="auto"/>
            <w:vAlign w:val="center"/>
          </w:tcPr>
          <w:p w:rsidR="00F91C7C" w:rsidRPr="00B022EE" w:rsidRDefault="00F91C7C" w:rsidP="00E1278A">
            <w:pPr>
              <w:spacing w:line="10" w:lineRule="atLeast"/>
              <w:jc w:val="center"/>
              <w:rPr>
                <w:rFonts w:ascii="宋体" w:eastAsia="宋体" w:hAnsi="宋体" w:cs="Arial"/>
                <w:sz w:val="20"/>
                <w:szCs w:val="18"/>
              </w:rPr>
            </w:pPr>
            <w:r w:rsidRPr="00B022EE">
              <w:rPr>
                <w:rFonts w:ascii="宋体" w:eastAsia="宋体" w:hAnsi="宋体" w:cs="Arial" w:hint="eastAsia"/>
                <w:sz w:val="20"/>
                <w:szCs w:val="18"/>
              </w:rPr>
              <w:t>配置均值&gt;=80%</w:t>
            </w:r>
          </w:p>
        </w:tc>
      </w:tr>
      <w:tr w:rsidR="00F91C7C" w:rsidTr="00E1278A">
        <w:trPr>
          <w:cantSplit/>
          <w:trHeight w:val="283"/>
        </w:trPr>
        <w:tc>
          <w:tcPr>
            <w:tcW w:w="1843" w:type="dxa"/>
            <w:shd w:val="clear" w:color="auto" w:fill="auto"/>
            <w:vAlign w:val="center"/>
          </w:tcPr>
          <w:p w:rsidR="00F91C7C" w:rsidRPr="00B022EE" w:rsidRDefault="00F91C7C" w:rsidP="00E1278A">
            <w:pPr>
              <w:spacing w:line="10" w:lineRule="atLeast"/>
              <w:jc w:val="center"/>
              <w:rPr>
                <w:rFonts w:ascii="宋体" w:eastAsia="宋体" w:hAnsi="宋体" w:cs="Arial"/>
                <w:sz w:val="20"/>
                <w:szCs w:val="18"/>
              </w:rPr>
            </w:pPr>
            <w:r w:rsidRPr="00B022EE">
              <w:rPr>
                <w:rFonts w:ascii="宋体" w:eastAsia="宋体" w:hAnsi="宋体" w:cs="Arial"/>
                <w:sz w:val="20"/>
                <w:szCs w:val="18"/>
              </w:rPr>
              <w:t>货币型</w:t>
            </w:r>
          </w:p>
        </w:tc>
        <w:tc>
          <w:tcPr>
            <w:tcW w:w="2976" w:type="dxa"/>
            <w:shd w:val="clear" w:color="auto" w:fill="auto"/>
            <w:vAlign w:val="center"/>
          </w:tcPr>
          <w:p w:rsidR="00F91C7C" w:rsidRPr="00B022EE" w:rsidRDefault="00F91C7C" w:rsidP="00E1278A">
            <w:pPr>
              <w:pStyle w:val="a0"/>
              <w:spacing w:after="0" w:line="10" w:lineRule="atLeast"/>
              <w:ind w:left="0"/>
              <w:jc w:val="center"/>
              <w:rPr>
                <w:rFonts w:ascii="宋体" w:eastAsia="宋体" w:hAnsi="宋体"/>
                <w:color w:val="auto"/>
                <w:sz w:val="20"/>
                <w:szCs w:val="18"/>
              </w:rPr>
            </w:pPr>
          </w:p>
        </w:tc>
        <w:tc>
          <w:tcPr>
            <w:tcW w:w="1276" w:type="dxa"/>
            <w:shd w:val="clear" w:color="auto" w:fill="auto"/>
            <w:vAlign w:val="center"/>
          </w:tcPr>
          <w:p w:rsidR="00F91C7C" w:rsidRPr="00B022EE" w:rsidRDefault="00F91C7C" w:rsidP="00E1278A">
            <w:pPr>
              <w:spacing w:line="10" w:lineRule="atLeast"/>
              <w:jc w:val="center"/>
              <w:rPr>
                <w:rFonts w:ascii="宋体" w:eastAsia="宋体" w:hAnsi="宋体" w:cs="Arial"/>
                <w:sz w:val="20"/>
                <w:szCs w:val="18"/>
              </w:rPr>
            </w:pPr>
          </w:p>
        </w:tc>
        <w:tc>
          <w:tcPr>
            <w:tcW w:w="1276" w:type="dxa"/>
            <w:shd w:val="clear" w:color="auto" w:fill="auto"/>
            <w:vAlign w:val="center"/>
          </w:tcPr>
          <w:p w:rsidR="00F91C7C" w:rsidRPr="00B022EE" w:rsidRDefault="00F91C7C" w:rsidP="00E1278A">
            <w:pPr>
              <w:spacing w:line="10" w:lineRule="atLeast"/>
              <w:jc w:val="center"/>
              <w:rPr>
                <w:rFonts w:ascii="宋体" w:eastAsia="宋体" w:hAnsi="宋体" w:cs="Arial"/>
                <w:sz w:val="20"/>
                <w:szCs w:val="18"/>
              </w:rPr>
            </w:pPr>
            <w:r w:rsidRPr="00B022EE">
              <w:rPr>
                <w:rFonts w:ascii="宋体" w:eastAsia="宋体" w:hAnsi="宋体" w:cs="Arial"/>
                <w:sz w:val="20"/>
                <w:szCs w:val="18"/>
              </w:rPr>
              <w:t>100%</w:t>
            </w:r>
          </w:p>
        </w:tc>
      </w:tr>
      <w:tr w:rsidR="00F91C7C" w:rsidTr="00E1278A">
        <w:trPr>
          <w:cantSplit/>
          <w:trHeight w:val="283"/>
        </w:trPr>
        <w:tc>
          <w:tcPr>
            <w:tcW w:w="7371" w:type="dxa"/>
            <w:gridSpan w:val="4"/>
            <w:shd w:val="clear" w:color="auto" w:fill="auto"/>
            <w:vAlign w:val="center"/>
          </w:tcPr>
          <w:p w:rsidR="00F91C7C" w:rsidRPr="00B022EE" w:rsidRDefault="00F91C7C" w:rsidP="00E1278A">
            <w:pPr>
              <w:pStyle w:val="a0"/>
              <w:spacing w:after="0" w:line="10" w:lineRule="atLeast"/>
              <w:ind w:left="0"/>
              <w:jc w:val="left"/>
              <w:rPr>
                <w:rFonts w:ascii="宋体" w:eastAsia="宋体" w:hAnsi="宋体"/>
                <w:color w:val="auto"/>
                <w:sz w:val="20"/>
                <w:szCs w:val="18"/>
              </w:rPr>
            </w:pPr>
            <w:r w:rsidRPr="00B022EE">
              <w:rPr>
                <w:rFonts w:ascii="宋体" w:eastAsia="宋体" w:hAnsi="宋体" w:cs="Arial"/>
                <w:b/>
                <w:bCs/>
                <w:color w:val="auto"/>
                <w:sz w:val="20"/>
                <w:szCs w:val="18"/>
              </w:rPr>
              <w:t>不符合上述标准的为混合型，其中：</w:t>
            </w:r>
          </w:p>
        </w:tc>
      </w:tr>
      <w:tr w:rsidR="00F91C7C" w:rsidTr="00E1278A">
        <w:trPr>
          <w:cantSplit/>
          <w:trHeight w:val="283"/>
        </w:trPr>
        <w:tc>
          <w:tcPr>
            <w:tcW w:w="1843" w:type="dxa"/>
            <w:shd w:val="clear" w:color="auto" w:fill="auto"/>
            <w:vAlign w:val="center"/>
          </w:tcPr>
          <w:p w:rsidR="00F91C7C" w:rsidRPr="00B022EE" w:rsidRDefault="00F91C7C" w:rsidP="00E1278A">
            <w:pPr>
              <w:spacing w:line="10" w:lineRule="atLeast"/>
              <w:jc w:val="center"/>
              <w:rPr>
                <w:rFonts w:ascii="宋体" w:eastAsia="宋体" w:hAnsi="宋体" w:cs="Arial"/>
                <w:sz w:val="20"/>
                <w:szCs w:val="18"/>
              </w:rPr>
            </w:pPr>
            <w:r w:rsidRPr="00B022EE">
              <w:rPr>
                <w:rFonts w:ascii="宋体" w:eastAsia="宋体" w:hAnsi="宋体" w:cs="Arial"/>
                <w:sz w:val="20"/>
                <w:szCs w:val="18"/>
              </w:rPr>
              <w:t>灵活配置型</w:t>
            </w:r>
          </w:p>
        </w:tc>
        <w:tc>
          <w:tcPr>
            <w:tcW w:w="2976" w:type="dxa"/>
            <w:shd w:val="clear" w:color="auto" w:fill="auto"/>
            <w:vAlign w:val="center"/>
          </w:tcPr>
          <w:p w:rsidR="00F91C7C" w:rsidRPr="00B022EE" w:rsidRDefault="00F91C7C" w:rsidP="00E1278A">
            <w:pPr>
              <w:spacing w:line="10" w:lineRule="atLeast"/>
              <w:jc w:val="center"/>
              <w:rPr>
                <w:rFonts w:ascii="宋体" w:eastAsia="宋体" w:hAnsi="宋体" w:cs="Arial"/>
                <w:sz w:val="20"/>
                <w:szCs w:val="18"/>
              </w:rPr>
            </w:pPr>
            <w:r w:rsidRPr="00B022EE">
              <w:rPr>
                <w:rFonts w:ascii="宋体" w:eastAsia="宋体" w:hAnsi="宋体" w:cs="Arial"/>
                <w:sz w:val="20"/>
                <w:szCs w:val="18"/>
              </w:rPr>
              <w:t>配置区间&gt;=50%</w:t>
            </w:r>
          </w:p>
        </w:tc>
        <w:tc>
          <w:tcPr>
            <w:tcW w:w="1276" w:type="dxa"/>
            <w:shd w:val="clear" w:color="auto" w:fill="auto"/>
            <w:vAlign w:val="center"/>
          </w:tcPr>
          <w:p w:rsidR="00F91C7C" w:rsidRPr="00B022EE" w:rsidRDefault="00F91C7C" w:rsidP="00E1278A">
            <w:pPr>
              <w:spacing w:line="10" w:lineRule="atLeast"/>
              <w:jc w:val="center"/>
              <w:rPr>
                <w:rFonts w:ascii="宋体" w:eastAsia="宋体" w:hAnsi="宋体" w:cs="Arial"/>
                <w:b/>
                <w:sz w:val="20"/>
                <w:szCs w:val="18"/>
              </w:rPr>
            </w:pPr>
          </w:p>
        </w:tc>
        <w:tc>
          <w:tcPr>
            <w:tcW w:w="1276" w:type="dxa"/>
            <w:shd w:val="clear" w:color="auto" w:fill="auto"/>
            <w:vAlign w:val="center"/>
          </w:tcPr>
          <w:p w:rsidR="00F91C7C" w:rsidRPr="00B022EE" w:rsidRDefault="00F91C7C" w:rsidP="00E1278A">
            <w:pPr>
              <w:pStyle w:val="a0"/>
              <w:spacing w:after="0" w:line="10" w:lineRule="atLeast"/>
              <w:ind w:left="0"/>
              <w:jc w:val="center"/>
              <w:rPr>
                <w:rFonts w:ascii="宋体" w:eastAsia="宋体" w:hAnsi="宋体"/>
                <w:color w:val="auto"/>
                <w:sz w:val="20"/>
                <w:szCs w:val="18"/>
              </w:rPr>
            </w:pPr>
          </w:p>
        </w:tc>
      </w:tr>
      <w:tr w:rsidR="00F91C7C" w:rsidTr="00E1278A">
        <w:trPr>
          <w:cantSplit/>
          <w:trHeight w:val="283"/>
        </w:trPr>
        <w:tc>
          <w:tcPr>
            <w:tcW w:w="1843" w:type="dxa"/>
            <w:shd w:val="clear" w:color="auto" w:fill="auto"/>
            <w:vAlign w:val="center"/>
          </w:tcPr>
          <w:p w:rsidR="00F91C7C" w:rsidRPr="00B022EE" w:rsidRDefault="00F91C7C" w:rsidP="00E1278A">
            <w:pPr>
              <w:spacing w:line="10" w:lineRule="atLeast"/>
              <w:jc w:val="center"/>
              <w:rPr>
                <w:rFonts w:ascii="宋体" w:eastAsia="宋体" w:hAnsi="宋体" w:cs="Arial"/>
                <w:sz w:val="20"/>
                <w:szCs w:val="18"/>
              </w:rPr>
            </w:pPr>
            <w:r w:rsidRPr="00B022EE">
              <w:rPr>
                <w:rFonts w:ascii="宋体" w:eastAsia="宋体" w:hAnsi="宋体" w:cs="Arial"/>
                <w:sz w:val="20"/>
                <w:szCs w:val="18"/>
              </w:rPr>
              <w:t>混合偏股型</w:t>
            </w:r>
          </w:p>
        </w:tc>
        <w:tc>
          <w:tcPr>
            <w:tcW w:w="2976" w:type="dxa"/>
            <w:shd w:val="clear" w:color="auto" w:fill="auto"/>
            <w:vAlign w:val="center"/>
          </w:tcPr>
          <w:p w:rsidR="00F91C7C" w:rsidRPr="00B022EE" w:rsidRDefault="00F91C7C" w:rsidP="00E1278A">
            <w:pPr>
              <w:spacing w:line="10" w:lineRule="atLeast"/>
              <w:jc w:val="center"/>
              <w:rPr>
                <w:rFonts w:ascii="宋体" w:eastAsia="宋体" w:hAnsi="宋体" w:cs="Arial"/>
                <w:sz w:val="20"/>
                <w:szCs w:val="18"/>
              </w:rPr>
            </w:pPr>
            <w:r w:rsidRPr="00B022EE">
              <w:rPr>
                <w:rFonts w:ascii="宋体" w:eastAsia="宋体" w:hAnsi="宋体" w:cs="Arial"/>
                <w:sz w:val="20"/>
                <w:szCs w:val="18"/>
              </w:rPr>
              <w:t>配置区间&lt;50%，配置均值&gt;=50%</w:t>
            </w:r>
          </w:p>
        </w:tc>
        <w:tc>
          <w:tcPr>
            <w:tcW w:w="1276" w:type="dxa"/>
            <w:shd w:val="clear" w:color="auto" w:fill="auto"/>
            <w:vAlign w:val="center"/>
          </w:tcPr>
          <w:p w:rsidR="00F91C7C" w:rsidRPr="00B022EE" w:rsidRDefault="00F91C7C" w:rsidP="00E1278A">
            <w:pPr>
              <w:spacing w:line="10" w:lineRule="atLeast"/>
              <w:jc w:val="center"/>
              <w:rPr>
                <w:rFonts w:ascii="宋体" w:eastAsia="宋体" w:hAnsi="宋体" w:cs="Arial"/>
                <w:b/>
                <w:sz w:val="20"/>
                <w:szCs w:val="18"/>
              </w:rPr>
            </w:pPr>
          </w:p>
        </w:tc>
        <w:tc>
          <w:tcPr>
            <w:tcW w:w="1276" w:type="dxa"/>
            <w:shd w:val="clear" w:color="auto" w:fill="auto"/>
            <w:vAlign w:val="center"/>
          </w:tcPr>
          <w:p w:rsidR="00F91C7C" w:rsidRPr="00B022EE" w:rsidRDefault="00F91C7C" w:rsidP="00E1278A">
            <w:pPr>
              <w:pStyle w:val="a0"/>
              <w:spacing w:after="0" w:line="10" w:lineRule="atLeast"/>
              <w:ind w:left="0"/>
              <w:jc w:val="center"/>
              <w:rPr>
                <w:rFonts w:ascii="宋体" w:eastAsia="宋体" w:hAnsi="宋体"/>
                <w:color w:val="auto"/>
                <w:sz w:val="20"/>
                <w:szCs w:val="18"/>
              </w:rPr>
            </w:pPr>
          </w:p>
        </w:tc>
      </w:tr>
      <w:tr w:rsidR="00F91C7C" w:rsidTr="00E1278A">
        <w:trPr>
          <w:cantSplit/>
          <w:trHeight w:val="283"/>
        </w:trPr>
        <w:tc>
          <w:tcPr>
            <w:tcW w:w="1843" w:type="dxa"/>
            <w:shd w:val="clear" w:color="auto" w:fill="auto"/>
            <w:vAlign w:val="center"/>
          </w:tcPr>
          <w:p w:rsidR="00F91C7C" w:rsidRPr="00B022EE" w:rsidRDefault="00F91C7C" w:rsidP="00E1278A">
            <w:pPr>
              <w:spacing w:line="10" w:lineRule="atLeast"/>
              <w:jc w:val="center"/>
              <w:rPr>
                <w:rFonts w:ascii="宋体" w:eastAsia="宋体" w:hAnsi="宋体" w:cs="Arial"/>
                <w:sz w:val="20"/>
                <w:szCs w:val="18"/>
              </w:rPr>
            </w:pPr>
            <w:r w:rsidRPr="00B022EE">
              <w:rPr>
                <w:rFonts w:ascii="宋体" w:eastAsia="宋体" w:hAnsi="宋体" w:cs="Arial"/>
                <w:sz w:val="20"/>
                <w:szCs w:val="18"/>
              </w:rPr>
              <w:t>混合偏债型</w:t>
            </w:r>
          </w:p>
        </w:tc>
        <w:tc>
          <w:tcPr>
            <w:tcW w:w="2976" w:type="dxa"/>
            <w:shd w:val="clear" w:color="auto" w:fill="auto"/>
            <w:vAlign w:val="center"/>
          </w:tcPr>
          <w:p w:rsidR="00F91C7C" w:rsidRPr="00B022EE" w:rsidRDefault="00F91C7C" w:rsidP="00E1278A">
            <w:pPr>
              <w:spacing w:line="10" w:lineRule="atLeast"/>
              <w:jc w:val="center"/>
              <w:rPr>
                <w:rFonts w:ascii="宋体" w:eastAsia="宋体" w:hAnsi="宋体" w:cs="Arial"/>
                <w:sz w:val="20"/>
                <w:szCs w:val="18"/>
              </w:rPr>
            </w:pPr>
            <w:r w:rsidRPr="00B022EE">
              <w:rPr>
                <w:rFonts w:ascii="宋体" w:eastAsia="宋体" w:hAnsi="宋体" w:cs="Arial"/>
                <w:sz w:val="20"/>
                <w:szCs w:val="18"/>
              </w:rPr>
              <w:t>配置区间&lt;50%，配置均值&lt;50%</w:t>
            </w:r>
          </w:p>
        </w:tc>
        <w:tc>
          <w:tcPr>
            <w:tcW w:w="1276" w:type="dxa"/>
            <w:shd w:val="clear" w:color="auto" w:fill="auto"/>
            <w:vAlign w:val="center"/>
          </w:tcPr>
          <w:p w:rsidR="00F91C7C" w:rsidRPr="00B022EE" w:rsidRDefault="00F91C7C" w:rsidP="00E1278A">
            <w:pPr>
              <w:spacing w:line="10" w:lineRule="atLeast"/>
              <w:jc w:val="center"/>
              <w:rPr>
                <w:rFonts w:ascii="宋体" w:eastAsia="宋体" w:hAnsi="宋体" w:cs="Arial"/>
                <w:b/>
                <w:sz w:val="20"/>
                <w:szCs w:val="18"/>
              </w:rPr>
            </w:pPr>
          </w:p>
        </w:tc>
        <w:tc>
          <w:tcPr>
            <w:tcW w:w="1276" w:type="dxa"/>
            <w:shd w:val="clear" w:color="auto" w:fill="auto"/>
            <w:vAlign w:val="center"/>
          </w:tcPr>
          <w:p w:rsidR="00F91C7C" w:rsidRPr="00B022EE" w:rsidRDefault="00F91C7C" w:rsidP="00E1278A">
            <w:pPr>
              <w:pStyle w:val="a0"/>
              <w:spacing w:after="0" w:line="10" w:lineRule="atLeast"/>
              <w:ind w:left="0"/>
              <w:jc w:val="center"/>
              <w:rPr>
                <w:rFonts w:ascii="宋体" w:eastAsia="宋体" w:hAnsi="宋体"/>
                <w:color w:val="auto"/>
                <w:sz w:val="20"/>
                <w:szCs w:val="18"/>
              </w:rPr>
            </w:pPr>
          </w:p>
        </w:tc>
      </w:tr>
      <w:tr w:rsidR="00F91C7C" w:rsidTr="00E1278A">
        <w:trPr>
          <w:cantSplit/>
          <w:trHeight w:val="200"/>
        </w:trPr>
        <w:tc>
          <w:tcPr>
            <w:tcW w:w="7371" w:type="dxa"/>
            <w:gridSpan w:val="4"/>
            <w:shd w:val="clear" w:color="auto" w:fill="auto"/>
          </w:tcPr>
          <w:p w:rsidR="00F91C7C" w:rsidRDefault="00F91C7C" w:rsidP="00E1278A">
            <w:pPr>
              <w:pStyle w:val="FootnoteNoline"/>
              <w:ind w:left="0"/>
            </w:pPr>
            <w:r>
              <w:rPr>
                <w:rFonts w:hint="eastAsia"/>
              </w:rPr>
              <w:t>来源：国金证券研究所</w:t>
            </w:r>
          </w:p>
        </w:tc>
      </w:tr>
    </w:tbl>
    <w:p w:rsidR="00F91C7C" w:rsidRDefault="00F91C7C" w:rsidP="00F91C7C">
      <w:pPr>
        <w:pStyle w:val="a0"/>
        <w:numPr>
          <w:ilvl w:val="4"/>
          <w:numId w:val="3"/>
        </w:numPr>
        <w:rPr>
          <w:color w:val="auto"/>
        </w:rPr>
      </w:pPr>
      <w:r w:rsidRPr="00D143ED">
        <w:rPr>
          <w:rFonts w:hint="eastAsia"/>
          <w:color w:val="auto"/>
        </w:rPr>
        <w:t>截至</w:t>
      </w:r>
      <w:r>
        <w:rPr>
          <w:rFonts w:hint="eastAsia"/>
          <w:color w:val="auto"/>
        </w:rPr>
        <w:t>目前，</w:t>
      </w:r>
      <w:r>
        <w:rPr>
          <w:rFonts w:hint="eastAsia"/>
          <w:color w:val="auto"/>
        </w:rPr>
        <w:t>32</w:t>
      </w:r>
      <w:r w:rsidRPr="00D143ED">
        <w:rPr>
          <w:rFonts w:hint="eastAsia"/>
          <w:color w:val="auto"/>
        </w:rPr>
        <w:t>家保险公司的</w:t>
      </w:r>
      <w:r w:rsidRPr="00D143ED">
        <w:rPr>
          <w:rFonts w:hint="eastAsia"/>
          <w:color w:val="auto"/>
        </w:rPr>
        <w:t>1</w:t>
      </w:r>
      <w:r>
        <w:rPr>
          <w:rFonts w:hint="eastAsia"/>
          <w:color w:val="auto"/>
        </w:rPr>
        <w:t>9</w:t>
      </w:r>
      <w:r w:rsidR="00CB3C18">
        <w:rPr>
          <w:rFonts w:hint="eastAsia"/>
          <w:color w:val="auto"/>
        </w:rPr>
        <w:t>4</w:t>
      </w:r>
      <w:r w:rsidRPr="00D143ED">
        <w:rPr>
          <w:rFonts w:hint="eastAsia"/>
          <w:color w:val="auto"/>
        </w:rPr>
        <w:t>个投连账户类型划分及基本信息见</w:t>
      </w:r>
      <w:r>
        <w:rPr>
          <w:rFonts w:hint="eastAsia"/>
          <w:color w:val="auto"/>
        </w:rPr>
        <w:t>下表</w:t>
      </w:r>
      <w:r w:rsidRPr="00D143ED">
        <w:rPr>
          <w:rFonts w:hint="eastAsia"/>
          <w:color w:val="auto"/>
        </w:rPr>
        <w:t>。</w:t>
      </w:r>
    </w:p>
    <w:tbl>
      <w:tblPr>
        <w:tblW w:w="10772" w:type="dxa"/>
        <w:jc w:val="center"/>
        <w:tblBorders>
          <w:top w:val="single" w:sz="4" w:space="0" w:color="00A0E9"/>
          <w:bottom w:val="single" w:sz="4" w:space="0" w:color="00A0E9"/>
          <w:insideH w:val="single" w:sz="4" w:space="0" w:color="00A0E9"/>
          <w:insideV w:val="single" w:sz="4" w:space="0" w:color="00A0E9"/>
        </w:tblBorders>
        <w:tblLayout w:type="fixed"/>
        <w:tblCellMar>
          <w:left w:w="0" w:type="dxa"/>
          <w:right w:w="0" w:type="dxa"/>
        </w:tblCellMar>
        <w:tblLook w:val="0000" w:firstRow="0" w:lastRow="0" w:firstColumn="0" w:lastColumn="0" w:noHBand="0" w:noVBand="0"/>
      </w:tblPr>
      <w:tblGrid>
        <w:gridCol w:w="2268"/>
        <w:gridCol w:w="6321"/>
        <w:gridCol w:w="1191"/>
        <w:gridCol w:w="992"/>
      </w:tblGrid>
      <w:tr w:rsidR="00F91C7C" w:rsidTr="00E1278A">
        <w:trPr>
          <w:trHeight w:val="227"/>
          <w:tblHeader/>
          <w:jc w:val="center"/>
        </w:trPr>
        <w:tc>
          <w:tcPr>
            <w:tcW w:w="10772" w:type="dxa"/>
            <w:gridSpan w:val="4"/>
            <w:shd w:val="clear" w:color="auto" w:fill="auto"/>
          </w:tcPr>
          <w:p w:rsidR="00F91C7C" w:rsidRDefault="00F91C7C" w:rsidP="00E1278A">
            <w:pPr>
              <w:pStyle w:val="SubTitleLargeTable"/>
            </w:pPr>
            <w:bookmarkStart w:id="7" w:name="公司旗下产品对应账户类型"/>
            <w:r>
              <w:rPr>
                <w:rFonts w:hint="eastAsia"/>
              </w:rPr>
              <w:t>图表</w:t>
            </w:r>
            <w:bookmarkEnd w:id="7"/>
            <w:r>
              <w:rPr>
                <w:rFonts w:hint="eastAsia"/>
              </w:rPr>
              <w:t>3</w:t>
            </w:r>
            <w:r>
              <w:rPr>
                <w:rFonts w:hint="eastAsia"/>
              </w:rPr>
              <w:t>：</w:t>
            </w:r>
            <w:r>
              <w:rPr>
                <w:rFonts w:hint="eastAsia"/>
                <w:lang w:val="en-US"/>
              </w:rPr>
              <w:t>公司旗下产品对应账户类型</w:t>
            </w:r>
          </w:p>
        </w:tc>
      </w:tr>
      <w:tr w:rsidR="00F91C7C" w:rsidRPr="00495842" w:rsidTr="00E1278A">
        <w:trPr>
          <w:trHeight w:val="67"/>
          <w:tblHeader/>
          <w:jc w:val="center"/>
        </w:trPr>
        <w:tc>
          <w:tcPr>
            <w:tcW w:w="2268" w:type="dxa"/>
            <w:shd w:val="clear" w:color="auto" w:fill="D9D9D9"/>
            <w:vAlign w:val="center"/>
          </w:tcPr>
          <w:p w:rsidR="00F91C7C" w:rsidRPr="00B022EE" w:rsidRDefault="00F91C7C" w:rsidP="00E1278A">
            <w:pPr>
              <w:pStyle w:val="a0"/>
              <w:spacing w:after="0" w:line="10" w:lineRule="atLeast"/>
              <w:ind w:left="0"/>
              <w:jc w:val="center"/>
              <w:rPr>
                <w:rFonts w:ascii="宋体" w:eastAsia="宋体" w:hAnsi="宋体"/>
                <w:b/>
                <w:color w:val="auto"/>
                <w:sz w:val="18"/>
                <w:szCs w:val="18"/>
              </w:rPr>
            </w:pPr>
            <w:r w:rsidRPr="00B022EE">
              <w:rPr>
                <w:rFonts w:ascii="宋体" w:eastAsia="宋体" w:hAnsi="宋体"/>
                <w:b/>
                <w:color w:val="auto"/>
                <w:sz w:val="18"/>
                <w:szCs w:val="18"/>
              </w:rPr>
              <w:t>公司名称</w:t>
            </w:r>
          </w:p>
        </w:tc>
        <w:tc>
          <w:tcPr>
            <w:tcW w:w="6321" w:type="dxa"/>
            <w:shd w:val="clear" w:color="auto" w:fill="D9D9D9"/>
            <w:vAlign w:val="center"/>
          </w:tcPr>
          <w:p w:rsidR="00F91C7C" w:rsidRPr="00B022EE" w:rsidRDefault="00F91C7C" w:rsidP="00E1278A">
            <w:pPr>
              <w:pStyle w:val="a0"/>
              <w:spacing w:after="0" w:line="10" w:lineRule="atLeast"/>
              <w:ind w:left="0"/>
              <w:jc w:val="center"/>
              <w:rPr>
                <w:rFonts w:ascii="宋体" w:eastAsia="宋体" w:hAnsi="宋体"/>
                <w:b/>
                <w:color w:val="auto"/>
                <w:sz w:val="18"/>
                <w:szCs w:val="18"/>
              </w:rPr>
            </w:pPr>
            <w:r w:rsidRPr="00B022EE">
              <w:rPr>
                <w:rFonts w:ascii="宋体" w:eastAsia="宋体" w:hAnsi="宋体"/>
                <w:b/>
                <w:color w:val="auto"/>
                <w:sz w:val="18"/>
                <w:szCs w:val="18"/>
              </w:rPr>
              <w:t>产品名称</w:t>
            </w:r>
          </w:p>
        </w:tc>
        <w:tc>
          <w:tcPr>
            <w:tcW w:w="1191" w:type="dxa"/>
            <w:shd w:val="clear" w:color="auto" w:fill="D9D9D9"/>
            <w:vAlign w:val="center"/>
          </w:tcPr>
          <w:p w:rsidR="00F91C7C" w:rsidRPr="00B022EE" w:rsidRDefault="00F91C7C" w:rsidP="00E1278A">
            <w:pPr>
              <w:pStyle w:val="a0"/>
              <w:spacing w:after="0" w:line="10" w:lineRule="atLeast"/>
              <w:ind w:left="0"/>
              <w:jc w:val="center"/>
              <w:rPr>
                <w:rFonts w:ascii="宋体" w:eastAsia="宋体" w:hAnsi="宋体"/>
                <w:b/>
                <w:color w:val="auto"/>
                <w:sz w:val="18"/>
                <w:szCs w:val="18"/>
              </w:rPr>
            </w:pPr>
            <w:r w:rsidRPr="00B022EE">
              <w:rPr>
                <w:rFonts w:ascii="宋体" w:eastAsia="宋体" w:hAnsi="宋体"/>
                <w:b/>
                <w:color w:val="auto"/>
                <w:sz w:val="18"/>
                <w:szCs w:val="18"/>
              </w:rPr>
              <w:t>投资账户</w:t>
            </w:r>
          </w:p>
        </w:tc>
        <w:tc>
          <w:tcPr>
            <w:tcW w:w="992" w:type="dxa"/>
            <w:shd w:val="clear" w:color="auto" w:fill="D9D9D9"/>
            <w:vAlign w:val="center"/>
          </w:tcPr>
          <w:p w:rsidR="00F91C7C" w:rsidRPr="00B022EE" w:rsidRDefault="00F91C7C" w:rsidP="00E1278A">
            <w:pPr>
              <w:pStyle w:val="a0"/>
              <w:spacing w:after="0" w:line="10" w:lineRule="atLeast"/>
              <w:ind w:left="0"/>
              <w:jc w:val="center"/>
              <w:rPr>
                <w:rFonts w:ascii="宋体" w:eastAsia="宋体" w:hAnsi="宋体"/>
                <w:b/>
                <w:color w:val="auto"/>
                <w:sz w:val="18"/>
                <w:szCs w:val="18"/>
              </w:rPr>
            </w:pPr>
            <w:r w:rsidRPr="00B022EE">
              <w:rPr>
                <w:rFonts w:ascii="宋体" w:eastAsia="宋体" w:hAnsi="宋体"/>
                <w:b/>
                <w:color w:val="auto"/>
                <w:sz w:val="18"/>
                <w:szCs w:val="18"/>
              </w:rPr>
              <w:t>国金分类</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北大方正人寿保险有限公司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财智人生投资连结保险、财智人生投资连结保险B款、生财智道投资连结保险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成长型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北大方正人寿保险有限公司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财智人生投资连结保险B款、生财智道投资连结保险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北大方正人寿保险有限公司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财智人生投资连结保险B款、生财智道投资连结保险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长生人寿保险有限公司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汇金富投资连结保险、汇金富投资连结保险B款、大藏金投资连结保险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安心得益型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长生人寿保险有限公司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汇金富投资连结保险、汇金富投资连结保险B款、大藏金投资连结保险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稳健增值型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长生人寿保险有限公司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汇金富投资连结保险、汇金富投资连结保险B款、大藏金投资连结保险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卓越成长型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lastRenderedPageBreak/>
              <w:t>工银安盛人寿保险有限公司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工银安盛人寿附加盛世添财二代终身寿险(投资连结型)、工银安盛人寿金生赢家三代终身寿险(投资连结型)、工银安盛人寿金生财智三代终身寿险(投资连结型)、工银安盛人寿附加金品全方位终身寿险(投资连结型)</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卓越</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工银安盛人寿保险有限公司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工银安盛人寿附加盛世添财二代终身寿险(投资连结型)、工银安盛人寿金生赢家三代终身寿险(投资连结型)、工银安盛人寿金生财智三代终身寿险(投资连结型)、工银安盛人寿附加金品全方位终身寿险(投资连结型)</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工银安盛人寿保险有限公司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工银安盛人寿附加盛世添财二代终身寿险(投资连结型)、工银安盛人寿金生赢家三代终身寿险(投资连结型)、工银安盛人寿金生财智三代终身寿险(投资连结型)、工银安盛人寿附加金品全方位终身寿险(投资连结型)</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安心</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工银安盛人寿保险有限公司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工银安盛人寿附加盛世添财二代终身寿险(投资连结型)、工银安盛人寿金生赢家三代终身寿险(投资连结型)、工银安盛人寿金生财智三代终身寿险(投资连结型)、工银安盛人寿附加金品全方位终身寿险(投资连结型)</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进取</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光大永明人寿保险有限公司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光大永明长盛投资连结保险、光大永明附加丰盛投资连结保险(A款)、光大永明鸿盛投资连结保险、光大永明金保来A投资连结保险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光大永明人寿保险有限公司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光大永明长盛投资连结保险、光大永明附加丰盛投资连结保险(A款)、光大永明鸿盛投资连结保险、光大永明金保来A投资连结保险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光大永明人寿保险有限公司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光大永明长盛投资连结保险、光大永明附加丰盛投资连结保险(A款)、光大永明鸿盛投资连结保险、光大永明金保来A投资连结保险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进取型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光大永明人寿保险有限公司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光大永明长盛投资连结保险、光大永明附加丰盛投资连结保险(A款)、光大永明鸿盛投资连结保险、光大永明金保来A投资连结保险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光大永明人寿保险有限公司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光大永明长盛投资连结保险、光大永明附加丰盛投资连结保险(A款)、光大永明鸿盛投资连结保险、光大永明金保来A投资连结保险、光大永明附加盛世阳光投资连结保险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指数型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股票-指数型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光大永明人寿保险有限公司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光大永明E宝盈投资连结保险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光大策略</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光大永明人寿保险有限公司</w:t>
            </w:r>
          </w:p>
        </w:tc>
        <w:tc>
          <w:tcPr>
            <w:tcW w:w="6321" w:type="dxa"/>
            <w:shd w:val="clear" w:color="auto" w:fill="auto"/>
            <w:vAlign w:val="center"/>
          </w:tcPr>
          <w:p w:rsidR="00F91C7C" w:rsidRPr="007A4A1D" w:rsidRDefault="00F91C7C" w:rsidP="00E1278A">
            <w:pPr>
              <w:jc w:val="center"/>
              <w:rPr>
                <w:rFonts w:ascii="宋体" w:eastAsia="宋体" w:hAnsi="宋体"/>
                <w:color w:val="000000"/>
                <w:szCs w:val="18"/>
              </w:rPr>
            </w:pPr>
            <w:r w:rsidRPr="007A4A1D">
              <w:rPr>
                <w:rFonts w:ascii="宋体" w:eastAsia="宋体" w:hAnsi="宋体" w:hint="eastAsia"/>
                <w:color w:val="000000"/>
                <w:szCs w:val="18"/>
              </w:rPr>
              <w:t>优选理财两全保险A款、B款</w:t>
            </w:r>
          </w:p>
        </w:tc>
        <w:tc>
          <w:tcPr>
            <w:tcW w:w="1191"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光大优选</w:t>
            </w:r>
          </w:p>
        </w:tc>
        <w:tc>
          <w:tcPr>
            <w:tcW w:w="992"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光大永明人寿保险有限公司</w:t>
            </w:r>
          </w:p>
        </w:tc>
        <w:tc>
          <w:tcPr>
            <w:tcW w:w="6321" w:type="dxa"/>
            <w:shd w:val="clear" w:color="auto" w:fill="auto"/>
            <w:vAlign w:val="center"/>
          </w:tcPr>
          <w:p w:rsidR="00F91C7C" w:rsidRPr="00B022EE" w:rsidRDefault="00F91C7C" w:rsidP="00E1278A">
            <w:pPr>
              <w:jc w:val="center"/>
              <w:rPr>
                <w:rFonts w:ascii="宋体" w:eastAsia="宋体" w:hAnsi="宋体"/>
                <w:color w:val="000000"/>
                <w:szCs w:val="18"/>
              </w:rPr>
            </w:pPr>
            <w:r w:rsidRPr="00DA14F7">
              <w:rPr>
                <w:rFonts w:ascii="宋体" w:eastAsia="宋体" w:hAnsi="宋体" w:hint="eastAsia"/>
                <w:color w:val="000000"/>
                <w:szCs w:val="18"/>
              </w:rPr>
              <w:t>光大永明光明财富1号年金保险A款</w:t>
            </w:r>
          </w:p>
        </w:tc>
        <w:tc>
          <w:tcPr>
            <w:tcW w:w="1191" w:type="dxa"/>
            <w:shd w:val="clear" w:color="auto" w:fill="auto"/>
            <w:vAlign w:val="center"/>
          </w:tcPr>
          <w:p w:rsidR="00F91C7C" w:rsidRPr="00DA14F7" w:rsidRDefault="00F91C7C" w:rsidP="00E1278A">
            <w:pPr>
              <w:jc w:val="center"/>
              <w:rPr>
                <w:rFonts w:ascii="宋体" w:eastAsia="宋体" w:hAnsi="宋体"/>
                <w:color w:val="000000"/>
                <w:szCs w:val="18"/>
              </w:rPr>
            </w:pPr>
            <w:r w:rsidRPr="00DA14F7">
              <w:rPr>
                <w:rFonts w:ascii="宋体" w:eastAsia="宋体" w:hAnsi="宋体" w:hint="eastAsia"/>
                <w:color w:val="000000"/>
                <w:szCs w:val="18"/>
              </w:rPr>
              <w:t>光明财富稳定收益</w:t>
            </w:r>
          </w:p>
        </w:tc>
        <w:tc>
          <w:tcPr>
            <w:tcW w:w="992"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光大永明人寿保险有限公司</w:t>
            </w:r>
          </w:p>
        </w:tc>
        <w:tc>
          <w:tcPr>
            <w:tcW w:w="6321" w:type="dxa"/>
            <w:shd w:val="clear" w:color="auto" w:fill="auto"/>
            <w:vAlign w:val="center"/>
          </w:tcPr>
          <w:p w:rsidR="00F91C7C" w:rsidRPr="00B022EE" w:rsidRDefault="00F91C7C" w:rsidP="00E1278A">
            <w:pPr>
              <w:jc w:val="center"/>
              <w:rPr>
                <w:rFonts w:ascii="宋体" w:eastAsia="宋体" w:hAnsi="宋体"/>
                <w:color w:val="000000"/>
                <w:szCs w:val="18"/>
              </w:rPr>
            </w:pPr>
            <w:r w:rsidRPr="00DA14F7">
              <w:rPr>
                <w:rFonts w:ascii="宋体" w:eastAsia="宋体" w:hAnsi="宋体" w:hint="eastAsia"/>
                <w:color w:val="000000"/>
                <w:szCs w:val="18"/>
              </w:rPr>
              <w:t>光大永明光明财富1号年金保险</w:t>
            </w:r>
            <w:r>
              <w:rPr>
                <w:rFonts w:ascii="宋体" w:eastAsia="宋体" w:hAnsi="宋体" w:hint="eastAsia"/>
                <w:color w:val="000000"/>
                <w:szCs w:val="18"/>
              </w:rPr>
              <w:t>B</w:t>
            </w:r>
            <w:r w:rsidRPr="00DA14F7">
              <w:rPr>
                <w:rFonts w:ascii="宋体" w:eastAsia="宋体" w:hAnsi="宋体" w:hint="eastAsia"/>
                <w:color w:val="000000"/>
                <w:szCs w:val="18"/>
              </w:rPr>
              <w:t>款</w:t>
            </w:r>
          </w:p>
        </w:tc>
        <w:tc>
          <w:tcPr>
            <w:tcW w:w="1191" w:type="dxa"/>
            <w:shd w:val="clear" w:color="auto" w:fill="auto"/>
            <w:vAlign w:val="center"/>
          </w:tcPr>
          <w:p w:rsidR="00F91C7C" w:rsidRPr="00DA14F7" w:rsidRDefault="00F91C7C" w:rsidP="00E1278A">
            <w:pPr>
              <w:jc w:val="center"/>
              <w:rPr>
                <w:rFonts w:ascii="宋体" w:eastAsia="宋体" w:hAnsi="宋体"/>
                <w:color w:val="000000"/>
                <w:szCs w:val="18"/>
              </w:rPr>
            </w:pPr>
            <w:r w:rsidRPr="00DA14F7">
              <w:rPr>
                <w:rFonts w:ascii="宋体" w:eastAsia="宋体" w:hAnsi="宋体" w:hint="eastAsia"/>
                <w:color w:val="000000"/>
                <w:szCs w:val="18"/>
              </w:rPr>
              <w:t>光明财富智选</w:t>
            </w:r>
          </w:p>
        </w:tc>
        <w:tc>
          <w:tcPr>
            <w:tcW w:w="992"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光大永明人寿保险有限公司</w:t>
            </w:r>
          </w:p>
        </w:tc>
        <w:tc>
          <w:tcPr>
            <w:tcW w:w="6321"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光大永明智富年金保险B款</w:t>
            </w:r>
          </w:p>
        </w:tc>
        <w:tc>
          <w:tcPr>
            <w:tcW w:w="1191"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光明精选</w:t>
            </w:r>
          </w:p>
        </w:tc>
        <w:tc>
          <w:tcPr>
            <w:tcW w:w="992"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光大永明人寿保险有限公司</w:t>
            </w:r>
          </w:p>
        </w:tc>
        <w:tc>
          <w:tcPr>
            <w:tcW w:w="6321"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光大永明智富年金保险A款</w:t>
            </w:r>
          </w:p>
        </w:tc>
        <w:tc>
          <w:tcPr>
            <w:tcW w:w="1191"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光明财富慧选</w:t>
            </w:r>
          </w:p>
        </w:tc>
        <w:tc>
          <w:tcPr>
            <w:tcW w:w="992"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国泰人寿保险有限责任公司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国泰财富经典投资连结保险、国泰财富经典B款投资连结保险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国泰人寿保险有限责任公司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国泰财富经典投资连结保险、国泰财富经典B款投资连结保险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增长型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国泰人寿保险有限责任公司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国泰财富经典投资连结保险、国泰财富经典B款投资连结保险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海康人寿保险有限公司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金如意投资连结保险、金如意投资连结保险(B款)、智通理财投资连结保险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积极型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海康人寿保险有限公司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金如意投资连结保险、金如意投资连结保险(B款)、智通理财投资连结保险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海康人寿保险有限公司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金如意投资连结保险、金如意投资连结保险(B款)、智通理财投资连结保险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安全型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海康人寿保险有限公司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金如意投资连结保险、金如意投资连结保险(B款)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指数加强型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股票-指数型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海康人寿保险有限公司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金如意投资连结保险、金如意投资连结保险(B款)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海康人寿保险有限公司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创富优选投资连结保险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精彩型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海康人寿保险有限公司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创富优选投资连结保险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成长型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海康人寿保险有限公司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创富优选投资连结保险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安逸型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合众人寿保险股份有限公司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合众精选投资连结保险A/B款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合众人寿保险股份有限公司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合众精选投资连结保险A/B款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合众人寿保险股份有限公司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合众精选投资连结保险A/B款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进取型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olor w:val="000000"/>
                <w:szCs w:val="18"/>
              </w:rPr>
            </w:pPr>
            <w:r w:rsidRPr="00B022EE">
              <w:rPr>
                <w:rFonts w:ascii="宋体" w:eastAsia="宋体" w:hAnsi="宋体" w:hint="eastAsia"/>
                <w:color w:val="000000"/>
                <w:szCs w:val="18"/>
              </w:rPr>
              <w:t>合众人寿保险股份有限公司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olor w:val="000000"/>
                <w:szCs w:val="18"/>
              </w:rPr>
            </w:pPr>
            <w:r w:rsidRPr="000A491D">
              <w:rPr>
                <w:rFonts w:ascii="宋体" w:eastAsia="宋体" w:hAnsi="宋体" w:hint="eastAsia"/>
                <w:color w:val="000000"/>
                <w:szCs w:val="18"/>
              </w:rPr>
              <w:t>合众享赢一号终身寿险</w:t>
            </w:r>
          </w:p>
        </w:tc>
        <w:tc>
          <w:tcPr>
            <w:tcW w:w="1191"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稳健收益型</w:t>
            </w:r>
          </w:p>
        </w:tc>
        <w:tc>
          <w:tcPr>
            <w:tcW w:w="992" w:type="dxa"/>
            <w:shd w:val="clear" w:color="auto" w:fill="auto"/>
            <w:vAlign w:val="center"/>
          </w:tcPr>
          <w:p w:rsidR="00F91C7C" w:rsidRDefault="00F91C7C" w:rsidP="00E1278A">
            <w:pPr>
              <w:jc w:val="center"/>
              <w:rPr>
                <w:rFonts w:ascii="宋体" w:eastAsia="宋体" w:hAnsi="宋体"/>
                <w:color w:val="000000"/>
                <w:szCs w:val="18"/>
              </w:rPr>
            </w:pPr>
            <w:r>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恒安标准人寿保险有限公司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恒安标准福惠专享投资连结保险、恒安标准黄金标准投资连结保险、恒安标准黄金标准投资连结保险(B款)、恒安标准领创财富投资连结保险(A/C款)、恒安标准领创智富投资连结保险(A/B款)、恒安标准领创金生投资连结保险(A/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现金型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Pr>
                <w:rFonts w:ascii="宋体" w:eastAsia="宋体" w:hAnsi="宋体" w:hint="eastAsia"/>
                <w:color w:val="000000"/>
                <w:szCs w:val="18"/>
              </w:rPr>
              <w:t>货币</w:t>
            </w:r>
            <w:r w:rsidRPr="00B022EE">
              <w:rPr>
                <w:rFonts w:ascii="宋体" w:eastAsia="宋体" w:hAnsi="宋体" w:hint="eastAsia"/>
                <w:color w:val="000000"/>
                <w:szCs w:val="18"/>
              </w:rPr>
              <w:t>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恒安标准人寿保险有限公司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恒安标准福惠专享投资连结保险、恒安标准黄金标准投资连结保险、恒安标准黄金标准投资连结保险(B款)、恒安标准领创财富投资连结保险(A/C款)、恒安标准领创智富投资连结保险(A/B款)、恒安标准领创金生投资连结保险(A/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恒安标准人寿保险有限公司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恒安标准福惠专享投资连结保险、恒安标准黄金标准投资连结保险、恒安标准黄金标准投资连结保险(B款)、恒安标准领创财富投资连结保险(A/C款)、恒安标准领创智富投资连结保险(A/B款)、恒安标准领创金生投资连结保险(A/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lastRenderedPageBreak/>
              <w:t>恒安标准人寿保险有限公司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恒安标准福惠专享投资连结保险、恒安标准黄金标准投资连结保险、恒安标准黄金标准投资连结保险(B款)、恒安标准领创财富投资连结保险(A/C款)、恒安标准领创智富投资连结保险(A/B款)、恒安标准领创金生投资连结保险(A/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成长型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恒安标准人寿保险有限公司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恒安标准福惠专享投资连结保险、恒安标准黄金标准投资连结保险、恒安标准黄金标准投资连结保险(B款)、恒安标准领创财富投资连结保险(A/C款)、恒安标准领创智富投资连结保险(A/B款)、恒安标准领创金生投资连结保险(A/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进取型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华泰人寿保险股份有限公司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吉年丰投连产品投资个险、吉年丰投连产品投资团险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进取型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华泰人寿保险股份有限公司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吉年丰投连产品投资个险、吉年丰投连产品投资团险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华泰人寿保险股份有限公司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吉年丰投连产品投资个险、吉年丰投连产品投资团险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汇丰人寿保险有限公司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汇丰汇智财丰投资连结保险、汇丰汇财宝投资连结保险(A/B款)、汇丰汇财宝两全保险C/D款(投资连结型)</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稳健成长</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汇丰人寿保险有限公司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汇丰汇智财丰投资连结保险、汇丰汇财宝投资连结保险(A/B款)、汇丰汇财宝两全保险C/D款(投资连结型)</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平衡增长</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汇丰人寿保险有限公司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汇丰汇智财丰投资连结保险、汇丰汇财宝投资连结保险(A/B款)、汇丰汇财宝两全保险C/D款(投资连结型)</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积极进取</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汇丰人寿保险有限公司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汇丰汇财宝两全保险C/D款(投资连结型)</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汇锋进取</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建信人寿保险有限公司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汇富人生投资连结保险B款、锦绣人生投资连结保险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主动积极型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建信人寿保险有限公司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汇富人生投资连结保险B款、锦绣人生投资连结保险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指数成长型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股票-指数型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建信人寿保险有限公司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汇富人生投资连结保险B款、锦绣人生投资连结保险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平衡收益型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建信人寿保险有限公司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汇富人生投资连结保险B款、锦绣人生投资连结保险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现金增利型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美国友邦保险有限公司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友邦聚财宝投资连结保险、友邦聚财宝B款投资连结保险、友邦财富通A款投资连结保险、友邦财富通B款投资连结保险、友邦少儿财富通B款投资连结保险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优选平衡组合</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美国友邦保险有限公司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友邦聚财宝投资连结保险、友邦聚财宝B款投资连结保险、友邦财富通A款投资连结保险、友邦财富通B款投资连结保险、友邦少儿财富通B款投资连结保险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增长组合</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美国友邦保险有限公司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友邦聚财宝投资连结保险、友邦聚财宝B款投资连结保险、友邦财富通A款投资连结保险、友邦财富通B款投资连结保险、友邦少儿财富通B款投资连结保险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稳健组合</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美国友邦保险有限公司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友邦聚财宝投资连结保险、友邦聚财宝B款投资连结保险、友邦财富通A款投资连结保险、友邦财富通B款投资连结保险、友邦少儿财富通B款投资连结保险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货币市场</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美国友邦保险有限公司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友邦聚财宝投资连结保险、友邦双盈人生投资连结保险、友邦聚财宝B款投资连结保险、友邦财富通A款投资连结保险、友邦财富通B款投资连结保险、友邦少儿财富通B款投资连结保险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内需精选组合</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平安养老保险股份有限公司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平安团体退休金投资连结保险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平安养老保险股份有限公司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平安团体退休金投资连结保险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平安养老保险股份有限公司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平安团体退休金投资连结保险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进取</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财富工程-创富人生投资连结保险、瑞泰财富工程-创富人生(B款)投资连结保险、瑞泰财富工程-卓越人生投资连结保险、瑞泰财富工程-精彩人生投资连结保险、瑞泰财富工程-稳健人生投资连结保险、瑞泰财富工程-绚丽人生投资连结保险、瑞泰财富工程投资连结保险、瑞泰精英之选投资连结保险、瑞泰安裕之选投资连结保险、瑞泰汇智之选投资连结保险、瑞泰尊贵之选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财富工程-创富人生投资连结保险、瑞泰财富工程-创富人生(B款)投资连结保险、瑞泰财富工程-卓越人生投资连结保险、瑞泰财富工程-精彩人生投资连结保险、瑞泰财富工程-稳健人生投资连结保险、瑞泰财富工程投资连结保险、瑞泰精英之选投资连结保险、瑞泰安裕之选投资连结保险、瑞泰汇智之选投资连结保险、瑞泰尊贵之选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稳定型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Pr>
                <w:rFonts w:ascii="宋体" w:eastAsia="宋体" w:hAnsi="宋体" w:hint="eastAsia"/>
                <w:color w:val="000000"/>
                <w:szCs w:val="18"/>
              </w:rPr>
              <w:t>债券</w:t>
            </w:r>
            <w:r w:rsidRPr="00B022EE">
              <w:rPr>
                <w:rFonts w:ascii="宋体" w:eastAsia="宋体" w:hAnsi="宋体" w:hint="eastAsia"/>
                <w:color w:val="000000"/>
                <w:szCs w:val="18"/>
              </w:rPr>
              <w:t>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财富工程-创富人生投资连结保险、瑞泰财富工程-创富人生(B款)投资连结保险、瑞泰财富工程-卓越人生投资连结保险、瑞泰财富工程-精彩人生投资连结保险、瑞泰财富工程-稳健人生投资连结保险、瑞泰财富工程投资连结保险、瑞泰精英之选投资连结保险、瑞泰安裕之选投资连结保险、瑞泰汇智之选投资连结保险、瑞泰尊贵之选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成长型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财富工程-创富人生投资连结保险、瑞泰财富工程-创富人生(B款)投资连结保险、瑞泰财富工程-卓越人生投资连结保险、瑞泰财富工程-精彩人生投资连结保险、瑞泰财富工程-稳健人生投资连结保险、瑞泰精英之选投资连结保险、瑞泰安裕之选投资连结保险、瑞泰汇智之选投资连结保险、瑞泰尊贵之选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安益型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Pr>
                <w:rFonts w:ascii="宋体" w:eastAsia="宋体" w:hAnsi="宋体" w:hint="eastAsia"/>
                <w:color w:val="000000"/>
                <w:szCs w:val="18"/>
              </w:rPr>
              <w:t>货币</w:t>
            </w:r>
            <w:r w:rsidRPr="00B022EE">
              <w:rPr>
                <w:rFonts w:ascii="宋体" w:eastAsia="宋体" w:hAnsi="宋体" w:hint="eastAsia"/>
                <w:color w:val="000000"/>
                <w:szCs w:val="18"/>
              </w:rPr>
              <w:t>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瑞泰财富工程-创富人生投资连结保险、瑞泰财富工程-创富人生(B款)投资连结</w:t>
            </w:r>
            <w:r w:rsidRPr="00B022EE">
              <w:rPr>
                <w:rFonts w:ascii="宋体" w:eastAsia="宋体" w:hAnsi="宋体" w:hint="eastAsia"/>
                <w:color w:val="000000"/>
                <w:szCs w:val="18"/>
              </w:rPr>
              <w:lastRenderedPageBreak/>
              <w:t>保险、瑞泰财富工程-卓越人生投资连结保险、瑞泰财富工程-精彩人生投资连结保险、瑞泰财富工程-稳健人生投资连结保险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lastRenderedPageBreak/>
              <w:t>避险型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lastRenderedPageBreak/>
              <w:t>瑞泰人寿保险有限公司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瑞泰精英之选投资连结保险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增值型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Pr>
                <w:rFonts w:ascii="宋体" w:eastAsia="宋体" w:hAnsi="宋体" w:hint="eastAsia"/>
                <w:color w:val="000000"/>
                <w:szCs w:val="18"/>
              </w:rPr>
              <w:t>债券</w:t>
            </w:r>
            <w:r w:rsidRPr="00B022EE">
              <w:rPr>
                <w:rFonts w:ascii="宋体" w:eastAsia="宋体" w:hAnsi="宋体" w:hint="eastAsia"/>
                <w:color w:val="000000"/>
                <w:szCs w:val="18"/>
              </w:rPr>
              <w:t>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瑞泰精英之选投资连结保险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进取型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赢丰之选投资连结保险、瑞泰赢通之选投资连结保险、瑞泰财富工程-财智人生投资连结保险、瑞泰智胜之选投资连结保险、瑞泰睿智之选投资连结保险、瑞泰赢家之选投资连结保险、瑞泰安丰之选投资连结保险保险、瑞泰安裕之选投资连结保险B款、瑞泰臻尊之选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财智安益</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Pr>
                <w:rFonts w:ascii="宋体" w:eastAsia="宋体" w:hAnsi="宋体" w:hint="eastAsia"/>
                <w:color w:val="000000"/>
                <w:szCs w:val="18"/>
              </w:rPr>
              <w:t>货币</w:t>
            </w:r>
            <w:r w:rsidRPr="00B022EE">
              <w:rPr>
                <w:rFonts w:ascii="宋体" w:eastAsia="宋体" w:hAnsi="宋体" w:hint="eastAsia"/>
                <w:color w:val="000000"/>
                <w:szCs w:val="18"/>
              </w:rPr>
              <w:t>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赢丰之选投资连结保险、瑞泰赢通之选投资连结保险、瑞泰诺亚之选(A/B款)投资连结保险、瑞泰优选之选投资连结保险、瑞泰优选之选投资连结保险(B款)、瑞泰财富工程-财智人生投资连结保险、瑞泰智胜之选投资连结保险、瑞泰睿智之选投资连结保险、瑞泰赢家之选投资连结保险、瑞泰安丰之选投资连结保险保险、瑞泰安裕之选投资连结保险B款、瑞泰i·易胜投资连结保险、瑞泰臻尊之选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财智稳定</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赢丰之选投资连结保险、瑞泰赢通之选投资连结保险、瑞泰诺亚之选(A、B款)投资连结保险、瑞泰优选之选投资连结保险、瑞泰优选之选投资连结保险(B款)、瑞泰安裕之选投资连结保险B款、瑞泰臻尊之选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财智增值</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Pr>
                <w:rFonts w:ascii="宋体" w:eastAsia="宋体" w:hAnsi="宋体" w:hint="eastAsia"/>
                <w:color w:val="000000"/>
                <w:szCs w:val="18"/>
              </w:rPr>
              <w:t>债券</w:t>
            </w:r>
            <w:r w:rsidRPr="00B022EE">
              <w:rPr>
                <w:rFonts w:ascii="宋体" w:eastAsia="宋体" w:hAnsi="宋体" w:hint="eastAsia"/>
                <w:color w:val="000000"/>
                <w:szCs w:val="18"/>
              </w:rPr>
              <w:t>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赢丰之选投资连结保险、瑞泰赢通之选投资连结保险、瑞泰诺亚之选(A/B款)投资连结保险、瑞泰优选之选投资连结保险、瑞泰优选之选投资连结保险(B款)、瑞泰财富工程-财智人生投资连结保险、瑞泰智胜之选投资连结保险、瑞泰睿智之选投资连结保险、瑞泰赢家之选投资连结保险、瑞泰安丰之选投资连结保险保险、瑞泰安裕之选投资连结保险B款、瑞泰臻尊之选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财智平衡</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Pr>
                <w:rFonts w:ascii="宋体" w:eastAsia="宋体" w:hAnsi="宋体" w:hint="eastAsia"/>
                <w:color w:val="000000"/>
                <w:szCs w:val="18"/>
              </w:rPr>
              <w:t>混合偏债</w:t>
            </w:r>
            <w:r w:rsidRPr="00B022EE">
              <w:rPr>
                <w:rFonts w:ascii="宋体" w:eastAsia="宋体" w:hAnsi="宋体" w:hint="eastAsia"/>
                <w:color w:val="000000"/>
                <w:szCs w:val="18"/>
              </w:rPr>
              <w:t>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赢丰之选投资连结保险、瑞泰赢通之选投资连结保险、瑞泰诺亚之选(A/B款)投资连结保险、瑞泰优选之选投资连结保险、瑞泰优选之选投资连结保险(B款)、瑞泰财富工程-财智人生投资连结保险、瑞泰智胜之选投资连结保险、瑞泰睿智之选投资连结保险、瑞泰赢家之选投资连结保险、瑞泰安丰之选投资连结保险保险、瑞泰安裕之选投资连结保险B款、瑞泰i·易胜投资连结保险、瑞泰臻尊之选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财智成长</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Pr>
                <w:rFonts w:ascii="宋体" w:eastAsia="宋体" w:hAnsi="宋体" w:hint="eastAsia"/>
                <w:color w:val="000000"/>
                <w:szCs w:val="18"/>
              </w:rPr>
              <w:t>混合偏股</w:t>
            </w:r>
            <w:r w:rsidRPr="00B022EE">
              <w:rPr>
                <w:rFonts w:ascii="宋体" w:eastAsia="宋体" w:hAnsi="宋体" w:hint="eastAsia"/>
                <w:color w:val="000000"/>
                <w:szCs w:val="18"/>
              </w:rPr>
              <w:t>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瑞泰赢丰之选投资连结保险、瑞泰赢通之选投资连结保险、瑞泰诺亚之选(A、B款)投资连结保险、瑞泰优选之选投资连结保险、瑞泰优选之选投资连结保险(B款)、瑞泰安裕之选投资连结保险B款、瑞泰臻尊之选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财智进取</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生命富泰赢家两全型投资连结保险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进取I</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生命富泰赢家两全型投资连结保险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平衡I</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生命富泰赢家两全型投资连结保险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稳健I</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生命富泰赢家两全型投资连结保险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进取II</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生命富泰赢家两全型投资连结保险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平衡II</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生命富泰赢家两全型投资连结保险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稳健II</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生命智赢天下终身型投资连结保险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精选股票型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生命智赢天下终身型投资连结保险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优选平衡型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生命智赢天下终身型投资连结保险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增强货币型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太平财富投资连结保险(A/C款)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蓝筹成长型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太平财富投资连结保险(A/C款)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平衡稳定型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太平财富投资连结保险(A/C款)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安益避险型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太平财富投资连结保险(B款)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价值先锋型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太平财富投资连结保险(B款)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均衡收益型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太平财富投资连结保险(B款)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稳健安心型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太平智胜投资连结保险2007</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策略成长型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太平智胜投资连结保险2007</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精选平衡型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太平智胜投资连结保险2007</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稳健避险型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太平智选团体养老金投资连结保险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智选忠诚保证</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太平智选团体养老金投资连结保险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智选动力增长</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太平智胜投资连结保险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智胜平衡稳健</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太平智胜投资连结保险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智胜动力增长</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泰康人寿保险股份有限公司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赢家理财投资连结保险、泰康e理财投资连结保险、泰康e理财A款投资连结保险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稳健收益型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lastRenderedPageBreak/>
              <w:t>泰康人寿保险股份有限公司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泰康赢家理财投资连结保险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平衡配置型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泰康人寿保险股份有限公司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泰康赢家理财投资连结保险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基金精选</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泰康人寿保险股份有限公司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泰康赢家理财投资连结保险、泰康e理财投资连结保险、泰康e理财A款投资连结保险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积极成长型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泰康人寿保险股份有限公司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泰康e理财C款投资连结保险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优选成长型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泰康人寿保险股份有限公司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泰康e理财C款投资连结保险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货币避险型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泰康人寿保险股份有限公司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放心理财投资连结保险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进取型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泰康人寿保险股份有限公司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放心理财投资连结保险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五年定期保证收益</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泰康人寿保险股份有限公司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泰康开泰稳利年金投资连结保险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开泰-稳利精选</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泰康人寿保险股份有限公司</w:t>
            </w:r>
          </w:p>
        </w:tc>
        <w:tc>
          <w:tcPr>
            <w:tcW w:w="6321" w:type="dxa"/>
            <w:shd w:val="clear" w:color="auto" w:fill="auto"/>
            <w:vAlign w:val="center"/>
          </w:tcPr>
          <w:p w:rsidR="00F91C7C" w:rsidRPr="007A4A1D" w:rsidRDefault="00F91C7C" w:rsidP="00E1278A">
            <w:pPr>
              <w:jc w:val="center"/>
              <w:rPr>
                <w:rFonts w:ascii="宋体" w:eastAsia="宋体" w:hAnsi="宋体"/>
                <w:color w:val="000000"/>
                <w:szCs w:val="18"/>
              </w:rPr>
            </w:pPr>
            <w:r w:rsidRPr="007A4A1D">
              <w:rPr>
                <w:rFonts w:ascii="宋体" w:eastAsia="宋体" w:hAnsi="宋体" w:hint="eastAsia"/>
                <w:color w:val="000000"/>
                <w:szCs w:val="18"/>
              </w:rPr>
              <w:t>泰康赢家理财B款终身寿险</w:t>
            </w:r>
          </w:p>
        </w:tc>
        <w:tc>
          <w:tcPr>
            <w:tcW w:w="1191"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创新动力型</w:t>
            </w:r>
          </w:p>
        </w:tc>
        <w:tc>
          <w:tcPr>
            <w:tcW w:w="992" w:type="dxa"/>
            <w:shd w:val="clear" w:color="auto" w:fill="auto"/>
            <w:vAlign w:val="center"/>
          </w:tcPr>
          <w:p w:rsidR="00F91C7C" w:rsidRPr="00B022EE" w:rsidRDefault="00F91C7C" w:rsidP="00E1278A">
            <w:pPr>
              <w:jc w:val="center"/>
              <w:rPr>
                <w:rFonts w:ascii="宋体" w:eastAsia="宋体" w:hAnsi="宋体"/>
                <w:color w:val="000000"/>
                <w:szCs w:val="18"/>
              </w:rPr>
            </w:pPr>
            <w:r>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新华人寿保险股份有限公司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创世之约投资连结保险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创世之约</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信诚金御双全投资连结保险B款、信诚运筹慧选投资连结保险、信诚福连金生投资连结保险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现金增利</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信诚金御双全投资连结保险B款、信诚运筹慧选投资连结保险、信诚福连金生投资连结保险、信诚智汇金生投资连结保险、信诚金御良缘投资连结保险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优选全债</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信诚金御双全投资连结保险B款、信诚运筹慧选投资连结保险、信诚智汇金生投资连结保险、信诚金御良缘投资连结保险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打新立稳</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信诚金御双全投资连结保险B款、信诚运筹慧选投资连结保险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稳健配置</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信诚金御双全投资连结保险B款、信诚运筹慧选投资连结保险、信诚福连金生投资连结保险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平衡增长</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信诚金御双全投资连结保险B款、信诚运筹慧选投资连结保险、信诚智汇金生投资连结保险、信诚金御良缘投资连结保险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策略成长</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信诚金御双全投资连结保险B款、信诚运筹慧选投资连结保险、信诚福连金生投资连结保险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积极成长</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信诚金御双全投资连结保险B款、信诚运筹慧选投资连结保险、信诚智汇金生投资连结保险、信诚金御良缘投资连结保险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季季长红利</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信诚金御双全投资连结保险B款、信诚运筹慧选投资连结保险、信诚福连金生投资连结保险、信诚智汇金生投资连结保险、信诚金御良缘投资连结保险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成长先锋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阳光人寿保险股份有限公司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胜券在握投资连结保险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步步为赢投资连结保险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进取</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步步为赢投资连结保险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步步为赢投资连结保险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步步为赢投资连结保险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现金增值</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吉祥宝趸缴型投资连结保险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积极型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吉祥宝趸缴型投资连结保险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配置型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吉祥宝趸缴型投资连结保险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平稳型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吉祥宝趸缴型投资连结保险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无忧型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吉祥宝趸缴型投资连结保险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成长型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股票-指数型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智富赢家投资连结保险(A/B款)、步步为赢II代投资连结保险、聚富赢家投资连结保险、创富投资连结保险、丰利年年投资连结保险、丰硕年年投资连结保险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先锋A型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智富赢家投资连结保险(A/B款)、步步为赢II代投资连结保险、聚富赢家投资连结保险、创富投资连结保险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和谐A型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智富赢家投资连结保险(A/B款)、步步为赢II代投资连结保险、聚富赢家投资连结保险、创富投资连结保险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添利A型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智富赢家投资连结保险(A/B款)、步步为赢II代投资连结保险、聚富赢家投资连结保险、创富投资连结保险、丰利年年投资连结保险、丰硕年年投资连结保险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货币A型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丰利年年投资连结保险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锐取A型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丰硕年年投资连结保险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灵动A型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智富赢家投资连结保险(C/D款)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先锋B型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智富赢家投资连结保险(C/D款)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和谐B型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智富赢家投资连结保险(C/D款)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添利B型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智富赢家投资连结保险(C/D款)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货币B型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智汇赢家投资连结保险(A/B款)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先锋C型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lastRenderedPageBreak/>
              <w:t>招商信诺人寿保险有限公司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智汇赢家投资连结保险(A/B款)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添利C型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中德安联人寿保险有限公司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投金世家投资连结保险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成长型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中德安联人寿保险有限公司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投金世家投资连结保险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中德安联人寿保险有限公司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投金世家投资连结保险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安益型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中德安联人寿保险有限公司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安联安盈世家投资连结保险、安联安盈世家(II)投资连结保险、安联汇金世家投资连结保险、安联汇金世家(II)投资连结保险、安联安盈丰瑞投资连结保险、安盈一生投资连结保险(团险)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财富成长型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中德安联人寿保险有限公司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安联安盈世家投资连结保险、安联安盈世家(II)投资连结保险、安联汇金世家投资连结保险、安联汇金世家(II)投资连结保险、安联安盈丰瑞投资连结保险、安盈一生投资连结保险(团险)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理财平衡型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中德安联人寿保险有限公司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安联安盈世家投资连结保险、安联安盈世家(II)投资连结保险、安联汇金世家投资连结保险、安联汇金世家(II)投资连结保险、安联安盈丰瑞投资连结保险、安盈一生投资连结保险(团险)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省心安益型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中德安联人寿保险有限公司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安联汇金世家(II)投资连结保险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指数优势型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股票-指数型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中德安联人寿保险有限公司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安联汇金世家(II)投资连结保险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债券稳健型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中国平安人寿保险股份有限公司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平安聚富年年投资连结保险、平安世纪才俊投资连结保险、平安赢定金生投资连结保险、平安聚富步步高投资连结保险、平安世纪理财投资连结保险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发展</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中国平安人寿保险股份有限公司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平安世纪理财投资连结保险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保证收益</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中国平安人寿保险股份有限公司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平安聚富年年投资连结保险、平安世纪才俊投资连结保险、平安赢定金生投资连结保险、平安聚富步步高投资连结保险、平安世纪理财投资连结保险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基金</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中国平安人寿保险股份有限公司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平安世纪理财投资连结保险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价值增长</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中国平安人寿保险股份有限公司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平安聚富年年投资连结保险、平安世纪才俊投资连结保险、平安赢定金生投资连结保险、平安聚富步步高投资连结保险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精选权益</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中国平安人寿保险股份有限公司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平安聚富年年投资连结保险、平安世纪才俊投资连结保险、平安赢定金生投资连结保险、平安聚富步步高投资连结保险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中国人寿保险股份有限公司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国寿裕丰投资连结保险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稳健债券</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中国人寿保险股份有限公司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国寿裕丰投资连结保险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平衡增长</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中国人寿保险股份有限公司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国寿裕丰投资连结保险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精选价值</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中国人寿保险股份有限公司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国寿裕丰投资连结保险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进取股票</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中荷人寿保险有限公司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财富金生投资连结保险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成长型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中荷人寿保险有限公司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财富金生投资连结保险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中荷人寿保险有限公司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财富金生投资连结保险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中荷人寿保险有限公司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财富金生投资连结保险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避险型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中宏人寿保险有限公司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中宏附加鸿运人生投资连结保险、中宏金玉盈盈投资连结保险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积极成长型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中宏人寿保险有限公司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中宏附加鸿运人生投资连结保险、中宏金玉盈盈投资连结保险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稳健成长型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中宏人寿保险有限公司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中宏附加鸿运人生投资连结保险、中宏金玉盈盈投资连结保险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行业焦点型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中宏人寿保险有限公司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中宏附加鸿运人生投资连结保险、中宏金玉盈盈投资连结保险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现金管理型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Pr>
                <w:rFonts w:ascii="宋体" w:eastAsia="宋体" w:hAnsi="宋体" w:hint="eastAsia"/>
                <w:color w:val="000000"/>
                <w:szCs w:val="18"/>
              </w:rPr>
              <w:t>货币</w:t>
            </w:r>
            <w:r w:rsidRPr="00B022EE">
              <w:rPr>
                <w:rFonts w:ascii="宋体" w:eastAsia="宋体" w:hAnsi="宋体" w:hint="eastAsia"/>
                <w:color w:val="000000"/>
                <w:szCs w:val="18"/>
              </w:rPr>
              <w:t>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中宏人寿保险有限公司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中宏投资管家附加投资连结保险条款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投资管家</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灵活配置型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中美联泰大都会人寿保险有限公司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财富精选投资连结保险(A/B/C款)、财富优势投资连结保险、钱程似锦投资连结保险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中美联泰大都会人寿保险有限公司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财富精选投资连结保险(A/B/C款)、财富优势投资连结保险、钱程似锦投资连结保险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中美联泰大都会人寿保险有限公司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财富精选投资连结保险(A/B/C款)、财富优势投资连结保险、钱程似锦投资连结保险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中美联泰大都会人寿保险有限公司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财富精选投资连结保险(A/B/C款)、财富优势投资连结保险、钱程似锦投资连结保险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中美联泰大都会人寿保险有限公司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财富精选投资连结保险(A/B/C款)、财富优势投资连结保险、钱程似锦投资连结保险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中美联泰大都会人寿保险有限公司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中美联泰财富策略平衡投资保障计划(A/B款)、中美联泰财富动态平衡投资连结保险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8020进取型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中美联泰大都会人寿保险有限公司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中美联泰财富策略平衡投资保障计划(A/B款)、中美联泰财富动态平衡投资连结保险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5545平衡型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混合偏股型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lastRenderedPageBreak/>
              <w:t>中美联泰大都会人寿保险有限公司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中美联泰财富策略平衡投资保障计划(A/B款)、中美联泰财富动态平衡投资连结保险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3070稳健型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中意人寿保险有限公司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中意吉利理财投资连结保险、中意恒利理财投资连结保险、中意创利理财投资连结保险、中意创意理财投资连结保险、中意一生中意投资连结保险、中意投连理财投资连结保险(团险)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中意人寿保险有限公司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中意吉利理财投资连结保险、中意恒利理财投资连结保险、中意创利理财投资连结保险、中意创意理财投资连结保险、中意一生中意投资连结保险、中意投连理财投资连结保险(团险)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增长</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Pr>
                <w:rFonts w:ascii="宋体" w:eastAsia="宋体" w:hAnsi="宋体" w:hint="eastAsia"/>
                <w:color w:val="000000"/>
                <w:szCs w:val="18"/>
              </w:rPr>
              <w:t>混合偏债</w:t>
            </w:r>
            <w:r w:rsidRPr="00B022EE">
              <w:rPr>
                <w:rFonts w:ascii="宋体" w:eastAsia="宋体" w:hAnsi="宋体" w:hint="eastAsia"/>
                <w:color w:val="000000"/>
                <w:szCs w:val="18"/>
              </w:rPr>
              <w:t>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中意人寿保险有限公司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中意智尊理财投资连结保险、中意年年创意理财投资连结保险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策略增长</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混合偏债型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中意人寿保险有限公司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中意智尊理财投资连结保险、中意年年创意理财投资连结保险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积极进取</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Pr>
                <w:rFonts w:ascii="宋体" w:eastAsia="宋体" w:hAnsi="宋体" w:hint="eastAsia"/>
                <w:color w:val="000000"/>
                <w:szCs w:val="18"/>
              </w:rPr>
              <w:t>灵活配置</w:t>
            </w:r>
            <w:r w:rsidRPr="00B022EE">
              <w:rPr>
                <w:rFonts w:ascii="宋体" w:eastAsia="宋体" w:hAnsi="宋体" w:hint="eastAsia"/>
                <w:color w:val="000000"/>
                <w:szCs w:val="18"/>
              </w:rPr>
              <w:t>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中意人寿保险有限公司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中意智尊理财投资连结保险、中意年年创意理财投资连结保险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安逸稳健</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中英人寿保险有限公司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金彩连连投资连结保险、金芒果投资连结保险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积极型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中英人寿保险有限公司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金彩连连投资连结保险、金芒果投资连结保险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指数型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股票-指数型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中英人寿保险有限公司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金彩连连投资连结保险、金芒果投资连结保险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Pr>
                <w:rFonts w:ascii="宋体" w:eastAsia="宋体" w:hAnsi="宋体" w:hint="eastAsia"/>
                <w:color w:val="000000"/>
                <w:szCs w:val="18"/>
              </w:rPr>
              <w:t>混合偏股</w:t>
            </w:r>
            <w:r w:rsidRPr="00B022EE">
              <w:rPr>
                <w:rFonts w:ascii="宋体" w:eastAsia="宋体" w:hAnsi="宋体" w:hint="eastAsia"/>
                <w:color w:val="000000"/>
                <w:szCs w:val="18"/>
              </w:rPr>
              <w:t>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中英人寿保险有限公司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金彩连连投资连结保险、金芒果投资连结保险</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稳健型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中英人寿保险有限公司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金彩连连投资连结保险、金彩连连投资连结保险B款、金芒果投资连结保险、金芒果投资连结保险B款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避险型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货币型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中英人寿保险有限公司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金彩连连投资连结保险B款、金芒果投资连结保险B款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成长型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中英人寿保险有限公司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金彩连连投资连结保险B款、金芒果投资连结保险B款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指数增强型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股票-指数型</w:t>
            </w:r>
          </w:p>
        </w:tc>
      </w:tr>
      <w:tr w:rsidR="00F91C7C" w:rsidRPr="00495842" w:rsidTr="00E1278A">
        <w:trPr>
          <w:trHeight w:val="45"/>
          <w:jc w:val="center"/>
        </w:trPr>
        <w:tc>
          <w:tcPr>
            <w:tcW w:w="2268"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中英人寿保险有限公司</w:t>
            </w:r>
          </w:p>
        </w:tc>
        <w:tc>
          <w:tcPr>
            <w:tcW w:w="632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金彩连连投资连结保险B款、金芒果投资连结保险B款</w:t>
            </w:r>
          </w:p>
        </w:tc>
        <w:tc>
          <w:tcPr>
            <w:tcW w:w="1191" w:type="dxa"/>
            <w:shd w:val="clear" w:color="auto" w:fill="auto"/>
            <w:vAlign w:val="center"/>
          </w:tcPr>
          <w:p w:rsidR="00F91C7C" w:rsidRPr="00B022EE" w:rsidRDefault="00F91C7C" w:rsidP="00E1278A">
            <w:pPr>
              <w:jc w:val="center"/>
              <w:rPr>
                <w:rFonts w:ascii="宋体" w:eastAsia="宋体" w:hAnsi="宋体" w:cs="宋体"/>
                <w:color w:val="000000"/>
                <w:szCs w:val="18"/>
              </w:rPr>
            </w:pPr>
            <w:r w:rsidRPr="00B022EE">
              <w:rPr>
                <w:rFonts w:ascii="宋体" w:eastAsia="宋体" w:hAnsi="宋体" w:hint="eastAsia"/>
                <w:color w:val="000000"/>
                <w:szCs w:val="18"/>
              </w:rPr>
              <w:t>平衡配置型</w:t>
            </w:r>
          </w:p>
        </w:tc>
        <w:tc>
          <w:tcPr>
            <w:tcW w:w="992" w:type="dxa"/>
            <w:shd w:val="clear" w:color="auto" w:fill="auto"/>
            <w:vAlign w:val="center"/>
          </w:tcPr>
          <w:p w:rsidR="00F91C7C" w:rsidRPr="00B022EE" w:rsidRDefault="00F91C7C" w:rsidP="00E1278A">
            <w:pPr>
              <w:jc w:val="center"/>
              <w:rPr>
                <w:rFonts w:ascii="宋体" w:eastAsia="宋体" w:hAnsi="宋体" w:cs="宋体"/>
                <w:color w:val="000000"/>
                <w:szCs w:val="18"/>
              </w:rPr>
            </w:pPr>
            <w:r>
              <w:rPr>
                <w:rFonts w:ascii="宋体" w:eastAsia="宋体" w:hAnsi="宋体" w:hint="eastAsia"/>
                <w:color w:val="000000"/>
                <w:szCs w:val="18"/>
              </w:rPr>
              <w:t>混合偏股</w:t>
            </w:r>
            <w:r w:rsidRPr="00B022EE">
              <w:rPr>
                <w:rFonts w:ascii="宋体" w:eastAsia="宋体" w:hAnsi="宋体" w:hint="eastAsia"/>
                <w:color w:val="000000"/>
                <w:szCs w:val="18"/>
              </w:rPr>
              <w:t>型</w:t>
            </w:r>
          </w:p>
        </w:tc>
      </w:tr>
      <w:tr w:rsidR="00F91C7C" w:rsidRPr="00495842" w:rsidTr="00E1278A">
        <w:trPr>
          <w:trHeight w:val="45"/>
          <w:jc w:val="center"/>
        </w:trPr>
        <w:tc>
          <w:tcPr>
            <w:tcW w:w="2268" w:type="dxa"/>
            <w:shd w:val="clear" w:color="auto" w:fill="auto"/>
            <w:vAlign w:val="center"/>
          </w:tcPr>
          <w:p w:rsidR="00F91C7C" w:rsidRPr="00CB17E3" w:rsidRDefault="00F91C7C" w:rsidP="00E1278A">
            <w:pPr>
              <w:jc w:val="center"/>
              <w:rPr>
                <w:rFonts w:ascii="宋体" w:eastAsia="宋体" w:hAnsi="宋体"/>
                <w:color w:val="000000"/>
                <w:szCs w:val="18"/>
              </w:rPr>
            </w:pPr>
            <w:r w:rsidRPr="00CB17E3">
              <w:rPr>
                <w:rFonts w:ascii="宋体" w:eastAsia="宋体" w:hAnsi="宋体" w:hint="eastAsia"/>
                <w:color w:val="000000"/>
                <w:szCs w:val="18"/>
              </w:rPr>
              <w:t>信泰人寿保险股份有限公司</w:t>
            </w:r>
          </w:p>
        </w:tc>
        <w:tc>
          <w:tcPr>
            <w:tcW w:w="6321" w:type="dxa"/>
            <w:shd w:val="clear" w:color="auto" w:fill="auto"/>
            <w:vAlign w:val="center"/>
          </w:tcPr>
          <w:p w:rsidR="00F91C7C" w:rsidRPr="00CB17E3" w:rsidRDefault="00F91C7C" w:rsidP="00E1278A">
            <w:pPr>
              <w:jc w:val="center"/>
              <w:rPr>
                <w:rFonts w:ascii="宋体" w:eastAsia="宋体" w:hAnsi="宋体"/>
                <w:color w:val="000000"/>
                <w:szCs w:val="18"/>
              </w:rPr>
            </w:pPr>
            <w:r w:rsidRPr="00CB17E3">
              <w:rPr>
                <w:rFonts w:ascii="宋体" w:eastAsia="宋体" w:hAnsi="宋体" w:hint="eastAsia"/>
                <w:color w:val="000000"/>
                <w:szCs w:val="18"/>
              </w:rPr>
              <w:t>信泰恒星终身寿险</w:t>
            </w:r>
          </w:p>
        </w:tc>
        <w:tc>
          <w:tcPr>
            <w:tcW w:w="1191" w:type="dxa"/>
            <w:shd w:val="clear" w:color="auto" w:fill="auto"/>
            <w:vAlign w:val="center"/>
          </w:tcPr>
          <w:p w:rsidR="00F91C7C" w:rsidRPr="00CB17E3" w:rsidRDefault="00F91C7C" w:rsidP="00E1278A">
            <w:pPr>
              <w:jc w:val="center"/>
              <w:rPr>
                <w:rFonts w:ascii="宋体" w:eastAsia="宋体" w:hAnsi="宋体"/>
                <w:color w:val="000000"/>
                <w:szCs w:val="18"/>
              </w:rPr>
            </w:pPr>
            <w:r w:rsidRPr="00CB17E3">
              <w:rPr>
                <w:rFonts w:ascii="宋体" w:eastAsia="宋体" w:hAnsi="宋体" w:hint="eastAsia"/>
                <w:color w:val="000000"/>
                <w:szCs w:val="18"/>
              </w:rPr>
              <w:t>恒星优胜股票投资账户</w:t>
            </w:r>
          </w:p>
        </w:tc>
        <w:tc>
          <w:tcPr>
            <w:tcW w:w="992" w:type="dxa"/>
            <w:shd w:val="clear" w:color="auto" w:fill="auto"/>
            <w:vAlign w:val="center"/>
          </w:tcPr>
          <w:p w:rsidR="00F91C7C" w:rsidRPr="00CB17E3" w:rsidRDefault="00F91C7C" w:rsidP="00E1278A">
            <w:pPr>
              <w:jc w:val="center"/>
              <w:rPr>
                <w:rFonts w:ascii="宋体" w:eastAsia="宋体" w:hAnsi="宋体"/>
                <w:color w:val="000000"/>
                <w:szCs w:val="18"/>
              </w:rPr>
            </w:pPr>
            <w:r w:rsidRPr="00CB17E3">
              <w:rPr>
                <w:rFonts w:ascii="宋体" w:eastAsia="宋体" w:hAnsi="宋体" w:hint="eastAsia"/>
                <w:color w:val="000000"/>
                <w:szCs w:val="18"/>
              </w:rPr>
              <w:t>股票型</w:t>
            </w:r>
          </w:p>
        </w:tc>
      </w:tr>
      <w:tr w:rsidR="00F91C7C" w:rsidRPr="00495842" w:rsidTr="00E1278A">
        <w:trPr>
          <w:trHeight w:val="45"/>
          <w:jc w:val="center"/>
        </w:trPr>
        <w:tc>
          <w:tcPr>
            <w:tcW w:w="2268" w:type="dxa"/>
            <w:shd w:val="clear" w:color="auto" w:fill="auto"/>
            <w:vAlign w:val="center"/>
          </w:tcPr>
          <w:p w:rsidR="00F91C7C" w:rsidRPr="00CB17E3" w:rsidRDefault="00F91C7C" w:rsidP="00E1278A">
            <w:pPr>
              <w:jc w:val="center"/>
              <w:rPr>
                <w:rFonts w:ascii="宋体" w:eastAsia="宋体" w:hAnsi="宋体"/>
                <w:color w:val="000000"/>
                <w:szCs w:val="18"/>
              </w:rPr>
            </w:pPr>
            <w:r w:rsidRPr="00CB17E3">
              <w:rPr>
                <w:rFonts w:ascii="宋体" w:eastAsia="宋体" w:hAnsi="宋体" w:hint="eastAsia"/>
                <w:color w:val="000000"/>
                <w:szCs w:val="18"/>
              </w:rPr>
              <w:t>信泰人寿保险股份有限公司</w:t>
            </w:r>
          </w:p>
        </w:tc>
        <w:tc>
          <w:tcPr>
            <w:tcW w:w="6321" w:type="dxa"/>
            <w:shd w:val="clear" w:color="auto" w:fill="auto"/>
            <w:vAlign w:val="center"/>
          </w:tcPr>
          <w:p w:rsidR="00F91C7C" w:rsidRPr="00CB17E3" w:rsidRDefault="00F91C7C" w:rsidP="00E1278A">
            <w:pPr>
              <w:jc w:val="center"/>
              <w:rPr>
                <w:rFonts w:ascii="宋体" w:eastAsia="宋体" w:hAnsi="宋体"/>
                <w:color w:val="000000"/>
                <w:szCs w:val="18"/>
              </w:rPr>
            </w:pPr>
            <w:r w:rsidRPr="00CB17E3">
              <w:rPr>
                <w:rFonts w:ascii="宋体" w:eastAsia="宋体" w:hAnsi="宋体" w:hint="eastAsia"/>
                <w:color w:val="000000"/>
                <w:szCs w:val="18"/>
              </w:rPr>
              <w:t>信泰恒星终身寿险</w:t>
            </w:r>
          </w:p>
        </w:tc>
        <w:tc>
          <w:tcPr>
            <w:tcW w:w="1191" w:type="dxa"/>
            <w:shd w:val="clear" w:color="auto" w:fill="auto"/>
            <w:vAlign w:val="center"/>
          </w:tcPr>
          <w:p w:rsidR="00F91C7C" w:rsidRPr="00CB17E3" w:rsidRDefault="00F91C7C" w:rsidP="00E1278A">
            <w:pPr>
              <w:jc w:val="center"/>
              <w:rPr>
                <w:rFonts w:ascii="宋体" w:eastAsia="宋体" w:hAnsi="宋体"/>
                <w:color w:val="000000"/>
                <w:szCs w:val="18"/>
              </w:rPr>
            </w:pPr>
            <w:r w:rsidRPr="00CB17E3">
              <w:rPr>
                <w:rFonts w:ascii="宋体" w:eastAsia="宋体" w:hAnsi="宋体" w:hint="eastAsia"/>
                <w:color w:val="000000"/>
                <w:szCs w:val="18"/>
              </w:rPr>
              <w:t>恒星稳胜债券投资账户</w:t>
            </w:r>
          </w:p>
        </w:tc>
        <w:tc>
          <w:tcPr>
            <w:tcW w:w="992" w:type="dxa"/>
            <w:shd w:val="clear" w:color="auto" w:fill="auto"/>
            <w:vAlign w:val="center"/>
          </w:tcPr>
          <w:p w:rsidR="00F91C7C" w:rsidRPr="00CB17E3" w:rsidRDefault="00F91C7C" w:rsidP="00E1278A">
            <w:pPr>
              <w:jc w:val="center"/>
              <w:rPr>
                <w:rFonts w:ascii="宋体" w:eastAsia="宋体" w:hAnsi="宋体"/>
                <w:color w:val="000000"/>
                <w:szCs w:val="18"/>
              </w:rPr>
            </w:pPr>
            <w:r w:rsidRPr="00CB17E3">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CB17E3" w:rsidRDefault="00F91C7C" w:rsidP="00E1278A">
            <w:pPr>
              <w:jc w:val="center"/>
              <w:rPr>
                <w:rFonts w:ascii="宋体" w:eastAsia="宋体" w:hAnsi="宋体"/>
                <w:color w:val="000000"/>
                <w:szCs w:val="18"/>
              </w:rPr>
            </w:pPr>
            <w:r w:rsidRPr="00CB17E3">
              <w:rPr>
                <w:rFonts w:ascii="宋体" w:eastAsia="宋体" w:hAnsi="宋体" w:hint="eastAsia"/>
                <w:color w:val="000000"/>
                <w:szCs w:val="18"/>
              </w:rPr>
              <w:t>信泰人寿保险股份有限公司</w:t>
            </w:r>
          </w:p>
        </w:tc>
        <w:tc>
          <w:tcPr>
            <w:tcW w:w="6321" w:type="dxa"/>
            <w:shd w:val="clear" w:color="auto" w:fill="auto"/>
            <w:vAlign w:val="center"/>
          </w:tcPr>
          <w:p w:rsidR="00F91C7C" w:rsidRPr="00CB17E3" w:rsidRDefault="00F91C7C" w:rsidP="00E1278A">
            <w:pPr>
              <w:jc w:val="center"/>
              <w:rPr>
                <w:rFonts w:ascii="宋体" w:eastAsia="宋体" w:hAnsi="宋体"/>
                <w:color w:val="000000"/>
                <w:szCs w:val="18"/>
              </w:rPr>
            </w:pPr>
            <w:r w:rsidRPr="00CB17E3">
              <w:rPr>
                <w:rFonts w:ascii="宋体" w:eastAsia="宋体" w:hAnsi="宋体" w:hint="eastAsia"/>
                <w:color w:val="000000"/>
                <w:szCs w:val="18"/>
              </w:rPr>
              <w:t>信泰恒星终身寿险</w:t>
            </w:r>
          </w:p>
        </w:tc>
        <w:tc>
          <w:tcPr>
            <w:tcW w:w="1191" w:type="dxa"/>
            <w:shd w:val="clear" w:color="auto" w:fill="auto"/>
            <w:vAlign w:val="center"/>
          </w:tcPr>
          <w:p w:rsidR="00F91C7C" w:rsidRPr="00CB17E3" w:rsidRDefault="00F91C7C" w:rsidP="00E1278A">
            <w:pPr>
              <w:jc w:val="center"/>
              <w:rPr>
                <w:rFonts w:ascii="宋体" w:eastAsia="宋体" w:hAnsi="宋体"/>
                <w:color w:val="000000"/>
                <w:szCs w:val="18"/>
              </w:rPr>
            </w:pPr>
            <w:r w:rsidRPr="00CB17E3">
              <w:rPr>
                <w:rFonts w:ascii="宋体" w:eastAsia="宋体" w:hAnsi="宋体" w:hint="eastAsia"/>
                <w:color w:val="000000"/>
                <w:szCs w:val="18"/>
              </w:rPr>
              <w:t>恒星智胜基金投资账户</w:t>
            </w:r>
          </w:p>
        </w:tc>
        <w:tc>
          <w:tcPr>
            <w:tcW w:w="992" w:type="dxa"/>
            <w:shd w:val="clear" w:color="auto" w:fill="auto"/>
            <w:vAlign w:val="center"/>
          </w:tcPr>
          <w:p w:rsidR="00F91C7C" w:rsidRPr="00CB17E3" w:rsidRDefault="00F91C7C" w:rsidP="00E1278A">
            <w:pPr>
              <w:jc w:val="center"/>
              <w:rPr>
                <w:rFonts w:ascii="宋体" w:eastAsia="宋体" w:hAnsi="宋体"/>
                <w:color w:val="000000"/>
                <w:szCs w:val="18"/>
              </w:rPr>
            </w:pPr>
            <w:r w:rsidRPr="00CB17E3">
              <w:rPr>
                <w:rFonts w:ascii="宋体" w:eastAsia="宋体" w:hAnsi="宋体" w:hint="eastAsia"/>
                <w:color w:val="000000"/>
                <w:szCs w:val="18"/>
              </w:rPr>
              <w:t>混合偏股</w:t>
            </w:r>
            <w:r>
              <w:rPr>
                <w:rFonts w:ascii="宋体" w:eastAsia="宋体" w:hAnsi="宋体" w:hint="eastAsia"/>
                <w:color w:val="000000"/>
                <w:szCs w:val="18"/>
              </w:rPr>
              <w:t>型</w:t>
            </w:r>
          </w:p>
        </w:tc>
      </w:tr>
      <w:tr w:rsidR="00F91C7C" w:rsidRPr="00495842" w:rsidTr="00E1278A">
        <w:trPr>
          <w:trHeight w:val="45"/>
          <w:jc w:val="center"/>
        </w:trPr>
        <w:tc>
          <w:tcPr>
            <w:tcW w:w="2268" w:type="dxa"/>
            <w:shd w:val="clear" w:color="auto" w:fill="auto"/>
            <w:vAlign w:val="center"/>
          </w:tcPr>
          <w:p w:rsidR="00F91C7C" w:rsidRPr="00CB17E3" w:rsidRDefault="00F91C7C" w:rsidP="00E1278A">
            <w:pPr>
              <w:jc w:val="center"/>
              <w:rPr>
                <w:rFonts w:ascii="宋体" w:eastAsia="宋体" w:hAnsi="宋体"/>
                <w:color w:val="000000"/>
                <w:szCs w:val="18"/>
              </w:rPr>
            </w:pPr>
            <w:r>
              <w:rPr>
                <w:rFonts w:ascii="宋体" w:eastAsia="宋体" w:hAnsi="宋体" w:hint="eastAsia"/>
                <w:color w:val="000000"/>
                <w:szCs w:val="18"/>
              </w:rPr>
              <w:t>国华人寿保险股份有限公司</w:t>
            </w:r>
          </w:p>
        </w:tc>
        <w:tc>
          <w:tcPr>
            <w:tcW w:w="6321" w:type="dxa"/>
            <w:shd w:val="clear" w:color="auto" w:fill="auto"/>
            <w:vAlign w:val="center"/>
          </w:tcPr>
          <w:p w:rsidR="00F91C7C" w:rsidRPr="00CB17E3" w:rsidRDefault="00F91C7C" w:rsidP="00E1278A">
            <w:pPr>
              <w:jc w:val="center"/>
              <w:rPr>
                <w:rFonts w:ascii="宋体" w:eastAsia="宋体" w:hAnsi="宋体"/>
                <w:color w:val="000000"/>
                <w:szCs w:val="18"/>
              </w:rPr>
            </w:pPr>
            <w:r>
              <w:rPr>
                <w:rFonts w:ascii="宋体" w:eastAsia="宋体" w:hAnsi="宋体" w:hint="eastAsia"/>
                <w:color w:val="000000"/>
                <w:szCs w:val="18"/>
              </w:rPr>
              <w:t>国华华瑞1号终身寿险A款</w:t>
            </w:r>
          </w:p>
        </w:tc>
        <w:tc>
          <w:tcPr>
            <w:tcW w:w="1191" w:type="dxa"/>
            <w:shd w:val="clear" w:color="auto" w:fill="auto"/>
            <w:vAlign w:val="center"/>
          </w:tcPr>
          <w:p w:rsidR="00F91C7C" w:rsidRPr="00CB17E3" w:rsidRDefault="00F91C7C" w:rsidP="00E1278A">
            <w:pPr>
              <w:jc w:val="center"/>
              <w:rPr>
                <w:rFonts w:ascii="宋体" w:eastAsia="宋体" w:hAnsi="宋体"/>
                <w:color w:val="000000"/>
                <w:szCs w:val="18"/>
              </w:rPr>
            </w:pPr>
            <w:r>
              <w:rPr>
                <w:rFonts w:ascii="宋体" w:eastAsia="宋体" w:hAnsi="宋体" w:hint="eastAsia"/>
                <w:color w:val="000000"/>
                <w:szCs w:val="18"/>
              </w:rPr>
              <w:t>稳健型</w:t>
            </w:r>
          </w:p>
        </w:tc>
        <w:tc>
          <w:tcPr>
            <w:tcW w:w="992" w:type="dxa"/>
            <w:shd w:val="clear" w:color="auto" w:fill="auto"/>
            <w:vAlign w:val="center"/>
          </w:tcPr>
          <w:p w:rsidR="00F91C7C" w:rsidRPr="00CB17E3" w:rsidRDefault="00F91C7C" w:rsidP="00E1278A">
            <w:pPr>
              <w:jc w:val="center"/>
              <w:rPr>
                <w:rFonts w:ascii="宋体" w:eastAsia="宋体" w:hAnsi="宋体"/>
                <w:color w:val="000000"/>
                <w:szCs w:val="18"/>
              </w:rPr>
            </w:pPr>
            <w:r>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Pr="00CB17E3" w:rsidRDefault="00F91C7C" w:rsidP="00E1278A">
            <w:pPr>
              <w:jc w:val="center"/>
              <w:rPr>
                <w:rFonts w:ascii="宋体" w:eastAsia="宋体" w:hAnsi="宋体"/>
                <w:color w:val="000000"/>
                <w:szCs w:val="18"/>
              </w:rPr>
            </w:pPr>
            <w:r>
              <w:rPr>
                <w:rFonts w:ascii="宋体" w:eastAsia="宋体" w:hAnsi="宋体" w:hint="eastAsia"/>
                <w:color w:val="000000"/>
                <w:szCs w:val="18"/>
              </w:rPr>
              <w:t>国华人寿保险股份有限公司</w:t>
            </w:r>
          </w:p>
        </w:tc>
        <w:tc>
          <w:tcPr>
            <w:tcW w:w="6321" w:type="dxa"/>
            <w:shd w:val="clear" w:color="auto" w:fill="auto"/>
            <w:vAlign w:val="center"/>
          </w:tcPr>
          <w:p w:rsidR="00F91C7C" w:rsidRPr="00CB17E3" w:rsidRDefault="00F91C7C" w:rsidP="00E1278A">
            <w:pPr>
              <w:jc w:val="center"/>
              <w:rPr>
                <w:rFonts w:ascii="宋体" w:eastAsia="宋体" w:hAnsi="宋体"/>
                <w:color w:val="000000"/>
                <w:szCs w:val="18"/>
              </w:rPr>
            </w:pPr>
            <w:r>
              <w:rPr>
                <w:rFonts w:ascii="宋体" w:eastAsia="宋体" w:hAnsi="宋体" w:hint="eastAsia"/>
                <w:color w:val="000000"/>
                <w:szCs w:val="18"/>
              </w:rPr>
              <w:t>国华华瑞1号终身寿险A款</w:t>
            </w:r>
          </w:p>
        </w:tc>
        <w:tc>
          <w:tcPr>
            <w:tcW w:w="1191" w:type="dxa"/>
            <w:shd w:val="clear" w:color="auto" w:fill="auto"/>
            <w:vAlign w:val="center"/>
          </w:tcPr>
          <w:p w:rsidR="00F91C7C" w:rsidRPr="00CB17E3" w:rsidRDefault="00F91C7C" w:rsidP="00E1278A">
            <w:pPr>
              <w:jc w:val="center"/>
              <w:rPr>
                <w:rFonts w:ascii="宋体" w:eastAsia="宋体" w:hAnsi="宋体"/>
                <w:color w:val="000000"/>
                <w:szCs w:val="18"/>
              </w:rPr>
            </w:pPr>
            <w:r>
              <w:rPr>
                <w:rFonts w:ascii="宋体" w:eastAsia="宋体" w:hAnsi="宋体" w:hint="eastAsia"/>
                <w:color w:val="000000"/>
                <w:szCs w:val="18"/>
              </w:rPr>
              <w:t>灵活型</w:t>
            </w:r>
          </w:p>
        </w:tc>
        <w:tc>
          <w:tcPr>
            <w:tcW w:w="992" w:type="dxa"/>
            <w:shd w:val="clear" w:color="auto" w:fill="auto"/>
            <w:vAlign w:val="center"/>
          </w:tcPr>
          <w:p w:rsidR="00F91C7C" w:rsidRPr="00CB17E3" w:rsidRDefault="00F91C7C" w:rsidP="00E1278A">
            <w:pPr>
              <w:jc w:val="center"/>
              <w:rPr>
                <w:rFonts w:ascii="宋体" w:eastAsia="宋体" w:hAnsi="宋体"/>
                <w:color w:val="000000"/>
                <w:szCs w:val="18"/>
              </w:rPr>
            </w:pPr>
            <w:r>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Default="00F91C7C" w:rsidP="00E1278A">
            <w:pPr>
              <w:jc w:val="center"/>
              <w:rPr>
                <w:rFonts w:ascii="宋体" w:eastAsia="宋体" w:hAnsi="宋体"/>
                <w:color w:val="000000"/>
                <w:szCs w:val="18"/>
              </w:rPr>
            </w:pPr>
            <w:r>
              <w:rPr>
                <w:rFonts w:ascii="宋体" w:eastAsia="宋体" w:hAnsi="宋体" w:hint="eastAsia"/>
                <w:color w:val="000000"/>
                <w:szCs w:val="18"/>
              </w:rPr>
              <w:t>弘康人寿保险股份有限公司</w:t>
            </w:r>
          </w:p>
        </w:tc>
        <w:tc>
          <w:tcPr>
            <w:tcW w:w="6321" w:type="dxa"/>
            <w:shd w:val="clear" w:color="auto" w:fill="auto"/>
            <w:vAlign w:val="center"/>
          </w:tcPr>
          <w:p w:rsidR="00F91C7C" w:rsidRPr="004420D0" w:rsidRDefault="00F91C7C" w:rsidP="00E1278A">
            <w:pPr>
              <w:jc w:val="center"/>
              <w:rPr>
                <w:rFonts w:ascii="宋体" w:eastAsia="宋体" w:hAnsi="宋体"/>
                <w:color w:val="000000"/>
                <w:szCs w:val="18"/>
              </w:rPr>
            </w:pPr>
            <w:r w:rsidRPr="004420D0">
              <w:rPr>
                <w:rFonts w:ascii="宋体" w:eastAsia="宋体" w:hAnsi="宋体" w:hint="eastAsia"/>
                <w:color w:val="000000"/>
                <w:szCs w:val="18"/>
              </w:rPr>
              <w:t>弘康宝盈一号两全保险</w:t>
            </w:r>
          </w:p>
        </w:tc>
        <w:tc>
          <w:tcPr>
            <w:tcW w:w="1191" w:type="dxa"/>
            <w:shd w:val="clear" w:color="auto" w:fill="auto"/>
            <w:vAlign w:val="center"/>
          </w:tcPr>
          <w:p w:rsidR="00F91C7C" w:rsidRDefault="00F91C7C" w:rsidP="00E1278A">
            <w:pPr>
              <w:jc w:val="center"/>
              <w:rPr>
                <w:rFonts w:ascii="宋体" w:eastAsia="宋体" w:hAnsi="宋体"/>
                <w:color w:val="000000"/>
                <w:szCs w:val="18"/>
              </w:rPr>
            </w:pPr>
            <w:r>
              <w:rPr>
                <w:rFonts w:ascii="宋体" w:eastAsia="宋体" w:hAnsi="宋体" w:hint="eastAsia"/>
                <w:color w:val="000000"/>
                <w:szCs w:val="18"/>
              </w:rPr>
              <w:t>灵活配置型</w:t>
            </w:r>
          </w:p>
        </w:tc>
        <w:tc>
          <w:tcPr>
            <w:tcW w:w="992" w:type="dxa"/>
            <w:shd w:val="clear" w:color="auto" w:fill="auto"/>
            <w:vAlign w:val="center"/>
          </w:tcPr>
          <w:p w:rsidR="00F91C7C" w:rsidRDefault="00F91C7C" w:rsidP="00E1278A">
            <w:pPr>
              <w:jc w:val="center"/>
              <w:rPr>
                <w:rFonts w:ascii="宋体" w:eastAsia="宋体" w:hAnsi="宋体"/>
                <w:color w:val="000000"/>
                <w:szCs w:val="18"/>
              </w:rPr>
            </w:pPr>
            <w:r>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Default="00F91C7C" w:rsidP="00E1278A">
            <w:pPr>
              <w:jc w:val="center"/>
              <w:rPr>
                <w:rFonts w:ascii="宋体" w:eastAsia="宋体" w:hAnsi="宋体"/>
                <w:color w:val="000000"/>
                <w:szCs w:val="18"/>
              </w:rPr>
            </w:pPr>
            <w:r>
              <w:rPr>
                <w:rFonts w:ascii="宋体" w:eastAsia="宋体" w:hAnsi="宋体" w:hint="eastAsia"/>
                <w:color w:val="000000"/>
                <w:szCs w:val="18"/>
              </w:rPr>
              <w:t>弘康人寿保险股份有限公司</w:t>
            </w:r>
          </w:p>
        </w:tc>
        <w:tc>
          <w:tcPr>
            <w:tcW w:w="6321" w:type="dxa"/>
            <w:shd w:val="clear" w:color="auto" w:fill="auto"/>
            <w:vAlign w:val="center"/>
          </w:tcPr>
          <w:p w:rsidR="00F91C7C" w:rsidRPr="004420D0" w:rsidRDefault="00F91C7C" w:rsidP="00E1278A">
            <w:pPr>
              <w:jc w:val="center"/>
              <w:rPr>
                <w:rFonts w:ascii="宋体" w:eastAsia="宋体" w:hAnsi="宋体"/>
                <w:color w:val="000000"/>
                <w:szCs w:val="18"/>
              </w:rPr>
            </w:pPr>
            <w:r w:rsidRPr="004420D0">
              <w:rPr>
                <w:rFonts w:ascii="宋体" w:eastAsia="宋体" w:hAnsi="宋体" w:hint="eastAsia"/>
                <w:color w:val="000000"/>
                <w:szCs w:val="18"/>
              </w:rPr>
              <w:t>弘康慧理财两全保险、弘康在线理财两全保险</w:t>
            </w:r>
          </w:p>
        </w:tc>
        <w:tc>
          <w:tcPr>
            <w:tcW w:w="1191" w:type="dxa"/>
            <w:shd w:val="clear" w:color="auto" w:fill="auto"/>
            <w:vAlign w:val="center"/>
          </w:tcPr>
          <w:p w:rsidR="00F91C7C" w:rsidRDefault="00F91C7C" w:rsidP="00E1278A">
            <w:pPr>
              <w:jc w:val="center"/>
              <w:rPr>
                <w:rFonts w:ascii="宋体" w:eastAsia="宋体" w:hAnsi="宋体"/>
                <w:color w:val="000000"/>
                <w:szCs w:val="18"/>
              </w:rPr>
            </w:pPr>
            <w:r>
              <w:rPr>
                <w:rFonts w:ascii="宋体" w:eastAsia="宋体" w:hAnsi="宋体" w:hint="eastAsia"/>
                <w:color w:val="000000"/>
                <w:szCs w:val="18"/>
              </w:rPr>
              <w:t>增利180</w:t>
            </w:r>
          </w:p>
        </w:tc>
        <w:tc>
          <w:tcPr>
            <w:tcW w:w="992" w:type="dxa"/>
            <w:shd w:val="clear" w:color="auto" w:fill="auto"/>
            <w:vAlign w:val="center"/>
          </w:tcPr>
          <w:p w:rsidR="00F91C7C" w:rsidRDefault="00F91C7C" w:rsidP="00E1278A">
            <w:pPr>
              <w:jc w:val="center"/>
              <w:rPr>
                <w:rFonts w:ascii="宋体" w:eastAsia="宋体" w:hAnsi="宋体"/>
                <w:color w:val="000000"/>
                <w:szCs w:val="18"/>
              </w:rPr>
            </w:pPr>
            <w:r>
              <w:rPr>
                <w:rFonts w:ascii="宋体" w:eastAsia="宋体" w:hAnsi="宋体" w:hint="eastAsia"/>
                <w:color w:val="000000"/>
                <w:szCs w:val="18"/>
              </w:rPr>
              <w:t>债券型</w:t>
            </w:r>
          </w:p>
        </w:tc>
      </w:tr>
      <w:tr w:rsidR="00F91C7C" w:rsidRPr="00495842" w:rsidTr="00E1278A">
        <w:trPr>
          <w:trHeight w:val="45"/>
          <w:jc w:val="center"/>
        </w:trPr>
        <w:tc>
          <w:tcPr>
            <w:tcW w:w="2268" w:type="dxa"/>
            <w:shd w:val="clear" w:color="auto" w:fill="auto"/>
            <w:vAlign w:val="center"/>
          </w:tcPr>
          <w:p w:rsidR="00F91C7C" w:rsidRDefault="00F91C7C" w:rsidP="00E1278A">
            <w:pPr>
              <w:jc w:val="center"/>
              <w:rPr>
                <w:rFonts w:ascii="宋体" w:eastAsia="宋体" w:hAnsi="宋体"/>
                <w:color w:val="000000"/>
                <w:szCs w:val="18"/>
              </w:rPr>
            </w:pPr>
            <w:r>
              <w:rPr>
                <w:rFonts w:ascii="宋体" w:eastAsia="宋体" w:hAnsi="宋体" w:hint="eastAsia"/>
                <w:color w:val="000000"/>
                <w:szCs w:val="18"/>
              </w:rPr>
              <w:t>弘康人寿保险股份有限公司</w:t>
            </w:r>
          </w:p>
        </w:tc>
        <w:tc>
          <w:tcPr>
            <w:tcW w:w="6321" w:type="dxa"/>
            <w:shd w:val="clear" w:color="auto" w:fill="auto"/>
            <w:vAlign w:val="center"/>
          </w:tcPr>
          <w:p w:rsidR="00F91C7C" w:rsidRPr="004420D0" w:rsidRDefault="00F91C7C" w:rsidP="00E1278A">
            <w:pPr>
              <w:jc w:val="center"/>
              <w:rPr>
                <w:rFonts w:ascii="宋体" w:eastAsia="宋体" w:hAnsi="宋体"/>
                <w:color w:val="000000"/>
                <w:szCs w:val="18"/>
              </w:rPr>
            </w:pPr>
            <w:r w:rsidRPr="004420D0">
              <w:rPr>
                <w:rFonts w:ascii="宋体" w:eastAsia="宋体" w:hAnsi="宋体" w:hint="eastAsia"/>
                <w:color w:val="000000"/>
                <w:szCs w:val="18"/>
              </w:rPr>
              <w:t>弘康在线理财两全保险</w:t>
            </w:r>
          </w:p>
        </w:tc>
        <w:tc>
          <w:tcPr>
            <w:tcW w:w="1191" w:type="dxa"/>
            <w:shd w:val="clear" w:color="auto" w:fill="auto"/>
            <w:vAlign w:val="center"/>
          </w:tcPr>
          <w:p w:rsidR="00F91C7C" w:rsidRDefault="00F91C7C" w:rsidP="00E1278A">
            <w:pPr>
              <w:jc w:val="center"/>
              <w:rPr>
                <w:rFonts w:ascii="宋体" w:eastAsia="宋体" w:hAnsi="宋体"/>
                <w:color w:val="000000"/>
                <w:szCs w:val="18"/>
              </w:rPr>
            </w:pPr>
            <w:r>
              <w:rPr>
                <w:rFonts w:ascii="宋体" w:eastAsia="宋体" w:hAnsi="宋体" w:hint="eastAsia"/>
                <w:color w:val="000000"/>
                <w:szCs w:val="18"/>
              </w:rPr>
              <w:t>平稳增利型</w:t>
            </w:r>
          </w:p>
        </w:tc>
        <w:tc>
          <w:tcPr>
            <w:tcW w:w="992" w:type="dxa"/>
            <w:shd w:val="clear" w:color="auto" w:fill="auto"/>
            <w:vAlign w:val="center"/>
          </w:tcPr>
          <w:p w:rsidR="00F91C7C" w:rsidRDefault="00F91C7C" w:rsidP="00E1278A">
            <w:pPr>
              <w:jc w:val="center"/>
              <w:rPr>
                <w:rFonts w:ascii="宋体" w:eastAsia="宋体" w:hAnsi="宋体"/>
                <w:color w:val="000000"/>
                <w:szCs w:val="18"/>
              </w:rPr>
            </w:pPr>
            <w:r>
              <w:rPr>
                <w:rFonts w:ascii="宋体" w:eastAsia="宋体" w:hAnsi="宋体" w:hint="eastAsia"/>
                <w:color w:val="000000"/>
                <w:szCs w:val="18"/>
              </w:rPr>
              <w:t>债券型</w:t>
            </w:r>
          </w:p>
        </w:tc>
      </w:tr>
      <w:tr w:rsidR="00F91C7C" w:rsidTr="00E1278A">
        <w:trPr>
          <w:trHeight w:val="189"/>
          <w:jc w:val="center"/>
        </w:trPr>
        <w:tc>
          <w:tcPr>
            <w:tcW w:w="10772" w:type="dxa"/>
            <w:gridSpan w:val="4"/>
            <w:shd w:val="clear" w:color="auto" w:fill="auto"/>
          </w:tcPr>
          <w:p w:rsidR="00F91C7C" w:rsidRPr="002C6022" w:rsidRDefault="00F91C7C" w:rsidP="00E1278A">
            <w:pPr>
              <w:pStyle w:val="FootnoteNoline"/>
              <w:ind w:left="0"/>
              <w:rPr>
                <w:sz w:val="16"/>
                <w:szCs w:val="16"/>
              </w:rPr>
            </w:pPr>
            <w:r w:rsidRPr="002C6022">
              <w:rPr>
                <w:rFonts w:hint="eastAsia"/>
                <w:sz w:val="16"/>
                <w:szCs w:val="16"/>
              </w:rPr>
              <w:t>来源：国金证券研究所</w:t>
            </w:r>
          </w:p>
        </w:tc>
      </w:tr>
    </w:tbl>
    <w:p w:rsidR="00F91C7C" w:rsidRPr="0048171B" w:rsidRDefault="00F91C7C" w:rsidP="00F91C7C">
      <w:pPr>
        <w:pStyle w:val="a0"/>
        <w:ind w:left="0"/>
        <w:rPr>
          <w:color w:val="auto"/>
        </w:rPr>
      </w:pPr>
    </w:p>
    <w:p w:rsidR="00F91C7C" w:rsidRDefault="00F91C7C">
      <w:pPr>
        <w:widowControl/>
        <w:jc w:val="left"/>
        <w:rPr>
          <w:color w:val="000000"/>
          <w:sz w:val="21"/>
        </w:rPr>
      </w:pPr>
      <w:r>
        <w:br w:type="page"/>
      </w:r>
    </w:p>
    <w:p w:rsidR="00F91C7C" w:rsidRDefault="00F91C7C" w:rsidP="00F91C7C">
      <w:pPr>
        <w:pStyle w:val="14"/>
        <w:ind w:leftChars="1890"/>
        <w:rPr>
          <w:color w:val="auto"/>
        </w:rPr>
      </w:pPr>
      <w:r>
        <w:rPr>
          <w:rFonts w:hint="eastAsia"/>
          <w:color w:val="auto"/>
        </w:rPr>
        <w:lastRenderedPageBreak/>
        <w:t>保险产品分类介绍</w:t>
      </w:r>
    </w:p>
    <w:p w:rsidR="00F91C7C" w:rsidRPr="00995ACE" w:rsidRDefault="00F91C7C" w:rsidP="00F91C7C">
      <w:pPr>
        <w:numPr>
          <w:ilvl w:val="4"/>
          <w:numId w:val="3"/>
        </w:numPr>
        <w:spacing w:after="120" w:line="240" w:lineRule="exact"/>
        <w:rPr>
          <w:sz w:val="21"/>
        </w:rPr>
      </w:pPr>
      <w:r w:rsidRPr="00995ACE">
        <w:rPr>
          <w:rFonts w:hint="eastAsia"/>
          <w:sz w:val="21"/>
        </w:rPr>
        <w:t>根据保险标的的不同，保险产品可分为人身保险和财产保险两大类。其中，人身保险分为人寿保险、年金保险、健康保险和意外伤害保险。根据设计类型的不同，人身保险又可以分为普通型、分红型、投资连结型和万能型等。本报告覆盖的保险产品主要是分红型、投资连结型和万能型。</w:t>
      </w:r>
    </w:p>
    <w:p w:rsidR="00F91C7C" w:rsidRPr="00995ACE" w:rsidRDefault="00F91C7C" w:rsidP="00F91C7C">
      <w:pPr>
        <w:numPr>
          <w:ilvl w:val="5"/>
          <w:numId w:val="4"/>
        </w:numPr>
        <w:spacing w:after="120" w:line="240" w:lineRule="exact"/>
        <w:rPr>
          <w:sz w:val="21"/>
        </w:rPr>
      </w:pPr>
      <w:r>
        <w:rPr>
          <w:rFonts w:hint="eastAsia"/>
          <w:sz w:val="21"/>
        </w:rPr>
        <w:t>分红型保险：</w:t>
      </w:r>
      <w:r w:rsidRPr="00995ACE">
        <w:rPr>
          <w:rFonts w:hint="eastAsia"/>
          <w:sz w:val="21"/>
        </w:rPr>
        <w:t>保险公司将其实际经营成果优于定价假设的盈余，按一定比例向保单持有人进行分配的人</w:t>
      </w:r>
      <w:r>
        <w:rPr>
          <w:rFonts w:hint="eastAsia"/>
          <w:sz w:val="21"/>
        </w:rPr>
        <w:t>身</w:t>
      </w:r>
      <w:r w:rsidRPr="00995ACE">
        <w:rPr>
          <w:rFonts w:hint="eastAsia"/>
          <w:sz w:val="21"/>
        </w:rPr>
        <w:t>保险产品。分红通常是非保证的。</w:t>
      </w:r>
    </w:p>
    <w:p w:rsidR="00F91C7C" w:rsidRPr="00995ACE" w:rsidRDefault="00F91C7C" w:rsidP="00F91C7C">
      <w:pPr>
        <w:numPr>
          <w:ilvl w:val="5"/>
          <w:numId w:val="4"/>
        </w:numPr>
        <w:spacing w:after="120" w:line="240" w:lineRule="exact"/>
        <w:rPr>
          <w:sz w:val="21"/>
        </w:rPr>
      </w:pPr>
      <w:r>
        <w:rPr>
          <w:rFonts w:hint="eastAsia"/>
          <w:sz w:val="21"/>
        </w:rPr>
        <w:t>投资连结型保险：</w:t>
      </w:r>
      <w:r w:rsidRPr="00995ACE">
        <w:rPr>
          <w:rFonts w:hint="eastAsia"/>
          <w:sz w:val="21"/>
        </w:rPr>
        <w:t>包含保险保障功能并至少在一个投资账户拥有一定资产价值的人身保险产品。投资账户是保险公司依法设立的、资产单独管理的资金账户。投资账户划分为等额单位，单位价值由单位数量及投资账户中资产或资产组合的市场价值决定。投保人可以选择其投资账户，投资风险完全由投保人承担。</w:t>
      </w:r>
    </w:p>
    <w:p w:rsidR="00F91C7C" w:rsidRPr="00F91C7C" w:rsidRDefault="00F91C7C" w:rsidP="00F91C7C">
      <w:pPr>
        <w:numPr>
          <w:ilvl w:val="4"/>
          <w:numId w:val="3"/>
        </w:numPr>
        <w:spacing w:after="120" w:line="240" w:lineRule="exact"/>
      </w:pPr>
      <w:r>
        <w:rPr>
          <w:rFonts w:hint="eastAsia"/>
          <w:sz w:val="21"/>
        </w:rPr>
        <w:t>万能型保险：</w:t>
      </w:r>
      <w:r w:rsidRPr="00995ACE">
        <w:rPr>
          <w:sz w:val="21"/>
        </w:rPr>
        <w:t>包含保险保障功能并设立有单独保单账户的人身保险产品</w:t>
      </w:r>
      <w:r w:rsidRPr="00995ACE">
        <w:rPr>
          <w:rFonts w:hint="eastAsia"/>
          <w:sz w:val="21"/>
        </w:rPr>
        <w:t>。其产品特性介于分红型保险和投资连结型保险。万能型保险除具备传统人身保险的基本功能外，还可以让客户直接参与由保险公司为投保人建立的投资账户内资金的投资活动，将保单的价值与保险公司独立运作的投保人投资账户资金的业绩联系起来。在投资收益方面，此类产品为保单账户价值提供最低收益率保证。</w:t>
      </w:r>
    </w:p>
    <w:p w:rsidR="0005161F" w:rsidRDefault="00916280" w:rsidP="00776898">
      <w:pPr>
        <w:pStyle w:val="a0"/>
        <w:pageBreakBefore/>
        <w:ind w:left="0"/>
      </w:pPr>
      <w:r>
        <w:rPr>
          <w:noProof/>
        </w:rPr>
        <w:lastRenderedPageBreak/>
        <w:pict>
          <v:shape id="Text Box 353" o:spid="_x0000_s1036" type="#_x0000_t202" style="position:absolute;left:0;text-align:left;margin-left:-7.05pt;margin-top:77.1pt;width:545.95pt;height:337.8pt;z-index:25165465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" filled="f" stroked="f">
            <v:textbox>
              <w:txbxContent>
                <w:p w:rsidR="007D0BF3" w:rsidRDefault="007D0BF3" w:rsidP="000E6AE0">
                  <w:pPr>
                    <w:pStyle w:val="a0"/>
                    <w:spacing w:after="40" w:line="200" w:lineRule="atLeast"/>
                    <w:ind w:left="0" w:rightChars="-27" w:right="-49" w:firstLineChars="22" w:firstLine="46"/>
                    <w:rPr>
                      <w:b/>
                      <w:bCs/>
                      <w:color w:val="auto"/>
                      <w:szCs w:val="15"/>
                    </w:rPr>
                  </w:pPr>
                  <w:r w:rsidRPr="009A3954">
                    <w:rPr>
                      <w:rFonts w:hint="eastAsia"/>
                      <w:b/>
                      <w:bCs/>
                      <w:color w:val="auto"/>
                      <w:szCs w:val="15"/>
                    </w:rPr>
                    <w:t>特别声明：</w:t>
                  </w:r>
                </w:p>
                <w:p w:rsidR="007D0BF3" w:rsidRPr="00EE31AB" w:rsidRDefault="007D0BF3" w:rsidP="00EE31AB">
                  <w:pPr>
                    <w:pStyle w:val="a0"/>
                    <w:spacing w:after="0" w:line="240" w:lineRule="auto"/>
                    <w:ind w:left="0" w:firstLine="420"/>
                    <w:jc w:val="left"/>
                    <w:rPr>
                      <w:b/>
                      <w:bCs/>
                      <w:color w:val="auto"/>
                      <w:szCs w:val="15"/>
                    </w:rPr>
                  </w:pPr>
                  <w:r w:rsidRPr="0038328E">
                    <w:rPr>
                      <w:rFonts w:ascii="楷体_GB2312" w:hAnsi="Tahoma" w:cs="Tahoma" w:hint="eastAsia"/>
                      <w:szCs w:val="21"/>
                    </w:rPr>
                    <w:t>国金证券股份有限公司经中国证券监督管理委员会批准，已具备证券投资咨询业务资格。</w:t>
                  </w:r>
                </w:p>
                <w:p w:rsidR="007D0BF3" w:rsidRDefault="007D0BF3"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本报告版权归</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（以下简称</w:t>
                  </w:r>
                  <w:r>
                    <w:rPr>
                      <w:rFonts w:ascii="楷体_GB2312" w:hAnsi="Tahoma" w:cs="Tahoma"/>
                      <w:color w:val="000000"/>
                      <w:sz w:val="21"/>
                      <w:szCs w:val="21"/>
                    </w:rPr>
                    <w:t>“</w:t>
                  </w:r>
                  <w:r>
                    <w:rPr>
                      <w:rFonts w:ascii="楷体_GB2312" w:hAnsi="Tahoma" w:cs="Tahoma" w:hint="eastAsia"/>
                      <w:color w:val="000000"/>
                      <w:sz w:val="21"/>
                      <w:szCs w:val="21"/>
                    </w:rPr>
                    <w:t>国金证券</w:t>
                  </w:r>
                  <w:r>
                    <w:rPr>
                      <w:rFonts w:ascii="楷体_GB2312" w:hAnsi="Tahoma" w:cs="Tahoma"/>
                      <w:color w:val="000000"/>
                      <w:sz w:val="21"/>
                      <w:szCs w:val="21"/>
                    </w:rPr>
                    <w:t>”</w:t>
                  </w:r>
                  <w:r>
                    <w:rPr>
                      <w:rFonts w:ascii="楷体_GB2312" w:hAnsi="Tahoma" w:cs="Tahoma" w:hint="eastAsia"/>
                      <w:color w:val="000000"/>
                      <w:sz w:val="21"/>
                      <w:szCs w:val="21"/>
                    </w:rPr>
                    <w:t>）所有，未经事先书面授权，本报告的任何部分均不得以任何方式制作任何形式的拷贝，或再次分发给任何其他人，或以任何侵犯本公司版权的其他方式使用。经过书面授权的引用、刊发，需注明出处为</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，且不得对本报告进行任何有悖原意的删节和修改。</w:t>
                  </w:r>
                </w:p>
                <w:p w:rsidR="007D0BF3" w:rsidRDefault="007D0BF3"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的产生基于国金证券及其研究人员认为可信的公开资料或实地调研资料，但国金证券及其研究人员对这些信息的准确性和完整性不作任何保证，对由于该等问题产生的一切责任，国金证券不作出任何担保。且本报告中的资料、意见、预测均反映报告初次公开发布时的判断，在不作事先通知的情况下，可能会随时调整。</w:t>
                  </w:r>
                </w:p>
                <w:p w:rsidR="007D0BF3" w:rsidRDefault="007D0BF3"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客户应当考虑到国金证券存在可能影响本报告客观性的利益冲突，而不应视本报告为作出投资决策的唯一因素。本报告亦非作为或被视为出售或购买证券或其他投资标的邀请。</w:t>
                  </w:r>
                </w:p>
                <w:p w:rsidR="007D0BF3" w:rsidRDefault="007D0BF3" w:rsidP="00DF32E3">
                  <w:pPr>
                    <w:ind w:firstLine="420"/>
                    <w:jc w:val="left"/>
                    <w:rPr>
                      <w:rFonts w:ascii="Tahoma" w:eastAsia="宋体" w:hAnsi="Tahoma" w:cs="Tahoma"/>
                      <w:color w:val="000000"/>
                      <w:sz w:val="20"/>
                    </w:rPr>
                  </w:pPr>
                  <w:r>
                    <w:rPr>
                      <w:rFonts w:ascii="楷体_GB2312" w:hAnsi="Tahoma" w:cs="Tahoma" w:hint="eastAsia"/>
                      <w:color w:val="000000"/>
                      <w:sz w:val="21"/>
                      <w:szCs w:val="21"/>
                    </w:rPr>
                    <w:t>证券研究报告是用于服务机构投资者和投资顾问的专业产品，使用时必须经专业人士进行解读。国金证券建议客户应考虑本报告的任何意见或建议是否符合其特定状况，以及（若有必要）咨询独立投资顾问。报告本身、报告中的信息或所表达意见也不构成投资、法律、会计或税务的最终操作建议，国金证券不就报告中的内容对最终操作建议做出任何担保。</w:t>
                  </w:r>
                </w:p>
                <w:p w:rsidR="007D0BF3" w:rsidRDefault="007D0BF3"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在法律允许的情况下，国金证券的关联机构可能会持有报告中涉及的公司所发行的证券并进行交易，并可能为这些公司正在提供或争取提供多种金融服务。</w:t>
                  </w:r>
                </w:p>
                <w:p w:rsidR="007D0BF3" w:rsidRDefault="007D0BF3" w:rsidP="00DF32E3">
                  <w:pPr>
                    <w:ind w:firstLine="420"/>
                    <w:jc w:val="left"/>
                    <w:rPr>
                      <w:rFonts w:ascii="楷体_GB2312" w:hAnsi="Tahoma" w:cs="Tahoma"/>
                      <w:color w:val="000000"/>
                      <w:sz w:val="21"/>
                      <w:szCs w:val="21"/>
                    </w:rPr>
                  </w:pPr>
                  <w:r>
                    <w:rPr>
                      <w:rFonts w:ascii="楷体_GB2312" w:hAnsi="Tahoma" w:cs="Tahoma" w:hint="eastAsia"/>
                      <w:color w:val="000000"/>
                      <w:sz w:val="21"/>
                      <w:szCs w:val="21"/>
                    </w:rPr>
                    <w:t>本报告反映编写分析员的不同设想、见解及分析方法，故本报告所载观点可能与其他类似研究报告的观点及市场实际情况不一致，且收件人亦不会因为收到本报告而成为国金证券的客户。</w:t>
                  </w:r>
                </w:p>
                <w:p w:rsidR="007D0BF3" w:rsidRDefault="007D0BF3" w:rsidP="000E6AE0">
                  <w:pPr>
                    <w:pStyle w:val="a0"/>
                    <w:spacing w:after="40" w:line="200" w:lineRule="atLeast"/>
                    <w:ind w:left="0" w:rightChars="-27" w:right="-49"/>
                    <w:rPr>
                      <w:b/>
                      <w:bCs/>
                      <w:color w:val="auto"/>
                      <w:szCs w:val="15"/>
                    </w:rPr>
                  </w:pPr>
                  <w:r>
                    <w:rPr>
                      <w:rFonts w:eastAsia="宋体"/>
                      <w:b/>
                      <w:bCs/>
                      <w:szCs w:val="18"/>
                    </w:rPr>
                    <w:t xml:space="preserve">         </w:t>
                  </w:r>
                  <w:r>
                    <w:rPr>
                      <w:rFonts w:ascii="楷体_GB2312" w:hAnsi="Tahoma" w:cs="Tahoma" w:hint="eastAsia"/>
                      <w:szCs w:val="21"/>
                    </w:rPr>
                    <w:t>本报告仅供国金证券股份有限公司的机构客户使用；非国金证券客户擅自使用国金证券研究报告进行投资，遭受任何损失，国金证券不承担相关法律责任。</w:t>
                  </w:r>
                </w:p>
                <w:p w:rsidR="007D0BF3" w:rsidRDefault="007D0BF3" w:rsidP="000E6AE0">
                  <w:pPr>
                    <w:pStyle w:val="a0"/>
                    <w:spacing w:after="60"/>
                    <w:ind w:left="0" w:rightChars="-27" w:right="-49"/>
                    <w:rPr>
                      <w:color w:val="auto"/>
                      <w:szCs w:val="15"/>
                    </w:rPr>
                  </w:pPr>
                </w:p>
                <w:p w:rsidR="007D0BF3" w:rsidRDefault="007D0BF3" w:rsidP="000E6AE0">
                  <w:pPr>
                    <w:pStyle w:val="a0"/>
                    <w:spacing w:after="60"/>
                    <w:ind w:left="0" w:rightChars="-27" w:right="-49"/>
                    <w:rPr>
                      <w:color w:val="auto"/>
                      <w:szCs w:val="15"/>
                    </w:rPr>
                  </w:pPr>
                </w:p>
                <w:p w:rsidR="007D0BF3" w:rsidRPr="000336C0" w:rsidRDefault="007D0BF3" w:rsidP="000E6AE0">
                  <w:pPr>
                    <w:pStyle w:val="a0"/>
                    <w:spacing w:after="60"/>
                    <w:ind w:left="0" w:rightChars="-27" w:right="-49"/>
                    <w:rPr>
                      <w:color w:val="auto"/>
                      <w:szCs w:val="15"/>
                    </w:rPr>
                  </w:pPr>
                </w:p>
              </w:txbxContent>
            </v:textbox>
            <w10:wrap type="square" anchory="page"/>
          </v:shape>
        </w:pict>
      </w:r>
    </w:p>
    <w:p w:rsidR="00ED77B9" w:rsidRDefault="00ED77B9" w:rsidP="00ED77B9">
      <w:pPr>
        <w:spacing w:line="14" w:lineRule="exact"/>
      </w:pPr>
    </w:p>
    <w:p w:rsidR="00762F0E" w:rsidRPr="00ED77B9" w:rsidRDefault="00762F0E" w:rsidP="00ED77B9">
      <w:pPr>
        <w:spacing w:line="14" w:lineRule="exact"/>
      </w:pPr>
    </w:p>
    <w:p w:rsidR="00E1684A" w:rsidRDefault="00E1684A" w:rsidP="00E1684A">
      <w:pPr>
        <w:spacing w:line="14" w:lineRule="exact"/>
      </w:pPr>
    </w:p>
    <w:sdt>
      <w:sdtPr>
        <w:alias w:val="末页联系地址"/>
        <w:tag w:val="BDCONTENTCONTROL_2602561a-fc2b-4adc-befd-22fa63ba88c6"/>
        <w:id w:val="-1419249774"/>
        <w:placeholder>
          <w:docPart w:val="EC6877187B6A4069AAA2AD4647EAF598"/>
        </w:placeholder>
      </w:sdtPr>
      <w:sdtEndPr/>
      <w:sdtContent>
        <w:p w:rsidR="004C64E0" w:rsidRDefault="004C64E0" w:rsidP="004C64E0">
          <w:pPr>
            <w:spacing w:line="14" w:lineRule="exact"/>
          </w:pPr>
        </w:p>
        <w:tbl>
          <w:tblPr>
            <w:tblW w:w="0" w:type="auto"/>
            <w:tblLayout w:type="fixed"/>
            <w:tblLook w:val="0000" w:firstRow="0" w:lastRow="0" w:firstColumn="0" w:lastColumn="0" w:noHBand="0" w:noVBand="0"/>
          </w:tblPr>
          <w:tblGrid>
            <w:gridCol w:w="3625"/>
            <w:gridCol w:w="3625"/>
            <w:gridCol w:w="3625"/>
          </w:tblGrid>
          <w:tr w:rsidR="004C64E0">
            <w:tc>
              <w:tcPr>
                <w:tcW w:w="3625" w:type="dxa"/>
              </w:tcPr>
              <w:p w:rsidR="004C64E0" w:rsidRPr="004C64E0" w:rsidRDefault="00F278C8" w:rsidP="004C64E0">
                <w:pPr>
                  <w:spacing w:after="120" w:line="240" w:lineRule="exact"/>
                  <w:rPr>
                    <w:b/>
                  </w:rPr>
                </w:pPr>
                <w:r>
                  <w:rPr>
                    <w:rFonts w:hint="eastAsia"/>
                    <w:b/>
                  </w:rPr>
                  <w:t>上海</w:t>
                </w:r>
              </w:p>
            </w:tc>
            <w:tc>
              <w:tcPr>
                <w:tcW w:w="3625" w:type="dxa"/>
              </w:tcPr>
              <w:p w:rsidR="004C64E0" w:rsidRPr="004C64E0" w:rsidRDefault="00F278C8" w:rsidP="004C64E0">
                <w:pPr>
                  <w:spacing w:after="120" w:line="240" w:lineRule="exact"/>
                  <w:rPr>
                    <w:b/>
                  </w:rPr>
                </w:pPr>
                <w:r>
                  <w:rPr>
                    <w:rFonts w:hint="eastAsia"/>
                    <w:b/>
                  </w:rPr>
                  <w:t>北京</w:t>
                </w:r>
              </w:p>
            </w:tc>
            <w:tc>
              <w:tcPr>
                <w:tcW w:w="3625" w:type="dxa"/>
              </w:tcPr>
              <w:p w:rsidR="004C64E0" w:rsidRPr="004C64E0" w:rsidRDefault="00F278C8" w:rsidP="004C64E0">
                <w:pPr>
                  <w:spacing w:after="120" w:line="240" w:lineRule="exact"/>
                  <w:rPr>
                    <w:b/>
                  </w:rPr>
                </w:pPr>
                <w:r>
                  <w:rPr>
                    <w:rFonts w:hint="eastAsia"/>
                    <w:b/>
                  </w:rPr>
                  <w:t>深圳</w:t>
                </w:r>
              </w:p>
            </w:tc>
          </w:tr>
          <w:tr w:rsidR="004C64E0">
            <w:tc>
              <w:tcPr>
                <w:tcW w:w="3625" w:type="dxa"/>
              </w:tcPr>
              <w:p w:rsidR="00F278C8" w:rsidRDefault="00F278C8" w:rsidP="000B01C0">
                <w:pPr>
                  <w:spacing w:after="120" w:line="240" w:lineRule="exact"/>
                </w:pPr>
                <w:r>
                  <w:rPr>
                    <w:rFonts w:hint="eastAsia"/>
                  </w:rPr>
                  <w:t>电话：</w:t>
                </w:r>
                <w:r>
                  <w:rPr>
                    <w:rFonts w:hint="eastAsia"/>
                  </w:rPr>
                  <w:t>021-60753903</w:t>
                </w:r>
              </w:p>
              <w:p w:rsidR="00F278C8" w:rsidRDefault="00F278C8" w:rsidP="000B01C0">
                <w:pPr>
                  <w:spacing w:after="120" w:line="240" w:lineRule="exact"/>
                </w:pPr>
                <w:r>
                  <w:rPr>
                    <w:rFonts w:hint="eastAsia"/>
                  </w:rPr>
                  <w:t>传真：</w:t>
                </w:r>
                <w:r>
                  <w:rPr>
                    <w:rFonts w:hint="eastAsia"/>
                  </w:rPr>
                  <w:t>021-61038200</w:t>
                </w:r>
              </w:p>
              <w:p w:rsidR="00F278C8" w:rsidRDefault="00F278C8" w:rsidP="000B01C0">
                <w:pPr>
                  <w:spacing w:after="120" w:line="240" w:lineRule="exact"/>
                </w:pPr>
                <w:r>
                  <w:rPr>
                    <w:rFonts w:hint="eastAsia"/>
                  </w:rPr>
                  <w:t>邮箱：</w:t>
                </w:r>
                <w:r>
                  <w:rPr>
                    <w:rFonts w:hint="eastAsia"/>
                  </w:rPr>
                  <w:t>researchsh@gjzq.com.cn</w:t>
                </w:r>
              </w:p>
              <w:p w:rsidR="00F278C8" w:rsidRDefault="00F278C8" w:rsidP="000B01C0">
                <w:pPr>
                  <w:spacing w:after="120" w:line="240" w:lineRule="exact"/>
                </w:pPr>
                <w:r>
                  <w:rPr>
                    <w:rFonts w:hint="eastAsia"/>
                  </w:rPr>
                  <w:t>邮编：</w:t>
                </w:r>
                <w:r>
                  <w:rPr>
                    <w:rFonts w:hint="eastAsia"/>
                  </w:rPr>
                  <w:t>201204</w:t>
                </w:r>
              </w:p>
              <w:p w:rsidR="00F278C8" w:rsidRDefault="00F278C8" w:rsidP="000B01C0">
                <w:pPr>
                  <w:spacing w:after="120" w:line="240" w:lineRule="exact"/>
                </w:pPr>
                <w:r>
                  <w:rPr>
                    <w:rFonts w:hint="eastAsia"/>
                  </w:rPr>
                  <w:t>地址：上海浦东新区芳甸路</w:t>
                </w:r>
                <w:r>
                  <w:rPr>
                    <w:rFonts w:hint="eastAsia"/>
                  </w:rPr>
                  <w:t>1088</w:t>
                </w:r>
                <w:r>
                  <w:rPr>
                    <w:rFonts w:hint="eastAsia"/>
                  </w:rPr>
                  <w:t>号</w:t>
                </w:r>
              </w:p>
              <w:p w:rsidR="004C64E0" w:rsidRDefault="00F278C8" w:rsidP="000B01C0">
                <w:pPr>
                  <w:spacing w:after="120" w:line="240" w:lineRule="exact"/>
                </w:pPr>
                <w:r>
                  <w:rPr>
                    <w:rFonts w:hint="eastAsia"/>
                  </w:rPr>
                  <w:t xml:space="preserve">           </w:t>
                </w:r>
                <w:r>
                  <w:rPr>
                    <w:rFonts w:hint="eastAsia"/>
                  </w:rPr>
                  <w:t>紫竹国际大厦</w:t>
                </w:r>
                <w:r>
                  <w:rPr>
                    <w:rFonts w:hint="eastAsia"/>
                  </w:rPr>
                  <w:t>7</w:t>
                </w:r>
                <w:r>
                  <w:rPr>
                    <w:rFonts w:hint="eastAsia"/>
                  </w:rPr>
                  <w:t>楼</w:t>
                </w:r>
              </w:p>
            </w:tc>
            <w:tc>
              <w:tcPr>
                <w:tcW w:w="3625" w:type="dxa"/>
              </w:tcPr>
              <w:p w:rsidR="00F278C8" w:rsidRDefault="00F278C8" w:rsidP="000B01C0">
                <w:pPr>
                  <w:spacing w:after="120" w:line="240" w:lineRule="exact"/>
                </w:pPr>
                <w:r>
                  <w:rPr>
                    <w:rFonts w:hint="eastAsia"/>
                  </w:rPr>
                  <w:t>电话：</w:t>
                </w:r>
                <w:r>
                  <w:rPr>
                    <w:rFonts w:hint="eastAsia"/>
                  </w:rPr>
                  <w:t>010-66216979</w:t>
                </w:r>
              </w:p>
              <w:p w:rsidR="00F278C8" w:rsidRDefault="00F278C8" w:rsidP="000B01C0">
                <w:pPr>
                  <w:spacing w:after="120" w:line="240" w:lineRule="exact"/>
                </w:pPr>
                <w:r>
                  <w:rPr>
                    <w:rFonts w:hint="eastAsia"/>
                  </w:rPr>
                  <w:t>传真：</w:t>
                </w:r>
                <w:r>
                  <w:rPr>
                    <w:rFonts w:hint="eastAsia"/>
                  </w:rPr>
                  <w:t>010-66216793</w:t>
                </w:r>
              </w:p>
              <w:p w:rsidR="00F278C8" w:rsidRDefault="00F278C8" w:rsidP="000B01C0">
                <w:pPr>
                  <w:spacing w:after="120" w:line="240" w:lineRule="exact"/>
                </w:pPr>
                <w:r>
                  <w:rPr>
                    <w:rFonts w:hint="eastAsia"/>
                  </w:rPr>
                  <w:t>邮箱：</w:t>
                </w:r>
                <w:r>
                  <w:rPr>
                    <w:rFonts w:hint="eastAsia"/>
                  </w:rPr>
                  <w:t>researchbj@gjzq.com.cn</w:t>
                </w:r>
              </w:p>
              <w:p w:rsidR="00F278C8" w:rsidRDefault="00F278C8" w:rsidP="000B01C0">
                <w:pPr>
                  <w:spacing w:after="120" w:line="240" w:lineRule="exact"/>
                </w:pPr>
                <w:r>
                  <w:rPr>
                    <w:rFonts w:hint="eastAsia"/>
                  </w:rPr>
                  <w:t>邮编：</w:t>
                </w:r>
                <w:r>
                  <w:rPr>
                    <w:rFonts w:hint="eastAsia"/>
                  </w:rPr>
                  <w:t>100053</w:t>
                </w:r>
              </w:p>
              <w:p w:rsidR="004C64E0" w:rsidRDefault="00F278C8" w:rsidP="000B01C0">
                <w:pPr>
                  <w:spacing w:after="120" w:line="240" w:lineRule="exact"/>
                </w:pPr>
                <w:r>
                  <w:rPr>
                    <w:rFonts w:hint="eastAsia"/>
                  </w:rPr>
                  <w:t>地址：中国北京西城区长椿街</w:t>
                </w:r>
                <w:r>
                  <w:rPr>
                    <w:rFonts w:hint="eastAsia"/>
                  </w:rPr>
                  <w:t>3</w:t>
                </w:r>
                <w:r>
                  <w:rPr>
                    <w:rFonts w:hint="eastAsia"/>
                  </w:rPr>
                  <w:t>号</w:t>
                </w:r>
                <w:r>
                  <w:rPr>
                    <w:rFonts w:hint="eastAsia"/>
                  </w:rPr>
                  <w:t xml:space="preserve">4 </w:t>
                </w:r>
                <w:r>
                  <w:rPr>
                    <w:rFonts w:hint="eastAsia"/>
                  </w:rPr>
                  <w:t>层</w:t>
                </w:r>
              </w:p>
            </w:tc>
            <w:tc>
              <w:tcPr>
                <w:tcW w:w="3625" w:type="dxa"/>
              </w:tcPr>
              <w:p w:rsidR="00F278C8" w:rsidRDefault="00F278C8" w:rsidP="000B01C0">
                <w:pPr>
                  <w:spacing w:after="120" w:line="240" w:lineRule="exact"/>
                </w:pPr>
                <w:r>
                  <w:rPr>
                    <w:rFonts w:hint="eastAsia"/>
                  </w:rPr>
                  <w:t>电话：</w:t>
                </w:r>
                <w:r>
                  <w:rPr>
                    <w:rFonts w:hint="eastAsia"/>
                  </w:rPr>
                  <w:t>0755-83831378</w:t>
                </w:r>
              </w:p>
              <w:p w:rsidR="00F278C8" w:rsidRDefault="00F278C8" w:rsidP="000B01C0">
                <w:pPr>
                  <w:spacing w:after="120" w:line="240" w:lineRule="exact"/>
                </w:pPr>
                <w:r>
                  <w:rPr>
                    <w:rFonts w:hint="eastAsia"/>
                  </w:rPr>
                  <w:t>传真：</w:t>
                </w:r>
                <w:r>
                  <w:rPr>
                    <w:rFonts w:hint="eastAsia"/>
                  </w:rPr>
                  <w:t>0755-83830558</w:t>
                </w:r>
              </w:p>
              <w:p w:rsidR="00F278C8" w:rsidRDefault="00F278C8" w:rsidP="000B01C0">
                <w:pPr>
                  <w:spacing w:after="120" w:line="240" w:lineRule="exact"/>
                </w:pPr>
                <w:r>
                  <w:rPr>
                    <w:rFonts w:hint="eastAsia"/>
                  </w:rPr>
                  <w:t>邮箱：</w:t>
                </w:r>
                <w:r>
                  <w:rPr>
                    <w:rFonts w:hint="eastAsia"/>
                  </w:rPr>
                  <w:t>researchsz@gjzq.com.cn</w:t>
                </w:r>
              </w:p>
              <w:p w:rsidR="00F278C8" w:rsidRDefault="00F278C8" w:rsidP="000B01C0">
                <w:pPr>
                  <w:spacing w:after="120" w:line="240" w:lineRule="exact"/>
                </w:pPr>
                <w:r>
                  <w:rPr>
                    <w:rFonts w:hint="eastAsia"/>
                  </w:rPr>
                  <w:t>邮编：</w:t>
                </w:r>
                <w:r>
                  <w:rPr>
                    <w:rFonts w:hint="eastAsia"/>
                  </w:rPr>
                  <w:t>518000</w:t>
                </w:r>
              </w:p>
              <w:p w:rsidR="00F278C8" w:rsidRDefault="00F278C8" w:rsidP="000B01C0">
                <w:pPr>
                  <w:spacing w:after="120" w:line="240" w:lineRule="exact"/>
                </w:pPr>
                <w:r>
                  <w:rPr>
                    <w:rFonts w:hint="eastAsia"/>
                  </w:rPr>
                  <w:t>地址：中国深圳福田区深南大道</w:t>
                </w:r>
                <w:r>
                  <w:rPr>
                    <w:rFonts w:hint="eastAsia"/>
                  </w:rPr>
                  <w:t>4001</w:t>
                </w:r>
                <w:r>
                  <w:rPr>
                    <w:rFonts w:hint="eastAsia"/>
                  </w:rPr>
                  <w:t>号</w:t>
                </w:r>
              </w:p>
              <w:p w:rsidR="004C64E0" w:rsidRDefault="00F278C8" w:rsidP="000B01C0">
                <w:pPr>
                  <w:spacing w:after="120" w:line="240" w:lineRule="exact"/>
                </w:pPr>
                <w:r>
                  <w:rPr>
                    <w:rFonts w:hint="eastAsia"/>
                  </w:rPr>
                  <w:t xml:space="preserve">           </w:t>
                </w:r>
                <w:r>
                  <w:rPr>
                    <w:rFonts w:hint="eastAsia"/>
                  </w:rPr>
                  <w:t>时代金融中心</w:t>
                </w:r>
                <w:r>
                  <w:rPr>
                    <w:rFonts w:hint="eastAsia"/>
                  </w:rPr>
                  <w:t>7BD</w:t>
                </w:r>
              </w:p>
            </w:tc>
          </w:tr>
        </w:tbl>
        <w:p w:rsidR="00E1684A" w:rsidRDefault="00916280" w:rsidP="00F278C8">
          <w:pPr>
            <w:spacing w:line="14" w:lineRule="exact"/>
          </w:pPr>
        </w:p>
      </w:sdtContent>
    </w:sdt>
    <w:p w:rsidR="005E311D" w:rsidRPr="00ED77B9" w:rsidRDefault="005E311D" w:rsidP="00ED77B9"/>
    <w:sectPr w:rsidR="005E311D" w:rsidRPr="00ED77B9" w:rsidSect="00F91C7C">
      <w:type w:val="continuous"/>
      <w:pgSz w:w="11907" w:h="16840" w:code="9"/>
      <w:pgMar w:top="1440" w:right="624" w:bottom="1440" w:left="624" w:header="851"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280" w:rsidRDefault="00916280">
      <w:r>
        <w:separator/>
      </w:r>
    </w:p>
  </w:endnote>
  <w:endnote w:type="continuationSeparator" w:id="0">
    <w:p w:rsidR="00916280" w:rsidRDefault="0091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BF3" w:rsidRDefault="007D0BF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D0BF3" w:rsidRDefault="007D0BF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BF3" w:rsidRPr="00A30364" w:rsidRDefault="00916280" w:rsidP="007F6DAF">
    <w:pPr>
      <w:pStyle w:val="a6"/>
      <w:pBdr>
        <w:bottom w:val="none" w:sz="0" w:space="0" w:color="auto"/>
      </w:pBdr>
      <w:rPr>
        <w:rFonts w:ascii="LucidaSans" w:hAnsi="LucidaSans"/>
        <w:b/>
      </w:rPr>
    </w:pPr>
    <w:r>
      <w:rPr>
        <w:noProof/>
      </w:rPr>
      <w:pict>
        <v:line id="Line 34" o:spid="_x0000_s2058" style="position:absolute;left:0;text-align:left;z-index:251658752;visibility:visible;mso-wrap-distance-top:-6e-5mm;mso-wrap-distance-bottom:-6e-5mm" from="-7.65pt,-.6pt" to="54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" strokecolor="#00a0e9"/>
      </w:pict>
    </w:r>
    <w:r w:rsidR="007D0BF3" w:rsidRPr="00A30364">
      <w:rPr>
        <w:rFonts w:ascii="LucidaSans" w:hAnsi="LucidaSans"/>
        <w:b/>
        <w:szCs w:val="21"/>
      </w:rPr>
      <w:t xml:space="preserve">- </w:t>
    </w:r>
    <w:r w:rsidR="007D0BF3" w:rsidRPr="003C4E1B">
      <w:rPr>
        <w:b/>
        <w:szCs w:val="21"/>
      </w:rPr>
      <w:fldChar w:fldCharType="begin"/>
    </w:r>
    <w:r w:rsidR="007D0BF3" w:rsidRPr="003C4E1B">
      <w:rPr>
        <w:b/>
        <w:szCs w:val="21"/>
      </w:rPr>
      <w:instrText xml:space="preserve"> PAGE </w:instrText>
    </w:r>
    <w:r w:rsidR="007D0BF3" w:rsidRPr="003C4E1B">
      <w:rPr>
        <w:b/>
        <w:szCs w:val="21"/>
      </w:rPr>
      <w:fldChar w:fldCharType="separate"/>
    </w:r>
    <w:r w:rsidR="00245E6B">
      <w:rPr>
        <w:b/>
        <w:noProof/>
        <w:szCs w:val="21"/>
      </w:rPr>
      <w:t>20</w:t>
    </w:r>
    <w:r w:rsidR="007D0BF3" w:rsidRPr="003C4E1B">
      <w:rPr>
        <w:b/>
        <w:szCs w:val="21"/>
      </w:rPr>
      <w:fldChar w:fldCharType="end"/>
    </w:r>
    <w:r w:rsidR="007D0BF3" w:rsidRPr="00A30364">
      <w:rPr>
        <w:rFonts w:ascii="LucidaSans" w:hAnsi="LucidaSans"/>
        <w:b/>
        <w:szCs w:val="21"/>
      </w:rPr>
      <w:t xml:space="preserve"> -</w:t>
    </w:r>
  </w:p>
  <w:p w:rsidR="007D0BF3" w:rsidRDefault="007D0BF3" w:rsidP="0007511E">
    <w:pPr>
      <w:pStyle w:val="a6"/>
      <w:pBdr>
        <w:bottom w:val="none" w:sz="0" w:space="0" w:color="auto"/>
      </w:pBdr>
      <w:jc w:val="left"/>
      <w:rPr>
        <w:rFonts w:ascii="LucidaSans" w:hAnsi="LucidaSans"/>
      </w:rPr>
    </w:pPr>
    <w:r>
      <w:rPr>
        <w:rFonts w:ascii="LucidaSans" w:hAnsi="LucidaSans" w:hint="eastAsia"/>
      </w:rPr>
      <w:t>敬请参阅最后一页特别声明</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BF3" w:rsidRPr="00A30364" w:rsidRDefault="00916280" w:rsidP="00A30364">
    <w:pPr>
      <w:pStyle w:val="a4"/>
      <w:tabs>
        <w:tab w:val="center" w:pos="5103"/>
      </w:tabs>
      <w:jc w:val="center"/>
      <w:rPr>
        <w:rFonts w:cs="Arial"/>
        <w:b/>
      </w:rPr>
    </w:pPr>
    <w:r>
      <w:rPr>
        <w:noProof/>
      </w:rPr>
      <w:pict>
        <v:line id="Line 35" o:spid="_x0000_s2057" style="position:absolute;left:0;text-align:left;z-index:251659776;visibility:visible;mso-wrap-distance-top:-6e-5mm;mso-wrap-distance-bottom:-6e-5mm" from="-31.8pt,.5pt" to="57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" strokecolor="#00a0e9"/>
      </w:pict>
    </w:r>
    <w:r>
      <w:rPr>
        <w:noProof/>
      </w:rPr>
      <w:pict>
        <v:rect id="Rectangle 33" o:spid="_x0000_s2056" style="position:absolute;left:0;text-align:left;margin-left:-31.8pt;margin-top:24.65pt;width:596.1pt;height:19.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" fillcolor="#eaeaea" stroked="f" strokecolor="#f8f8f8">
          <v:fill opacity="39321f"/>
          <v:textbox>
            <w:txbxContent>
              <w:p w:rsidR="007D0BF3" w:rsidRPr="0003281B" w:rsidRDefault="007D0BF3" w:rsidP="0003281B"/>
            </w:txbxContent>
          </v:textbox>
        </v:rect>
      </w:pict>
    </w:r>
    <w:r w:rsidR="007D0BF3" w:rsidRPr="00A30364">
      <w:rPr>
        <w:rFonts w:cs="Arial"/>
        <w:b/>
        <w:szCs w:val="21"/>
      </w:rPr>
      <w:t xml:space="preserve">- </w:t>
    </w:r>
    <w:r w:rsidR="007D0BF3" w:rsidRPr="00A30364">
      <w:rPr>
        <w:rFonts w:cs="Arial"/>
        <w:b/>
        <w:szCs w:val="21"/>
      </w:rPr>
      <w:fldChar w:fldCharType="begin"/>
    </w:r>
    <w:r w:rsidR="007D0BF3" w:rsidRPr="00A30364">
      <w:rPr>
        <w:rFonts w:cs="Arial"/>
        <w:b/>
        <w:szCs w:val="21"/>
      </w:rPr>
      <w:instrText xml:space="preserve"> PAGE </w:instrText>
    </w:r>
    <w:r w:rsidR="007D0BF3" w:rsidRPr="00A30364">
      <w:rPr>
        <w:rFonts w:cs="Arial"/>
        <w:b/>
        <w:szCs w:val="21"/>
      </w:rPr>
      <w:fldChar w:fldCharType="separate"/>
    </w:r>
    <w:r w:rsidR="00245E6B">
      <w:rPr>
        <w:rFonts w:cs="Arial"/>
        <w:b/>
        <w:noProof/>
        <w:szCs w:val="21"/>
      </w:rPr>
      <w:t>1</w:t>
    </w:r>
    <w:r w:rsidR="007D0BF3" w:rsidRPr="00A30364">
      <w:rPr>
        <w:rFonts w:cs="Arial"/>
        <w:b/>
        <w:szCs w:val="21"/>
      </w:rPr>
      <w:fldChar w:fldCharType="end"/>
    </w:r>
    <w:r w:rsidR="007D0BF3" w:rsidRPr="00A30364">
      <w:rPr>
        <w:rFonts w:cs="Arial"/>
        <w:b/>
        <w:szCs w:val="21"/>
      </w:rPr>
      <w:t xml:space="preserve"> -</w:t>
    </w:r>
  </w:p>
  <w:p w:rsidR="007D0BF3" w:rsidRDefault="007D0BF3">
    <w:r>
      <w:rPr>
        <w:rFonts w:cs="Arial" w:hint="eastAsia"/>
        <w:szCs w:val="18"/>
      </w:rPr>
      <w:t>敬请参阅最后一页特别声明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280" w:rsidRDefault="00916280">
      <w:r>
        <w:separator/>
      </w:r>
    </w:p>
  </w:footnote>
  <w:footnote w:type="continuationSeparator" w:id="0">
    <w:p w:rsidR="00916280" w:rsidRDefault="00916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BF3" w:rsidRDefault="00916280" w:rsidP="00F72878">
    <w:pPr>
      <w:jc w:val="right"/>
    </w:pPr>
    <w:sdt>
      <w:sdtPr>
        <w:alias w:val="报告类型"/>
        <w:tag w:val="BDCONTENTCONTROL_451e08ee-3959-4251-8d5f-f302d5f0f153"/>
        <w:id w:val="631523797"/>
        <w:placeholder>
          <w:docPart w:val="E64AD23FF76C478EBE5E646BF2579C9B"/>
        </w:placeholder>
        <w:text/>
      </w:sdtPr>
      <w:sdtEndPr/>
      <w:sdtContent>
        <w:r w:rsidR="00F278C8">
          <w:rPr>
            <w:rFonts w:hint="eastAsia"/>
          </w:rPr>
          <w:t>投连险行业季报</w:t>
        </w:r>
      </w:sdtContent>
    </w:sdt>
    <w:r>
      <w:rPr>
        <w:noProof/>
      </w:rPr>
      <w:pict>
        <v:shapetype id="_x0000_t202" coordsize="21600,21600" o:spt="202" path="m,l,21600r21600,l21600,xe">
          <v:stroke joinstyle="miter"/>
          <v:path gradientshapeok="t" o:connecttype="rect"/>
        </v:shapetype>
        <v:shape id="Text Box 18" o:spid="_x0000_s2060" type="#_x0000_t202" style="position:absolute;left:0;text-align:left;margin-left:-16.2pt;margin-top:31.05pt;width:101.45pt;height:29.7pt;z-index:251655680;visibility:visible;mso-wrap-style:non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" filled="f" stroked="f">
          <v:textbox style="mso-fit-shape-to-text:t">
            <w:txbxContent>
              <w:p w:rsidR="007D0BF3" w:rsidRPr="00E17DD1" w:rsidRDefault="007D0BF3" w:rsidP="005721EB">
                <w:r>
                  <w:rPr>
                    <w:noProof/>
                  </w:rPr>
                  <w:drawing>
                    <wp:inline distT="0" distB="0" distL="0" distR="0" wp14:anchorId="43D9EDAC" wp14:editId="1A7FB4FB">
                      <wp:extent cx="1095375" cy="276225"/>
                      <wp:effectExtent l="0" t="0" r="9525" b="9525"/>
                      <wp:docPr id="8" name="图片 2"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的-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p>
            </w:txbxContent>
          </v:textbox>
          <w10:wrap anchory="page"/>
        </v:shape>
      </w:pict>
    </w:r>
    <w:r>
      <w:rPr>
        <w:noProof/>
      </w:rPr>
      <w:pict>
        <v:line id="Line 27" o:spid="_x0000_s2059" style="position:absolute;left:0;text-align:left;z-index:251657728;visibility:visible;mso-wrap-distance-top:-6e-5mm;mso-wrap-distance-bottom:-6e-5mm;mso-position-horizontal:center;mso-position-horizontal-relative:text;mso-position-vertical-relative:text" from="0,13.8pt" to="548.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" strokecolor="#00a0e9"/>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BF3" w:rsidRDefault="007D0BF3" w:rsidP="007F6DA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B7A"/>
    <w:multiLevelType w:val="multilevel"/>
    <w:tmpl w:val="3CDE5F16"/>
    <w:numStyleLink w:val="GJStylesContentMark"/>
  </w:abstractNum>
  <w:abstractNum w:abstractNumId="1">
    <w:nsid w:val="022C102E"/>
    <w:multiLevelType w:val="multilevel"/>
    <w:tmpl w:val="3CDE5F16"/>
    <w:numStyleLink w:val="GJStylesContentMark"/>
  </w:abstractNum>
  <w:abstractNum w:abstractNumId="2">
    <w:nsid w:val="04001E96"/>
    <w:multiLevelType w:val="multilevel"/>
    <w:tmpl w:val="1556E7D6"/>
    <w:numStyleLink w:val="GJStylesSummaryContentMark"/>
  </w:abstractNum>
  <w:abstractNum w:abstractNumId="3">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4">
    <w:nsid w:val="08333B74"/>
    <w:multiLevelType w:val="multilevel"/>
    <w:tmpl w:val="3CDE5F16"/>
    <w:numStyleLink w:val="GJStylesContentMark"/>
  </w:abstractNum>
  <w:abstractNum w:abstractNumId="5">
    <w:nsid w:val="08AF5ED3"/>
    <w:multiLevelType w:val="hybridMultilevel"/>
    <w:tmpl w:val="1FD23C90"/>
    <w:lvl w:ilvl="0" w:tplc="064266E0">
      <w:start w:val="1"/>
      <w:numFmt w:val="bullet"/>
      <w:lvlText w:val=""/>
      <w:lvlJc w:val="left"/>
      <w:pPr>
        <w:ind w:left="1241" w:hanging="420"/>
      </w:pPr>
      <w:rPr>
        <w:rFonts w:ascii="Wingdings 2" w:hAnsi="Wingdings 2" w:hint="default"/>
        <w:b w:val="0"/>
        <w:i w:val="0"/>
        <w:color w:val="auto"/>
        <w:sz w:val="18"/>
      </w:rPr>
    </w:lvl>
    <w:lvl w:ilvl="1" w:tplc="04090003" w:tentative="1">
      <w:start w:val="1"/>
      <w:numFmt w:val="bullet"/>
      <w:lvlText w:val=""/>
      <w:lvlJc w:val="left"/>
      <w:pPr>
        <w:ind w:left="1661" w:hanging="420"/>
      </w:pPr>
      <w:rPr>
        <w:rFonts w:ascii="Wingdings" w:hAnsi="Wingdings" w:hint="default"/>
      </w:rPr>
    </w:lvl>
    <w:lvl w:ilvl="2" w:tplc="04090005" w:tentative="1">
      <w:start w:val="1"/>
      <w:numFmt w:val="bullet"/>
      <w:lvlText w:val=""/>
      <w:lvlJc w:val="left"/>
      <w:pPr>
        <w:ind w:left="2081" w:hanging="420"/>
      </w:pPr>
      <w:rPr>
        <w:rFonts w:ascii="Wingdings" w:hAnsi="Wingdings" w:hint="default"/>
      </w:rPr>
    </w:lvl>
    <w:lvl w:ilvl="3" w:tplc="04090001" w:tentative="1">
      <w:start w:val="1"/>
      <w:numFmt w:val="bullet"/>
      <w:lvlText w:val=""/>
      <w:lvlJc w:val="left"/>
      <w:pPr>
        <w:ind w:left="2501" w:hanging="420"/>
      </w:pPr>
      <w:rPr>
        <w:rFonts w:ascii="Wingdings" w:hAnsi="Wingdings" w:hint="default"/>
      </w:rPr>
    </w:lvl>
    <w:lvl w:ilvl="4" w:tplc="04090003" w:tentative="1">
      <w:start w:val="1"/>
      <w:numFmt w:val="bullet"/>
      <w:lvlText w:val=""/>
      <w:lvlJc w:val="left"/>
      <w:pPr>
        <w:ind w:left="2921" w:hanging="420"/>
      </w:pPr>
      <w:rPr>
        <w:rFonts w:ascii="Wingdings" w:hAnsi="Wingdings" w:hint="default"/>
      </w:rPr>
    </w:lvl>
    <w:lvl w:ilvl="5" w:tplc="04090005" w:tentative="1">
      <w:start w:val="1"/>
      <w:numFmt w:val="bullet"/>
      <w:lvlText w:val=""/>
      <w:lvlJc w:val="left"/>
      <w:pPr>
        <w:ind w:left="3341" w:hanging="420"/>
      </w:pPr>
      <w:rPr>
        <w:rFonts w:ascii="Wingdings" w:hAnsi="Wingdings" w:hint="default"/>
      </w:rPr>
    </w:lvl>
    <w:lvl w:ilvl="6" w:tplc="04090001" w:tentative="1">
      <w:start w:val="1"/>
      <w:numFmt w:val="bullet"/>
      <w:lvlText w:val=""/>
      <w:lvlJc w:val="left"/>
      <w:pPr>
        <w:ind w:left="3761" w:hanging="420"/>
      </w:pPr>
      <w:rPr>
        <w:rFonts w:ascii="Wingdings" w:hAnsi="Wingdings" w:hint="default"/>
      </w:rPr>
    </w:lvl>
    <w:lvl w:ilvl="7" w:tplc="04090003" w:tentative="1">
      <w:start w:val="1"/>
      <w:numFmt w:val="bullet"/>
      <w:lvlText w:val=""/>
      <w:lvlJc w:val="left"/>
      <w:pPr>
        <w:ind w:left="4181" w:hanging="420"/>
      </w:pPr>
      <w:rPr>
        <w:rFonts w:ascii="Wingdings" w:hAnsi="Wingdings" w:hint="default"/>
      </w:rPr>
    </w:lvl>
    <w:lvl w:ilvl="8" w:tplc="04090005" w:tentative="1">
      <w:start w:val="1"/>
      <w:numFmt w:val="bullet"/>
      <w:lvlText w:val=""/>
      <w:lvlJc w:val="left"/>
      <w:pPr>
        <w:ind w:left="4601" w:hanging="420"/>
      </w:pPr>
      <w:rPr>
        <w:rFonts w:ascii="Wingdings" w:hAnsi="Wingdings" w:hint="default"/>
      </w:rPr>
    </w:lvl>
  </w:abstractNum>
  <w:abstractNum w:abstractNumId="6">
    <w:nsid w:val="093F6D8F"/>
    <w:multiLevelType w:val="hybridMultilevel"/>
    <w:tmpl w:val="B5F612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2434BC"/>
    <w:multiLevelType w:val="multilevel"/>
    <w:tmpl w:val="3CDE5F16"/>
    <w:numStyleLink w:val="GJStylesContentMark"/>
  </w:abstractNum>
  <w:abstractNum w:abstractNumId="8">
    <w:nsid w:val="161F4DCD"/>
    <w:multiLevelType w:val="multilevel"/>
    <w:tmpl w:val="1556E7D6"/>
    <w:numStyleLink w:val="GJStylesSummaryContentMark"/>
  </w:abstractNum>
  <w:abstractNum w:abstractNumId="9">
    <w:nsid w:val="16A5693A"/>
    <w:multiLevelType w:val="multilevel"/>
    <w:tmpl w:val="3CDE5F16"/>
    <w:numStyleLink w:val="GJStylesContentMark"/>
  </w:abstractNum>
  <w:abstractNum w:abstractNumId="10">
    <w:nsid w:val="21E90D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3133399E"/>
    <w:multiLevelType w:val="multilevel"/>
    <w:tmpl w:val="1556E7D6"/>
    <w:styleLink w:val="GJStylesSummaryContentMark"/>
    <w:lvl w:ilvl="0">
      <w:start w:val="1"/>
      <w:numFmt w:val="bullet"/>
      <w:pStyle w:val="GJStylesSummaryContent"/>
      <w:lvlText w:val=""/>
      <w:lvlJc w:val="left"/>
      <w:pPr>
        <w:ind w:left="840" w:hanging="420"/>
      </w:pPr>
      <w:rPr>
        <w:rFonts w:ascii="Wingdings" w:hAnsi="Wingdings" w:hint="default"/>
        <w:b w:val="0"/>
        <w:i w:val="0"/>
        <w:color w:val="auto"/>
        <w:sz w:val="18"/>
      </w:rPr>
    </w:lvl>
    <w:lvl w:ilvl="1">
      <w:start w:val="1"/>
      <w:numFmt w:val="bullet"/>
      <w:pStyle w:val="GJStylesSummarySubContent"/>
      <w:lvlText w:val=""/>
      <w:lvlJc w:val="left"/>
      <w:pPr>
        <w:ind w:left="1260" w:hanging="420"/>
      </w:pPr>
      <w:rPr>
        <w:rFonts w:ascii="Wingdings 2" w:hAnsi="Wingdings 2" w:hint="default"/>
        <w:sz w:val="15"/>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33877569"/>
    <w:multiLevelType w:val="hybridMultilevel"/>
    <w:tmpl w:val="2FA8D094"/>
    <w:lvl w:ilvl="0" w:tplc="064266E0">
      <w:start w:val="1"/>
      <w:numFmt w:val="bullet"/>
      <w:lvlText w:val=""/>
      <w:lvlJc w:val="left"/>
      <w:pPr>
        <w:ind w:left="840" w:hanging="420"/>
      </w:pPr>
      <w:rPr>
        <w:rFonts w:ascii="Wingdings 2" w:hAnsi="Wingdings 2" w:hint="default"/>
        <w:b w:val="0"/>
        <w:i w:val="0"/>
        <w:color w:val="auto"/>
        <w:sz w:val="18"/>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36004F02"/>
    <w:multiLevelType w:val="multilevel"/>
    <w:tmpl w:val="3CDE5F16"/>
    <w:numStyleLink w:val="GJStylesContentMark"/>
  </w:abstractNum>
  <w:abstractNum w:abstractNumId="14">
    <w:nsid w:val="41A645CE"/>
    <w:multiLevelType w:val="multilevel"/>
    <w:tmpl w:val="3CDE5F16"/>
    <w:numStyleLink w:val="GJStylesContentMark"/>
  </w:abstractNum>
  <w:abstractNum w:abstractNumId="15">
    <w:nsid w:val="44D96BA6"/>
    <w:multiLevelType w:val="multilevel"/>
    <w:tmpl w:val="1556E7D6"/>
    <w:numStyleLink w:val="GJStylesSummaryContentMark"/>
  </w:abstractNum>
  <w:abstractNum w:abstractNumId="16">
    <w:nsid w:val="44E1352C"/>
    <w:multiLevelType w:val="multilevel"/>
    <w:tmpl w:val="3CDE5F16"/>
    <w:numStyleLink w:val="GJStylesContentMark"/>
  </w:abstractNum>
  <w:abstractNum w:abstractNumId="17">
    <w:nsid w:val="47567D89"/>
    <w:multiLevelType w:val="multilevel"/>
    <w:tmpl w:val="7CBE05E2"/>
    <w:styleLink w:val="GJStylesContentMarkWide"/>
    <w:lvl w:ilvl="0">
      <w:start w:val="1"/>
      <w:numFmt w:val="bullet"/>
      <w:lvlText w:val=""/>
      <w:lvlJc w:val="left"/>
      <w:pPr>
        <w:ind w:left="850" w:hanging="425"/>
      </w:pPr>
      <w:rPr>
        <w:rFonts w:ascii="Wingdings 2" w:hAnsi="Wingdings 2" w:hint="default"/>
        <w:color w:val="auto"/>
      </w:rPr>
    </w:lvl>
    <w:lvl w:ilvl="1">
      <w:start w:val="1"/>
      <w:numFmt w:val="bullet"/>
      <w:lvlText w:val=""/>
      <w:lvlJc w:val="left"/>
      <w:pPr>
        <w:ind w:left="1417" w:hanging="567"/>
      </w:pPr>
      <w:rPr>
        <w:rFonts w:ascii="Wingdings 2" w:hAnsi="Wingdings 2" w:hint="default"/>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8">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19">
    <w:nsid w:val="4E0270AD"/>
    <w:multiLevelType w:val="multilevel"/>
    <w:tmpl w:val="3CDE5F16"/>
    <w:styleLink w:val="GJStylesContentMark"/>
    <w:lvl w:ilvl="0">
      <w:start w:val="1"/>
      <w:numFmt w:val="bullet"/>
      <w:pStyle w:val="GJStylesContentThirdTitle"/>
      <w:lvlText w:val=""/>
      <w:lvlJc w:val="left"/>
      <w:pPr>
        <w:tabs>
          <w:tab w:val="num" w:pos="3430"/>
        </w:tabs>
        <w:ind w:left="3799" w:hanging="369"/>
      </w:pPr>
      <w:rPr>
        <w:rFonts w:ascii="Wingdings 2" w:hAnsi="Wingdings 2" w:hint="default"/>
        <w:color w:val="auto"/>
      </w:rPr>
    </w:lvl>
    <w:lvl w:ilvl="1">
      <w:start w:val="1"/>
      <w:numFmt w:val="bullet"/>
      <w:pStyle w:val="GJStylesContentFourTitle"/>
      <w:lvlText w:val=""/>
      <w:lvlJc w:val="left"/>
      <w:pPr>
        <w:ind w:left="4190" w:hanging="419"/>
      </w:pPr>
      <w:rPr>
        <w:rFonts w:ascii="Wingdings 2" w:hAnsi="Wingdings 2"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4E7C3CC1"/>
    <w:multiLevelType w:val="hybridMultilevel"/>
    <w:tmpl w:val="60FAACEA"/>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tentative="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064266E0">
      <w:start w:val="1"/>
      <w:numFmt w:val="bullet"/>
      <w:lvlText w:val=""/>
      <w:lvlJc w:val="left"/>
      <w:pPr>
        <w:tabs>
          <w:tab w:val="num" w:pos="4191"/>
        </w:tabs>
        <w:ind w:left="4191" w:hanging="420"/>
      </w:pPr>
      <w:rPr>
        <w:rFonts w:ascii="Wingdings 2" w:hAnsi="Wingdings 2" w:hint="default"/>
        <w:b w:val="0"/>
        <w:i w:val="0"/>
        <w:color w:val="auto"/>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1">
    <w:nsid w:val="515021FA"/>
    <w:multiLevelType w:val="multilevel"/>
    <w:tmpl w:val="1556E7D6"/>
    <w:numStyleLink w:val="GJStylesSummaryContentMark"/>
  </w:abstractNum>
  <w:abstractNum w:abstractNumId="22">
    <w:nsid w:val="5ADD1880"/>
    <w:multiLevelType w:val="hybridMultilevel"/>
    <w:tmpl w:val="3358225E"/>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5DD2D9F"/>
    <w:multiLevelType w:val="multilevel"/>
    <w:tmpl w:val="3CDE5F16"/>
    <w:numStyleLink w:val="GJStylesContentMark"/>
  </w:abstractNum>
  <w:abstractNum w:abstractNumId="24">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abstractNum w:abstractNumId="25">
    <w:nsid w:val="686369BF"/>
    <w:multiLevelType w:val="multilevel"/>
    <w:tmpl w:val="1556E7D6"/>
    <w:numStyleLink w:val="GJStylesSummaryContentMark"/>
  </w:abstractNum>
  <w:abstractNum w:abstractNumId="26">
    <w:nsid w:val="6BF1418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nsid w:val="72754749"/>
    <w:multiLevelType w:val="multilevel"/>
    <w:tmpl w:val="1556E7D6"/>
    <w:numStyleLink w:val="GJStylesSummaryContentMark"/>
  </w:abstractNum>
  <w:abstractNum w:abstractNumId="28">
    <w:nsid w:val="73777A50"/>
    <w:multiLevelType w:val="multilevel"/>
    <w:tmpl w:val="3CDE5F16"/>
    <w:numStyleLink w:val="GJStylesContentMark"/>
  </w:abstractNum>
  <w:abstractNum w:abstractNumId="29">
    <w:nsid w:val="7C284D5A"/>
    <w:multiLevelType w:val="multilevel"/>
    <w:tmpl w:val="3CDE5F16"/>
    <w:numStyleLink w:val="GJStylesContentMark"/>
  </w:abstractNum>
  <w:abstractNum w:abstractNumId="30">
    <w:nsid w:val="7C8139AA"/>
    <w:multiLevelType w:val="multilevel"/>
    <w:tmpl w:val="3CDE5F16"/>
    <w:numStyleLink w:val="GJStylesContentMark"/>
  </w:abstractNum>
  <w:num w:numId="1">
    <w:abstractNumId w:val="24"/>
  </w:num>
  <w:num w:numId="2">
    <w:abstractNumId w:val="3"/>
  </w:num>
  <w:num w:numId="3">
    <w:abstractNumId w:val="18"/>
  </w:num>
  <w:num w:numId="4">
    <w:abstractNumId w:val="20"/>
  </w:num>
  <w:num w:numId="5">
    <w:abstractNumId w:val="19"/>
  </w:num>
  <w:num w:numId="6">
    <w:abstractNumId w:val="1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2"/>
  </w:num>
  <w:num w:numId="11">
    <w:abstractNumId w:val="11"/>
  </w:num>
  <w:num w:numId="12">
    <w:abstractNumId w:val="26"/>
  </w:num>
  <w:num w:numId="13">
    <w:abstractNumId w:val="22"/>
  </w:num>
  <w:num w:numId="14">
    <w:abstractNumId w:val="5"/>
  </w:num>
  <w:num w:numId="15">
    <w:abstractNumId w:val="2"/>
  </w:num>
  <w:num w:numId="16">
    <w:abstractNumId w:val="8"/>
  </w:num>
  <w:num w:numId="17">
    <w:abstractNumId w:val="21"/>
  </w:num>
  <w:num w:numId="18">
    <w:abstractNumId w:val="15"/>
  </w:num>
  <w:num w:numId="19">
    <w:abstractNumId w:val="27"/>
  </w:num>
  <w:num w:numId="20">
    <w:abstractNumId w:val="10"/>
  </w:num>
  <w:num w:numId="21">
    <w:abstractNumId w:val="25"/>
  </w:num>
  <w:num w:numId="22">
    <w:abstractNumId w:val="14"/>
  </w:num>
  <w:num w:numId="23">
    <w:abstractNumId w:val="0"/>
  </w:num>
  <w:num w:numId="24">
    <w:abstractNumId w:val="16"/>
  </w:num>
  <w:num w:numId="25">
    <w:abstractNumId w:val="9"/>
  </w:num>
  <w:num w:numId="26">
    <w:abstractNumId w:val="1"/>
  </w:num>
  <w:num w:numId="27">
    <w:abstractNumId w:val="23"/>
  </w:num>
  <w:num w:numId="28">
    <w:abstractNumId w:val="4"/>
  </w:num>
  <w:num w:numId="29">
    <w:abstractNumId w:val="28"/>
  </w:num>
  <w:num w:numId="30">
    <w:abstractNumId w:val="29"/>
  </w:num>
  <w:num w:numId="31">
    <w:abstractNumId w:val="30"/>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1" style="mso-position-horizontal-relative:page;mso-position-vertical-relative:page" fill="f" fillcolor="blue" strokecolor="blue">
      <v:fill color="blue" on="f"/>
      <v:stroke color="blue"/>
      <o:colormru v:ext="edit" colors="#d7e4f0,#7494c3,#003765"/>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77777"/>
    <w:rsid w:val="000004CC"/>
    <w:rsid w:val="00002BE4"/>
    <w:rsid w:val="00003774"/>
    <w:rsid w:val="00004320"/>
    <w:rsid w:val="00004957"/>
    <w:rsid w:val="0000572E"/>
    <w:rsid w:val="000106FC"/>
    <w:rsid w:val="00013EB2"/>
    <w:rsid w:val="0001492B"/>
    <w:rsid w:val="00014B77"/>
    <w:rsid w:val="00014F51"/>
    <w:rsid w:val="0002045A"/>
    <w:rsid w:val="000219EC"/>
    <w:rsid w:val="00021A32"/>
    <w:rsid w:val="000221E8"/>
    <w:rsid w:val="0002347C"/>
    <w:rsid w:val="00023D3A"/>
    <w:rsid w:val="00025049"/>
    <w:rsid w:val="00026458"/>
    <w:rsid w:val="00030007"/>
    <w:rsid w:val="00031106"/>
    <w:rsid w:val="000319DC"/>
    <w:rsid w:val="00032255"/>
    <w:rsid w:val="0003281B"/>
    <w:rsid w:val="00032926"/>
    <w:rsid w:val="00032EE6"/>
    <w:rsid w:val="00033099"/>
    <w:rsid w:val="000336C0"/>
    <w:rsid w:val="000343B3"/>
    <w:rsid w:val="00034B6F"/>
    <w:rsid w:val="000368BD"/>
    <w:rsid w:val="000374D7"/>
    <w:rsid w:val="000424AC"/>
    <w:rsid w:val="00043630"/>
    <w:rsid w:val="00044C1E"/>
    <w:rsid w:val="00045BB2"/>
    <w:rsid w:val="000464EF"/>
    <w:rsid w:val="00051253"/>
    <w:rsid w:val="0005161F"/>
    <w:rsid w:val="00051AFD"/>
    <w:rsid w:val="00052199"/>
    <w:rsid w:val="000528A0"/>
    <w:rsid w:val="000528AB"/>
    <w:rsid w:val="00054005"/>
    <w:rsid w:val="000576EE"/>
    <w:rsid w:val="00060D36"/>
    <w:rsid w:val="0006128E"/>
    <w:rsid w:val="000622E5"/>
    <w:rsid w:val="0006435D"/>
    <w:rsid w:val="00070B6F"/>
    <w:rsid w:val="00070EA5"/>
    <w:rsid w:val="00070F25"/>
    <w:rsid w:val="00071EB8"/>
    <w:rsid w:val="000748FA"/>
    <w:rsid w:val="00074B53"/>
    <w:rsid w:val="0007511E"/>
    <w:rsid w:val="00080902"/>
    <w:rsid w:val="00080AF3"/>
    <w:rsid w:val="000810F3"/>
    <w:rsid w:val="00082E94"/>
    <w:rsid w:val="0008444C"/>
    <w:rsid w:val="00090567"/>
    <w:rsid w:val="00090CDA"/>
    <w:rsid w:val="00091670"/>
    <w:rsid w:val="00091CB7"/>
    <w:rsid w:val="000939AA"/>
    <w:rsid w:val="000943F5"/>
    <w:rsid w:val="00094710"/>
    <w:rsid w:val="00096DCC"/>
    <w:rsid w:val="00096FFB"/>
    <w:rsid w:val="000A1BCE"/>
    <w:rsid w:val="000A2612"/>
    <w:rsid w:val="000A44D7"/>
    <w:rsid w:val="000A6D82"/>
    <w:rsid w:val="000A7AA6"/>
    <w:rsid w:val="000A7D02"/>
    <w:rsid w:val="000B001B"/>
    <w:rsid w:val="000B01C0"/>
    <w:rsid w:val="000B07ED"/>
    <w:rsid w:val="000B0E6B"/>
    <w:rsid w:val="000B265D"/>
    <w:rsid w:val="000B50B1"/>
    <w:rsid w:val="000B539C"/>
    <w:rsid w:val="000B5C96"/>
    <w:rsid w:val="000B78AA"/>
    <w:rsid w:val="000C065B"/>
    <w:rsid w:val="000C0A3A"/>
    <w:rsid w:val="000C2404"/>
    <w:rsid w:val="000C2EDE"/>
    <w:rsid w:val="000C484B"/>
    <w:rsid w:val="000C7D66"/>
    <w:rsid w:val="000C7EB1"/>
    <w:rsid w:val="000D1948"/>
    <w:rsid w:val="000D3153"/>
    <w:rsid w:val="000D5698"/>
    <w:rsid w:val="000D688F"/>
    <w:rsid w:val="000E12FC"/>
    <w:rsid w:val="000E2FF4"/>
    <w:rsid w:val="000E40C9"/>
    <w:rsid w:val="000E6203"/>
    <w:rsid w:val="000E6AE0"/>
    <w:rsid w:val="000F2643"/>
    <w:rsid w:val="000F4AB0"/>
    <w:rsid w:val="000F5142"/>
    <w:rsid w:val="000F61F9"/>
    <w:rsid w:val="000F72BA"/>
    <w:rsid w:val="000F738D"/>
    <w:rsid w:val="00102430"/>
    <w:rsid w:val="001025A9"/>
    <w:rsid w:val="00102FCE"/>
    <w:rsid w:val="001064A9"/>
    <w:rsid w:val="0010686C"/>
    <w:rsid w:val="00106ADD"/>
    <w:rsid w:val="00106FF6"/>
    <w:rsid w:val="001119C0"/>
    <w:rsid w:val="00113237"/>
    <w:rsid w:val="00113F7E"/>
    <w:rsid w:val="0011478F"/>
    <w:rsid w:val="001151C1"/>
    <w:rsid w:val="00116A49"/>
    <w:rsid w:val="00122401"/>
    <w:rsid w:val="00122D86"/>
    <w:rsid w:val="00123AF2"/>
    <w:rsid w:val="00127D52"/>
    <w:rsid w:val="00130A54"/>
    <w:rsid w:val="00131E05"/>
    <w:rsid w:val="00132E65"/>
    <w:rsid w:val="00132E70"/>
    <w:rsid w:val="00133402"/>
    <w:rsid w:val="0013548E"/>
    <w:rsid w:val="0013641C"/>
    <w:rsid w:val="001377EB"/>
    <w:rsid w:val="00141C49"/>
    <w:rsid w:val="00141C88"/>
    <w:rsid w:val="0014285A"/>
    <w:rsid w:val="0014388E"/>
    <w:rsid w:val="00146968"/>
    <w:rsid w:val="00147350"/>
    <w:rsid w:val="00150313"/>
    <w:rsid w:val="001503CD"/>
    <w:rsid w:val="00150417"/>
    <w:rsid w:val="0015120D"/>
    <w:rsid w:val="0015265C"/>
    <w:rsid w:val="0015543F"/>
    <w:rsid w:val="0015629E"/>
    <w:rsid w:val="001602B1"/>
    <w:rsid w:val="0016153B"/>
    <w:rsid w:val="0016156D"/>
    <w:rsid w:val="0016178D"/>
    <w:rsid w:val="00161CE1"/>
    <w:rsid w:val="00164EE1"/>
    <w:rsid w:val="00165EA0"/>
    <w:rsid w:val="00167E1A"/>
    <w:rsid w:val="00170C24"/>
    <w:rsid w:val="00176A15"/>
    <w:rsid w:val="00177727"/>
    <w:rsid w:val="00180167"/>
    <w:rsid w:val="00180272"/>
    <w:rsid w:val="00180733"/>
    <w:rsid w:val="001809E2"/>
    <w:rsid w:val="00181A5B"/>
    <w:rsid w:val="001820D1"/>
    <w:rsid w:val="001829B0"/>
    <w:rsid w:val="001837D4"/>
    <w:rsid w:val="00183D27"/>
    <w:rsid w:val="001865C6"/>
    <w:rsid w:val="001865FF"/>
    <w:rsid w:val="00186750"/>
    <w:rsid w:val="00194D9A"/>
    <w:rsid w:val="00194F5F"/>
    <w:rsid w:val="001953A5"/>
    <w:rsid w:val="0019605A"/>
    <w:rsid w:val="001A0044"/>
    <w:rsid w:val="001A07F2"/>
    <w:rsid w:val="001A091B"/>
    <w:rsid w:val="001A1E48"/>
    <w:rsid w:val="001A247C"/>
    <w:rsid w:val="001A24EA"/>
    <w:rsid w:val="001A2AD4"/>
    <w:rsid w:val="001A2C79"/>
    <w:rsid w:val="001A3994"/>
    <w:rsid w:val="001A4819"/>
    <w:rsid w:val="001A67A0"/>
    <w:rsid w:val="001A6CF8"/>
    <w:rsid w:val="001B07C4"/>
    <w:rsid w:val="001B1467"/>
    <w:rsid w:val="001B2725"/>
    <w:rsid w:val="001B4033"/>
    <w:rsid w:val="001B4237"/>
    <w:rsid w:val="001B4630"/>
    <w:rsid w:val="001B47B2"/>
    <w:rsid w:val="001B5CE8"/>
    <w:rsid w:val="001B6452"/>
    <w:rsid w:val="001C118C"/>
    <w:rsid w:val="001C1C32"/>
    <w:rsid w:val="001C40DD"/>
    <w:rsid w:val="001C4CE3"/>
    <w:rsid w:val="001C52BA"/>
    <w:rsid w:val="001C5AA3"/>
    <w:rsid w:val="001C5C2B"/>
    <w:rsid w:val="001C7914"/>
    <w:rsid w:val="001D0A95"/>
    <w:rsid w:val="001D0F58"/>
    <w:rsid w:val="001D24A0"/>
    <w:rsid w:val="001D3958"/>
    <w:rsid w:val="001D3DC3"/>
    <w:rsid w:val="001D4A05"/>
    <w:rsid w:val="001D5598"/>
    <w:rsid w:val="001D7559"/>
    <w:rsid w:val="001E1FDB"/>
    <w:rsid w:val="001E24A0"/>
    <w:rsid w:val="001E4AF1"/>
    <w:rsid w:val="001E5CB0"/>
    <w:rsid w:val="001E6529"/>
    <w:rsid w:val="001E72F3"/>
    <w:rsid w:val="001E7B3E"/>
    <w:rsid w:val="001F0514"/>
    <w:rsid w:val="001F1AE5"/>
    <w:rsid w:val="001F1EDA"/>
    <w:rsid w:val="001F2D26"/>
    <w:rsid w:val="001F4836"/>
    <w:rsid w:val="001F5094"/>
    <w:rsid w:val="001F79C4"/>
    <w:rsid w:val="00200D33"/>
    <w:rsid w:val="00200D42"/>
    <w:rsid w:val="0020190A"/>
    <w:rsid w:val="00203AB8"/>
    <w:rsid w:val="0020511C"/>
    <w:rsid w:val="00205425"/>
    <w:rsid w:val="00205844"/>
    <w:rsid w:val="00206A8D"/>
    <w:rsid w:val="002071A0"/>
    <w:rsid w:val="002078CF"/>
    <w:rsid w:val="00212F4D"/>
    <w:rsid w:val="00213251"/>
    <w:rsid w:val="00213D4E"/>
    <w:rsid w:val="00216D2E"/>
    <w:rsid w:val="002170D3"/>
    <w:rsid w:val="00220363"/>
    <w:rsid w:val="00220736"/>
    <w:rsid w:val="00220D09"/>
    <w:rsid w:val="0022215E"/>
    <w:rsid w:val="00224810"/>
    <w:rsid w:val="0022768D"/>
    <w:rsid w:val="00230996"/>
    <w:rsid w:val="0023347E"/>
    <w:rsid w:val="00233B04"/>
    <w:rsid w:val="002347F7"/>
    <w:rsid w:val="00234C04"/>
    <w:rsid w:val="0024043A"/>
    <w:rsid w:val="002412D0"/>
    <w:rsid w:val="002416F4"/>
    <w:rsid w:val="00242104"/>
    <w:rsid w:val="00243205"/>
    <w:rsid w:val="0024447F"/>
    <w:rsid w:val="0024569B"/>
    <w:rsid w:val="00245E6B"/>
    <w:rsid w:val="002463F9"/>
    <w:rsid w:val="0025246E"/>
    <w:rsid w:val="00255EE8"/>
    <w:rsid w:val="00257C5B"/>
    <w:rsid w:val="00261B2D"/>
    <w:rsid w:val="00261E81"/>
    <w:rsid w:val="00262373"/>
    <w:rsid w:val="00263585"/>
    <w:rsid w:val="00264D37"/>
    <w:rsid w:val="002711AC"/>
    <w:rsid w:val="00273AF6"/>
    <w:rsid w:val="00275A0E"/>
    <w:rsid w:val="0027674A"/>
    <w:rsid w:val="00276AED"/>
    <w:rsid w:val="002807D9"/>
    <w:rsid w:val="002838A3"/>
    <w:rsid w:val="00284A26"/>
    <w:rsid w:val="0029022C"/>
    <w:rsid w:val="00292EB6"/>
    <w:rsid w:val="002978EA"/>
    <w:rsid w:val="002A1CCE"/>
    <w:rsid w:val="002A1D2C"/>
    <w:rsid w:val="002A24F5"/>
    <w:rsid w:val="002A5003"/>
    <w:rsid w:val="002A673A"/>
    <w:rsid w:val="002A6F88"/>
    <w:rsid w:val="002A771D"/>
    <w:rsid w:val="002B27BD"/>
    <w:rsid w:val="002B45D1"/>
    <w:rsid w:val="002B487A"/>
    <w:rsid w:val="002B4981"/>
    <w:rsid w:val="002C0205"/>
    <w:rsid w:val="002C0377"/>
    <w:rsid w:val="002C07DE"/>
    <w:rsid w:val="002C0968"/>
    <w:rsid w:val="002C456B"/>
    <w:rsid w:val="002C4E0E"/>
    <w:rsid w:val="002C4E8C"/>
    <w:rsid w:val="002C5AE2"/>
    <w:rsid w:val="002C6A7A"/>
    <w:rsid w:val="002D08AF"/>
    <w:rsid w:val="002D14E8"/>
    <w:rsid w:val="002D2654"/>
    <w:rsid w:val="002D3454"/>
    <w:rsid w:val="002D3741"/>
    <w:rsid w:val="002D4069"/>
    <w:rsid w:val="002E0D03"/>
    <w:rsid w:val="002E1B35"/>
    <w:rsid w:val="002E3E22"/>
    <w:rsid w:val="002E4642"/>
    <w:rsid w:val="002E5D74"/>
    <w:rsid w:val="002E61EA"/>
    <w:rsid w:val="002E6511"/>
    <w:rsid w:val="002E75AF"/>
    <w:rsid w:val="002E7EC3"/>
    <w:rsid w:val="002F25DE"/>
    <w:rsid w:val="002F355F"/>
    <w:rsid w:val="002F593A"/>
    <w:rsid w:val="002F5AE7"/>
    <w:rsid w:val="002F5BF7"/>
    <w:rsid w:val="002F6E11"/>
    <w:rsid w:val="00302B7E"/>
    <w:rsid w:val="003071B6"/>
    <w:rsid w:val="00307994"/>
    <w:rsid w:val="003127AF"/>
    <w:rsid w:val="00313166"/>
    <w:rsid w:val="003136D8"/>
    <w:rsid w:val="0031538A"/>
    <w:rsid w:val="0031692A"/>
    <w:rsid w:val="00317099"/>
    <w:rsid w:val="003170B2"/>
    <w:rsid w:val="00317266"/>
    <w:rsid w:val="00320A7A"/>
    <w:rsid w:val="00322098"/>
    <w:rsid w:val="003224F1"/>
    <w:rsid w:val="00323DF0"/>
    <w:rsid w:val="003257B9"/>
    <w:rsid w:val="003277D6"/>
    <w:rsid w:val="003326E4"/>
    <w:rsid w:val="00335A15"/>
    <w:rsid w:val="00340097"/>
    <w:rsid w:val="00340945"/>
    <w:rsid w:val="00341662"/>
    <w:rsid w:val="00341675"/>
    <w:rsid w:val="00342B1B"/>
    <w:rsid w:val="00344C85"/>
    <w:rsid w:val="003453BD"/>
    <w:rsid w:val="00346273"/>
    <w:rsid w:val="00347FF1"/>
    <w:rsid w:val="00351D32"/>
    <w:rsid w:val="0035208F"/>
    <w:rsid w:val="003551E8"/>
    <w:rsid w:val="00355A8C"/>
    <w:rsid w:val="003565F8"/>
    <w:rsid w:val="0035779A"/>
    <w:rsid w:val="0036471C"/>
    <w:rsid w:val="00366D76"/>
    <w:rsid w:val="00370570"/>
    <w:rsid w:val="003708AB"/>
    <w:rsid w:val="00373BE5"/>
    <w:rsid w:val="00374401"/>
    <w:rsid w:val="00375560"/>
    <w:rsid w:val="003770F6"/>
    <w:rsid w:val="00377B46"/>
    <w:rsid w:val="00377B96"/>
    <w:rsid w:val="00380602"/>
    <w:rsid w:val="00380A4C"/>
    <w:rsid w:val="0038171D"/>
    <w:rsid w:val="003823A5"/>
    <w:rsid w:val="003825A9"/>
    <w:rsid w:val="00383ECB"/>
    <w:rsid w:val="00385FE5"/>
    <w:rsid w:val="00390CEC"/>
    <w:rsid w:val="00391640"/>
    <w:rsid w:val="00392C2D"/>
    <w:rsid w:val="00392D30"/>
    <w:rsid w:val="003940E0"/>
    <w:rsid w:val="003A2F11"/>
    <w:rsid w:val="003A439D"/>
    <w:rsid w:val="003A54F6"/>
    <w:rsid w:val="003A604C"/>
    <w:rsid w:val="003A7A25"/>
    <w:rsid w:val="003B0DF7"/>
    <w:rsid w:val="003B1653"/>
    <w:rsid w:val="003B181C"/>
    <w:rsid w:val="003B4003"/>
    <w:rsid w:val="003B4093"/>
    <w:rsid w:val="003B5F40"/>
    <w:rsid w:val="003B66EA"/>
    <w:rsid w:val="003C07FD"/>
    <w:rsid w:val="003C100F"/>
    <w:rsid w:val="003C3975"/>
    <w:rsid w:val="003C3B56"/>
    <w:rsid w:val="003C4000"/>
    <w:rsid w:val="003C49EC"/>
    <w:rsid w:val="003C4E1B"/>
    <w:rsid w:val="003C56FF"/>
    <w:rsid w:val="003D04AA"/>
    <w:rsid w:val="003D2CEC"/>
    <w:rsid w:val="003D34BE"/>
    <w:rsid w:val="003D637B"/>
    <w:rsid w:val="003D6C0B"/>
    <w:rsid w:val="003D7790"/>
    <w:rsid w:val="003E0153"/>
    <w:rsid w:val="003E0662"/>
    <w:rsid w:val="003E19C5"/>
    <w:rsid w:val="003E588D"/>
    <w:rsid w:val="003E7A24"/>
    <w:rsid w:val="003F0EAD"/>
    <w:rsid w:val="003F1DFD"/>
    <w:rsid w:val="003F4374"/>
    <w:rsid w:val="003F44DF"/>
    <w:rsid w:val="003F5FAF"/>
    <w:rsid w:val="003F5FC8"/>
    <w:rsid w:val="003F69AD"/>
    <w:rsid w:val="003F70C5"/>
    <w:rsid w:val="00400104"/>
    <w:rsid w:val="004008F6"/>
    <w:rsid w:val="00404001"/>
    <w:rsid w:val="0040560A"/>
    <w:rsid w:val="00405E6E"/>
    <w:rsid w:val="00406323"/>
    <w:rsid w:val="00411188"/>
    <w:rsid w:val="00411272"/>
    <w:rsid w:val="0041633D"/>
    <w:rsid w:val="004173B9"/>
    <w:rsid w:val="0041785A"/>
    <w:rsid w:val="004201B5"/>
    <w:rsid w:val="004220C6"/>
    <w:rsid w:val="00422B94"/>
    <w:rsid w:val="0042700B"/>
    <w:rsid w:val="004305C0"/>
    <w:rsid w:val="00431896"/>
    <w:rsid w:val="00432354"/>
    <w:rsid w:val="0043239D"/>
    <w:rsid w:val="00436046"/>
    <w:rsid w:val="004406DF"/>
    <w:rsid w:val="00440764"/>
    <w:rsid w:val="00441C53"/>
    <w:rsid w:val="004426FD"/>
    <w:rsid w:val="00442D78"/>
    <w:rsid w:val="004446A9"/>
    <w:rsid w:val="00446939"/>
    <w:rsid w:val="00447994"/>
    <w:rsid w:val="00451748"/>
    <w:rsid w:val="00460D1B"/>
    <w:rsid w:val="00461F8F"/>
    <w:rsid w:val="00462605"/>
    <w:rsid w:val="0046331E"/>
    <w:rsid w:val="004652B5"/>
    <w:rsid w:val="00465D01"/>
    <w:rsid w:val="00466EE2"/>
    <w:rsid w:val="00467264"/>
    <w:rsid w:val="00470E0A"/>
    <w:rsid w:val="004720B7"/>
    <w:rsid w:val="004733CD"/>
    <w:rsid w:val="0047552D"/>
    <w:rsid w:val="00475F78"/>
    <w:rsid w:val="004763E7"/>
    <w:rsid w:val="00476412"/>
    <w:rsid w:val="00480AD3"/>
    <w:rsid w:val="0048332D"/>
    <w:rsid w:val="00484816"/>
    <w:rsid w:val="00485211"/>
    <w:rsid w:val="00487051"/>
    <w:rsid w:val="00487AA2"/>
    <w:rsid w:val="00490982"/>
    <w:rsid w:val="0049143A"/>
    <w:rsid w:val="00491683"/>
    <w:rsid w:val="00496669"/>
    <w:rsid w:val="00497028"/>
    <w:rsid w:val="004A0D0B"/>
    <w:rsid w:val="004A4FC7"/>
    <w:rsid w:val="004B14CE"/>
    <w:rsid w:val="004B15F5"/>
    <w:rsid w:val="004B4DD6"/>
    <w:rsid w:val="004B5B71"/>
    <w:rsid w:val="004B5D30"/>
    <w:rsid w:val="004B6108"/>
    <w:rsid w:val="004B6C64"/>
    <w:rsid w:val="004B6D3C"/>
    <w:rsid w:val="004C1881"/>
    <w:rsid w:val="004C3757"/>
    <w:rsid w:val="004C4283"/>
    <w:rsid w:val="004C64E0"/>
    <w:rsid w:val="004D0440"/>
    <w:rsid w:val="004D1494"/>
    <w:rsid w:val="004D28D0"/>
    <w:rsid w:val="004D3BFA"/>
    <w:rsid w:val="004D5C9F"/>
    <w:rsid w:val="004D76AE"/>
    <w:rsid w:val="004D7D64"/>
    <w:rsid w:val="004D7FB3"/>
    <w:rsid w:val="004E0A1B"/>
    <w:rsid w:val="004E1C83"/>
    <w:rsid w:val="004E2B78"/>
    <w:rsid w:val="004E2C0D"/>
    <w:rsid w:val="004E2E08"/>
    <w:rsid w:val="004E2F6D"/>
    <w:rsid w:val="004E30B3"/>
    <w:rsid w:val="004E3213"/>
    <w:rsid w:val="004E4D0F"/>
    <w:rsid w:val="004E55B6"/>
    <w:rsid w:val="004E61F8"/>
    <w:rsid w:val="004E627E"/>
    <w:rsid w:val="004E6829"/>
    <w:rsid w:val="004E76D0"/>
    <w:rsid w:val="004F03CC"/>
    <w:rsid w:val="004F0AB3"/>
    <w:rsid w:val="004F2784"/>
    <w:rsid w:val="004F3338"/>
    <w:rsid w:val="004F3AE7"/>
    <w:rsid w:val="004F57FE"/>
    <w:rsid w:val="004F5D04"/>
    <w:rsid w:val="004F6FA1"/>
    <w:rsid w:val="004F7C74"/>
    <w:rsid w:val="00501C4D"/>
    <w:rsid w:val="0050353B"/>
    <w:rsid w:val="00505788"/>
    <w:rsid w:val="00507170"/>
    <w:rsid w:val="00510475"/>
    <w:rsid w:val="00510D65"/>
    <w:rsid w:val="00511E6C"/>
    <w:rsid w:val="0051446F"/>
    <w:rsid w:val="005157E6"/>
    <w:rsid w:val="00515D58"/>
    <w:rsid w:val="00517B08"/>
    <w:rsid w:val="005214D7"/>
    <w:rsid w:val="005217AE"/>
    <w:rsid w:val="00523011"/>
    <w:rsid w:val="005231B8"/>
    <w:rsid w:val="0052506B"/>
    <w:rsid w:val="005264A1"/>
    <w:rsid w:val="0052755F"/>
    <w:rsid w:val="00527CB3"/>
    <w:rsid w:val="00535B28"/>
    <w:rsid w:val="005363E6"/>
    <w:rsid w:val="00536940"/>
    <w:rsid w:val="00537116"/>
    <w:rsid w:val="005379A0"/>
    <w:rsid w:val="0054081F"/>
    <w:rsid w:val="0054218B"/>
    <w:rsid w:val="00544037"/>
    <w:rsid w:val="005519C0"/>
    <w:rsid w:val="005526E7"/>
    <w:rsid w:val="00552C2F"/>
    <w:rsid w:val="00554DE2"/>
    <w:rsid w:val="005552A5"/>
    <w:rsid w:val="005553CC"/>
    <w:rsid w:val="00555C07"/>
    <w:rsid w:val="005577B5"/>
    <w:rsid w:val="0056136E"/>
    <w:rsid w:val="00561E96"/>
    <w:rsid w:val="005631D5"/>
    <w:rsid w:val="00563BB7"/>
    <w:rsid w:val="0056434B"/>
    <w:rsid w:val="005657EA"/>
    <w:rsid w:val="00567DC4"/>
    <w:rsid w:val="00570976"/>
    <w:rsid w:val="005709AD"/>
    <w:rsid w:val="00570D00"/>
    <w:rsid w:val="005721EB"/>
    <w:rsid w:val="00572FFB"/>
    <w:rsid w:val="00573AE0"/>
    <w:rsid w:val="00580667"/>
    <w:rsid w:val="00580A28"/>
    <w:rsid w:val="00581E5D"/>
    <w:rsid w:val="00581FA9"/>
    <w:rsid w:val="0058200E"/>
    <w:rsid w:val="005820FB"/>
    <w:rsid w:val="005843E0"/>
    <w:rsid w:val="005854BE"/>
    <w:rsid w:val="00585557"/>
    <w:rsid w:val="00587714"/>
    <w:rsid w:val="00587C3D"/>
    <w:rsid w:val="00590348"/>
    <w:rsid w:val="0059131D"/>
    <w:rsid w:val="00592AA9"/>
    <w:rsid w:val="005930C5"/>
    <w:rsid w:val="00594E62"/>
    <w:rsid w:val="00594EEE"/>
    <w:rsid w:val="00595AF2"/>
    <w:rsid w:val="005973E6"/>
    <w:rsid w:val="005A26BC"/>
    <w:rsid w:val="005A4369"/>
    <w:rsid w:val="005A4767"/>
    <w:rsid w:val="005A603C"/>
    <w:rsid w:val="005A66A2"/>
    <w:rsid w:val="005A6A6A"/>
    <w:rsid w:val="005B069B"/>
    <w:rsid w:val="005B247E"/>
    <w:rsid w:val="005B30C9"/>
    <w:rsid w:val="005C0169"/>
    <w:rsid w:val="005C2514"/>
    <w:rsid w:val="005C290E"/>
    <w:rsid w:val="005C3784"/>
    <w:rsid w:val="005C466C"/>
    <w:rsid w:val="005C4C98"/>
    <w:rsid w:val="005C6B60"/>
    <w:rsid w:val="005C75E8"/>
    <w:rsid w:val="005C7721"/>
    <w:rsid w:val="005D0C99"/>
    <w:rsid w:val="005D19EF"/>
    <w:rsid w:val="005D3C8E"/>
    <w:rsid w:val="005D402F"/>
    <w:rsid w:val="005D7926"/>
    <w:rsid w:val="005D7B38"/>
    <w:rsid w:val="005E0923"/>
    <w:rsid w:val="005E0E69"/>
    <w:rsid w:val="005E2988"/>
    <w:rsid w:val="005E2B56"/>
    <w:rsid w:val="005E311D"/>
    <w:rsid w:val="005E36A8"/>
    <w:rsid w:val="005E3EAC"/>
    <w:rsid w:val="005E477F"/>
    <w:rsid w:val="005E4C41"/>
    <w:rsid w:val="005E54E0"/>
    <w:rsid w:val="005E6F7A"/>
    <w:rsid w:val="005E7F08"/>
    <w:rsid w:val="005F0D29"/>
    <w:rsid w:val="005F30C9"/>
    <w:rsid w:val="005F59CA"/>
    <w:rsid w:val="005F77FF"/>
    <w:rsid w:val="0060216C"/>
    <w:rsid w:val="00602557"/>
    <w:rsid w:val="00602631"/>
    <w:rsid w:val="006034B8"/>
    <w:rsid w:val="006041F6"/>
    <w:rsid w:val="00607327"/>
    <w:rsid w:val="00607BAA"/>
    <w:rsid w:val="00612794"/>
    <w:rsid w:val="006127F6"/>
    <w:rsid w:val="00612DD1"/>
    <w:rsid w:val="00612F8D"/>
    <w:rsid w:val="006140D2"/>
    <w:rsid w:val="00615281"/>
    <w:rsid w:val="00615CB2"/>
    <w:rsid w:val="00615E08"/>
    <w:rsid w:val="00616BEA"/>
    <w:rsid w:val="00621D58"/>
    <w:rsid w:val="0062368A"/>
    <w:rsid w:val="0062489C"/>
    <w:rsid w:val="00624E42"/>
    <w:rsid w:val="00626256"/>
    <w:rsid w:val="00626F55"/>
    <w:rsid w:val="0062762D"/>
    <w:rsid w:val="00631C3D"/>
    <w:rsid w:val="00631EAF"/>
    <w:rsid w:val="00632EA0"/>
    <w:rsid w:val="00636BA8"/>
    <w:rsid w:val="00637FAA"/>
    <w:rsid w:val="0064126A"/>
    <w:rsid w:val="006449BF"/>
    <w:rsid w:val="00645394"/>
    <w:rsid w:val="006458BA"/>
    <w:rsid w:val="0064599D"/>
    <w:rsid w:val="0064780A"/>
    <w:rsid w:val="00647BD2"/>
    <w:rsid w:val="00651244"/>
    <w:rsid w:val="00652C9C"/>
    <w:rsid w:val="00655332"/>
    <w:rsid w:val="006555FA"/>
    <w:rsid w:val="006574A0"/>
    <w:rsid w:val="0065788C"/>
    <w:rsid w:val="006632A4"/>
    <w:rsid w:val="006674BF"/>
    <w:rsid w:val="006679ED"/>
    <w:rsid w:val="006700B1"/>
    <w:rsid w:val="006705A4"/>
    <w:rsid w:val="006705BA"/>
    <w:rsid w:val="006734B1"/>
    <w:rsid w:val="006762EA"/>
    <w:rsid w:val="0068056C"/>
    <w:rsid w:val="00681B2E"/>
    <w:rsid w:val="00682AD3"/>
    <w:rsid w:val="00682C2A"/>
    <w:rsid w:val="006841B6"/>
    <w:rsid w:val="0068469E"/>
    <w:rsid w:val="00686AC0"/>
    <w:rsid w:val="00686C0A"/>
    <w:rsid w:val="00687D39"/>
    <w:rsid w:val="00690713"/>
    <w:rsid w:val="00692C07"/>
    <w:rsid w:val="00695547"/>
    <w:rsid w:val="00695970"/>
    <w:rsid w:val="00697F39"/>
    <w:rsid w:val="006A19A5"/>
    <w:rsid w:val="006A214A"/>
    <w:rsid w:val="006A4CF3"/>
    <w:rsid w:val="006A5A9C"/>
    <w:rsid w:val="006A6902"/>
    <w:rsid w:val="006A6E83"/>
    <w:rsid w:val="006B0416"/>
    <w:rsid w:val="006B0553"/>
    <w:rsid w:val="006B146F"/>
    <w:rsid w:val="006B1684"/>
    <w:rsid w:val="006B2CDC"/>
    <w:rsid w:val="006B4BFD"/>
    <w:rsid w:val="006B5505"/>
    <w:rsid w:val="006B65A4"/>
    <w:rsid w:val="006B74A8"/>
    <w:rsid w:val="006B75C5"/>
    <w:rsid w:val="006C232F"/>
    <w:rsid w:val="006C248C"/>
    <w:rsid w:val="006C2895"/>
    <w:rsid w:val="006C33D4"/>
    <w:rsid w:val="006C371A"/>
    <w:rsid w:val="006C5074"/>
    <w:rsid w:val="006C6C4E"/>
    <w:rsid w:val="006C7622"/>
    <w:rsid w:val="006C7EB4"/>
    <w:rsid w:val="006D0435"/>
    <w:rsid w:val="006D08C1"/>
    <w:rsid w:val="006D1E53"/>
    <w:rsid w:val="006D3CA5"/>
    <w:rsid w:val="006D493F"/>
    <w:rsid w:val="006D4BFD"/>
    <w:rsid w:val="006D5CDF"/>
    <w:rsid w:val="006D770C"/>
    <w:rsid w:val="006E1A5D"/>
    <w:rsid w:val="006E1B4B"/>
    <w:rsid w:val="006E208A"/>
    <w:rsid w:val="006E3D11"/>
    <w:rsid w:val="006E40C7"/>
    <w:rsid w:val="006E4121"/>
    <w:rsid w:val="006E4A68"/>
    <w:rsid w:val="006E516D"/>
    <w:rsid w:val="006E551C"/>
    <w:rsid w:val="006E7425"/>
    <w:rsid w:val="006F074B"/>
    <w:rsid w:val="006F5B97"/>
    <w:rsid w:val="006F64B7"/>
    <w:rsid w:val="006F659C"/>
    <w:rsid w:val="006F74CD"/>
    <w:rsid w:val="007007AC"/>
    <w:rsid w:val="0070117D"/>
    <w:rsid w:val="00701FE8"/>
    <w:rsid w:val="00702391"/>
    <w:rsid w:val="00702BA4"/>
    <w:rsid w:val="0070455D"/>
    <w:rsid w:val="00704CDB"/>
    <w:rsid w:val="00705D4B"/>
    <w:rsid w:val="00711211"/>
    <w:rsid w:val="007116E8"/>
    <w:rsid w:val="00713304"/>
    <w:rsid w:val="00715A81"/>
    <w:rsid w:val="0071687A"/>
    <w:rsid w:val="00716F61"/>
    <w:rsid w:val="007172E8"/>
    <w:rsid w:val="007217A1"/>
    <w:rsid w:val="00722B64"/>
    <w:rsid w:val="00722D30"/>
    <w:rsid w:val="00725738"/>
    <w:rsid w:val="00730B1B"/>
    <w:rsid w:val="007331A2"/>
    <w:rsid w:val="007348B4"/>
    <w:rsid w:val="00734EDE"/>
    <w:rsid w:val="0073585A"/>
    <w:rsid w:val="00737F27"/>
    <w:rsid w:val="00744C7E"/>
    <w:rsid w:val="00744E53"/>
    <w:rsid w:val="007474B2"/>
    <w:rsid w:val="007476DC"/>
    <w:rsid w:val="0075038E"/>
    <w:rsid w:val="007545AC"/>
    <w:rsid w:val="0075491B"/>
    <w:rsid w:val="00756A77"/>
    <w:rsid w:val="007601FD"/>
    <w:rsid w:val="00760542"/>
    <w:rsid w:val="007605C0"/>
    <w:rsid w:val="00760E29"/>
    <w:rsid w:val="007623E1"/>
    <w:rsid w:val="00762C2C"/>
    <w:rsid w:val="00762F0E"/>
    <w:rsid w:val="00763539"/>
    <w:rsid w:val="00763F69"/>
    <w:rsid w:val="0076629A"/>
    <w:rsid w:val="00767BD1"/>
    <w:rsid w:val="00773239"/>
    <w:rsid w:val="00776739"/>
    <w:rsid w:val="00776898"/>
    <w:rsid w:val="00777222"/>
    <w:rsid w:val="007774CA"/>
    <w:rsid w:val="00777AD0"/>
    <w:rsid w:val="007823D1"/>
    <w:rsid w:val="00782C5F"/>
    <w:rsid w:val="007830D0"/>
    <w:rsid w:val="00784D23"/>
    <w:rsid w:val="00785EA8"/>
    <w:rsid w:val="00786160"/>
    <w:rsid w:val="007867E9"/>
    <w:rsid w:val="00790930"/>
    <w:rsid w:val="00791DC7"/>
    <w:rsid w:val="00792DB7"/>
    <w:rsid w:val="00795251"/>
    <w:rsid w:val="0079581C"/>
    <w:rsid w:val="007966C4"/>
    <w:rsid w:val="0079679B"/>
    <w:rsid w:val="007A0F8B"/>
    <w:rsid w:val="007A6317"/>
    <w:rsid w:val="007B2943"/>
    <w:rsid w:val="007B33CC"/>
    <w:rsid w:val="007B4897"/>
    <w:rsid w:val="007B4F41"/>
    <w:rsid w:val="007B7701"/>
    <w:rsid w:val="007C03B5"/>
    <w:rsid w:val="007C43D9"/>
    <w:rsid w:val="007C59AC"/>
    <w:rsid w:val="007D0BF3"/>
    <w:rsid w:val="007D0FE7"/>
    <w:rsid w:val="007D2023"/>
    <w:rsid w:val="007D3C1D"/>
    <w:rsid w:val="007D4315"/>
    <w:rsid w:val="007D44C5"/>
    <w:rsid w:val="007D6D43"/>
    <w:rsid w:val="007E0E76"/>
    <w:rsid w:val="007E1530"/>
    <w:rsid w:val="007E2D2F"/>
    <w:rsid w:val="007E40AB"/>
    <w:rsid w:val="007E6A11"/>
    <w:rsid w:val="007E7584"/>
    <w:rsid w:val="007E7B9C"/>
    <w:rsid w:val="007F139B"/>
    <w:rsid w:val="007F3E0D"/>
    <w:rsid w:val="007F47E6"/>
    <w:rsid w:val="007F55E1"/>
    <w:rsid w:val="007F6DAF"/>
    <w:rsid w:val="00801AEC"/>
    <w:rsid w:val="00802801"/>
    <w:rsid w:val="00803125"/>
    <w:rsid w:val="0080465B"/>
    <w:rsid w:val="008075AB"/>
    <w:rsid w:val="00810034"/>
    <w:rsid w:val="00810482"/>
    <w:rsid w:val="00810AF3"/>
    <w:rsid w:val="00811195"/>
    <w:rsid w:val="008115BF"/>
    <w:rsid w:val="00811FDF"/>
    <w:rsid w:val="0081271C"/>
    <w:rsid w:val="00813E5F"/>
    <w:rsid w:val="008149F5"/>
    <w:rsid w:val="008161DE"/>
    <w:rsid w:val="008166BC"/>
    <w:rsid w:val="0082027C"/>
    <w:rsid w:val="008215C5"/>
    <w:rsid w:val="00821BFC"/>
    <w:rsid w:val="00822A22"/>
    <w:rsid w:val="00823BFC"/>
    <w:rsid w:val="008255F7"/>
    <w:rsid w:val="00825E50"/>
    <w:rsid w:val="008277E9"/>
    <w:rsid w:val="00830A03"/>
    <w:rsid w:val="008328BD"/>
    <w:rsid w:val="00832F33"/>
    <w:rsid w:val="00832FAF"/>
    <w:rsid w:val="008333EC"/>
    <w:rsid w:val="0083429C"/>
    <w:rsid w:val="0083469E"/>
    <w:rsid w:val="00835678"/>
    <w:rsid w:val="00835EBF"/>
    <w:rsid w:val="00841CB1"/>
    <w:rsid w:val="00844CA4"/>
    <w:rsid w:val="00845E8A"/>
    <w:rsid w:val="00847743"/>
    <w:rsid w:val="00851088"/>
    <w:rsid w:val="00851E51"/>
    <w:rsid w:val="0085663E"/>
    <w:rsid w:val="00856F5F"/>
    <w:rsid w:val="008571C1"/>
    <w:rsid w:val="00860476"/>
    <w:rsid w:val="008613D5"/>
    <w:rsid w:val="00861D1B"/>
    <w:rsid w:val="00862063"/>
    <w:rsid w:val="008658D1"/>
    <w:rsid w:val="008659CB"/>
    <w:rsid w:val="00865BF6"/>
    <w:rsid w:val="00870BE1"/>
    <w:rsid w:val="00874885"/>
    <w:rsid w:val="008759B9"/>
    <w:rsid w:val="00875D81"/>
    <w:rsid w:val="00876236"/>
    <w:rsid w:val="00876C71"/>
    <w:rsid w:val="00880158"/>
    <w:rsid w:val="0088240B"/>
    <w:rsid w:val="008833C2"/>
    <w:rsid w:val="0088353F"/>
    <w:rsid w:val="00884570"/>
    <w:rsid w:val="0088660A"/>
    <w:rsid w:val="00887569"/>
    <w:rsid w:val="00890060"/>
    <w:rsid w:val="00890FB0"/>
    <w:rsid w:val="00892B55"/>
    <w:rsid w:val="0089353A"/>
    <w:rsid w:val="0089479E"/>
    <w:rsid w:val="00896133"/>
    <w:rsid w:val="008965B6"/>
    <w:rsid w:val="008A1050"/>
    <w:rsid w:val="008A166D"/>
    <w:rsid w:val="008A177A"/>
    <w:rsid w:val="008A345E"/>
    <w:rsid w:val="008A5083"/>
    <w:rsid w:val="008A5660"/>
    <w:rsid w:val="008A56B1"/>
    <w:rsid w:val="008A59CA"/>
    <w:rsid w:val="008A6B4E"/>
    <w:rsid w:val="008B3A5C"/>
    <w:rsid w:val="008B55D2"/>
    <w:rsid w:val="008B589E"/>
    <w:rsid w:val="008B630C"/>
    <w:rsid w:val="008C0F60"/>
    <w:rsid w:val="008C2784"/>
    <w:rsid w:val="008C372B"/>
    <w:rsid w:val="008C3894"/>
    <w:rsid w:val="008D1275"/>
    <w:rsid w:val="008D3BFE"/>
    <w:rsid w:val="008D4BDD"/>
    <w:rsid w:val="008D618B"/>
    <w:rsid w:val="008E0B17"/>
    <w:rsid w:val="008E32FA"/>
    <w:rsid w:val="008E3508"/>
    <w:rsid w:val="008E48A4"/>
    <w:rsid w:val="008E4CDF"/>
    <w:rsid w:val="008E7493"/>
    <w:rsid w:val="008F0756"/>
    <w:rsid w:val="008F0A0A"/>
    <w:rsid w:val="008F10B3"/>
    <w:rsid w:val="008F1154"/>
    <w:rsid w:val="008F3450"/>
    <w:rsid w:val="008F44DD"/>
    <w:rsid w:val="008F4E49"/>
    <w:rsid w:val="008F6C62"/>
    <w:rsid w:val="008F71B9"/>
    <w:rsid w:val="00900A1A"/>
    <w:rsid w:val="00901D05"/>
    <w:rsid w:val="00903607"/>
    <w:rsid w:val="0090542D"/>
    <w:rsid w:val="009079C7"/>
    <w:rsid w:val="0091053C"/>
    <w:rsid w:val="009108A3"/>
    <w:rsid w:val="009109E1"/>
    <w:rsid w:val="00910D05"/>
    <w:rsid w:val="00911479"/>
    <w:rsid w:val="009123A3"/>
    <w:rsid w:val="0091261A"/>
    <w:rsid w:val="00913F79"/>
    <w:rsid w:val="009159A5"/>
    <w:rsid w:val="00916280"/>
    <w:rsid w:val="00920642"/>
    <w:rsid w:val="0092107F"/>
    <w:rsid w:val="00921FFD"/>
    <w:rsid w:val="0092214A"/>
    <w:rsid w:val="00923FB1"/>
    <w:rsid w:val="0092522B"/>
    <w:rsid w:val="00926B68"/>
    <w:rsid w:val="00927E78"/>
    <w:rsid w:val="00930158"/>
    <w:rsid w:val="0093075E"/>
    <w:rsid w:val="009308D9"/>
    <w:rsid w:val="00932738"/>
    <w:rsid w:val="009335AD"/>
    <w:rsid w:val="00933643"/>
    <w:rsid w:val="0093436C"/>
    <w:rsid w:val="00934E9C"/>
    <w:rsid w:val="0093541A"/>
    <w:rsid w:val="00935AB0"/>
    <w:rsid w:val="0093710B"/>
    <w:rsid w:val="009373DF"/>
    <w:rsid w:val="0093755B"/>
    <w:rsid w:val="00937948"/>
    <w:rsid w:val="00940623"/>
    <w:rsid w:val="0094185B"/>
    <w:rsid w:val="00941934"/>
    <w:rsid w:val="00943DDB"/>
    <w:rsid w:val="009461CC"/>
    <w:rsid w:val="00950BC2"/>
    <w:rsid w:val="0095104E"/>
    <w:rsid w:val="00951F8A"/>
    <w:rsid w:val="00954446"/>
    <w:rsid w:val="0095477E"/>
    <w:rsid w:val="0095520B"/>
    <w:rsid w:val="009556ED"/>
    <w:rsid w:val="009562F7"/>
    <w:rsid w:val="009603EE"/>
    <w:rsid w:val="0096171F"/>
    <w:rsid w:val="00962919"/>
    <w:rsid w:val="00962978"/>
    <w:rsid w:val="00962AD2"/>
    <w:rsid w:val="00962B43"/>
    <w:rsid w:val="00966BFC"/>
    <w:rsid w:val="00971B71"/>
    <w:rsid w:val="00974941"/>
    <w:rsid w:val="0097507B"/>
    <w:rsid w:val="00975BA1"/>
    <w:rsid w:val="00977777"/>
    <w:rsid w:val="00980398"/>
    <w:rsid w:val="009815A4"/>
    <w:rsid w:val="00981CA7"/>
    <w:rsid w:val="00984018"/>
    <w:rsid w:val="00984591"/>
    <w:rsid w:val="009846A9"/>
    <w:rsid w:val="00985093"/>
    <w:rsid w:val="00987F76"/>
    <w:rsid w:val="00991C46"/>
    <w:rsid w:val="009926D7"/>
    <w:rsid w:val="009945DC"/>
    <w:rsid w:val="009A00B8"/>
    <w:rsid w:val="009A2024"/>
    <w:rsid w:val="009A2B1D"/>
    <w:rsid w:val="009A3954"/>
    <w:rsid w:val="009A3A41"/>
    <w:rsid w:val="009A6C6F"/>
    <w:rsid w:val="009A7C65"/>
    <w:rsid w:val="009B162F"/>
    <w:rsid w:val="009B2174"/>
    <w:rsid w:val="009B362F"/>
    <w:rsid w:val="009B6D14"/>
    <w:rsid w:val="009B7C68"/>
    <w:rsid w:val="009C0521"/>
    <w:rsid w:val="009C0970"/>
    <w:rsid w:val="009C2FB9"/>
    <w:rsid w:val="009C3A92"/>
    <w:rsid w:val="009C4027"/>
    <w:rsid w:val="009C42C6"/>
    <w:rsid w:val="009C4D15"/>
    <w:rsid w:val="009C4FAD"/>
    <w:rsid w:val="009C503B"/>
    <w:rsid w:val="009C52CC"/>
    <w:rsid w:val="009C5559"/>
    <w:rsid w:val="009C58A2"/>
    <w:rsid w:val="009C6555"/>
    <w:rsid w:val="009C778D"/>
    <w:rsid w:val="009D02B5"/>
    <w:rsid w:val="009D12EF"/>
    <w:rsid w:val="009D158F"/>
    <w:rsid w:val="009D38CF"/>
    <w:rsid w:val="009D3FCD"/>
    <w:rsid w:val="009E23EC"/>
    <w:rsid w:val="009E270D"/>
    <w:rsid w:val="009E2E84"/>
    <w:rsid w:val="009E4C78"/>
    <w:rsid w:val="009E5884"/>
    <w:rsid w:val="009E659D"/>
    <w:rsid w:val="009F0616"/>
    <w:rsid w:val="009F1588"/>
    <w:rsid w:val="009F337F"/>
    <w:rsid w:val="009F417D"/>
    <w:rsid w:val="009F543B"/>
    <w:rsid w:val="009F6FB0"/>
    <w:rsid w:val="009F756D"/>
    <w:rsid w:val="009F7DBC"/>
    <w:rsid w:val="009F7DD3"/>
    <w:rsid w:val="00A00AFC"/>
    <w:rsid w:val="00A00CF8"/>
    <w:rsid w:val="00A019AE"/>
    <w:rsid w:val="00A026C4"/>
    <w:rsid w:val="00A033D7"/>
    <w:rsid w:val="00A05AC0"/>
    <w:rsid w:val="00A07BC8"/>
    <w:rsid w:val="00A07EB0"/>
    <w:rsid w:val="00A102CE"/>
    <w:rsid w:val="00A12CFE"/>
    <w:rsid w:val="00A13F8E"/>
    <w:rsid w:val="00A145D2"/>
    <w:rsid w:val="00A23EA1"/>
    <w:rsid w:val="00A25AC1"/>
    <w:rsid w:val="00A30364"/>
    <w:rsid w:val="00A30984"/>
    <w:rsid w:val="00A31566"/>
    <w:rsid w:val="00A315DF"/>
    <w:rsid w:val="00A32549"/>
    <w:rsid w:val="00A35FB1"/>
    <w:rsid w:val="00A36146"/>
    <w:rsid w:val="00A36869"/>
    <w:rsid w:val="00A369C7"/>
    <w:rsid w:val="00A37C50"/>
    <w:rsid w:val="00A43609"/>
    <w:rsid w:val="00A44748"/>
    <w:rsid w:val="00A44BEA"/>
    <w:rsid w:val="00A47C08"/>
    <w:rsid w:val="00A47CAC"/>
    <w:rsid w:val="00A508B5"/>
    <w:rsid w:val="00A50B9B"/>
    <w:rsid w:val="00A51718"/>
    <w:rsid w:val="00A5402F"/>
    <w:rsid w:val="00A57A7B"/>
    <w:rsid w:val="00A57BE7"/>
    <w:rsid w:val="00A57D4D"/>
    <w:rsid w:val="00A61BB7"/>
    <w:rsid w:val="00A61F07"/>
    <w:rsid w:val="00A6208B"/>
    <w:rsid w:val="00A6332F"/>
    <w:rsid w:val="00A64CA3"/>
    <w:rsid w:val="00A64F1A"/>
    <w:rsid w:val="00A664B7"/>
    <w:rsid w:val="00A67D93"/>
    <w:rsid w:val="00A70D1D"/>
    <w:rsid w:val="00A75115"/>
    <w:rsid w:val="00A7551A"/>
    <w:rsid w:val="00A75A43"/>
    <w:rsid w:val="00A75A5C"/>
    <w:rsid w:val="00A7651E"/>
    <w:rsid w:val="00A77640"/>
    <w:rsid w:val="00A80AFF"/>
    <w:rsid w:val="00A83296"/>
    <w:rsid w:val="00A85D34"/>
    <w:rsid w:val="00A85E1D"/>
    <w:rsid w:val="00A87799"/>
    <w:rsid w:val="00A913FD"/>
    <w:rsid w:val="00A91A0E"/>
    <w:rsid w:val="00A91F69"/>
    <w:rsid w:val="00A92F07"/>
    <w:rsid w:val="00A942A6"/>
    <w:rsid w:val="00A95D35"/>
    <w:rsid w:val="00A970AA"/>
    <w:rsid w:val="00AA1FCB"/>
    <w:rsid w:val="00AA352E"/>
    <w:rsid w:val="00AA433A"/>
    <w:rsid w:val="00AA72B1"/>
    <w:rsid w:val="00AB17B5"/>
    <w:rsid w:val="00AB4DAC"/>
    <w:rsid w:val="00AB5CBD"/>
    <w:rsid w:val="00AB6A2A"/>
    <w:rsid w:val="00AB7354"/>
    <w:rsid w:val="00AC0181"/>
    <w:rsid w:val="00AC2283"/>
    <w:rsid w:val="00AC4F9B"/>
    <w:rsid w:val="00AC6120"/>
    <w:rsid w:val="00AC6FE7"/>
    <w:rsid w:val="00AC71D8"/>
    <w:rsid w:val="00AD0301"/>
    <w:rsid w:val="00AD22F8"/>
    <w:rsid w:val="00AD2696"/>
    <w:rsid w:val="00AD297C"/>
    <w:rsid w:val="00AD29BB"/>
    <w:rsid w:val="00AD2A71"/>
    <w:rsid w:val="00AD35F6"/>
    <w:rsid w:val="00AD5558"/>
    <w:rsid w:val="00AD55F6"/>
    <w:rsid w:val="00AD5990"/>
    <w:rsid w:val="00AD6381"/>
    <w:rsid w:val="00AD6D9A"/>
    <w:rsid w:val="00AE0BE5"/>
    <w:rsid w:val="00AE3A9E"/>
    <w:rsid w:val="00AE3F64"/>
    <w:rsid w:val="00AE49ED"/>
    <w:rsid w:val="00AE6908"/>
    <w:rsid w:val="00AE7573"/>
    <w:rsid w:val="00AE7F04"/>
    <w:rsid w:val="00AF03AA"/>
    <w:rsid w:val="00AF07C5"/>
    <w:rsid w:val="00AF0E8B"/>
    <w:rsid w:val="00AF0F46"/>
    <w:rsid w:val="00AF1034"/>
    <w:rsid w:val="00AF1478"/>
    <w:rsid w:val="00AF1A71"/>
    <w:rsid w:val="00AF2967"/>
    <w:rsid w:val="00AF3E5C"/>
    <w:rsid w:val="00AF5906"/>
    <w:rsid w:val="00AF6158"/>
    <w:rsid w:val="00AF63BA"/>
    <w:rsid w:val="00AF6816"/>
    <w:rsid w:val="00AF7797"/>
    <w:rsid w:val="00AF7B22"/>
    <w:rsid w:val="00B000AE"/>
    <w:rsid w:val="00B008AE"/>
    <w:rsid w:val="00B00D1C"/>
    <w:rsid w:val="00B00F87"/>
    <w:rsid w:val="00B01432"/>
    <w:rsid w:val="00B04095"/>
    <w:rsid w:val="00B05BAE"/>
    <w:rsid w:val="00B0623D"/>
    <w:rsid w:val="00B10465"/>
    <w:rsid w:val="00B1167B"/>
    <w:rsid w:val="00B11D6E"/>
    <w:rsid w:val="00B122E6"/>
    <w:rsid w:val="00B1325D"/>
    <w:rsid w:val="00B144F9"/>
    <w:rsid w:val="00B156D3"/>
    <w:rsid w:val="00B162F1"/>
    <w:rsid w:val="00B17211"/>
    <w:rsid w:val="00B20A98"/>
    <w:rsid w:val="00B215DE"/>
    <w:rsid w:val="00B2248E"/>
    <w:rsid w:val="00B2302F"/>
    <w:rsid w:val="00B24D51"/>
    <w:rsid w:val="00B27EA0"/>
    <w:rsid w:val="00B309C5"/>
    <w:rsid w:val="00B30C90"/>
    <w:rsid w:val="00B31600"/>
    <w:rsid w:val="00B31E57"/>
    <w:rsid w:val="00B32585"/>
    <w:rsid w:val="00B328D8"/>
    <w:rsid w:val="00B32C58"/>
    <w:rsid w:val="00B33F67"/>
    <w:rsid w:val="00B378BB"/>
    <w:rsid w:val="00B41264"/>
    <w:rsid w:val="00B4179A"/>
    <w:rsid w:val="00B41954"/>
    <w:rsid w:val="00B41C50"/>
    <w:rsid w:val="00B430E2"/>
    <w:rsid w:val="00B4402C"/>
    <w:rsid w:val="00B448AC"/>
    <w:rsid w:val="00B46938"/>
    <w:rsid w:val="00B470F3"/>
    <w:rsid w:val="00B502CC"/>
    <w:rsid w:val="00B50BA6"/>
    <w:rsid w:val="00B519F1"/>
    <w:rsid w:val="00B536C2"/>
    <w:rsid w:val="00B54652"/>
    <w:rsid w:val="00B553D5"/>
    <w:rsid w:val="00B55B90"/>
    <w:rsid w:val="00B55C36"/>
    <w:rsid w:val="00B562FD"/>
    <w:rsid w:val="00B56F70"/>
    <w:rsid w:val="00B57793"/>
    <w:rsid w:val="00B60C5A"/>
    <w:rsid w:val="00B6136C"/>
    <w:rsid w:val="00B62EAA"/>
    <w:rsid w:val="00B632AD"/>
    <w:rsid w:val="00B65445"/>
    <w:rsid w:val="00B66B66"/>
    <w:rsid w:val="00B66E74"/>
    <w:rsid w:val="00B711CA"/>
    <w:rsid w:val="00B76C95"/>
    <w:rsid w:val="00B77545"/>
    <w:rsid w:val="00B777C6"/>
    <w:rsid w:val="00B80339"/>
    <w:rsid w:val="00B80444"/>
    <w:rsid w:val="00B809FF"/>
    <w:rsid w:val="00B80CE3"/>
    <w:rsid w:val="00B84184"/>
    <w:rsid w:val="00B869D0"/>
    <w:rsid w:val="00B87E5D"/>
    <w:rsid w:val="00B92C98"/>
    <w:rsid w:val="00B938A5"/>
    <w:rsid w:val="00B94A44"/>
    <w:rsid w:val="00B94F90"/>
    <w:rsid w:val="00B960C7"/>
    <w:rsid w:val="00BA154C"/>
    <w:rsid w:val="00BA5C0B"/>
    <w:rsid w:val="00BA6B17"/>
    <w:rsid w:val="00BA7362"/>
    <w:rsid w:val="00BB0995"/>
    <w:rsid w:val="00BB143E"/>
    <w:rsid w:val="00BB20E6"/>
    <w:rsid w:val="00BB2FC8"/>
    <w:rsid w:val="00BB5C0B"/>
    <w:rsid w:val="00BB782F"/>
    <w:rsid w:val="00BC40C3"/>
    <w:rsid w:val="00BC4CAC"/>
    <w:rsid w:val="00BC5610"/>
    <w:rsid w:val="00BC7273"/>
    <w:rsid w:val="00BC7E24"/>
    <w:rsid w:val="00BD07BC"/>
    <w:rsid w:val="00BD1541"/>
    <w:rsid w:val="00BD428E"/>
    <w:rsid w:val="00BD4485"/>
    <w:rsid w:val="00BD4986"/>
    <w:rsid w:val="00BD6D8E"/>
    <w:rsid w:val="00BD743F"/>
    <w:rsid w:val="00BE6A9C"/>
    <w:rsid w:val="00BE7640"/>
    <w:rsid w:val="00BF2810"/>
    <w:rsid w:val="00BF4D5B"/>
    <w:rsid w:val="00BF7897"/>
    <w:rsid w:val="00C01E70"/>
    <w:rsid w:val="00C058D3"/>
    <w:rsid w:val="00C06C0A"/>
    <w:rsid w:val="00C0737C"/>
    <w:rsid w:val="00C079F8"/>
    <w:rsid w:val="00C10763"/>
    <w:rsid w:val="00C11CC4"/>
    <w:rsid w:val="00C120BB"/>
    <w:rsid w:val="00C127B3"/>
    <w:rsid w:val="00C130D1"/>
    <w:rsid w:val="00C13461"/>
    <w:rsid w:val="00C1451E"/>
    <w:rsid w:val="00C150F4"/>
    <w:rsid w:val="00C15488"/>
    <w:rsid w:val="00C15B98"/>
    <w:rsid w:val="00C1688F"/>
    <w:rsid w:val="00C16C65"/>
    <w:rsid w:val="00C16CDF"/>
    <w:rsid w:val="00C176E8"/>
    <w:rsid w:val="00C20B7C"/>
    <w:rsid w:val="00C215E1"/>
    <w:rsid w:val="00C217C1"/>
    <w:rsid w:val="00C22DC8"/>
    <w:rsid w:val="00C23F0E"/>
    <w:rsid w:val="00C26336"/>
    <w:rsid w:val="00C27FE3"/>
    <w:rsid w:val="00C306A7"/>
    <w:rsid w:val="00C32FCC"/>
    <w:rsid w:val="00C3572D"/>
    <w:rsid w:val="00C364C7"/>
    <w:rsid w:val="00C370A2"/>
    <w:rsid w:val="00C417E2"/>
    <w:rsid w:val="00C41A11"/>
    <w:rsid w:val="00C4401F"/>
    <w:rsid w:val="00C454E3"/>
    <w:rsid w:val="00C45835"/>
    <w:rsid w:val="00C476DE"/>
    <w:rsid w:val="00C47DC3"/>
    <w:rsid w:val="00C5382F"/>
    <w:rsid w:val="00C55C5C"/>
    <w:rsid w:val="00C56991"/>
    <w:rsid w:val="00C61578"/>
    <w:rsid w:val="00C61ADA"/>
    <w:rsid w:val="00C63440"/>
    <w:rsid w:val="00C63D0E"/>
    <w:rsid w:val="00C6515F"/>
    <w:rsid w:val="00C65BB3"/>
    <w:rsid w:val="00C666EF"/>
    <w:rsid w:val="00C67DEC"/>
    <w:rsid w:val="00C70382"/>
    <w:rsid w:val="00C7043F"/>
    <w:rsid w:val="00C70ACB"/>
    <w:rsid w:val="00C71EC4"/>
    <w:rsid w:val="00C7305C"/>
    <w:rsid w:val="00C73873"/>
    <w:rsid w:val="00C7580B"/>
    <w:rsid w:val="00C802FD"/>
    <w:rsid w:val="00C80C32"/>
    <w:rsid w:val="00C81367"/>
    <w:rsid w:val="00C816B6"/>
    <w:rsid w:val="00C8340F"/>
    <w:rsid w:val="00C863B4"/>
    <w:rsid w:val="00C878FE"/>
    <w:rsid w:val="00C879E5"/>
    <w:rsid w:val="00C905C3"/>
    <w:rsid w:val="00C905CA"/>
    <w:rsid w:val="00C91119"/>
    <w:rsid w:val="00C92873"/>
    <w:rsid w:val="00CA0051"/>
    <w:rsid w:val="00CA12CC"/>
    <w:rsid w:val="00CA2D5D"/>
    <w:rsid w:val="00CA3395"/>
    <w:rsid w:val="00CA5E46"/>
    <w:rsid w:val="00CA6998"/>
    <w:rsid w:val="00CA6D1B"/>
    <w:rsid w:val="00CA6DA2"/>
    <w:rsid w:val="00CB3A22"/>
    <w:rsid w:val="00CB3C18"/>
    <w:rsid w:val="00CB6B37"/>
    <w:rsid w:val="00CB7ED2"/>
    <w:rsid w:val="00CC01ED"/>
    <w:rsid w:val="00CC0A1A"/>
    <w:rsid w:val="00CC15A1"/>
    <w:rsid w:val="00CC2931"/>
    <w:rsid w:val="00CC2999"/>
    <w:rsid w:val="00CC3C0D"/>
    <w:rsid w:val="00CC4A26"/>
    <w:rsid w:val="00CC567B"/>
    <w:rsid w:val="00CC5AFC"/>
    <w:rsid w:val="00CC68CA"/>
    <w:rsid w:val="00CD01DC"/>
    <w:rsid w:val="00CD06F0"/>
    <w:rsid w:val="00CD0A23"/>
    <w:rsid w:val="00CD3691"/>
    <w:rsid w:val="00CD4747"/>
    <w:rsid w:val="00CD493B"/>
    <w:rsid w:val="00CD49A0"/>
    <w:rsid w:val="00CD77E6"/>
    <w:rsid w:val="00CD78A9"/>
    <w:rsid w:val="00CE0530"/>
    <w:rsid w:val="00CE298E"/>
    <w:rsid w:val="00CE367B"/>
    <w:rsid w:val="00CE4EE7"/>
    <w:rsid w:val="00CE6DE4"/>
    <w:rsid w:val="00CE78EA"/>
    <w:rsid w:val="00CF03A8"/>
    <w:rsid w:val="00CF0796"/>
    <w:rsid w:val="00CF2E18"/>
    <w:rsid w:val="00CF4016"/>
    <w:rsid w:val="00D004D6"/>
    <w:rsid w:val="00D01486"/>
    <w:rsid w:val="00D0229A"/>
    <w:rsid w:val="00D025A7"/>
    <w:rsid w:val="00D03E8D"/>
    <w:rsid w:val="00D03F79"/>
    <w:rsid w:val="00D04196"/>
    <w:rsid w:val="00D05580"/>
    <w:rsid w:val="00D06BE7"/>
    <w:rsid w:val="00D06D42"/>
    <w:rsid w:val="00D1027F"/>
    <w:rsid w:val="00D114FC"/>
    <w:rsid w:val="00D1466A"/>
    <w:rsid w:val="00D15665"/>
    <w:rsid w:val="00D167D1"/>
    <w:rsid w:val="00D16BA6"/>
    <w:rsid w:val="00D17DAB"/>
    <w:rsid w:val="00D204A6"/>
    <w:rsid w:val="00D2211C"/>
    <w:rsid w:val="00D241B9"/>
    <w:rsid w:val="00D25E30"/>
    <w:rsid w:val="00D27C3A"/>
    <w:rsid w:val="00D27CF8"/>
    <w:rsid w:val="00D27D2B"/>
    <w:rsid w:val="00D27F21"/>
    <w:rsid w:val="00D3249E"/>
    <w:rsid w:val="00D326C6"/>
    <w:rsid w:val="00D35E73"/>
    <w:rsid w:val="00D363F5"/>
    <w:rsid w:val="00D4047F"/>
    <w:rsid w:val="00D40EE0"/>
    <w:rsid w:val="00D41C33"/>
    <w:rsid w:val="00D432F3"/>
    <w:rsid w:val="00D43EEE"/>
    <w:rsid w:val="00D51476"/>
    <w:rsid w:val="00D544B8"/>
    <w:rsid w:val="00D547D3"/>
    <w:rsid w:val="00D54847"/>
    <w:rsid w:val="00D54A89"/>
    <w:rsid w:val="00D6002D"/>
    <w:rsid w:val="00D60A0A"/>
    <w:rsid w:val="00D61BF6"/>
    <w:rsid w:val="00D62C60"/>
    <w:rsid w:val="00D6489F"/>
    <w:rsid w:val="00D6603A"/>
    <w:rsid w:val="00D67069"/>
    <w:rsid w:val="00D7090A"/>
    <w:rsid w:val="00D713D9"/>
    <w:rsid w:val="00D72499"/>
    <w:rsid w:val="00D7479F"/>
    <w:rsid w:val="00D75E4D"/>
    <w:rsid w:val="00D770A5"/>
    <w:rsid w:val="00D77A48"/>
    <w:rsid w:val="00D8039A"/>
    <w:rsid w:val="00D8043F"/>
    <w:rsid w:val="00D826BC"/>
    <w:rsid w:val="00D85A2A"/>
    <w:rsid w:val="00D8633B"/>
    <w:rsid w:val="00D8702B"/>
    <w:rsid w:val="00D906D1"/>
    <w:rsid w:val="00D91695"/>
    <w:rsid w:val="00D94163"/>
    <w:rsid w:val="00D94734"/>
    <w:rsid w:val="00D95CC6"/>
    <w:rsid w:val="00DA0D60"/>
    <w:rsid w:val="00DA3445"/>
    <w:rsid w:val="00DA5149"/>
    <w:rsid w:val="00DA754B"/>
    <w:rsid w:val="00DA75A3"/>
    <w:rsid w:val="00DB00E5"/>
    <w:rsid w:val="00DB104A"/>
    <w:rsid w:val="00DB197D"/>
    <w:rsid w:val="00DB31B5"/>
    <w:rsid w:val="00DB3E55"/>
    <w:rsid w:val="00DB3FDF"/>
    <w:rsid w:val="00DB6127"/>
    <w:rsid w:val="00DB6C03"/>
    <w:rsid w:val="00DB732E"/>
    <w:rsid w:val="00DC0877"/>
    <w:rsid w:val="00DC152E"/>
    <w:rsid w:val="00DC171E"/>
    <w:rsid w:val="00DC351C"/>
    <w:rsid w:val="00DC40A0"/>
    <w:rsid w:val="00DC44B1"/>
    <w:rsid w:val="00DC7302"/>
    <w:rsid w:val="00DC78A4"/>
    <w:rsid w:val="00DC7CF4"/>
    <w:rsid w:val="00DD4128"/>
    <w:rsid w:val="00DD454D"/>
    <w:rsid w:val="00DD73D8"/>
    <w:rsid w:val="00DE16A0"/>
    <w:rsid w:val="00DE27B1"/>
    <w:rsid w:val="00DE3439"/>
    <w:rsid w:val="00DE37A4"/>
    <w:rsid w:val="00DE3B39"/>
    <w:rsid w:val="00DE4246"/>
    <w:rsid w:val="00DE4D09"/>
    <w:rsid w:val="00DE77DD"/>
    <w:rsid w:val="00DF08C2"/>
    <w:rsid w:val="00DF1D5B"/>
    <w:rsid w:val="00DF1D70"/>
    <w:rsid w:val="00DF215E"/>
    <w:rsid w:val="00DF32E3"/>
    <w:rsid w:val="00DF3F7F"/>
    <w:rsid w:val="00DF4B51"/>
    <w:rsid w:val="00DF4DEA"/>
    <w:rsid w:val="00DF5D66"/>
    <w:rsid w:val="00DF63DF"/>
    <w:rsid w:val="00DF673B"/>
    <w:rsid w:val="00DF6879"/>
    <w:rsid w:val="00DF7336"/>
    <w:rsid w:val="00DF7782"/>
    <w:rsid w:val="00E00A3D"/>
    <w:rsid w:val="00E00C1F"/>
    <w:rsid w:val="00E03080"/>
    <w:rsid w:val="00E0328A"/>
    <w:rsid w:val="00E0445C"/>
    <w:rsid w:val="00E04B45"/>
    <w:rsid w:val="00E06242"/>
    <w:rsid w:val="00E06BA9"/>
    <w:rsid w:val="00E07986"/>
    <w:rsid w:val="00E1278A"/>
    <w:rsid w:val="00E152CF"/>
    <w:rsid w:val="00E1684A"/>
    <w:rsid w:val="00E17DD1"/>
    <w:rsid w:val="00E2030E"/>
    <w:rsid w:val="00E227C4"/>
    <w:rsid w:val="00E22F31"/>
    <w:rsid w:val="00E24594"/>
    <w:rsid w:val="00E258A9"/>
    <w:rsid w:val="00E25A4C"/>
    <w:rsid w:val="00E2714E"/>
    <w:rsid w:val="00E27FAA"/>
    <w:rsid w:val="00E30954"/>
    <w:rsid w:val="00E31FC8"/>
    <w:rsid w:val="00E40992"/>
    <w:rsid w:val="00E437F1"/>
    <w:rsid w:val="00E44E9A"/>
    <w:rsid w:val="00E452D1"/>
    <w:rsid w:val="00E52A4D"/>
    <w:rsid w:val="00E52ACB"/>
    <w:rsid w:val="00E53D30"/>
    <w:rsid w:val="00E5487C"/>
    <w:rsid w:val="00E54B00"/>
    <w:rsid w:val="00E56CBE"/>
    <w:rsid w:val="00E56D1E"/>
    <w:rsid w:val="00E57337"/>
    <w:rsid w:val="00E573A3"/>
    <w:rsid w:val="00E57F29"/>
    <w:rsid w:val="00E606C1"/>
    <w:rsid w:val="00E63058"/>
    <w:rsid w:val="00E65253"/>
    <w:rsid w:val="00E6532C"/>
    <w:rsid w:val="00E6739E"/>
    <w:rsid w:val="00E71818"/>
    <w:rsid w:val="00E72E1E"/>
    <w:rsid w:val="00E73EF7"/>
    <w:rsid w:val="00E742E7"/>
    <w:rsid w:val="00E74B9F"/>
    <w:rsid w:val="00E76E54"/>
    <w:rsid w:val="00E822A2"/>
    <w:rsid w:val="00E83728"/>
    <w:rsid w:val="00E83CEE"/>
    <w:rsid w:val="00E8464C"/>
    <w:rsid w:val="00E84E98"/>
    <w:rsid w:val="00E866E8"/>
    <w:rsid w:val="00E917FA"/>
    <w:rsid w:val="00E930A4"/>
    <w:rsid w:val="00E94C5B"/>
    <w:rsid w:val="00E965AE"/>
    <w:rsid w:val="00E9690E"/>
    <w:rsid w:val="00E96A51"/>
    <w:rsid w:val="00E96B67"/>
    <w:rsid w:val="00EA035A"/>
    <w:rsid w:val="00EA05A4"/>
    <w:rsid w:val="00EA0E2C"/>
    <w:rsid w:val="00EA1C5C"/>
    <w:rsid w:val="00EA26A4"/>
    <w:rsid w:val="00EA29A7"/>
    <w:rsid w:val="00EA47DD"/>
    <w:rsid w:val="00EA5AAE"/>
    <w:rsid w:val="00EA5C44"/>
    <w:rsid w:val="00EA67F3"/>
    <w:rsid w:val="00EB010E"/>
    <w:rsid w:val="00EB0D39"/>
    <w:rsid w:val="00EB1297"/>
    <w:rsid w:val="00EB1C56"/>
    <w:rsid w:val="00EB3014"/>
    <w:rsid w:val="00EB347E"/>
    <w:rsid w:val="00EB4811"/>
    <w:rsid w:val="00EB50EF"/>
    <w:rsid w:val="00EB510E"/>
    <w:rsid w:val="00EB58BA"/>
    <w:rsid w:val="00EB6B04"/>
    <w:rsid w:val="00EB7E79"/>
    <w:rsid w:val="00EB7F1F"/>
    <w:rsid w:val="00EC13C9"/>
    <w:rsid w:val="00EC39AA"/>
    <w:rsid w:val="00EC4C27"/>
    <w:rsid w:val="00EC7E3D"/>
    <w:rsid w:val="00ED04DF"/>
    <w:rsid w:val="00ED1E8B"/>
    <w:rsid w:val="00ED2883"/>
    <w:rsid w:val="00ED3B60"/>
    <w:rsid w:val="00ED3DFF"/>
    <w:rsid w:val="00ED5E78"/>
    <w:rsid w:val="00ED77B9"/>
    <w:rsid w:val="00EE0794"/>
    <w:rsid w:val="00EE177C"/>
    <w:rsid w:val="00EE31AB"/>
    <w:rsid w:val="00EE3E9A"/>
    <w:rsid w:val="00EE43CD"/>
    <w:rsid w:val="00EE5794"/>
    <w:rsid w:val="00EE57AC"/>
    <w:rsid w:val="00EF0008"/>
    <w:rsid w:val="00EF0658"/>
    <w:rsid w:val="00EF0F62"/>
    <w:rsid w:val="00EF14CF"/>
    <w:rsid w:val="00EF1EE3"/>
    <w:rsid w:val="00EF2286"/>
    <w:rsid w:val="00EF2325"/>
    <w:rsid w:val="00EF2532"/>
    <w:rsid w:val="00EF3436"/>
    <w:rsid w:val="00EF38C5"/>
    <w:rsid w:val="00EF459C"/>
    <w:rsid w:val="00EF701A"/>
    <w:rsid w:val="00EF773D"/>
    <w:rsid w:val="00EF7A94"/>
    <w:rsid w:val="00F01B4B"/>
    <w:rsid w:val="00F01C75"/>
    <w:rsid w:val="00F02606"/>
    <w:rsid w:val="00F02920"/>
    <w:rsid w:val="00F02CD6"/>
    <w:rsid w:val="00F030FF"/>
    <w:rsid w:val="00F036B0"/>
    <w:rsid w:val="00F05934"/>
    <w:rsid w:val="00F075F5"/>
    <w:rsid w:val="00F07F3C"/>
    <w:rsid w:val="00F11E76"/>
    <w:rsid w:val="00F17075"/>
    <w:rsid w:val="00F200D4"/>
    <w:rsid w:val="00F23BE3"/>
    <w:rsid w:val="00F2458D"/>
    <w:rsid w:val="00F278C8"/>
    <w:rsid w:val="00F30157"/>
    <w:rsid w:val="00F32B4B"/>
    <w:rsid w:val="00F36359"/>
    <w:rsid w:val="00F402B7"/>
    <w:rsid w:val="00F410B3"/>
    <w:rsid w:val="00F431D6"/>
    <w:rsid w:val="00F439D9"/>
    <w:rsid w:val="00F44303"/>
    <w:rsid w:val="00F44DA7"/>
    <w:rsid w:val="00F4529A"/>
    <w:rsid w:val="00F50E94"/>
    <w:rsid w:val="00F53E5B"/>
    <w:rsid w:val="00F53EC1"/>
    <w:rsid w:val="00F62A61"/>
    <w:rsid w:val="00F633BF"/>
    <w:rsid w:val="00F64C9D"/>
    <w:rsid w:val="00F66AF3"/>
    <w:rsid w:val="00F700AA"/>
    <w:rsid w:val="00F707F6"/>
    <w:rsid w:val="00F70B30"/>
    <w:rsid w:val="00F70D3B"/>
    <w:rsid w:val="00F72878"/>
    <w:rsid w:val="00F72FA2"/>
    <w:rsid w:val="00F73F87"/>
    <w:rsid w:val="00F7444E"/>
    <w:rsid w:val="00F74FDF"/>
    <w:rsid w:val="00F7767D"/>
    <w:rsid w:val="00F80C1B"/>
    <w:rsid w:val="00F80F6E"/>
    <w:rsid w:val="00F81232"/>
    <w:rsid w:val="00F82C30"/>
    <w:rsid w:val="00F82E4D"/>
    <w:rsid w:val="00F832F8"/>
    <w:rsid w:val="00F84E6C"/>
    <w:rsid w:val="00F86AD7"/>
    <w:rsid w:val="00F876B7"/>
    <w:rsid w:val="00F87777"/>
    <w:rsid w:val="00F9044A"/>
    <w:rsid w:val="00F9054F"/>
    <w:rsid w:val="00F91C7C"/>
    <w:rsid w:val="00F96DC7"/>
    <w:rsid w:val="00F97A03"/>
    <w:rsid w:val="00FA0F5D"/>
    <w:rsid w:val="00FA1F69"/>
    <w:rsid w:val="00FA2F76"/>
    <w:rsid w:val="00FA534D"/>
    <w:rsid w:val="00FA7E3B"/>
    <w:rsid w:val="00FB0642"/>
    <w:rsid w:val="00FB12F7"/>
    <w:rsid w:val="00FB1B14"/>
    <w:rsid w:val="00FB25E7"/>
    <w:rsid w:val="00FB2B46"/>
    <w:rsid w:val="00FB47B0"/>
    <w:rsid w:val="00FB532C"/>
    <w:rsid w:val="00FB6A2C"/>
    <w:rsid w:val="00FC0459"/>
    <w:rsid w:val="00FC1D99"/>
    <w:rsid w:val="00FC4436"/>
    <w:rsid w:val="00FC4938"/>
    <w:rsid w:val="00FC5174"/>
    <w:rsid w:val="00FC5BFD"/>
    <w:rsid w:val="00FC6C81"/>
    <w:rsid w:val="00FC6E86"/>
    <w:rsid w:val="00FC6FDE"/>
    <w:rsid w:val="00FC7516"/>
    <w:rsid w:val="00FD041A"/>
    <w:rsid w:val="00FD15EA"/>
    <w:rsid w:val="00FD2FD7"/>
    <w:rsid w:val="00FD739A"/>
    <w:rsid w:val="00FD75EA"/>
    <w:rsid w:val="00FD76A4"/>
    <w:rsid w:val="00FE3C9D"/>
    <w:rsid w:val="00FE42FE"/>
    <w:rsid w:val="00FE4387"/>
    <w:rsid w:val="00FE4B43"/>
    <w:rsid w:val="00FE77C4"/>
    <w:rsid w:val="00FE7E07"/>
    <w:rsid w:val="00FF095C"/>
    <w:rsid w:val="00FF0983"/>
    <w:rsid w:val="00FF2B4F"/>
    <w:rsid w:val="00FF2B89"/>
    <w:rsid w:val="00FF7E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style="mso-position-horizontal-relative:page;mso-position-vertical-relative:page" fill="f" fillcolor="blue" strokecolor="blue">
      <v:fill color="blue" on="f"/>
      <v:stroke color="blue"/>
      <o:colormru v:ext="edit" colors="#d7e4f0,#7494c3,#00376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8C8"/>
    <w:pPr>
      <w:widowControl w:val="0"/>
      <w:jc w:val="both"/>
    </w:pPr>
    <w:rPr>
      <w:rFonts w:ascii="Arial" w:eastAsia="楷体_GB2312" w:hAnsi="Arial"/>
      <w:kern w:val="2"/>
      <w:sz w:val="18"/>
      <w:szCs w:val="22"/>
    </w:rPr>
  </w:style>
  <w:style w:type="paragraph" w:styleId="1">
    <w:name w:val="heading 1"/>
    <w:basedOn w:val="a"/>
    <w:next w:val="a"/>
    <w:qFormat/>
    <w:rsid w:val="00BB0995"/>
    <w:pPr>
      <w:keepNext/>
      <w:outlineLvl w:val="0"/>
    </w:pPr>
    <w:rPr>
      <w:b/>
      <w:bCs/>
    </w:rPr>
  </w:style>
  <w:style w:type="paragraph" w:styleId="2">
    <w:name w:val="heading 2"/>
    <w:basedOn w:val="a"/>
    <w:next w:val="a"/>
    <w:qFormat/>
    <w:rsid w:val="00BB0995"/>
    <w:pPr>
      <w:keepNext/>
      <w:spacing w:after="120"/>
      <w:ind w:left="2552"/>
      <w:outlineLvl w:val="1"/>
    </w:pPr>
    <w:rPr>
      <w:b/>
      <w:bCs/>
      <w:sz w:val="24"/>
      <w:szCs w:val="24"/>
    </w:rPr>
  </w:style>
  <w:style w:type="paragraph" w:styleId="3">
    <w:name w:val="heading 3"/>
    <w:basedOn w:val="a"/>
    <w:next w:val="a0"/>
    <w:qFormat/>
    <w:rsid w:val="00BB0995"/>
    <w:pPr>
      <w:spacing w:before="120" w:after="120"/>
      <w:ind w:left="2552"/>
      <w:outlineLvl w:val="2"/>
    </w:pPr>
    <w:rPr>
      <w:b/>
      <w:bCs/>
      <w:color w:val="0000FF"/>
    </w:rPr>
  </w:style>
  <w:style w:type="paragraph" w:styleId="4">
    <w:name w:val="heading 4"/>
    <w:basedOn w:val="a"/>
    <w:next w:val="a0"/>
    <w:qFormat/>
    <w:rsid w:val="00BB0995"/>
    <w:pPr>
      <w:keepNext/>
      <w:spacing w:before="120"/>
      <w:ind w:left="2552"/>
      <w:outlineLvl w:val="3"/>
    </w:pPr>
    <w:rPr>
      <w:b/>
      <w:bCs/>
      <w:szCs w:val="18"/>
    </w:rPr>
  </w:style>
  <w:style w:type="paragraph" w:styleId="5">
    <w:name w:val="heading 5"/>
    <w:basedOn w:val="a"/>
    <w:next w:val="a"/>
    <w:qFormat/>
    <w:rsid w:val="00BB0995"/>
    <w:pPr>
      <w:keepNext/>
      <w:framePr w:hSpace="180" w:wrap="auto" w:vAnchor="text" w:hAnchor="page" w:x="1182" w:y="2599"/>
      <w:spacing w:before="40" w:after="200"/>
      <w:outlineLvl w:val="4"/>
    </w:pPr>
    <w:rPr>
      <w:i/>
      <w:iCs/>
      <w:sz w:val="16"/>
      <w:szCs w:val="16"/>
    </w:rPr>
  </w:style>
  <w:style w:type="paragraph" w:styleId="6">
    <w:name w:val="heading 6"/>
    <w:basedOn w:val="a"/>
    <w:next w:val="a"/>
    <w:qFormat/>
    <w:rsid w:val="00BB0995"/>
    <w:pPr>
      <w:keepNext/>
      <w:ind w:left="112"/>
      <w:outlineLvl w:val="5"/>
    </w:pPr>
    <w:rPr>
      <w:b/>
      <w:bCs/>
      <w:color w:val="000000"/>
      <w:sz w:val="16"/>
      <w:szCs w:val="16"/>
      <w:lang w:val="en-AU"/>
    </w:rPr>
  </w:style>
  <w:style w:type="paragraph" w:styleId="7">
    <w:name w:val="heading 7"/>
    <w:basedOn w:val="a"/>
    <w:next w:val="a"/>
    <w:qFormat/>
    <w:rsid w:val="00BB0995"/>
    <w:pPr>
      <w:keepNext/>
      <w:outlineLvl w:val="6"/>
    </w:pPr>
    <w:rPr>
      <w:b/>
      <w:bCs/>
      <w:color w:val="000000"/>
      <w:sz w:val="15"/>
      <w:szCs w:val="15"/>
      <w:lang w:val="en-AU"/>
    </w:rPr>
  </w:style>
  <w:style w:type="paragraph" w:styleId="8">
    <w:name w:val="heading 8"/>
    <w:basedOn w:val="a"/>
    <w:next w:val="a"/>
    <w:qFormat/>
    <w:rsid w:val="00BB0995"/>
    <w:pPr>
      <w:keepNext/>
      <w:spacing w:before="80" w:after="40"/>
      <w:ind w:left="86"/>
      <w:jc w:val="left"/>
      <w:outlineLvl w:val="7"/>
    </w:pPr>
    <w:rPr>
      <w:b/>
      <w:bCs/>
      <w:color w:val="000000"/>
      <w:sz w:val="16"/>
      <w:szCs w:val="16"/>
      <w:lang w:val="en-AU"/>
    </w:rPr>
  </w:style>
  <w:style w:type="paragraph" w:styleId="9">
    <w:name w:val="heading 9"/>
    <w:basedOn w:val="a"/>
    <w:next w:val="a"/>
    <w:qFormat/>
    <w:rsid w:val="00BB0995"/>
    <w:pPr>
      <w:keepNext/>
      <w:outlineLvl w:val="8"/>
    </w:pPr>
    <w:rPr>
      <w:rFonts w:ascii="Lucida Sans" w:hAnsi="Lucida Sans"/>
      <w:b/>
      <w:bCs/>
      <w:color w:val="000000"/>
      <w:sz w:val="14"/>
      <w:szCs w:val="1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BB0995"/>
    <w:pPr>
      <w:spacing w:after="120" w:line="240" w:lineRule="exact"/>
      <w:ind w:left="3402"/>
    </w:pPr>
    <w:rPr>
      <w:color w:val="000000"/>
      <w:sz w:val="21"/>
    </w:rPr>
  </w:style>
  <w:style w:type="paragraph" w:customStyle="1" w:styleId="Contact">
    <w:name w:val="Contact"/>
    <w:basedOn w:val="a"/>
    <w:rsid w:val="00BB0995"/>
    <w:pPr>
      <w:framePr w:w="2285" w:h="289" w:hSpace="210" w:wrap="auto" w:vAnchor="page" w:hAnchor="page" w:x="901" w:y="3571" w:anchorLock="1"/>
    </w:pPr>
    <w:rPr>
      <w:color w:val="000000"/>
      <w:sz w:val="16"/>
      <w:szCs w:val="16"/>
    </w:rPr>
  </w:style>
  <w:style w:type="paragraph" w:styleId="a4">
    <w:name w:val="footer"/>
    <w:basedOn w:val="a"/>
    <w:link w:val="Char0"/>
    <w:uiPriority w:val="99"/>
    <w:unhideWhenUsed/>
    <w:rsid w:val="00F278C8"/>
    <w:pPr>
      <w:tabs>
        <w:tab w:val="center" w:pos="4153"/>
        <w:tab w:val="right" w:pos="8306"/>
      </w:tabs>
      <w:snapToGrid w:val="0"/>
      <w:jc w:val="left"/>
    </w:pPr>
    <w:rPr>
      <w:szCs w:val="18"/>
    </w:rPr>
  </w:style>
  <w:style w:type="paragraph" w:customStyle="1" w:styleId="FootnoteNoline">
    <w:name w:val="FootnoteNoline"/>
    <w:basedOn w:val="a"/>
    <w:next w:val="a0"/>
    <w:rsid w:val="00D85A2A"/>
    <w:pPr>
      <w:tabs>
        <w:tab w:val="right" w:pos="10065"/>
      </w:tabs>
      <w:spacing w:before="40" w:after="160"/>
      <w:ind w:left="3402"/>
    </w:pPr>
    <w:rPr>
      <w:rFonts w:cs="Arial"/>
      <w:color w:val="000000"/>
      <w:sz w:val="15"/>
      <w:szCs w:val="14"/>
    </w:rPr>
  </w:style>
  <w:style w:type="paragraph" w:customStyle="1" w:styleId="Table">
    <w:name w:val="Table"/>
    <w:basedOn w:val="a"/>
    <w:rsid w:val="00BB0995"/>
    <w:pPr>
      <w:spacing w:before="20" w:after="20"/>
      <w:jc w:val="right"/>
    </w:pPr>
    <w:rPr>
      <w:rFonts w:cs="Arial"/>
      <w:color w:val="000000"/>
      <w:szCs w:val="16"/>
    </w:rPr>
  </w:style>
  <w:style w:type="paragraph" w:customStyle="1" w:styleId="Headline">
    <w:name w:val="Headline"/>
    <w:next w:val="a"/>
    <w:rsid w:val="00BB0995"/>
    <w:pPr>
      <w:spacing w:line="1200" w:lineRule="exact"/>
      <w:ind w:left="-56"/>
      <w:jc w:val="both"/>
    </w:pPr>
    <w:rPr>
      <w:rFonts w:ascii="LucidaT" w:hAnsi="LucidaT"/>
      <w:color w:val="000000"/>
      <w:position w:val="6"/>
      <w:sz w:val="120"/>
      <w:szCs w:val="120"/>
      <w:lang w:val="en-GB"/>
    </w:rPr>
  </w:style>
  <w:style w:type="paragraph" w:customStyle="1" w:styleId="Disclaimer">
    <w:name w:val="Disclaimer"/>
    <w:basedOn w:val="a"/>
    <w:rsid w:val="00BB0995"/>
    <w:pPr>
      <w:pBdr>
        <w:top w:val="single" w:sz="6" w:space="3" w:color="FF0000"/>
      </w:pBdr>
      <w:spacing w:before="60"/>
    </w:pPr>
    <w:rPr>
      <w:sz w:val="12"/>
      <w:szCs w:val="12"/>
    </w:rPr>
  </w:style>
  <w:style w:type="paragraph" w:customStyle="1" w:styleId="Disclaimer1">
    <w:name w:val="Disclaimer1"/>
    <w:basedOn w:val="Disclaimer"/>
    <w:rsid w:val="00BB0995"/>
    <w:pPr>
      <w:pBdr>
        <w:top w:val="single" w:sz="6" w:space="2" w:color="auto"/>
        <w:bottom w:val="single" w:sz="6" w:space="2" w:color="auto"/>
      </w:pBdr>
      <w:ind w:right="-1"/>
    </w:pPr>
  </w:style>
  <w:style w:type="paragraph" w:customStyle="1" w:styleId="StoryTitle">
    <w:name w:val="StoryTitle"/>
    <w:basedOn w:val="a"/>
    <w:rsid w:val="00BB0995"/>
    <w:pPr>
      <w:spacing w:before="120" w:after="120"/>
      <w:ind w:left="2552"/>
    </w:pPr>
    <w:rPr>
      <w:b/>
      <w:bCs/>
      <w:color w:val="FF0000"/>
      <w:sz w:val="32"/>
      <w:szCs w:val="32"/>
    </w:rPr>
  </w:style>
  <w:style w:type="character" w:styleId="a5">
    <w:name w:val="page number"/>
    <w:basedOn w:val="a1"/>
    <w:rsid w:val="00BB0995"/>
  </w:style>
  <w:style w:type="paragraph" w:customStyle="1" w:styleId="AnalystWk">
    <w:name w:val="AnalystWk"/>
    <w:basedOn w:val="a"/>
    <w:rsid w:val="00BB0995"/>
    <w:pPr>
      <w:framePr w:w="2285" w:h="289" w:hSpace="210" w:wrap="auto" w:vAnchor="page" w:hAnchor="page" w:x="901" w:y="3571" w:anchorLock="1"/>
      <w:spacing w:before="120"/>
      <w:ind w:right="-108"/>
      <w:jc w:val="left"/>
    </w:pPr>
    <w:rPr>
      <w:b/>
      <w:bCs/>
      <w:color w:val="0000FF"/>
      <w:szCs w:val="18"/>
    </w:rPr>
  </w:style>
  <w:style w:type="paragraph" w:customStyle="1" w:styleId="Coverage">
    <w:name w:val="Coverage"/>
    <w:basedOn w:val="a"/>
    <w:rsid w:val="00BB0995"/>
    <w:pPr>
      <w:framePr w:w="2285" w:h="289" w:hSpace="210" w:wrap="auto" w:vAnchor="page" w:hAnchor="page" w:x="901" w:y="3571" w:anchorLock="1"/>
      <w:tabs>
        <w:tab w:val="center" w:pos="4320"/>
        <w:tab w:val="right" w:pos="8640"/>
      </w:tabs>
    </w:pPr>
    <w:rPr>
      <w:b/>
      <w:bCs/>
      <w:color w:val="FF0000"/>
      <w:sz w:val="16"/>
      <w:szCs w:val="16"/>
    </w:rPr>
  </w:style>
  <w:style w:type="paragraph" w:customStyle="1" w:styleId="Location">
    <w:name w:val="Location"/>
    <w:basedOn w:val="a"/>
    <w:rsid w:val="00BB0995"/>
    <w:pPr>
      <w:framePr w:w="2285" w:h="289" w:hSpace="210" w:wrap="auto" w:vAnchor="page" w:hAnchor="page" w:x="901" w:y="3571" w:anchorLock="1"/>
      <w:tabs>
        <w:tab w:val="center" w:pos="4320"/>
        <w:tab w:val="right" w:pos="8640"/>
      </w:tabs>
      <w:ind w:right="-108"/>
      <w:jc w:val="left"/>
    </w:pPr>
    <w:rPr>
      <w:color w:val="000000"/>
      <w:szCs w:val="18"/>
    </w:rPr>
  </w:style>
  <w:style w:type="paragraph" w:styleId="a6">
    <w:name w:val="header"/>
    <w:basedOn w:val="a"/>
    <w:link w:val="Char1"/>
    <w:uiPriority w:val="99"/>
    <w:unhideWhenUsed/>
    <w:rsid w:val="00F278C8"/>
    <w:pPr>
      <w:pBdr>
        <w:bottom w:val="single" w:sz="6" w:space="1" w:color="auto"/>
      </w:pBdr>
      <w:tabs>
        <w:tab w:val="center" w:pos="4153"/>
        <w:tab w:val="right" w:pos="8306"/>
      </w:tabs>
      <w:snapToGrid w:val="0"/>
      <w:jc w:val="center"/>
    </w:pPr>
    <w:rPr>
      <w:szCs w:val="18"/>
    </w:rPr>
  </w:style>
  <w:style w:type="paragraph" w:customStyle="1" w:styleId="RecomPara">
    <w:name w:val="RecomPara"/>
    <w:basedOn w:val="a"/>
    <w:rsid w:val="00BB0995"/>
    <w:pPr>
      <w:shd w:val="pct5" w:color="000000" w:fill="FFFFFF"/>
      <w:spacing w:before="240" w:after="200"/>
    </w:pPr>
    <w:rPr>
      <w:color w:val="000000"/>
    </w:rPr>
  </w:style>
  <w:style w:type="paragraph" w:customStyle="1" w:styleId="RecomLine">
    <w:name w:val="RecomLine"/>
    <w:rsid w:val="00BB0995"/>
    <w:pPr>
      <w:spacing w:before="120"/>
    </w:pPr>
    <w:rPr>
      <w:rFonts w:ascii="LucidaSans" w:hAnsi="LucidaSans"/>
      <w:b/>
      <w:bCs/>
      <w:color w:val="000000"/>
      <w:lang w:val="en-GB"/>
    </w:rPr>
  </w:style>
  <w:style w:type="paragraph" w:customStyle="1" w:styleId="Marginnotes">
    <w:name w:val="Margin notes"/>
    <w:basedOn w:val="a"/>
    <w:rsid w:val="00BB0995"/>
    <w:pPr>
      <w:framePr w:w="2285" w:h="289" w:hSpace="215" w:wrap="auto" w:vAnchor="text" w:hAnchor="page" w:x="886" w:y="29" w:anchorLock="1"/>
      <w:shd w:val="solid" w:color="FFFFFF" w:fill="FFFFFF"/>
      <w:jc w:val="left"/>
    </w:pPr>
    <w:rPr>
      <w:b/>
      <w:bCs/>
      <w:color w:val="FF0000"/>
      <w:sz w:val="16"/>
      <w:szCs w:val="16"/>
    </w:rPr>
  </w:style>
  <w:style w:type="paragraph" w:customStyle="1" w:styleId="Logo">
    <w:name w:val="Logo"/>
    <w:basedOn w:val="a"/>
    <w:rsid w:val="00BB0995"/>
    <w:pPr>
      <w:jc w:val="left"/>
    </w:pPr>
    <w:rPr>
      <w:sz w:val="16"/>
      <w:szCs w:val="16"/>
    </w:rPr>
  </w:style>
  <w:style w:type="paragraph" w:customStyle="1" w:styleId="Dateline">
    <w:name w:val="Dateline"/>
    <w:basedOn w:val="a"/>
    <w:rsid w:val="00BB0995"/>
    <w:pPr>
      <w:tabs>
        <w:tab w:val="right" w:pos="7535"/>
        <w:tab w:val="right" w:pos="10206"/>
      </w:tabs>
      <w:spacing w:before="240"/>
      <w:jc w:val="left"/>
    </w:pPr>
    <w:rPr>
      <w:b/>
      <w:bCs/>
      <w:sz w:val="16"/>
      <w:szCs w:val="16"/>
    </w:rPr>
  </w:style>
  <w:style w:type="paragraph" w:customStyle="1" w:styleId="AnalystHJ">
    <w:name w:val="AnalystHJ"/>
    <w:basedOn w:val="a6"/>
    <w:rsid w:val="00BB0995"/>
    <w:pPr>
      <w:tabs>
        <w:tab w:val="center" w:pos="4320"/>
        <w:tab w:val="right" w:pos="8640"/>
      </w:tabs>
      <w:ind w:left="-80" w:right="-108"/>
      <w:jc w:val="left"/>
    </w:pPr>
    <w:rPr>
      <w:sz w:val="16"/>
      <w:szCs w:val="16"/>
    </w:rPr>
  </w:style>
  <w:style w:type="paragraph" w:customStyle="1" w:styleId="SourceLarge">
    <w:name w:val="SourceLarge"/>
    <w:rsid w:val="00BB0995"/>
    <w:pPr>
      <w:tabs>
        <w:tab w:val="left" w:pos="5216"/>
        <w:tab w:val="right" w:pos="9866"/>
      </w:tabs>
      <w:suppressAutoHyphens/>
      <w:spacing w:line="160" w:lineRule="atLeast"/>
    </w:pPr>
    <w:rPr>
      <w:rFonts w:ascii="LucidaSans" w:hAnsi="LucidaSans"/>
      <w:sz w:val="12"/>
      <w:szCs w:val="12"/>
      <w:lang w:val="en-GB"/>
    </w:rPr>
  </w:style>
  <w:style w:type="paragraph" w:customStyle="1" w:styleId="SourceSmall">
    <w:name w:val="SourceSmall"/>
    <w:rsid w:val="00BB0995"/>
    <w:pPr>
      <w:tabs>
        <w:tab w:val="left" w:pos="6521"/>
        <w:tab w:val="right" w:pos="9866"/>
      </w:tabs>
      <w:suppressAutoHyphens/>
      <w:spacing w:line="160" w:lineRule="atLeast"/>
      <w:ind w:left="2608"/>
    </w:pPr>
    <w:rPr>
      <w:rFonts w:ascii="LucidaSans" w:hAnsi="LucidaSans"/>
      <w:sz w:val="12"/>
      <w:szCs w:val="12"/>
      <w:lang w:val="en-GB"/>
    </w:rPr>
  </w:style>
  <w:style w:type="paragraph" w:customStyle="1" w:styleId="SubTitleLargeTable">
    <w:name w:val="SubTitleLargeTable"/>
    <w:rsid w:val="00D85A2A"/>
    <w:pPr>
      <w:keepNext/>
      <w:pBdr>
        <w:top w:val="single" w:sz="6" w:space="1" w:color="666699"/>
      </w:pBdr>
      <w:suppressAutoHyphens/>
      <w:spacing w:after="40" w:line="240" w:lineRule="atLeast"/>
    </w:pPr>
    <w:rPr>
      <w:rFonts w:ascii="Arial" w:eastAsia="楷体_GB2312" w:hAnsi="Arial" w:cs="Arial"/>
      <w:b/>
      <w:bCs/>
      <w:i/>
      <w:iCs/>
      <w:color w:val="000000"/>
      <w:sz w:val="21"/>
      <w:szCs w:val="21"/>
      <w:lang w:val="en-GB"/>
    </w:rPr>
  </w:style>
  <w:style w:type="paragraph" w:customStyle="1" w:styleId="SubTitleSmallTable">
    <w:name w:val="SubTitleSmallTable"/>
    <w:rsid w:val="00BB0995"/>
    <w:pPr>
      <w:tabs>
        <w:tab w:val="left" w:pos="993"/>
      </w:tabs>
      <w:suppressAutoHyphens/>
      <w:spacing w:after="40"/>
      <w:ind w:left="2608"/>
    </w:pPr>
    <w:rPr>
      <w:rFonts w:ascii="LucidaSans" w:hAnsi="LucidaSans"/>
      <w:b/>
      <w:bCs/>
      <w:noProof/>
    </w:rPr>
  </w:style>
  <w:style w:type="paragraph" w:customStyle="1" w:styleId="TitleLargeTable">
    <w:name w:val="TitleLargeTable"/>
    <w:next w:val="SubTitleLargeTable"/>
    <w:rsid w:val="00BB0995"/>
    <w:pPr>
      <w:keepNext/>
      <w:suppressAutoHyphens/>
      <w:spacing w:after="40" w:line="200" w:lineRule="atLeast"/>
    </w:pPr>
    <w:rPr>
      <w:rFonts w:ascii="Arial" w:eastAsia="楷体_GB2312" w:hAnsi="Arial" w:cs="Arial"/>
      <w:sz w:val="18"/>
      <w:szCs w:val="16"/>
      <w:lang w:val="en-GB"/>
    </w:rPr>
  </w:style>
  <w:style w:type="paragraph" w:customStyle="1" w:styleId="TitleSmallTable">
    <w:name w:val="TitleSmallTable"/>
    <w:next w:val="SubTitleSmallTable"/>
    <w:rsid w:val="00BB0995"/>
    <w:pPr>
      <w:keepNext/>
      <w:suppressAutoHyphens/>
      <w:spacing w:after="40" w:line="200" w:lineRule="atLeast"/>
      <w:ind w:left="2608"/>
    </w:pPr>
    <w:rPr>
      <w:rFonts w:ascii="LucidaSans" w:hAnsi="LucidaSans"/>
      <w:sz w:val="16"/>
      <w:szCs w:val="16"/>
      <w:lang w:val="en-GB"/>
    </w:rPr>
  </w:style>
  <w:style w:type="paragraph" w:customStyle="1" w:styleId="TableFirst">
    <w:name w:val="TableFirst"/>
    <w:basedOn w:val="Table"/>
    <w:rsid w:val="00BB0995"/>
    <w:pPr>
      <w:spacing w:before="60" w:after="0"/>
    </w:pPr>
    <w:rPr>
      <w:color w:val="auto"/>
      <w:lang w:val="en-AU"/>
    </w:rPr>
  </w:style>
  <w:style w:type="paragraph" w:customStyle="1" w:styleId="Descriptor">
    <w:name w:val="Descriptor"/>
    <w:basedOn w:val="a"/>
    <w:rsid w:val="00BB0995"/>
    <w:pPr>
      <w:spacing w:before="60"/>
      <w:jc w:val="left"/>
    </w:pPr>
    <w:rPr>
      <w:b/>
      <w:bCs/>
      <w:color w:val="000000"/>
    </w:rPr>
  </w:style>
  <w:style w:type="paragraph" w:customStyle="1" w:styleId="BulletCoverpage">
    <w:name w:val="Bullet Cover page"/>
    <w:basedOn w:val="a"/>
    <w:rsid w:val="00BB0995"/>
    <w:pPr>
      <w:numPr>
        <w:numId w:val="1"/>
      </w:numPr>
      <w:suppressAutoHyphens/>
      <w:spacing w:after="200" w:line="240" w:lineRule="atLeast"/>
    </w:pPr>
  </w:style>
  <w:style w:type="paragraph" w:customStyle="1" w:styleId="BulletedHeading">
    <w:name w:val="Bulleted Heading"/>
    <w:basedOn w:val="a"/>
    <w:next w:val="a"/>
    <w:rsid w:val="00BB0995"/>
    <w:pPr>
      <w:suppressAutoHyphens/>
      <w:spacing w:after="60" w:line="240" w:lineRule="atLeast"/>
      <w:ind w:left="2609" w:hanging="352"/>
    </w:pPr>
    <w:rPr>
      <w:rFonts w:ascii="LucidaT" w:hAnsi="LucidaT"/>
      <w:szCs w:val="18"/>
    </w:rPr>
  </w:style>
  <w:style w:type="paragraph" w:customStyle="1" w:styleId="SideComments">
    <w:name w:val="SideComments"/>
    <w:rsid w:val="00F278C8"/>
    <w:pPr>
      <w:spacing w:line="200" w:lineRule="atLeast"/>
      <w:ind w:firstLineChars="200" w:firstLine="200"/>
      <w:jc w:val="both"/>
    </w:pPr>
    <w:rPr>
      <w:rFonts w:ascii="Arial" w:eastAsia="楷体_GB2312" w:hAnsi="Arial"/>
      <w:b/>
      <w:color w:val="000000"/>
      <w:kern w:val="2"/>
      <w:sz w:val="21"/>
      <w:szCs w:val="22"/>
    </w:rPr>
  </w:style>
  <w:style w:type="paragraph" w:customStyle="1" w:styleId="TableFirst-p1">
    <w:name w:val="TableFirst-p1"/>
    <w:rsid w:val="00BB0995"/>
    <w:pPr>
      <w:tabs>
        <w:tab w:val="right" w:pos="1871"/>
        <w:tab w:val="right" w:pos="3107"/>
        <w:tab w:val="right" w:pos="4258"/>
        <w:tab w:val="right" w:pos="5329"/>
        <w:tab w:val="right" w:pos="6406"/>
        <w:tab w:val="right" w:pos="7483"/>
      </w:tabs>
      <w:spacing w:before="40"/>
      <w:jc w:val="both"/>
    </w:pPr>
    <w:rPr>
      <w:rFonts w:ascii="LucidaSans" w:hAnsi="LucidaSans"/>
      <w:sz w:val="16"/>
      <w:szCs w:val="16"/>
      <w:lang w:val="en-GB" w:eastAsia="en-US"/>
    </w:rPr>
  </w:style>
  <w:style w:type="paragraph" w:customStyle="1" w:styleId="TableTitleFirst-p1">
    <w:name w:val="TableTitleFirst-p1"/>
    <w:rsid w:val="00BB0995"/>
    <w:pPr>
      <w:pBdr>
        <w:top w:val="single" w:sz="6" w:space="0" w:color="auto"/>
        <w:between w:val="single" w:sz="6" w:space="5" w:color="auto"/>
      </w:pBdr>
      <w:tabs>
        <w:tab w:val="right" w:pos="1871"/>
        <w:tab w:val="right" w:pos="4252"/>
        <w:tab w:val="right" w:pos="5329"/>
        <w:tab w:val="right" w:pos="6406"/>
        <w:tab w:val="right" w:pos="7483"/>
      </w:tabs>
      <w:spacing w:before="57"/>
      <w:jc w:val="both"/>
    </w:pPr>
    <w:rPr>
      <w:rFonts w:ascii="LucidaSans" w:hAnsi="LucidaSans"/>
      <w:b/>
      <w:bCs/>
      <w:sz w:val="16"/>
      <w:szCs w:val="16"/>
      <w:lang w:val="en-AU" w:eastAsia="en-US"/>
    </w:rPr>
  </w:style>
  <w:style w:type="paragraph" w:customStyle="1" w:styleId="TableTitle">
    <w:name w:val="TableTitle"/>
    <w:rsid w:val="00BB0995"/>
    <w:pPr>
      <w:keepNext/>
      <w:pBdr>
        <w:top w:val="single" w:sz="8" w:space="2" w:color="FF0000"/>
        <w:bottom w:val="single" w:sz="6" w:space="1" w:color="808080"/>
        <w:between w:val="single" w:sz="2" w:space="2" w:color="auto"/>
      </w:pBdr>
      <w:tabs>
        <w:tab w:val="right" w:pos="1928"/>
        <w:tab w:val="right" w:pos="3118"/>
        <w:tab w:val="right" w:pos="3969"/>
        <w:tab w:val="right" w:pos="4932"/>
        <w:tab w:val="right" w:pos="5777"/>
        <w:tab w:val="right" w:pos="6690"/>
        <w:tab w:val="right" w:pos="7483"/>
        <w:tab w:val="right" w:pos="8504"/>
        <w:tab w:val="right" w:pos="9354"/>
        <w:tab w:val="right" w:pos="10205"/>
      </w:tabs>
      <w:spacing w:before="20" w:after="20"/>
      <w:jc w:val="both"/>
    </w:pPr>
    <w:rPr>
      <w:rFonts w:ascii="LucidaSans" w:hAnsi="LucidaSans"/>
      <w:b/>
      <w:bCs/>
      <w:sz w:val="18"/>
      <w:szCs w:val="18"/>
      <w:lang w:val="en-GB" w:eastAsia="en-US"/>
    </w:rPr>
  </w:style>
  <w:style w:type="paragraph" w:customStyle="1" w:styleId="Analyst">
    <w:name w:val="Analyst"/>
    <w:rsid w:val="00BB0995"/>
    <w:pPr>
      <w:spacing w:before="1" w:after="1"/>
      <w:ind w:left="1" w:right="1" w:firstLine="1"/>
      <w:jc w:val="right"/>
    </w:pPr>
    <w:rPr>
      <w:rFonts w:ascii="LucidaSans" w:hAnsi="LucidaSans"/>
      <w:b/>
      <w:bCs/>
      <w:color w:val="000000"/>
      <w:sz w:val="18"/>
      <w:szCs w:val="18"/>
      <w:lang w:val="en-GB"/>
    </w:rPr>
  </w:style>
  <w:style w:type="paragraph" w:customStyle="1" w:styleId="CoverBullet">
    <w:name w:val="Cover Bullet"/>
    <w:rsid w:val="00BB0995"/>
    <w:pPr>
      <w:numPr>
        <w:numId w:val="2"/>
      </w:numPr>
      <w:spacing w:before="120" w:after="120"/>
      <w:ind w:left="357" w:hanging="357"/>
    </w:pPr>
    <w:rPr>
      <w:rFonts w:ascii="LucidaSans" w:hAnsi="LucidaSans"/>
      <w:b/>
      <w:bCs/>
      <w:lang w:val="en-GB"/>
    </w:rPr>
  </w:style>
  <w:style w:type="paragraph" w:customStyle="1" w:styleId="Target">
    <w:name w:val="Target"/>
    <w:basedOn w:val="Call"/>
    <w:rsid w:val="00BB0995"/>
    <w:pPr>
      <w:pBdr>
        <w:top w:val="none" w:sz="0" w:space="0" w:color="auto"/>
        <w:bottom w:val="dashDotStroked" w:sz="24" w:space="1" w:color="FF0000"/>
      </w:pBdr>
    </w:pPr>
  </w:style>
  <w:style w:type="paragraph" w:customStyle="1" w:styleId="Call">
    <w:name w:val="Call"/>
    <w:basedOn w:val="a"/>
    <w:next w:val="RecomPara"/>
    <w:rsid w:val="00BB0995"/>
    <w:pPr>
      <w:pBdr>
        <w:top w:val="dashDotStroked" w:sz="24" w:space="4" w:color="FF0000"/>
      </w:pBdr>
      <w:shd w:val="pct5" w:color="000000" w:fill="FFFFFF"/>
      <w:tabs>
        <w:tab w:val="left" w:pos="2558"/>
      </w:tabs>
    </w:pPr>
    <w:rPr>
      <w:b/>
      <w:bCs/>
      <w:color w:val="0000FF"/>
    </w:rPr>
  </w:style>
  <w:style w:type="paragraph" w:customStyle="1" w:styleId="TableLast">
    <w:name w:val="TableLast"/>
    <w:basedOn w:val="Table"/>
    <w:rsid w:val="00BB0995"/>
    <w:pPr>
      <w:spacing w:before="0" w:after="60"/>
      <w:jc w:val="both"/>
    </w:pPr>
    <w:rPr>
      <w:color w:val="auto"/>
      <w:lang w:val="en-AU" w:eastAsia="en-US"/>
    </w:rPr>
  </w:style>
  <w:style w:type="paragraph" w:customStyle="1" w:styleId="Contents">
    <w:name w:val="Contents"/>
    <w:basedOn w:val="AnalystWk"/>
    <w:rsid w:val="00BB0995"/>
    <w:pPr>
      <w:framePr w:wrap="auto"/>
      <w:tabs>
        <w:tab w:val="right" w:pos="2127"/>
      </w:tabs>
      <w:spacing w:before="240"/>
      <w:ind w:left="142" w:hanging="142"/>
    </w:pPr>
    <w:rPr>
      <w:sz w:val="16"/>
      <w:szCs w:val="16"/>
    </w:rPr>
  </w:style>
  <w:style w:type="paragraph" w:styleId="a7">
    <w:name w:val="Body Text Indent"/>
    <w:basedOn w:val="a"/>
    <w:rsid w:val="00BB0995"/>
    <w:pPr>
      <w:tabs>
        <w:tab w:val="left" w:pos="284"/>
        <w:tab w:val="left" w:pos="2520"/>
      </w:tabs>
    </w:pPr>
    <w:rPr>
      <w:i/>
      <w:iCs/>
    </w:rPr>
  </w:style>
  <w:style w:type="paragraph" w:styleId="20">
    <w:name w:val="Body Text Indent 2"/>
    <w:basedOn w:val="a"/>
    <w:rsid w:val="00BB0995"/>
    <w:pPr>
      <w:ind w:left="2520"/>
    </w:pPr>
    <w:rPr>
      <w:b/>
      <w:bCs/>
      <w:i/>
      <w:iCs/>
    </w:rPr>
  </w:style>
  <w:style w:type="paragraph" w:customStyle="1" w:styleId="bo">
    <w:name w:val="bo"/>
    <w:basedOn w:val="1"/>
    <w:rsid w:val="00BB0995"/>
    <w:pPr>
      <w:tabs>
        <w:tab w:val="left" w:pos="284"/>
      </w:tabs>
    </w:pPr>
    <w:rPr>
      <w:i/>
      <w:iCs/>
    </w:rPr>
  </w:style>
  <w:style w:type="paragraph" w:customStyle="1" w:styleId="ChartComments">
    <w:name w:val="ChartComments"/>
    <w:basedOn w:val="a"/>
    <w:rsid w:val="00BB0995"/>
    <w:pPr>
      <w:shd w:val="solid" w:color="FFFFFF" w:fill="FFFFFF"/>
      <w:suppressAutoHyphens/>
      <w:spacing w:after="80" w:line="200" w:lineRule="atLeast"/>
      <w:ind w:right="284"/>
      <w:jc w:val="right"/>
    </w:pPr>
    <w:rPr>
      <w:b/>
      <w:bCs/>
      <w:color w:val="000000"/>
      <w:sz w:val="16"/>
      <w:szCs w:val="16"/>
    </w:rPr>
  </w:style>
  <w:style w:type="paragraph" w:customStyle="1" w:styleId="Celldata">
    <w:name w:val="Cell data"/>
    <w:basedOn w:val="a"/>
    <w:rsid w:val="00BB0995"/>
    <w:pPr>
      <w:spacing w:after="20" w:line="180" w:lineRule="atLeast"/>
      <w:ind w:left="28" w:right="57"/>
      <w:jc w:val="left"/>
    </w:pPr>
    <w:rPr>
      <w:sz w:val="14"/>
      <w:szCs w:val="14"/>
    </w:rPr>
  </w:style>
  <w:style w:type="paragraph" w:customStyle="1" w:styleId="SectionTitle">
    <w:name w:val="SectionTitle"/>
    <w:basedOn w:val="StoryTitle"/>
    <w:rsid w:val="00BB0995"/>
    <w:pPr>
      <w:spacing w:before="240"/>
    </w:pPr>
  </w:style>
  <w:style w:type="paragraph" w:customStyle="1" w:styleId="TableTitleFirst">
    <w:name w:val="TableTitleFirst"/>
    <w:basedOn w:val="a"/>
    <w:rsid w:val="00BB0995"/>
    <w:pPr>
      <w:spacing w:before="60" w:after="20"/>
    </w:pPr>
    <w:rPr>
      <w:b/>
      <w:bCs/>
      <w:color w:val="000000"/>
      <w:sz w:val="16"/>
      <w:szCs w:val="16"/>
      <w:lang w:eastAsia="en-US"/>
    </w:rPr>
  </w:style>
  <w:style w:type="paragraph" w:customStyle="1" w:styleId="TableTitleLast">
    <w:name w:val="TableTitleLast"/>
    <w:basedOn w:val="Table"/>
    <w:rsid w:val="00BB0995"/>
    <w:pPr>
      <w:spacing w:after="60"/>
      <w:jc w:val="both"/>
    </w:pPr>
    <w:rPr>
      <w:b/>
      <w:bCs/>
      <w:color w:val="auto"/>
      <w:lang w:eastAsia="en-US"/>
    </w:rPr>
  </w:style>
  <w:style w:type="paragraph" w:customStyle="1" w:styleId="CompanyHead">
    <w:name w:val="CompanyHead"/>
    <w:basedOn w:val="a0"/>
    <w:rsid w:val="00BB0995"/>
    <w:pPr>
      <w:tabs>
        <w:tab w:val="right" w:pos="2410"/>
        <w:tab w:val="left" w:pos="2552"/>
        <w:tab w:val="right" w:pos="10205"/>
      </w:tabs>
      <w:ind w:left="0"/>
    </w:pPr>
    <w:rPr>
      <w:b/>
      <w:bCs/>
      <w:color w:val="FF0000"/>
    </w:rPr>
  </w:style>
  <w:style w:type="paragraph" w:styleId="30">
    <w:name w:val="Body Text 3"/>
    <w:basedOn w:val="a"/>
    <w:rsid w:val="00BB0995"/>
    <w:rPr>
      <w:szCs w:val="18"/>
    </w:rPr>
  </w:style>
  <w:style w:type="paragraph" w:customStyle="1" w:styleId="body">
    <w:name w:val="body"/>
    <w:basedOn w:val="a"/>
    <w:rsid w:val="00BB0995"/>
    <w:rPr>
      <w:noProof/>
    </w:rPr>
  </w:style>
  <w:style w:type="paragraph" w:customStyle="1" w:styleId="font5">
    <w:name w:val="font5"/>
    <w:basedOn w:val="a"/>
    <w:rsid w:val="00BB0995"/>
    <w:pPr>
      <w:spacing w:before="100" w:beforeAutospacing="1" w:after="100" w:afterAutospacing="1"/>
      <w:jc w:val="left"/>
    </w:pPr>
    <w:rPr>
      <w:rFonts w:ascii="宋体" w:hAnsi="宋体"/>
      <w:szCs w:val="18"/>
    </w:rPr>
  </w:style>
  <w:style w:type="paragraph" w:customStyle="1" w:styleId="font6">
    <w:name w:val="font6"/>
    <w:basedOn w:val="a"/>
    <w:rsid w:val="00BB0995"/>
    <w:pPr>
      <w:spacing w:before="100" w:beforeAutospacing="1" w:after="100" w:afterAutospacing="1"/>
      <w:jc w:val="left"/>
    </w:pPr>
    <w:rPr>
      <w:rFonts w:ascii="宋体" w:hAnsi="宋体"/>
    </w:rPr>
  </w:style>
  <w:style w:type="paragraph" w:customStyle="1" w:styleId="font7">
    <w:name w:val="font7"/>
    <w:basedOn w:val="a"/>
    <w:rsid w:val="00BB0995"/>
    <w:pPr>
      <w:spacing w:before="100" w:beforeAutospacing="1" w:after="100" w:afterAutospacing="1"/>
      <w:jc w:val="left"/>
    </w:pPr>
    <w:rPr>
      <w:rFonts w:ascii="宋体" w:hAnsi="宋体"/>
      <w:b/>
      <w:bCs/>
    </w:rPr>
  </w:style>
  <w:style w:type="paragraph" w:customStyle="1" w:styleId="xl24">
    <w:name w:val="xl24"/>
    <w:basedOn w:val="a"/>
    <w:rsid w:val="00BB0995"/>
    <w:pPr>
      <w:spacing w:before="100" w:beforeAutospacing="1" w:after="100" w:afterAutospacing="1"/>
      <w:jc w:val="left"/>
    </w:pPr>
    <w:rPr>
      <w:rFonts w:ascii="宋体" w:hAnsi="宋体"/>
      <w:sz w:val="24"/>
      <w:szCs w:val="24"/>
    </w:rPr>
  </w:style>
  <w:style w:type="paragraph" w:customStyle="1" w:styleId="xl25">
    <w:name w:val="xl25"/>
    <w:basedOn w:val="a"/>
    <w:rsid w:val="00BB0995"/>
    <w:pPr>
      <w:spacing w:before="100" w:beforeAutospacing="1" w:after="100" w:afterAutospacing="1"/>
      <w:jc w:val="left"/>
    </w:pPr>
    <w:rPr>
      <w:rFonts w:ascii="宋体" w:hAnsi="宋体"/>
      <w:b/>
      <w:bCs/>
      <w:sz w:val="24"/>
      <w:szCs w:val="24"/>
    </w:rPr>
  </w:style>
  <w:style w:type="paragraph" w:customStyle="1" w:styleId="xl27">
    <w:name w:val="xl27"/>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28">
    <w:name w:val="xl28"/>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30">
    <w:name w:val="xl30"/>
    <w:basedOn w:val="a"/>
    <w:rsid w:val="00BB0995"/>
    <w:pPr>
      <w:spacing w:before="100" w:beforeAutospacing="1" w:after="100" w:afterAutospacing="1"/>
      <w:jc w:val="right"/>
    </w:pPr>
    <w:rPr>
      <w:rFonts w:ascii="Arial Unicode MS" w:eastAsia="Arial Unicode MS" w:hAnsi="Arial Unicode MS"/>
      <w:sz w:val="24"/>
      <w:szCs w:val="24"/>
    </w:rPr>
  </w:style>
  <w:style w:type="character" w:styleId="a8">
    <w:name w:val="footnote reference"/>
    <w:semiHidden/>
    <w:rsid w:val="00BB0995"/>
    <w:rPr>
      <w:vertAlign w:val="superscript"/>
    </w:rPr>
  </w:style>
  <w:style w:type="paragraph" w:styleId="a9">
    <w:name w:val="footnote text"/>
    <w:basedOn w:val="a"/>
    <w:semiHidden/>
    <w:rsid w:val="00BB0995"/>
    <w:pPr>
      <w:snapToGrid w:val="0"/>
      <w:jc w:val="left"/>
    </w:pPr>
    <w:rPr>
      <w:szCs w:val="18"/>
    </w:rPr>
  </w:style>
  <w:style w:type="paragraph" w:styleId="31">
    <w:name w:val="Body Text Indent 3"/>
    <w:basedOn w:val="a"/>
    <w:rsid w:val="00BB0995"/>
    <w:pPr>
      <w:spacing w:line="288" w:lineRule="auto"/>
      <w:ind w:firstLineChars="197" w:firstLine="295"/>
    </w:pPr>
    <w:rPr>
      <w:rFonts w:ascii="宋体" w:hAnsi="宋体"/>
      <w:color w:val="0000FF"/>
      <w:sz w:val="15"/>
      <w:szCs w:val="15"/>
    </w:rPr>
  </w:style>
  <w:style w:type="character" w:styleId="aa">
    <w:name w:val="Hyperlink"/>
    <w:rsid w:val="00BB0995"/>
    <w:rPr>
      <w:color w:val="0000FF"/>
      <w:u w:val="single"/>
    </w:rPr>
  </w:style>
  <w:style w:type="paragraph" w:styleId="ab">
    <w:name w:val="Date"/>
    <w:basedOn w:val="a"/>
    <w:next w:val="a"/>
    <w:rsid w:val="00BB0995"/>
    <w:pPr>
      <w:ind w:leftChars="2500" w:left="100"/>
    </w:pPr>
    <w:rPr>
      <w:rFonts w:ascii="宋体" w:hAnsi="宋体"/>
      <w:szCs w:val="18"/>
    </w:rPr>
  </w:style>
  <w:style w:type="paragraph" w:styleId="ac">
    <w:name w:val="table of figures"/>
    <w:basedOn w:val="a"/>
    <w:next w:val="a"/>
    <w:rsid w:val="00BB0995"/>
    <w:pPr>
      <w:widowControl/>
      <w:spacing w:line="312" w:lineRule="auto"/>
      <w:ind w:left="3402"/>
    </w:pPr>
    <w:rPr>
      <w:color w:val="000000"/>
      <w:sz w:val="21"/>
    </w:rPr>
  </w:style>
  <w:style w:type="character" w:styleId="ad">
    <w:name w:val="FollowedHyperlink"/>
    <w:rsid w:val="00BB0995"/>
    <w:rPr>
      <w:color w:val="800080"/>
      <w:u w:val="single"/>
    </w:rPr>
  </w:style>
  <w:style w:type="paragraph" w:customStyle="1" w:styleId="21">
    <w:name w:val="模板标题2"/>
    <w:basedOn w:val="a0"/>
    <w:next w:val="a0"/>
    <w:rsid w:val="00BB0995"/>
    <w:pPr>
      <w:outlineLvl w:val="1"/>
    </w:pPr>
    <w:rPr>
      <w:b/>
      <w:bCs/>
      <w:color w:val="01659D"/>
    </w:rPr>
  </w:style>
  <w:style w:type="paragraph" w:customStyle="1" w:styleId="10">
    <w:name w:val="样式1"/>
    <w:basedOn w:val="a0"/>
    <w:next w:val="21"/>
    <w:rsid w:val="00BB0995"/>
    <w:rPr>
      <w:sz w:val="24"/>
    </w:rPr>
  </w:style>
  <w:style w:type="paragraph" w:customStyle="1" w:styleId="11">
    <w:name w:val="模板标题1"/>
    <w:basedOn w:val="21"/>
    <w:next w:val="a0"/>
    <w:rsid w:val="00BB0995"/>
    <w:pPr>
      <w:spacing w:after="240" w:line="300" w:lineRule="exact"/>
      <w:outlineLvl w:val="0"/>
    </w:pPr>
    <w:rPr>
      <w:sz w:val="24"/>
    </w:rPr>
  </w:style>
  <w:style w:type="paragraph" w:customStyle="1" w:styleId="ae">
    <w:name w:val="模板目录标题"/>
    <w:basedOn w:val="a0"/>
    <w:next w:val="12"/>
    <w:rsid w:val="00BB0995"/>
    <w:pPr>
      <w:tabs>
        <w:tab w:val="right" w:leader="dot" w:pos="10649"/>
      </w:tabs>
      <w:spacing w:line="480" w:lineRule="exact"/>
    </w:pPr>
    <w:rPr>
      <w:b/>
      <w:sz w:val="28"/>
    </w:rPr>
  </w:style>
  <w:style w:type="paragraph" w:styleId="12">
    <w:name w:val="toc 1"/>
    <w:basedOn w:val="GJStylesMuluContent1"/>
    <w:next w:val="a"/>
    <w:autoRedefine/>
    <w:rsid w:val="00BB0995"/>
  </w:style>
  <w:style w:type="paragraph" w:styleId="22">
    <w:name w:val="toc 2"/>
    <w:basedOn w:val="GJStylesMuluContent2"/>
    <w:next w:val="a"/>
    <w:autoRedefine/>
    <w:rsid w:val="00730B1B"/>
  </w:style>
  <w:style w:type="paragraph" w:customStyle="1" w:styleId="13">
    <w:name w:val="模板标题1(段前分页)"/>
    <w:basedOn w:val="11"/>
    <w:next w:val="21"/>
    <w:rsid w:val="00BB0995"/>
    <w:pPr>
      <w:pageBreakBefore/>
    </w:pPr>
    <w:rPr>
      <w:bCs w:val="0"/>
    </w:rPr>
  </w:style>
  <w:style w:type="paragraph" w:styleId="32">
    <w:name w:val="toc 3"/>
    <w:basedOn w:val="a"/>
    <w:next w:val="a"/>
    <w:autoRedefine/>
    <w:semiHidden/>
    <w:rsid w:val="00BB0995"/>
    <w:pPr>
      <w:ind w:leftChars="400" w:left="840"/>
    </w:pPr>
  </w:style>
  <w:style w:type="paragraph" w:styleId="40">
    <w:name w:val="toc 4"/>
    <w:basedOn w:val="a"/>
    <w:next w:val="a"/>
    <w:autoRedefine/>
    <w:semiHidden/>
    <w:rsid w:val="00BB0995"/>
    <w:pPr>
      <w:ind w:leftChars="600" w:left="1260"/>
    </w:pPr>
  </w:style>
  <w:style w:type="paragraph" w:styleId="50">
    <w:name w:val="toc 5"/>
    <w:basedOn w:val="a"/>
    <w:next w:val="a"/>
    <w:autoRedefine/>
    <w:semiHidden/>
    <w:rsid w:val="00BB0995"/>
    <w:pPr>
      <w:ind w:leftChars="800" w:left="1680"/>
    </w:pPr>
  </w:style>
  <w:style w:type="paragraph" w:styleId="60">
    <w:name w:val="toc 6"/>
    <w:basedOn w:val="a"/>
    <w:next w:val="a"/>
    <w:autoRedefine/>
    <w:semiHidden/>
    <w:rsid w:val="00BB0995"/>
    <w:pPr>
      <w:ind w:leftChars="1000" w:left="2100"/>
    </w:pPr>
  </w:style>
  <w:style w:type="paragraph" w:styleId="70">
    <w:name w:val="toc 7"/>
    <w:basedOn w:val="a"/>
    <w:next w:val="a"/>
    <w:autoRedefine/>
    <w:semiHidden/>
    <w:rsid w:val="00BB0995"/>
    <w:pPr>
      <w:ind w:leftChars="1200" w:left="2520"/>
    </w:pPr>
  </w:style>
  <w:style w:type="paragraph" w:styleId="80">
    <w:name w:val="toc 8"/>
    <w:basedOn w:val="a"/>
    <w:next w:val="a"/>
    <w:autoRedefine/>
    <w:semiHidden/>
    <w:rsid w:val="00BB0995"/>
    <w:pPr>
      <w:ind w:leftChars="1400" w:left="2940"/>
    </w:pPr>
  </w:style>
  <w:style w:type="paragraph" w:styleId="90">
    <w:name w:val="toc 9"/>
    <w:basedOn w:val="a"/>
    <w:next w:val="a"/>
    <w:autoRedefine/>
    <w:semiHidden/>
    <w:rsid w:val="00BB0995"/>
    <w:pPr>
      <w:ind w:leftChars="1600" w:left="3360"/>
    </w:pPr>
  </w:style>
  <w:style w:type="table" w:styleId="af">
    <w:name w:val="Table Grid"/>
    <w:basedOn w:val="a2"/>
    <w:uiPriority w:val="59"/>
    <w:rsid w:val="00F278C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模板标题111"/>
    <w:basedOn w:val="11"/>
    <w:next w:val="SubTitleLargeTable"/>
    <w:rsid w:val="00AF1034"/>
    <w:pPr>
      <w:keepNext/>
    </w:pPr>
  </w:style>
  <w:style w:type="paragraph" w:customStyle="1" w:styleId="14">
    <w:name w:val="模板标题1（段前分页）"/>
    <w:basedOn w:val="11"/>
    <w:next w:val="21"/>
    <w:rsid w:val="00E54B00"/>
    <w:pPr>
      <w:pageBreakBefore/>
    </w:pPr>
  </w:style>
  <w:style w:type="paragraph" w:styleId="af0">
    <w:name w:val="Balloon Text"/>
    <w:basedOn w:val="a"/>
    <w:link w:val="Char2"/>
    <w:rsid w:val="00A61F07"/>
    <w:rPr>
      <w:szCs w:val="18"/>
    </w:rPr>
  </w:style>
  <w:style w:type="character" w:customStyle="1" w:styleId="Char2">
    <w:name w:val="批注框文本 Char"/>
    <w:link w:val="af0"/>
    <w:rsid w:val="00A61F07"/>
    <w:rPr>
      <w:rFonts w:ascii="Arial" w:eastAsia="楷体_GB2312" w:hAnsi="Arial"/>
      <w:sz w:val="18"/>
      <w:szCs w:val="18"/>
      <w:lang w:val="en-GB"/>
    </w:rPr>
  </w:style>
  <w:style w:type="character" w:customStyle="1" w:styleId="Char">
    <w:name w:val="正文文本 Char"/>
    <w:link w:val="a0"/>
    <w:rsid w:val="005A66A2"/>
    <w:rPr>
      <w:rFonts w:ascii="Arial" w:eastAsia="楷体_GB2312" w:hAnsi="Arial" w:cs="Arial"/>
      <w:color w:val="000000"/>
      <w:sz w:val="21"/>
      <w:lang w:val="en-GB"/>
    </w:rPr>
  </w:style>
  <w:style w:type="paragraph" w:styleId="af1">
    <w:name w:val="Document Map"/>
    <w:basedOn w:val="a"/>
    <w:link w:val="Char3"/>
    <w:rsid w:val="0003281B"/>
    <w:rPr>
      <w:rFonts w:ascii="宋体" w:eastAsia="宋体"/>
      <w:szCs w:val="18"/>
    </w:rPr>
  </w:style>
  <w:style w:type="character" w:customStyle="1" w:styleId="Char3">
    <w:name w:val="文档结构图 Char"/>
    <w:link w:val="af1"/>
    <w:rsid w:val="0003281B"/>
    <w:rPr>
      <w:rFonts w:ascii="宋体" w:hAnsi="Arial"/>
      <w:sz w:val="18"/>
      <w:szCs w:val="18"/>
      <w:lang w:val="en-GB"/>
    </w:rPr>
  </w:style>
  <w:style w:type="character" w:customStyle="1" w:styleId="Char1">
    <w:name w:val="页眉 Char"/>
    <w:link w:val="a6"/>
    <w:uiPriority w:val="99"/>
    <w:rsid w:val="00F278C8"/>
    <w:rPr>
      <w:rFonts w:ascii="Arial" w:eastAsia="楷体_GB2312" w:hAnsi="Arial"/>
      <w:kern w:val="2"/>
      <w:sz w:val="18"/>
      <w:szCs w:val="18"/>
    </w:rPr>
  </w:style>
  <w:style w:type="character" w:customStyle="1" w:styleId="Char0">
    <w:name w:val="页脚 Char"/>
    <w:link w:val="a4"/>
    <w:uiPriority w:val="99"/>
    <w:rsid w:val="00F278C8"/>
    <w:rPr>
      <w:rFonts w:ascii="Arial" w:eastAsia="楷体_GB2312" w:hAnsi="Arial"/>
      <w:kern w:val="2"/>
      <w:sz w:val="18"/>
      <w:szCs w:val="18"/>
    </w:rPr>
  </w:style>
  <w:style w:type="paragraph" w:customStyle="1" w:styleId="GJStylesSummaryTitle">
    <w:name w:val="GJ_Styles_Summary_Title"/>
    <w:qFormat/>
    <w:rsid w:val="00F278C8"/>
    <w:pPr>
      <w:spacing w:afterLines="50" w:after="50"/>
      <w:jc w:val="both"/>
    </w:pPr>
    <w:rPr>
      <w:rFonts w:ascii="Arial" w:eastAsia="楷体_GB2312" w:hAnsi="Arial"/>
      <w:b/>
      <w:color w:val="000000"/>
      <w:kern w:val="2"/>
      <w:sz w:val="24"/>
      <w:szCs w:val="22"/>
    </w:rPr>
  </w:style>
  <w:style w:type="paragraph" w:customStyle="1" w:styleId="GJStylesSummaryContent">
    <w:name w:val="GJ_Styles_Summary_Content"/>
    <w:qFormat/>
    <w:rsid w:val="00F278C8"/>
    <w:pPr>
      <w:numPr>
        <w:numId w:val="7"/>
      </w:numPr>
      <w:spacing w:afterLines="50" w:after="50" w:line="240" w:lineRule="exact"/>
      <w:jc w:val="both"/>
    </w:pPr>
    <w:rPr>
      <w:rFonts w:ascii="Arial" w:eastAsia="楷体_GB2312" w:hAnsi="Arial"/>
      <w:color w:val="000000"/>
      <w:kern w:val="2"/>
      <w:sz w:val="21"/>
      <w:szCs w:val="22"/>
    </w:rPr>
  </w:style>
  <w:style w:type="paragraph" w:customStyle="1" w:styleId="GJStylesSummarySubContent">
    <w:name w:val="GJ_Styles_Summary_SubContent"/>
    <w:qFormat/>
    <w:rsid w:val="00F278C8"/>
    <w:pPr>
      <w:numPr>
        <w:ilvl w:val="1"/>
        <w:numId w:val="7"/>
      </w:numPr>
      <w:spacing w:after="156"/>
      <w:jc w:val="both"/>
    </w:pPr>
    <w:rPr>
      <w:rFonts w:ascii="Arial" w:eastAsia="楷体_GB2312" w:hAnsi="Arial"/>
      <w:color w:val="000000"/>
      <w:kern w:val="2"/>
      <w:sz w:val="21"/>
      <w:szCs w:val="22"/>
    </w:rPr>
  </w:style>
  <w:style w:type="paragraph" w:customStyle="1" w:styleId="GJStylesSummaryContentNoMark">
    <w:name w:val="GJ_Styles_Summary_Content_NoMark"/>
    <w:qFormat/>
    <w:rsid w:val="00F278C8"/>
    <w:pPr>
      <w:spacing w:afterLines="50" w:after="50" w:line="240" w:lineRule="exact"/>
      <w:jc w:val="both"/>
    </w:pPr>
    <w:rPr>
      <w:rFonts w:ascii="Arial" w:eastAsia="楷体_GB2312" w:hAnsi="Arial"/>
      <w:color w:val="000000"/>
      <w:kern w:val="2"/>
      <w:sz w:val="21"/>
      <w:szCs w:val="22"/>
    </w:rPr>
  </w:style>
  <w:style w:type="numbering" w:customStyle="1" w:styleId="GJStylesSummaryContentMark">
    <w:name w:val="GJ_Styles_Summary_Content_Mark"/>
    <w:uiPriority w:val="99"/>
    <w:rsid w:val="00F278C8"/>
    <w:pPr>
      <w:numPr>
        <w:numId w:val="11"/>
      </w:numPr>
    </w:pPr>
  </w:style>
  <w:style w:type="paragraph" w:customStyle="1" w:styleId="GJStylesContentFirTitle">
    <w:name w:val="GJ_Styles_Content_FirTitle"/>
    <w:qFormat/>
    <w:rsid w:val="00F278C8"/>
    <w:pPr>
      <w:spacing w:after="240" w:line="300" w:lineRule="exact"/>
      <w:ind w:left="3402"/>
      <w:jc w:val="both"/>
      <w:outlineLvl w:val="0"/>
    </w:pPr>
    <w:rPr>
      <w:rFonts w:ascii="Arial" w:eastAsia="楷体_GB2312" w:hAnsi="Arial"/>
      <w:b/>
      <w:kern w:val="2"/>
      <w:sz w:val="24"/>
      <w:szCs w:val="22"/>
    </w:rPr>
  </w:style>
  <w:style w:type="paragraph" w:customStyle="1" w:styleId="GJStylesContentSecTitle">
    <w:name w:val="GJ_Styles_Content_SecTitle"/>
    <w:qFormat/>
    <w:rsid w:val="00F278C8"/>
    <w:pPr>
      <w:spacing w:after="120" w:line="240" w:lineRule="exact"/>
      <w:ind w:left="3402"/>
      <w:jc w:val="both"/>
      <w:outlineLvl w:val="1"/>
    </w:pPr>
    <w:rPr>
      <w:rFonts w:ascii="Arial" w:eastAsia="楷体_GB2312" w:hAnsi="Arial"/>
      <w:b/>
      <w:kern w:val="2"/>
      <w:sz w:val="21"/>
      <w:szCs w:val="22"/>
    </w:rPr>
  </w:style>
  <w:style w:type="paragraph" w:customStyle="1" w:styleId="GJStylesContentThirdTitle">
    <w:name w:val="GJ_Styles_Content_ThirdTitle"/>
    <w:qFormat/>
    <w:rsid w:val="00F278C8"/>
    <w:pPr>
      <w:numPr>
        <w:numId w:val="5"/>
      </w:numPr>
      <w:spacing w:after="120" w:line="240" w:lineRule="exact"/>
      <w:jc w:val="both"/>
    </w:pPr>
    <w:rPr>
      <w:rFonts w:ascii="Arial" w:eastAsia="楷体_GB2312" w:hAnsi="Arial"/>
      <w:kern w:val="2"/>
      <w:sz w:val="21"/>
      <w:szCs w:val="22"/>
    </w:rPr>
  </w:style>
  <w:style w:type="paragraph" w:customStyle="1" w:styleId="GJStylesContentFourTitle">
    <w:name w:val="GJ_Styles_Content_FourTitle"/>
    <w:qFormat/>
    <w:rsid w:val="00F278C8"/>
    <w:pPr>
      <w:numPr>
        <w:ilvl w:val="1"/>
        <w:numId w:val="5"/>
      </w:numPr>
      <w:spacing w:after="120" w:line="240" w:lineRule="exact"/>
      <w:jc w:val="both"/>
    </w:pPr>
    <w:rPr>
      <w:rFonts w:ascii="Arial" w:eastAsia="楷体_GB2312" w:hAnsi="Arial"/>
      <w:kern w:val="2"/>
      <w:sz w:val="21"/>
      <w:szCs w:val="22"/>
    </w:rPr>
  </w:style>
  <w:style w:type="paragraph" w:customStyle="1" w:styleId="GJStylesContentContent">
    <w:name w:val="GJ_Styles_Content_Content"/>
    <w:qFormat/>
    <w:rsid w:val="00F278C8"/>
    <w:pPr>
      <w:spacing w:after="120" w:line="240" w:lineRule="exact"/>
      <w:ind w:left="3402" w:firstLineChars="200" w:firstLine="200"/>
      <w:jc w:val="both"/>
    </w:pPr>
    <w:rPr>
      <w:rFonts w:ascii="Arial" w:eastAsia="楷体_GB2312" w:hAnsi="Arial"/>
      <w:kern w:val="2"/>
      <w:sz w:val="21"/>
      <w:szCs w:val="22"/>
    </w:rPr>
  </w:style>
  <w:style w:type="paragraph" w:customStyle="1" w:styleId="GJStylesGraphTitle">
    <w:name w:val="GJ_Styles_Graph_Title"/>
    <w:qFormat/>
    <w:rsid w:val="00F278C8"/>
    <w:pPr>
      <w:keepNext/>
      <w:suppressAutoHyphens/>
      <w:spacing w:after="40" w:line="240" w:lineRule="atLeast"/>
      <w:jc w:val="both"/>
    </w:pPr>
    <w:rPr>
      <w:rFonts w:ascii="Arial" w:eastAsia="楷体_GB2312" w:hAnsi="Arial"/>
      <w:b/>
      <w:i/>
      <w:color w:val="000000"/>
      <w:kern w:val="2"/>
      <w:sz w:val="21"/>
      <w:szCs w:val="22"/>
    </w:rPr>
  </w:style>
  <w:style w:type="paragraph" w:customStyle="1" w:styleId="GJStylesGraphSource">
    <w:name w:val="GJ_Styles_Graph_Source"/>
    <w:qFormat/>
    <w:rsid w:val="00F278C8"/>
    <w:pPr>
      <w:spacing w:before="40" w:after="160"/>
      <w:jc w:val="both"/>
    </w:pPr>
    <w:rPr>
      <w:rFonts w:ascii="Arial" w:eastAsia="楷体_GB2312" w:hAnsi="Arial"/>
      <w:color w:val="000000"/>
      <w:kern w:val="2"/>
      <w:sz w:val="15"/>
      <w:szCs w:val="22"/>
    </w:rPr>
  </w:style>
  <w:style w:type="numbering" w:customStyle="1" w:styleId="GJStylesContentMark">
    <w:name w:val="GJ_Styles_Content_Mark"/>
    <w:uiPriority w:val="99"/>
    <w:rsid w:val="00F278C8"/>
    <w:pPr>
      <w:numPr>
        <w:numId w:val="5"/>
      </w:numPr>
    </w:pPr>
  </w:style>
  <w:style w:type="paragraph" w:customStyle="1" w:styleId="GJStylesContentFirTitleWide">
    <w:name w:val="GJ_Styles_Content_FirTitle_Wide"/>
    <w:qFormat/>
    <w:rsid w:val="00F278C8"/>
    <w:pPr>
      <w:spacing w:after="240" w:line="300" w:lineRule="exact"/>
      <w:jc w:val="both"/>
      <w:outlineLvl w:val="0"/>
    </w:pPr>
    <w:rPr>
      <w:rFonts w:ascii="Arial" w:eastAsia="楷体_GB2312" w:hAnsi="Arial"/>
      <w:b/>
      <w:kern w:val="2"/>
      <w:sz w:val="24"/>
      <w:szCs w:val="22"/>
    </w:rPr>
  </w:style>
  <w:style w:type="paragraph" w:customStyle="1" w:styleId="GJStylesContentSecTitleWide">
    <w:name w:val="GJ_Styles_Content_SecTitle_Wide"/>
    <w:qFormat/>
    <w:rsid w:val="00F278C8"/>
    <w:pPr>
      <w:spacing w:after="120" w:line="240" w:lineRule="exact"/>
      <w:jc w:val="both"/>
      <w:outlineLvl w:val="1"/>
    </w:pPr>
    <w:rPr>
      <w:rFonts w:ascii="Arial" w:eastAsia="楷体_GB2312" w:hAnsi="Arial"/>
      <w:b/>
      <w:kern w:val="2"/>
      <w:sz w:val="21"/>
      <w:szCs w:val="22"/>
    </w:rPr>
  </w:style>
  <w:style w:type="paragraph" w:customStyle="1" w:styleId="GJStylesContentThirdTitleWide">
    <w:name w:val="GJ_Styles_Content_ThirdTitle_Wide"/>
    <w:qFormat/>
    <w:rsid w:val="00F278C8"/>
    <w:pPr>
      <w:numPr>
        <w:numId w:val="26"/>
      </w:numPr>
      <w:spacing w:after="120" w:line="240" w:lineRule="exact"/>
      <w:jc w:val="both"/>
    </w:pPr>
    <w:rPr>
      <w:rFonts w:ascii="Arial" w:eastAsia="楷体_GB2312" w:hAnsi="Arial"/>
      <w:kern w:val="2"/>
      <w:sz w:val="21"/>
      <w:szCs w:val="22"/>
    </w:rPr>
  </w:style>
  <w:style w:type="paragraph" w:customStyle="1" w:styleId="GJStylesContentFourTitleWide">
    <w:name w:val="GJ_Styles_Content_FourTitle_Wide"/>
    <w:qFormat/>
    <w:rsid w:val="00F278C8"/>
    <w:pPr>
      <w:numPr>
        <w:ilvl w:val="1"/>
        <w:numId w:val="26"/>
      </w:numPr>
      <w:spacing w:after="120" w:line="240" w:lineRule="exact"/>
      <w:jc w:val="both"/>
    </w:pPr>
    <w:rPr>
      <w:rFonts w:ascii="Arial" w:eastAsia="楷体_GB2312" w:hAnsi="Arial"/>
      <w:kern w:val="2"/>
      <w:sz w:val="21"/>
      <w:szCs w:val="22"/>
    </w:rPr>
  </w:style>
  <w:style w:type="paragraph" w:customStyle="1" w:styleId="GJStylesContentContentWide">
    <w:name w:val="GJ_Styles_Content_Content_Wide"/>
    <w:qFormat/>
    <w:rsid w:val="00F278C8"/>
    <w:pPr>
      <w:spacing w:after="120" w:line="240" w:lineRule="exact"/>
      <w:ind w:firstLineChars="200" w:firstLine="200"/>
      <w:jc w:val="both"/>
    </w:pPr>
    <w:rPr>
      <w:rFonts w:ascii="Arial" w:eastAsia="楷体_GB2312" w:hAnsi="Arial"/>
      <w:kern w:val="2"/>
      <w:sz w:val="21"/>
      <w:szCs w:val="22"/>
    </w:rPr>
  </w:style>
  <w:style w:type="paragraph" w:customStyle="1" w:styleId="GJReportFirPageRelaReports">
    <w:name w:val="GJ_Report_FirPage_RelaReports"/>
    <w:qFormat/>
    <w:rsid w:val="00F278C8"/>
    <w:pPr>
      <w:jc w:val="both"/>
    </w:pPr>
    <w:rPr>
      <w:rFonts w:ascii="Arial" w:eastAsia="楷体_GB2312" w:hAnsi="Arial"/>
      <w:kern w:val="2"/>
      <w:sz w:val="18"/>
      <w:szCs w:val="22"/>
    </w:rPr>
  </w:style>
  <w:style w:type="paragraph" w:customStyle="1" w:styleId="GJReportFirPageAuthorName">
    <w:name w:val="GJ_Report_FirPage_Author_Name"/>
    <w:qFormat/>
    <w:rsid w:val="00F278C8"/>
    <w:pPr>
      <w:jc w:val="both"/>
    </w:pPr>
    <w:rPr>
      <w:rFonts w:ascii="Arial" w:eastAsia="楷体_GB2312" w:hAnsi="Arial"/>
      <w:b/>
      <w:kern w:val="2"/>
      <w:sz w:val="21"/>
      <w:szCs w:val="22"/>
    </w:rPr>
  </w:style>
  <w:style w:type="paragraph" w:customStyle="1" w:styleId="GJReportFirPageAuthorEmail">
    <w:name w:val="GJ_Report_FirPage_Author_Email"/>
    <w:qFormat/>
    <w:rsid w:val="00F278C8"/>
    <w:pPr>
      <w:jc w:val="both"/>
    </w:pPr>
    <w:rPr>
      <w:rFonts w:ascii="Arial" w:eastAsia="楷体_GB2312" w:hAnsi="Arial"/>
      <w:b/>
      <w:kern w:val="2"/>
      <w:sz w:val="13"/>
      <w:szCs w:val="22"/>
    </w:rPr>
  </w:style>
  <w:style w:type="paragraph" w:customStyle="1" w:styleId="GJStylesTableTitleSuo">
    <w:name w:val="GJ_Styles_Table_Title_Suo"/>
    <w:qFormat/>
    <w:rsid w:val="00F278C8"/>
    <w:pPr>
      <w:keepNext/>
      <w:pBdr>
        <w:top w:val="single" w:sz="4" w:space="1" w:color="00A0E9"/>
      </w:pBdr>
      <w:suppressAutoHyphens/>
      <w:spacing w:after="40" w:line="240" w:lineRule="atLeast"/>
      <w:ind w:left="3402"/>
      <w:jc w:val="both"/>
    </w:pPr>
    <w:rPr>
      <w:rFonts w:ascii="Arial" w:eastAsia="楷体_GB2312" w:hAnsi="Arial"/>
      <w:b/>
      <w:i/>
      <w:color w:val="000000"/>
      <w:kern w:val="2"/>
      <w:sz w:val="21"/>
      <w:szCs w:val="22"/>
    </w:rPr>
  </w:style>
  <w:style w:type="paragraph" w:customStyle="1" w:styleId="GJStylesTableSourceSuo">
    <w:name w:val="GJ_Styles_Table_Source_Suo"/>
    <w:qFormat/>
    <w:rsid w:val="00F278C8"/>
    <w:pPr>
      <w:spacing w:before="40" w:after="160"/>
      <w:ind w:left="3402"/>
      <w:jc w:val="both"/>
    </w:pPr>
    <w:rPr>
      <w:rFonts w:ascii="Arial" w:eastAsia="楷体_GB2312" w:hAnsi="Arial"/>
      <w:color w:val="000000"/>
      <w:kern w:val="2"/>
      <w:sz w:val="15"/>
      <w:szCs w:val="22"/>
    </w:rPr>
  </w:style>
  <w:style w:type="numbering" w:customStyle="1" w:styleId="GJStylesContentMarkWide">
    <w:name w:val="GJ_Styles_Content_Mark_Wide"/>
    <w:uiPriority w:val="99"/>
    <w:rsid w:val="00F278C8"/>
    <w:pPr>
      <w:numPr>
        <w:numId w:val="6"/>
      </w:numPr>
    </w:pPr>
  </w:style>
  <w:style w:type="table" w:customStyle="1" w:styleId="GJStylesChartInsertSingleCol">
    <w:name w:val="GJ_Styles_Chart_InsertSingleCol"/>
    <w:basedOn w:val="a2"/>
    <w:uiPriority w:val="99"/>
    <w:qFormat/>
    <w:rsid w:val="00F278C8"/>
    <w:rPr>
      <w:rFonts w:ascii="Calibri" w:hAnsi="Calibri"/>
    </w:rPr>
    <w:tblPr>
      <w:tblInd w:w="0" w:type="dxa"/>
      <w:tblBorders>
        <w:top w:val="single" w:sz="4" w:space="0" w:color="00A0E9"/>
        <w:insideH w:val="single" w:sz="4" w:space="0" w:color="00A0E9"/>
      </w:tblBorders>
      <w:tblCellMar>
        <w:top w:w="0" w:type="dxa"/>
        <w:left w:w="108" w:type="dxa"/>
        <w:bottom w:w="0" w:type="dxa"/>
        <w:right w:w="108" w:type="dxa"/>
      </w:tblCellMar>
    </w:tblPr>
    <w:tcPr>
      <w:tcMar>
        <w:left w:w="0" w:type="dxa"/>
        <w:right w:w="0" w:type="dxa"/>
      </w:tcMar>
    </w:tcPr>
    <w:tblStylePr w:type="firstRow">
      <w:pPr>
        <w:wordWrap/>
        <w:jc w:val="left"/>
      </w:pPr>
    </w:tblStylePr>
    <w:tblStylePr w:type="lastRow">
      <w:pPr>
        <w:wordWrap/>
        <w:jc w:val="left"/>
      </w:pPr>
    </w:tblStylePr>
  </w:style>
  <w:style w:type="table" w:customStyle="1" w:styleId="GJStylesChartInsertDoubleCol">
    <w:name w:val="GJ_Styles_Chart_InsertDoubleCol"/>
    <w:basedOn w:val="a2"/>
    <w:uiPriority w:val="99"/>
    <w:qFormat/>
    <w:rsid w:val="00F278C8"/>
    <w:rPr>
      <w:rFonts w:ascii="Calibri" w:hAnsi="Calibri"/>
    </w:rPr>
    <w:tblPr>
      <w:tblInd w:w="0" w:type="dxa"/>
      <w:tblCellMar>
        <w:top w:w="0" w:type="dxa"/>
        <w:left w:w="108" w:type="dxa"/>
        <w:bottom w:w="0" w:type="dxa"/>
        <w:right w:w="108" w:type="dxa"/>
      </w:tblCellMar>
    </w:tblPr>
    <w:tcPr>
      <w:tcMar>
        <w:left w:w="0" w:type="dxa"/>
        <w:right w:w="0" w:type="dxa"/>
      </w:tcMar>
    </w:tcPr>
    <w:tblStylePr w:type="firstCol">
      <w:tblPr/>
      <w:tcPr>
        <w:tcBorders>
          <w:top w:val="single" w:sz="4" w:space="0" w:color="00A0E9"/>
          <w:insideH w:val="single" w:sz="4" w:space="0" w:color="00A0E9"/>
        </w:tcBorders>
      </w:tcPr>
    </w:tblStylePr>
    <w:tblStylePr w:type="lastCol">
      <w:tblPr/>
      <w:tcPr>
        <w:tcBorders>
          <w:top w:val="single" w:sz="4" w:space="0" w:color="00A0E9"/>
          <w:insideH w:val="single" w:sz="4" w:space="0" w:color="00A0E9"/>
        </w:tcBorders>
      </w:tcPr>
    </w:tblStylePr>
  </w:style>
  <w:style w:type="paragraph" w:customStyle="1" w:styleId="GJStylesTableTitle">
    <w:name w:val="GJ_Styles_Table_Title"/>
    <w:qFormat/>
    <w:rsid w:val="00F278C8"/>
    <w:pPr>
      <w:keepNext/>
      <w:pBdr>
        <w:top w:val="single" w:sz="4" w:space="1" w:color="00A0E9"/>
      </w:pBdr>
      <w:suppressAutoHyphens/>
      <w:spacing w:after="40" w:line="240" w:lineRule="atLeast"/>
      <w:jc w:val="both"/>
    </w:pPr>
    <w:rPr>
      <w:rFonts w:ascii="Arial" w:eastAsia="楷体_GB2312" w:hAnsi="Arial"/>
      <w:b/>
      <w:i/>
      <w:color w:val="000000"/>
      <w:kern w:val="2"/>
      <w:sz w:val="21"/>
      <w:szCs w:val="22"/>
    </w:rPr>
  </w:style>
  <w:style w:type="table" w:customStyle="1" w:styleId="GJStylesTableDefalutStyle">
    <w:name w:val="GJ_Styles_Table_DefalutStyle"/>
    <w:basedOn w:val="a2"/>
    <w:uiPriority w:val="99"/>
    <w:qFormat/>
    <w:rsid w:val="00F278C8"/>
    <w:rPr>
      <w:rFonts w:ascii="Arial" w:eastAsia="楷体_GB2312" w:hAnsi="Arial"/>
      <w:color w:val="000000"/>
      <w:sz w:val="18"/>
    </w:rPr>
    <w:tblPr>
      <w:tblInd w:w="0" w:type="dxa"/>
      <w:tblBorders>
        <w:top w:val="single" w:sz="4" w:space="0" w:color="00A0E9"/>
        <w:bottom w:val="single" w:sz="4" w:space="0" w:color="00A0E9"/>
      </w:tblBorders>
      <w:tblCellMar>
        <w:top w:w="0" w:type="dxa"/>
        <w:left w:w="108" w:type="dxa"/>
        <w:bottom w:w="0" w:type="dxa"/>
        <w:right w:w="108" w:type="dxa"/>
      </w:tblCellMar>
    </w:tblPr>
    <w:tblStylePr w:type="firstRow">
      <w:pPr>
        <w:wordWrap/>
        <w:jc w:val="center"/>
      </w:pPr>
      <w:rPr>
        <w:b/>
      </w:rPr>
      <w:tblPr/>
      <w:tcPr>
        <w:tcBorders>
          <w:bottom w:val="single" w:sz="4" w:space="0" w:color="BFBFBF"/>
        </w:tcBorders>
      </w:tcPr>
    </w:tblStylePr>
  </w:style>
  <w:style w:type="paragraph" w:customStyle="1" w:styleId="GJStylesTableTitleRed">
    <w:name w:val="GJ_Styles_Table_Title_Red"/>
    <w:qFormat/>
    <w:rsid w:val="00F278C8"/>
    <w:pPr>
      <w:keepNext/>
      <w:pBdr>
        <w:top w:val="single" w:sz="4" w:space="1" w:color="C00000"/>
      </w:pBdr>
      <w:suppressAutoHyphens/>
      <w:spacing w:after="40" w:line="240" w:lineRule="atLeast"/>
      <w:jc w:val="both"/>
    </w:pPr>
    <w:rPr>
      <w:rFonts w:ascii="Arial" w:eastAsia="楷体_GB2312" w:hAnsi="Arial"/>
      <w:b/>
      <w:i/>
      <w:color w:val="000000"/>
      <w:kern w:val="2"/>
      <w:sz w:val="21"/>
      <w:szCs w:val="22"/>
    </w:rPr>
  </w:style>
  <w:style w:type="paragraph" w:customStyle="1" w:styleId="GJStylesTableTitleSuoRed">
    <w:name w:val="GJ_Styles_Table_Title_Suo_Red"/>
    <w:qFormat/>
    <w:rsid w:val="00F278C8"/>
    <w:pPr>
      <w:keepNext/>
      <w:pBdr>
        <w:top w:val="single" w:sz="4" w:space="1" w:color="C00000"/>
      </w:pBdr>
      <w:suppressAutoHyphens/>
      <w:spacing w:after="40" w:line="240" w:lineRule="atLeast"/>
      <w:ind w:left="3402"/>
      <w:jc w:val="both"/>
    </w:pPr>
    <w:rPr>
      <w:rFonts w:ascii="Arial" w:eastAsia="楷体_GB2312" w:hAnsi="Arial"/>
      <w:b/>
      <w:i/>
      <w:color w:val="000000"/>
      <w:kern w:val="2"/>
      <w:sz w:val="21"/>
      <w:szCs w:val="22"/>
    </w:rPr>
  </w:style>
  <w:style w:type="table" w:customStyle="1" w:styleId="GJStylesTableDefalutStyleRed">
    <w:name w:val="GJ_Styles_Table_DefalutStyle_Red"/>
    <w:basedOn w:val="a2"/>
    <w:uiPriority w:val="99"/>
    <w:qFormat/>
    <w:rsid w:val="00F278C8"/>
    <w:rPr>
      <w:rFonts w:ascii="Arial" w:eastAsia="楷体_GB2312" w:hAnsi="Arial"/>
      <w:sz w:val="18"/>
    </w:rPr>
    <w:tblPr>
      <w:tblInd w:w="0" w:type="dxa"/>
      <w:tblBorders>
        <w:top w:val="single" w:sz="4" w:space="0" w:color="C00000"/>
        <w:bottom w:val="single" w:sz="4" w:space="0" w:color="C00000"/>
      </w:tblBorders>
      <w:tblCellMar>
        <w:top w:w="0" w:type="dxa"/>
        <w:left w:w="108" w:type="dxa"/>
        <w:bottom w:w="0" w:type="dxa"/>
        <w:right w:w="108" w:type="dxa"/>
      </w:tblCellMar>
    </w:tblPr>
    <w:tblStylePr w:type="firstRow">
      <w:rPr>
        <w:b/>
      </w:rPr>
      <w:tblPr/>
      <w:tcPr>
        <w:tcBorders>
          <w:bottom w:val="single" w:sz="4" w:space="0" w:color="BFBFBF"/>
        </w:tcBorders>
      </w:tcPr>
    </w:tblStylePr>
  </w:style>
  <w:style w:type="table" w:customStyle="1" w:styleId="GJStylesChartInsertSingleColRed">
    <w:name w:val="GJ_Styles_Chart_InsertSingleCol_Red"/>
    <w:basedOn w:val="a2"/>
    <w:uiPriority w:val="99"/>
    <w:qFormat/>
    <w:rsid w:val="00F278C8"/>
    <w:rPr>
      <w:rFonts w:ascii="Calibri" w:hAnsi="Calibri"/>
    </w:rPr>
    <w:tblPr>
      <w:tblInd w:w="0" w:type="dxa"/>
      <w:tblBorders>
        <w:top w:val="single" w:sz="4" w:space="0" w:color="C00000"/>
        <w:insideH w:val="single" w:sz="4" w:space="0" w:color="C00000"/>
      </w:tblBorders>
      <w:tblCellMar>
        <w:top w:w="0" w:type="dxa"/>
        <w:left w:w="108" w:type="dxa"/>
        <w:bottom w:w="0" w:type="dxa"/>
        <w:right w:w="108" w:type="dxa"/>
      </w:tblCellMar>
    </w:tblPr>
  </w:style>
  <w:style w:type="table" w:customStyle="1" w:styleId="GJStylesChartInsertDoubleColRed">
    <w:name w:val="GJ_Styles_Chart_InsertDoubleCol_Red"/>
    <w:basedOn w:val="a2"/>
    <w:uiPriority w:val="99"/>
    <w:qFormat/>
    <w:rsid w:val="00F278C8"/>
    <w:rPr>
      <w:rFonts w:ascii="Calibri" w:hAnsi="Calibri"/>
    </w:rPr>
    <w:tblPr>
      <w:tblInd w:w="0" w:type="dxa"/>
      <w:tblCellMar>
        <w:top w:w="0" w:type="dxa"/>
        <w:left w:w="108" w:type="dxa"/>
        <w:bottom w:w="0" w:type="dxa"/>
        <w:right w:w="108" w:type="dxa"/>
      </w:tblCellMar>
    </w:tblPr>
    <w:tblStylePr w:type="firstCol">
      <w:tblPr/>
      <w:tcPr>
        <w:tcBorders>
          <w:top w:val="single" w:sz="4" w:space="0" w:color="C00000"/>
          <w:insideH w:val="single" w:sz="4" w:space="0" w:color="C00000"/>
        </w:tcBorders>
      </w:tcPr>
    </w:tblStylePr>
    <w:tblStylePr w:type="lastCol">
      <w:tblPr/>
      <w:tcPr>
        <w:tcBorders>
          <w:top w:val="single" w:sz="4" w:space="0" w:color="C00000"/>
          <w:insideH w:val="single" w:sz="4" w:space="0" w:color="C00000"/>
        </w:tcBorders>
      </w:tcPr>
    </w:tblStylePr>
  </w:style>
  <w:style w:type="paragraph" w:customStyle="1" w:styleId="GJStylesMuluTitle">
    <w:name w:val="GJ_Styles_Mulu_Title"/>
    <w:rsid w:val="00F278C8"/>
    <w:pPr>
      <w:spacing w:after="120" w:line="480" w:lineRule="exact"/>
      <w:ind w:left="3402"/>
      <w:jc w:val="both"/>
    </w:pPr>
    <w:rPr>
      <w:rFonts w:ascii="Arial" w:eastAsia="楷体_GB2312" w:hAnsi="Arial"/>
      <w:b/>
      <w:color w:val="000000"/>
      <w:kern w:val="2"/>
      <w:sz w:val="28"/>
      <w:szCs w:val="22"/>
    </w:rPr>
  </w:style>
  <w:style w:type="paragraph" w:customStyle="1" w:styleId="GJStylesMuluContent1">
    <w:name w:val="GJ_Styles_Mulu_Content1"/>
    <w:rsid w:val="00F278C8"/>
    <w:pPr>
      <w:spacing w:line="312" w:lineRule="auto"/>
      <w:ind w:left="3402"/>
      <w:jc w:val="both"/>
    </w:pPr>
    <w:rPr>
      <w:rFonts w:ascii="Arial" w:eastAsia="楷体_GB2312" w:hAnsi="Arial"/>
      <w:color w:val="000000"/>
      <w:kern w:val="2"/>
      <w:sz w:val="21"/>
      <w:szCs w:val="22"/>
    </w:rPr>
  </w:style>
  <w:style w:type="paragraph" w:customStyle="1" w:styleId="GJStylesMuluContent2">
    <w:name w:val="GJ_Styles_Mulu_Content2"/>
    <w:rsid w:val="00F278C8"/>
    <w:pPr>
      <w:spacing w:line="312" w:lineRule="auto"/>
      <w:ind w:leftChars="2000" w:left="2000"/>
      <w:jc w:val="both"/>
    </w:pPr>
    <w:rPr>
      <w:rFonts w:ascii="Arial" w:eastAsia="楷体_GB2312" w:hAnsi="Arial"/>
      <w:color w:val="000000"/>
      <w:kern w:val="2"/>
      <w:sz w:val="21"/>
      <w:szCs w:val="22"/>
    </w:rPr>
  </w:style>
  <w:style w:type="character" w:styleId="af2">
    <w:name w:val="Placeholder Text"/>
    <w:basedOn w:val="a1"/>
    <w:uiPriority w:val="99"/>
    <w:semiHidden/>
    <w:rsid w:val="00DC78A4"/>
    <w:rPr>
      <w:color w:val="808080"/>
    </w:rPr>
  </w:style>
  <w:style w:type="table" w:customStyle="1" w:styleId="GJStylesTableRatStyle">
    <w:name w:val="GJ_Styles_Table_RatStyle"/>
    <w:basedOn w:val="a2"/>
    <w:uiPriority w:val="99"/>
    <w:qFormat/>
    <w:rsid w:val="00F278C8"/>
    <w:pPr>
      <w:jc w:val="center"/>
    </w:pPr>
    <w:rPr>
      <w:rFonts w:ascii="Arial" w:eastAsia="楷体_GB2312" w:hAnsi="Arial"/>
      <w:color w:val="000000"/>
      <w:sz w:val="18"/>
    </w:rPr>
    <w:tblPr>
      <w:tblInd w:w="0" w:type="dxa"/>
      <w:tblBorders>
        <w:top w:val="single" w:sz="4" w:space="0" w:color="C0C0C0"/>
        <w:bottom w:val="single" w:sz="4" w:space="0" w:color="C0C0C0"/>
        <w:insideH w:val="single" w:sz="4" w:space="0" w:color="C0C0C0"/>
      </w:tblBorders>
      <w:tblCellMar>
        <w:top w:w="0" w:type="dxa"/>
        <w:left w:w="0" w:type="dxa"/>
        <w:bottom w:w="0" w:type="dxa"/>
        <w:right w:w="28" w:type="dxa"/>
      </w:tblCellMar>
    </w:tblPr>
    <w:tcPr>
      <w:vAlign w:val="center"/>
    </w:tcPr>
    <w:tblStylePr w:type="firstRow">
      <w:pPr>
        <w:wordWrap/>
        <w:jc w:val="center"/>
        <w:outlineLvl w:val="9"/>
      </w:pPr>
      <w:rPr>
        <w:rFonts w:ascii="Arial" w:eastAsia="楷体_GB2312" w:hAnsi="Arial"/>
        <w:b/>
        <w:i w:val="0"/>
        <w:color w:val="000000"/>
        <w:sz w:val="18"/>
      </w:rPr>
      <w:tblPr/>
      <w:tcPr>
        <w:tcBorders>
          <w:top w:val="single" w:sz="4" w:space="0" w:color="BFBFBF"/>
          <w:left w:val="nil"/>
          <w:bottom w:val="single" w:sz="4" w:space="0" w:color="BFBFBF"/>
          <w:right w:val="nil"/>
          <w:insideH w:val="nil"/>
          <w:insideV w:val="nil"/>
          <w:tl2br w:val="nil"/>
          <w:tr2bl w:val="nil"/>
        </w:tcBorders>
      </w:tcPr>
    </w:tblStylePr>
  </w:style>
  <w:style w:type="table" w:customStyle="1" w:styleId="GJStylesTableRatStyle2">
    <w:name w:val="GJ_Styles_Table_RatStyle_2"/>
    <w:basedOn w:val="a2"/>
    <w:uiPriority w:val="99"/>
    <w:qFormat/>
    <w:rsid w:val="00F278C8"/>
    <w:pPr>
      <w:jc w:val="center"/>
    </w:pPr>
    <w:rPr>
      <w:rFonts w:ascii="Arial" w:eastAsia="楷体_GB2312" w:hAnsi="Arial"/>
      <w:color w:val="000000"/>
      <w:sz w:val="18"/>
    </w:rPr>
    <w:tblPr>
      <w:tblInd w:w="0" w:type="dxa"/>
      <w:tblBorders>
        <w:top w:val="single" w:sz="4" w:space="0" w:color="00A0E9"/>
        <w:bottom w:val="single" w:sz="4" w:space="0" w:color="00A0E9"/>
      </w:tblBorders>
      <w:tblCellMar>
        <w:top w:w="0" w:type="dxa"/>
        <w:left w:w="0" w:type="dxa"/>
        <w:bottom w:w="0" w:type="dxa"/>
        <w:right w:w="28" w:type="dxa"/>
      </w:tblCellMar>
    </w:tblPr>
    <w:tcPr>
      <w:shd w:val="clear" w:color="auto" w:fill="FFFFFF"/>
      <w:vAlign w:val="center"/>
    </w:tcPr>
    <w:tblStylePr w:type="firstRow">
      <w:rPr>
        <w:rFonts w:ascii="楷体_GB2312" w:eastAsia="楷体_GB2312"/>
        <w:b/>
        <w:i w:val="0"/>
        <w:color w:val="000000"/>
        <w:sz w:val="18"/>
      </w:rPr>
      <w:tblPr/>
      <w:tcPr>
        <w:tcBorders>
          <w:top w:val="single" w:sz="4" w:space="0" w:color="00A0E9"/>
          <w:left w:val="nil"/>
          <w:bottom w:val="nil"/>
          <w:right w:val="nil"/>
          <w:insideH w:val="nil"/>
          <w:insideV w:val="nil"/>
          <w:tl2br w:val="nil"/>
          <w:tr2bl w:val="nil"/>
        </w:tcBorders>
        <w:shd w:val="clear" w:color="auto" w:fill="FFFFFF"/>
      </w:tcPr>
    </w:tblStylePr>
  </w:style>
  <w:style w:type="table" w:customStyle="1" w:styleId="GJStylesTableRatStyle3">
    <w:name w:val="GJ_Styles_Table_RatStyle_3"/>
    <w:basedOn w:val="a2"/>
    <w:uiPriority w:val="99"/>
    <w:qFormat/>
    <w:rsid w:val="00F278C8"/>
    <w:pPr>
      <w:jc w:val="center"/>
    </w:pPr>
    <w:rPr>
      <w:rFonts w:ascii="Arial" w:eastAsia="楷体_GB2312" w:hAnsi="Arial"/>
      <w:sz w:val="18"/>
    </w:rPr>
    <w:tblPr>
      <w:tblInd w:w="0" w:type="dxa"/>
      <w:tblBorders>
        <w:insideH w:val="single" w:sz="6" w:space="0" w:color="C0C0C0"/>
      </w:tblBorders>
      <w:tblCellMar>
        <w:top w:w="0" w:type="dxa"/>
        <w:left w:w="0" w:type="dxa"/>
        <w:bottom w:w="0" w:type="dxa"/>
        <w:right w:w="0" w:type="dxa"/>
      </w:tblCellMar>
    </w:tblPr>
  </w:style>
  <w:style w:type="table" w:customStyle="1" w:styleId="GJStylesTableRatStyle4">
    <w:name w:val="GJ_Styles_Table_RatStyle_4"/>
    <w:basedOn w:val="a2"/>
    <w:uiPriority w:val="99"/>
    <w:qFormat/>
    <w:rsid w:val="00F278C8"/>
    <w:rPr>
      <w:rFonts w:ascii="Arial" w:eastAsia="楷体_GB2312" w:hAnsi="Arial"/>
      <w:sz w:val="21"/>
    </w:rPr>
    <w:tblPr>
      <w:tblInd w:w="0" w:type="dxa"/>
      <w:tblCellMar>
        <w:top w:w="0" w:type="dxa"/>
        <w:left w:w="0" w:type="dxa"/>
        <w:bottom w:w="0" w:type="dxa"/>
        <w:right w:w="0" w:type="dxa"/>
      </w:tblCellMar>
    </w:tblPr>
    <w:tblStylePr w:type="firstRow">
      <w:rPr>
        <w:rFonts w:ascii="Arial" w:eastAsia="楷体_GB2312" w:hAnsi="Arial"/>
        <w:b/>
        <w:i w:val="0"/>
        <w:sz w:val="21"/>
      </w:rPr>
    </w:tblStylePr>
  </w:style>
  <w:style w:type="table" w:customStyle="1" w:styleId="GJStylesTableRatStyle5">
    <w:name w:val="GJ_Styles_Table_RatStyle_5"/>
    <w:basedOn w:val="a2"/>
    <w:uiPriority w:val="99"/>
    <w:qFormat/>
    <w:rsid w:val="00F278C8"/>
    <w:pPr>
      <w:spacing w:after="120" w:line="240" w:lineRule="exact"/>
      <w:jc w:val="both"/>
    </w:pPr>
    <w:rPr>
      <w:rFonts w:ascii="Calibri" w:hAnsi="Calibri"/>
    </w:rPr>
    <w:tblPr>
      <w:tblInd w:w="0" w:type="dxa"/>
      <w:tblCellMar>
        <w:top w:w="0" w:type="dxa"/>
        <w:left w:w="108" w:type="dxa"/>
        <w:bottom w:w="0" w:type="dxa"/>
        <w:right w:w="108" w:type="dxa"/>
      </w:tblCellMar>
    </w:tblPr>
  </w:style>
  <w:style w:type="table" w:customStyle="1" w:styleId="GJStylesTableRatStyle6">
    <w:name w:val="GJ_Styles_Table_RatStyle_6"/>
    <w:basedOn w:val="a2"/>
    <w:uiPriority w:val="99"/>
    <w:qFormat/>
    <w:rsid w:val="00F278C8"/>
    <w:pPr>
      <w:jc w:val="right"/>
    </w:pPr>
    <w:rPr>
      <w:rFonts w:ascii="Arial" w:eastAsia="楷体_GB2312" w:hAnsi="Arial"/>
      <w:sz w:val="18"/>
    </w:rPr>
    <w:tblPr>
      <w:tblInd w:w="0" w:type="dxa"/>
      <w:tblCellMar>
        <w:top w:w="0" w:type="dxa"/>
        <w:left w:w="0" w:type="dxa"/>
        <w:bottom w:w="0" w:type="dxa"/>
        <w:right w:w="0" w:type="dxa"/>
      </w:tblCellMar>
    </w:tblPr>
    <w:tblStylePr w:type="firstCol">
      <w:pPr>
        <w:jc w:val="center"/>
      </w:pPr>
      <w:rPr>
        <w:rFonts w:ascii="Arial" w:eastAsia="楷体_GB2312" w:hAnsi="Arial"/>
        <w:b w:val="0"/>
        <w:i w:val="0"/>
        <w:sz w:val="18"/>
      </w:rPr>
      <w:tblPr/>
      <w:tcPr>
        <w:tcBorders>
          <w:top w:val="nil"/>
          <w:left w:val="nil"/>
          <w:bottom w:val="nil"/>
          <w:right w:val="nil"/>
          <w:insideH w:val="nil"/>
          <w:insideV w:val="nil"/>
          <w:tl2br w:val="nil"/>
          <w:tr2bl w:val="nil"/>
        </w:tcBorders>
        <w:vAlign w:val="center"/>
      </w:tcPr>
    </w:tblStylePr>
  </w:style>
  <w:style w:type="table" w:customStyle="1" w:styleId="GJStylesTableRatStyle7">
    <w:name w:val="GJ_Styles_Table_RatStyle_7"/>
    <w:basedOn w:val="a2"/>
    <w:uiPriority w:val="99"/>
    <w:qFormat/>
    <w:rsid w:val="00F278C8"/>
    <w:pPr>
      <w:jc w:val="both"/>
    </w:pPr>
    <w:rPr>
      <w:rFonts w:ascii="Calibri" w:eastAsia="楷体_GB2312" w:hAnsi="Calibri"/>
      <w:b/>
      <w:sz w:val="13"/>
    </w:rPr>
    <w:tblPr>
      <w:tblInd w:w="-34" w:type="dxa"/>
      <w:tblCellMar>
        <w:top w:w="0" w:type="dxa"/>
        <w:left w:w="0" w:type="dxa"/>
        <w:bottom w:w="0" w:type="dxa"/>
        <w:right w:w="0" w:type="dxa"/>
      </w:tblCellMar>
    </w:tblPr>
    <w:tblStylePr w:type="firstRow">
      <w:pPr>
        <w:jc w:val="both"/>
      </w:pPr>
      <w:rPr>
        <w:rFonts w:ascii="Arial" w:eastAsia="Monotype Sorts" w:hAnsi="Arial"/>
        <w:b/>
        <w:i w:val="0"/>
        <w:sz w:val="21"/>
      </w:rPr>
    </w:tblStylePr>
    <w:tblStylePr w:type="lastRow">
      <w:pPr>
        <w:jc w:val="both"/>
      </w:pPr>
      <w:rPr>
        <w:rFonts w:ascii="Arial" w:eastAsia="Monotype Sorts" w:hAnsi="Arial"/>
        <w:b/>
        <w:i w:val="0"/>
        <w:sz w:val="13"/>
      </w:rPr>
    </w:tblStylePr>
  </w:style>
  <w:style w:type="paragraph" w:customStyle="1" w:styleId="23">
    <w:name w:val="正文2黑"/>
    <w:basedOn w:val="a0"/>
    <w:next w:val="a"/>
    <w:rsid w:val="00F91C7C"/>
    <w:rPr>
      <w:b/>
    </w:rPr>
  </w:style>
  <w:style w:type="character" w:styleId="af3">
    <w:name w:val="annotation reference"/>
    <w:rsid w:val="00F91C7C"/>
    <w:rPr>
      <w:sz w:val="21"/>
      <w:szCs w:val="21"/>
    </w:rPr>
  </w:style>
  <w:style w:type="paragraph" w:styleId="af4">
    <w:name w:val="annotation text"/>
    <w:basedOn w:val="a"/>
    <w:link w:val="Char4"/>
    <w:rsid w:val="00F91C7C"/>
    <w:pPr>
      <w:jc w:val="left"/>
    </w:pPr>
  </w:style>
  <w:style w:type="character" w:customStyle="1" w:styleId="Char4">
    <w:name w:val="批注文字 Char"/>
    <w:basedOn w:val="a1"/>
    <w:link w:val="af4"/>
    <w:rsid w:val="00F91C7C"/>
    <w:rPr>
      <w:rFonts w:ascii="Arial" w:eastAsia="楷体_GB2312" w:hAnsi="Arial"/>
      <w:kern w:val="2"/>
      <w:sz w:val="18"/>
      <w:szCs w:val="22"/>
    </w:rPr>
  </w:style>
  <w:style w:type="paragraph" w:styleId="af5">
    <w:name w:val="annotation subject"/>
    <w:basedOn w:val="af4"/>
    <w:next w:val="af4"/>
    <w:link w:val="Char5"/>
    <w:rsid w:val="00F91C7C"/>
    <w:rPr>
      <w:b/>
      <w:bCs/>
    </w:rPr>
  </w:style>
  <w:style w:type="character" w:customStyle="1" w:styleId="Char5">
    <w:name w:val="批注主题 Char"/>
    <w:basedOn w:val="Char4"/>
    <w:link w:val="af5"/>
    <w:rsid w:val="00F91C7C"/>
    <w:rPr>
      <w:rFonts w:ascii="Arial" w:eastAsia="楷体_GB2312" w:hAnsi="Arial"/>
      <w:b/>
      <w:bCs/>
      <w:kern w:val="2"/>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0">
    <w:name w:val="GJStylesSummaryContentMark"/>
    <w:pPr>
      <w:numPr>
        <w:numId w:val="11"/>
      </w:numPr>
    </w:pPr>
  </w:style>
  <w:style w:type="numbering" w:customStyle="1" w:styleId="Contact">
    <w:name w:val="GJStylesContentMarkWide"/>
    <w:pPr>
      <w:numPr>
        <w:numId w:val="6"/>
      </w:numPr>
    </w:pPr>
  </w:style>
  <w:style w:type="numbering" w:customStyle="1" w:styleId="a4">
    <w:name w:val="GJStylesContentMark"/>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3277">
      <w:bodyDiv w:val="1"/>
      <w:marLeft w:val="0"/>
      <w:marRight w:val="0"/>
      <w:marTop w:val="0"/>
      <w:marBottom w:val="0"/>
      <w:divBdr>
        <w:top w:val="none" w:sz="0" w:space="0" w:color="auto"/>
        <w:left w:val="none" w:sz="0" w:space="0" w:color="auto"/>
        <w:bottom w:val="none" w:sz="0" w:space="0" w:color="auto"/>
        <w:right w:val="none" w:sz="0" w:space="0" w:color="auto"/>
      </w:divBdr>
    </w:div>
    <w:div w:id="581329855">
      <w:bodyDiv w:val="1"/>
      <w:marLeft w:val="0"/>
      <w:marRight w:val="0"/>
      <w:marTop w:val="0"/>
      <w:marBottom w:val="0"/>
      <w:divBdr>
        <w:top w:val="none" w:sz="0" w:space="0" w:color="auto"/>
        <w:left w:val="none" w:sz="0" w:space="0" w:color="auto"/>
        <w:bottom w:val="none" w:sz="0" w:space="0" w:color="auto"/>
        <w:right w:val="none" w:sz="0" w:space="0" w:color="auto"/>
      </w:divBdr>
    </w:div>
    <w:div w:id="648286397">
      <w:bodyDiv w:val="1"/>
      <w:marLeft w:val="0"/>
      <w:marRight w:val="0"/>
      <w:marTop w:val="0"/>
      <w:marBottom w:val="0"/>
      <w:divBdr>
        <w:top w:val="none" w:sz="0" w:space="0" w:color="auto"/>
        <w:left w:val="none" w:sz="0" w:space="0" w:color="auto"/>
        <w:bottom w:val="none" w:sz="0" w:space="0" w:color="auto"/>
        <w:right w:val="none" w:sz="0" w:space="0" w:color="auto"/>
      </w:divBdr>
    </w:div>
    <w:div w:id="755635942">
      <w:bodyDiv w:val="1"/>
      <w:marLeft w:val="0"/>
      <w:marRight w:val="0"/>
      <w:marTop w:val="0"/>
      <w:marBottom w:val="0"/>
      <w:divBdr>
        <w:top w:val="none" w:sz="0" w:space="0" w:color="auto"/>
        <w:left w:val="none" w:sz="0" w:space="0" w:color="auto"/>
        <w:bottom w:val="none" w:sz="0" w:space="0" w:color="auto"/>
        <w:right w:val="none" w:sz="0" w:space="0" w:color="auto"/>
      </w:divBdr>
    </w:div>
    <w:div w:id="1359699705">
      <w:bodyDiv w:val="1"/>
      <w:marLeft w:val="0"/>
      <w:marRight w:val="0"/>
      <w:marTop w:val="0"/>
      <w:marBottom w:val="0"/>
      <w:divBdr>
        <w:top w:val="none" w:sz="0" w:space="0" w:color="auto"/>
        <w:left w:val="none" w:sz="0" w:space="0" w:color="auto"/>
        <w:bottom w:val="none" w:sz="0" w:space="0" w:color="auto"/>
        <w:right w:val="none" w:sz="0" w:space="0" w:color="auto"/>
      </w:divBdr>
    </w:div>
    <w:div w:id="1394278545">
      <w:bodyDiv w:val="1"/>
      <w:marLeft w:val="0"/>
      <w:marRight w:val="0"/>
      <w:marTop w:val="0"/>
      <w:marBottom w:val="0"/>
      <w:divBdr>
        <w:top w:val="none" w:sz="0" w:space="0" w:color="auto"/>
        <w:left w:val="none" w:sz="0" w:space="0" w:color="auto"/>
        <w:bottom w:val="none" w:sz="0" w:space="0" w:color="auto"/>
        <w:right w:val="none" w:sz="0" w:space="0" w:color="auto"/>
      </w:divBdr>
    </w:div>
    <w:div w:id="1473861174">
      <w:bodyDiv w:val="1"/>
      <w:marLeft w:val="0"/>
      <w:marRight w:val="0"/>
      <w:marTop w:val="0"/>
      <w:marBottom w:val="0"/>
      <w:divBdr>
        <w:top w:val="none" w:sz="0" w:space="0" w:color="auto"/>
        <w:left w:val="none" w:sz="0" w:space="0" w:color="auto"/>
        <w:bottom w:val="none" w:sz="0" w:space="0" w:color="auto"/>
        <w:right w:val="none" w:sz="0" w:space="0" w:color="auto"/>
      </w:divBdr>
    </w:div>
    <w:div w:id="1728065462">
      <w:bodyDiv w:val="1"/>
      <w:marLeft w:val="0"/>
      <w:marRight w:val="0"/>
      <w:marTop w:val="0"/>
      <w:marBottom w:val="0"/>
      <w:divBdr>
        <w:top w:val="none" w:sz="0" w:space="0" w:color="auto"/>
        <w:left w:val="none" w:sz="0" w:space="0" w:color="auto"/>
        <w:bottom w:val="none" w:sz="0" w:space="0" w:color="auto"/>
        <w:right w:val="none" w:sz="0" w:space="0" w:color="auto"/>
      </w:divBdr>
    </w:div>
    <w:div w:id="1746341973">
      <w:bodyDiv w:val="1"/>
      <w:marLeft w:val="0"/>
      <w:marRight w:val="0"/>
      <w:marTop w:val="0"/>
      <w:marBottom w:val="0"/>
      <w:divBdr>
        <w:top w:val="none" w:sz="0" w:space="0" w:color="auto"/>
        <w:left w:val="none" w:sz="0" w:space="0" w:color="auto"/>
        <w:bottom w:val="none" w:sz="0" w:space="0" w:color="auto"/>
        <w:right w:val="none" w:sz="0" w:space="0" w:color="auto"/>
      </w:divBdr>
    </w:div>
    <w:div w:id="192055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igData\&#22269;&#37329;Word&#25554;&#20214;\config\Word\RptTemplate\&#19987;&#39064;&#25253;&#21578;&#19975;&#33021;&#2925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35A2625527C4CFA9637CF01FCF9B3C6"/>
        <w:category>
          <w:name w:val="常规"/>
          <w:gallery w:val="placeholder"/>
        </w:category>
        <w:types>
          <w:type w:val="bbPlcHdr"/>
        </w:types>
        <w:behaviors>
          <w:behavior w:val="content"/>
        </w:behaviors>
        <w:guid w:val="{1CC32C9B-DB3B-41BB-9B7C-E49D33E2C0AF}"/>
      </w:docPartPr>
      <w:docPartBody>
        <w:p w:rsidR="009B46E6" w:rsidRDefault="00703203">
          <w:pPr>
            <w:pStyle w:val="E35A2625527C4CFA9637CF01FCF9B3C6"/>
          </w:pPr>
          <w:r w:rsidRPr="001C4667">
            <w:rPr>
              <w:rStyle w:val="a3"/>
              <w:rFonts w:hint="eastAsia"/>
            </w:rPr>
            <w:t>单击此处输入文字。</w:t>
          </w:r>
        </w:p>
      </w:docPartBody>
    </w:docPart>
    <w:docPart>
      <w:docPartPr>
        <w:name w:val="EC6877187B6A4069AAA2AD4647EAF598"/>
        <w:category>
          <w:name w:val="常规"/>
          <w:gallery w:val="placeholder"/>
        </w:category>
        <w:types>
          <w:type w:val="bbPlcHdr"/>
        </w:types>
        <w:behaviors>
          <w:behavior w:val="content"/>
        </w:behaviors>
        <w:guid w:val="{7C65506D-C1CF-4BB5-BA34-81E514EFA86A}"/>
      </w:docPartPr>
      <w:docPartBody>
        <w:p w:rsidR="009B46E6" w:rsidRDefault="00703203">
          <w:pPr>
            <w:pStyle w:val="EC6877187B6A4069AAA2AD4647EAF598"/>
          </w:pPr>
          <w:r w:rsidRPr="004F02EC">
            <w:rPr>
              <w:rStyle w:val="a3"/>
              <w:rFonts w:hint="eastAsia"/>
            </w:rPr>
            <w:t>单击此处输入文字。</w:t>
          </w:r>
        </w:p>
      </w:docPartBody>
    </w:docPart>
    <w:docPart>
      <w:docPartPr>
        <w:name w:val="E64AD23FF76C478EBE5E646BF2579C9B"/>
        <w:category>
          <w:name w:val="常规"/>
          <w:gallery w:val="placeholder"/>
        </w:category>
        <w:types>
          <w:type w:val="bbPlcHdr"/>
        </w:types>
        <w:behaviors>
          <w:behavior w:val="content"/>
        </w:behaviors>
        <w:guid w:val="{A0DD4F68-C637-487D-BDF8-1A387D82FD87}"/>
      </w:docPartPr>
      <w:docPartBody>
        <w:p w:rsidR="00FD3E44" w:rsidRDefault="005E05EE">
          <w:r w:rsidRPr="00704606">
            <w:rPr>
              <w:rStyle w:val="a3"/>
              <w:rFonts w:hint="eastAsia"/>
            </w:rPr>
            <w:t>报告类型</w:t>
          </w:r>
        </w:p>
      </w:docPartBody>
    </w:docPart>
    <w:docPart>
      <w:docPartPr>
        <w:name w:val="9C229A2CBF2A4D5397B941BBEBDD433B"/>
        <w:category>
          <w:name w:val="常规"/>
          <w:gallery w:val="placeholder"/>
        </w:category>
        <w:types>
          <w:type w:val="bbPlcHdr"/>
        </w:types>
        <w:behaviors>
          <w:behavior w:val="content"/>
        </w:behaviors>
        <w:guid w:val="{DCA62E4C-7726-4929-8C5B-2AE0CA130FA6}"/>
      </w:docPartPr>
      <w:docPartBody>
        <w:p w:rsidR="00FD3E44" w:rsidRDefault="005E05EE">
          <w:r w:rsidRPr="00704606">
            <w:rPr>
              <w:rStyle w:val="a3"/>
              <w:rFonts w:hint="eastAsia"/>
            </w:rPr>
            <w:t>报告日期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48EC"/>
    <w:rsid w:val="00002863"/>
    <w:rsid w:val="0000703B"/>
    <w:rsid w:val="000A3377"/>
    <w:rsid w:val="000D76CB"/>
    <w:rsid w:val="00117F2B"/>
    <w:rsid w:val="0016087A"/>
    <w:rsid w:val="00272128"/>
    <w:rsid w:val="002A5225"/>
    <w:rsid w:val="00324ACC"/>
    <w:rsid w:val="004930D5"/>
    <w:rsid w:val="004C0D5A"/>
    <w:rsid w:val="004E2C28"/>
    <w:rsid w:val="00551B08"/>
    <w:rsid w:val="005E05EE"/>
    <w:rsid w:val="00636518"/>
    <w:rsid w:val="006644E2"/>
    <w:rsid w:val="00703203"/>
    <w:rsid w:val="00725219"/>
    <w:rsid w:val="007803C7"/>
    <w:rsid w:val="00801498"/>
    <w:rsid w:val="00963777"/>
    <w:rsid w:val="009B46E6"/>
    <w:rsid w:val="009B6C94"/>
    <w:rsid w:val="00A26BFD"/>
    <w:rsid w:val="00A561FE"/>
    <w:rsid w:val="00B713EB"/>
    <w:rsid w:val="00B771A0"/>
    <w:rsid w:val="00C5405B"/>
    <w:rsid w:val="00CF342E"/>
    <w:rsid w:val="00D15593"/>
    <w:rsid w:val="00D17C7E"/>
    <w:rsid w:val="00DA5BF9"/>
    <w:rsid w:val="00DF4964"/>
    <w:rsid w:val="00E848EC"/>
    <w:rsid w:val="00F20E8E"/>
    <w:rsid w:val="00F61E70"/>
    <w:rsid w:val="00FD3E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B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E05EE"/>
    <w:rPr>
      <w:color w:val="808080"/>
    </w:rPr>
  </w:style>
  <w:style w:type="paragraph" w:customStyle="1" w:styleId="E35A2625527C4CFA9637CF01FCF9B3C6">
    <w:name w:val="E35A2625527C4CFA9637CF01FCF9B3C6"/>
    <w:rsid w:val="00A26BFD"/>
    <w:pPr>
      <w:widowControl w:val="0"/>
      <w:jc w:val="both"/>
    </w:pPr>
  </w:style>
  <w:style w:type="paragraph" w:customStyle="1" w:styleId="EC6877187B6A4069AAA2AD4647EAF598">
    <w:name w:val="EC6877187B6A4069AAA2AD4647EAF598"/>
    <w:rsid w:val="00A26BF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62E58-4290-49B4-94BF-2C97E56A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专题报告万能版.dotx</Template>
  <TotalTime>1108</TotalTime>
  <Pages>1</Pages>
  <Words>6050</Words>
  <Characters>34485</Characters>
  <Application>Microsoft Office Word</Application>
  <DocSecurity>0</DocSecurity>
  <Lines>287</Lines>
  <Paragraphs>80</Paragraphs>
  <ScaleCrop>false</ScaleCrop>
  <Company/>
  <LinksUpToDate>false</LinksUpToDate>
  <CharactersWithSpaces>40455</CharactersWithSpaces>
  <SharedDoc>false</SharedDoc>
  <HLinks>
    <vt:vector size="60" baseType="variant">
      <vt:variant>
        <vt:i4>1179710</vt:i4>
      </vt:variant>
      <vt:variant>
        <vt:i4>59</vt:i4>
      </vt:variant>
      <vt:variant>
        <vt:i4>0</vt:i4>
      </vt:variant>
      <vt:variant>
        <vt:i4>5</vt:i4>
      </vt:variant>
      <vt:variant>
        <vt:lpwstr/>
      </vt:variant>
      <vt:variant>
        <vt:lpwstr>_Toc240795531</vt:lpwstr>
      </vt:variant>
      <vt:variant>
        <vt:i4>2031673</vt:i4>
      </vt:variant>
      <vt:variant>
        <vt:i4>50</vt:i4>
      </vt:variant>
      <vt:variant>
        <vt:i4>0</vt:i4>
      </vt:variant>
      <vt:variant>
        <vt:i4>5</vt:i4>
      </vt:variant>
      <vt:variant>
        <vt:lpwstr/>
      </vt:variant>
      <vt:variant>
        <vt:lpwstr>_Toc239840639</vt:lpwstr>
      </vt:variant>
      <vt:variant>
        <vt:i4>2031673</vt:i4>
      </vt:variant>
      <vt:variant>
        <vt:i4>44</vt:i4>
      </vt:variant>
      <vt:variant>
        <vt:i4>0</vt:i4>
      </vt:variant>
      <vt:variant>
        <vt:i4>5</vt:i4>
      </vt:variant>
      <vt:variant>
        <vt:lpwstr/>
      </vt:variant>
      <vt:variant>
        <vt:lpwstr>_Toc239840638</vt:lpwstr>
      </vt:variant>
      <vt:variant>
        <vt:i4>2031673</vt:i4>
      </vt:variant>
      <vt:variant>
        <vt:i4>38</vt:i4>
      </vt:variant>
      <vt:variant>
        <vt:i4>0</vt:i4>
      </vt:variant>
      <vt:variant>
        <vt:i4>5</vt:i4>
      </vt:variant>
      <vt:variant>
        <vt:lpwstr/>
      </vt:variant>
      <vt:variant>
        <vt:lpwstr>_Toc239840637</vt:lpwstr>
      </vt:variant>
      <vt:variant>
        <vt:i4>2031673</vt:i4>
      </vt:variant>
      <vt:variant>
        <vt:i4>32</vt:i4>
      </vt:variant>
      <vt:variant>
        <vt:i4>0</vt:i4>
      </vt:variant>
      <vt:variant>
        <vt:i4>5</vt:i4>
      </vt:variant>
      <vt:variant>
        <vt:lpwstr/>
      </vt:variant>
      <vt:variant>
        <vt:lpwstr>_Toc239840636</vt:lpwstr>
      </vt:variant>
      <vt:variant>
        <vt:i4>2031673</vt:i4>
      </vt:variant>
      <vt:variant>
        <vt:i4>26</vt:i4>
      </vt:variant>
      <vt:variant>
        <vt:i4>0</vt:i4>
      </vt:variant>
      <vt:variant>
        <vt:i4>5</vt:i4>
      </vt:variant>
      <vt:variant>
        <vt:lpwstr/>
      </vt:variant>
      <vt:variant>
        <vt:lpwstr>_Toc239840635</vt:lpwstr>
      </vt:variant>
      <vt:variant>
        <vt:i4>2031673</vt:i4>
      </vt:variant>
      <vt:variant>
        <vt:i4>20</vt:i4>
      </vt:variant>
      <vt:variant>
        <vt:i4>0</vt:i4>
      </vt:variant>
      <vt:variant>
        <vt:i4>5</vt:i4>
      </vt:variant>
      <vt:variant>
        <vt:lpwstr/>
      </vt:variant>
      <vt:variant>
        <vt:lpwstr>_Toc239840634</vt:lpwstr>
      </vt:variant>
      <vt:variant>
        <vt:i4>2031673</vt:i4>
      </vt:variant>
      <vt:variant>
        <vt:i4>14</vt:i4>
      </vt:variant>
      <vt:variant>
        <vt:i4>0</vt:i4>
      </vt:variant>
      <vt:variant>
        <vt:i4>5</vt:i4>
      </vt:variant>
      <vt:variant>
        <vt:lpwstr/>
      </vt:variant>
      <vt:variant>
        <vt:lpwstr>_Toc239840633</vt:lpwstr>
      </vt:variant>
      <vt:variant>
        <vt:i4>2031673</vt:i4>
      </vt:variant>
      <vt:variant>
        <vt:i4>8</vt:i4>
      </vt:variant>
      <vt:variant>
        <vt:i4>0</vt:i4>
      </vt:variant>
      <vt:variant>
        <vt:i4>5</vt:i4>
      </vt:variant>
      <vt:variant>
        <vt:lpwstr/>
      </vt:variant>
      <vt:variant>
        <vt:lpwstr>_Toc239840632</vt:lpwstr>
      </vt:variant>
      <vt:variant>
        <vt:i4>2031673</vt:i4>
      </vt:variant>
      <vt:variant>
        <vt:i4>2</vt:i4>
      </vt:variant>
      <vt:variant>
        <vt:i4>0</vt:i4>
      </vt:variant>
      <vt:variant>
        <vt:i4>5</vt:i4>
      </vt:variant>
      <vt:variant>
        <vt:lpwstr/>
      </vt:variant>
      <vt:variant>
        <vt:lpwstr>_Toc239840631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公司研究</dc:title>
  <dc:subject>公司研究</dc:subject>
  <dc:creator>gjzq</dc:creator>
  <cp:keywords>模板</cp:keywords>
  <dc:description/>
  <cp:lastModifiedBy>翁倩岚</cp:lastModifiedBy>
  <cp:revision>18</cp:revision>
  <cp:lastPrinted>2014-10-10T02:53:00Z</cp:lastPrinted>
  <dcterms:created xsi:type="dcterms:W3CDTF">2015-03-04T05:59:00Z</dcterms:created>
  <dcterms:modified xsi:type="dcterms:W3CDTF">2015-07-17T06:39:00Z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DCONTENTCONTROL_7592d0e5-15bb-4c61-826b-158ffdefbf84">
    <vt:lpwstr>GetData?Formula=PVBBUigiUmVwb3J0RGF0ZSIp&amp;FunctionName=PAR&amp;ContentType=TEXT&amp;Caption=报告日期&amp;DatasourceType=PAR&amp;StyleId=&amp;Other=yyyy年MM月dd日&amp;IsOnlyRefresh=False</vt:lpwstr>
  </property>
  <property fmtid="{D5CDD505-2E9C-101B-9397-08002B2CF9AE}" pid="3" name="BDCONTENTCONTROL_5c179c93-3177-4ab7-ae62-1dc3677fa3d8">
    <vt:lpwstr>GetData?Formula=PVBBUigiUmVwb3J0RGF0ZSIp&amp;FunctionName=PAR&amp;ContentType=TEXT&amp;Caption=报告日期&amp;DatasourceType=PAR&amp;StyleId=&amp;Other=yyyy年MM月dd日&amp;IsOnlyRefresh=False</vt:lpwstr>
  </property>
  <property fmtid="{D5CDD505-2E9C-101B-9397-08002B2CF9AE}" pid="4" name="BDCONTENTCONTROL_041a4771-0be9-4b94-b712-4a498ce28cf4">
    <vt:lpwstr>GetData?Formula=PVBBUigiQ29tUmFuayIp&amp;FunctionName=PAR&amp;ContentType=TEXT&amp;Caption=投资评级&amp;DatasourceType=PAR&amp;StyleId=&amp;Other=&amp;IsOnlyRefresh=False</vt:lpwstr>
  </property>
  <property fmtid="{D5CDD505-2E9C-101B-9397-08002B2CF9AE}" pid="5" name="BDCONTENTCONTROL_1bc0465d-2dae-4eb8-b81d-d7fb89f80052">
    <vt:lpwstr>GetData?Formula=PVBBUigiUmFua0FqdXN0Iik=&amp;FunctionName=PAR&amp;ContentType=TEXT&amp;Caption=评级变动&amp;DatasourceType=PAR&amp;StyleId=&amp;Other=&amp;IsOnlyRefresh=False</vt:lpwstr>
  </property>
  <property fmtid="{D5CDD505-2E9C-101B-9397-08002B2CF9AE}" pid="6" name="BDCONTENTCONTROL_2602561a-fc2b-4adc-befd-22fa63ba88c6">
    <vt:lpwstr>GetData?Formula=PURJWSgiUG9zdFNlcnZpY2UuYXNweD9TZXJ2aWNlPVN1YmplY3REYXRhU2VydmljZS5HZXRzJkZ1bmN0aW9uPUdldHNTZXJ2aWNlJkZMQUc9MSZPQkpfVldfSUQ9MTMwMDAwMDEiKQ==&amp;FunctionName=DIY&amp;ContentType=TABLE&amp;Caption=末页联系地址&amp;DatasourceType=DIYTable&amp;StyleId=0&amp;Other=13000001</vt:lpwstr>
  </property>
  <property fmtid="{D5CDD505-2E9C-101B-9397-08002B2CF9AE}" pid="7" name="BDCONTENTCONTROL_2602561a-fc2b-4adc-befd-22fa63ba88c6#2">
    <vt:lpwstr>&amp;IsOnlyRefresh=True&amp;StartRow=1&amp;RemainRows=2</vt:lpwstr>
  </property>
  <property fmtid="{D5CDD505-2E9C-101B-9397-08002B2CF9AE}" pid="8" name="BDCONTENTCONTROL_3add0a4e-8415-463a-afb4-ccd2e0c28ff9">
    <vt:lpwstr>GetData?Formula=PURJWSgiUG9zdFNlcnZpY2UuYXNweD9TZXJ2aWNlPVN1YmplY3REYXRhU2VydmljZS5HZXRzJkZ1bmN0aW9uPUdldHNTZXJ2aWNlJkZMQUc9MSZPQkpfVldfSUQ9MTMwMDAwMDUmQkRfQ09ERT0nNjAwMDI4JyZSZXBvcnREYXRlPScyMDA3JTJGNyUyRjExJTIwMCUzQTAwJTNBMDAnJm9yZGVyPSU3QiUyMkElMjIlM0E</vt:lpwstr>
  </property>
  <property fmtid="{D5CDD505-2E9C-101B-9397-08002B2CF9AE}" pid="9" name="BDCONTENTCONTROL_3add0a4e-8415-463a-afb4-ccd2e0c28ff9#2">
    <vt:lpwstr>wJTdEIik=&amp;FunctionName=DIY&amp;ContentType=TABLE&amp;Caption=报告评级比率分析&amp;DatasourceType=DIYTable&amp;StyleId=0&amp;Other=13000005&amp;IsOnlyRefresh=False</vt:lpwstr>
  </property>
  <property fmtid="{D5CDD505-2E9C-101B-9397-08002B2CF9AE}" pid="10" name="BDCONTENTCONTROL_a8d4360b-f486-4c10-adb5-ce3260e60d2a">
    <vt:lpwstr>GetData?Formula=PURJWSgiUG9zdFNlcnZpY2UuYXNweD9TZXJ2aWNlPVN1YmplY3REYXRhU2VydmljZS5HZXRzJkZ1bmN0aW9uPUdldHNTZXJ2aWNlJkZMQUc9MSZPQkpfVldfSUQ9MTMwMDAwMDUmQkRfQ09ERT0nNjAwMDI4JyZSZXBvcnREYXRlPScyMDE0LTktMjYnJm9yZGVyPSU3QiUyMkElMjIlM0EwJTdEIik=&amp;FunctionName=D</vt:lpwstr>
  </property>
  <property fmtid="{D5CDD505-2E9C-101B-9397-08002B2CF9AE}" pid="11" name="BDCONTENTCONTROL_a8d4360b-f486-4c10-adb5-ce3260e60d2a#2">
    <vt:lpwstr>IY&amp;ContentType=TABLE&amp;Caption=报告评级比率分析&amp;DatasourceType=DIYTable&amp;StyleId=0&amp;Other=13000005&amp;IsOnlyRefresh=False</vt:lpwstr>
  </property>
  <property fmtid="{D5CDD505-2E9C-101B-9397-08002B2CF9AE}" pid="12" name="BDCONTENTCONTROL_836ae175-361a-4de8-98eb-6e727a235a8c">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3" name="BDCONTENTCONTROL_836ae175-361a-4de8-98eb-6e727a235a8c#2">
    <vt:lpwstr>IY&amp;ContentType=TABLE&amp;Caption=报告评级比率分析&amp;DatasourceType=DIYTable&amp;StyleId=0&amp;Other=13000005&amp;IsOnlyRefresh=False</vt:lpwstr>
  </property>
  <property fmtid="{D5CDD505-2E9C-101B-9397-08002B2CF9AE}" pid="14" name="BDCONTENTCONTROL_fa65df0e-cad1-46fd-8d9a-66943b5311b5">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5" name="BDCONTENTCONTROL_fa65df0e-cad1-46fd-8d9a-66943b5311b5#2">
    <vt:lpwstr>IY&amp;ContentType=TABLE&amp;Caption=报告评级比率分析&amp;DatasourceType=DIYTable&amp;StyleId=0&amp;Other=13000005&amp;IsOnlyRefresh=False</vt:lpwstr>
  </property>
  <property fmtid="{D5CDD505-2E9C-101B-9397-08002B2CF9AE}" pid="16" name="BDCONTENTCONTROL_9b7c2d7f-a274-48a5-ade1-684fed3c8341">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7" name="BDCONTENTCONTROL_9b7c2d7f-a274-48a5-ade1-684fed3c8341#2">
    <vt:lpwstr>IY&amp;ContentType=TABLE&amp;Caption=报告评级比率分析&amp;DatasourceType=DIYTable&amp;StyleId=0&amp;Other=13000005&amp;IsOnlyRefresh=False</vt:lpwstr>
  </property>
  <property fmtid="{D5CDD505-2E9C-101B-9397-08002B2CF9AE}" pid="18" name="BDCONTENTCONTROL_6c067a8c-6d03-438e-9514-ba2fec9aa546#2">
    <vt:lpwstr>iKQ==&amp;FunctionName=DIY&amp;ContentType=TABLE&amp;Caption=报告评级比率分析&amp;DatasourceType=DIYTable&amp;StyleId=0&amp;Other=13000005&amp;IsOnlyRefresh=True&amp;StartRow=1&amp;RemainRows=6</vt:lpwstr>
  </property>
  <property fmtid="{D5CDD505-2E9C-101B-9397-08002B2CF9AE}" pid="19" name="RankAjust_Value">
    <vt:lpwstr>1</vt:lpwstr>
  </property>
  <property fmtid="{D5CDD505-2E9C-101B-9397-08002B2CF9AE}" pid="20" name="RankAjust_DisplayName">
    <vt:lpwstr>首次评级</vt:lpwstr>
  </property>
  <property fmtid="{D5CDD505-2E9C-101B-9397-08002B2CF9AE}" pid="21" name="BDCONTENTCONTROL_90a28eaf-840e-4104-995f-66ef522ba654">
    <vt:lpwstr>GetData?Formula=PVBBUigiQWltUHJpY2VIaWdoIik=&amp;FunctionName=PAR&amp;ContentType=TEXT&amp;Caption=目标价上限&amp;DatasourceType=PAR&amp;StyleId=&amp;Other=&amp;IsOnlyRefresh=False&amp;IsDataSubmission=</vt:lpwstr>
  </property>
  <property fmtid="{D5CDD505-2E9C-101B-9397-08002B2CF9AE}" pid="22" name="BDCONTENTCONTROL_33fd6f44-455f-4b93-8c76-ff7ef6f5596b">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3" name="BDCONTENTCONTROL_33fd6f44-455f-4b93-8c76-ff7ef6f5596b#2">
    <vt:lpwstr>荐和股价走势图&amp;DatasourceType=DIYChart&amp;StyleId=45&amp;Other={"ID":45,"IsTile":false,"Title":null,"Height":2.0,"Width":3.0,"TemplateName":null,"StyleName":null,"IsExpand":false,"IsCustom":false,"IsMainMinValue":false,"IsSecMinValue":false,"IsDataLabel":false,"IsRefre</vt:lpwstr>
  </property>
  <property fmtid="{D5CDD505-2E9C-101B-9397-08002B2CF9AE}" pid="24" name="BDCONTENTCONTROL_33fd6f44-455f-4b93-8c76-ff7ef6f5596b#3">
    <vt:lpwstr>shTemplate":false,"CustomKey":null,"ObjViewID":"13000008"}&amp;IsOnlyRefresh=False&amp;IsDataSubmission=&amp;ContentColor=</vt:lpwstr>
  </property>
  <property fmtid="{D5CDD505-2E9C-101B-9397-08002B2CF9AE}" pid="25" name="BDCONTENTCONTROL_ce083c24-69a8-4a3c-be7d-5984dfcd714f">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6" name="BDCONTENTCONTROL_ce083c24-69a8-4a3c-be7d-5984dfcd714f#2">
    <vt:lpwstr>荐和股价走势图&amp;DatasourceType=DIYChart&amp;StyleId=45&amp;Other={"ID":45,"IsTile":false,"Title":null,"Height":2.3,"Width":3.0,"TemplateName":null,"StyleName":null,"IsExpand":false,"IsCustom":false,"IsMainMinValue":false,"IsSecMinValue":false,"IsDataLabel":false,"IsRefre</vt:lpwstr>
  </property>
  <property fmtid="{D5CDD505-2E9C-101B-9397-08002B2CF9AE}" pid="27" name="BDCONTENTCONTROL_ce083c24-69a8-4a3c-be7d-5984dfcd714f#3">
    <vt:lpwstr>shTemplate":false,"CustomKey":null,"ObjViewID":"13000008"}&amp;IsOnlyRefresh=False&amp;IsDataSubmission=&amp;ContentColor=</vt:lpwstr>
  </property>
  <property fmtid="{D5CDD505-2E9C-101B-9397-08002B2CF9AE}" pid="28" name="BDCONTENTCONTROL_0694d7ec-429e-443a-8333-6c91828fed93">
    <vt:lpwstr>GetData?Formula=PURJWSgiUG9zdFNlcnZpY2UuYXNweD9TZXJ2aWNlPVN1YmplY3REYXRhU2VydmljZS5HZXRzJkZ1bmN0aW9uPUdldHNTZXJ2aWNlJkZMQUc9MSZPQkpfVldfSUQ9MTMwMDAwMjcmVGl0bGU9JyR7QkRDT05URU5UQ09OVFJPTF9BVVRPX1NBVkVfVGl0bGV9JyZSZXBvcnREYXRlPScke1JlcG9ydERhdGVfVmFsdWV9JyI</vt:lpwstr>
  </property>
  <property fmtid="{D5CDD505-2E9C-101B-9397-08002B2CF9AE}" pid="29" name="BDCONTENTCONTROL_0694d7ec-429e-443a-8333-6c91828fed93#2">
    <vt:lpwstr>p&amp;FunctionName=DIY&amp;ContentType=TABLE&amp;Caption=专题相关报告万能版&amp;DatasourceType=DIYTable&amp;StyleId=0&amp;Other=13000027&amp;IsOnlyRefresh=True&amp;StartRow=0&amp;RemainRows=5&amp;IsDataSubmission=&amp;ContentColor=&amp;HiddenCondition=&amp;Filter=</vt:lpwstr>
  </property>
  <property fmtid="{D5CDD505-2E9C-101B-9397-08002B2CF9AE}" pid="30" name="BDCONTENTCONTROL_84bd61de-94b7-4c7c-8f81-60dfebe1887e">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1" name="BDCONTENTCONTROL_AUTO_SAVE_Title&#10;_DisplayName">
    <vt:lpwstr>XX专题分析报告</vt:lpwstr>
  </property>
  <property fmtid="{D5CDD505-2E9C-101B-9397-08002B2CF9AE}" pid="32" name="BDCONTENTCONTROL_3df14c52-472a-44c1-9e63-51d70c06bfcd">
    <vt:lpwstr>GetData?Formula=PURJWSgiUG9zdFNlcnZpY2UuYXNweD9TZXJ2aWNlPVN1YmplY3REYXRhU2VydmljZS5HZXRzJkZ1bmN0aW9uPUdldHNTZXJ2aWNlJkZMQUc9MSZPQkpfVldfSUQ9MTMwMDAwMDQmVVNFUklEPScke1N0YWZmSURfVmFsdWV9JyIp&amp;FunctionName=DIY&amp;ContentType=TABLE&amp;Caption=作者展示&amp;DatasourceType=DIY</vt:lpwstr>
  </property>
  <property fmtid="{D5CDD505-2E9C-101B-9397-08002B2CF9AE}" pid="33" name="BDCONTENTCONTROL_3df14c52-472a-44c1-9e63-51d70c06bfcd#2">
    <vt:lpwstr>Table&amp;StyleId=44&amp;Other=13000004&amp;IsOnlyRefresh=True&amp;StartRow=1&amp;RemainRows=1&amp;IsDataSubmission=&amp;ContentColor=&amp;HiddenCondition=&amp;Filter=</vt:lpwstr>
  </property>
  <property fmtid="{D5CDD505-2E9C-101B-9397-08002B2CF9AE}" pid="34" name="BDCONTENTCONTROL_451e08ee-3959-4251-8d5f-f302d5f0f153">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5" name="BDCONTENTCONTROL_AUTO_SAVE_Title_DisplayName">
    <vt:lpwstr>XX专题分析报告</vt:lpwstr>
  </property>
  <property fmtid="{D5CDD505-2E9C-101B-9397-08002B2CF9AE}" pid="36" name="docSaved">
    <vt:lpwstr>true</vt:lpwstr>
  </property>
  <property fmtid="{D5CDD505-2E9C-101B-9397-08002B2CF9AE}" pid="37" name="TemplateID">
    <vt:lpwstr> </vt:lpwstr>
  </property>
  <property fmtid="{D5CDD505-2E9C-101B-9397-08002B2CF9AE}" pid="38" name="BD_Doc_Temp_ID">
    <vt:lpwstr>92afa947-fd35-42b9-9c47-f09f07f124f5</vt:lpwstr>
  </property>
  <property fmtid="{D5CDD505-2E9C-101B-9397-08002B2CF9AE}" pid="39" name="ReportType1_Value">
    <vt:lpwstr>ff80808147862c3b01478670a20a0378</vt:lpwstr>
  </property>
  <property fmtid="{D5CDD505-2E9C-101B-9397-08002B2CF9AE}" pid="40" name="ReportType1_DisplayName">
    <vt:lpwstr>投连险行业季报</vt:lpwstr>
  </property>
  <property fmtid="{D5CDD505-2E9C-101B-9397-08002B2CF9AE}" pid="41" name="ReportDate_Value">
    <vt:lpwstr>2015-07-09</vt:lpwstr>
  </property>
  <property fmtid="{D5CDD505-2E9C-101B-9397-08002B2CF9AE}" pid="42" name="ReportDate_DisplayName">
    <vt:lpwstr>2015年07月09日</vt:lpwstr>
  </property>
  <property fmtid="{D5CDD505-2E9C-101B-9397-08002B2CF9AE}" pid="43" name="StaffID_Value">
    <vt:lpwstr>FF00C761D27A7BA0E0430100007FAB3A,FF00C761D2557BA0E0430100007FAB3A;</vt:lpwstr>
  </property>
  <property fmtid="{D5CDD505-2E9C-101B-9397-08002B2CF9AE}" pid="44" name="StaffID_DisplayName">
    <vt:lpwstr>姚晋琼-私募产品组,张慧-私募产品组;</vt:lpwstr>
  </property>
  <property fmtid="{D5CDD505-2E9C-101B-9397-08002B2CF9AE}" pid="45" name="BDCONTENTCONTROL_AUTO_SAVE_SubTitle">
    <vt:lpwstr>成也萧何败也萧何，股票型业绩大幅回落</vt:lpwstr>
  </property>
  <property fmtid="{D5CDD505-2E9C-101B-9397-08002B2CF9AE}" pid="46" name="BDCONTENTCONTROL_AUTO_SAVE_Summary">
    <vt:lpwstr>基本结论_x000d_5月底，在去杠杆引发连锁反应，A股急转直下。尽管央行同时降息、降准释放流动性，引导货币政策宽松预期；交易所下调A股交易结算相关收费标准；证监会允许证券公司自行制定两融强平线；证监会放开证券公司融资渠道。但市场不为所动，依然跌跌不休，截止6月底，沪深300、中小板指、创业板指分别下跌7.6%、15.86%、19.31%。虽然降息，但6月资金价格依然较上月有所提高。1年期国债收益率下行20bp，1年期AAA级企业债收益率下行4bp，其它级别企业债上行7-30bp不等。6月，中标全债指数微涨0.22%</vt:lpwstr>
  </property>
  <property fmtid="{D5CDD505-2E9C-101B-9397-08002B2CF9AE}" pid="47" name="BDCONTENTCONTROL_AUTO_SAVE_Summary#2">
    <vt:lpwstr>，国债、企业债、转债涨跌幅分别为0.21%、-0.07%、-26.61%。_x000d_投连险方面，纳入国金统计的194个账户6月平均收益率-6.18%。145个（占比75%）账户下跌，其中2个股票型账户跌幅超过20%。泰康人寿-进取型的收益率最高，为3.27%，另有5个账户收益率超过1%，多数为债券型。_x000d_偏股类账户2015年6月平均收益率为-9.95%。股票型、股票-指数型、混合偏股型、灵活配置型的平均收益分别为-13%、-5.63%、-7.97%、-7.26%。_x000d_偏债类投连险2015年6月平均收益为-2.4%。其</vt:lpwstr>
  </property>
  <property fmtid="{D5CDD505-2E9C-101B-9397-08002B2CF9AE}" pid="48" name="BDCONTENTCONTROL_AUTO_SAVE_Summary#3">
    <vt:lpwstr>中，混合偏债型、债券型和货币型账户的平均收益分别为-7.54%、-1.36%、-0.03%。_x000d_纵向来看，1-5月，受益于股市，投连险整体取得了绝对收益，但6月大幅回挫。分类型看，偏债类每月收益均在-3~4%内徘徊，而偏股类-除指数型前2月月度收益均在4%左右，3-5月飙升至10%以上，6月下跌10.25%，回吐前期收益。偏股类账户中，今年1-6月，股票型在大盘表现较好的4月以及在大盘相对抗跌的6月跑输股票-指数型，其余月份均领先股票-指数型。1月以来的业绩说明，股票型配置的中小盘股权重较大。偏债类账户中，</vt:lpwstr>
  </property>
  <property fmtid="{D5CDD505-2E9C-101B-9397-08002B2CF9AE}" pid="49" name="BDCONTENTCONTROL_AUTO_SAVE_Summary#4">
    <vt:lpwstr>月底资金紧张，货币型6月平均收益亦为负。_x000d_近一年、近两年、近三年，各类投连险账户平均收益率均为正，且偏股类账户表现始终优于偏债类账户。近一年，股票-指数型账户受益于大盘指数的上扬，平均收益最高，为98.85%；股票型账户受累于中小盘股近一月的大幅下挫，近一年表现不及股票-指数型。近两年，股票型和股票-指数型账户的收益率相当。近三年，股票型账户表现优于股票-指数型。风险指标看，各类账户的风险指标均好于同期沪深300指数水平，其中股票型、股票-指数型与沪深300指数的表现比较接近，高于其它偏股类账户；债券型账</vt:lpwstr>
  </property>
  <property fmtid="{D5CDD505-2E9C-101B-9397-08002B2CF9AE}" pid="50" name="BDCONTENTCONTROL_AUTO_SAVE_Summary#5">
    <vt:lpwstr>户的风险高于混合偏债型账户。综合收益和风险来看，各类账户近一年、两年和三年的夏普比率均为正，且近一年夏普值均在2以上，近两年的夏普值在1以上。</vt:lpwstr>
  </property>
</Properties>
</file>