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C7" w:rsidRPr="00DA6F6B" w:rsidRDefault="00ED5AC7" w:rsidP="00DA6F6B">
      <w:pPr>
        <w:rPr>
          <w:rFonts w:ascii="Times New Roman" w:eastAsia="方正仿宋简体" w:hAnsi="Times New Roman"/>
          <w:sz w:val="30"/>
          <w:szCs w:val="30"/>
        </w:rPr>
      </w:pPr>
      <w:bookmarkStart w:id="0" w:name="_GoBack"/>
      <w:bookmarkEnd w:id="0"/>
      <w:r w:rsidRPr="00ED5AC7">
        <w:rPr>
          <w:rFonts w:ascii="Times New Roman" w:eastAsia="方正仿宋简体" w:hAnsi="Times New Roman" w:hint="eastAsia"/>
          <w:sz w:val="28"/>
          <w:szCs w:val="30"/>
        </w:rPr>
        <w:t>附件</w:t>
      </w:r>
    </w:p>
    <w:p w:rsidR="00ED5AC7" w:rsidRDefault="00ED5AC7" w:rsidP="00C107D3">
      <w:pPr>
        <w:spacing w:line="560" w:lineRule="exact"/>
        <w:jc w:val="center"/>
        <w:rPr>
          <w:rFonts w:ascii="Times New Roman" w:eastAsia="方正仿宋简体" w:hAnsi="Times New Roman"/>
          <w:sz w:val="30"/>
          <w:szCs w:val="30"/>
        </w:rPr>
      </w:pPr>
    </w:p>
    <w:p w:rsidR="00ED5AC7" w:rsidRDefault="00ED5AC7" w:rsidP="00ED5AC7">
      <w:pPr>
        <w:jc w:val="center"/>
        <w:rPr>
          <w:rFonts w:ascii="方正大标宋简体" w:eastAsia="方正大标宋简体" w:hAnsiTheme="majorEastAsia"/>
          <w:sz w:val="42"/>
          <w:szCs w:val="42"/>
        </w:rPr>
      </w:pPr>
      <w:r>
        <w:rPr>
          <w:rFonts w:ascii="方正大标宋简体" w:eastAsia="方正大标宋简体" w:hAnsiTheme="majorEastAsia" w:hint="eastAsia"/>
          <w:sz w:val="42"/>
          <w:szCs w:val="42"/>
        </w:rPr>
        <w:t>全国中小企业股份转让系统优先股</w:t>
      </w:r>
    </w:p>
    <w:p w:rsidR="00ED5AC7" w:rsidRDefault="00ED5AC7" w:rsidP="00ED5AC7">
      <w:pPr>
        <w:jc w:val="center"/>
        <w:rPr>
          <w:rFonts w:ascii="方正大标宋简体" w:eastAsia="方正大标宋简体" w:hAnsiTheme="majorEastAsia"/>
          <w:sz w:val="42"/>
          <w:szCs w:val="42"/>
        </w:rPr>
      </w:pPr>
      <w:r>
        <w:rPr>
          <w:rFonts w:ascii="方正大标宋简体" w:eastAsia="方正大标宋简体" w:hAnsiTheme="majorEastAsia" w:hint="eastAsia"/>
          <w:sz w:val="42"/>
          <w:szCs w:val="42"/>
        </w:rPr>
        <w:t>业务指引（试行）</w:t>
      </w:r>
    </w:p>
    <w:p w:rsidR="00ED5AC7" w:rsidRDefault="00ED5AC7" w:rsidP="00ED5AC7">
      <w:pPr>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 xml:space="preserve">      </w:t>
      </w:r>
    </w:p>
    <w:p w:rsidR="00ED5AC7" w:rsidRDefault="00ED5AC7" w:rsidP="00ED5AC7">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第一章  总则</w:t>
      </w:r>
    </w:p>
    <w:p w:rsidR="00ED5AC7" w:rsidRDefault="00ED5AC7" w:rsidP="00ED5AC7">
      <w:pPr>
        <w:spacing w:line="560" w:lineRule="exact"/>
        <w:ind w:firstLineChars="200" w:firstLine="600"/>
        <w:jc w:val="center"/>
        <w:rPr>
          <w:rFonts w:ascii="Times New Roman" w:eastAsia="方正仿宋简体" w:hAnsi="Times New Roman"/>
          <w:b/>
          <w:color w:val="000000" w:themeColor="text1"/>
          <w:sz w:val="30"/>
          <w:szCs w:val="30"/>
        </w:rPr>
      </w:pP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第一条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为规范全国中小企业股份转让系统（以下简称</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全国股转系统</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的优先股试点工作，保护投资者合法权益，根据《国务院关于开展优先股试点的指导意见》（以下简称《指导意见》）、《优先股试点管理办法》（以下简称《试点办法》）、《非上市公众公司监督管理办法》（以下简称《管理办法》）等有关规定，以及《全国中小企业股份转让系统业务规则（试行）》（以下简称《业务规则》）等业务规则，制定本指引。</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发行人向符合《试点办法》规定的合格投资者发行优先股并在全国股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进行转让的，适用本指引的规定。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前款所称的发行人包括：</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（一）普通股在全国股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挂牌的公司（以下简称</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挂牌公司</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）、申请其普通股在全国股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挂牌的公司（以下简称</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申请挂牌公司</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 xml:space="preserve">                                                                                          </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（二）符合中国证监会规定的其他非上市公众公司；</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（三）注册在境内的境外上市公司。</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lastRenderedPageBreak/>
        <w:t>第三条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发行人应当遵守《指导意见》、《试点办法》等关于非上市公众公司优先股发行、转让和信息披露的相关规定。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普通股股东人数与优先股股东人数合并累计不超过二百人的挂牌公司，按照本指引的规定发行优先股的，应当向全国中小企业股份转让系统有限责任公司（以下简称</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全国股转公司</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）履行备案程序。</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前款所称的</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普通股股东人数与优先股股东人数合并累计不超过二百人</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是指挂牌公司董事会确定的，审议本次优先股发行的股东大会的股权登记日，在册的普通股股东人数和优先股股东人数，与本次发行的优先股股东人数，合并累计之和不超过二百人。</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经中国证监会核准发行优先股的非上市公众公司、注册在境内的境外上市公司，其优先股拟在全国股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进行转让的，应当在中国证监会核准并完成发行后，向全国股转公司办理优先股挂牌手续。</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优先股的发行备案或挂牌，应由在全国股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从事推荐业务的主办券商推荐。</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第六条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主办券商和律师事务所应当在尽职调查基础上，分别对本次优先股发行出具推荐工作报告和法律意见书。</w:t>
      </w:r>
    </w:p>
    <w:p w:rsidR="00ED5AC7" w:rsidRDefault="00ED5AC7" w:rsidP="00ED5AC7">
      <w:pPr>
        <w:spacing w:line="560" w:lineRule="exact"/>
        <w:ind w:firstLineChars="200" w:firstLine="600"/>
        <w:rPr>
          <w:rFonts w:ascii="Times New Roman" w:eastAsia="方正仿宋简体" w:hAnsi="Times New Roman"/>
          <w:b/>
          <w:color w:val="000000" w:themeColor="text1"/>
          <w:sz w:val="30"/>
          <w:szCs w:val="30"/>
        </w:rPr>
      </w:pPr>
      <w:r>
        <w:rPr>
          <w:rFonts w:ascii="Times New Roman" w:eastAsia="方正仿宋简体" w:hAnsi="Times New Roman" w:hint="eastAsia"/>
          <w:b/>
          <w:color w:val="000000" w:themeColor="text1"/>
          <w:sz w:val="30"/>
          <w:szCs w:val="30"/>
        </w:rPr>
        <w:t>第七条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申请挂牌公司发行优先股并在全国股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进行转让的，参照适用本指引的相关规定。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第八条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进行转让的，发行人应当在其优先股挂牌前，与全国股转公司签署优先股转让服务协议，明确双方的权利、义务和有关事项。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lastRenderedPageBreak/>
        <w:t>第九条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优先股的登记、存管和结算等业务，按中国证券登记结算有限责任公司（以下简称</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中国结算</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）的相关业务规则办理。</w:t>
      </w:r>
    </w:p>
    <w:p w:rsidR="00ED5AC7" w:rsidRDefault="00ED5AC7" w:rsidP="00ED5AC7">
      <w:pPr>
        <w:spacing w:line="560" w:lineRule="exact"/>
        <w:ind w:firstLineChars="200" w:firstLine="600"/>
        <w:rPr>
          <w:rFonts w:ascii="Times New Roman" w:eastAsia="方正仿宋简体" w:hAnsi="Times New Roman"/>
          <w:b/>
          <w:color w:val="000000" w:themeColor="text1"/>
          <w:sz w:val="30"/>
          <w:szCs w:val="30"/>
        </w:rPr>
      </w:pPr>
    </w:p>
    <w:p w:rsidR="00ED5AC7" w:rsidRDefault="00ED5AC7" w:rsidP="00ED5AC7">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第二章  发行</w:t>
      </w:r>
    </w:p>
    <w:p w:rsidR="00ED5AC7" w:rsidRDefault="00ED5AC7" w:rsidP="00ED5AC7">
      <w:pPr>
        <w:tabs>
          <w:tab w:val="left" w:pos="3725"/>
        </w:tabs>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ab/>
      </w:r>
      <w:r>
        <w:rPr>
          <w:rFonts w:ascii="Times New Roman" w:eastAsia="方正仿宋简体" w:hAnsi="Times New Roman"/>
          <w:color w:val="000000" w:themeColor="text1"/>
          <w:sz w:val="30"/>
          <w:szCs w:val="30"/>
        </w:rPr>
        <w:tab/>
      </w:r>
      <w:r>
        <w:rPr>
          <w:rFonts w:ascii="Times New Roman" w:eastAsia="方正仿宋简体" w:hAnsi="Times New Roman"/>
          <w:color w:val="000000" w:themeColor="text1"/>
          <w:sz w:val="30"/>
          <w:szCs w:val="30"/>
        </w:rPr>
        <w:tab/>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发行人应当符合《试点办法》第四十一条、第四十二条的规定。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第十一条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发行人存在下列情形之一的，不得发行优先股：</w:t>
      </w:r>
    </w:p>
    <w:p w:rsidR="00ED5AC7" w:rsidRDefault="00ED5AC7" w:rsidP="00ED5AC7">
      <w:pPr>
        <w:autoSpaceDN w:val="0"/>
        <w:spacing w:line="560" w:lineRule="exact"/>
        <w:ind w:firstLine="48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（一）本次发行申请文件有虚假记载、误导性陈述或重大遗漏；</w:t>
      </w:r>
    </w:p>
    <w:p w:rsidR="00ED5AC7" w:rsidRDefault="00ED5AC7" w:rsidP="00ED5AC7">
      <w:pPr>
        <w:autoSpaceDN w:val="0"/>
        <w:spacing w:line="560" w:lineRule="exact"/>
        <w:ind w:firstLine="48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（二）最近十二个月内受到过中国证监会的行政处罚；</w:t>
      </w:r>
    </w:p>
    <w:p w:rsidR="00ED5AC7" w:rsidRDefault="00ED5AC7" w:rsidP="00ED5AC7">
      <w:pPr>
        <w:autoSpaceDN w:val="0"/>
        <w:spacing w:line="560" w:lineRule="exact"/>
        <w:ind w:firstLine="480"/>
        <w:rPr>
          <w:rFonts w:ascii="Times New Roman" w:eastAsia="方正仿宋简体" w:hAnsi="Times New Roman"/>
          <w:sz w:val="30"/>
          <w:szCs w:val="30"/>
        </w:rPr>
      </w:pPr>
      <w:r>
        <w:rPr>
          <w:rFonts w:ascii="Times New Roman" w:eastAsia="方正仿宋简体" w:hAnsi="Times New Roman" w:hint="eastAsia"/>
          <w:color w:val="000000"/>
          <w:sz w:val="30"/>
          <w:szCs w:val="30"/>
        </w:rPr>
        <w:t>（三）因涉嫌犯罪正被司法机关立案侦查或涉嫌违法违规正被中国证监会立案调查；</w:t>
      </w:r>
      <w:r>
        <w:rPr>
          <w:rFonts w:ascii="Times New Roman" w:eastAsia="方正仿宋简体" w:hAnsi="Times New Roman"/>
          <w:sz w:val="30"/>
          <w:szCs w:val="30"/>
        </w:rPr>
        <w:t xml:space="preserve"> </w:t>
      </w:r>
    </w:p>
    <w:p w:rsidR="00ED5AC7" w:rsidRDefault="00ED5AC7" w:rsidP="00ED5AC7">
      <w:pPr>
        <w:autoSpaceDN w:val="0"/>
        <w:spacing w:line="560" w:lineRule="exact"/>
        <w:ind w:firstLine="48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（四）发行人的权益被控股股东或实际控制人严重损害且尚未消除；</w:t>
      </w:r>
    </w:p>
    <w:p w:rsidR="00ED5AC7" w:rsidRDefault="00ED5AC7" w:rsidP="00ED5AC7">
      <w:pPr>
        <w:autoSpaceDN w:val="0"/>
        <w:spacing w:line="560" w:lineRule="exact"/>
        <w:ind w:firstLine="48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（五）发行人及其附属公司违规对外提供担保且尚未解除；</w:t>
      </w:r>
    </w:p>
    <w:p w:rsidR="00ED5AC7" w:rsidRDefault="00ED5AC7" w:rsidP="00ED5AC7">
      <w:pPr>
        <w:autoSpaceDN w:val="0"/>
        <w:spacing w:line="560" w:lineRule="exact"/>
        <w:ind w:firstLine="48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（六）存在可能严重影响公司持续经营的担保、诉讼、仲裁、市场重大质疑或其他重大事项；</w:t>
      </w:r>
    </w:p>
    <w:p w:rsidR="00ED5AC7" w:rsidRDefault="00ED5AC7" w:rsidP="00ED5AC7">
      <w:pPr>
        <w:spacing w:line="560" w:lineRule="exact"/>
        <w:rPr>
          <w:rFonts w:ascii="Times New Roman" w:eastAsia="方正仿宋简体" w:hAnsi="Times New Roman"/>
          <w:color w:val="000000"/>
          <w:sz w:val="30"/>
          <w:szCs w:val="30"/>
        </w:rPr>
      </w:pPr>
      <w:r>
        <w:rPr>
          <w:rFonts w:ascii="Times New Roman" w:eastAsia="方正仿宋简体" w:hAnsi="Times New Roman"/>
          <w:color w:val="000000"/>
          <w:sz w:val="30"/>
          <w:szCs w:val="30"/>
        </w:rPr>
        <w:t xml:space="preserve">   </w:t>
      </w:r>
      <w:r>
        <w:rPr>
          <w:rFonts w:ascii="Times New Roman" w:eastAsia="方正仿宋简体" w:hAnsi="Times New Roman" w:hint="eastAsia"/>
          <w:color w:val="000000"/>
          <w:sz w:val="30"/>
          <w:szCs w:val="30"/>
        </w:rPr>
        <w:t>（七）其董事和高级管理人员不符合法律、行政法规和规章规定的任职资格；</w:t>
      </w:r>
    </w:p>
    <w:p w:rsidR="00ED5AC7" w:rsidRDefault="00ED5AC7" w:rsidP="00ED5AC7">
      <w:pPr>
        <w:spacing w:line="560" w:lineRule="exact"/>
        <w:ind w:firstLineChars="131" w:firstLine="393"/>
        <w:rPr>
          <w:rFonts w:ascii="Times New Roman" w:eastAsia="方正仿宋简体" w:hAnsi="Times New Roman"/>
          <w:sz w:val="30"/>
          <w:szCs w:val="30"/>
        </w:rPr>
      </w:pPr>
      <w:r>
        <w:rPr>
          <w:rFonts w:ascii="Times New Roman" w:eastAsia="方正仿宋简体" w:hAnsi="Times New Roman" w:hint="eastAsia"/>
          <w:color w:val="000000"/>
          <w:sz w:val="30"/>
          <w:szCs w:val="30"/>
        </w:rPr>
        <w:t>（八）严重损害投资者合法权益和社会公共利益的其他情形。</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发行人应当向符合《试点办法》第六十五条规定的合格投资者发行优先股。每次发行对象不得超过二百人，且持有相同条款优先股的发行对象累计不得超过二百人。</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lastRenderedPageBreak/>
        <w:t>第十三条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对象可以用现金或非现金资产认购发行的优先股。发行对象以非现金资产认购优先股的，应当按照《全国中小企业股份转让系统股票发行业务细则（试行）》（以下简称《股票发行细则》）等相关规定，履行相应的程序和信息披露义务。</w:t>
      </w:r>
      <w:r>
        <w:rPr>
          <w:rFonts w:ascii="Times New Roman" w:eastAsia="方正仿宋简体" w:hAnsi="Times New Roman"/>
          <w:color w:val="000000" w:themeColor="text1"/>
          <w:sz w:val="30"/>
          <w:szCs w:val="30"/>
        </w:rPr>
        <w:tab/>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第十四条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发行人的董事会、股东大会就优先股发行</w:t>
      </w:r>
      <w:proofErr w:type="gramStart"/>
      <w:r>
        <w:rPr>
          <w:rFonts w:ascii="Times New Roman" w:eastAsia="方正仿宋简体" w:hAnsi="Times New Roman" w:hint="eastAsia"/>
          <w:color w:val="000000" w:themeColor="text1"/>
          <w:sz w:val="30"/>
          <w:szCs w:val="30"/>
        </w:rPr>
        <w:t>作出</w:t>
      </w:r>
      <w:proofErr w:type="gramEnd"/>
      <w:r>
        <w:rPr>
          <w:rFonts w:ascii="Times New Roman" w:eastAsia="方正仿宋简体" w:hAnsi="Times New Roman" w:hint="eastAsia"/>
          <w:color w:val="000000" w:themeColor="text1"/>
          <w:sz w:val="30"/>
          <w:szCs w:val="30"/>
        </w:rPr>
        <w:t>决议，应当符合《试点办法》第四十四条、第四十五条的规定。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第十五条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w:t>
      </w:r>
      <w:proofErr w:type="gramStart"/>
      <w:r>
        <w:rPr>
          <w:rFonts w:ascii="Times New Roman" w:eastAsia="方正仿宋简体" w:hAnsi="Times New Roman" w:hint="eastAsia"/>
          <w:color w:val="000000" w:themeColor="text1"/>
          <w:sz w:val="30"/>
          <w:szCs w:val="30"/>
        </w:rPr>
        <w:t>须修改</w:t>
      </w:r>
      <w:proofErr w:type="gramEnd"/>
      <w:r>
        <w:rPr>
          <w:rFonts w:ascii="Times New Roman" w:eastAsia="方正仿宋简体" w:hAnsi="Times New Roman" w:hint="eastAsia"/>
          <w:color w:val="000000" w:themeColor="text1"/>
          <w:sz w:val="30"/>
          <w:szCs w:val="30"/>
        </w:rPr>
        <w:t>公司章程，以明确优先股股东参与利润和剩余财产分配、优先股股东的表决权限制与恢复等事项的，发行人董事会应就修改公司章程和发行优先股一并</w:t>
      </w:r>
      <w:proofErr w:type="gramStart"/>
      <w:r>
        <w:rPr>
          <w:rFonts w:ascii="Times New Roman" w:eastAsia="方正仿宋简体" w:hAnsi="Times New Roman" w:hint="eastAsia"/>
          <w:color w:val="000000" w:themeColor="text1"/>
          <w:sz w:val="30"/>
          <w:szCs w:val="30"/>
        </w:rPr>
        <w:t>作出</w:t>
      </w:r>
      <w:proofErr w:type="gramEnd"/>
      <w:r>
        <w:rPr>
          <w:rFonts w:ascii="Times New Roman" w:eastAsia="方正仿宋简体" w:hAnsi="Times New Roman" w:hint="eastAsia"/>
          <w:color w:val="000000" w:themeColor="text1"/>
          <w:sz w:val="30"/>
          <w:szCs w:val="30"/>
        </w:rPr>
        <w:t>决议，并提交股东大会审议。</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第十六条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普通股股东人数与优先股股东人数合并累计不超过二百人的挂牌公司，其优先股的发行、备案等程序按照《股票发行细则》等业务规则的相关规定办理。发行人应当在验资完成后的十个转让日内，编制和报送备案材料，全国股转公司对备案材料进行审查后，根据审查结果出具优先股登记函。</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第十七条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经中国证监会核准发行优先股的非上市公众公司、注册在境内的境外上市公司，其优先股在全国股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进行转让的，应当在验资完成后的十个转让日内，向全国股转公司办理优先股挂牌手续。</w:t>
      </w:r>
    </w:p>
    <w:p w:rsidR="00ED5AC7" w:rsidRDefault="00ED5AC7" w:rsidP="00ED5AC7">
      <w:pPr>
        <w:tabs>
          <w:tab w:val="center" w:pos="4474"/>
          <w:tab w:val="right" w:pos="8306"/>
        </w:tabs>
        <w:spacing w:line="560" w:lineRule="exact"/>
        <w:rPr>
          <w:rFonts w:ascii="Times New Roman" w:eastAsia="方正仿宋简体" w:hAnsi="Times New Roman"/>
          <w:color w:val="000000" w:themeColor="text1"/>
          <w:sz w:val="30"/>
          <w:szCs w:val="30"/>
        </w:rPr>
      </w:pPr>
    </w:p>
    <w:p w:rsidR="00ED5AC7" w:rsidRDefault="00ED5AC7" w:rsidP="00ED5AC7">
      <w:pPr>
        <w:tabs>
          <w:tab w:val="center" w:pos="4474"/>
          <w:tab w:val="right" w:pos="8306"/>
        </w:tabs>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第三章  转让服务</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第十八条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优先股的计价单位为</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每股价格</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w:t>
      </w:r>
      <w:proofErr w:type="gramStart"/>
      <w:r>
        <w:rPr>
          <w:rFonts w:ascii="Times New Roman" w:eastAsia="方正仿宋简体" w:hAnsi="Times New Roman" w:hint="eastAsia"/>
          <w:color w:val="000000" w:themeColor="text1"/>
          <w:sz w:val="30"/>
          <w:szCs w:val="30"/>
        </w:rPr>
        <w:t>每股票面金额</w:t>
      </w:r>
      <w:proofErr w:type="gramEnd"/>
      <w:r>
        <w:rPr>
          <w:rFonts w:ascii="Times New Roman" w:eastAsia="方正仿宋简体" w:hAnsi="Times New Roman" w:hint="eastAsia"/>
          <w:color w:val="000000" w:themeColor="text1"/>
          <w:sz w:val="30"/>
          <w:szCs w:val="30"/>
        </w:rPr>
        <w:t>为</w:t>
      </w:r>
      <w:r>
        <w:rPr>
          <w:rFonts w:ascii="Times New Roman" w:eastAsia="方正仿宋简体" w:hAnsi="Times New Roman"/>
          <w:color w:val="000000" w:themeColor="text1"/>
          <w:sz w:val="30"/>
          <w:szCs w:val="30"/>
        </w:rPr>
        <w:lastRenderedPageBreak/>
        <w:t>100</w:t>
      </w:r>
      <w:r>
        <w:rPr>
          <w:rFonts w:ascii="Times New Roman" w:eastAsia="方正仿宋简体" w:hAnsi="Times New Roman" w:hint="eastAsia"/>
          <w:color w:val="000000" w:themeColor="text1"/>
          <w:sz w:val="30"/>
          <w:szCs w:val="30"/>
        </w:rPr>
        <w:t>元人民币，申报价格最小变动单位为</w:t>
      </w:r>
      <w:r>
        <w:rPr>
          <w:rFonts w:ascii="Times New Roman" w:eastAsia="方正仿宋简体" w:hAnsi="Times New Roman"/>
          <w:color w:val="000000" w:themeColor="text1"/>
          <w:sz w:val="30"/>
          <w:szCs w:val="30"/>
        </w:rPr>
        <w:t>0.01</w:t>
      </w:r>
      <w:r>
        <w:rPr>
          <w:rFonts w:ascii="Times New Roman" w:eastAsia="方正仿宋简体" w:hAnsi="Times New Roman" w:hint="eastAsia"/>
          <w:color w:val="000000" w:themeColor="text1"/>
          <w:sz w:val="30"/>
          <w:szCs w:val="30"/>
        </w:rPr>
        <w:t>元人民币。买卖优先股的申报数量应当为</w:t>
      </w:r>
      <w:r>
        <w:rPr>
          <w:rFonts w:ascii="Times New Roman" w:eastAsia="方正仿宋简体" w:hAnsi="Times New Roman"/>
          <w:color w:val="000000" w:themeColor="text1"/>
          <w:sz w:val="30"/>
          <w:szCs w:val="30"/>
        </w:rPr>
        <w:t>1000</w:t>
      </w:r>
      <w:r>
        <w:rPr>
          <w:rFonts w:ascii="Times New Roman" w:eastAsia="方正仿宋简体" w:hAnsi="Times New Roman" w:hint="eastAsia"/>
          <w:color w:val="000000" w:themeColor="text1"/>
          <w:sz w:val="30"/>
          <w:szCs w:val="30"/>
        </w:rPr>
        <w:t>股或其整数</w:t>
      </w:r>
      <w:proofErr w:type="gramStart"/>
      <w:r>
        <w:rPr>
          <w:rFonts w:ascii="Times New Roman" w:eastAsia="方正仿宋简体" w:hAnsi="Times New Roman" w:hint="eastAsia"/>
          <w:color w:val="000000" w:themeColor="text1"/>
          <w:sz w:val="30"/>
          <w:szCs w:val="30"/>
        </w:rPr>
        <w:t>倍</w:t>
      </w:r>
      <w:proofErr w:type="gramEnd"/>
      <w:r>
        <w:rPr>
          <w:rFonts w:ascii="Times New Roman" w:eastAsia="方正仿宋简体" w:hAnsi="Times New Roman" w:hint="eastAsia"/>
          <w:color w:val="000000" w:themeColor="text1"/>
          <w:sz w:val="30"/>
          <w:szCs w:val="30"/>
        </w:rPr>
        <w:t>；卖出优先股时，余额不足</w:t>
      </w:r>
      <w:r>
        <w:rPr>
          <w:rFonts w:ascii="Times New Roman" w:eastAsia="方正仿宋简体" w:hAnsi="Times New Roman"/>
          <w:color w:val="000000" w:themeColor="text1"/>
          <w:sz w:val="30"/>
          <w:szCs w:val="30"/>
        </w:rPr>
        <w:t>1000</w:t>
      </w:r>
      <w:r>
        <w:rPr>
          <w:rFonts w:ascii="Times New Roman" w:eastAsia="方正仿宋简体" w:hAnsi="Times New Roman" w:hint="eastAsia"/>
          <w:color w:val="000000" w:themeColor="text1"/>
          <w:sz w:val="30"/>
          <w:szCs w:val="30"/>
        </w:rPr>
        <w:t>股部分，应当一次性申报卖出。</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第十九条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接受优先股转让申报的时间为每个</w:t>
      </w:r>
      <w:proofErr w:type="gramStart"/>
      <w:r>
        <w:rPr>
          <w:rFonts w:ascii="Times New Roman" w:eastAsia="方正仿宋简体" w:hAnsi="Times New Roman" w:hint="eastAsia"/>
          <w:color w:val="000000" w:themeColor="text1"/>
          <w:sz w:val="30"/>
          <w:szCs w:val="30"/>
        </w:rPr>
        <w:t>转让日</w:t>
      </w:r>
      <w:proofErr w:type="gramEnd"/>
      <w:r>
        <w:rPr>
          <w:rFonts w:ascii="Times New Roman" w:eastAsia="方正仿宋简体" w:hAnsi="Times New Roman" w:hint="eastAsia"/>
          <w:color w:val="000000" w:themeColor="text1"/>
          <w:sz w:val="30"/>
          <w:szCs w:val="30"/>
        </w:rPr>
        <w:t>的</w:t>
      </w:r>
      <w:r>
        <w:rPr>
          <w:rFonts w:ascii="Times New Roman" w:eastAsia="方正仿宋简体" w:hAnsi="Times New Roman"/>
          <w:color w:val="000000" w:themeColor="text1"/>
          <w:sz w:val="30"/>
          <w:szCs w:val="30"/>
        </w:rPr>
        <w:t>9:15</w:t>
      </w:r>
      <w:r>
        <w:rPr>
          <w:rFonts w:ascii="Times New Roman" w:eastAsia="方正仿宋简体" w:hAnsi="Times New Roman" w:hint="eastAsia"/>
          <w:color w:val="000000" w:themeColor="text1"/>
          <w:sz w:val="30"/>
          <w:szCs w:val="30"/>
        </w:rPr>
        <w:t>至</w:t>
      </w:r>
      <w:r>
        <w:rPr>
          <w:rFonts w:ascii="Times New Roman" w:eastAsia="方正仿宋简体" w:hAnsi="Times New Roman"/>
          <w:color w:val="000000" w:themeColor="text1"/>
          <w:sz w:val="30"/>
          <w:szCs w:val="30"/>
        </w:rPr>
        <w:t>11:30</w:t>
      </w:r>
      <w:r>
        <w:rPr>
          <w:rFonts w:ascii="Times New Roman"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13:00</w:t>
      </w:r>
      <w:r>
        <w:rPr>
          <w:rFonts w:ascii="Times New Roman" w:eastAsia="方正仿宋简体" w:hAnsi="Times New Roman" w:hint="eastAsia"/>
          <w:color w:val="000000" w:themeColor="text1"/>
          <w:sz w:val="30"/>
          <w:szCs w:val="30"/>
        </w:rPr>
        <w:t>至</w:t>
      </w:r>
      <w:r>
        <w:rPr>
          <w:rFonts w:ascii="Times New Roman" w:eastAsia="方正仿宋简体" w:hAnsi="Times New Roman"/>
          <w:color w:val="000000" w:themeColor="text1"/>
          <w:sz w:val="30"/>
          <w:szCs w:val="30"/>
        </w:rPr>
        <w:t>15:00</w:t>
      </w:r>
      <w:r>
        <w:rPr>
          <w:rFonts w:ascii="Times New Roman" w:eastAsia="方正仿宋简体" w:hAnsi="Times New Roman" w:hint="eastAsia"/>
          <w:color w:val="000000" w:themeColor="text1"/>
          <w:sz w:val="30"/>
          <w:szCs w:val="30"/>
        </w:rPr>
        <w:t>。</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转让的优先股可以采取以下申报方式：</w:t>
      </w:r>
      <w:r>
        <w:rPr>
          <w:rFonts w:ascii="Times New Roman" w:eastAsia="方正仿宋简体" w:hAnsi="Times New Roman"/>
          <w:color w:val="000000" w:themeColor="text1"/>
          <w:sz w:val="30"/>
          <w:szCs w:val="30"/>
        </w:rPr>
        <w:t xml:space="preserve"> </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（一）定价申报。投资者可以委托主办券商按其指定的价格买卖不超过其指定数量优先股，定价申报应包括证券账户号码、证券代码、交易单元代码、证券营业部识别码、买卖方向、申报数量、申报价格等内容。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二）成交确认申报。转让双方就品种、价格、数量达成成交协议，或投资者拟与定价申报成交，可以委托主办券商以指定价格和数量与指定对手方确认成交，成交确认申报应包括：证券账户号码、证券代码、交易单元代码、证券营业部识别码、买卖方向、申报数量、申报价格、成交约定号等内容；转让双方达成成交协议、</w:t>
      </w:r>
      <w:proofErr w:type="gramStart"/>
      <w:r>
        <w:rPr>
          <w:rFonts w:ascii="Times New Roman" w:eastAsia="方正仿宋简体" w:hAnsi="Times New Roman" w:hint="eastAsia"/>
          <w:color w:val="000000" w:themeColor="text1"/>
          <w:sz w:val="30"/>
          <w:szCs w:val="30"/>
        </w:rPr>
        <w:t>均拟委托</w:t>
      </w:r>
      <w:proofErr w:type="gramEnd"/>
      <w:r>
        <w:rPr>
          <w:rFonts w:ascii="Times New Roman" w:eastAsia="方正仿宋简体" w:hAnsi="Times New Roman" w:hint="eastAsia"/>
          <w:color w:val="000000" w:themeColor="text1"/>
          <w:sz w:val="30"/>
          <w:szCs w:val="30"/>
        </w:rPr>
        <w:t>主办券商通过成交确认申报成交的，还应注明对手方交易单元代码和对手方证券账户号码。</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第二十一条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收到拟与定价申报成交的成交确认申报后，如系统中无对应的定价申报，该成交确认申报以撤单处理。</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每个</w:t>
      </w:r>
      <w:proofErr w:type="gramStart"/>
      <w:r>
        <w:rPr>
          <w:rFonts w:ascii="Times New Roman" w:eastAsia="方正仿宋简体" w:hAnsi="Times New Roman" w:hint="eastAsia"/>
          <w:color w:val="000000" w:themeColor="text1"/>
          <w:sz w:val="30"/>
          <w:szCs w:val="30"/>
        </w:rPr>
        <w:t>转让日</w:t>
      </w:r>
      <w:proofErr w:type="gramEnd"/>
      <w:r>
        <w:rPr>
          <w:rFonts w:ascii="Times New Roman" w:eastAsia="方正仿宋简体" w:hAnsi="Times New Roman" w:hint="eastAsia"/>
          <w:color w:val="000000" w:themeColor="text1"/>
          <w:sz w:val="30"/>
          <w:szCs w:val="30"/>
        </w:rPr>
        <w:t>的</w:t>
      </w:r>
      <w:r>
        <w:rPr>
          <w:rFonts w:ascii="Times New Roman" w:eastAsia="方正仿宋简体" w:hAnsi="Times New Roman"/>
          <w:color w:val="000000" w:themeColor="text1"/>
          <w:sz w:val="30"/>
          <w:szCs w:val="30"/>
        </w:rPr>
        <w:t>9:30</w:t>
      </w:r>
      <w:r>
        <w:rPr>
          <w:rFonts w:ascii="Times New Roman" w:eastAsia="方正仿宋简体" w:hAnsi="Times New Roman" w:hint="eastAsia"/>
          <w:color w:val="000000" w:themeColor="text1"/>
          <w:sz w:val="30"/>
          <w:szCs w:val="30"/>
        </w:rPr>
        <w:t>至</w:t>
      </w:r>
      <w:r>
        <w:rPr>
          <w:rFonts w:ascii="Times New Roman" w:eastAsia="方正仿宋简体" w:hAnsi="Times New Roman"/>
          <w:color w:val="000000" w:themeColor="text1"/>
          <w:sz w:val="30"/>
          <w:szCs w:val="30"/>
        </w:rPr>
        <w:t>11:30</w:t>
      </w:r>
      <w:r>
        <w:rPr>
          <w:rFonts w:ascii="Times New Roman"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13:00</w:t>
      </w:r>
      <w:r>
        <w:rPr>
          <w:rFonts w:ascii="Times New Roman" w:eastAsia="方正仿宋简体" w:hAnsi="Times New Roman" w:hint="eastAsia"/>
          <w:color w:val="000000" w:themeColor="text1"/>
          <w:sz w:val="30"/>
          <w:szCs w:val="30"/>
        </w:rPr>
        <w:t>至</w:t>
      </w:r>
      <w:r>
        <w:rPr>
          <w:rFonts w:ascii="Times New Roman" w:eastAsia="方正仿宋简体" w:hAnsi="Times New Roman"/>
          <w:color w:val="000000" w:themeColor="text1"/>
          <w:sz w:val="30"/>
          <w:szCs w:val="30"/>
        </w:rPr>
        <w:t>15:00</w:t>
      </w:r>
      <w:r>
        <w:rPr>
          <w:rFonts w:ascii="Times New Roman" w:eastAsia="方正仿宋简体" w:hAnsi="Times New Roman" w:hint="eastAsia"/>
          <w:color w:val="000000" w:themeColor="text1"/>
          <w:sz w:val="30"/>
          <w:szCs w:val="30"/>
        </w:rPr>
        <w:t>为优先股转让的成交确认时间。</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第二十三条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按照申报时间先后顺序，将成交确认</w:t>
      </w:r>
      <w:r>
        <w:rPr>
          <w:rFonts w:ascii="Times New Roman" w:eastAsia="方正仿宋简体" w:hAnsi="Times New Roman" w:hint="eastAsia"/>
          <w:color w:val="000000" w:themeColor="text1"/>
          <w:sz w:val="30"/>
          <w:szCs w:val="30"/>
        </w:rPr>
        <w:lastRenderedPageBreak/>
        <w:t>申报和与该成交确认申报证券代码、申报价格相同，买卖方向相反及成交约定</w:t>
      </w:r>
      <w:proofErr w:type="gramStart"/>
      <w:r>
        <w:rPr>
          <w:rFonts w:ascii="Times New Roman" w:eastAsia="方正仿宋简体" w:hAnsi="Times New Roman" w:hint="eastAsia"/>
          <w:color w:val="000000" w:themeColor="text1"/>
          <w:sz w:val="30"/>
          <w:szCs w:val="30"/>
        </w:rPr>
        <w:t>号一致</w:t>
      </w:r>
      <w:proofErr w:type="gramEnd"/>
      <w:r>
        <w:rPr>
          <w:rFonts w:ascii="Times New Roman" w:eastAsia="方正仿宋简体" w:hAnsi="Times New Roman" w:hint="eastAsia"/>
          <w:color w:val="000000" w:themeColor="text1"/>
          <w:sz w:val="30"/>
          <w:szCs w:val="30"/>
        </w:rPr>
        <w:t>的定价申报进行确认成交。</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成交确认申报与定价申报可以部分成交。</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成交确认申报数量小于定价申报的，以成交确认申报的数量为成交数量。定价申报未成交部分当日继续有效。</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成交确认申报数量大于定价申报的，以定价申报的数量为成交数量。成交确认申报未成交部分以撤单处理。</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第二十四条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全国股转系统对证券代码、申报价格和申报数量相同，买卖方向相反，指定对手方交易单元、证券账户号码相符及成交约定</w:t>
      </w:r>
      <w:proofErr w:type="gramStart"/>
      <w:r>
        <w:rPr>
          <w:rFonts w:ascii="Times New Roman" w:eastAsia="方正仿宋简体" w:hAnsi="Times New Roman" w:hint="eastAsia"/>
          <w:color w:val="000000" w:themeColor="text1"/>
          <w:sz w:val="30"/>
          <w:szCs w:val="30"/>
        </w:rPr>
        <w:t>号一致</w:t>
      </w:r>
      <w:proofErr w:type="gramEnd"/>
      <w:r>
        <w:rPr>
          <w:rFonts w:ascii="Times New Roman" w:eastAsia="方正仿宋简体" w:hAnsi="Times New Roman" w:hint="eastAsia"/>
          <w:color w:val="000000" w:themeColor="text1"/>
          <w:sz w:val="30"/>
          <w:szCs w:val="30"/>
        </w:rPr>
        <w:t>的成交确认申报进行确认成交。</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第二十五条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投资者买入的优先股，在交收前不得卖出。</w:t>
      </w:r>
    </w:p>
    <w:p w:rsidR="00ED5AC7" w:rsidRDefault="00ED5AC7" w:rsidP="00ED5AC7">
      <w:pPr>
        <w:spacing w:line="560" w:lineRule="exact"/>
        <w:ind w:firstLineChars="200" w:firstLine="600"/>
        <w:mirrorIndents/>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第二十六条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优先股的除息处理独立于普通股进行，并单独公布相应的除息参考价格。</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第二十七条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优先股转让环节的投资者适当性标准应当与发行环节保持一致。相同条款的优先股经转让后，投资者不得超过二百人。</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根据本指引所述成交原则，全国股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按照申报时间先后顺序对转让申报进行确认成交，对导致投资者超过二百人的转让不予确认。</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第二十八条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主办券商应当切实履行投资者适当性管理职责，通过现场问询、核对资料、签订确认书等方式，审查参与优先股转让的投资者是否为符合规定的合格投资者，并留存有关资料。</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主办券商应当向首次参与优先股转让的投资者全面介绍优先股</w:t>
      </w:r>
      <w:r>
        <w:rPr>
          <w:rFonts w:ascii="Times New Roman" w:eastAsia="方正仿宋简体" w:hAnsi="Times New Roman" w:hint="eastAsia"/>
          <w:color w:val="000000" w:themeColor="text1"/>
          <w:sz w:val="30"/>
          <w:szCs w:val="30"/>
        </w:rPr>
        <w:lastRenderedPageBreak/>
        <w:t>的产品特征和相关制度规则，充分揭示投资风险，并要求其签署优先股投资风险揭示书。</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第二十九条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开盘价，为当日该优先股的第一笔成交价。</w:t>
      </w:r>
      <w:r>
        <w:rPr>
          <w:rFonts w:ascii="Times New Roman" w:eastAsia="方正仿宋简体" w:hAnsi="Times New Roman"/>
          <w:color w:val="000000" w:themeColor="text1"/>
          <w:sz w:val="30"/>
          <w:szCs w:val="30"/>
        </w:rPr>
        <w:t xml:space="preserve"> </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收盘价，为当日该优先股所有转让的成交量加权平均价；当日无成交的，以前收盘价为当日收盘价。优先股挂牌首日，以发行价为前收盘价。</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第三十一条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主办券商应保证参与优先股转让的投资者账户具备与申报相对应的优先股或资金。</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持有或者租用全国股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交易单元的机构参与优先股转让，应当通过持有或者租用的交易单元申报，并确保具备与申报相对应的优先股或资金。</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向主办券商实时发送申报及成交信息，主办券商应当向其符合投资者适当性要求的投资者即时提供该信息。</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第三十三条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全国股转公司每个</w:t>
      </w:r>
      <w:proofErr w:type="gramStart"/>
      <w:r>
        <w:rPr>
          <w:rFonts w:ascii="Times New Roman" w:eastAsia="方正仿宋简体" w:hAnsi="Times New Roman" w:hint="eastAsia"/>
          <w:color w:val="000000" w:themeColor="text1"/>
          <w:sz w:val="30"/>
          <w:szCs w:val="30"/>
        </w:rPr>
        <w:t>转让日</w:t>
      </w:r>
      <w:proofErr w:type="gramEnd"/>
      <w:r>
        <w:rPr>
          <w:rFonts w:ascii="Times New Roman" w:eastAsia="方正仿宋简体" w:hAnsi="Times New Roman" w:hint="eastAsia"/>
          <w:color w:val="000000" w:themeColor="text1"/>
          <w:sz w:val="30"/>
          <w:szCs w:val="30"/>
        </w:rPr>
        <w:t>收市后公布当日每笔成交信息，内容包括证券代码、证券简称、成交价格、成交数量、买卖双方主办券商证券营业部或交易单元的名称等。</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优先股转让公开信息涉及机构专用交易单元的，公布名称为</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机构专用</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第三十四条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主办券商应对优先股的转让信息予以独立显示。</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第三十五条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优先股的暂停、恢复转让事宜，按照《业务规则》关于暂停、恢复转让的有关规定执行。</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挂牌公司的普通股暂停、恢复转让的，其优先股应当同时暂停、</w:t>
      </w:r>
      <w:r>
        <w:rPr>
          <w:rFonts w:ascii="Times New Roman" w:eastAsia="方正仿宋简体" w:hAnsi="Times New Roman" w:hint="eastAsia"/>
          <w:color w:val="000000" w:themeColor="text1"/>
          <w:sz w:val="30"/>
          <w:szCs w:val="30"/>
        </w:rPr>
        <w:lastRenderedPageBreak/>
        <w:t>恢复转让。</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第三十六条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优先股的终止、重新挂牌事宜，按照《业务规则》关于终止、重新挂牌的有关规定执行。</w:t>
      </w:r>
    </w:p>
    <w:p w:rsidR="00ED5AC7" w:rsidRDefault="00ED5AC7" w:rsidP="00ED5AC7">
      <w:pPr>
        <w:adjustRightInd w:val="0"/>
        <w:snapToGrid w:val="0"/>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挂牌公司的普通股终止转让的，其优先股应当同时终止转让。</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第三十七条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优先股转让的相关事宜，本指引未规定的，参照《全国中小企业股份转让系统股票转让细则（试行）》中</w:t>
      </w:r>
      <w:proofErr w:type="gramStart"/>
      <w:r>
        <w:rPr>
          <w:rFonts w:ascii="Times New Roman" w:eastAsia="方正仿宋简体" w:hAnsi="Times New Roman" w:hint="eastAsia"/>
          <w:color w:val="000000" w:themeColor="text1"/>
          <w:sz w:val="30"/>
          <w:szCs w:val="30"/>
        </w:rPr>
        <w:t>关于协议</w:t>
      </w:r>
      <w:proofErr w:type="gramEnd"/>
      <w:r>
        <w:rPr>
          <w:rFonts w:ascii="Times New Roman" w:eastAsia="方正仿宋简体" w:hAnsi="Times New Roman" w:hint="eastAsia"/>
          <w:color w:val="000000" w:themeColor="text1"/>
          <w:sz w:val="30"/>
          <w:szCs w:val="30"/>
        </w:rPr>
        <w:t>转让的有关规定执行。</w:t>
      </w:r>
    </w:p>
    <w:p w:rsidR="00ED5AC7" w:rsidRDefault="00ED5AC7" w:rsidP="00ED5AC7">
      <w:pPr>
        <w:spacing w:line="560" w:lineRule="exact"/>
        <w:ind w:firstLineChars="200" w:firstLine="600"/>
        <w:mirrorIndents/>
        <w:rPr>
          <w:rFonts w:ascii="Times New Roman" w:eastAsia="方正仿宋简体" w:hAnsi="Times New Roman"/>
          <w:color w:val="000000" w:themeColor="text1"/>
          <w:sz w:val="30"/>
          <w:szCs w:val="30"/>
        </w:rPr>
      </w:pPr>
    </w:p>
    <w:p w:rsidR="00ED5AC7" w:rsidRDefault="00ED5AC7" w:rsidP="00ED5AC7">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第四章  信息披露</w:t>
      </w:r>
    </w:p>
    <w:p w:rsidR="00ED5AC7" w:rsidRDefault="00ED5AC7" w:rsidP="00ED5AC7">
      <w:pPr>
        <w:spacing w:line="560" w:lineRule="exact"/>
        <w:ind w:firstLineChars="200" w:firstLine="600"/>
        <w:jc w:val="center"/>
        <w:rPr>
          <w:rFonts w:ascii="Times New Roman" w:eastAsia="方正仿宋简体" w:hAnsi="Times New Roman"/>
          <w:b/>
          <w:color w:val="000000" w:themeColor="text1"/>
          <w:sz w:val="30"/>
          <w:szCs w:val="30"/>
        </w:rPr>
      </w:pPr>
    </w:p>
    <w:p w:rsidR="00ED5AC7" w:rsidRDefault="00ED5AC7" w:rsidP="00ED5AC7">
      <w:pPr>
        <w:spacing w:line="560" w:lineRule="exact"/>
        <w:jc w:val="center"/>
        <w:rPr>
          <w:rFonts w:ascii="楷体" w:eastAsia="楷体" w:hAnsi="楷体"/>
          <w:color w:val="000000" w:themeColor="text1"/>
          <w:sz w:val="30"/>
          <w:szCs w:val="30"/>
        </w:rPr>
      </w:pPr>
      <w:r>
        <w:rPr>
          <w:rFonts w:ascii="楷体" w:eastAsia="楷体" w:hAnsi="楷体" w:hint="eastAsia"/>
          <w:color w:val="000000" w:themeColor="text1"/>
          <w:sz w:val="30"/>
          <w:szCs w:val="30"/>
        </w:rPr>
        <w:t>第一节  发行披露</w:t>
      </w:r>
    </w:p>
    <w:p w:rsidR="00ED5AC7" w:rsidRDefault="00ED5AC7" w:rsidP="00ED5AC7">
      <w:pPr>
        <w:spacing w:line="560" w:lineRule="exact"/>
        <w:ind w:firstLineChars="200" w:firstLine="600"/>
        <w:rPr>
          <w:rFonts w:ascii="Times New Roman" w:eastAsia="方正仿宋简体" w:hAnsi="Times New Roman"/>
          <w:b/>
          <w:color w:val="000000" w:themeColor="text1"/>
          <w:sz w:val="30"/>
          <w:szCs w:val="30"/>
        </w:rPr>
      </w:pP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第三十八条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发行人应当分别在董事会和股东大会通过优先股发行决议之日起两个转让日内披露董事会、股东大会决议公告。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第三十九条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发行人的董事会决议公告，应当按照《试点办法》第四十四条的规定包含下列事项及其表决结果：</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（一）本次发行优先股的方案，包括发行数量、优先股股东参与分配利润的方式、赎回或回售条款（如有）等；</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（二）董事会决议确定具体发行对象的，应当确定具体的发行对象名称及其认购价格或定价原则、认购数量或数量区间等</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董事会决议未确定具体发行对象的，董事会决议应当明确发行对象的范围和资格、定价原则等</w:t>
      </w:r>
      <w:r>
        <w:rPr>
          <w:rFonts w:ascii="Times New Roman" w:eastAsia="方正仿宋简体" w:hAnsi="Times New Roman"/>
          <w:color w:val="000000" w:themeColor="text1"/>
          <w:sz w:val="30"/>
          <w:szCs w:val="30"/>
        </w:rPr>
        <w:t>;</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（三）本次发行优先股对公司各类股东权益的影响；</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lastRenderedPageBreak/>
        <w:t>（四）发行目的与募集资金用途；</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（五）公司章程的修订方案；</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（六）其他事项。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发行人应当在缴款期前披露优先股认购公告，明确缴款安排。本次发行安排现有优先股股东优先认购的，应明确优先认购安排。</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第四十一条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发行人在优先股挂牌转让前，应当披露优先股转让公告。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发行人在披露优先股转让公告的同时，应当披露定向发行优先股说明书、发行情况报告书、主办券商推荐工作报告和法律意见书。</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第四十三条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发行人应当按照中国证监会《非上市公众公司信息披露内容与格式准则第</w:t>
      </w:r>
      <w:r>
        <w:rPr>
          <w:rFonts w:ascii="Times New Roman" w:eastAsia="方正仿宋简体" w:hAnsi="Times New Roman"/>
          <w:color w:val="000000" w:themeColor="text1"/>
          <w:sz w:val="30"/>
          <w:szCs w:val="30"/>
        </w:rPr>
        <w:t>7</w:t>
      </w:r>
      <w:r>
        <w:rPr>
          <w:rFonts w:ascii="Times New Roman" w:eastAsia="方正仿宋简体" w:hAnsi="Times New Roman" w:hint="eastAsia"/>
          <w:color w:val="000000" w:themeColor="text1"/>
          <w:sz w:val="30"/>
          <w:szCs w:val="30"/>
        </w:rPr>
        <w:t>号》的规定，编制并披露定向发行优先股说明书和发行情况报告书。</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经中国证监会核准发行优先股的非上市公众公司、注册在境内的境外上市公司，应遵守中国证监会对其信息披露的相关规定，并参照适用本指引的规定。</w:t>
      </w:r>
    </w:p>
    <w:p w:rsidR="00ED5AC7" w:rsidRDefault="00ED5AC7" w:rsidP="00ED5AC7">
      <w:pPr>
        <w:tabs>
          <w:tab w:val="left" w:pos="6675"/>
        </w:tabs>
        <w:spacing w:line="560" w:lineRule="exact"/>
        <w:ind w:firstLineChars="200" w:firstLine="600"/>
        <w:rPr>
          <w:rFonts w:ascii="Times New Roman" w:eastAsia="方正仿宋简体" w:hAnsi="Times New Roman"/>
          <w:b/>
          <w:color w:val="000000" w:themeColor="text1"/>
          <w:sz w:val="30"/>
          <w:szCs w:val="30"/>
        </w:rPr>
      </w:pPr>
      <w:r>
        <w:rPr>
          <w:rFonts w:ascii="Times New Roman" w:eastAsia="方正仿宋简体" w:hAnsi="Times New Roman"/>
          <w:b/>
          <w:color w:val="000000" w:themeColor="text1"/>
          <w:sz w:val="30"/>
          <w:szCs w:val="30"/>
        </w:rPr>
        <w:tab/>
      </w:r>
    </w:p>
    <w:p w:rsidR="00ED5AC7" w:rsidRDefault="00ED5AC7" w:rsidP="00ED5AC7">
      <w:pPr>
        <w:tabs>
          <w:tab w:val="center" w:pos="4474"/>
          <w:tab w:val="right" w:pos="8306"/>
        </w:tabs>
        <w:spacing w:line="560" w:lineRule="exact"/>
        <w:jc w:val="center"/>
        <w:rPr>
          <w:rFonts w:ascii="楷体" w:eastAsia="楷体" w:hAnsi="楷体"/>
          <w:color w:val="000000" w:themeColor="text1"/>
          <w:sz w:val="30"/>
          <w:szCs w:val="30"/>
        </w:rPr>
      </w:pPr>
      <w:r>
        <w:rPr>
          <w:rFonts w:ascii="楷体" w:eastAsia="楷体" w:hAnsi="楷体" w:hint="eastAsia"/>
          <w:color w:val="000000" w:themeColor="text1"/>
          <w:sz w:val="30"/>
          <w:szCs w:val="30"/>
        </w:rPr>
        <w:t>第二节  持续信息披露</w:t>
      </w:r>
    </w:p>
    <w:p w:rsidR="00ED5AC7" w:rsidRDefault="00ED5AC7" w:rsidP="00ED5AC7">
      <w:pPr>
        <w:tabs>
          <w:tab w:val="left" w:pos="6815"/>
        </w:tabs>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ab/>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第四十四条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发行人披露定期报告时，应当按照《试点办法》等规定，披露优先股的有关情况。相关业务规则另行制定。</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第四十五条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发行人应当按照挂牌公司信息披露的相关业务规</w:t>
      </w:r>
      <w:r>
        <w:rPr>
          <w:rFonts w:ascii="Times New Roman" w:eastAsia="方正仿宋简体" w:hAnsi="Times New Roman" w:hint="eastAsia"/>
          <w:color w:val="000000" w:themeColor="text1"/>
          <w:sz w:val="30"/>
          <w:szCs w:val="30"/>
        </w:rPr>
        <w:lastRenderedPageBreak/>
        <w:t>则，及时披露对优先股转让价格产生较大影响的信息，包括但不限于优先股挂牌、付息、调息、赎回、回售，优先股股东表决权的恢复、行使、变动，优先股股东分类表决，优先股募集资金的存放、使用，分配利润或剩余财产，以及转换为普通股等。</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挂牌公司按照全国股转系统信息披露的相关业务规则，对重大事件发布临时公告时，如该重大事件对优先股价格或优先股股东权益可能产生较大影响的，应当在临时公告中予以专门说明。</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第四十六条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优先股付息日前的两个转让日内，发行人应当披露优先股付息公告。完成股息支付后的两个转让日内，发行人应当披露优先股股东的利润分配情况。</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第四十七条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应当在满足优先股赎回条件或回售条件的两个转让日内，披露赎回或回售的提示性公告。赎回提示性公告中应当明确披露是否行使赎回权。发行人还应当在赎回期或回售期结束前至少发布三次赎回提示性公告（如决定行使赎回权）或回售提示性公告。公告中应当载明赎回或回售的程序、价格、付款方法、付款时间等。</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优先股赎回或回售实施完成后，发行人应当披露优先股赎回或回售结果公告。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第四十八条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优先股股东按照法律法规和公司章程的规定，对股东大会审议的特定事项享有表决权的，发行人应当在召开股东大会的通知中，予以提示。</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第四十九条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发行人累计三个会计年度或连续两个会计年度未按约定支付优先股股息的，应当在披露批准当年利润分配方案的股</w:t>
      </w:r>
      <w:r>
        <w:rPr>
          <w:rFonts w:ascii="Times New Roman" w:eastAsia="方正仿宋简体" w:hAnsi="Times New Roman" w:hint="eastAsia"/>
          <w:color w:val="000000" w:themeColor="text1"/>
          <w:sz w:val="30"/>
          <w:szCs w:val="30"/>
        </w:rPr>
        <w:lastRenderedPageBreak/>
        <w:t>东大会决议同时，披露优先股表决权恢复的提示性公告。公告应当载明优先股表决权恢复的起始期限、每股优先股享有的表决权比例等内容。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对于股息可累积到下一会计年度的优先股，发行人应当在其全额支付所欠股息后的两个转让日内，披露表决权恢复终止的提示性公告。对于股息不可累积的优先股，发行人应当在其全额支付当年股息后的两个转让日内，披露表决权恢复终止的提示性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发行人出现公司章程规定的其他优先股表决权恢复情形的，应当参照前两款规定发布提示公告。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商业银行发行触发条件发生时强制可转换为普通股的优先股，应当在触发条件发生后的两个转让日内，披露优先股转换为普通股的提示性公告。转换完成后，应当披露股权结构的变动情况。</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第五十一条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投资者通过转让或其它方式取得可转换优先股达到该优先股发行总量的</w:t>
      </w:r>
      <w:r>
        <w:rPr>
          <w:rFonts w:ascii="Times New Roman" w:eastAsia="方正仿宋简体" w:hAnsi="Times New Roman"/>
          <w:color w:val="000000" w:themeColor="text1"/>
          <w:sz w:val="30"/>
          <w:szCs w:val="30"/>
        </w:rPr>
        <w:t>20%</w:t>
      </w:r>
      <w:r>
        <w:rPr>
          <w:rFonts w:ascii="Times New Roman" w:eastAsia="方正仿宋简体" w:hAnsi="Times New Roman" w:hint="eastAsia"/>
          <w:color w:val="000000" w:themeColor="text1"/>
          <w:sz w:val="30"/>
          <w:szCs w:val="30"/>
        </w:rPr>
        <w:t>后，应在该事实发生之日起两个转让日内予以公告，同时报告全国股转公司并通知发行人；自该事实发生之日起至披露后两个转让日内，不得再行买卖该发行人的优先股和普通股。</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投资者持有的可转换优先股达到该优先股发行总量的</w:t>
      </w:r>
      <w:r>
        <w:rPr>
          <w:rFonts w:ascii="Times New Roman" w:eastAsia="方正仿宋简体" w:hAnsi="Times New Roman"/>
          <w:color w:val="000000" w:themeColor="text1"/>
          <w:sz w:val="30"/>
          <w:szCs w:val="30"/>
        </w:rPr>
        <w:t>20%</w:t>
      </w:r>
      <w:r>
        <w:rPr>
          <w:rFonts w:ascii="Times New Roman" w:eastAsia="方正仿宋简体" w:hAnsi="Times New Roman" w:hint="eastAsia"/>
          <w:color w:val="000000" w:themeColor="text1"/>
          <w:sz w:val="30"/>
          <w:szCs w:val="30"/>
        </w:rPr>
        <w:t>后，其持有的优先股占该优先股发行总量的比例每增加或减少</w:t>
      </w:r>
      <w:r>
        <w:rPr>
          <w:rFonts w:ascii="Times New Roman" w:eastAsia="方正仿宋简体" w:hAnsi="Times New Roman"/>
          <w:color w:val="000000" w:themeColor="text1"/>
          <w:sz w:val="30"/>
          <w:szCs w:val="30"/>
        </w:rPr>
        <w:t>10%</w:t>
      </w:r>
      <w:r>
        <w:rPr>
          <w:rFonts w:ascii="Times New Roman" w:eastAsia="方正仿宋简体" w:hAnsi="Times New Roman" w:hint="eastAsia"/>
          <w:color w:val="000000" w:themeColor="text1"/>
          <w:sz w:val="30"/>
          <w:szCs w:val="30"/>
        </w:rPr>
        <w:t>，应当依照前述规定进行报告和公告；自该事实发生之日起至披露后两个转让日内，不得再行买卖该发行人的优先股和普通股。</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第五十二条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优先股的风险警示事宜，按照《业务规则》关于风</w:t>
      </w:r>
      <w:r>
        <w:rPr>
          <w:rFonts w:ascii="Times New Roman" w:eastAsia="方正仿宋简体" w:hAnsi="Times New Roman" w:hint="eastAsia"/>
          <w:color w:val="000000" w:themeColor="text1"/>
          <w:sz w:val="30"/>
          <w:szCs w:val="30"/>
        </w:rPr>
        <w:lastRenderedPageBreak/>
        <w:t>险警示的规定执行，并予以公告。</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发行人的普通股被实施风险警示的，其优先股应当同时实施风险警示。</w:t>
      </w:r>
    </w:p>
    <w:p w:rsidR="00ED5AC7" w:rsidRDefault="00ED5AC7" w:rsidP="00ED5AC7">
      <w:pPr>
        <w:spacing w:line="560" w:lineRule="exact"/>
        <w:rPr>
          <w:rFonts w:ascii="黑体" w:eastAsia="黑体" w:hAnsi="黑体"/>
          <w:color w:val="000000" w:themeColor="text1"/>
          <w:sz w:val="30"/>
          <w:szCs w:val="30"/>
        </w:rPr>
      </w:pPr>
    </w:p>
    <w:p w:rsidR="00ED5AC7" w:rsidRDefault="00ED5AC7" w:rsidP="00ED5AC7">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第五章  监管措施和违规处分</w:t>
      </w:r>
    </w:p>
    <w:p w:rsidR="00ED5AC7" w:rsidRDefault="00ED5AC7" w:rsidP="00ED5AC7">
      <w:pPr>
        <w:tabs>
          <w:tab w:val="left" w:pos="5207"/>
        </w:tabs>
        <w:spacing w:line="560" w:lineRule="exact"/>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ab/>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第五十三条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及其董事、监事、高级管理人员、股东、实际控制人及其他相关信息披露义务人，主办券商、会计师事务所、律师事务所及其他证券服务机构，以及投资者等市场主体违反本指引及有关规定的，全国股转公司依据《业务规则》采取相应监管措施及纪律处分。</w:t>
      </w:r>
    </w:p>
    <w:p w:rsidR="00ED5AC7" w:rsidRDefault="00ED5AC7" w:rsidP="00ED5AC7">
      <w:pPr>
        <w:spacing w:line="560" w:lineRule="exact"/>
        <w:ind w:firstLineChars="200" w:firstLine="600"/>
        <w:jc w:val="center"/>
        <w:rPr>
          <w:rFonts w:ascii="Times New Roman" w:eastAsia="方正仿宋简体" w:hAnsi="Times New Roman"/>
          <w:b/>
          <w:color w:val="000000" w:themeColor="text1"/>
          <w:sz w:val="30"/>
          <w:szCs w:val="30"/>
        </w:rPr>
      </w:pPr>
    </w:p>
    <w:p w:rsidR="00ED5AC7" w:rsidRDefault="00ED5AC7" w:rsidP="00ED5AC7">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第六章  附则</w:t>
      </w:r>
    </w:p>
    <w:p w:rsidR="00ED5AC7" w:rsidRDefault="00ED5AC7" w:rsidP="00ED5AC7">
      <w:pPr>
        <w:spacing w:line="560" w:lineRule="exact"/>
        <w:jc w:val="center"/>
        <w:rPr>
          <w:rFonts w:ascii="Times New Roman" w:eastAsia="方正仿宋简体" w:hAnsi="Times New Roman"/>
          <w:b/>
          <w:color w:val="000000" w:themeColor="text1"/>
          <w:sz w:val="30"/>
          <w:szCs w:val="30"/>
        </w:rPr>
      </w:pP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第五十四条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优先股的转让限制与解除转让限制应当符合《试点办法》第十四条的规定，具体程序按照挂牌公司普通股转让限制与解除转让限制的相关规定办理。</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第五十五条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发行人在全国股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发行优先股涉及重大资产重组的，按照中国证监会和全国股转公司的相关规定办理。</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第五十六条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发行优先股并在全国股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进行转让的，应缴纳优先股挂牌初费、优先股挂牌年费和优先股转让经手费。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发行人应按照每次发行的优先股股本缴纳优先股挂牌初费。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发行人应按照上一年度年末的优先股股本缴纳挂牌年费。挂牌</w:t>
      </w:r>
      <w:r>
        <w:rPr>
          <w:rFonts w:ascii="Times New Roman" w:eastAsia="方正仿宋简体" w:hAnsi="Times New Roman" w:hint="eastAsia"/>
          <w:color w:val="000000" w:themeColor="text1"/>
          <w:sz w:val="30"/>
          <w:szCs w:val="30"/>
        </w:rPr>
        <w:lastRenderedPageBreak/>
        <w:t>当年的挂牌年费，按照该次发行的优先股股本和实际挂牌月份（自挂牌日的次月起计算）予以折算，与挂牌初费一并缴纳。</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投资者应按优先股转让成交金额缴纳优先股转让经手费。</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试点期间，优先股挂牌初费、优先股挂牌年费和优先股转让经手费的收费标准按照全国股</w:t>
      </w:r>
      <w:proofErr w:type="gramStart"/>
      <w:r>
        <w:rPr>
          <w:rFonts w:ascii="Times New Roman" w:eastAsia="方正仿宋简体" w:hAnsi="Times New Roman" w:hint="eastAsia"/>
          <w:color w:val="000000" w:themeColor="text1"/>
          <w:sz w:val="30"/>
          <w:szCs w:val="30"/>
        </w:rPr>
        <w:t>转系统</w:t>
      </w:r>
      <w:proofErr w:type="gramEnd"/>
      <w:r>
        <w:rPr>
          <w:rFonts w:ascii="Times New Roman" w:eastAsia="方正仿宋简体" w:hAnsi="Times New Roman" w:hint="eastAsia"/>
          <w:color w:val="000000" w:themeColor="text1"/>
          <w:sz w:val="30"/>
          <w:szCs w:val="30"/>
        </w:rPr>
        <w:t>普通股相应收费标准收取。</w:t>
      </w:r>
    </w:p>
    <w:p w:rsidR="00ED5AC7" w:rsidRDefault="00ED5AC7" w:rsidP="00ED5AC7">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第五十七条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本指引由全国股转公司负责解释。</w:t>
      </w:r>
    </w:p>
    <w:p w:rsidR="00ED5AC7" w:rsidRDefault="00ED5AC7" w:rsidP="00ED5AC7">
      <w:pPr>
        <w:spacing w:line="560" w:lineRule="exact"/>
        <w:ind w:firstLineChars="200" w:firstLine="600"/>
        <w:rPr>
          <w:rFonts w:ascii="方正仿宋简体" w:eastAsia="方正仿宋简体" w:hAnsi="仿宋" w:cstheme="minorBidi"/>
          <w:color w:val="000000" w:themeColor="text1"/>
          <w:sz w:val="32"/>
          <w:szCs w:val="32"/>
        </w:rPr>
      </w:pPr>
      <w:r>
        <w:rPr>
          <w:rFonts w:ascii="Times New Roman" w:eastAsia="方正仿宋简体" w:hAnsi="Times New Roman" w:hint="eastAsia"/>
          <w:b/>
          <w:color w:val="000000" w:themeColor="text1"/>
          <w:sz w:val="30"/>
          <w:szCs w:val="30"/>
        </w:rPr>
        <w:t>第五十八条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本指引自发布之日起施行。</w:t>
      </w:r>
      <w:r>
        <w:rPr>
          <w:rFonts w:ascii="方正仿宋简体" w:eastAsia="方正仿宋简体" w:hAnsi="仿宋" w:hint="eastAsia"/>
          <w:color w:val="000000" w:themeColor="text1"/>
          <w:sz w:val="32"/>
          <w:szCs w:val="32"/>
        </w:rPr>
        <w:t xml:space="preserve">  </w:t>
      </w:r>
    </w:p>
    <w:p w:rsidR="00ED5AC7" w:rsidRPr="00ED5AC7" w:rsidRDefault="00ED5AC7" w:rsidP="00C107D3">
      <w:pPr>
        <w:spacing w:line="560" w:lineRule="exact"/>
        <w:jc w:val="center"/>
        <w:rPr>
          <w:rFonts w:ascii="Times New Roman" w:eastAsia="方正仿宋简体" w:hAnsi="Times New Roman"/>
          <w:sz w:val="30"/>
          <w:szCs w:val="30"/>
        </w:rPr>
      </w:pPr>
    </w:p>
    <w:p w:rsidR="00ED5AC7" w:rsidRDefault="00ED5AC7" w:rsidP="00C107D3">
      <w:pPr>
        <w:spacing w:line="560" w:lineRule="exact"/>
        <w:jc w:val="center"/>
        <w:rPr>
          <w:rFonts w:ascii="Times New Roman" w:eastAsia="方正仿宋简体" w:hAnsi="Times New Roman"/>
          <w:sz w:val="30"/>
          <w:szCs w:val="30"/>
        </w:rPr>
      </w:pPr>
    </w:p>
    <w:p w:rsidR="00ED5AC7" w:rsidRDefault="00ED5AC7" w:rsidP="00C107D3">
      <w:pPr>
        <w:spacing w:line="560" w:lineRule="exact"/>
        <w:jc w:val="center"/>
        <w:rPr>
          <w:rFonts w:ascii="Times New Roman" w:eastAsia="方正仿宋简体" w:hAnsi="Times New Roman"/>
          <w:sz w:val="30"/>
          <w:szCs w:val="30"/>
        </w:rPr>
      </w:pPr>
    </w:p>
    <w:p w:rsidR="00E77B69" w:rsidRDefault="00E77B69" w:rsidP="003719E0">
      <w:pPr>
        <w:spacing w:line="520" w:lineRule="exact"/>
        <w:jc w:val="center"/>
        <w:rPr>
          <w:rFonts w:ascii="Times New Roman" w:eastAsia="方正仿宋简体" w:hAnsi="Times New Roman"/>
          <w:sz w:val="30"/>
          <w:szCs w:val="30"/>
        </w:rPr>
      </w:pPr>
    </w:p>
    <w:p w:rsidR="005727F7" w:rsidRDefault="005727F7" w:rsidP="00ED5AC7">
      <w:pPr>
        <w:spacing w:line="160" w:lineRule="exact"/>
        <w:rPr>
          <w:rFonts w:ascii="Times New Roman" w:eastAsia="方正仿宋简体" w:hAnsi="Times New Roman"/>
          <w:sz w:val="30"/>
          <w:szCs w:val="30"/>
        </w:rPr>
      </w:pPr>
    </w:p>
    <w:p w:rsidR="00ED5AC7" w:rsidRDefault="00ED5AC7" w:rsidP="00ED5AC7">
      <w:pPr>
        <w:spacing w:line="160" w:lineRule="exact"/>
        <w:rPr>
          <w:rFonts w:ascii="Times New Roman" w:eastAsia="方正仿宋简体" w:hAnsi="Times New Roman"/>
          <w:sz w:val="30"/>
          <w:szCs w:val="30"/>
        </w:rPr>
      </w:pPr>
    </w:p>
    <w:p w:rsidR="005727F7" w:rsidRDefault="005727F7" w:rsidP="00841DC6">
      <w:pPr>
        <w:spacing w:line="200" w:lineRule="exact"/>
        <w:rPr>
          <w:rFonts w:ascii="Times New Roman" w:eastAsia="方正仿宋简体" w:hAnsi="Times New Roman"/>
          <w:sz w:val="30"/>
          <w:szCs w:val="30"/>
        </w:rPr>
      </w:pPr>
    </w:p>
    <w:p w:rsidR="009220EE" w:rsidRDefault="009220EE" w:rsidP="00841DC6">
      <w:pPr>
        <w:spacing w:line="200" w:lineRule="exact"/>
        <w:rPr>
          <w:rFonts w:ascii="Times New Roman" w:eastAsia="方正仿宋简体" w:hAnsi="Times New Roman"/>
          <w:sz w:val="30"/>
          <w:szCs w:val="30"/>
        </w:rPr>
      </w:pPr>
    </w:p>
    <w:p w:rsidR="009220EE" w:rsidRDefault="009220EE" w:rsidP="00841DC6">
      <w:pPr>
        <w:spacing w:line="200" w:lineRule="exact"/>
        <w:rPr>
          <w:rFonts w:ascii="Times New Roman" w:eastAsia="方正仿宋简体" w:hAnsi="Times New Roman"/>
          <w:sz w:val="30"/>
          <w:szCs w:val="30"/>
        </w:rPr>
      </w:pPr>
    </w:p>
    <w:p w:rsidR="009220EE" w:rsidRDefault="009220EE" w:rsidP="00841DC6">
      <w:pPr>
        <w:spacing w:line="200" w:lineRule="exact"/>
        <w:rPr>
          <w:rFonts w:ascii="Times New Roman" w:eastAsia="方正仿宋简体" w:hAnsi="Times New Roman"/>
          <w:sz w:val="30"/>
          <w:szCs w:val="30"/>
        </w:rPr>
      </w:pPr>
    </w:p>
    <w:p w:rsidR="009220EE" w:rsidRDefault="009220EE" w:rsidP="00841DC6">
      <w:pPr>
        <w:spacing w:line="200" w:lineRule="exact"/>
        <w:rPr>
          <w:rFonts w:ascii="Times New Roman" w:eastAsia="方正仿宋简体" w:hAnsi="Times New Roman"/>
          <w:sz w:val="30"/>
          <w:szCs w:val="30"/>
        </w:rPr>
      </w:pPr>
    </w:p>
    <w:p w:rsidR="001C4F64" w:rsidRDefault="001C4F64" w:rsidP="00841DC6">
      <w:pPr>
        <w:spacing w:line="200" w:lineRule="exact"/>
        <w:rPr>
          <w:rFonts w:ascii="Times New Roman" w:eastAsia="方正仿宋简体" w:hAnsi="Times New Roman"/>
          <w:sz w:val="30"/>
          <w:szCs w:val="30"/>
        </w:rPr>
      </w:pPr>
    </w:p>
    <w:p w:rsidR="006E15D4" w:rsidRDefault="006E15D4" w:rsidP="00841DC6">
      <w:pPr>
        <w:spacing w:line="200" w:lineRule="exact"/>
        <w:rPr>
          <w:rFonts w:ascii="Times New Roman" w:eastAsia="方正仿宋简体" w:hAnsi="Times New Roman"/>
          <w:sz w:val="30"/>
          <w:szCs w:val="30"/>
        </w:rPr>
      </w:pPr>
    </w:p>
    <w:p w:rsidR="006E15D4" w:rsidRDefault="006E15D4" w:rsidP="00841DC6">
      <w:pPr>
        <w:spacing w:line="200" w:lineRule="exact"/>
        <w:rPr>
          <w:rFonts w:ascii="Times New Roman" w:eastAsia="方正仿宋简体" w:hAnsi="Times New Roman"/>
          <w:sz w:val="30"/>
          <w:szCs w:val="30"/>
        </w:rPr>
      </w:pPr>
    </w:p>
    <w:p w:rsidR="006E15D4" w:rsidRDefault="006E15D4" w:rsidP="00841DC6">
      <w:pPr>
        <w:spacing w:line="200" w:lineRule="exact"/>
        <w:rPr>
          <w:rFonts w:ascii="Times New Roman" w:eastAsia="方正仿宋简体" w:hAnsi="Times New Roman"/>
          <w:sz w:val="30"/>
          <w:szCs w:val="30"/>
        </w:rPr>
      </w:pPr>
    </w:p>
    <w:p w:rsidR="00F3088C" w:rsidRDefault="00F3088C" w:rsidP="00841DC6">
      <w:pPr>
        <w:spacing w:line="200" w:lineRule="exact"/>
        <w:rPr>
          <w:rFonts w:ascii="Times New Roman" w:eastAsia="方正仿宋简体" w:hAnsi="Times New Roman"/>
          <w:sz w:val="30"/>
          <w:szCs w:val="30"/>
        </w:rPr>
      </w:pPr>
    </w:p>
    <w:p w:rsidR="00F41D1B" w:rsidRDefault="00F41D1B" w:rsidP="00841DC6">
      <w:pPr>
        <w:spacing w:line="200" w:lineRule="exact"/>
        <w:rPr>
          <w:rFonts w:ascii="Times New Roman" w:eastAsia="方正仿宋简体" w:hAnsi="Times New Roman"/>
          <w:sz w:val="30"/>
          <w:szCs w:val="30"/>
        </w:rPr>
      </w:pPr>
    </w:p>
    <w:p w:rsidR="00ED5AC7" w:rsidRDefault="00ED5AC7" w:rsidP="00841DC6">
      <w:pPr>
        <w:spacing w:line="200" w:lineRule="exact"/>
        <w:rPr>
          <w:rFonts w:ascii="Times New Roman" w:eastAsia="方正仿宋简体" w:hAnsi="Times New Roman"/>
          <w:sz w:val="30"/>
          <w:szCs w:val="30"/>
        </w:rPr>
      </w:pPr>
    </w:p>
    <w:p w:rsidR="00F41D1B" w:rsidRDefault="00F41D1B" w:rsidP="00841DC6">
      <w:pPr>
        <w:spacing w:line="200" w:lineRule="exact"/>
        <w:rPr>
          <w:rFonts w:ascii="Times New Roman" w:eastAsia="方正仿宋简体" w:hAnsi="Times New Roman"/>
          <w:sz w:val="30"/>
          <w:szCs w:val="30"/>
        </w:rPr>
      </w:pPr>
    </w:p>
    <w:p w:rsidR="00DC5C5C" w:rsidRDefault="00DC5C5C" w:rsidP="00841DC6">
      <w:pPr>
        <w:spacing w:line="200" w:lineRule="exact"/>
        <w:rPr>
          <w:rFonts w:ascii="Times New Roman" w:eastAsia="方正仿宋简体" w:hAnsi="Times New Roman"/>
          <w:sz w:val="30"/>
          <w:szCs w:val="30"/>
        </w:rPr>
      </w:pPr>
    </w:p>
    <w:p w:rsidR="00DC5C5C" w:rsidRDefault="00DC5C5C" w:rsidP="00841DC6">
      <w:pPr>
        <w:spacing w:line="200" w:lineRule="exact"/>
        <w:rPr>
          <w:rFonts w:ascii="Times New Roman" w:eastAsia="方正仿宋简体" w:hAnsi="Times New Roman"/>
          <w:sz w:val="30"/>
          <w:szCs w:val="30"/>
        </w:rPr>
      </w:pPr>
    </w:p>
    <w:p w:rsidR="00DC5C5C" w:rsidRDefault="00DC5C5C" w:rsidP="00841DC6">
      <w:pPr>
        <w:spacing w:line="200" w:lineRule="exact"/>
        <w:rPr>
          <w:rFonts w:ascii="Times New Roman" w:eastAsia="方正仿宋简体" w:hAnsi="Times New Roman"/>
          <w:sz w:val="30"/>
          <w:szCs w:val="30"/>
        </w:rPr>
      </w:pPr>
    </w:p>
    <w:p w:rsidR="00DC5C5C" w:rsidRDefault="00DC5C5C" w:rsidP="00841DC6">
      <w:pPr>
        <w:spacing w:line="200" w:lineRule="exact"/>
        <w:rPr>
          <w:rFonts w:ascii="Times New Roman" w:eastAsia="方正仿宋简体" w:hAnsi="Times New Roman"/>
          <w:sz w:val="30"/>
          <w:szCs w:val="30"/>
        </w:rPr>
      </w:pPr>
    </w:p>
    <w:p w:rsidR="008D109E" w:rsidRDefault="008D109E" w:rsidP="00841DC6">
      <w:pPr>
        <w:spacing w:line="200" w:lineRule="exact"/>
        <w:rPr>
          <w:rFonts w:ascii="Times New Roman" w:eastAsia="方正仿宋简体" w:hAnsi="Times New Roman"/>
          <w:sz w:val="30"/>
          <w:szCs w:val="30"/>
        </w:rPr>
      </w:pPr>
    </w:p>
    <w:p w:rsidR="008D109E" w:rsidRDefault="008D109E" w:rsidP="00841DC6">
      <w:pPr>
        <w:spacing w:line="200" w:lineRule="exact"/>
        <w:rPr>
          <w:rFonts w:ascii="Times New Roman" w:eastAsia="方正仿宋简体" w:hAnsi="Times New Roman"/>
          <w:sz w:val="30"/>
          <w:szCs w:val="30"/>
        </w:rPr>
      </w:pPr>
    </w:p>
    <w:p w:rsidR="00194F2E" w:rsidRDefault="00194F2E" w:rsidP="00841DC6">
      <w:pPr>
        <w:spacing w:line="200" w:lineRule="exact"/>
        <w:rPr>
          <w:rFonts w:ascii="Times New Roman" w:eastAsia="方正仿宋简体" w:hAnsi="Times New Roman"/>
          <w:sz w:val="30"/>
          <w:szCs w:val="30"/>
        </w:rPr>
      </w:pPr>
    </w:p>
    <w:p w:rsidR="00385000" w:rsidRDefault="00385000" w:rsidP="00841DC6">
      <w:pPr>
        <w:spacing w:line="200" w:lineRule="exact"/>
        <w:rPr>
          <w:rFonts w:ascii="Times New Roman" w:eastAsia="方正仿宋简体" w:hAnsi="Times New Roman"/>
          <w:sz w:val="30"/>
          <w:szCs w:val="30"/>
        </w:rPr>
      </w:pPr>
    </w:p>
    <w:p w:rsidR="00ED5AC7" w:rsidRDefault="00ED5AC7" w:rsidP="00841DC6">
      <w:pPr>
        <w:spacing w:line="200" w:lineRule="exact"/>
        <w:rPr>
          <w:rFonts w:ascii="Times New Roman" w:eastAsia="方正仿宋简体" w:hAnsi="Times New Roman"/>
          <w:sz w:val="30"/>
          <w:szCs w:val="30"/>
        </w:rPr>
      </w:pPr>
    </w:p>
    <w:p w:rsidR="00385000" w:rsidRPr="002832CA" w:rsidRDefault="00385000" w:rsidP="00841DC6">
      <w:pPr>
        <w:spacing w:line="200" w:lineRule="exact"/>
        <w:rPr>
          <w:rFonts w:ascii="Times New Roman" w:eastAsia="方正仿宋简体" w:hAnsi="Times New Roman"/>
          <w:sz w:val="30"/>
          <w:szCs w:val="30"/>
        </w:rPr>
      </w:pPr>
    </w:p>
    <w:p w:rsidR="00BA39DA" w:rsidRDefault="00BA39DA" w:rsidP="00841DC6">
      <w:pPr>
        <w:spacing w:line="200" w:lineRule="exact"/>
        <w:rPr>
          <w:rFonts w:ascii="Times New Roman" w:eastAsia="方正仿宋简体" w:hAnsi="Times New Roman"/>
          <w:sz w:val="30"/>
          <w:szCs w:val="30"/>
        </w:rPr>
      </w:pPr>
    </w:p>
    <w:p w:rsidR="00A8169B" w:rsidRDefault="00A8169B" w:rsidP="00841DC6">
      <w:pPr>
        <w:spacing w:line="200" w:lineRule="exact"/>
        <w:rPr>
          <w:rFonts w:ascii="Times New Roman" w:eastAsia="方正仿宋简体" w:hAnsi="Times New Roman"/>
          <w:sz w:val="30"/>
          <w:szCs w:val="30"/>
        </w:rPr>
      </w:pPr>
    </w:p>
    <w:p w:rsidR="00480309" w:rsidRDefault="00480309" w:rsidP="00841DC6">
      <w:pPr>
        <w:spacing w:line="200" w:lineRule="exact"/>
        <w:rPr>
          <w:rFonts w:ascii="Times New Roman" w:eastAsia="方正仿宋简体" w:hAnsi="Times New Roman"/>
          <w:sz w:val="30"/>
          <w:szCs w:val="30"/>
        </w:rPr>
      </w:pPr>
    </w:p>
    <w:p w:rsidR="00DC5C5C" w:rsidRDefault="00DC5C5C" w:rsidP="00DC5C5C">
      <w:pPr>
        <w:spacing w:line="200" w:lineRule="exact"/>
        <w:rPr>
          <w:rFonts w:ascii="Times New Roman" w:eastAsia="方正仿宋简体" w:hAnsi="Times New Roman"/>
          <w:sz w:val="30"/>
          <w:szCs w:val="30"/>
        </w:rPr>
      </w:pPr>
    </w:p>
    <w:p w:rsidR="003719E0" w:rsidRDefault="003719E0" w:rsidP="003719E0">
      <w:pPr>
        <w:spacing w:line="200" w:lineRule="exact"/>
        <w:rPr>
          <w:rFonts w:ascii="Times New Roman" w:eastAsia="方正仿宋简体" w:hAnsi="Times New Roman"/>
          <w:sz w:val="30"/>
          <w:szCs w:val="30"/>
        </w:rPr>
      </w:pPr>
    </w:p>
    <w:p w:rsidR="003719E0" w:rsidRDefault="003719E0" w:rsidP="003719E0">
      <w:pPr>
        <w:spacing w:line="200" w:lineRule="exact"/>
        <w:rPr>
          <w:rFonts w:ascii="Times New Roman" w:eastAsia="方正仿宋简体" w:hAnsi="Times New Roman"/>
          <w:sz w:val="30"/>
          <w:szCs w:val="30"/>
        </w:rPr>
      </w:pPr>
    </w:p>
    <w:p w:rsidR="003719E0" w:rsidRPr="00D40370" w:rsidRDefault="003719E0" w:rsidP="003719E0">
      <w:pPr>
        <w:spacing w:line="400" w:lineRule="exact"/>
        <w:ind w:firstLineChars="10" w:firstLine="28"/>
        <w:rPr>
          <w:rFonts w:ascii="Times New Roman" w:eastAsia="方正仿宋简体" w:hAnsi="Times New Roman"/>
          <w:sz w:val="28"/>
          <w:szCs w:val="28"/>
        </w:rPr>
      </w:pPr>
      <w:r w:rsidRPr="00D40370">
        <w:rPr>
          <w:rFonts w:ascii="Times New Roman" w:eastAsia="方正仿宋简体" w:hAnsi="Times New Roman"/>
          <w:noProof/>
          <w:sz w:val="28"/>
          <w:szCs w:val="28"/>
        </w:rPr>
        <mc:AlternateContent>
          <mc:Choice Requires="wps">
            <w:drawing>
              <wp:anchor distT="4294967294" distB="4294967294" distL="114300" distR="114300" simplePos="0" relativeHeight="251665408" behindDoc="0" locked="0" layoutInCell="1" allowOverlap="1" wp14:anchorId="691FAEAE" wp14:editId="7F7D2B70">
                <wp:simplePos x="0" y="0"/>
                <wp:positionH relativeFrom="column">
                  <wp:posOffset>-71755</wp:posOffset>
                </wp:positionH>
                <wp:positionV relativeFrom="paragraph">
                  <wp:posOffset>266065</wp:posOffset>
                </wp:positionV>
                <wp:extent cx="5680710" cy="0"/>
                <wp:effectExtent l="0" t="0" r="34290" b="1905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6A0A1" id="_x0000_t32" coordsize="21600,21600" o:spt="32" o:oned="t" path="m,l21600,21600e" filled="f">
                <v:path arrowok="t" fillok="f" o:connecttype="none"/>
                <o:lock v:ext="edit" shapetype="t"/>
              </v:shapetype>
              <v:shape id="直接箭头连接符 7" o:spid="_x0000_s1026" type="#_x0000_t32" style="position:absolute;left:0;text-align:left;margin-left:-5.65pt;margin-top:20.95pt;width:447.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"/>
            </w:pict>
          </mc:Fallback>
        </mc:AlternateContent>
      </w:r>
    </w:p>
    <w:p w:rsidR="003719E0" w:rsidRPr="00457E95" w:rsidRDefault="003719E0" w:rsidP="00385000">
      <w:pPr>
        <w:spacing w:line="400" w:lineRule="exact"/>
        <w:ind w:firstLineChars="10" w:firstLine="28"/>
        <w:rPr>
          <w:rFonts w:ascii="Times New Roman" w:eastAsia="方正仿宋简体" w:hAnsi="Times New Roman"/>
          <w:sz w:val="28"/>
          <w:szCs w:val="28"/>
        </w:rPr>
      </w:pPr>
      <w:r w:rsidRPr="00475E36">
        <w:rPr>
          <w:rFonts w:ascii="Times New Roman" w:eastAsia="方正仿宋简体" w:hAnsi="Times New Roman"/>
          <w:sz w:val="28"/>
          <w:szCs w:val="28"/>
        </w:rPr>
        <w:t>分送</w:t>
      </w:r>
      <w:r w:rsidRPr="00475E36">
        <w:rPr>
          <w:rFonts w:ascii="Times New Roman" w:eastAsia="方正仿宋简体" w:hAnsi="Times New Roman"/>
          <w:sz w:val="28"/>
          <w:szCs w:val="28"/>
        </w:rPr>
        <w:t>:</w:t>
      </w:r>
      <w:r w:rsidR="00385000">
        <w:rPr>
          <w:rFonts w:ascii="Times New Roman" w:eastAsia="方正仿宋简体" w:hAnsi="Times New Roman" w:hint="eastAsia"/>
          <w:sz w:val="28"/>
          <w:szCs w:val="28"/>
        </w:rPr>
        <w:t xml:space="preserve"> </w:t>
      </w:r>
      <w:r w:rsidR="00ED5AC7">
        <w:rPr>
          <w:rFonts w:ascii="Times New Roman" w:eastAsia="方正仿宋简体" w:hAnsi="Times New Roman" w:hint="eastAsia"/>
          <w:sz w:val="28"/>
          <w:szCs w:val="28"/>
        </w:rPr>
        <w:t>法律事务部</w:t>
      </w:r>
      <w:r w:rsidR="00ED5AC7">
        <w:rPr>
          <w:rFonts w:ascii="Times New Roman" w:eastAsia="方正仿宋简体" w:hAnsi="Times New Roman"/>
          <w:sz w:val="28"/>
          <w:szCs w:val="28"/>
        </w:rPr>
        <w:t>，公司业务部</w:t>
      </w:r>
      <w:r w:rsidR="00385000">
        <w:rPr>
          <w:rFonts w:ascii="Times New Roman" w:eastAsia="方正仿宋简体" w:hAnsi="Times New Roman"/>
          <w:sz w:val="28"/>
          <w:szCs w:val="28"/>
        </w:rPr>
        <w:t>，</w:t>
      </w:r>
      <w:r w:rsidRPr="00457E95">
        <w:rPr>
          <w:rFonts w:ascii="Times New Roman" w:eastAsia="方正仿宋简体" w:hAnsi="Times New Roman" w:hint="eastAsia"/>
          <w:sz w:val="28"/>
          <w:szCs w:val="28"/>
        </w:rPr>
        <w:t>存档。</w:t>
      </w:r>
    </w:p>
    <w:p w:rsidR="003719E0" w:rsidRPr="00475E36" w:rsidRDefault="003719E0" w:rsidP="003719E0">
      <w:pPr>
        <w:snapToGrid w:val="0"/>
        <w:spacing w:line="400" w:lineRule="exact"/>
        <w:rPr>
          <w:rFonts w:ascii="Times New Roman" w:eastAsia="方正仿宋简体" w:hAnsi="Times New Roman"/>
          <w:sz w:val="28"/>
          <w:szCs w:val="28"/>
        </w:rPr>
      </w:pPr>
      <w:r w:rsidRPr="00475E36">
        <w:rPr>
          <w:rFonts w:ascii="Times New Roman" w:eastAsia="方正仿宋简体" w:hAnsi="Times New Roman"/>
          <w:noProof/>
          <w:sz w:val="28"/>
          <w:szCs w:val="28"/>
        </w:rPr>
        <w:lastRenderedPageBreak/>
        <mc:AlternateContent>
          <mc:Choice Requires="wps">
            <w:drawing>
              <wp:anchor distT="4294967294" distB="4294967294" distL="114300" distR="114300" simplePos="0" relativeHeight="251667456" behindDoc="0" locked="0" layoutInCell="1" allowOverlap="1" wp14:anchorId="7FF86CE8" wp14:editId="7876FEFB">
                <wp:simplePos x="0" y="0"/>
                <wp:positionH relativeFrom="column">
                  <wp:posOffset>-71755</wp:posOffset>
                </wp:positionH>
                <wp:positionV relativeFrom="paragraph">
                  <wp:posOffset>19685</wp:posOffset>
                </wp:positionV>
                <wp:extent cx="5680710" cy="0"/>
                <wp:effectExtent l="0" t="0" r="34290"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46749" id="直接箭头连接符 6" o:spid="_x0000_s1026" type="#_x0000_t32" style="position:absolute;left:0;text-align:left;margin-left:-5.65pt;margin-top:1.55pt;width:447.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"/>
            </w:pict>
          </mc:Fallback>
        </mc:AlternateContent>
      </w:r>
      <w:r w:rsidRPr="00475E36">
        <w:rPr>
          <w:rFonts w:ascii="Times New Roman" w:eastAsia="方正仿宋简体" w:hAnsi="Times New Roman"/>
          <w:noProof/>
          <w:sz w:val="28"/>
          <w:szCs w:val="28"/>
        </w:rPr>
        <mc:AlternateContent>
          <mc:Choice Requires="wps">
            <w:drawing>
              <wp:anchor distT="4294967294" distB="4294967294" distL="114300" distR="114300" simplePos="0" relativeHeight="251666432" behindDoc="0" locked="0" layoutInCell="1" allowOverlap="1" wp14:anchorId="0820E962" wp14:editId="71A6145D">
                <wp:simplePos x="0" y="0"/>
                <wp:positionH relativeFrom="column">
                  <wp:posOffset>-76200</wp:posOffset>
                </wp:positionH>
                <wp:positionV relativeFrom="paragraph">
                  <wp:posOffset>260985</wp:posOffset>
                </wp:positionV>
                <wp:extent cx="5680710" cy="0"/>
                <wp:effectExtent l="0" t="0" r="3429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E6D7E" id="直接箭头连接符 4" o:spid="_x0000_s1026" type="#_x0000_t32" style="position:absolute;left:0;text-align:left;margin-left:-6pt;margin-top:20.55pt;width:447.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"/>
            </w:pict>
          </mc:Fallback>
        </mc:AlternateContent>
      </w:r>
      <w:r w:rsidRPr="00475E36">
        <w:rPr>
          <w:rFonts w:ascii="Times New Roman" w:eastAsia="方正仿宋简体" w:hAnsi="Times New Roman"/>
          <w:sz w:val="28"/>
          <w:szCs w:val="28"/>
        </w:rPr>
        <w:t>全国</w:t>
      </w:r>
      <w:r>
        <w:rPr>
          <w:rFonts w:ascii="Times New Roman" w:eastAsia="方正仿宋简体" w:hAnsi="Times New Roman" w:hint="eastAsia"/>
          <w:sz w:val="28"/>
          <w:szCs w:val="28"/>
        </w:rPr>
        <w:t>股转公司</w:t>
      </w:r>
      <w:r w:rsidRPr="00475E36">
        <w:rPr>
          <w:rFonts w:ascii="Times New Roman" w:eastAsia="方正仿宋简体" w:hAnsi="Times New Roman"/>
          <w:sz w:val="28"/>
          <w:szCs w:val="28"/>
        </w:rPr>
        <w:t>综合</w:t>
      </w:r>
      <w:r>
        <w:rPr>
          <w:rFonts w:ascii="Times New Roman" w:eastAsia="方正仿宋简体" w:hAnsi="Times New Roman" w:hint="eastAsia"/>
          <w:sz w:val="28"/>
          <w:szCs w:val="28"/>
        </w:rPr>
        <w:t>事务</w:t>
      </w:r>
      <w:r w:rsidRPr="00475E36">
        <w:rPr>
          <w:rFonts w:ascii="Times New Roman" w:eastAsia="方正仿宋简体" w:hAnsi="Times New Roman"/>
          <w:sz w:val="28"/>
          <w:szCs w:val="28"/>
        </w:rPr>
        <w:t>部</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Pr>
          <w:rFonts w:ascii="Times New Roman" w:eastAsia="方正仿宋简体" w:hAnsi="Times New Roman"/>
          <w:sz w:val="28"/>
          <w:szCs w:val="28"/>
        </w:rPr>
        <w:t xml:space="preserve"> 201</w:t>
      </w:r>
      <w:r>
        <w:rPr>
          <w:rFonts w:ascii="Times New Roman" w:eastAsia="方正仿宋简体" w:hAnsi="Times New Roman" w:hint="eastAsia"/>
          <w:sz w:val="28"/>
          <w:szCs w:val="28"/>
        </w:rPr>
        <w:t>5</w:t>
      </w:r>
      <w:r w:rsidRPr="00475E36">
        <w:rPr>
          <w:rFonts w:ascii="Times New Roman" w:eastAsia="方正仿宋简体" w:hAnsi="Times New Roman"/>
          <w:sz w:val="28"/>
          <w:szCs w:val="28"/>
        </w:rPr>
        <w:t>年</w:t>
      </w:r>
      <w:r w:rsidR="00092F15">
        <w:rPr>
          <w:rFonts w:ascii="Times New Roman" w:eastAsia="方正仿宋简体" w:hAnsi="Times New Roman" w:hint="eastAsia"/>
          <w:sz w:val="28"/>
          <w:szCs w:val="28"/>
        </w:rPr>
        <w:t>9</w:t>
      </w:r>
      <w:r w:rsidRPr="00475E36">
        <w:rPr>
          <w:rFonts w:ascii="Times New Roman" w:eastAsia="方正仿宋简体" w:hAnsi="Times New Roman"/>
          <w:sz w:val="28"/>
          <w:szCs w:val="28"/>
        </w:rPr>
        <w:t>月</w:t>
      </w:r>
      <w:r w:rsidR="00ED5AC7">
        <w:rPr>
          <w:rFonts w:ascii="Times New Roman" w:eastAsia="方正仿宋简体" w:hAnsi="Times New Roman" w:hint="eastAsia"/>
          <w:sz w:val="28"/>
          <w:szCs w:val="28"/>
        </w:rPr>
        <w:t>2</w:t>
      </w:r>
      <w:r>
        <w:rPr>
          <w:rFonts w:ascii="Times New Roman" w:eastAsia="方正仿宋简体" w:hAnsi="Times New Roman" w:hint="eastAsia"/>
          <w:sz w:val="28"/>
          <w:szCs w:val="28"/>
        </w:rPr>
        <w:t>1</w:t>
      </w:r>
      <w:r w:rsidRPr="00475E36">
        <w:rPr>
          <w:rFonts w:ascii="Times New Roman" w:eastAsia="方正仿宋简体" w:hAnsi="Times New Roman"/>
          <w:sz w:val="28"/>
          <w:szCs w:val="28"/>
        </w:rPr>
        <w:t>日印发</w:t>
      </w:r>
    </w:p>
    <w:p w:rsidR="003719E0" w:rsidRPr="00DC5C5C" w:rsidRDefault="003719E0" w:rsidP="003719E0">
      <w:pPr>
        <w:snapToGrid w:val="0"/>
        <w:spacing w:line="400" w:lineRule="exact"/>
        <w:rPr>
          <w:rFonts w:ascii="Times New Roman" w:eastAsia="方正仿宋简体" w:hAnsi="Times New Roman"/>
          <w:sz w:val="28"/>
          <w:szCs w:val="28"/>
        </w:rPr>
      </w:pPr>
      <w:r w:rsidRPr="00475E36">
        <w:rPr>
          <w:rFonts w:ascii="Times New Roman" w:eastAsia="方正仿宋简体" w:hAnsi="Times New Roman"/>
          <w:sz w:val="28"/>
          <w:szCs w:val="28"/>
        </w:rPr>
        <w:t>打字</w:t>
      </w:r>
      <w:r w:rsidRPr="00475E36">
        <w:rPr>
          <w:rFonts w:ascii="Times New Roman" w:eastAsia="方正仿宋简体" w:hAnsi="Times New Roman"/>
          <w:sz w:val="28"/>
          <w:szCs w:val="28"/>
        </w:rPr>
        <w:t xml:space="preserve">: </w:t>
      </w:r>
      <w:r>
        <w:rPr>
          <w:rFonts w:ascii="Times New Roman" w:eastAsia="方正仿宋简体" w:hAnsi="Times New Roman" w:hint="eastAsia"/>
          <w:sz w:val="28"/>
          <w:szCs w:val="28"/>
        </w:rPr>
        <w:t>吴文彬</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sidR="006372EA">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 xml:space="preserve"> </w:t>
      </w:r>
      <w:r w:rsidR="00C52BCB">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 xml:space="preserve">  </w:t>
      </w:r>
      <w:r w:rsidRPr="00475E36">
        <w:rPr>
          <w:rFonts w:ascii="Times New Roman" w:eastAsia="方正仿宋简体" w:hAnsi="Times New Roman"/>
          <w:sz w:val="28"/>
          <w:szCs w:val="28"/>
        </w:rPr>
        <w:t>校对</w:t>
      </w:r>
      <w:r>
        <w:rPr>
          <w:rFonts w:ascii="Times New Roman" w:eastAsia="方正仿宋简体" w:hAnsi="Times New Roman"/>
          <w:sz w:val="28"/>
          <w:szCs w:val="28"/>
        </w:rPr>
        <w:t>:</w:t>
      </w:r>
      <w:r w:rsidRPr="00475E36">
        <w:rPr>
          <w:rFonts w:ascii="Times New Roman" w:eastAsia="方正仿宋简体" w:hAnsi="Times New Roman"/>
          <w:sz w:val="28"/>
          <w:szCs w:val="28"/>
        </w:rPr>
        <w:t xml:space="preserve"> </w:t>
      </w:r>
      <w:r w:rsidR="00ED5AC7" w:rsidRPr="00ED5AC7">
        <w:rPr>
          <w:rFonts w:ascii="Times New Roman" w:eastAsia="方正仿宋简体" w:hAnsi="Times New Roman"/>
          <w:sz w:val="28"/>
          <w:szCs w:val="28"/>
        </w:rPr>
        <w:t>时晋</w:t>
      </w:r>
      <w:r>
        <w:rPr>
          <w:rFonts w:ascii="Times New Roman" w:eastAsia="方正仿宋简体" w:hAnsi="Times New Roman" w:hint="eastAsia"/>
          <w:sz w:val="28"/>
          <w:szCs w:val="28"/>
        </w:rPr>
        <w:t xml:space="preserve"> </w:t>
      </w:r>
      <w:r w:rsidR="006372EA">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 xml:space="preserve"> </w:t>
      </w:r>
      <w:r w:rsidR="00C52BCB">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 xml:space="preserve">         </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Pr>
          <w:rFonts w:ascii="Times New Roman" w:eastAsia="方正仿宋简体" w:hAnsi="Times New Roman"/>
          <w:sz w:val="28"/>
          <w:szCs w:val="28"/>
        </w:rPr>
        <w:t xml:space="preserve"> </w:t>
      </w:r>
      <w:r>
        <w:rPr>
          <w:rFonts w:ascii="Times New Roman" w:eastAsia="方正仿宋简体" w:hAnsi="Times New Roman" w:hint="eastAsia"/>
          <w:sz w:val="28"/>
          <w:szCs w:val="28"/>
        </w:rPr>
        <w:t xml:space="preserve"> </w:t>
      </w:r>
      <w:r w:rsidRPr="00475E36">
        <w:rPr>
          <w:rFonts w:ascii="Times New Roman" w:eastAsia="方正仿宋简体" w:hAnsi="Times New Roman"/>
          <w:sz w:val="28"/>
          <w:szCs w:val="28"/>
        </w:rPr>
        <w:t>共印</w:t>
      </w:r>
      <w:r w:rsidR="00CB779E">
        <w:rPr>
          <w:rFonts w:ascii="Times New Roman" w:eastAsia="方正仿宋简体" w:hAnsi="Times New Roman" w:hint="eastAsia"/>
          <w:sz w:val="28"/>
          <w:szCs w:val="28"/>
        </w:rPr>
        <w:t>1</w:t>
      </w:r>
      <w:r w:rsidRPr="00475E36">
        <w:rPr>
          <w:rFonts w:ascii="Times New Roman" w:eastAsia="方正仿宋简体" w:hAnsi="Times New Roman"/>
          <w:sz w:val="28"/>
          <w:szCs w:val="28"/>
        </w:rPr>
        <w:t>份</w:t>
      </w:r>
    </w:p>
    <w:sectPr w:rsidR="003719E0" w:rsidRPr="00DC5C5C" w:rsidSect="00E218AB">
      <w:footerReference w:type="default" r:id="rId8"/>
      <w:pgSz w:w="11906" w:h="16838"/>
      <w:pgMar w:top="1758" w:right="1588"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D5" w:rsidRDefault="00FD5CD5" w:rsidP="00BD02EF">
      <w:r>
        <w:separator/>
      </w:r>
    </w:p>
  </w:endnote>
  <w:endnote w:type="continuationSeparator" w:id="0">
    <w:p w:rsidR="00FD5CD5" w:rsidRDefault="00FD5CD5"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992046"/>
      <w:docPartObj>
        <w:docPartGallery w:val="Page Numbers (Bottom of Page)"/>
        <w:docPartUnique/>
      </w:docPartObj>
    </w:sdtPr>
    <w:sdtEndPr/>
    <w:sdtContent>
      <w:p w:rsidR="00E67D46" w:rsidRDefault="00E67D46">
        <w:pPr>
          <w:pStyle w:val="a4"/>
          <w:jc w:val="center"/>
        </w:pPr>
        <w:r>
          <w:fldChar w:fldCharType="begin"/>
        </w:r>
        <w:r>
          <w:instrText>PAGE   \* MERGEFORMAT</w:instrText>
        </w:r>
        <w:r>
          <w:fldChar w:fldCharType="separate"/>
        </w:r>
        <w:r w:rsidR="00DA6F6B" w:rsidRPr="00DA6F6B">
          <w:rPr>
            <w:noProof/>
            <w:lang w:val="zh-CN"/>
          </w:rPr>
          <w:t>6</w:t>
        </w:r>
        <w:r>
          <w:fldChar w:fldCharType="end"/>
        </w:r>
      </w:p>
    </w:sdtContent>
  </w:sdt>
  <w:p w:rsidR="00E67D46" w:rsidRDefault="00E67D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D5" w:rsidRDefault="00FD5CD5" w:rsidP="00BD02EF">
      <w:r>
        <w:separator/>
      </w:r>
    </w:p>
  </w:footnote>
  <w:footnote w:type="continuationSeparator" w:id="0">
    <w:p w:rsidR="00FD5CD5" w:rsidRDefault="00FD5CD5"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40A5"/>
    <w:rsid w:val="00023393"/>
    <w:rsid w:val="00023918"/>
    <w:rsid w:val="000253C4"/>
    <w:rsid w:val="00027677"/>
    <w:rsid w:val="00030254"/>
    <w:rsid w:val="0003177A"/>
    <w:rsid w:val="00031819"/>
    <w:rsid w:val="0003452A"/>
    <w:rsid w:val="00034CB4"/>
    <w:rsid w:val="00034DC5"/>
    <w:rsid w:val="000350FA"/>
    <w:rsid w:val="000406E0"/>
    <w:rsid w:val="00040A29"/>
    <w:rsid w:val="00042AA7"/>
    <w:rsid w:val="000464E4"/>
    <w:rsid w:val="0004678F"/>
    <w:rsid w:val="000501AA"/>
    <w:rsid w:val="000515D0"/>
    <w:rsid w:val="000530B5"/>
    <w:rsid w:val="00057221"/>
    <w:rsid w:val="00061835"/>
    <w:rsid w:val="00070EF4"/>
    <w:rsid w:val="00073313"/>
    <w:rsid w:val="00075DDE"/>
    <w:rsid w:val="000770D6"/>
    <w:rsid w:val="00077B36"/>
    <w:rsid w:val="00087D53"/>
    <w:rsid w:val="00090A5F"/>
    <w:rsid w:val="000914B4"/>
    <w:rsid w:val="00092880"/>
    <w:rsid w:val="00092F15"/>
    <w:rsid w:val="00093565"/>
    <w:rsid w:val="00093666"/>
    <w:rsid w:val="000979F3"/>
    <w:rsid w:val="000B1D18"/>
    <w:rsid w:val="000B2000"/>
    <w:rsid w:val="000B3F90"/>
    <w:rsid w:val="000B4853"/>
    <w:rsid w:val="000B52DC"/>
    <w:rsid w:val="000B5EAA"/>
    <w:rsid w:val="000C446C"/>
    <w:rsid w:val="000C6818"/>
    <w:rsid w:val="000D7B7F"/>
    <w:rsid w:val="000E6E4C"/>
    <w:rsid w:val="000E700E"/>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224F"/>
    <w:rsid w:val="00126771"/>
    <w:rsid w:val="00126F8E"/>
    <w:rsid w:val="00127D44"/>
    <w:rsid w:val="00130AC5"/>
    <w:rsid w:val="00131C2F"/>
    <w:rsid w:val="00131FD5"/>
    <w:rsid w:val="00131FE7"/>
    <w:rsid w:val="001351B4"/>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7DEB"/>
    <w:rsid w:val="0018408C"/>
    <w:rsid w:val="00184F1F"/>
    <w:rsid w:val="001856EA"/>
    <w:rsid w:val="0018614E"/>
    <w:rsid w:val="00186237"/>
    <w:rsid w:val="001868F6"/>
    <w:rsid w:val="0019258E"/>
    <w:rsid w:val="001926CB"/>
    <w:rsid w:val="001931B8"/>
    <w:rsid w:val="00194F2E"/>
    <w:rsid w:val="00196309"/>
    <w:rsid w:val="001A4206"/>
    <w:rsid w:val="001A5588"/>
    <w:rsid w:val="001B041D"/>
    <w:rsid w:val="001B0CD9"/>
    <w:rsid w:val="001B73AB"/>
    <w:rsid w:val="001B7CCF"/>
    <w:rsid w:val="001C3A53"/>
    <w:rsid w:val="001C3B47"/>
    <w:rsid w:val="001C4F64"/>
    <w:rsid w:val="001C7F38"/>
    <w:rsid w:val="001D11CB"/>
    <w:rsid w:val="001D11E3"/>
    <w:rsid w:val="001D1DB2"/>
    <w:rsid w:val="001D2CDF"/>
    <w:rsid w:val="001E0B46"/>
    <w:rsid w:val="001E0D34"/>
    <w:rsid w:val="001E6EB7"/>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333E3"/>
    <w:rsid w:val="00236755"/>
    <w:rsid w:val="00236833"/>
    <w:rsid w:val="002473F6"/>
    <w:rsid w:val="0025096D"/>
    <w:rsid w:val="00251293"/>
    <w:rsid w:val="002536E0"/>
    <w:rsid w:val="00254F5B"/>
    <w:rsid w:val="00255F48"/>
    <w:rsid w:val="002566F5"/>
    <w:rsid w:val="0025678A"/>
    <w:rsid w:val="00256A8B"/>
    <w:rsid w:val="00260853"/>
    <w:rsid w:val="00264360"/>
    <w:rsid w:val="00267C14"/>
    <w:rsid w:val="00271211"/>
    <w:rsid w:val="002730B4"/>
    <w:rsid w:val="002735E0"/>
    <w:rsid w:val="0028118C"/>
    <w:rsid w:val="002832CA"/>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43C"/>
    <w:rsid w:val="002C0DC9"/>
    <w:rsid w:val="002C1F53"/>
    <w:rsid w:val="002C3192"/>
    <w:rsid w:val="002C4D50"/>
    <w:rsid w:val="002D3F1F"/>
    <w:rsid w:val="002E0200"/>
    <w:rsid w:val="002F1E6E"/>
    <w:rsid w:val="002F3353"/>
    <w:rsid w:val="002F4B2B"/>
    <w:rsid w:val="002F67FE"/>
    <w:rsid w:val="0030322B"/>
    <w:rsid w:val="00306CA9"/>
    <w:rsid w:val="0031218F"/>
    <w:rsid w:val="00312E97"/>
    <w:rsid w:val="00313721"/>
    <w:rsid w:val="003138A7"/>
    <w:rsid w:val="0032130E"/>
    <w:rsid w:val="00323A6D"/>
    <w:rsid w:val="00326C44"/>
    <w:rsid w:val="00326E84"/>
    <w:rsid w:val="00327855"/>
    <w:rsid w:val="003325EB"/>
    <w:rsid w:val="00333266"/>
    <w:rsid w:val="0033366F"/>
    <w:rsid w:val="00333E25"/>
    <w:rsid w:val="00336460"/>
    <w:rsid w:val="00336C12"/>
    <w:rsid w:val="003375BE"/>
    <w:rsid w:val="00337714"/>
    <w:rsid w:val="0034018B"/>
    <w:rsid w:val="003413FE"/>
    <w:rsid w:val="0034410B"/>
    <w:rsid w:val="00344237"/>
    <w:rsid w:val="00346C39"/>
    <w:rsid w:val="00350D51"/>
    <w:rsid w:val="00351852"/>
    <w:rsid w:val="003523D3"/>
    <w:rsid w:val="00353031"/>
    <w:rsid w:val="00353B57"/>
    <w:rsid w:val="00356570"/>
    <w:rsid w:val="00362652"/>
    <w:rsid w:val="00365CEC"/>
    <w:rsid w:val="003719E0"/>
    <w:rsid w:val="00373B5F"/>
    <w:rsid w:val="003810B0"/>
    <w:rsid w:val="00383400"/>
    <w:rsid w:val="00385000"/>
    <w:rsid w:val="00391E10"/>
    <w:rsid w:val="003941C0"/>
    <w:rsid w:val="003A0328"/>
    <w:rsid w:val="003A0961"/>
    <w:rsid w:val="003A2E2D"/>
    <w:rsid w:val="003B0326"/>
    <w:rsid w:val="003B4EDD"/>
    <w:rsid w:val="003B5FCF"/>
    <w:rsid w:val="003B7243"/>
    <w:rsid w:val="003C0078"/>
    <w:rsid w:val="003C0372"/>
    <w:rsid w:val="003C0D0D"/>
    <w:rsid w:val="003C2E72"/>
    <w:rsid w:val="003C4AFF"/>
    <w:rsid w:val="003C64F5"/>
    <w:rsid w:val="003C70C1"/>
    <w:rsid w:val="003D0861"/>
    <w:rsid w:val="003D2796"/>
    <w:rsid w:val="003D3C08"/>
    <w:rsid w:val="003D48CA"/>
    <w:rsid w:val="003D4B63"/>
    <w:rsid w:val="003D71BB"/>
    <w:rsid w:val="003D7933"/>
    <w:rsid w:val="003E215D"/>
    <w:rsid w:val="003E3337"/>
    <w:rsid w:val="003E6343"/>
    <w:rsid w:val="00405C7A"/>
    <w:rsid w:val="004073C0"/>
    <w:rsid w:val="00410467"/>
    <w:rsid w:val="004112D7"/>
    <w:rsid w:val="004155EF"/>
    <w:rsid w:val="00422DFD"/>
    <w:rsid w:val="004248AD"/>
    <w:rsid w:val="00425659"/>
    <w:rsid w:val="004258CD"/>
    <w:rsid w:val="00431C10"/>
    <w:rsid w:val="004412FE"/>
    <w:rsid w:val="00441CF2"/>
    <w:rsid w:val="00447E4C"/>
    <w:rsid w:val="00447EB8"/>
    <w:rsid w:val="0045247A"/>
    <w:rsid w:val="00453ED7"/>
    <w:rsid w:val="00457E95"/>
    <w:rsid w:val="00460DF6"/>
    <w:rsid w:val="004629E8"/>
    <w:rsid w:val="00462D27"/>
    <w:rsid w:val="004636C3"/>
    <w:rsid w:val="00464262"/>
    <w:rsid w:val="004667C6"/>
    <w:rsid w:val="0047156C"/>
    <w:rsid w:val="004720FD"/>
    <w:rsid w:val="00475B2E"/>
    <w:rsid w:val="00475E36"/>
    <w:rsid w:val="00480309"/>
    <w:rsid w:val="00480718"/>
    <w:rsid w:val="00481C27"/>
    <w:rsid w:val="004907BB"/>
    <w:rsid w:val="00497A41"/>
    <w:rsid w:val="004B16F2"/>
    <w:rsid w:val="004B54A2"/>
    <w:rsid w:val="004B58F2"/>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4182"/>
    <w:rsid w:val="00594416"/>
    <w:rsid w:val="00594610"/>
    <w:rsid w:val="00594CDC"/>
    <w:rsid w:val="0059595B"/>
    <w:rsid w:val="005A16C3"/>
    <w:rsid w:val="005A4BF4"/>
    <w:rsid w:val="005B1BD5"/>
    <w:rsid w:val="005B7677"/>
    <w:rsid w:val="005C235F"/>
    <w:rsid w:val="005C3297"/>
    <w:rsid w:val="005C3D38"/>
    <w:rsid w:val="005C4C02"/>
    <w:rsid w:val="005C7B94"/>
    <w:rsid w:val="005D0783"/>
    <w:rsid w:val="005D14A4"/>
    <w:rsid w:val="005D5157"/>
    <w:rsid w:val="005D5E84"/>
    <w:rsid w:val="005E5FC8"/>
    <w:rsid w:val="005E7889"/>
    <w:rsid w:val="005F65B0"/>
    <w:rsid w:val="006108D0"/>
    <w:rsid w:val="0061216D"/>
    <w:rsid w:val="00612EFA"/>
    <w:rsid w:val="00617D4B"/>
    <w:rsid w:val="00617F1A"/>
    <w:rsid w:val="006238B2"/>
    <w:rsid w:val="0063018A"/>
    <w:rsid w:val="0063103E"/>
    <w:rsid w:val="00634293"/>
    <w:rsid w:val="006372EA"/>
    <w:rsid w:val="006413D2"/>
    <w:rsid w:val="00642348"/>
    <w:rsid w:val="00642FB4"/>
    <w:rsid w:val="00646FD2"/>
    <w:rsid w:val="006508A5"/>
    <w:rsid w:val="006541B9"/>
    <w:rsid w:val="0065557B"/>
    <w:rsid w:val="006569F3"/>
    <w:rsid w:val="006577F3"/>
    <w:rsid w:val="00661591"/>
    <w:rsid w:val="006716AD"/>
    <w:rsid w:val="006736BE"/>
    <w:rsid w:val="00680308"/>
    <w:rsid w:val="006821AC"/>
    <w:rsid w:val="00686D70"/>
    <w:rsid w:val="00690B4E"/>
    <w:rsid w:val="00695889"/>
    <w:rsid w:val="006A1A60"/>
    <w:rsid w:val="006A4000"/>
    <w:rsid w:val="006A6C9A"/>
    <w:rsid w:val="006A6FE1"/>
    <w:rsid w:val="006B7D6D"/>
    <w:rsid w:val="006C0352"/>
    <w:rsid w:val="006C2998"/>
    <w:rsid w:val="006C310F"/>
    <w:rsid w:val="006C317B"/>
    <w:rsid w:val="006C7D19"/>
    <w:rsid w:val="006D1144"/>
    <w:rsid w:val="006D6786"/>
    <w:rsid w:val="006D6BD1"/>
    <w:rsid w:val="006D76DE"/>
    <w:rsid w:val="006E0452"/>
    <w:rsid w:val="006E15D4"/>
    <w:rsid w:val="006E64AE"/>
    <w:rsid w:val="006F7B98"/>
    <w:rsid w:val="00704DC6"/>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5551"/>
    <w:rsid w:val="0074587C"/>
    <w:rsid w:val="00745C48"/>
    <w:rsid w:val="00750653"/>
    <w:rsid w:val="007506D8"/>
    <w:rsid w:val="00755883"/>
    <w:rsid w:val="0076142A"/>
    <w:rsid w:val="0076251E"/>
    <w:rsid w:val="00765B6D"/>
    <w:rsid w:val="007665B5"/>
    <w:rsid w:val="00767AFC"/>
    <w:rsid w:val="00772A50"/>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4B0D"/>
    <w:rsid w:val="008566B7"/>
    <w:rsid w:val="00860654"/>
    <w:rsid w:val="00864DCA"/>
    <w:rsid w:val="00864EE1"/>
    <w:rsid w:val="008654AF"/>
    <w:rsid w:val="00865B27"/>
    <w:rsid w:val="008673CB"/>
    <w:rsid w:val="00870868"/>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C314A"/>
    <w:rsid w:val="008C3177"/>
    <w:rsid w:val="008C5972"/>
    <w:rsid w:val="008C643D"/>
    <w:rsid w:val="008C78D2"/>
    <w:rsid w:val="008D109E"/>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EEF"/>
    <w:rsid w:val="009E3451"/>
    <w:rsid w:val="009E65FD"/>
    <w:rsid w:val="009F0843"/>
    <w:rsid w:val="009F68D1"/>
    <w:rsid w:val="00A00F12"/>
    <w:rsid w:val="00A0147F"/>
    <w:rsid w:val="00A0639E"/>
    <w:rsid w:val="00A10B71"/>
    <w:rsid w:val="00A115FB"/>
    <w:rsid w:val="00A11E0C"/>
    <w:rsid w:val="00A17BBA"/>
    <w:rsid w:val="00A2109A"/>
    <w:rsid w:val="00A21B31"/>
    <w:rsid w:val="00A221DA"/>
    <w:rsid w:val="00A2464B"/>
    <w:rsid w:val="00A254DD"/>
    <w:rsid w:val="00A302D2"/>
    <w:rsid w:val="00A31158"/>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8425D"/>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08E8"/>
    <w:rsid w:val="00C51537"/>
    <w:rsid w:val="00C52BCB"/>
    <w:rsid w:val="00C55A78"/>
    <w:rsid w:val="00C5671A"/>
    <w:rsid w:val="00C569E6"/>
    <w:rsid w:val="00C638EA"/>
    <w:rsid w:val="00C66427"/>
    <w:rsid w:val="00C70B25"/>
    <w:rsid w:val="00C70E2E"/>
    <w:rsid w:val="00C72022"/>
    <w:rsid w:val="00C734BA"/>
    <w:rsid w:val="00C7674C"/>
    <w:rsid w:val="00C81251"/>
    <w:rsid w:val="00C83FCB"/>
    <w:rsid w:val="00C84CC6"/>
    <w:rsid w:val="00C85723"/>
    <w:rsid w:val="00C90B3D"/>
    <w:rsid w:val="00CA6562"/>
    <w:rsid w:val="00CA73A3"/>
    <w:rsid w:val="00CB2104"/>
    <w:rsid w:val="00CB29C3"/>
    <w:rsid w:val="00CB2C39"/>
    <w:rsid w:val="00CB779E"/>
    <w:rsid w:val="00CC66AC"/>
    <w:rsid w:val="00CD060D"/>
    <w:rsid w:val="00CD2057"/>
    <w:rsid w:val="00CD3B61"/>
    <w:rsid w:val="00CD49B7"/>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5747C"/>
    <w:rsid w:val="00D63B60"/>
    <w:rsid w:val="00D65F3D"/>
    <w:rsid w:val="00D72982"/>
    <w:rsid w:val="00D82381"/>
    <w:rsid w:val="00D861D2"/>
    <w:rsid w:val="00D91A18"/>
    <w:rsid w:val="00D939F4"/>
    <w:rsid w:val="00D950F4"/>
    <w:rsid w:val="00D97FC6"/>
    <w:rsid w:val="00DA6F6B"/>
    <w:rsid w:val="00DA7FAE"/>
    <w:rsid w:val="00DB538D"/>
    <w:rsid w:val="00DB5FCC"/>
    <w:rsid w:val="00DC5B69"/>
    <w:rsid w:val="00DC5BA4"/>
    <w:rsid w:val="00DC5C5C"/>
    <w:rsid w:val="00DC6B41"/>
    <w:rsid w:val="00DC75AD"/>
    <w:rsid w:val="00DD26E8"/>
    <w:rsid w:val="00DD5E1F"/>
    <w:rsid w:val="00DD7D54"/>
    <w:rsid w:val="00DE29BF"/>
    <w:rsid w:val="00DE3662"/>
    <w:rsid w:val="00DE3C5D"/>
    <w:rsid w:val="00DE3F58"/>
    <w:rsid w:val="00DE56E6"/>
    <w:rsid w:val="00DF2216"/>
    <w:rsid w:val="00DF42AF"/>
    <w:rsid w:val="00E01110"/>
    <w:rsid w:val="00E021CC"/>
    <w:rsid w:val="00E052D2"/>
    <w:rsid w:val="00E11D28"/>
    <w:rsid w:val="00E12192"/>
    <w:rsid w:val="00E154E8"/>
    <w:rsid w:val="00E15745"/>
    <w:rsid w:val="00E218AB"/>
    <w:rsid w:val="00E21C26"/>
    <w:rsid w:val="00E21C73"/>
    <w:rsid w:val="00E22954"/>
    <w:rsid w:val="00E25FD5"/>
    <w:rsid w:val="00E2640B"/>
    <w:rsid w:val="00E31176"/>
    <w:rsid w:val="00E33900"/>
    <w:rsid w:val="00E3637F"/>
    <w:rsid w:val="00E40F19"/>
    <w:rsid w:val="00E4269F"/>
    <w:rsid w:val="00E42B7D"/>
    <w:rsid w:val="00E44656"/>
    <w:rsid w:val="00E4794C"/>
    <w:rsid w:val="00E528D3"/>
    <w:rsid w:val="00E538E2"/>
    <w:rsid w:val="00E57502"/>
    <w:rsid w:val="00E62E8C"/>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2666"/>
    <w:rsid w:val="00EB2F80"/>
    <w:rsid w:val="00EB3A63"/>
    <w:rsid w:val="00EB6728"/>
    <w:rsid w:val="00EC3756"/>
    <w:rsid w:val="00EC5E22"/>
    <w:rsid w:val="00EC6D2E"/>
    <w:rsid w:val="00ED1939"/>
    <w:rsid w:val="00ED5AC7"/>
    <w:rsid w:val="00ED6C71"/>
    <w:rsid w:val="00ED6EBB"/>
    <w:rsid w:val="00ED7353"/>
    <w:rsid w:val="00EE079A"/>
    <w:rsid w:val="00EE3B19"/>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51B82"/>
    <w:rsid w:val="00F56CE7"/>
    <w:rsid w:val="00F60524"/>
    <w:rsid w:val="00F60966"/>
    <w:rsid w:val="00F626D1"/>
    <w:rsid w:val="00F6453E"/>
    <w:rsid w:val="00F65A21"/>
    <w:rsid w:val="00F71A7E"/>
    <w:rsid w:val="00F728CD"/>
    <w:rsid w:val="00F72A4B"/>
    <w:rsid w:val="00F85D0F"/>
    <w:rsid w:val="00F864FE"/>
    <w:rsid w:val="00F878AF"/>
    <w:rsid w:val="00F950BF"/>
    <w:rsid w:val="00F96369"/>
    <w:rsid w:val="00F979D5"/>
    <w:rsid w:val="00FA0AC6"/>
    <w:rsid w:val="00FA35A4"/>
    <w:rsid w:val="00FA5ADF"/>
    <w:rsid w:val="00FB3248"/>
    <w:rsid w:val="00FD5CD5"/>
    <w:rsid w:val="00FE028E"/>
    <w:rsid w:val="00FE7164"/>
    <w:rsid w:val="00FF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6BF30-3606-4CFC-AE14-5D168235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basedOn w:val="a0"/>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basedOn w:val="a0"/>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 w:type="character" w:styleId="a7">
    <w:name w:val="Hyperlink"/>
    <w:uiPriority w:val="99"/>
    <w:unhideWhenUsed/>
    <w:rsid w:val="007810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373241016">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95789501">
      <w:bodyDiv w:val="1"/>
      <w:marLeft w:val="0"/>
      <w:marRight w:val="0"/>
      <w:marTop w:val="0"/>
      <w:marBottom w:val="0"/>
      <w:divBdr>
        <w:top w:val="none" w:sz="0" w:space="0" w:color="auto"/>
        <w:left w:val="none" w:sz="0" w:space="0" w:color="auto"/>
        <w:bottom w:val="none" w:sz="0" w:space="0" w:color="auto"/>
        <w:right w:val="none" w:sz="0" w:space="0" w:color="auto"/>
      </w:divBdr>
    </w:div>
    <w:div w:id="723605063">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81616440">
      <w:bodyDiv w:val="1"/>
      <w:marLeft w:val="0"/>
      <w:marRight w:val="0"/>
      <w:marTop w:val="0"/>
      <w:marBottom w:val="0"/>
      <w:divBdr>
        <w:top w:val="none" w:sz="0" w:space="0" w:color="auto"/>
        <w:left w:val="none" w:sz="0" w:space="0" w:color="auto"/>
        <w:bottom w:val="none" w:sz="0" w:space="0" w:color="auto"/>
        <w:right w:val="none" w:sz="0" w:space="0" w:color="auto"/>
      </w:divBdr>
    </w:div>
    <w:div w:id="1306159939">
      <w:bodyDiv w:val="1"/>
      <w:marLeft w:val="0"/>
      <w:marRight w:val="0"/>
      <w:marTop w:val="0"/>
      <w:marBottom w:val="0"/>
      <w:divBdr>
        <w:top w:val="none" w:sz="0" w:space="0" w:color="auto"/>
        <w:left w:val="none" w:sz="0" w:space="0" w:color="auto"/>
        <w:bottom w:val="none" w:sz="0" w:space="0" w:color="auto"/>
        <w:right w:val="none" w:sz="0" w:space="0" w:color="auto"/>
      </w:divBdr>
    </w:div>
    <w:div w:id="1350181537">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720322441">
      <w:bodyDiv w:val="1"/>
      <w:marLeft w:val="0"/>
      <w:marRight w:val="0"/>
      <w:marTop w:val="0"/>
      <w:marBottom w:val="0"/>
      <w:divBdr>
        <w:top w:val="none" w:sz="0" w:space="0" w:color="auto"/>
        <w:left w:val="none" w:sz="0" w:space="0" w:color="auto"/>
        <w:bottom w:val="none" w:sz="0" w:space="0" w:color="auto"/>
        <w:right w:val="none" w:sz="0" w:space="0" w:color="auto"/>
      </w:divBdr>
    </w:div>
    <w:div w:id="1775438564">
      <w:bodyDiv w:val="1"/>
      <w:marLeft w:val="0"/>
      <w:marRight w:val="0"/>
      <w:marTop w:val="0"/>
      <w:marBottom w:val="0"/>
      <w:divBdr>
        <w:top w:val="none" w:sz="0" w:space="0" w:color="auto"/>
        <w:left w:val="none" w:sz="0" w:space="0" w:color="auto"/>
        <w:bottom w:val="none" w:sz="0" w:space="0" w:color="auto"/>
        <w:right w:val="none" w:sz="0" w:space="0" w:color="auto"/>
      </w:divBdr>
    </w:div>
    <w:div w:id="2001227757">
      <w:bodyDiv w:val="1"/>
      <w:marLeft w:val="0"/>
      <w:marRight w:val="0"/>
      <w:marTop w:val="0"/>
      <w:marBottom w:val="0"/>
      <w:divBdr>
        <w:top w:val="none" w:sz="0" w:space="0" w:color="auto"/>
        <w:left w:val="none" w:sz="0" w:space="0" w:color="auto"/>
        <w:bottom w:val="none" w:sz="0" w:space="0" w:color="auto"/>
        <w:right w:val="none" w:sz="0" w:space="0" w:color="auto"/>
      </w:divBdr>
    </w:div>
    <w:div w:id="2055080040">
      <w:bodyDiv w:val="1"/>
      <w:marLeft w:val="0"/>
      <w:marRight w:val="0"/>
      <w:marTop w:val="0"/>
      <w:marBottom w:val="0"/>
      <w:divBdr>
        <w:top w:val="none" w:sz="0" w:space="0" w:color="auto"/>
        <w:left w:val="none" w:sz="0" w:space="0" w:color="auto"/>
        <w:bottom w:val="none" w:sz="0" w:space="0" w:color="auto"/>
        <w:right w:val="none" w:sz="0" w:space="0" w:color="auto"/>
      </w:divBdr>
    </w:div>
    <w:div w:id="2069375556">
      <w:bodyDiv w:val="1"/>
      <w:marLeft w:val="0"/>
      <w:marRight w:val="0"/>
      <w:marTop w:val="0"/>
      <w:marBottom w:val="0"/>
      <w:divBdr>
        <w:top w:val="none" w:sz="0" w:space="0" w:color="auto"/>
        <w:left w:val="none" w:sz="0" w:space="0" w:color="auto"/>
        <w:bottom w:val="none" w:sz="0" w:space="0" w:color="auto"/>
        <w:right w:val="none" w:sz="0" w:space="0" w:color="auto"/>
      </w:divBdr>
    </w:div>
    <w:div w:id="2099448202">
      <w:bodyDiv w:val="1"/>
      <w:marLeft w:val="0"/>
      <w:marRight w:val="0"/>
      <w:marTop w:val="0"/>
      <w:marBottom w:val="0"/>
      <w:divBdr>
        <w:top w:val="none" w:sz="0" w:space="0" w:color="auto"/>
        <w:left w:val="none" w:sz="0" w:space="0" w:color="auto"/>
        <w:bottom w:val="none" w:sz="0" w:space="0" w:color="auto"/>
        <w:right w:val="none" w:sz="0" w:space="0" w:color="auto"/>
      </w:divBdr>
    </w:div>
    <w:div w:id="2129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9692-94A0-4D7E-875E-3BD069F6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14</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向春丞xcc</cp:lastModifiedBy>
  <cp:revision>417</cp:revision>
  <cp:lastPrinted>2015-08-19T07:06:00Z</cp:lastPrinted>
  <dcterms:created xsi:type="dcterms:W3CDTF">2014-03-24T03:11:00Z</dcterms:created>
  <dcterms:modified xsi:type="dcterms:W3CDTF">2015-09-22T02:42:00Z</dcterms:modified>
</cp:coreProperties>
</file>