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862" w:rsidRPr="009F2C0C" w:rsidRDefault="004116B9">
      <w:pPr>
        <w:widowControl/>
        <w:jc w:val="left"/>
        <w:rPr>
          <w:rFonts w:asciiTheme="minorEastAsia" w:hAnsiTheme="minorEastAsia"/>
          <w:szCs w:val="21"/>
        </w:rPr>
      </w:pPr>
      <w:r>
        <w:rPr>
          <w:rFonts w:asciiTheme="minorEastAsia" w:hAnsiTheme="minorEastAsia"/>
          <w:noProof/>
          <w:szCs w:val="21"/>
        </w:rPr>
        <w:drawing>
          <wp:anchor distT="0" distB="0" distL="114300" distR="114300" simplePos="0" relativeHeight="251658240" behindDoc="0" locked="0" layoutInCell="1" allowOverlap="1">
            <wp:simplePos x="0" y="0"/>
            <wp:positionH relativeFrom="column">
              <wp:posOffset>-1174750</wp:posOffset>
            </wp:positionH>
            <wp:positionV relativeFrom="paragraph">
              <wp:posOffset>-1440180</wp:posOffset>
            </wp:positionV>
            <wp:extent cx="7573645" cy="10717530"/>
            <wp:effectExtent l="19050" t="0" r="8255" b="0"/>
            <wp:wrapSquare wrapText="bothSides"/>
            <wp:docPr id="1" name="图片 0" descr="研究报告模板-4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4P-01.jpg"/>
                    <pic:cNvPicPr/>
                  </pic:nvPicPr>
                  <pic:blipFill>
                    <a:blip r:embed="rId8" cstate="print"/>
                    <a:stretch>
                      <a:fillRect/>
                    </a:stretch>
                  </pic:blipFill>
                  <pic:spPr>
                    <a:xfrm>
                      <a:off x="0" y="0"/>
                      <a:ext cx="7573645" cy="10717530"/>
                    </a:xfrm>
                    <a:prstGeom prst="rect">
                      <a:avLst/>
                    </a:prstGeom>
                  </pic:spPr>
                </pic:pic>
              </a:graphicData>
            </a:graphic>
          </wp:anchor>
        </w:drawing>
      </w:r>
      <w:r w:rsidR="00CB3A58">
        <w:rPr>
          <w:rFonts w:asciiTheme="minorEastAsia" w:hAnsiTheme="minorEastAsia"/>
          <w:noProof/>
          <w:szCs w:val="21"/>
        </w:rPr>
        <w:pict>
          <v:shapetype id="_x0000_t202" coordsize="21600,21600" o:spt="202" path="m,l,21600r21600,l21600,xe">
            <v:stroke joinstyle="miter"/>
            <v:path gradientshapeok="t" o:connecttype="rect"/>
          </v:shapetype>
          <v:shape id="_x0000_s1032" type="#_x0000_t202" style="position:absolute;margin-left:111.15pt;margin-top:-172.15pt;width:230.3pt;height:47.25pt;z-index:251664384;mso-position-horizontal-relative:text;mso-position-vertical-relative:text;v-text-anchor:middle" filled="f" stroked="f">
            <v:textbox style="mso-next-textbox:#_x0000_s1032">
              <w:txbxContent>
                <w:p w:rsidR="00C816C9" w:rsidRPr="00864862" w:rsidRDefault="00C816C9" w:rsidP="005602C4">
                  <w:pPr>
                    <w:jc w:val="center"/>
                    <w:rPr>
                      <w:rFonts w:ascii="黑体" w:eastAsia="黑体" w:hAnsi="黑体"/>
                      <w:b/>
                      <w:color w:val="7B2427"/>
                      <w:sz w:val="32"/>
                      <w:szCs w:val="32"/>
                    </w:rPr>
                  </w:pPr>
                  <w:r w:rsidRPr="00864862">
                    <w:rPr>
                      <w:rFonts w:ascii="黑体" w:eastAsia="黑体" w:hAnsi="黑体" w:hint="eastAsia"/>
                      <w:b/>
                      <w:color w:val="7B2427"/>
                      <w:sz w:val="32"/>
                      <w:szCs w:val="32"/>
                    </w:rPr>
                    <w:t>2013年</w:t>
                  </w:r>
                  <w:r w:rsidR="00616C93">
                    <w:rPr>
                      <w:rFonts w:ascii="黑体" w:eastAsia="黑体" w:hAnsi="黑体" w:hint="eastAsia"/>
                      <w:b/>
                      <w:color w:val="7B2427"/>
                      <w:sz w:val="32"/>
                      <w:szCs w:val="32"/>
                    </w:rPr>
                    <w:t>1</w:t>
                  </w:r>
                  <w:r w:rsidR="00C21748">
                    <w:rPr>
                      <w:rFonts w:ascii="黑体" w:eastAsia="黑体" w:hAnsi="黑体" w:hint="eastAsia"/>
                      <w:b/>
                      <w:color w:val="7B2427"/>
                      <w:sz w:val="32"/>
                      <w:szCs w:val="32"/>
                    </w:rPr>
                    <w:t>1</w:t>
                  </w:r>
                  <w:r w:rsidR="00616C93">
                    <w:rPr>
                      <w:rFonts w:ascii="黑体" w:eastAsia="黑体" w:hAnsi="黑体" w:hint="eastAsia"/>
                      <w:b/>
                      <w:color w:val="7B2427"/>
                      <w:sz w:val="32"/>
                      <w:szCs w:val="32"/>
                    </w:rPr>
                    <w:t>月</w:t>
                  </w:r>
                </w:p>
              </w:txbxContent>
            </v:textbox>
          </v:shape>
        </w:pict>
      </w:r>
      <w:r w:rsidR="00CB3A58">
        <w:rPr>
          <w:rFonts w:asciiTheme="minorEastAsia" w:hAnsiTheme="minorEastAsia"/>
          <w:noProof/>
          <w:szCs w:val="21"/>
        </w:rPr>
        <w:pict>
          <v:shape id="_x0000_s1029" type="#_x0000_t202" style="position:absolute;margin-left:274.5pt;margin-top:-303.4pt;width:45pt;height:75pt;z-index:251662336;mso-position-horizontal-relative:text;mso-position-vertical-relative:text" filled="f" stroked="f">
            <v:textbox style="layout-flow:vertical-ideographic;mso-next-textbox:#_x0000_s1029">
              <w:txbxContent>
                <w:p w:rsidR="00C816C9" w:rsidRPr="00DA36E5" w:rsidRDefault="00616C93" w:rsidP="009B3928">
                  <w:pPr>
                    <w:rPr>
                      <w:rFonts w:ascii="黑体" w:eastAsia="黑体" w:hAnsi="黑体"/>
                      <w:b/>
                      <w:color w:val="7B2427"/>
                      <w:sz w:val="32"/>
                      <w:szCs w:val="32"/>
                    </w:rPr>
                  </w:pPr>
                  <w:r>
                    <w:rPr>
                      <w:rFonts w:ascii="黑体" w:eastAsia="黑体" w:hAnsi="黑体" w:hint="eastAsia"/>
                      <w:b/>
                      <w:color w:val="7B2427"/>
                      <w:sz w:val="32"/>
                      <w:szCs w:val="32"/>
                    </w:rPr>
                    <w:t>信托计划</w:t>
                  </w:r>
                </w:p>
              </w:txbxContent>
            </v:textbox>
          </v:shape>
        </w:pict>
      </w:r>
      <w:r w:rsidR="000F55A9" w:rsidRPr="009F2C0C">
        <w:rPr>
          <w:rFonts w:asciiTheme="minorEastAsia" w:hAnsiTheme="minorEastAsia"/>
          <w:szCs w:val="21"/>
        </w:rPr>
        <w:br w:type="page"/>
      </w:r>
    </w:p>
    <w:p w:rsidR="00616C93" w:rsidRPr="00616C93" w:rsidRDefault="00F15957" w:rsidP="00616C93">
      <w:pPr>
        <w:pStyle w:val="a6"/>
        <w:numPr>
          <w:ilvl w:val="0"/>
          <w:numId w:val="1"/>
        </w:numPr>
        <w:spacing w:line="360" w:lineRule="auto"/>
        <w:ind w:firstLineChars="0"/>
        <w:rPr>
          <w:rFonts w:asciiTheme="minorEastAsia" w:hAnsiTheme="minorEastAsia"/>
          <w:b/>
          <w:szCs w:val="21"/>
        </w:rPr>
      </w:pPr>
      <w:r>
        <w:rPr>
          <w:rFonts w:asciiTheme="minorEastAsia" w:hAnsiTheme="minorEastAsia"/>
          <w:b/>
          <w:noProof/>
          <w:szCs w:val="21"/>
        </w:rPr>
        <w:lastRenderedPageBreak/>
        <w:drawing>
          <wp:anchor distT="0" distB="0" distL="114300" distR="114300" simplePos="0" relativeHeight="251883520" behindDoc="1" locked="0" layoutInCell="1" allowOverlap="1">
            <wp:simplePos x="0" y="0"/>
            <wp:positionH relativeFrom="column">
              <wp:posOffset>6574155</wp:posOffset>
            </wp:positionH>
            <wp:positionV relativeFrom="paragraph">
              <wp:posOffset>-1440180</wp:posOffset>
            </wp:positionV>
            <wp:extent cx="7562850" cy="10706100"/>
            <wp:effectExtent l="19050" t="0" r="0" b="0"/>
            <wp:wrapNone/>
            <wp:docPr id="15"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r w:rsidR="003C1C96" w:rsidRPr="00DE48DB">
        <w:rPr>
          <w:rFonts w:asciiTheme="minorEastAsia" w:hAnsiTheme="minorEastAsia"/>
          <w:b/>
          <w:noProof/>
          <w:szCs w:val="21"/>
        </w:rPr>
        <w:drawing>
          <wp:anchor distT="0" distB="0" distL="114300" distR="114300" simplePos="0" relativeHeight="251745280" behindDoc="1" locked="0" layoutInCell="1" allowOverlap="1">
            <wp:simplePos x="0" y="0"/>
            <wp:positionH relativeFrom="column">
              <wp:posOffset>-1121782</wp:posOffset>
            </wp:positionH>
            <wp:positionV relativeFrom="paragraph">
              <wp:posOffset>-1438367</wp:posOffset>
            </wp:positionV>
            <wp:extent cx="7571932" cy="10714007"/>
            <wp:effectExtent l="19050" t="0" r="0" b="0"/>
            <wp:wrapNone/>
            <wp:docPr id="10"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71932" cy="10714007"/>
                    </a:xfrm>
                    <a:prstGeom prst="rect">
                      <a:avLst/>
                    </a:prstGeom>
                  </pic:spPr>
                </pic:pic>
              </a:graphicData>
            </a:graphic>
          </wp:anchor>
        </w:drawing>
      </w:r>
      <w:r w:rsidR="00CB3A58">
        <w:rPr>
          <w:rFonts w:asciiTheme="minorEastAsia" w:hAnsiTheme="minorEastAsia"/>
          <w:b/>
          <w:noProof/>
          <w:szCs w:val="21"/>
        </w:rPr>
        <w:pict>
          <v:shape id="_x0000_s1068" type="#_x0000_t202" style="position:absolute;left:0;text-align:left;margin-left:247.8pt;margin-top:-56.4pt;width:223.5pt;height:38.4pt;z-index:251743232;mso-height-percent:200;mso-position-horizontal-relative:text;mso-position-vertical-relative:text;mso-height-percent:200;mso-width-relative:margin;mso-height-relative:margin" filled="f" stroked="f">
            <v:textbox style="mso-next-textbox:#_x0000_s1068;mso-fit-shape-to-text:t">
              <w:txbxContent>
                <w:p w:rsidR="006004CE" w:rsidRPr="00676CF6" w:rsidRDefault="006004CE" w:rsidP="006004CE">
                  <w:pPr>
                    <w:rPr>
                      <w:rFonts w:ascii="黑体" w:eastAsia="黑体" w:hAnsi="黑体"/>
                      <w:color w:val="7B2427"/>
                      <w:sz w:val="36"/>
                      <w:szCs w:val="36"/>
                    </w:rPr>
                  </w:pPr>
                  <w:r>
                    <w:rPr>
                      <w:rFonts w:ascii="黑体" w:eastAsia="黑体" w:hAnsi="黑体" w:hint="eastAsia"/>
                      <w:color w:val="7B2427"/>
                      <w:sz w:val="36"/>
                      <w:szCs w:val="36"/>
                    </w:rPr>
                    <w:t>研究报告</w:t>
                  </w:r>
                  <w:r w:rsidRPr="00676CF6">
                    <w:rPr>
                      <w:rFonts w:ascii="黑体" w:eastAsia="黑体" w:hAnsi="黑体" w:hint="eastAsia"/>
                      <w:color w:val="7B2427"/>
                      <w:sz w:val="36"/>
                      <w:szCs w:val="36"/>
                    </w:rPr>
                    <w:t>—</w:t>
                  </w:r>
                  <w:r w:rsidR="00616C93">
                    <w:rPr>
                      <w:rFonts w:ascii="黑体" w:eastAsia="黑体" w:hAnsi="黑体" w:hint="eastAsia"/>
                      <w:color w:val="7B2427"/>
                      <w:sz w:val="36"/>
                      <w:szCs w:val="36"/>
                    </w:rPr>
                    <w:t>信托计划</w:t>
                  </w:r>
                </w:p>
              </w:txbxContent>
            </v:textbox>
          </v:shape>
        </w:pict>
      </w:r>
      <w:r w:rsidR="00616C93">
        <w:rPr>
          <w:rFonts w:asciiTheme="minorEastAsia" w:hAnsiTheme="minorEastAsia" w:hint="eastAsia"/>
          <w:b/>
          <w:szCs w:val="21"/>
        </w:rPr>
        <w:t>市场流动性观察</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10</w:t>
      </w:r>
      <w:r w:rsidRPr="00616C93">
        <w:rPr>
          <w:rFonts w:asciiTheme="minorHAnsi" w:eastAsiaTheme="majorEastAsia" w:hAnsiTheme="majorEastAsia"/>
          <w:color w:val="333333"/>
          <w:sz w:val="21"/>
          <w:szCs w:val="21"/>
        </w:rPr>
        <w:t>月份，资金面本周市场资金面仍然偏紧，国庆过后市场利率并未出现明显的回落，月末市场利率更是飙升。</w:t>
      </w:r>
      <w:proofErr w:type="spellStart"/>
      <w:r w:rsidRPr="00616C93">
        <w:rPr>
          <w:rFonts w:asciiTheme="minorHAnsi" w:eastAsiaTheme="majorEastAsia" w:hAnsiTheme="minorHAnsi"/>
          <w:color w:val="333333"/>
          <w:sz w:val="21"/>
          <w:szCs w:val="21"/>
        </w:rPr>
        <w:t>shibor</w:t>
      </w:r>
      <w:proofErr w:type="spellEnd"/>
      <w:r w:rsidRPr="00616C93">
        <w:rPr>
          <w:rFonts w:asciiTheme="minorHAnsi" w:eastAsiaTheme="majorEastAsia" w:hAnsiTheme="majorEastAsia"/>
          <w:color w:val="333333"/>
          <w:sz w:val="21"/>
          <w:szCs w:val="21"/>
        </w:rPr>
        <w:t>隔夜利率、</w:t>
      </w:r>
      <w:r w:rsidRPr="00616C93">
        <w:rPr>
          <w:rFonts w:asciiTheme="minorHAnsi" w:eastAsiaTheme="majorEastAsia" w:hAnsiTheme="minorHAnsi"/>
          <w:color w:val="333333"/>
          <w:sz w:val="21"/>
          <w:szCs w:val="21"/>
        </w:rPr>
        <w:t>1</w:t>
      </w:r>
      <w:r w:rsidRPr="00616C93">
        <w:rPr>
          <w:rFonts w:asciiTheme="minorHAnsi" w:eastAsiaTheme="majorEastAsia" w:hAnsiTheme="majorEastAsia"/>
          <w:color w:val="333333"/>
          <w:sz w:val="21"/>
          <w:szCs w:val="21"/>
        </w:rPr>
        <w:t>周利率、</w:t>
      </w:r>
      <w:r w:rsidRPr="00616C93">
        <w:rPr>
          <w:rFonts w:asciiTheme="minorHAnsi" w:eastAsiaTheme="majorEastAsia" w:hAnsiTheme="minorHAnsi"/>
          <w:color w:val="333333"/>
          <w:sz w:val="21"/>
          <w:szCs w:val="21"/>
        </w:rPr>
        <w:t>2</w:t>
      </w:r>
      <w:r w:rsidRPr="00616C93">
        <w:rPr>
          <w:rFonts w:asciiTheme="minorHAnsi" w:eastAsiaTheme="majorEastAsia" w:hAnsiTheme="majorEastAsia"/>
          <w:color w:val="333333"/>
          <w:sz w:val="21"/>
          <w:szCs w:val="21"/>
        </w:rPr>
        <w:t>周利率、</w:t>
      </w:r>
      <w:r w:rsidRPr="00616C93">
        <w:rPr>
          <w:rFonts w:asciiTheme="minorHAnsi" w:eastAsiaTheme="majorEastAsia" w:hAnsiTheme="minorHAnsi"/>
          <w:color w:val="333333"/>
          <w:sz w:val="21"/>
          <w:szCs w:val="21"/>
        </w:rPr>
        <w:t>1</w:t>
      </w:r>
      <w:r w:rsidRPr="00616C93">
        <w:rPr>
          <w:rFonts w:asciiTheme="minorHAnsi" w:eastAsiaTheme="majorEastAsia" w:hAnsiTheme="majorEastAsia"/>
          <w:color w:val="333333"/>
          <w:sz w:val="21"/>
          <w:szCs w:val="21"/>
        </w:rPr>
        <w:t>个月利率以及</w:t>
      </w:r>
      <w:r w:rsidRPr="00616C93">
        <w:rPr>
          <w:rFonts w:asciiTheme="minorHAnsi" w:eastAsiaTheme="majorEastAsia" w:hAnsiTheme="minorHAnsi"/>
          <w:color w:val="333333"/>
          <w:sz w:val="21"/>
          <w:szCs w:val="21"/>
        </w:rPr>
        <w:t>3</w:t>
      </w:r>
      <w:r w:rsidRPr="00616C93">
        <w:rPr>
          <w:rFonts w:asciiTheme="minorHAnsi" w:eastAsiaTheme="majorEastAsia" w:hAnsiTheme="majorEastAsia"/>
          <w:color w:val="333333"/>
          <w:sz w:val="21"/>
          <w:szCs w:val="21"/>
        </w:rPr>
        <w:t>个月利率均有不同程度上涨。</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10</w:t>
      </w:r>
      <w:r w:rsidRPr="00616C93">
        <w:rPr>
          <w:rFonts w:asciiTheme="minorHAnsi" w:eastAsiaTheme="majorEastAsia" w:hAnsiTheme="majorEastAsia"/>
          <w:color w:val="333333"/>
          <w:sz w:val="21"/>
          <w:szCs w:val="21"/>
        </w:rPr>
        <w:t>月隔夜</w:t>
      </w:r>
      <w:r w:rsidRPr="00616C93">
        <w:rPr>
          <w:rFonts w:asciiTheme="minorHAnsi" w:eastAsiaTheme="majorEastAsia" w:hAnsiTheme="minorHAnsi"/>
          <w:color w:val="333333"/>
          <w:sz w:val="21"/>
          <w:szCs w:val="21"/>
        </w:rPr>
        <w:t>SHIBOR</w:t>
      </w:r>
      <w:r w:rsidRPr="00616C93">
        <w:rPr>
          <w:rFonts w:asciiTheme="minorHAnsi" w:eastAsiaTheme="majorEastAsia" w:hAnsiTheme="majorEastAsia"/>
          <w:color w:val="333333"/>
          <w:sz w:val="21"/>
          <w:szCs w:val="21"/>
        </w:rPr>
        <w:t>均值由</w:t>
      </w:r>
      <w:r w:rsidRPr="00616C93">
        <w:rPr>
          <w:rFonts w:asciiTheme="minorHAnsi" w:eastAsiaTheme="majorEastAsia" w:hAnsiTheme="minorHAnsi"/>
          <w:color w:val="333333"/>
          <w:sz w:val="21"/>
          <w:szCs w:val="21"/>
        </w:rPr>
        <w:t>9</w:t>
      </w:r>
      <w:r w:rsidRPr="00616C93">
        <w:rPr>
          <w:rFonts w:asciiTheme="minorHAnsi" w:eastAsiaTheme="majorEastAsia" w:hAnsiTheme="majorEastAsia"/>
          <w:color w:val="333333"/>
          <w:sz w:val="21"/>
          <w:szCs w:val="21"/>
        </w:rPr>
        <w:t>月的</w:t>
      </w:r>
      <w:r w:rsidRPr="00616C93">
        <w:rPr>
          <w:rFonts w:asciiTheme="minorHAnsi" w:eastAsiaTheme="majorEastAsia" w:hAnsiTheme="minorHAnsi"/>
          <w:color w:val="333333"/>
          <w:sz w:val="21"/>
          <w:szCs w:val="21"/>
        </w:rPr>
        <w:t>3.1690%</w:t>
      </w:r>
      <w:r w:rsidRPr="00616C93">
        <w:rPr>
          <w:rFonts w:asciiTheme="minorHAnsi" w:eastAsiaTheme="majorEastAsia" w:hAnsiTheme="majorEastAsia"/>
          <w:color w:val="333333"/>
          <w:sz w:val="21"/>
          <w:szCs w:val="21"/>
        </w:rPr>
        <w:t>上涨至</w:t>
      </w:r>
      <w:r w:rsidRPr="00616C93">
        <w:rPr>
          <w:rFonts w:asciiTheme="minorHAnsi" w:eastAsiaTheme="majorEastAsia" w:hAnsiTheme="minorHAnsi"/>
          <w:color w:val="333333"/>
          <w:sz w:val="21"/>
          <w:szCs w:val="21"/>
        </w:rPr>
        <w:t>3.5847%</w:t>
      </w:r>
      <w:r w:rsidRPr="00616C93">
        <w:rPr>
          <w:rFonts w:asciiTheme="minorHAnsi" w:eastAsiaTheme="majorEastAsia" w:hAnsiTheme="majorEastAsia"/>
          <w:color w:val="333333"/>
          <w:sz w:val="21"/>
          <w:szCs w:val="21"/>
        </w:rPr>
        <w:t>，一周</w:t>
      </w:r>
      <w:r w:rsidRPr="00616C93">
        <w:rPr>
          <w:rFonts w:asciiTheme="minorHAnsi" w:eastAsiaTheme="majorEastAsia" w:hAnsiTheme="minorHAnsi"/>
          <w:color w:val="333333"/>
          <w:sz w:val="21"/>
          <w:szCs w:val="21"/>
        </w:rPr>
        <w:t>SHIBOR</w:t>
      </w:r>
      <w:r w:rsidRPr="00616C93">
        <w:rPr>
          <w:rFonts w:asciiTheme="minorHAnsi" w:eastAsiaTheme="majorEastAsia" w:hAnsiTheme="majorEastAsia"/>
          <w:color w:val="333333"/>
          <w:sz w:val="21"/>
          <w:szCs w:val="21"/>
        </w:rPr>
        <w:t>均值大幅上涨至</w:t>
      </w:r>
      <w:r w:rsidRPr="00616C93">
        <w:rPr>
          <w:rFonts w:asciiTheme="minorHAnsi" w:eastAsiaTheme="majorEastAsia" w:hAnsiTheme="minorHAnsi"/>
          <w:color w:val="333333"/>
          <w:sz w:val="21"/>
          <w:szCs w:val="21"/>
        </w:rPr>
        <w:t>4.2540%</w:t>
      </w:r>
      <w:r w:rsidRPr="00616C93">
        <w:rPr>
          <w:rFonts w:asciiTheme="minorHAnsi" w:eastAsiaTheme="majorEastAsia" w:hAnsiTheme="majorEastAsia"/>
          <w:color w:val="333333"/>
          <w:sz w:val="21"/>
          <w:szCs w:val="21"/>
        </w:rPr>
        <w:t>。由于</w:t>
      </w:r>
      <w:r w:rsidRPr="00616C93">
        <w:rPr>
          <w:rFonts w:asciiTheme="minorHAnsi" w:eastAsiaTheme="majorEastAsia" w:hAnsiTheme="minorHAnsi"/>
          <w:color w:val="333333"/>
          <w:sz w:val="21"/>
          <w:szCs w:val="21"/>
        </w:rPr>
        <w:t>10</w:t>
      </w:r>
      <w:r w:rsidRPr="00616C93">
        <w:rPr>
          <w:rFonts w:asciiTheme="minorHAnsi" w:eastAsiaTheme="majorEastAsia" w:hAnsiTheme="majorEastAsia"/>
          <w:color w:val="333333"/>
          <w:sz w:val="21"/>
          <w:szCs w:val="21"/>
        </w:rPr>
        <w:t>月份的财政缴款加上月末时点，月末隔夜</w:t>
      </w:r>
      <w:r w:rsidRPr="00616C93">
        <w:rPr>
          <w:rFonts w:asciiTheme="minorHAnsi" w:eastAsiaTheme="majorEastAsia" w:hAnsiTheme="minorHAnsi"/>
          <w:color w:val="333333"/>
          <w:sz w:val="21"/>
          <w:szCs w:val="21"/>
        </w:rPr>
        <w:t>SHIBOR</w:t>
      </w:r>
      <w:r w:rsidRPr="00616C93">
        <w:rPr>
          <w:rFonts w:asciiTheme="minorHAnsi" w:eastAsiaTheme="majorEastAsia" w:hAnsiTheme="majorEastAsia"/>
          <w:color w:val="333333"/>
          <w:sz w:val="21"/>
          <w:szCs w:val="21"/>
        </w:rPr>
        <w:t>，一周</w:t>
      </w:r>
      <w:r w:rsidRPr="00616C93">
        <w:rPr>
          <w:rFonts w:asciiTheme="minorHAnsi" w:eastAsiaTheme="majorEastAsia" w:hAnsiTheme="minorHAnsi"/>
          <w:color w:val="333333"/>
          <w:sz w:val="21"/>
          <w:szCs w:val="21"/>
        </w:rPr>
        <w:t>SHIBOR</w:t>
      </w:r>
      <w:r w:rsidRPr="00616C93">
        <w:rPr>
          <w:rFonts w:asciiTheme="minorHAnsi" w:eastAsiaTheme="majorEastAsia" w:hAnsiTheme="majorEastAsia"/>
          <w:color w:val="333333"/>
          <w:sz w:val="21"/>
          <w:szCs w:val="21"/>
        </w:rPr>
        <w:t>较月初有了大幅上涨，</w:t>
      </w:r>
      <w:r w:rsidRPr="00616C93">
        <w:rPr>
          <w:rFonts w:asciiTheme="minorHAnsi" w:eastAsiaTheme="majorEastAsia" w:hAnsiTheme="minorHAnsi"/>
          <w:color w:val="333333"/>
          <w:sz w:val="21"/>
          <w:szCs w:val="21"/>
        </w:rPr>
        <w:t>10</w:t>
      </w:r>
      <w:r w:rsidRPr="00616C93">
        <w:rPr>
          <w:rFonts w:asciiTheme="minorHAnsi" w:eastAsiaTheme="majorEastAsia" w:hAnsiTheme="majorEastAsia"/>
          <w:color w:val="333333"/>
          <w:sz w:val="21"/>
          <w:szCs w:val="21"/>
        </w:rPr>
        <w:t>月</w:t>
      </w:r>
      <w:r w:rsidRPr="00616C93">
        <w:rPr>
          <w:rFonts w:asciiTheme="minorHAnsi" w:eastAsiaTheme="majorEastAsia" w:hAnsiTheme="minorHAnsi"/>
          <w:color w:val="333333"/>
          <w:sz w:val="21"/>
          <w:szCs w:val="21"/>
        </w:rPr>
        <w:t>30</w:t>
      </w:r>
      <w:r w:rsidRPr="00616C93">
        <w:rPr>
          <w:rFonts w:asciiTheme="minorHAnsi" w:eastAsiaTheme="majorEastAsia" w:hAnsiTheme="majorEastAsia"/>
          <w:color w:val="333333"/>
          <w:sz w:val="21"/>
          <w:szCs w:val="21"/>
        </w:rPr>
        <w:t>日的隔夜</w:t>
      </w:r>
      <w:r w:rsidRPr="00616C93">
        <w:rPr>
          <w:rFonts w:asciiTheme="minorHAnsi" w:eastAsiaTheme="majorEastAsia" w:hAnsiTheme="minorHAnsi"/>
          <w:color w:val="333333"/>
          <w:sz w:val="21"/>
          <w:szCs w:val="21"/>
        </w:rPr>
        <w:t>SHIBOR</w:t>
      </w:r>
      <w:r w:rsidRPr="00616C93">
        <w:rPr>
          <w:rFonts w:asciiTheme="minorHAnsi" w:eastAsiaTheme="majorEastAsia" w:hAnsiTheme="majorEastAsia"/>
          <w:color w:val="333333"/>
          <w:sz w:val="21"/>
          <w:szCs w:val="21"/>
        </w:rPr>
        <w:t>更是高达</w:t>
      </w:r>
      <w:r w:rsidRPr="00616C93">
        <w:rPr>
          <w:rFonts w:asciiTheme="minorHAnsi" w:eastAsiaTheme="majorEastAsia" w:hAnsiTheme="minorHAnsi"/>
          <w:color w:val="333333"/>
          <w:sz w:val="21"/>
          <w:szCs w:val="21"/>
        </w:rPr>
        <w:t>5.23%.</w:t>
      </w:r>
      <w:r w:rsidRPr="00616C93">
        <w:rPr>
          <w:rFonts w:asciiTheme="minorHAnsi" w:eastAsiaTheme="majorEastAsia" w:hAnsiTheme="majorEastAsia"/>
          <w:color w:val="333333"/>
          <w:sz w:val="21"/>
          <w:szCs w:val="21"/>
        </w:rPr>
        <w:t>相比短期利率，一周</w:t>
      </w:r>
      <w:r w:rsidRPr="00616C93">
        <w:rPr>
          <w:rFonts w:asciiTheme="minorHAnsi" w:eastAsiaTheme="majorEastAsia" w:hAnsiTheme="minorHAnsi"/>
          <w:color w:val="333333"/>
          <w:sz w:val="21"/>
          <w:szCs w:val="21"/>
        </w:rPr>
        <w:t>SHIBOR</w:t>
      </w:r>
      <w:r w:rsidRPr="00616C93">
        <w:rPr>
          <w:rFonts w:asciiTheme="minorHAnsi" w:eastAsiaTheme="majorEastAsia" w:hAnsiTheme="majorEastAsia"/>
          <w:color w:val="333333"/>
          <w:sz w:val="21"/>
          <w:szCs w:val="21"/>
        </w:rPr>
        <w:t>暴涨至</w:t>
      </w:r>
      <w:r w:rsidRPr="00616C93">
        <w:rPr>
          <w:rFonts w:asciiTheme="minorHAnsi" w:eastAsiaTheme="majorEastAsia" w:hAnsiTheme="minorHAnsi"/>
          <w:color w:val="333333"/>
          <w:sz w:val="21"/>
          <w:szCs w:val="21"/>
        </w:rPr>
        <w:t>5.59%</w:t>
      </w:r>
      <w:r w:rsidRPr="00616C93">
        <w:rPr>
          <w:rFonts w:asciiTheme="minorHAnsi" w:eastAsiaTheme="majorEastAsia" w:hAnsiTheme="majorEastAsia"/>
          <w:color w:val="333333"/>
          <w:sz w:val="21"/>
          <w:szCs w:val="21"/>
        </w:rPr>
        <w:t>。相应的中长期利率也较前两月有所上涨。</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10</w:t>
      </w:r>
      <w:r w:rsidRPr="00616C93">
        <w:rPr>
          <w:rFonts w:asciiTheme="minorHAnsi" w:eastAsiaTheme="majorEastAsia" w:hAnsiTheme="majorEastAsia"/>
          <w:color w:val="333333"/>
          <w:sz w:val="21"/>
          <w:szCs w:val="21"/>
        </w:rPr>
        <w:t>月以来银行间市场回购利率较上月来有所回暖。</w:t>
      </w:r>
      <w:r w:rsidRPr="00616C93">
        <w:rPr>
          <w:rFonts w:asciiTheme="minorHAnsi" w:eastAsiaTheme="majorEastAsia" w:hAnsiTheme="minorHAnsi"/>
          <w:color w:val="333333"/>
          <w:sz w:val="21"/>
          <w:szCs w:val="21"/>
        </w:rPr>
        <w:t>10</w:t>
      </w:r>
      <w:r w:rsidRPr="00616C93">
        <w:rPr>
          <w:rFonts w:asciiTheme="minorHAnsi" w:eastAsiaTheme="majorEastAsia" w:hAnsiTheme="majorEastAsia"/>
          <w:color w:val="333333"/>
          <w:sz w:val="21"/>
          <w:szCs w:val="21"/>
        </w:rPr>
        <w:t>月</w:t>
      </w:r>
      <w:r w:rsidRPr="00616C93">
        <w:rPr>
          <w:rFonts w:asciiTheme="minorHAnsi" w:eastAsiaTheme="majorEastAsia" w:hAnsiTheme="minorHAnsi"/>
          <w:color w:val="333333"/>
          <w:sz w:val="21"/>
          <w:szCs w:val="21"/>
        </w:rPr>
        <w:t>30</w:t>
      </w:r>
      <w:r w:rsidRPr="00616C93">
        <w:rPr>
          <w:rFonts w:asciiTheme="minorHAnsi" w:eastAsiaTheme="majorEastAsia" w:hAnsiTheme="majorEastAsia"/>
          <w:color w:val="333333"/>
          <w:sz w:val="21"/>
          <w:szCs w:val="21"/>
        </w:rPr>
        <w:t>日质押式回购市场上，隔夜及</w:t>
      </w:r>
      <w:r w:rsidRPr="00616C93">
        <w:rPr>
          <w:rFonts w:asciiTheme="minorHAnsi" w:eastAsiaTheme="majorEastAsia" w:hAnsiTheme="minorHAnsi"/>
          <w:color w:val="333333"/>
          <w:sz w:val="21"/>
          <w:szCs w:val="21"/>
        </w:rPr>
        <w:t>7</w:t>
      </w:r>
      <w:r w:rsidRPr="00616C93">
        <w:rPr>
          <w:rFonts w:asciiTheme="minorHAnsi" w:eastAsiaTheme="majorEastAsia" w:hAnsiTheme="majorEastAsia"/>
          <w:color w:val="333333"/>
          <w:sz w:val="21"/>
          <w:szCs w:val="21"/>
        </w:rPr>
        <w:t>天期回购加权平均利率收报</w:t>
      </w:r>
      <w:r w:rsidRPr="00616C93">
        <w:rPr>
          <w:rFonts w:asciiTheme="minorHAnsi" w:eastAsiaTheme="majorEastAsia" w:hAnsiTheme="minorHAnsi"/>
          <w:color w:val="333333"/>
          <w:sz w:val="21"/>
          <w:szCs w:val="21"/>
        </w:rPr>
        <w:t>5.6906%</w:t>
      </w:r>
      <w:r w:rsidRPr="00616C93">
        <w:rPr>
          <w:rFonts w:asciiTheme="minorHAnsi" w:eastAsiaTheme="majorEastAsia" w:hAnsiTheme="majorEastAsia"/>
          <w:color w:val="333333"/>
          <w:sz w:val="21"/>
          <w:szCs w:val="21"/>
        </w:rPr>
        <w:t>、</w:t>
      </w:r>
      <w:r w:rsidRPr="00616C93">
        <w:rPr>
          <w:rFonts w:asciiTheme="minorHAnsi" w:eastAsiaTheme="majorEastAsia" w:hAnsiTheme="minorHAnsi"/>
          <w:color w:val="333333"/>
          <w:sz w:val="21"/>
          <w:szCs w:val="21"/>
        </w:rPr>
        <w:t>5.2966%</w:t>
      </w:r>
      <w:r w:rsidRPr="00616C93">
        <w:rPr>
          <w:rFonts w:asciiTheme="minorHAnsi" w:eastAsiaTheme="majorEastAsia" w:hAnsiTheme="majorEastAsia"/>
          <w:color w:val="333333"/>
          <w:sz w:val="21"/>
          <w:szCs w:val="21"/>
        </w:rPr>
        <w:t>，较前一交易日分别大涨</w:t>
      </w:r>
      <w:r w:rsidRPr="00616C93">
        <w:rPr>
          <w:rFonts w:asciiTheme="minorHAnsi" w:eastAsiaTheme="majorEastAsia" w:hAnsiTheme="minorHAnsi"/>
          <w:color w:val="333333"/>
          <w:sz w:val="21"/>
          <w:szCs w:val="21"/>
        </w:rPr>
        <w:t>66BP</w:t>
      </w:r>
      <w:r w:rsidRPr="00616C93">
        <w:rPr>
          <w:rFonts w:asciiTheme="minorHAnsi" w:eastAsiaTheme="majorEastAsia" w:hAnsiTheme="majorEastAsia"/>
          <w:color w:val="333333"/>
          <w:sz w:val="21"/>
          <w:szCs w:val="21"/>
        </w:rPr>
        <w:t>、</w:t>
      </w:r>
      <w:r w:rsidRPr="00616C93">
        <w:rPr>
          <w:rFonts w:asciiTheme="minorHAnsi" w:eastAsiaTheme="majorEastAsia" w:hAnsiTheme="minorHAnsi"/>
          <w:color w:val="333333"/>
          <w:sz w:val="21"/>
          <w:szCs w:val="21"/>
        </w:rPr>
        <w:t>60BP</w:t>
      </w:r>
      <w:r w:rsidRPr="00616C93">
        <w:rPr>
          <w:rFonts w:asciiTheme="minorHAnsi" w:eastAsiaTheme="majorEastAsia" w:hAnsiTheme="majorEastAsia"/>
          <w:color w:val="333333"/>
          <w:sz w:val="21"/>
          <w:szCs w:val="21"/>
        </w:rPr>
        <w:t>。</w:t>
      </w:r>
      <w:r w:rsidRPr="00616C93">
        <w:rPr>
          <w:rFonts w:asciiTheme="minorHAnsi" w:eastAsiaTheme="majorEastAsia" w:hAnsiTheme="minorHAnsi"/>
          <w:color w:val="333333"/>
          <w:sz w:val="21"/>
          <w:szCs w:val="21"/>
        </w:rPr>
        <w:t>1</w:t>
      </w:r>
      <w:r w:rsidRPr="00616C93">
        <w:rPr>
          <w:rFonts w:asciiTheme="minorHAnsi" w:eastAsiaTheme="majorEastAsia" w:hAnsiTheme="majorEastAsia"/>
          <w:color w:val="333333"/>
          <w:sz w:val="21"/>
          <w:szCs w:val="21"/>
        </w:rPr>
        <w:t>个月到</w:t>
      </w:r>
      <w:r w:rsidRPr="00616C93">
        <w:rPr>
          <w:rFonts w:asciiTheme="minorHAnsi" w:eastAsiaTheme="majorEastAsia" w:hAnsiTheme="minorHAnsi"/>
          <w:color w:val="333333"/>
          <w:sz w:val="21"/>
          <w:szCs w:val="21"/>
        </w:rPr>
        <w:t>3</w:t>
      </w:r>
      <w:r w:rsidRPr="00616C93">
        <w:rPr>
          <w:rFonts w:asciiTheme="minorHAnsi" w:eastAsiaTheme="majorEastAsia" w:hAnsiTheme="majorEastAsia"/>
          <w:color w:val="333333"/>
          <w:sz w:val="21"/>
          <w:szCs w:val="21"/>
        </w:rPr>
        <w:t>个月的长期限品种利率均升至</w:t>
      </w:r>
      <w:r w:rsidRPr="00616C93">
        <w:rPr>
          <w:rFonts w:asciiTheme="minorHAnsi" w:eastAsiaTheme="majorEastAsia" w:hAnsiTheme="minorHAnsi"/>
          <w:color w:val="333333"/>
          <w:sz w:val="21"/>
          <w:szCs w:val="21"/>
        </w:rPr>
        <w:t>6%</w:t>
      </w:r>
      <w:r w:rsidRPr="00616C93">
        <w:rPr>
          <w:rFonts w:asciiTheme="minorHAnsi" w:eastAsiaTheme="majorEastAsia" w:hAnsiTheme="majorEastAsia"/>
          <w:color w:val="333333"/>
          <w:sz w:val="21"/>
          <w:szCs w:val="21"/>
        </w:rPr>
        <w:t>以上。隔夜质押式回购交易平均结算规模大幅上涨，全月共成交</w:t>
      </w:r>
      <w:r w:rsidRPr="00616C93">
        <w:rPr>
          <w:rFonts w:asciiTheme="minorHAnsi" w:eastAsiaTheme="majorEastAsia" w:hAnsiTheme="minorHAnsi"/>
          <w:color w:val="333333"/>
          <w:sz w:val="21"/>
          <w:szCs w:val="21"/>
        </w:rPr>
        <w:t>27847</w:t>
      </w:r>
      <w:r w:rsidRPr="00616C93">
        <w:rPr>
          <w:rFonts w:asciiTheme="minorHAnsi" w:eastAsiaTheme="majorEastAsia" w:hAnsiTheme="majorEastAsia"/>
          <w:color w:val="333333"/>
          <w:sz w:val="21"/>
          <w:szCs w:val="21"/>
        </w:rPr>
        <w:t>笔，成交金额</w:t>
      </w:r>
      <w:r w:rsidRPr="00616C93">
        <w:rPr>
          <w:rFonts w:asciiTheme="minorHAnsi" w:eastAsiaTheme="majorEastAsia" w:hAnsiTheme="minorHAnsi"/>
          <w:color w:val="333333"/>
          <w:sz w:val="21"/>
          <w:szCs w:val="21"/>
        </w:rPr>
        <w:t>83391.25</w:t>
      </w:r>
      <w:r w:rsidRPr="00616C93">
        <w:rPr>
          <w:rFonts w:asciiTheme="minorHAnsi" w:eastAsiaTheme="majorEastAsia" w:hAnsiTheme="majorEastAsia"/>
          <w:color w:val="333333"/>
          <w:sz w:val="21"/>
          <w:szCs w:val="21"/>
        </w:rPr>
        <w:t>亿元</w:t>
      </w:r>
      <w:r w:rsidRPr="00616C93">
        <w:rPr>
          <w:rFonts w:asciiTheme="minorHAnsi" w:eastAsiaTheme="majorEastAsia" w:hAnsiTheme="minorHAnsi"/>
          <w:color w:val="333333"/>
          <w:sz w:val="21"/>
          <w:szCs w:val="21"/>
        </w:rPr>
        <w:t xml:space="preserve"> </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ajorEastAsia"/>
          <w:color w:val="333333"/>
          <w:sz w:val="21"/>
          <w:szCs w:val="21"/>
        </w:rPr>
        <w:t>公开市场方面，自</w:t>
      </w:r>
      <w:r w:rsidRPr="00616C93">
        <w:rPr>
          <w:rFonts w:asciiTheme="minorHAnsi" w:eastAsiaTheme="majorEastAsia" w:hAnsiTheme="minorHAnsi"/>
          <w:color w:val="333333"/>
          <w:sz w:val="21"/>
          <w:szCs w:val="21"/>
        </w:rPr>
        <w:t>7</w:t>
      </w:r>
      <w:r w:rsidRPr="00616C93">
        <w:rPr>
          <w:rFonts w:asciiTheme="minorHAnsi" w:eastAsiaTheme="majorEastAsia" w:hAnsiTheme="majorEastAsia"/>
          <w:color w:val="333333"/>
          <w:sz w:val="21"/>
          <w:szCs w:val="21"/>
        </w:rPr>
        <w:t>月份以来，央行一直通过逆回购</w:t>
      </w:r>
      <w:r w:rsidRPr="00616C93">
        <w:rPr>
          <w:rFonts w:asciiTheme="minorHAnsi" w:eastAsiaTheme="majorEastAsia" w:hAnsiTheme="minorHAnsi"/>
          <w:color w:val="333333"/>
          <w:sz w:val="21"/>
          <w:szCs w:val="21"/>
        </w:rPr>
        <w:t>“</w:t>
      </w:r>
      <w:r w:rsidRPr="00616C93">
        <w:rPr>
          <w:rFonts w:asciiTheme="minorHAnsi" w:eastAsiaTheme="majorEastAsia" w:hAnsiTheme="majorEastAsia"/>
          <w:color w:val="333333"/>
          <w:sz w:val="21"/>
          <w:szCs w:val="21"/>
        </w:rPr>
        <w:t>锁长放短</w:t>
      </w:r>
      <w:r w:rsidRPr="00616C93">
        <w:rPr>
          <w:rFonts w:asciiTheme="minorHAnsi" w:eastAsiaTheme="majorEastAsia" w:hAnsiTheme="minorHAnsi"/>
          <w:color w:val="333333"/>
          <w:sz w:val="21"/>
          <w:szCs w:val="21"/>
        </w:rPr>
        <w:t>”</w:t>
      </w:r>
      <w:r w:rsidRPr="00616C93">
        <w:rPr>
          <w:rFonts w:asciiTheme="minorHAnsi" w:eastAsiaTheme="majorEastAsia" w:hAnsiTheme="majorEastAsia"/>
          <w:color w:val="333333"/>
          <w:sz w:val="21"/>
          <w:szCs w:val="21"/>
        </w:rPr>
        <w:t>，使得短期金融市场流动性与市场利率达到与央行政策</w:t>
      </w:r>
      <w:r w:rsidRPr="00616C93">
        <w:rPr>
          <w:rFonts w:asciiTheme="minorHAnsi" w:eastAsiaTheme="majorEastAsia" w:hAnsiTheme="minorHAnsi"/>
          <w:color w:val="333333"/>
          <w:sz w:val="21"/>
          <w:szCs w:val="21"/>
        </w:rPr>
        <w:t>“</w:t>
      </w:r>
      <w:r w:rsidRPr="00616C93">
        <w:rPr>
          <w:rFonts w:asciiTheme="minorHAnsi" w:eastAsiaTheme="majorEastAsia" w:hAnsiTheme="majorEastAsia"/>
          <w:color w:val="333333"/>
          <w:sz w:val="21"/>
          <w:szCs w:val="21"/>
        </w:rPr>
        <w:t>合意</w:t>
      </w:r>
      <w:r w:rsidRPr="00616C93">
        <w:rPr>
          <w:rFonts w:asciiTheme="minorHAnsi" w:eastAsiaTheme="majorEastAsia" w:hAnsiTheme="minorHAnsi"/>
          <w:color w:val="333333"/>
          <w:sz w:val="21"/>
          <w:szCs w:val="21"/>
        </w:rPr>
        <w:t>”</w:t>
      </w:r>
      <w:r w:rsidRPr="00616C93">
        <w:rPr>
          <w:rFonts w:asciiTheme="minorHAnsi" w:eastAsiaTheme="majorEastAsia" w:hAnsiTheme="majorEastAsia"/>
          <w:color w:val="333333"/>
          <w:sz w:val="21"/>
          <w:szCs w:val="21"/>
        </w:rPr>
        <w:t>的水平，稳定对金融市场的预期。</w:t>
      </w:r>
      <w:r w:rsidRPr="00616C93">
        <w:rPr>
          <w:rFonts w:asciiTheme="minorHAnsi" w:eastAsiaTheme="majorEastAsia" w:hAnsiTheme="minorHAnsi"/>
          <w:color w:val="333333"/>
          <w:sz w:val="21"/>
          <w:szCs w:val="21"/>
        </w:rPr>
        <w:t>10</w:t>
      </w:r>
      <w:r w:rsidRPr="00616C93">
        <w:rPr>
          <w:rFonts w:asciiTheme="minorHAnsi" w:eastAsiaTheme="majorEastAsia" w:hAnsiTheme="majorEastAsia"/>
          <w:color w:val="333333"/>
          <w:sz w:val="21"/>
          <w:szCs w:val="21"/>
        </w:rPr>
        <w:t>月</w:t>
      </w:r>
      <w:r w:rsidRPr="00616C93">
        <w:rPr>
          <w:rFonts w:asciiTheme="minorHAnsi" w:eastAsiaTheme="majorEastAsia" w:hAnsiTheme="minorHAnsi"/>
          <w:color w:val="333333"/>
          <w:sz w:val="21"/>
          <w:szCs w:val="21"/>
        </w:rPr>
        <w:t>31</w:t>
      </w:r>
      <w:r w:rsidRPr="00616C93">
        <w:rPr>
          <w:rFonts w:asciiTheme="minorHAnsi" w:eastAsiaTheme="majorEastAsia" w:hAnsiTheme="majorEastAsia"/>
          <w:color w:val="333333"/>
          <w:sz w:val="21"/>
          <w:szCs w:val="21"/>
        </w:rPr>
        <w:t>日，央行开展了</w:t>
      </w:r>
      <w:r w:rsidRPr="00616C93">
        <w:rPr>
          <w:rFonts w:asciiTheme="minorHAnsi" w:eastAsiaTheme="majorEastAsia" w:hAnsiTheme="minorHAnsi"/>
          <w:color w:val="333333"/>
          <w:sz w:val="21"/>
          <w:szCs w:val="21"/>
        </w:rPr>
        <w:t>160</w:t>
      </w:r>
      <w:r w:rsidRPr="00616C93">
        <w:rPr>
          <w:rFonts w:asciiTheme="minorHAnsi" w:eastAsiaTheme="majorEastAsia" w:hAnsiTheme="majorEastAsia"/>
          <w:color w:val="333333"/>
          <w:sz w:val="21"/>
          <w:szCs w:val="21"/>
        </w:rPr>
        <w:t>亿元</w:t>
      </w:r>
      <w:r w:rsidRPr="00616C93">
        <w:rPr>
          <w:rFonts w:asciiTheme="minorHAnsi" w:eastAsiaTheme="majorEastAsia" w:hAnsiTheme="minorHAnsi"/>
          <w:color w:val="333333"/>
          <w:sz w:val="21"/>
          <w:szCs w:val="21"/>
        </w:rPr>
        <w:t>14</w:t>
      </w:r>
      <w:r w:rsidRPr="00616C93">
        <w:rPr>
          <w:rFonts w:asciiTheme="minorHAnsi" w:eastAsiaTheme="majorEastAsia" w:hAnsiTheme="majorEastAsia"/>
          <w:color w:val="333333"/>
          <w:sz w:val="21"/>
          <w:szCs w:val="21"/>
        </w:rPr>
        <w:t>天期逆回购操作，规模较上期略有增加，中标利率高达</w:t>
      </w:r>
      <w:r w:rsidRPr="00616C93">
        <w:rPr>
          <w:rFonts w:asciiTheme="minorHAnsi" w:eastAsiaTheme="majorEastAsia" w:hAnsiTheme="minorHAnsi"/>
          <w:color w:val="333333"/>
          <w:sz w:val="21"/>
          <w:szCs w:val="21"/>
        </w:rPr>
        <w:t>4.3%</w:t>
      </w:r>
      <w:r w:rsidRPr="00616C93">
        <w:rPr>
          <w:rFonts w:asciiTheme="minorHAnsi" w:eastAsiaTheme="majorEastAsia" w:hAnsiTheme="majorEastAsia"/>
          <w:color w:val="333333"/>
          <w:sz w:val="21"/>
          <w:szCs w:val="21"/>
        </w:rPr>
        <w:t>。本月，央行共进行了五次逆回购操作，总计规模</w:t>
      </w:r>
      <w:r w:rsidRPr="00616C93">
        <w:rPr>
          <w:rFonts w:asciiTheme="minorHAnsi" w:eastAsiaTheme="majorEastAsia" w:hAnsiTheme="minorHAnsi"/>
          <w:color w:val="333333"/>
          <w:sz w:val="21"/>
          <w:szCs w:val="21"/>
        </w:rPr>
        <w:t>1520</w:t>
      </w:r>
      <w:r w:rsidRPr="00616C93">
        <w:rPr>
          <w:rFonts w:asciiTheme="minorHAnsi" w:eastAsiaTheme="majorEastAsia" w:hAnsiTheme="majorEastAsia"/>
          <w:color w:val="333333"/>
          <w:sz w:val="21"/>
          <w:szCs w:val="21"/>
        </w:rPr>
        <w:t>亿元。两次央行票据到期续做，续做量共计</w:t>
      </w:r>
      <w:r w:rsidRPr="00616C93">
        <w:rPr>
          <w:rFonts w:asciiTheme="minorHAnsi" w:eastAsiaTheme="majorEastAsia" w:hAnsiTheme="minorHAnsi"/>
          <w:color w:val="333333"/>
          <w:sz w:val="21"/>
          <w:szCs w:val="21"/>
        </w:rPr>
        <w:t>114</w:t>
      </w:r>
      <w:r w:rsidRPr="00616C93">
        <w:rPr>
          <w:rFonts w:asciiTheme="minorHAnsi" w:eastAsiaTheme="majorEastAsia" w:hAnsiTheme="majorEastAsia"/>
          <w:color w:val="333333"/>
          <w:sz w:val="21"/>
          <w:szCs w:val="21"/>
        </w:rPr>
        <w:t>亿元，期限均为</w:t>
      </w:r>
      <w:r w:rsidRPr="00616C93">
        <w:rPr>
          <w:rFonts w:asciiTheme="minorHAnsi" w:eastAsiaTheme="majorEastAsia" w:hAnsiTheme="minorHAnsi"/>
          <w:color w:val="333333"/>
          <w:sz w:val="21"/>
          <w:szCs w:val="21"/>
        </w:rPr>
        <w:t>3</w:t>
      </w:r>
      <w:r w:rsidRPr="00616C93">
        <w:rPr>
          <w:rFonts w:asciiTheme="minorHAnsi" w:eastAsiaTheme="majorEastAsia" w:hAnsiTheme="majorEastAsia"/>
          <w:color w:val="333333"/>
          <w:sz w:val="21"/>
          <w:szCs w:val="21"/>
        </w:rPr>
        <w:t>年，利率为</w:t>
      </w:r>
      <w:r w:rsidRPr="00616C93">
        <w:rPr>
          <w:rFonts w:asciiTheme="minorHAnsi" w:eastAsiaTheme="majorEastAsia" w:hAnsiTheme="minorHAnsi"/>
          <w:color w:val="333333"/>
          <w:sz w:val="21"/>
          <w:szCs w:val="21"/>
        </w:rPr>
        <w:t>3.5%</w:t>
      </w:r>
      <w:r w:rsidRPr="00616C93">
        <w:rPr>
          <w:rFonts w:asciiTheme="minorHAnsi" w:eastAsiaTheme="majorEastAsia" w:hAnsiTheme="majorEastAsia"/>
          <w:color w:val="333333"/>
          <w:sz w:val="21"/>
          <w:szCs w:val="21"/>
        </w:rPr>
        <w:t>。本月，央行总投放</w:t>
      </w:r>
      <w:r w:rsidRPr="00616C93">
        <w:rPr>
          <w:rFonts w:asciiTheme="minorHAnsi" w:eastAsiaTheme="majorEastAsia" w:hAnsiTheme="minorHAnsi"/>
          <w:color w:val="333333"/>
          <w:sz w:val="21"/>
          <w:szCs w:val="21"/>
        </w:rPr>
        <w:t>1740</w:t>
      </w:r>
      <w:r w:rsidRPr="00616C93">
        <w:rPr>
          <w:rFonts w:asciiTheme="minorHAnsi" w:eastAsiaTheme="majorEastAsia" w:hAnsiTheme="majorEastAsia"/>
          <w:color w:val="333333"/>
          <w:sz w:val="21"/>
          <w:szCs w:val="21"/>
        </w:rPr>
        <w:t>亿元，共回笼</w:t>
      </w:r>
      <w:r w:rsidRPr="00616C93">
        <w:rPr>
          <w:rFonts w:asciiTheme="minorHAnsi" w:eastAsiaTheme="majorEastAsia" w:hAnsiTheme="minorHAnsi"/>
          <w:color w:val="333333"/>
          <w:sz w:val="21"/>
          <w:szCs w:val="21"/>
        </w:rPr>
        <w:t>2144</w:t>
      </w:r>
      <w:r w:rsidRPr="00616C93">
        <w:rPr>
          <w:rFonts w:asciiTheme="minorHAnsi" w:eastAsiaTheme="majorEastAsia" w:hAnsiTheme="majorEastAsia"/>
          <w:color w:val="333333"/>
          <w:sz w:val="21"/>
          <w:szCs w:val="21"/>
        </w:rPr>
        <w:t>亿元，净回笼</w:t>
      </w:r>
      <w:r w:rsidRPr="00616C93">
        <w:rPr>
          <w:rFonts w:asciiTheme="minorHAnsi" w:eastAsiaTheme="majorEastAsia" w:hAnsiTheme="minorHAnsi"/>
          <w:color w:val="333333"/>
          <w:sz w:val="21"/>
          <w:szCs w:val="21"/>
        </w:rPr>
        <w:t>404</w:t>
      </w:r>
      <w:r w:rsidRPr="00616C93">
        <w:rPr>
          <w:rFonts w:asciiTheme="minorHAnsi" w:eastAsiaTheme="majorEastAsia" w:hAnsiTheme="majorEastAsia"/>
          <w:color w:val="333333"/>
          <w:sz w:val="21"/>
          <w:szCs w:val="21"/>
        </w:rPr>
        <w:t>亿元。</w:t>
      </w:r>
    </w:p>
    <w:p w:rsid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ajorEastAsia"/>
          <w:color w:val="333333"/>
          <w:sz w:val="21"/>
          <w:szCs w:val="21"/>
        </w:rPr>
        <w:t>在近期央行清晰向市场表明偏紧缩态度后，鉴于当前市场总量资金并不稀少，预计资金利率可能又会出现阶段性回落，但资金紧平衡格局依旧没有改变，时点性、周期性紧张仍将是常态。</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p>
    <w:p w:rsidR="006004CE" w:rsidRPr="00DE48DB" w:rsidRDefault="00616C93" w:rsidP="00DE48DB">
      <w:pPr>
        <w:pStyle w:val="a6"/>
        <w:numPr>
          <w:ilvl w:val="0"/>
          <w:numId w:val="1"/>
        </w:numPr>
        <w:spacing w:line="360" w:lineRule="auto"/>
        <w:ind w:firstLineChars="0"/>
        <w:rPr>
          <w:rFonts w:asciiTheme="minorEastAsia" w:hAnsiTheme="minorEastAsia"/>
          <w:b/>
          <w:szCs w:val="21"/>
        </w:rPr>
      </w:pPr>
      <w:r>
        <w:rPr>
          <w:rFonts w:asciiTheme="minorEastAsia" w:hAnsiTheme="minorEastAsia" w:hint="eastAsia"/>
          <w:b/>
          <w:noProof/>
          <w:szCs w:val="21"/>
        </w:rPr>
        <w:t>信托市场热点回顾</w:t>
      </w:r>
    </w:p>
    <w:p w:rsidR="006004CE" w:rsidRPr="00616C93" w:rsidRDefault="006004CE" w:rsidP="00616C93">
      <w:pPr>
        <w:pStyle w:val="10"/>
        <w:spacing w:line="360" w:lineRule="auto"/>
        <w:ind w:firstLineChars="0" w:firstLine="0"/>
        <w:rPr>
          <w:rFonts w:ascii="Arial" w:hAnsi="Arial" w:cs="Arial"/>
          <w:b/>
          <w:kern w:val="0"/>
          <w:szCs w:val="21"/>
        </w:rPr>
      </w:pPr>
      <w:r w:rsidRPr="00DE48DB">
        <w:rPr>
          <w:rFonts w:asciiTheme="minorEastAsia" w:hAnsiTheme="minorEastAsia" w:hint="eastAsia"/>
          <w:b/>
          <w:szCs w:val="21"/>
        </w:rPr>
        <w:t>（一）、</w:t>
      </w:r>
      <w:r w:rsidR="00616C93" w:rsidRPr="00046EED">
        <w:rPr>
          <w:rFonts w:ascii="宋体" w:hAnsi="宋体" w:hint="eastAsia"/>
          <w:b/>
          <w:szCs w:val="21"/>
        </w:rPr>
        <w:t>土地经营权流转信托试水 农户或获三方面收益</w:t>
      </w:r>
    </w:p>
    <w:p w:rsidR="00616C93" w:rsidRPr="00616C93" w:rsidRDefault="00CB3A58" w:rsidP="00A8555C">
      <w:pPr>
        <w:pStyle w:val="a8"/>
        <w:shd w:val="clear" w:color="auto" w:fill="FFFFFF"/>
        <w:spacing w:before="0" w:beforeAutospacing="0" w:after="0" w:afterAutospacing="0" w:line="360" w:lineRule="auto"/>
        <w:ind w:firstLineChars="200" w:firstLine="482"/>
        <w:rPr>
          <w:rFonts w:asciiTheme="minorHAnsi" w:eastAsiaTheme="majorEastAsia" w:hAnsiTheme="minorHAnsi"/>
          <w:color w:val="333333"/>
          <w:sz w:val="21"/>
          <w:szCs w:val="21"/>
        </w:rPr>
      </w:pPr>
      <w:r w:rsidRPr="00CB3A58">
        <w:rPr>
          <w:rFonts w:asciiTheme="minorEastAsia" w:hAnsiTheme="minorEastAsia"/>
          <w:b/>
          <w:noProof/>
          <w:szCs w:val="21"/>
        </w:rPr>
        <w:pict>
          <v:shape id="_x0000_s1142" type="#_x0000_t202" style="position:absolute;left:0;text-align:left;margin-left:150.9pt;margin-top:120.75pt;width:116.55pt;height:26.25pt;z-index:251911168;mso-width-relative:margin;mso-height-relative:margin;v-text-anchor:middle" filled="f" stroked="f">
            <v:textbox style="mso-next-textbox:#_x0000_s1142">
              <w:txbxContent>
                <w:p w:rsidR="00A8555C" w:rsidRDefault="00A8555C" w:rsidP="00A8555C">
                  <w:pPr>
                    <w:jc w:val="center"/>
                  </w:pPr>
                  <w:r>
                    <w:rPr>
                      <w:rFonts w:hint="eastAsia"/>
                    </w:rPr>
                    <w:t>第</w:t>
                  </w:r>
                  <w:r>
                    <w:rPr>
                      <w:rFonts w:hint="eastAsia"/>
                    </w:rPr>
                    <w:t>1</w:t>
                  </w:r>
                  <w:r>
                    <w:rPr>
                      <w:rFonts w:hint="eastAsia"/>
                    </w:rPr>
                    <w:t>页</w:t>
                  </w:r>
                </w:p>
              </w:txbxContent>
            </v:textbox>
          </v:shape>
        </w:pict>
      </w:r>
      <w:r w:rsidR="00616C93" w:rsidRPr="00616C93">
        <w:rPr>
          <w:rFonts w:asciiTheme="minorHAnsi" w:eastAsiaTheme="majorEastAsia" w:hAnsiTheme="minorHAnsi"/>
          <w:color w:val="333333"/>
          <w:sz w:val="21"/>
          <w:szCs w:val="21"/>
        </w:rPr>
        <w:t>近日国内首款土地经营权流转信托</w:t>
      </w:r>
      <w:r w:rsidR="00616C93" w:rsidRPr="00616C93">
        <w:rPr>
          <w:rFonts w:asciiTheme="minorHAnsi" w:eastAsiaTheme="majorEastAsia" w:hAnsiTheme="minorHAnsi"/>
          <w:color w:val="333333"/>
          <w:sz w:val="21"/>
          <w:szCs w:val="21"/>
        </w:rPr>
        <w:t>—</w:t>
      </w:r>
      <w:r w:rsidR="00616C93" w:rsidRPr="00616C93">
        <w:rPr>
          <w:rFonts w:asciiTheme="minorHAnsi" w:eastAsiaTheme="majorEastAsia" w:hAnsiTheme="minorHAnsi"/>
          <w:color w:val="333333"/>
          <w:sz w:val="21"/>
          <w:szCs w:val="21"/>
        </w:rPr>
        <w:t>中信</w:t>
      </w:r>
      <w:r w:rsidR="00616C93" w:rsidRPr="00616C93">
        <w:rPr>
          <w:rFonts w:asciiTheme="minorHAnsi" w:eastAsiaTheme="majorEastAsia" w:hAnsiTheme="minorHAnsi"/>
          <w:color w:val="333333"/>
          <w:sz w:val="21"/>
          <w:szCs w:val="21"/>
        </w:rPr>
        <w:t>·</w:t>
      </w:r>
      <w:r w:rsidR="00616C93" w:rsidRPr="00616C93">
        <w:rPr>
          <w:rFonts w:asciiTheme="minorHAnsi" w:eastAsiaTheme="majorEastAsia" w:hAnsiTheme="minorHAnsi"/>
          <w:color w:val="333333"/>
          <w:sz w:val="21"/>
          <w:szCs w:val="21"/>
        </w:rPr>
        <w:t>农村土地承包经营权集合信托计划</w:t>
      </w:r>
      <w:r w:rsidR="00616C93" w:rsidRPr="00616C93">
        <w:rPr>
          <w:rFonts w:asciiTheme="minorHAnsi" w:eastAsiaTheme="majorEastAsia" w:hAnsiTheme="minorHAnsi"/>
          <w:color w:val="333333"/>
          <w:sz w:val="21"/>
          <w:szCs w:val="21"/>
        </w:rPr>
        <w:t>1301</w:t>
      </w:r>
      <w:r w:rsidR="00616C93" w:rsidRPr="00616C93">
        <w:rPr>
          <w:rFonts w:asciiTheme="minorHAnsi" w:eastAsiaTheme="majorEastAsia" w:hAnsiTheme="minorHAnsi"/>
          <w:color w:val="333333"/>
          <w:sz w:val="21"/>
          <w:szCs w:val="21"/>
        </w:rPr>
        <w:t>期正式问世。随着信托开拓又一全新领域，农户的收入构成也将发生转变。据悉，参与此次土地经营权转让的农民有望获得地租收入、土地增值收入的绝大部分以及工资收入三部分。</w:t>
      </w:r>
    </w:p>
    <w:p w:rsidR="00616C93" w:rsidRPr="00616C93" w:rsidRDefault="00F15957"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Pr>
          <w:rFonts w:asciiTheme="minorHAnsi" w:eastAsiaTheme="majorEastAsia" w:hAnsiTheme="minorHAnsi"/>
          <w:noProof/>
          <w:color w:val="333333"/>
          <w:sz w:val="21"/>
          <w:szCs w:val="21"/>
        </w:rPr>
        <w:lastRenderedPageBreak/>
        <w:drawing>
          <wp:anchor distT="0" distB="0" distL="114300" distR="114300" simplePos="0" relativeHeight="251885568" behindDoc="1" locked="0" layoutInCell="1" allowOverlap="1">
            <wp:simplePos x="0" y="0"/>
            <wp:positionH relativeFrom="column">
              <wp:posOffset>-1160145</wp:posOffset>
            </wp:positionH>
            <wp:positionV relativeFrom="paragraph">
              <wp:posOffset>-1440180</wp:posOffset>
            </wp:positionV>
            <wp:extent cx="7562850" cy="10706100"/>
            <wp:effectExtent l="19050" t="0" r="0" b="0"/>
            <wp:wrapNone/>
            <wp:docPr id="16"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r w:rsidR="00616C93" w:rsidRPr="00616C93">
        <w:rPr>
          <w:rFonts w:asciiTheme="minorHAnsi" w:eastAsiaTheme="majorEastAsia" w:hAnsiTheme="minorHAnsi"/>
          <w:color w:val="333333"/>
          <w:sz w:val="21"/>
          <w:szCs w:val="21"/>
        </w:rPr>
        <w:t>此次土地流转信托试点在我国首批现代农业示范区中的安徽省宿州市埇桥区展开，首期流转的土地面积为</w:t>
      </w:r>
      <w:r w:rsidR="00616C93" w:rsidRPr="00616C93">
        <w:rPr>
          <w:rFonts w:asciiTheme="minorHAnsi" w:eastAsiaTheme="majorEastAsia" w:hAnsiTheme="minorHAnsi"/>
          <w:color w:val="333333"/>
          <w:sz w:val="21"/>
          <w:szCs w:val="21"/>
        </w:rPr>
        <w:t>5400</w:t>
      </w:r>
      <w:r w:rsidR="00616C93" w:rsidRPr="00616C93">
        <w:rPr>
          <w:rFonts w:asciiTheme="minorHAnsi" w:eastAsiaTheme="majorEastAsia" w:hAnsiTheme="minorHAnsi"/>
          <w:color w:val="333333"/>
          <w:sz w:val="21"/>
          <w:szCs w:val="21"/>
        </w:rPr>
        <w:t>亩，远期目标则约为</w:t>
      </w:r>
      <w:r w:rsidR="00616C93" w:rsidRPr="00616C93">
        <w:rPr>
          <w:rFonts w:asciiTheme="minorHAnsi" w:eastAsiaTheme="majorEastAsia" w:hAnsiTheme="minorHAnsi"/>
          <w:color w:val="333333"/>
          <w:sz w:val="21"/>
          <w:szCs w:val="21"/>
        </w:rPr>
        <w:t>2.5</w:t>
      </w:r>
      <w:r w:rsidR="00616C93" w:rsidRPr="00616C93">
        <w:rPr>
          <w:rFonts w:asciiTheme="minorHAnsi" w:eastAsiaTheme="majorEastAsia" w:hAnsiTheme="minorHAnsi"/>
          <w:color w:val="333333"/>
          <w:sz w:val="21"/>
          <w:szCs w:val="21"/>
        </w:rPr>
        <w:t>万亩。所谓的土地流转信托，是指村集体组织或农户个人将合法拥有或具有处置权限的农村土地使用权（包括农用地的土地承包经营权、集体建设用地使用权以及宅基地使用权）作为信托财产，委托给信托公司集中管理经营，从而使委托人定期获得信托收益。</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hint="eastAsia"/>
          <w:color w:val="333333"/>
          <w:sz w:val="21"/>
          <w:szCs w:val="21"/>
        </w:rPr>
        <w:t>“</w:t>
      </w:r>
      <w:r w:rsidRPr="00616C93">
        <w:rPr>
          <w:rFonts w:asciiTheme="minorHAnsi" w:eastAsiaTheme="majorEastAsia" w:hAnsiTheme="minorHAnsi"/>
          <w:color w:val="333333"/>
          <w:sz w:val="21"/>
          <w:szCs w:val="21"/>
        </w:rPr>
        <w:t>此次信托公司以土地流转信托推动土地资源合理再配置，一方面可以解决农村发展的融资问题，是农村金融体系创新的重要体现；另外更能促进土地的集约化和现代化经营，提高土地的生产能力和内在价值，使农民切实分享到土地增值所带来的收益。</w:t>
      </w:r>
      <w:r w:rsidRPr="00616C93">
        <w:rPr>
          <w:rFonts w:asciiTheme="minorHAnsi" w:eastAsiaTheme="majorEastAsia" w:hAnsiTheme="minorHAnsi" w:hint="eastAsia"/>
          <w:color w:val="333333"/>
          <w:sz w:val="21"/>
          <w:szCs w:val="21"/>
        </w:rPr>
        <w:t>”</w:t>
      </w:r>
      <w:r w:rsidRPr="00616C93">
        <w:rPr>
          <w:rFonts w:asciiTheme="minorHAnsi" w:eastAsiaTheme="majorEastAsia" w:hAnsiTheme="minorHAnsi"/>
          <w:color w:val="333333"/>
          <w:sz w:val="21"/>
          <w:szCs w:val="21"/>
        </w:rPr>
        <w:t>信托业务相关负责人对此介绍称，这款土地流转依托的期限为</w:t>
      </w:r>
      <w:r w:rsidRPr="00616C93">
        <w:rPr>
          <w:rFonts w:asciiTheme="minorHAnsi" w:eastAsiaTheme="majorEastAsia" w:hAnsiTheme="minorHAnsi"/>
          <w:color w:val="333333"/>
          <w:sz w:val="21"/>
          <w:szCs w:val="21"/>
        </w:rPr>
        <w:t>12</w:t>
      </w:r>
      <w:r w:rsidRPr="00616C93">
        <w:rPr>
          <w:rFonts w:asciiTheme="minorHAnsi" w:eastAsiaTheme="majorEastAsia" w:hAnsiTheme="minorHAnsi"/>
          <w:color w:val="333333"/>
          <w:sz w:val="21"/>
          <w:szCs w:val="21"/>
        </w:rPr>
        <w:t>年，和土地承包经营权的期限完全一致。</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据了解，参与本次土地流转信托的农户今后有望实现多元化的收入，首先是基本的地租收入，该信托计划采用浮动收益的模式，每亩地租为当年</w:t>
      </w:r>
      <w:r w:rsidRPr="00616C93">
        <w:rPr>
          <w:rFonts w:asciiTheme="minorHAnsi" w:eastAsiaTheme="majorEastAsia" w:hAnsiTheme="minorHAnsi"/>
          <w:color w:val="333333"/>
          <w:sz w:val="21"/>
          <w:szCs w:val="21"/>
        </w:rPr>
        <w:t>1000</w:t>
      </w:r>
      <w:r w:rsidRPr="00616C93">
        <w:rPr>
          <w:rFonts w:asciiTheme="minorHAnsi" w:eastAsiaTheme="majorEastAsia" w:hAnsiTheme="minorHAnsi"/>
          <w:color w:val="333333"/>
          <w:sz w:val="21"/>
          <w:szCs w:val="21"/>
        </w:rPr>
        <w:t>斤中等质量小麦（参照新小麦国家标准）的价格。另外，随着资金注入，对土地集中进行板块建设，提高土地、产品匹配提升，从而增加农民的增值收入，其中将扣除服务费用、管理费用后，初步设定农民可以分享增值部分的</w:t>
      </w:r>
      <w:r w:rsidRPr="00616C93">
        <w:rPr>
          <w:rFonts w:asciiTheme="minorHAnsi" w:eastAsiaTheme="majorEastAsia" w:hAnsiTheme="minorHAnsi"/>
          <w:color w:val="333333"/>
          <w:sz w:val="21"/>
          <w:szCs w:val="21"/>
        </w:rPr>
        <w:t>70%</w:t>
      </w:r>
      <w:r w:rsidRPr="00616C93">
        <w:rPr>
          <w:rFonts w:asciiTheme="minorHAnsi" w:eastAsiaTheme="majorEastAsia" w:hAnsiTheme="minorHAnsi"/>
          <w:color w:val="333333"/>
          <w:sz w:val="21"/>
          <w:szCs w:val="21"/>
        </w:rPr>
        <w:t>。此外，随着流转土地的产业化经营，农民转化为工人，同样还可获得工资收入。</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农户收益构成的转变主要得益于这款信托的结构化设计，其中一方面是通过事物管理类的财产信托，即农户把土地承包经营权委托给</w:t>
      </w:r>
      <w:hyperlink r:id="rId10" w:tgtFrame="_blank" w:history="1">
        <w:r w:rsidRPr="00616C93">
          <w:rPr>
            <w:rFonts w:asciiTheme="minorHAnsi" w:eastAsiaTheme="majorEastAsia" w:hAnsiTheme="minorHAnsi"/>
            <w:color w:val="333333"/>
            <w:sz w:val="21"/>
            <w:szCs w:val="21"/>
          </w:rPr>
          <w:t>中信信托</w:t>
        </w:r>
      </w:hyperlink>
      <w:r w:rsidRPr="00616C93">
        <w:rPr>
          <w:rFonts w:asciiTheme="minorHAnsi" w:eastAsiaTheme="majorEastAsia" w:hAnsiTheme="minorHAnsi"/>
          <w:color w:val="333333"/>
          <w:sz w:val="21"/>
          <w:szCs w:val="21"/>
        </w:rPr>
        <w:t>，中信信托统一进行规模化管理；同时随着土地开发管理提升板块价值、先期投入以及地租支付等都需要大量资金的支持，中信信托对此发行资金信托计划来满足其后期的资金需求，而且目前正在积极推进过程中。</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流转后土地拟建设现代农业循环产业示范园，值得一提的是，该信托计划还引入了安徽帝元现代农业投资有限公司作为服务商提供专业技术支持、招商招租等服务，安徽帝元还承诺，若地租出现短暂性的市场风险，将承担差额补足义务。</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土地流转信托是今年来信托的又一创新领域，并没有现成的模式可以借鉴，如果这款产品试点成功将发挥广泛的示范效应。据悉，北国投、中融等多家信托对此有深厚的兴趣，并在积极研究与推进中，其中</w:t>
      </w:r>
      <w:hyperlink r:id="rId11" w:tgtFrame="_blank" w:history="1">
        <w:r w:rsidRPr="00616C93">
          <w:rPr>
            <w:rFonts w:asciiTheme="minorHAnsi" w:eastAsiaTheme="majorEastAsia" w:hAnsiTheme="minorHAnsi"/>
            <w:color w:val="333333"/>
            <w:sz w:val="21"/>
            <w:szCs w:val="21"/>
          </w:rPr>
          <w:t>北京信托</w:t>
        </w:r>
      </w:hyperlink>
      <w:r w:rsidRPr="00616C93">
        <w:rPr>
          <w:rFonts w:asciiTheme="minorHAnsi" w:eastAsiaTheme="majorEastAsia" w:hAnsiTheme="minorHAnsi"/>
          <w:color w:val="333333"/>
          <w:sz w:val="21"/>
          <w:szCs w:val="21"/>
        </w:rPr>
        <w:t>近期也在安徽、江苏、河北等地积极推进土地流转信托，预计今年流转面积可达</w:t>
      </w:r>
      <w:r w:rsidRPr="00616C93">
        <w:rPr>
          <w:rFonts w:asciiTheme="minorHAnsi" w:eastAsiaTheme="majorEastAsia" w:hAnsiTheme="minorHAnsi"/>
          <w:color w:val="333333"/>
          <w:sz w:val="21"/>
          <w:szCs w:val="21"/>
        </w:rPr>
        <w:t>3</w:t>
      </w:r>
      <w:r w:rsidRPr="00616C93">
        <w:rPr>
          <w:rFonts w:asciiTheme="minorHAnsi" w:eastAsiaTheme="majorEastAsia" w:hAnsiTheme="minorHAnsi"/>
          <w:color w:val="333333"/>
          <w:sz w:val="21"/>
          <w:szCs w:val="21"/>
        </w:rPr>
        <w:t>万亩。</w:t>
      </w:r>
    </w:p>
    <w:p w:rsidR="00616C93" w:rsidRDefault="00CB3A58" w:rsidP="00616C93">
      <w:pPr>
        <w:widowControl/>
        <w:spacing w:line="360" w:lineRule="auto"/>
        <w:jc w:val="left"/>
        <w:outlineLvl w:val="1"/>
        <w:rPr>
          <w:rFonts w:ascii="宋体" w:hAnsi="宋体"/>
          <w:b/>
          <w:szCs w:val="21"/>
        </w:rPr>
      </w:pPr>
      <w:r w:rsidRPr="00CB3A58">
        <w:rPr>
          <w:rFonts w:eastAsiaTheme="majorEastAsia"/>
          <w:noProof/>
          <w:color w:val="333333"/>
          <w:szCs w:val="21"/>
        </w:rPr>
        <w:pict>
          <v:shape id="_x0000_s1143" type="#_x0000_t202" style="position:absolute;margin-left:147.9pt;margin-top:72.45pt;width:116.55pt;height:26.25pt;z-index:251912192;mso-width-relative:margin;mso-height-relative:margin;v-text-anchor:middle" filled="f" stroked="f">
            <v:textbox style="mso-next-textbox:#_x0000_s1143">
              <w:txbxContent>
                <w:p w:rsidR="00A8555C" w:rsidRDefault="00A8555C" w:rsidP="00A8555C">
                  <w:pPr>
                    <w:jc w:val="center"/>
                  </w:pPr>
                  <w:r>
                    <w:rPr>
                      <w:rFonts w:hint="eastAsia"/>
                    </w:rPr>
                    <w:t>第</w:t>
                  </w:r>
                  <w:r>
                    <w:rPr>
                      <w:rFonts w:hint="eastAsia"/>
                    </w:rPr>
                    <w:t>2</w:t>
                  </w:r>
                  <w:r>
                    <w:rPr>
                      <w:rFonts w:hint="eastAsia"/>
                    </w:rPr>
                    <w:t>页</w:t>
                  </w:r>
                </w:p>
              </w:txbxContent>
            </v:textbox>
          </v:shape>
        </w:pict>
      </w:r>
      <w:r w:rsidR="006004CE" w:rsidRPr="00616C93">
        <w:rPr>
          <w:rFonts w:asciiTheme="minorEastAsia" w:hAnsiTheme="minorEastAsia" w:hint="eastAsia"/>
          <w:b/>
          <w:szCs w:val="21"/>
        </w:rPr>
        <w:t>（二）、</w:t>
      </w:r>
      <w:r w:rsidR="00616C93" w:rsidRPr="00616C93">
        <w:rPr>
          <w:rFonts w:ascii="宋体" w:hAnsi="宋体" w:hint="eastAsia"/>
          <w:b/>
          <w:szCs w:val="21"/>
        </w:rPr>
        <w:t>11银行试点资管欲破壁垒 信证基担忧通道业务</w:t>
      </w:r>
    </w:p>
    <w:p w:rsidR="00616C93" w:rsidRPr="00616C93" w:rsidRDefault="00F15957"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Pr>
          <w:rFonts w:asciiTheme="minorHAnsi" w:eastAsiaTheme="majorEastAsia" w:hAnsiTheme="minorHAnsi"/>
          <w:noProof/>
          <w:color w:val="333333"/>
          <w:sz w:val="21"/>
          <w:szCs w:val="21"/>
        </w:rPr>
        <w:lastRenderedPageBreak/>
        <w:drawing>
          <wp:anchor distT="0" distB="0" distL="114300" distR="114300" simplePos="0" relativeHeight="251887616" behindDoc="1" locked="0" layoutInCell="1" allowOverlap="1">
            <wp:simplePos x="0" y="0"/>
            <wp:positionH relativeFrom="column">
              <wp:posOffset>-1160145</wp:posOffset>
            </wp:positionH>
            <wp:positionV relativeFrom="paragraph">
              <wp:posOffset>-1440180</wp:posOffset>
            </wp:positionV>
            <wp:extent cx="7562850" cy="10706100"/>
            <wp:effectExtent l="19050" t="0" r="0" b="0"/>
            <wp:wrapNone/>
            <wp:docPr id="18"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r w:rsidR="00616C93" w:rsidRPr="00616C93">
        <w:rPr>
          <w:rFonts w:asciiTheme="minorHAnsi" w:eastAsiaTheme="majorEastAsia" w:hAnsiTheme="minorHAnsi"/>
          <w:color w:val="333333"/>
          <w:sz w:val="21"/>
          <w:szCs w:val="21"/>
        </w:rPr>
        <w:t>双节假期之后，包括工行、建行、交行、平安、民生、光大等</w:t>
      </w:r>
      <w:r w:rsidR="00616C93" w:rsidRPr="00616C93">
        <w:rPr>
          <w:rFonts w:asciiTheme="minorHAnsi" w:eastAsiaTheme="majorEastAsia" w:hAnsiTheme="minorHAnsi"/>
          <w:color w:val="333333"/>
          <w:sz w:val="21"/>
          <w:szCs w:val="21"/>
        </w:rPr>
        <w:t>11</w:t>
      </w:r>
      <w:r w:rsidR="00616C93" w:rsidRPr="00616C93">
        <w:rPr>
          <w:rFonts w:asciiTheme="minorHAnsi" w:eastAsiaTheme="majorEastAsia" w:hAnsiTheme="minorHAnsi"/>
          <w:color w:val="333333"/>
          <w:sz w:val="21"/>
          <w:szCs w:val="21"/>
        </w:rPr>
        <w:t>家银行将试点债权直接融资工具、银行资产管理计划的消息，在资管行业引起轩然大波。</w:t>
      </w:r>
    </w:p>
    <w:p w:rsidR="00616C93" w:rsidRPr="00616C93"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传统资产管理公司如信托、证券、基金过去通过银信合作、银证合作、银基合作来弥补渠道短板，而银行也通过这些合作弥补自身资产管理方面的短板。但银行进入资管意味着银行具有了更强的资产管理能力，将对现有的资产管理行业造成冲击。不过对于影响范围，由于试点的具体方案尚未出炉，目前业内各执一词。</w:t>
      </w:r>
    </w:p>
    <w:p w:rsidR="00616C93" w:rsidRPr="00616C93"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Pr>
          <w:rFonts w:asciiTheme="minorHAnsi" w:eastAsiaTheme="majorEastAsia" w:hAnsiTheme="minorHAnsi" w:hint="eastAsia"/>
          <w:color w:val="333333"/>
          <w:sz w:val="21"/>
          <w:szCs w:val="21"/>
        </w:rPr>
        <w:t>“</w:t>
      </w:r>
      <w:r w:rsidRPr="00616C93">
        <w:rPr>
          <w:rFonts w:asciiTheme="minorHAnsi" w:eastAsiaTheme="majorEastAsia" w:hAnsiTheme="minorHAnsi"/>
          <w:color w:val="333333"/>
          <w:sz w:val="21"/>
          <w:szCs w:val="21"/>
        </w:rPr>
        <w:t>试点额度并不会太多，短期之内可能只对部分通道类业务带来影响，大的影响至少要一年时间。</w:t>
      </w:r>
      <w:r>
        <w:rPr>
          <w:rFonts w:asciiTheme="minorHAnsi" w:eastAsiaTheme="majorEastAsia" w:hAnsiTheme="minorHAnsi" w:hint="eastAsia"/>
          <w:color w:val="333333"/>
          <w:sz w:val="21"/>
          <w:szCs w:val="21"/>
        </w:rPr>
        <w:t>”</w:t>
      </w:r>
      <w:r w:rsidRPr="00616C93">
        <w:rPr>
          <w:rFonts w:asciiTheme="minorHAnsi" w:eastAsiaTheme="majorEastAsia" w:hAnsiTheme="minorHAnsi"/>
          <w:color w:val="333333"/>
          <w:sz w:val="21"/>
          <w:szCs w:val="21"/>
        </w:rPr>
        <w:t>10</w:t>
      </w:r>
      <w:r w:rsidRPr="00616C93">
        <w:rPr>
          <w:rFonts w:asciiTheme="minorHAnsi" w:eastAsiaTheme="majorEastAsia" w:hAnsiTheme="minorHAnsi"/>
          <w:color w:val="333333"/>
          <w:sz w:val="21"/>
          <w:szCs w:val="21"/>
        </w:rPr>
        <w:t>月</w:t>
      </w:r>
      <w:r w:rsidRPr="00616C93">
        <w:rPr>
          <w:rFonts w:asciiTheme="minorHAnsi" w:eastAsiaTheme="majorEastAsia" w:hAnsiTheme="minorHAnsi"/>
          <w:color w:val="333333"/>
          <w:sz w:val="21"/>
          <w:szCs w:val="21"/>
        </w:rPr>
        <w:t>9</w:t>
      </w:r>
      <w:r w:rsidRPr="00616C93">
        <w:rPr>
          <w:rFonts w:asciiTheme="minorHAnsi" w:eastAsiaTheme="majorEastAsia" w:hAnsiTheme="minorHAnsi"/>
          <w:color w:val="333333"/>
          <w:sz w:val="21"/>
          <w:szCs w:val="21"/>
        </w:rPr>
        <w:t>日，北京某信托公司研究发展部总经理指出</w:t>
      </w:r>
    </w:p>
    <w:p w:rsidR="00616C93" w:rsidRPr="00616C93"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银行一直以来扮演各类</w:t>
      </w:r>
      <w:hyperlink r:id="rId12" w:tgtFrame="_blank" w:history="1">
        <w:r w:rsidRPr="00616C93">
          <w:rPr>
            <w:rFonts w:asciiTheme="minorHAnsi" w:eastAsiaTheme="majorEastAsia" w:hAnsiTheme="minorHAnsi"/>
            <w:color w:val="333333"/>
            <w:sz w:val="21"/>
            <w:szCs w:val="21"/>
          </w:rPr>
          <w:t>金融</w:t>
        </w:r>
      </w:hyperlink>
      <w:r w:rsidRPr="00616C93">
        <w:rPr>
          <w:rFonts w:asciiTheme="minorHAnsi" w:eastAsiaTheme="majorEastAsia" w:hAnsiTheme="minorHAnsi"/>
          <w:color w:val="333333"/>
          <w:sz w:val="21"/>
          <w:szCs w:val="21"/>
        </w:rPr>
        <w:t>机构规模发展的</w:t>
      </w:r>
      <w:r w:rsidRPr="00616C93">
        <w:rPr>
          <w:rFonts w:asciiTheme="minorHAnsi" w:eastAsiaTheme="majorEastAsia" w:hAnsiTheme="minorHAnsi"/>
          <w:color w:val="333333"/>
          <w:sz w:val="21"/>
          <w:szCs w:val="21"/>
        </w:rPr>
        <w:t>“</w:t>
      </w:r>
      <w:r w:rsidRPr="00616C93">
        <w:rPr>
          <w:rFonts w:asciiTheme="minorHAnsi" w:eastAsiaTheme="majorEastAsia" w:hAnsiTheme="minorHAnsi"/>
          <w:color w:val="333333"/>
          <w:sz w:val="21"/>
          <w:szCs w:val="21"/>
        </w:rPr>
        <w:t>金主</w:t>
      </w:r>
      <w:r w:rsidRPr="00616C93">
        <w:rPr>
          <w:rFonts w:asciiTheme="minorHAnsi" w:eastAsiaTheme="majorEastAsia" w:hAnsiTheme="minorHAnsi"/>
          <w:color w:val="333333"/>
          <w:sz w:val="21"/>
          <w:szCs w:val="21"/>
        </w:rPr>
        <w:t>”</w:t>
      </w:r>
      <w:r w:rsidRPr="00616C93">
        <w:rPr>
          <w:rFonts w:asciiTheme="minorHAnsi" w:eastAsiaTheme="majorEastAsia" w:hAnsiTheme="minorHAnsi"/>
          <w:color w:val="333333"/>
          <w:sz w:val="21"/>
          <w:szCs w:val="21"/>
        </w:rPr>
        <w:t>角色，其直接介入资产管理业务，对于</w:t>
      </w:r>
      <w:r w:rsidRPr="00616C93">
        <w:rPr>
          <w:rFonts w:asciiTheme="minorHAnsi" w:eastAsiaTheme="majorEastAsia" w:hAnsiTheme="minorHAnsi"/>
          <w:color w:val="333333"/>
          <w:sz w:val="21"/>
          <w:szCs w:val="21"/>
        </w:rPr>
        <w:t>“</w:t>
      </w:r>
      <w:r w:rsidRPr="00616C93">
        <w:rPr>
          <w:rFonts w:asciiTheme="minorHAnsi" w:eastAsiaTheme="majorEastAsia" w:hAnsiTheme="minorHAnsi"/>
          <w:color w:val="333333"/>
          <w:sz w:val="21"/>
          <w:szCs w:val="21"/>
        </w:rPr>
        <w:t>规模为王</w:t>
      </w:r>
      <w:r w:rsidRPr="00616C93">
        <w:rPr>
          <w:rFonts w:asciiTheme="minorHAnsi" w:eastAsiaTheme="majorEastAsia" w:hAnsiTheme="minorHAnsi"/>
          <w:color w:val="333333"/>
          <w:sz w:val="21"/>
          <w:szCs w:val="21"/>
        </w:rPr>
        <w:t>”</w:t>
      </w:r>
      <w:r w:rsidRPr="00616C93">
        <w:rPr>
          <w:rFonts w:asciiTheme="minorHAnsi" w:eastAsiaTheme="majorEastAsia" w:hAnsiTheme="minorHAnsi"/>
          <w:color w:val="333333"/>
          <w:sz w:val="21"/>
          <w:szCs w:val="21"/>
        </w:rPr>
        <w:t>的其它各类资产管理机构来讲并不是一个好消息，现有的平衡预计会打破。</w:t>
      </w:r>
    </w:p>
    <w:p w:rsidR="00616C93" w:rsidRPr="00616C93"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银行介入资管在此之前，一直需要借道信托、券商资管或基金子公司进行投资性业务，后者业务中通道类业务占比较大，银行直接介入资管之后，对于这一类业务的冲击显而易见。</w:t>
      </w:r>
    </w:p>
    <w:p w:rsidR="00616C93" w:rsidRPr="00616C93"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Pr>
          <w:rFonts w:asciiTheme="minorHAnsi" w:eastAsiaTheme="majorEastAsia" w:hAnsiTheme="minorHAnsi" w:hint="eastAsia"/>
          <w:color w:val="333333"/>
          <w:sz w:val="21"/>
          <w:szCs w:val="21"/>
        </w:rPr>
        <w:t>“</w:t>
      </w:r>
      <w:r w:rsidRPr="00616C93">
        <w:rPr>
          <w:rFonts w:asciiTheme="minorHAnsi" w:eastAsiaTheme="majorEastAsia" w:hAnsiTheme="minorHAnsi"/>
          <w:color w:val="333333"/>
          <w:sz w:val="21"/>
          <w:szCs w:val="21"/>
        </w:rPr>
        <w:t>目前来看试点的规模只有百亿元左右。</w:t>
      </w:r>
      <w:r>
        <w:rPr>
          <w:rFonts w:asciiTheme="minorHAnsi" w:eastAsiaTheme="majorEastAsia" w:hAnsiTheme="minorHAnsi" w:hint="eastAsia"/>
          <w:color w:val="333333"/>
          <w:sz w:val="21"/>
          <w:szCs w:val="21"/>
        </w:rPr>
        <w:t>”</w:t>
      </w:r>
      <w:r w:rsidRPr="00616C93">
        <w:rPr>
          <w:rFonts w:asciiTheme="minorHAnsi" w:eastAsiaTheme="majorEastAsia" w:hAnsiTheme="minorHAnsi"/>
          <w:color w:val="333333"/>
          <w:sz w:val="21"/>
          <w:szCs w:val="21"/>
        </w:rPr>
        <w:t>北京某信托人士表示，在政策更为明朗之前，对于信托、券商资管和基金子公司的业务规模冲击尚难判断。</w:t>
      </w:r>
    </w:p>
    <w:p w:rsidR="00616C93" w:rsidRPr="00616C93"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不过该人士同时表示，对于过重依赖通道类业务的基金公司子公司来讲，可能冲击会更为明显。</w:t>
      </w:r>
    </w:p>
    <w:p w:rsidR="00616C93" w:rsidRPr="00616C93"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与此同时，亦有消息显示，银行资管或直接介入股票投资，这对于各类证券投资机构的业务发展同样构成重大影响。在今年年初，证监会出炉的《资产管理机构开展公募证券投资基金管理业务暂行规定》，对于银行从事公募业务亦有开口。</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直接由</w:t>
      </w:r>
      <w:hyperlink r:id="rId13" w:tgtFrame="_blank" w:history="1">
        <w:r w:rsidRPr="00616C93">
          <w:rPr>
            <w:rFonts w:asciiTheme="minorHAnsi" w:eastAsiaTheme="majorEastAsia" w:hAnsiTheme="minorHAnsi"/>
            <w:color w:val="333333"/>
            <w:sz w:val="21"/>
            <w:szCs w:val="21"/>
          </w:rPr>
          <w:t>银监会</w:t>
        </w:r>
      </w:hyperlink>
      <w:r w:rsidRPr="00616C93">
        <w:rPr>
          <w:rFonts w:asciiTheme="minorHAnsi" w:eastAsiaTheme="majorEastAsia" w:hAnsiTheme="minorHAnsi"/>
          <w:color w:val="333333"/>
          <w:sz w:val="21"/>
          <w:szCs w:val="21"/>
        </w:rPr>
        <w:t>牵头，银行从事资管之后，或将首先考量银行的流动性，打通资管计划份额的二级交易市场问题。</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从首批试点银行来看，包括工行、建行、交行、平安、民生、光大等银行中只有两家大型商业银行，或反映出监管层对这项业务可能造成影响的保守考量。</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Pr>
          <w:rFonts w:asciiTheme="minorHAnsi" w:eastAsiaTheme="majorEastAsia" w:hAnsiTheme="minorHAnsi" w:hint="eastAsia"/>
          <w:color w:val="333333"/>
          <w:sz w:val="21"/>
          <w:szCs w:val="21"/>
        </w:rPr>
        <w:t xml:space="preserve"> </w:t>
      </w:r>
      <w:r w:rsidRPr="00616C93">
        <w:rPr>
          <w:rFonts w:asciiTheme="minorHAnsi" w:eastAsiaTheme="majorEastAsia" w:hAnsiTheme="minorHAnsi"/>
          <w:color w:val="333333"/>
          <w:sz w:val="21"/>
          <w:szCs w:val="21"/>
        </w:rPr>
        <w:t>同时有受访人士认为，银行资管平台设立之后，将降低各类融资的成本。因为银行过去借助券商、信托等通道需要支付一部分的通道费。</w:t>
      </w:r>
    </w:p>
    <w:p w:rsidR="00616C93" w:rsidRPr="00616C93" w:rsidRDefault="00616C93"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color w:val="333333"/>
          <w:sz w:val="21"/>
          <w:szCs w:val="21"/>
        </w:rPr>
        <w:t>由于从牌照监管过渡到产品、业务监管的思路尚需厘清一系列制度壁垒。上述人士同时指出，由银行资管进行示范的资管模式，能否顺利在整个资管行业进行复制，仍然有待观望。</w:t>
      </w:r>
    </w:p>
    <w:p w:rsidR="006004CE" w:rsidRPr="00616C93" w:rsidRDefault="00CB3A58" w:rsidP="00616C93">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Pr>
          <w:rFonts w:asciiTheme="minorHAnsi" w:eastAsiaTheme="majorEastAsia" w:hAnsiTheme="minorHAnsi"/>
          <w:noProof/>
          <w:color w:val="333333"/>
          <w:sz w:val="21"/>
          <w:szCs w:val="21"/>
        </w:rPr>
        <w:pict>
          <v:shape id="_x0000_s1144" type="#_x0000_t202" style="position:absolute;left:0;text-align:left;margin-left:149.4pt;margin-top:49.8pt;width:116.55pt;height:26.25pt;z-index:251913216;mso-width-relative:margin;mso-height-relative:margin;v-text-anchor:middle" filled="f" stroked="f">
            <v:textbox style="mso-next-textbox:#_x0000_s1144">
              <w:txbxContent>
                <w:p w:rsidR="00A8555C" w:rsidRDefault="00A8555C" w:rsidP="00A8555C">
                  <w:pPr>
                    <w:jc w:val="center"/>
                  </w:pPr>
                  <w:r>
                    <w:rPr>
                      <w:rFonts w:hint="eastAsia"/>
                    </w:rPr>
                    <w:t>第</w:t>
                  </w:r>
                  <w:r>
                    <w:rPr>
                      <w:rFonts w:hint="eastAsia"/>
                    </w:rPr>
                    <w:t>3</w:t>
                  </w:r>
                  <w:r>
                    <w:rPr>
                      <w:rFonts w:hint="eastAsia"/>
                    </w:rPr>
                    <w:t>页</w:t>
                  </w:r>
                </w:p>
              </w:txbxContent>
            </v:textbox>
          </v:shape>
        </w:pict>
      </w:r>
      <w:r w:rsidR="00220156" w:rsidRPr="00616C93">
        <w:rPr>
          <w:rFonts w:asciiTheme="minorHAnsi" w:eastAsiaTheme="majorEastAsia" w:hAnsiTheme="minorHAnsi" w:hint="eastAsia"/>
          <w:noProof/>
          <w:color w:val="333333"/>
          <w:sz w:val="21"/>
          <w:szCs w:val="21"/>
        </w:rPr>
        <w:drawing>
          <wp:anchor distT="0" distB="0" distL="114300" distR="114300" simplePos="0" relativeHeight="251871232" behindDoc="1" locked="0" layoutInCell="1" allowOverlap="1">
            <wp:simplePos x="0" y="0"/>
            <wp:positionH relativeFrom="column">
              <wp:posOffset>-1141095</wp:posOffset>
            </wp:positionH>
            <wp:positionV relativeFrom="paragraph">
              <wp:posOffset>-1440180</wp:posOffset>
            </wp:positionV>
            <wp:extent cx="7562850" cy="10706100"/>
            <wp:effectExtent l="19050" t="0" r="0" b="0"/>
            <wp:wrapNone/>
            <wp:docPr id="8"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p>
    <w:p w:rsidR="00616C93" w:rsidRPr="00616C93" w:rsidRDefault="008A0270" w:rsidP="008A0270">
      <w:pPr>
        <w:widowControl/>
        <w:spacing w:line="360" w:lineRule="auto"/>
        <w:jc w:val="left"/>
        <w:outlineLvl w:val="1"/>
        <w:rPr>
          <w:rFonts w:ascii="宋体" w:hAnsi="宋体"/>
          <w:b/>
          <w:szCs w:val="21"/>
        </w:rPr>
      </w:pPr>
      <w:r>
        <w:rPr>
          <w:rFonts w:eastAsiaTheme="majorEastAsia" w:hAnsiTheme="majorEastAsia"/>
          <w:noProof/>
          <w:color w:val="333333"/>
        </w:rPr>
        <w:lastRenderedPageBreak/>
        <w:drawing>
          <wp:anchor distT="0" distB="0" distL="114300" distR="114300" simplePos="0" relativeHeight="251889664" behindDoc="1" locked="0" layoutInCell="1" allowOverlap="1">
            <wp:simplePos x="0" y="0"/>
            <wp:positionH relativeFrom="column">
              <wp:posOffset>-1112520</wp:posOffset>
            </wp:positionH>
            <wp:positionV relativeFrom="paragraph">
              <wp:posOffset>-1440180</wp:posOffset>
            </wp:positionV>
            <wp:extent cx="7562850" cy="10706100"/>
            <wp:effectExtent l="19050" t="0" r="0" b="0"/>
            <wp:wrapNone/>
            <wp:docPr id="19"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r w:rsidR="006004CE" w:rsidRPr="00616C93">
        <w:rPr>
          <w:rFonts w:asciiTheme="minorEastAsia" w:hAnsiTheme="minorEastAsia" w:hint="eastAsia"/>
          <w:b/>
          <w:szCs w:val="21"/>
        </w:rPr>
        <w:t>（三）、</w:t>
      </w:r>
      <w:r w:rsidR="00616C93" w:rsidRPr="00616C93">
        <w:rPr>
          <w:rFonts w:ascii="宋体" w:hAnsi="宋体" w:hint="eastAsia"/>
          <w:b/>
          <w:szCs w:val="21"/>
        </w:rPr>
        <w:t>信托发行规模收益双降地产类强势依旧</w:t>
      </w:r>
    </w:p>
    <w:p w:rsidR="00616C93" w:rsidRPr="00616C93"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hint="eastAsia"/>
          <w:color w:val="333333"/>
          <w:sz w:val="21"/>
          <w:szCs w:val="21"/>
        </w:rPr>
        <w:t>据用益信托统计显示，</w:t>
      </w:r>
      <w:r w:rsidRPr="00616C93">
        <w:rPr>
          <w:rFonts w:asciiTheme="minorHAnsi" w:eastAsiaTheme="majorEastAsia" w:hAnsiTheme="minorHAnsi" w:hint="eastAsia"/>
          <w:color w:val="333333"/>
          <w:sz w:val="21"/>
          <w:szCs w:val="21"/>
        </w:rPr>
        <w:t>2013</w:t>
      </w:r>
      <w:r w:rsidRPr="00616C93">
        <w:rPr>
          <w:rFonts w:asciiTheme="minorHAnsi" w:eastAsiaTheme="majorEastAsia" w:hAnsiTheme="minorHAnsi" w:hint="eastAsia"/>
          <w:color w:val="333333"/>
          <w:sz w:val="21"/>
          <w:szCs w:val="21"/>
        </w:rPr>
        <w:t>年</w:t>
      </w:r>
      <w:r w:rsidRPr="00616C93">
        <w:rPr>
          <w:rFonts w:asciiTheme="minorHAnsi" w:eastAsiaTheme="majorEastAsia" w:hAnsiTheme="minorHAnsi" w:hint="eastAsia"/>
          <w:color w:val="333333"/>
          <w:sz w:val="21"/>
          <w:szCs w:val="21"/>
        </w:rPr>
        <w:t>9</w:t>
      </w:r>
      <w:r w:rsidRPr="00616C93">
        <w:rPr>
          <w:rFonts w:asciiTheme="minorHAnsi" w:eastAsiaTheme="majorEastAsia" w:hAnsiTheme="minorHAnsi" w:hint="eastAsia"/>
          <w:color w:val="333333"/>
          <w:sz w:val="21"/>
          <w:szCs w:val="21"/>
        </w:rPr>
        <w:t>月份成立集合资金信托产品</w:t>
      </w:r>
      <w:r w:rsidRPr="00616C93">
        <w:rPr>
          <w:rFonts w:asciiTheme="minorHAnsi" w:eastAsiaTheme="majorEastAsia" w:hAnsiTheme="minorHAnsi" w:hint="eastAsia"/>
          <w:color w:val="333333"/>
          <w:sz w:val="21"/>
          <w:szCs w:val="21"/>
        </w:rPr>
        <w:t>379</w:t>
      </w:r>
      <w:r w:rsidRPr="00616C93">
        <w:rPr>
          <w:rFonts w:asciiTheme="minorHAnsi" w:eastAsiaTheme="majorEastAsia" w:hAnsiTheme="minorHAnsi" w:hint="eastAsia"/>
          <w:color w:val="333333"/>
          <w:sz w:val="21"/>
          <w:szCs w:val="21"/>
        </w:rPr>
        <w:t>款，成立规模为</w:t>
      </w:r>
      <w:r w:rsidRPr="00616C93">
        <w:rPr>
          <w:rFonts w:asciiTheme="minorHAnsi" w:eastAsiaTheme="majorEastAsia" w:hAnsiTheme="minorHAnsi" w:hint="eastAsia"/>
          <w:color w:val="333333"/>
          <w:sz w:val="21"/>
          <w:szCs w:val="21"/>
        </w:rPr>
        <w:t>502.79</w:t>
      </w:r>
      <w:r w:rsidRPr="00616C93">
        <w:rPr>
          <w:rFonts w:asciiTheme="minorHAnsi" w:eastAsiaTheme="majorEastAsia" w:hAnsiTheme="minorHAnsi" w:hint="eastAsia"/>
          <w:color w:val="333333"/>
          <w:sz w:val="21"/>
          <w:szCs w:val="21"/>
        </w:rPr>
        <w:t>亿元，同比和环比双双减少；平均预期年化收益率为</w:t>
      </w:r>
      <w:r w:rsidRPr="00616C93">
        <w:rPr>
          <w:rFonts w:asciiTheme="minorHAnsi" w:eastAsiaTheme="majorEastAsia" w:hAnsiTheme="minorHAnsi" w:hint="eastAsia"/>
          <w:color w:val="333333"/>
          <w:sz w:val="21"/>
          <w:szCs w:val="21"/>
        </w:rPr>
        <w:t>8.68%</w:t>
      </w:r>
      <w:r w:rsidRPr="00616C93">
        <w:rPr>
          <w:rFonts w:asciiTheme="minorHAnsi" w:eastAsiaTheme="majorEastAsia" w:hAnsiTheme="minorHAnsi" w:hint="eastAsia"/>
          <w:color w:val="333333"/>
          <w:sz w:val="21"/>
          <w:szCs w:val="21"/>
        </w:rPr>
        <w:t>，环比下降</w:t>
      </w:r>
      <w:r w:rsidRPr="00616C93">
        <w:rPr>
          <w:rFonts w:asciiTheme="minorHAnsi" w:eastAsiaTheme="majorEastAsia" w:hAnsiTheme="minorHAnsi" w:hint="eastAsia"/>
          <w:color w:val="333333"/>
          <w:sz w:val="21"/>
          <w:szCs w:val="21"/>
        </w:rPr>
        <w:t>0.09%</w:t>
      </w:r>
      <w:r w:rsidRPr="00616C93">
        <w:rPr>
          <w:rFonts w:asciiTheme="minorHAnsi" w:eastAsiaTheme="majorEastAsia" w:hAnsiTheme="minorHAnsi" w:hint="eastAsia"/>
          <w:color w:val="333333"/>
          <w:sz w:val="21"/>
          <w:szCs w:val="21"/>
        </w:rPr>
        <w:t>，同比下降</w:t>
      </w:r>
      <w:r w:rsidRPr="00616C93">
        <w:rPr>
          <w:rFonts w:asciiTheme="minorHAnsi" w:eastAsiaTheme="majorEastAsia" w:hAnsiTheme="minorHAnsi" w:hint="eastAsia"/>
          <w:color w:val="333333"/>
          <w:sz w:val="21"/>
          <w:szCs w:val="21"/>
        </w:rPr>
        <w:t>0.40%</w:t>
      </w:r>
      <w:r w:rsidRPr="00616C93">
        <w:rPr>
          <w:rFonts w:asciiTheme="minorHAnsi" w:eastAsiaTheme="majorEastAsia" w:hAnsiTheme="minorHAnsi" w:hint="eastAsia"/>
          <w:color w:val="333333"/>
          <w:sz w:val="21"/>
          <w:szCs w:val="21"/>
        </w:rPr>
        <w:t>。</w:t>
      </w:r>
      <w:r w:rsidRPr="00616C93">
        <w:rPr>
          <w:rFonts w:asciiTheme="minorHAnsi" w:eastAsiaTheme="majorEastAsia" w:hAnsiTheme="minorHAnsi" w:hint="eastAsia"/>
          <w:color w:val="333333"/>
          <w:sz w:val="21"/>
          <w:szCs w:val="21"/>
        </w:rPr>
        <w:t>10</w:t>
      </w:r>
      <w:r w:rsidRPr="00616C93">
        <w:rPr>
          <w:rFonts w:asciiTheme="minorHAnsi" w:eastAsiaTheme="majorEastAsia" w:hAnsiTheme="minorHAnsi" w:hint="eastAsia"/>
          <w:color w:val="333333"/>
          <w:sz w:val="21"/>
          <w:szCs w:val="21"/>
        </w:rPr>
        <w:t>月节后市场反应均较冷清，成立产品数量和参与机构数量、收益率均有所下降。</w:t>
      </w:r>
    </w:p>
    <w:p w:rsidR="00616C93" w:rsidRPr="00616C93"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hint="eastAsia"/>
          <w:color w:val="333333"/>
          <w:sz w:val="21"/>
          <w:szCs w:val="21"/>
        </w:rPr>
        <w:t>不过，证券投资信托持续发力，发行数量名列前茅；房地产信托发行规模保持稳健，收益率相对较高。</w:t>
      </w:r>
    </w:p>
    <w:p w:rsidR="00616C93" w:rsidRPr="004B3949" w:rsidRDefault="00616C93" w:rsidP="008A0270">
      <w:pPr>
        <w:spacing w:line="360" w:lineRule="auto"/>
        <w:rPr>
          <w:rFonts w:ascii="宋体" w:hAnsi="宋体"/>
          <w:szCs w:val="21"/>
        </w:rPr>
      </w:pPr>
      <w:r w:rsidRPr="004B3949">
        <w:rPr>
          <w:rFonts w:ascii="宋体" w:hAnsi="宋体" w:hint="eastAsia"/>
          <w:b/>
          <w:bCs/>
          <w:szCs w:val="21"/>
        </w:rPr>
        <w:t xml:space="preserve">　　收益率规模双降</w:t>
      </w:r>
    </w:p>
    <w:p w:rsidR="00616C93" w:rsidRPr="00616C93"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hint="eastAsia"/>
          <w:color w:val="333333"/>
          <w:sz w:val="21"/>
          <w:szCs w:val="21"/>
        </w:rPr>
        <w:t>用益统计数据显示，</w:t>
      </w:r>
      <w:r w:rsidRPr="00616C93">
        <w:rPr>
          <w:rFonts w:asciiTheme="minorHAnsi" w:eastAsiaTheme="majorEastAsia" w:hAnsiTheme="minorHAnsi" w:hint="eastAsia"/>
          <w:color w:val="333333"/>
          <w:sz w:val="21"/>
          <w:szCs w:val="21"/>
        </w:rPr>
        <w:t>9</w:t>
      </w:r>
      <w:r w:rsidRPr="00616C93">
        <w:rPr>
          <w:rFonts w:asciiTheme="minorHAnsi" w:eastAsiaTheme="majorEastAsia" w:hAnsiTheme="minorHAnsi" w:hint="eastAsia"/>
          <w:color w:val="333333"/>
          <w:sz w:val="21"/>
          <w:szCs w:val="21"/>
        </w:rPr>
        <w:t>月份发行的集合信托产品中，除了</w:t>
      </w:r>
      <w:r w:rsidRPr="00616C93">
        <w:rPr>
          <w:rFonts w:asciiTheme="minorHAnsi" w:eastAsiaTheme="majorEastAsia" w:hAnsiTheme="minorHAnsi" w:hint="eastAsia"/>
          <w:color w:val="333333"/>
          <w:sz w:val="21"/>
          <w:szCs w:val="21"/>
        </w:rPr>
        <w:t>2</w:t>
      </w:r>
      <w:r w:rsidRPr="00616C93">
        <w:rPr>
          <w:rFonts w:asciiTheme="minorHAnsi" w:eastAsiaTheme="majorEastAsia" w:hAnsiTheme="minorHAnsi" w:hint="eastAsia"/>
          <w:color w:val="333333"/>
          <w:sz w:val="21"/>
          <w:szCs w:val="21"/>
        </w:rPr>
        <w:t>年期的集合产品外，其他两档期限产品的预期收益环比均有所下跌。从整体看来，近期中长期产品预期收益下降趋势比较明显。</w:t>
      </w:r>
    </w:p>
    <w:p w:rsidR="00616C93" w:rsidRPr="00616C93"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hint="eastAsia"/>
          <w:color w:val="333333"/>
          <w:sz w:val="21"/>
          <w:szCs w:val="21"/>
        </w:rPr>
        <w:t>而在</w:t>
      </w:r>
      <w:r w:rsidRPr="00616C93">
        <w:rPr>
          <w:rFonts w:asciiTheme="minorHAnsi" w:eastAsiaTheme="majorEastAsia" w:hAnsiTheme="minorHAnsi" w:hint="eastAsia"/>
          <w:color w:val="333333"/>
          <w:sz w:val="21"/>
          <w:szCs w:val="21"/>
        </w:rPr>
        <w:t>10</w:t>
      </w:r>
      <w:r w:rsidRPr="00616C93">
        <w:rPr>
          <w:rFonts w:asciiTheme="minorHAnsi" w:eastAsiaTheme="majorEastAsia" w:hAnsiTheme="minorHAnsi" w:hint="eastAsia"/>
          <w:color w:val="333333"/>
          <w:sz w:val="21"/>
          <w:szCs w:val="21"/>
        </w:rPr>
        <w:t>月最新一周的发行中，各类期限产品平均收益率均较前一周有所下降，其中降幅最大的是</w:t>
      </w:r>
      <w:r w:rsidRPr="00616C93">
        <w:rPr>
          <w:rFonts w:asciiTheme="minorHAnsi" w:eastAsiaTheme="majorEastAsia" w:hAnsiTheme="minorHAnsi" w:hint="eastAsia"/>
          <w:color w:val="333333"/>
          <w:sz w:val="21"/>
          <w:szCs w:val="21"/>
        </w:rPr>
        <w:t>2</w:t>
      </w:r>
      <w:r w:rsidRPr="00616C93">
        <w:rPr>
          <w:rFonts w:asciiTheme="minorHAnsi" w:eastAsiaTheme="majorEastAsia" w:hAnsiTheme="minorHAnsi" w:hint="eastAsia"/>
          <w:color w:val="333333"/>
          <w:sz w:val="21"/>
          <w:szCs w:val="21"/>
        </w:rPr>
        <w:t>年以上期限产品，由上周的</w:t>
      </w:r>
      <w:r w:rsidRPr="00616C93">
        <w:rPr>
          <w:rFonts w:asciiTheme="minorHAnsi" w:eastAsiaTheme="majorEastAsia" w:hAnsiTheme="minorHAnsi" w:hint="eastAsia"/>
          <w:color w:val="333333"/>
          <w:sz w:val="21"/>
          <w:szCs w:val="21"/>
        </w:rPr>
        <w:t>10.25%</w:t>
      </w:r>
      <w:r w:rsidRPr="00616C93">
        <w:rPr>
          <w:rFonts w:asciiTheme="minorHAnsi" w:eastAsiaTheme="majorEastAsia" w:hAnsiTheme="minorHAnsi" w:hint="eastAsia"/>
          <w:color w:val="333333"/>
          <w:sz w:val="21"/>
          <w:szCs w:val="21"/>
        </w:rPr>
        <w:t>降至本周的</w:t>
      </w:r>
      <w:r w:rsidRPr="00616C93">
        <w:rPr>
          <w:rFonts w:asciiTheme="minorHAnsi" w:eastAsiaTheme="majorEastAsia" w:hAnsiTheme="minorHAnsi" w:hint="eastAsia"/>
          <w:color w:val="333333"/>
          <w:sz w:val="21"/>
          <w:szCs w:val="21"/>
        </w:rPr>
        <w:t>8.38%</w:t>
      </w:r>
      <w:r w:rsidRPr="00616C93">
        <w:rPr>
          <w:rFonts w:asciiTheme="minorHAnsi" w:eastAsiaTheme="majorEastAsia" w:hAnsiTheme="minorHAnsi" w:hint="eastAsia"/>
          <w:color w:val="333333"/>
          <w:sz w:val="21"/>
          <w:szCs w:val="21"/>
        </w:rPr>
        <w:t>，下降了</w:t>
      </w:r>
      <w:r w:rsidRPr="00616C93">
        <w:rPr>
          <w:rFonts w:asciiTheme="minorHAnsi" w:eastAsiaTheme="majorEastAsia" w:hAnsiTheme="minorHAnsi" w:hint="eastAsia"/>
          <w:color w:val="333333"/>
          <w:sz w:val="21"/>
          <w:szCs w:val="21"/>
        </w:rPr>
        <w:t>1.87%</w:t>
      </w:r>
      <w:r w:rsidRPr="00616C93">
        <w:rPr>
          <w:rFonts w:asciiTheme="minorHAnsi" w:eastAsiaTheme="majorEastAsia" w:hAnsiTheme="minorHAnsi" w:hint="eastAsia"/>
          <w:color w:val="333333"/>
          <w:sz w:val="21"/>
          <w:szCs w:val="21"/>
        </w:rPr>
        <w:t>；收益最好的仍是</w:t>
      </w:r>
      <w:r w:rsidRPr="00616C93">
        <w:rPr>
          <w:rFonts w:asciiTheme="minorHAnsi" w:eastAsiaTheme="majorEastAsia" w:hAnsiTheme="minorHAnsi" w:hint="eastAsia"/>
          <w:color w:val="333333"/>
          <w:sz w:val="21"/>
          <w:szCs w:val="21"/>
        </w:rPr>
        <w:t>1-1.5</w:t>
      </w:r>
      <w:r w:rsidRPr="00616C93">
        <w:rPr>
          <w:rFonts w:asciiTheme="minorHAnsi" w:eastAsiaTheme="majorEastAsia" w:hAnsiTheme="minorHAnsi" w:hint="eastAsia"/>
          <w:color w:val="333333"/>
          <w:sz w:val="21"/>
          <w:szCs w:val="21"/>
        </w:rPr>
        <w:t>年期产品，平均收益率为</w:t>
      </w:r>
      <w:r w:rsidRPr="00616C93">
        <w:rPr>
          <w:rFonts w:asciiTheme="minorHAnsi" w:eastAsiaTheme="majorEastAsia" w:hAnsiTheme="minorHAnsi" w:hint="eastAsia"/>
          <w:color w:val="333333"/>
          <w:sz w:val="21"/>
          <w:szCs w:val="21"/>
        </w:rPr>
        <w:t>9.93%</w:t>
      </w:r>
      <w:r w:rsidRPr="00616C93">
        <w:rPr>
          <w:rFonts w:asciiTheme="minorHAnsi" w:eastAsiaTheme="majorEastAsia" w:hAnsiTheme="minorHAnsi" w:hint="eastAsia"/>
          <w:color w:val="333333"/>
          <w:sz w:val="21"/>
          <w:szCs w:val="21"/>
        </w:rPr>
        <w:t>，但仍较上周下降</w:t>
      </w:r>
      <w:r w:rsidRPr="00616C93">
        <w:rPr>
          <w:rFonts w:asciiTheme="minorHAnsi" w:eastAsiaTheme="majorEastAsia" w:hAnsiTheme="minorHAnsi" w:hint="eastAsia"/>
          <w:color w:val="333333"/>
          <w:sz w:val="21"/>
          <w:szCs w:val="21"/>
        </w:rPr>
        <w:t>0.11%</w:t>
      </w:r>
      <w:r w:rsidRPr="00616C93">
        <w:rPr>
          <w:rFonts w:asciiTheme="minorHAnsi" w:eastAsiaTheme="majorEastAsia" w:hAnsiTheme="minorHAnsi" w:hint="eastAsia"/>
          <w:color w:val="333333"/>
          <w:sz w:val="21"/>
          <w:szCs w:val="21"/>
        </w:rPr>
        <w:t>。</w:t>
      </w:r>
    </w:p>
    <w:p w:rsidR="00616C93" w:rsidRPr="00616C93"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hint="eastAsia"/>
          <w:color w:val="333333"/>
          <w:sz w:val="21"/>
          <w:szCs w:val="21"/>
        </w:rPr>
        <w:t>今年以来收益率基本维持在</w:t>
      </w:r>
      <w:r w:rsidRPr="00616C93">
        <w:rPr>
          <w:rFonts w:asciiTheme="minorHAnsi" w:eastAsiaTheme="majorEastAsia" w:hAnsiTheme="minorHAnsi" w:hint="eastAsia"/>
          <w:color w:val="333333"/>
          <w:sz w:val="21"/>
          <w:szCs w:val="21"/>
        </w:rPr>
        <w:t>9%</w:t>
      </w:r>
      <w:r w:rsidRPr="00616C93">
        <w:rPr>
          <w:rFonts w:asciiTheme="minorHAnsi" w:eastAsiaTheme="majorEastAsia" w:hAnsiTheme="minorHAnsi" w:hint="eastAsia"/>
          <w:color w:val="333333"/>
          <w:sz w:val="21"/>
          <w:szCs w:val="21"/>
        </w:rPr>
        <w:t>左右，较去年是有所下降的，主要原因是市场资金面相对宽松，理财产品收益相对下降。</w:t>
      </w:r>
    </w:p>
    <w:p w:rsidR="00616C93" w:rsidRPr="00616C93"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616C93">
        <w:rPr>
          <w:rFonts w:asciiTheme="minorHAnsi" w:eastAsiaTheme="majorEastAsia" w:hAnsiTheme="minorHAnsi" w:hint="eastAsia"/>
          <w:color w:val="333333"/>
          <w:sz w:val="21"/>
          <w:szCs w:val="21"/>
        </w:rPr>
        <w:t>相比而言，收益率上半年下行比较明显，下半年在资金面收紧的情况下有所回升。</w:t>
      </w:r>
      <w:r w:rsidRPr="00616C93">
        <w:rPr>
          <w:rFonts w:asciiTheme="minorHAnsi" w:eastAsiaTheme="majorEastAsia" w:hAnsiTheme="minorHAnsi" w:hint="eastAsia"/>
          <w:color w:val="333333"/>
          <w:sz w:val="21"/>
          <w:szCs w:val="21"/>
        </w:rPr>
        <w:t>9</w:t>
      </w:r>
      <w:r w:rsidRPr="00616C93">
        <w:rPr>
          <w:rFonts w:asciiTheme="minorHAnsi" w:eastAsiaTheme="majorEastAsia" w:hAnsiTheme="minorHAnsi" w:hint="eastAsia"/>
          <w:color w:val="333333"/>
          <w:sz w:val="21"/>
          <w:szCs w:val="21"/>
        </w:rPr>
        <w:t>月份的整体收益率还是高于前期的。中短期限产品收益率较高，主要是由于其产品投资期限相对较短，确定性比较强，面临的风险因素会相对较小。</w:t>
      </w:r>
    </w:p>
    <w:p w:rsidR="00616C93" w:rsidRPr="004B3949" w:rsidRDefault="00616C93" w:rsidP="008A0270">
      <w:pPr>
        <w:spacing w:line="360" w:lineRule="auto"/>
        <w:rPr>
          <w:rFonts w:ascii="宋体" w:hAnsi="宋体"/>
          <w:szCs w:val="21"/>
        </w:rPr>
      </w:pPr>
      <w:r w:rsidRPr="004B3949">
        <w:rPr>
          <w:rFonts w:ascii="宋体" w:hAnsi="宋体" w:hint="eastAsia"/>
          <w:b/>
          <w:bCs/>
          <w:szCs w:val="21"/>
        </w:rPr>
        <w:t xml:space="preserve">　　证券投资类回暖</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值得注意的是，尽管集合类产品规模有所减少，但其中的证券投资类产品，呈现持续回暖的迹象。统计数据显示，在</w:t>
      </w:r>
      <w:r w:rsidRPr="000004BF">
        <w:rPr>
          <w:rFonts w:asciiTheme="minorHAnsi" w:eastAsiaTheme="majorEastAsia" w:hAnsiTheme="minorHAnsi" w:hint="eastAsia"/>
          <w:color w:val="333333"/>
          <w:sz w:val="21"/>
          <w:szCs w:val="21"/>
        </w:rPr>
        <w:t>1-9</w:t>
      </w:r>
      <w:r w:rsidRPr="000004BF">
        <w:rPr>
          <w:rFonts w:asciiTheme="minorHAnsi" w:eastAsiaTheme="majorEastAsia" w:hAnsiTheme="minorHAnsi" w:hint="eastAsia"/>
          <w:color w:val="333333"/>
          <w:sz w:val="21"/>
          <w:szCs w:val="21"/>
        </w:rPr>
        <w:t>月共成立</w:t>
      </w:r>
      <w:r w:rsidRPr="000004BF">
        <w:rPr>
          <w:rFonts w:asciiTheme="minorHAnsi" w:eastAsiaTheme="majorEastAsia" w:hAnsiTheme="minorHAnsi" w:hint="eastAsia"/>
          <w:color w:val="333333"/>
          <w:sz w:val="21"/>
          <w:szCs w:val="21"/>
        </w:rPr>
        <w:t>774</w:t>
      </w:r>
      <w:r w:rsidRPr="000004BF">
        <w:rPr>
          <w:rFonts w:asciiTheme="minorHAnsi" w:eastAsiaTheme="majorEastAsia" w:hAnsiTheme="minorHAnsi" w:hint="eastAsia"/>
          <w:color w:val="333333"/>
          <w:sz w:val="21"/>
          <w:szCs w:val="21"/>
        </w:rPr>
        <w:t>款产品，募集资金</w:t>
      </w:r>
      <w:r w:rsidRPr="000004BF">
        <w:rPr>
          <w:rFonts w:asciiTheme="minorHAnsi" w:eastAsiaTheme="majorEastAsia" w:hAnsiTheme="minorHAnsi" w:hint="eastAsia"/>
          <w:color w:val="333333"/>
          <w:sz w:val="21"/>
          <w:szCs w:val="21"/>
        </w:rPr>
        <w:t>540.56</w:t>
      </w:r>
      <w:r w:rsidRPr="000004BF">
        <w:rPr>
          <w:rFonts w:asciiTheme="minorHAnsi" w:eastAsiaTheme="majorEastAsia" w:hAnsiTheme="minorHAnsi" w:hint="eastAsia"/>
          <w:color w:val="333333"/>
          <w:sz w:val="21"/>
          <w:szCs w:val="21"/>
        </w:rPr>
        <w:t>亿元，占总成立规模的</w:t>
      </w:r>
      <w:r w:rsidRPr="000004BF">
        <w:rPr>
          <w:rFonts w:asciiTheme="minorHAnsi" w:eastAsiaTheme="majorEastAsia" w:hAnsiTheme="minorHAnsi" w:hint="eastAsia"/>
          <w:color w:val="333333"/>
          <w:sz w:val="21"/>
          <w:szCs w:val="21"/>
        </w:rPr>
        <w:t>9.08%</w:t>
      </w:r>
      <w:r w:rsidRPr="000004BF">
        <w:rPr>
          <w:rFonts w:asciiTheme="minorHAnsi" w:eastAsiaTheme="majorEastAsia" w:hAnsiTheme="minorHAnsi" w:hint="eastAsia"/>
          <w:color w:val="333333"/>
          <w:sz w:val="21"/>
          <w:szCs w:val="21"/>
        </w:rPr>
        <w:t>，较去年不到</w:t>
      </w:r>
      <w:r w:rsidRPr="000004BF">
        <w:rPr>
          <w:rFonts w:asciiTheme="minorHAnsi" w:eastAsiaTheme="majorEastAsia" w:hAnsiTheme="minorHAnsi" w:hint="eastAsia"/>
          <w:color w:val="333333"/>
          <w:sz w:val="21"/>
          <w:szCs w:val="21"/>
        </w:rPr>
        <w:t>6%</w:t>
      </w:r>
      <w:r w:rsidRPr="000004BF">
        <w:rPr>
          <w:rFonts w:asciiTheme="minorHAnsi" w:eastAsiaTheme="majorEastAsia" w:hAnsiTheme="minorHAnsi" w:hint="eastAsia"/>
          <w:color w:val="333333"/>
          <w:sz w:val="21"/>
          <w:szCs w:val="21"/>
        </w:rPr>
        <w:t>的占比有明显提升。</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而在</w:t>
      </w:r>
      <w:r w:rsidRPr="000004BF">
        <w:rPr>
          <w:rFonts w:asciiTheme="minorHAnsi" w:eastAsiaTheme="majorEastAsia" w:hAnsiTheme="minorHAnsi" w:hint="eastAsia"/>
          <w:color w:val="333333"/>
          <w:sz w:val="21"/>
          <w:szCs w:val="21"/>
        </w:rPr>
        <w:t>14</w:t>
      </w:r>
      <w:r w:rsidRPr="000004BF">
        <w:rPr>
          <w:rFonts w:asciiTheme="minorHAnsi" w:eastAsiaTheme="majorEastAsia" w:hAnsiTheme="minorHAnsi" w:hint="eastAsia"/>
          <w:color w:val="333333"/>
          <w:sz w:val="21"/>
          <w:szCs w:val="21"/>
        </w:rPr>
        <w:t>日至</w:t>
      </w:r>
      <w:r w:rsidRPr="000004BF">
        <w:rPr>
          <w:rFonts w:asciiTheme="minorHAnsi" w:eastAsiaTheme="majorEastAsia" w:hAnsiTheme="minorHAnsi" w:hint="eastAsia"/>
          <w:color w:val="333333"/>
          <w:sz w:val="21"/>
          <w:szCs w:val="21"/>
        </w:rPr>
        <w:t>21</w:t>
      </w:r>
      <w:r w:rsidRPr="000004BF">
        <w:rPr>
          <w:rFonts w:asciiTheme="minorHAnsi" w:eastAsiaTheme="majorEastAsia" w:hAnsiTheme="minorHAnsi" w:hint="eastAsia"/>
          <w:color w:val="333333"/>
          <w:sz w:val="21"/>
          <w:szCs w:val="21"/>
        </w:rPr>
        <w:t>日最新一周成立的</w:t>
      </w:r>
      <w:r w:rsidRPr="000004BF">
        <w:rPr>
          <w:rFonts w:asciiTheme="minorHAnsi" w:eastAsiaTheme="majorEastAsia" w:hAnsiTheme="minorHAnsi" w:hint="eastAsia"/>
          <w:color w:val="333333"/>
          <w:sz w:val="21"/>
          <w:szCs w:val="21"/>
        </w:rPr>
        <w:t>51</w:t>
      </w:r>
      <w:r w:rsidRPr="000004BF">
        <w:rPr>
          <w:rFonts w:asciiTheme="minorHAnsi" w:eastAsiaTheme="majorEastAsia" w:hAnsiTheme="minorHAnsi" w:hint="eastAsia"/>
          <w:color w:val="333333"/>
          <w:sz w:val="21"/>
          <w:szCs w:val="21"/>
        </w:rPr>
        <w:t>款产品中，成立产品数量最多的仍为证券投资类产品，共有</w:t>
      </w:r>
      <w:r w:rsidRPr="000004BF">
        <w:rPr>
          <w:rFonts w:asciiTheme="minorHAnsi" w:eastAsiaTheme="majorEastAsia" w:hAnsiTheme="minorHAnsi" w:hint="eastAsia"/>
          <w:color w:val="333333"/>
          <w:sz w:val="21"/>
          <w:szCs w:val="21"/>
        </w:rPr>
        <w:t>16</w:t>
      </w:r>
      <w:r w:rsidRPr="000004BF">
        <w:rPr>
          <w:rFonts w:asciiTheme="minorHAnsi" w:eastAsiaTheme="majorEastAsia" w:hAnsiTheme="minorHAnsi" w:hint="eastAsia"/>
          <w:color w:val="333333"/>
          <w:sz w:val="21"/>
          <w:szCs w:val="21"/>
        </w:rPr>
        <w:t>款产品成立。</w:t>
      </w:r>
    </w:p>
    <w:p w:rsidR="00616C93" w:rsidRPr="000004BF" w:rsidRDefault="00CB3A58"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Pr>
          <w:rFonts w:asciiTheme="minorHAnsi" w:eastAsiaTheme="majorEastAsia" w:hAnsiTheme="minorHAnsi"/>
          <w:noProof/>
          <w:color w:val="333333"/>
          <w:sz w:val="21"/>
          <w:szCs w:val="21"/>
        </w:rPr>
        <w:pict>
          <v:shape id="_x0000_s1145" type="#_x0000_t202" style="position:absolute;left:0;text-align:left;margin-left:150.75pt;margin-top:120pt;width:116.55pt;height:26.25pt;z-index:251914240;mso-width-relative:margin;mso-height-relative:margin;v-text-anchor:middle" filled="f" stroked="f">
            <v:textbox style="mso-next-textbox:#_x0000_s1145">
              <w:txbxContent>
                <w:p w:rsidR="00A8555C" w:rsidRDefault="00A8555C" w:rsidP="00A8555C">
                  <w:pPr>
                    <w:jc w:val="center"/>
                  </w:pPr>
                  <w:r>
                    <w:rPr>
                      <w:rFonts w:hint="eastAsia"/>
                    </w:rPr>
                    <w:t>第</w:t>
                  </w:r>
                  <w:r>
                    <w:rPr>
                      <w:rFonts w:hint="eastAsia"/>
                    </w:rPr>
                    <w:t>4</w:t>
                  </w:r>
                  <w:r>
                    <w:rPr>
                      <w:rFonts w:hint="eastAsia"/>
                    </w:rPr>
                    <w:t>页</w:t>
                  </w:r>
                </w:p>
              </w:txbxContent>
            </v:textbox>
          </v:shape>
        </w:pict>
      </w:r>
      <w:r w:rsidR="00616C93" w:rsidRPr="000004BF">
        <w:rPr>
          <w:rFonts w:asciiTheme="minorHAnsi" w:eastAsiaTheme="majorEastAsia" w:hAnsiTheme="minorHAnsi" w:hint="eastAsia"/>
          <w:color w:val="333333"/>
          <w:sz w:val="21"/>
          <w:szCs w:val="21"/>
        </w:rPr>
        <w:t>2012</w:t>
      </w:r>
      <w:r w:rsidR="00616C93" w:rsidRPr="000004BF">
        <w:rPr>
          <w:rFonts w:asciiTheme="minorHAnsi" w:eastAsiaTheme="majorEastAsia" w:hAnsiTheme="minorHAnsi" w:hint="eastAsia"/>
          <w:color w:val="333333"/>
          <w:sz w:val="21"/>
          <w:szCs w:val="21"/>
        </w:rPr>
        <w:t>年</w:t>
      </w:r>
      <w:r w:rsidR="00616C93" w:rsidRPr="000004BF">
        <w:rPr>
          <w:rFonts w:asciiTheme="minorHAnsi" w:eastAsiaTheme="majorEastAsia" w:hAnsiTheme="minorHAnsi" w:hint="eastAsia"/>
          <w:color w:val="333333"/>
          <w:sz w:val="21"/>
          <w:szCs w:val="21"/>
        </w:rPr>
        <w:t>8</w:t>
      </w:r>
      <w:r w:rsidR="00616C93" w:rsidRPr="000004BF">
        <w:rPr>
          <w:rFonts w:asciiTheme="minorHAnsi" w:eastAsiaTheme="majorEastAsia" w:hAnsiTheme="minorHAnsi" w:hint="eastAsia"/>
          <w:color w:val="333333"/>
          <w:sz w:val="21"/>
          <w:szCs w:val="21"/>
        </w:rPr>
        <w:t>月，中登公司对信托开立证券账户予以解禁，消除了信托资金配置证券资产的限制。从这以后，证券投资类信托产品逐步增加，从集合产品方面看，远远超过了去年的占比。而随着信托公司全市场配置信托产品的发展以及资本市场的回暖，证券投资信托业务将获得进一步的发展。</w:t>
      </w:r>
    </w:p>
    <w:p w:rsidR="00616C93" w:rsidRPr="004B3949" w:rsidRDefault="008A0270" w:rsidP="008A0270">
      <w:pPr>
        <w:spacing w:line="360" w:lineRule="auto"/>
        <w:rPr>
          <w:rFonts w:ascii="宋体" w:hAnsi="宋体"/>
          <w:szCs w:val="21"/>
        </w:rPr>
      </w:pPr>
      <w:r>
        <w:rPr>
          <w:rFonts w:ascii="宋体" w:hAnsi="宋体" w:hint="eastAsia"/>
          <w:b/>
          <w:bCs/>
          <w:noProof/>
          <w:szCs w:val="21"/>
        </w:rPr>
        <w:lastRenderedPageBreak/>
        <w:drawing>
          <wp:anchor distT="0" distB="0" distL="114300" distR="114300" simplePos="0" relativeHeight="251853824" behindDoc="1" locked="0" layoutInCell="1" allowOverlap="1">
            <wp:simplePos x="0" y="0"/>
            <wp:positionH relativeFrom="column">
              <wp:posOffset>-1160145</wp:posOffset>
            </wp:positionH>
            <wp:positionV relativeFrom="paragraph">
              <wp:posOffset>-1440180</wp:posOffset>
            </wp:positionV>
            <wp:extent cx="7572375" cy="10725150"/>
            <wp:effectExtent l="19050" t="0" r="9525" b="0"/>
            <wp:wrapNone/>
            <wp:docPr id="4"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72375" cy="10725150"/>
                    </a:xfrm>
                    <a:prstGeom prst="rect">
                      <a:avLst/>
                    </a:prstGeom>
                  </pic:spPr>
                </pic:pic>
              </a:graphicData>
            </a:graphic>
          </wp:anchor>
        </w:drawing>
      </w:r>
      <w:r w:rsidR="00616C93" w:rsidRPr="004B3949">
        <w:rPr>
          <w:rFonts w:ascii="宋体" w:hAnsi="宋体" w:hint="eastAsia"/>
          <w:b/>
          <w:bCs/>
          <w:szCs w:val="21"/>
        </w:rPr>
        <w:t xml:space="preserve">　　房地产信托持续发力</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伴随楼市进入金九银十，全国房价持续反弹，房地产信托持续发力。</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据用益信托工作室不完全统计，</w:t>
      </w:r>
      <w:r w:rsidRPr="000004BF">
        <w:rPr>
          <w:rFonts w:asciiTheme="minorHAnsi" w:eastAsiaTheme="majorEastAsia" w:hAnsiTheme="minorHAnsi" w:hint="eastAsia"/>
          <w:color w:val="333333"/>
          <w:sz w:val="21"/>
          <w:szCs w:val="21"/>
        </w:rPr>
        <w:t>9</w:t>
      </w:r>
      <w:r w:rsidRPr="000004BF">
        <w:rPr>
          <w:rFonts w:asciiTheme="minorHAnsi" w:eastAsiaTheme="majorEastAsia" w:hAnsiTheme="minorHAnsi" w:hint="eastAsia"/>
          <w:color w:val="333333"/>
          <w:sz w:val="21"/>
          <w:szCs w:val="21"/>
        </w:rPr>
        <w:t>月份房地产领域共成立</w:t>
      </w:r>
      <w:r w:rsidRPr="000004BF">
        <w:rPr>
          <w:rFonts w:asciiTheme="minorHAnsi" w:eastAsiaTheme="majorEastAsia" w:hAnsiTheme="minorHAnsi" w:hint="eastAsia"/>
          <w:color w:val="333333"/>
          <w:sz w:val="21"/>
          <w:szCs w:val="21"/>
        </w:rPr>
        <w:t>60</w:t>
      </w:r>
      <w:r w:rsidRPr="000004BF">
        <w:rPr>
          <w:rFonts w:asciiTheme="minorHAnsi" w:eastAsiaTheme="majorEastAsia" w:hAnsiTheme="minorHAnsi" w:hint="eastAsia"/>
          <w:color w:val="333333"/>
          <w:sz w:val="21"/>
          <w:szCs w:val="21"/>
        </w:rPr>
        <w:t>款产品，募集资金</w:t>
      </w:r>
      <w:r w:rsidRPr="000004BF">
        <w:rPr>
          <w:rFonts w:asciiTheme="minorHAnsi" w:eastAsiaTheme="majorEastAsia" w:hAnsiTheme="minorHAnsi" w:hint="eastAsia"/>
          <w:color w:val="333333"/>
          <w:sz w:val="21"/>
          <w:szCs w:val="21"/>
        </w:rPr>
        <w:t>174.86</w:t>
      </w:r>
      <w:r w:rsidRPr="000004BF">
        <w:rPr>
          <w:rFonts w:asciiTheme="minorHAnsi" w:eastAsiaTheme="majorEastAsia" w:hAnsiTheme="minorHAnsi" w:hint="eastAsia"/>
          <w:color w:val="333333"/>
          <w:sz w:val="21"/>
          <w:szCs w:val="21"/>
        </w:rPr>
        <w:t>亿元，占总成立规模的</w:t>
      </w:r>
      <w:r w:rsidRPr="000004BF">
        <w:rPr>
          <w:rFonts w:asciiTheme="minorHAnsi" w:eastAsiaTheme="majorEastAsia" w:hAnsiTheme="minorHAnsi" w:hint="eastAsia"/>
          <w:color w:val="333333"/>
          <w:sz w:val="21"/>
          <w:szCs w:val="21"/>
        </w:rPr>
        <w:t>34.78%</w:t>
      </w:r>
      <w:r w:rsidRPr="000004BF">
        <w:rPr>
          <w:rFonts w:asciiTheme="minorHAnsi" w:eastAsiaTheme="majorEastAsia" w:hAnsiTheme="minorHAnsi" w:hint="eastAsia"/>
          <w:color w:val="333333"/>
          <w:sz w:val="21"/>
          <w:szCs w:val="21"/>
        </w:rPr>
        <w:t>，比上个月下降</w:t>
      </w:r>
      <w:r w:rsidRPr="000004BF">
        <w:rPr>
          <w:rFonts w:asciiTheme="minorHAnsi" w:eastAsiaTheme="majorEastAsia" w:hAnsiTheme="minorHAnsi" w:hint="eastAsia"/>
          <w:color w:val="333333"/>
          <w:sz w:val="21"/>
          <w:szCs w:val="21"/>
        </w:rPr>
        <w:t>4.31%</w:t>
      </w:r>
      <w:r w:rsidRPr="000004BF">
        <w:rPr>
          <w:rFonts w:asciiTheme="minorHAnsi" w:eastAsiaTheme="majorEastAsia" w:hAnsiTheme="minorHAnsi" w:hint="eastAsia"/>
          <w:color w:val="333333"/>
          <w:sz w:val="21"/>
          <w:szCs w:val="21"/>
        </w:rPr>
        <w:t>。</w:t>
      </w:r>
      <w:r w:rsidRPr="000004BF">
        <w:rPr>
          <w:rFonts w:asciiTheme="minorHAnsi" w:eastAsiaTheme="majorEastAsia" w:hAnsiTheme="minorHAnsi" w:hint="eastAsia"/>
          <w:color w:val="333333"/>
          <w:sz w:val="21"/>
          <w:szCs w:val="21"/>
        </w:rPr>
        <w:t>9</w:t>
      </w:r>
      <w:r w:rsidRPr="000004BF">
        <w:rPr>
          <w:rFonts w:asciiTheme="minorHAnsi" w:eastAsiaTheme="majorEastAsia" w:hAnsiTheme="minorHAnsi" w:hint="eastAsia"/>
          <w:color w:val="333333"/>
          <w:sz w:val="21"/>
          <w:szCs w:val="21"/>
        </w:rPr>
        <w:t>月，房地产信托成立规模稳居首位，占比要远远超过去年</w:t>
      </w:r>
      <w:r w:rsidRPr="000004BF">
        <w:rPr>
          <w:rFonts w:asciiTheme="minorHAnsi" w:eastAsiaTheme="majorEastAsia" w:hAnsiTheme="minorHAnsi" w:hint="eastAsia"/>
          <w:color w:val="333333"/>
          <w:sz w:val="21"/>
          <w:szCs w:val="21"/>
        </w:rPr>
        <w:t>22%-23%</w:t>
      </w:r>
      <w:r w:rsidRPr="000004BF">
        <w:rPr>
          <w:rFonts w:asciiTheme="minorHAnsi" w:eastAsiaTheme="majorEastAsia" w:hAnsiTheme="minorHAnsi" w:hint="eastAsia"/>
          <w:color w:val="333333"/>
          <w:sz w:val="21"/>
          <w:szCs w:val="21"/>
        </w:rPr>
        <w:t>左右的范围。今年以来，得益于房地产市场的回暖，房地产集合信托优势地位比较明显。</w:t>
      </w:r>
    </w:p>
    <w:p w:rsidR="00CF4398"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房地产信托和房地产市场是息息相关的，房地产市场的发展走向一方面影响通过信托渠道的融资需求，另一方面，也影响房地产信托产品的安全性。如果追求高收益，房地产信托是一个比较好的选择，当然相对的风险也较大。</w:t>
      </w:r>
    </w:p>
    <w:p w:rsidR="006004CE" w:rsidRPr="00616C93" w:rsidRDefault="006004CE" w:rsidP="008A0270">
      <w:pPr>
        <w:spacing w:line="360" w:lineRule="auto"/>
        <w:rPr>
          <w:rFonts w:asciiTheme="minorEastAsia" w:hAnsiTheme="minorEastAsia"/>
          <w:b/>
          <w:szCs w:val="21"/>
        </w:rPr>
      </w:pPr>
      <w:r w:rsidRPr="00DE48DB">
        <w:rPr>
          <w:rFonts w:asciiTheme="minorEastAsia" w:hAnsiTheme="minorEastAsia" w:hint="eastAsia"/>
          <w:b/>
          <w:szCs w:val="21"/>
        </w:rPr>
        <w:t>（四）、</w:t>
      </w:r>
      <w:r w:rsidR="00616C93" w:rsidRPr="00616C93">
        <w:rPr>
          <w:rFonts w:asciiTheme="minorEastAsia" w:hAnsiTheme="minorEastAsia" w:hint="eastAsia"/>
          <w:b/>
          <w:szCs w:val="21"/>
        </w:rPr>
        <w:t>险资信托合作需要磨合推进</w:t>
      </w:r>
      <w:r w:rsidR="00616C93">
        <w:rPr>
          <w:rFonts w:asciiTheme="minorEastAsia" w:hAnsiTheme="minorEastAsia" w:hint="eastAsia"/>
          <w:b/>
          <w:szCs w:val="21"/>
        </w:rPr>
        <w:t>缓慢</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险资获准投资信托计划一年来，对信托的态度正在改变。目前已有多家保险机构与信托公司签署了合作协议，摆出开放合作的态度。不过，这种开放中带有担忧和保留，因为信托产品存在投向不透明、信用评级不完善等缺陷。</w:t>
      </w:r>
    </w:p>
    <w:p w:rsidR="00616C93" w:rsidRPr="0014320E" w:rsidRDefault="00616C93" w:rsidP="008A0270">
      <w:pPr>
        <w:spacing w:line="360" w:lineRule="auto"/>
        <w:rPr>
          <w:rFonts w:ascii="宋体" w:hAnsi="宋体"/>
          <w:b/>
          <w:szCs w:val="21"/>
        </w:rPr>
      </w:pPr>
      <w:r w:rsidRPr="0014320E">
        <w:rPr>
          <w:rFonts w:ascii="宋体" w:hAnsi="宋体" w:hint="eastAsia"/>
          <w:b/>
          <w:szCs w:val="21"/>
        </w:rPr>
        <w:t xml:space="preserve">　　战略合作摆姿态</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2012</w:t>
      </w:r>
      <w:r w:rsidRPr="000004BF">
        <w:rPr>
          <w:rFonts w:asciiTheme="minorHAnsi" w:eastAsiaTheme="majorEastAsia" w:hAnsiTheme="minorHAnsi" w:hint="eastAsia"/>
          <w:color w:val="333333"/>
          <w:sz w:val="21"/>
          <w:szCs w:val="21"/>
        </w:rPr>
        <w:t>年底，市场上传出泰康人寿出资</w:t>
      </w:r>
      <w:r w:rsidRPr="000004BF">
        <w:rPr>
          <w:rFonts w:asciiTheme="minorHAnsi" w:eastAsiaTheme="majorEastAsia" w:hAnsiTheme="minorHAnsi" w:hint="eastAsia"/>
          <w:color w:val="333333"/>
          <w:sz w:val="21"/>
          <w:szCs w:val="21"/>
        </w:rPr>
        <w:t>9.68</w:t>
      </w:r>
      <w:r w:rsidRPr="000004BF">
        <w:rPr>
          <w:rFonts w:asciiTheme="minorHAnsi" w:eastAsiaTheme="majorEastAsia" w:hAnsiTheme="minorHAnsi" w:hint="eastAsia"/>
          <w:color w:val="333333"/>
          <w:sz w:val="21"/>
          <w:szCs w:val="21"/>
        </w:rPr>
        <w:t>亿元认购“中信</w:t>
      </w:r>
      <w:r w:rsidRPr="000004BF">
        <w:rPr>
          <w:rFonts w:asciiTheme="minorHAnsi" w:eastAsiaTheme="majorEastAsia" w:hAnsiTheme="minorHAnsi" w:hint="eastAsia"/>
          <w:color w:val="333333"/>
          <w:sz w:val="21"/>
          <w:szCs w:val="21"/>
        </w:rPr>
        <w:t>-</w:t>
      </w:r>
      <w:r w:rsidRPr="000004BF">
        <w:rPr>
          <w:rFonts w:asciiTheme="minorHAnsi" w:eastAsiaTheme="majorEastAsia" w:hAnsiTheme="minorHAnsi" w:hint="eastAsia"/>
          <w:color w:val="333333"/>
          <w:sz w:val="21"/>
          <w:szCs w:val="21"/>
        </w:rPr>
        <w:t>聚信汇金地产基金</w:t>
      </w:r>
      <w:r w:rsidRPr="000004BF">
        <w:rPr>
          <w:rFonts w:asciiTheme="minorHAnsi" w:eastAsiaTheme="majorEastAsia" w:hAnsiTheme="minorHAnsi" w:hint="eastAsia"/>
          <w:color w:val="333333"/>
          <w:sz w:val="21"/>
          <w:szCs w:val="21"/>
        </w:rPr>
        <w:t>1</w:t>
      </w:r>
      <w:r w:rsidRPr="000004BF">
        <w:rPr>
          <w:rFonts w:asciiTheme="minorHAnsi" w:eastAsiaTheme="majorEastAsia" w:hAnsiTheme="minorHAnsi" w:hint="eastAsia"/>
          <w:color w:val="333333"/>
          <w:sz w:val="21"/>
          <w:szCs w:val="21"/>
        </w:rPr>
        <w:t>号集合资金信托计划</w:t>
      </w:r>
      <w:r w:rsidRPr="000004BF">
        <w:rPr>
          <w:rFonts w:asciiTheme="minorHAnsi" w:eastAsiaTheme="majorEastAsia" w:hAnsiTheme="minorHAnsi" w:hint="eastAsia"/>
          <w:color w:val="333333"/>
          <w:sz w:val="21"/>
          <w:szCs w:val="21"/>
        </w:rPr>
        <w:t>(</w:t>
      </w:r>
      <w:r w:rsidRPr="000004BF">
        <w:rPr>
          <w:rFonts w:asciiTheme="minorHAnsi" w:eastAsiaTheme="majorEastAsia" w:hAnsiTheme="minorHAnsi" w:hint="eastAsia"/>
          <w:color w:val="333333"/>
          <w:sz w:val="21"/>
          <w:szCs w:val="21"/>
        </w:rPr>
        <w:t>优先级</w:t>
      </w:r>
      <w:r w:rsidRPr="000004BF">
        <w:rPr>
          <w:rFonts w:asciiTheme="minorHAnsi" w:eastAsiaTheme="majorEastAsia" w:hAnsiTheme="minorHAnsi" w:hint="eastAsia"/>
          <w:color w:val="333333"/>
          <w:sz w:val="21"/>
          <w:szCs w:val="21"/>
        </w:rPr>
        <w:t>)</w:t>
      </w:r>
      <w:r w:rsidRPr="000004BF">
        <w:rPr>
          <w:rFonts w:asciiTheme="minorHAnsi" w:eastAsiaTheme="majorEastAsia" w:hAnsiTheme="minorHAnsi" w:hint="eastAsia"/>
          <w:color w:val="333333"/>
          <w:sz w:val="21"/>
          <w:szCs w:val="21"/>
        </w:rPr>
        <w:t>”，被认为是险资投资信托的“首单”。</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据证券时报记者了解，生命资产、阳光保险、华安保险等公司都与多家信托公司有过接洽。近期，华安保险资产管理与渤海信托、潍坊银行签署了战略合作协议。</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另外，外贸信托也与</w:t>
      </w:r>
      <w:r w:rsidRPr="000004BF">
        <w:rPr>
          <w:rFonts w:asciiTheme="minorHAnsi" w:eastAsiaTheme="majorEastAsia" w:hAnsiTheme="minorHAnsi" w:hint="eastAsia"/>
          <w:color w:val="333333"/>
          <w:sz w:val="21"/>
          <w:szCs w:val="21"/>
        </w:rPr>
        <w:t>5</w:t>
      </w:r>
      <w:r w:rsidRPr="000004BF">
        <w:rPr>
          <w:rFonts w:asciiTheme="minorHAnsi" w:eastAsiaTheme="majorEastAsia" w:hAnsiTheme="minorHAnsi" w:hint="eastAsia"/>
          <w:color w:val="333333"/>
          <w:sz w:val="21"/>
          <w:szCs w:val="21"/>
        </w:rPr>
        <w:t>家保险机构、</w:t>
      </w:r>
      <w:r w:rsidRPr="000004BF">
        <w:rPr>
          <w:rFonts w:asciiTheme="minorHAnsi" w:eastAsiaTheme="majorEastAsia" w:hAnsiTheme="minorHAnsi" w:hint="eastAsia"/>
          <w:color w:val="333333"/>
          <w:sz w:val="21"/>
          <w:szCs w:val="21"/>
        </w:rPr>
        <w:t>3</w:t>
      </w:r>
      <w:r w:rsidRPr="000004BF">
        <w:rPr>
          <w:rFonts w:asciiTheme="minorHAnsi" w:eastAsiaTheme="majorEastAsia" w:hAnsiTheme="minorHAnsi" w:hint="eastAsia"/>
          <w:color w:val="333333"/>
          <w:sz w:val="21"/>
          <w:szCs w:val="21"/>
        </w:rPr>
        <w:t>家评级机构签署了战略合作协议，另有</w:t>
      </w:r>
      <w:r w:rsidRPr="000004BF">
        <w:rPr>
          <w:rFonts w:asciiTheme="minorHAnsi" w:eastAsiaTheme="majorEastAsia" w:hAnsiTheme="minorHAnsi" w:hint="eastAsia"/>
          <w:color w:val="333333"/>
          <w:sz w:val="21"/>
          <w:szCs w:val="21"/>
        </w:rPr>
        <w:t>2</w:t>
      </w:r>
      <w:r w:rsidRPr="000004BF">
        <w:rPr>
          <w:rFonts w:asciiTheme="minorHAnsi" w:eastAsiaTheme="majorEastAsia" w:hAnsiTheme="minorHAnsi" w:hint="eastAsia"/>
          <w:color w:val="333333"/>
          <w:sz w:val="21"/>
          <w:szCs w:val="21"/>
        </w:rPr>
        <w:t>家保险机构认购了外贸信托的集合资金信托计划。</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经过一年的磨合，在信托公司频频伸出橄榄枝的情况下，险资的态度出现了明显转变。泰康资产副总经理张敬国不久前在一个信托业论坛上表示，非常欢迎信托公司介绍项目，增加相关项目的投资。“好的项目我们愿意出钱，一方面获得高一些的收益，另一方面也能够配合信托公司安排一个期限长的投资项目。”</w:t>
      </w:r>
    </w:p>
    <w:p w:rsidR="00616C93" w:rsidRPr="000004BF" w:rsidRDefault="00616C93" w:rsidP="008A0270">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从保险行业资金特点来看，险资量大、期限长，对安全性、流动性要求很高，收益性并非主要考核指标。这也是险资对信托如此“慢热”的原因。</w:t>
      </w:r>
    </w:p>
    <w:p w:rsidR="00616C93" w:rsidRPr="0014320E" w:rsidRDefault="00CB3A58" w:rsidP="008A0270">
      <w:pPr>
        <w:spacing w:line="360" w:lineRule="auto"/>
        <w:rPr>
          <w:rFonts w:ascii="宋体" w:hAnsi="宋体"/>
          <w:b/>
          <w:szCs w:val="21"/>
        </w:rPr>
      </w:pPr>
      <w:r w:rsidRPr="00CB3A58">
        <w:rPr>
          <w:rFonts w:ascii="宋体" w:hAnsi="宋体"/>
          <w:b/>
          <w:bCs/>
          <w:noProof/>
          <w:szCs w:val="21"/>
        </w:rPr>
        <w:pict>
          <v:shape id="_x0000_s1146" type="#_x0000_t202" style="position:absolute;left:0;text-align:left;margin-left:149.25pt;margin-top:74.7pt;width:116.55pt;height:26.25pt;z-index:251915264;mso-width-relative:margin;mso-height-relative:margin;v-text-anchor:middle" filled="f" stroked="f">
            <v:textbox style="mso-next-textbox:#_x0000_s1146">
              <w:txbxContent>
                <w:p w:rsidR="00A8555C" w:rsidRDefault="00A8555C" w:rsidP="00A8555C">
                  <w:pPr>
                    <w:jc w:val="center"/>
                  </w:pPr>
                  <w:r>
                    <w:rPr>
                      <w:rFonts w:hint="eastAsia"/>
                    </w:rPr>
                    <w:t>第</w:t>
                  </w:r>
                  <w:r>
                    <w:rPr>
                      <w:rFonts w:hint="eastAsia"/>
                    </w:rPr>
                    <w:t>5</w:t>
                  </w:r>
                  <w:r>
                    <w:rPr>
                      <w:rFonts w:hint="eastAsia"/>
                    </w:rPr>
                    <w:t>页</w:t>
                  </w:r>
                </w:p>
              </w:txbxContent>
            </v:textbox>
          </v:shape>
        </w:pict>
      </w:r>
      <w:r w:rsidR="00616C93" w:rsidRPr="0014320E">
        <w:rPr>
          <w:rFonts w:ascii="宋体" w:hAnsi="宋体" w:hint="eastAsia"/>
          <w:b/>
          <w:szCs w:val="21"/>
        </w:rPr>
        <w:t xml:space="preserve">　　牵手后仍待磨合</w:t>
      </w:r>
    </w:p>
    <w:p w:rsidR="00616C93" w:rsidRPr="000004BF"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lastRenderedPageBreak/>
        <w:t>相比债权计划，险资投资信托计划的“调门”要低得多。这也许体现了险资与信托在合作上的一种矛盾心态，一方面希望亮出开放合作的态度，另一方面又没有找到合适的落地合作方式，于是选择了先签署战略合作协议，抢占优势资源，以图后计。</w:t>
      </w:r>
    </w:p>
    <w:p w:rsidR="00616C93" w:rsidRPr="000004BF"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信托公司需要更加熟悉保险公司项目运作模式，推荐新项目、开发新合作领域，而不能一味怪险资要求高。</w:t>
      </w:r>
    </w:p>
    <w:p w:rsidR="00616C93" w:rsidRPr="000004BF"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目前险资的投资领域依然较</w:t>
      </w:r>
      <w:r w:rsidR="008A0270" w:rsidRPr="008A0270">
        <w:rPr>
          <w:rFonts w:asciiTheme="minorHAnsi" w:eastAsiaTheme="majorEastAsia" w:hAnsiTheme="minorHAnsi"/>
          <w:noProof/>
          <w:color w:val="333333"/>
          <w:sz w:val="21"/>
          <w:szCs w:val="21"/>
        </w:rPr>
        <w:drawing>
          <wp:anchor distT="0" distB="0" distL="114300" distR="114300" simplePos="0" relativeHeight="251891712" behindDoc="1" locked="0" layoutInCell="1" allowOverlap="1">
            <wp:simplePos x="0" y="0"/>
            <wp:positionH relativeFrom="column">
              <wp:posOffset>-1122045</wp:posOffset>
            </wp:positionH>
            <wp:positionV relativeFrom="paragraph">
              <wp:posOffset>-2926080</wp:posOffset>
            </wp:positionV>
            <wp:extent cx="7562850" cy="10706100"/>
            <wp:effectExtent l="19050" t="0" r="0" b="0"/>
            <wp:wrapNone/>
            <wp:docPr id="20"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71932" cy="10714007"/>
                    </a:xfrm>
                    <a:prstGeom prst="rect">
                      <a:avLst/>
                    </a:prstGeom>
                  </pic:spPr>
                </pic:pic>
              </a:graphicData>
            </a:graphic>
          </wp:anchor>
        </w:drawing>
      </w:r>
      <w:r w:rsidRPr="000004BF">
        <w:rPr>
          <w:rFonts w:asciiTheme="minorHAnsi" w:eastAsiaTheme="majorEastAsia" w:hAnsiTheme="minorHAnsi" w:hint="eastAsia"/>
          <w:color w:val="333333"/>
          <w:sz w:val="21"/>
          <w:szCs w:val="21"/>
        </w:rPr>
        <w:t>为狭小，但借道信托，险资可以进入新的投资领域，这是信托给险资带来的有利机会。但是，现有信托计划设计雷同，能满足险资要求的较少。险资所投项目的特点是“强增信”，信托计划如果能借助银行的反担保措施或者其他方式更好地控制风险，获得险资青睐的机会就比较大。</w:t>
      </w:r>
    </w:p>
    <w:p w:rsidR="00E74EFC" w:rsidRPr="00220156" w:rsidRDefault="00E74EFC" w:rsidP="00F15957">
      <w:pPr>
        <w:spacing w:line="360" w:lineRule="auto"/>
        <w:ind w:firstLineChars="200" w:firstLine="420"/>
        <w:rPr>
          <w:szCs w:val="21"/>
        </w:rPr>
      </w:pPr>
    </w:p>
    <w:p w:rsidR="006004CE" w:rsidRPr="00DE48DB" w:rsidRDefault="004133F4" w:rsidP="00F15957">
      <w:pPr>
        <w:pStyle w:val="a6"/>
        <w:numPr>
          <w:ilvl w:val="0"/>
          <w:numId w:val="1"/>
        </w:numPr>
        <w:spacing w:line="360" w:lineRule="auto"/>
        <w:ind w:firstLineChars="0"/>
        <w:rPr>
          <w:rFonts w:asciiTheme="minorEastAsia" w:hAnsiTheme="minorEastAsia"/>
          <w:b/>
          <w:noProof/>
          <w:szCs w:val="21"/>
        </w:rPr>
      </w:pPr>
      <w:r>
        <w:rPr>
          <w:rFonts w:asciiTheme="minorEastAsia" w:hAnsiTheme="minorEastAsia" w:hint="eastAsia"/>
          <w:b/>
          <w:noProof/>
          <w:szCs w:val="21"/>
        </w:rPr>
        <w:t xml:space="preserve"> </w:t>
      </w:r>
      <w:r w:rsidR="00616C93">
        <w:rPr>
          <w:rFonts w:asciiTheme="minorEastAsia" w:hAnsiTheme="minorEastAsia" w:hint="eastAsia"/>
          <w:b/>
          <w:noProof/>
          <w:szCs w:val="21"/>
        </w:rPr>
        <w:t>产品成立概况</w:t>
      </w:r>
    </w:p>
    <w:p w:rsidR="00616C93" w:rsidRPr="000004BF" w:rsidRDefault="00616C93" w:rsidP="008A0270">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表</w:t>
      </w:r>
      <w:r w:rsidRPr="000004BF">
        <w:rPr>
          <w:rFonts w:asciiTheme="minorHAnsi" w:eastAsiaTheme="majorEastAsia" w:hAnsiTheme="minorHAnsi" w:hint="eastAsia"/>
          <w:color w:val="333333"/>
          <w:sz w:val="21"/>
          <w:szCs w:val="21"/>
        </w:rPr>
        <w:t>1</w:t>
      </w:r>
      <w:r w:rsidRPr="000004BF">
        <w:rPr>
          <w:rFonts w:asciiTheme="minorHAnsi" w:eastAsiaTheme="majorEastAsia" w:hAnsiTheme="minorHAnsi" w:hint="eastAsia"/>
          <w:color w:val="333333"/>
          <w:sz w:val="21"/>
          <w:szCs w:val="21"/>
        </w:rPr>
        <w:t>：本月产品成立概况</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2410"/>
        <w:gridCol w:w="1843"/>
        <w:gridCol w:w="2268"/>
      </w:tblGrid>
      <w:tr w:rsidR="00616C93" w:rsidRPr="000004BF" w:rsidTr="00616C93">
        <w:tc>
          <w:tcPr>
            <w:tcW w:w="1843"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p>
        </w:tc>
        <w:tc>
          <w:tcPr>
            <w:tcW w:w="2410"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成立数量（个）</w:t>
            </w:r>
          </w:p>
        </w:tc>
        <w:tc>
          <w:tcPr>
            <w:tcW w:w="1843" w:type="dxa"/>
          </w:tcPr>
          <w:p w:rsidR="00616C93" w:rsidRPr="000004BF" w:rsidRDefault="00616C93" w:rsidP="00F15957">
            <w:pPr>
              <w:pStyle w:val="a8"/>
              <w:shd w:val="clear" w:color="auto" w:fill="FFFFFF"/>
              <w:spacing w:before="0" w:beforeAutospacing="0" w:after="0" w:afterAutospacing="0" w:line="360" w:lineRule="auto"/>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总规模（亿元）</w:t>
            </w:r>
          </w:p>
        </w:tc>
        <w:tc>
          <w:tcPr>
            <w:tcW w:w="2268" w:type="dxa"/>
          </w:tcPr>
          <w:p w:rsidR="00616C93" w:rsidRPr="000004BF" w:rsidRDefault="00616C93" w:rsidP="00F15957">
            <w:pPr>
              <w:pStyle w:val="a8"/>
              <w:shd w:val="clear" w:color="auto" w:fill="FFFFFF"/>
              <w:spacing w:before="0" w:beforeAutospacing="0" w:after="0" w:afterAutospacing="0" w:line="360" w:lineRule="auto"/>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平均规模（亿元）</w:t>
            </w:r>
          </w:p>
        </w:tc>
      </w:tr>
      <w:tr w:rsidR="00616C93" w:rsidRPr="000004BF" w:rsidTr="00616C93">
        <w:tc>
          <w:tcPr>
            <w:tcW w:w="1843" w:type="dxa"/>
          </w:tcPr>
          <w:p w:rsidR="00616C93" w:rsidRPr="000004BF"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10</w:t>
            </w:r>
            <w:r w:rsidRPr="000004BF">
              <w:rPr>
                <w:rFonts w:asciiTheme="minorHAnsi" w:eastAsiaTheme="majorEastAsia" w:hAnsiTheme="minorHAnsi" w:hint="eastAsia"/>
                <w:color w:val="333333"/>
                <w:sz w:val="21"/>
                <w:szCs w:val="21"/>
              </w:rPr>
              <w:t>月</w:t>
            </w:r>
          </w:p>
        </w:tc>
        <w:tc>
          <w:tcPr>
            <w:tcW w:w="2410"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223</w:t>
            </w:r>
          </w:p>
        </w:tc>
        <w:tc>
          <w:tcPr>
            <w:tcW w:w="1843"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329.05</w:t>
            </w:r>
          </w:p>
        </w:tc>
        <w:tc>
          <w:tcPr>
            <w:tcW w:w="2268"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1.48</w:t>
            </w:r>
          </w:p>
        </w:tc>
      </w:tr>
      <w:tr w:rsidR="00616C93" w:rsidRPr="000004BF" w:rsidTr="00616C93">
        <w:tc>
          <w:tcPr>
            <w:tcW w:w="1843" w:type="dxa"/>
          </w:tcPr>
          <w:p w:rsidR="00616C93" w:rsidRPr="000004BF"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9</w:t>
            </w:r>
            <w:r w:rsidRPr="000004BF">
              <w:rPr>
                <w:rFonts w:asciiTheme="minorHAnsi" w:eastAsiaTheme="majorEastAsia" w:hAnsiTheme="minorHAnsi" w:hint="eastAsia"/>
                <w:color w:val="333333"/>
                <w:sz w:val="21"/>
                <w:szCs w:val="21"/>
              </w:rPr>
              <w:t>月</w:t>
            </w:r>
          </w:p>
        </w:tc>
        <w:tc>
          <w:tcPr>
            <w:tcW w:w="2410"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459</w:t>
            </w:r>
          </w:p>
        </w:tc>
        <w:tc>
          <w:tcPr>
            <w:tcW w:w="1843"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673.06</w:t>
            </w:r>
          </w:p>
        </w:tc>
        <w:tc>
          <w:tcPr>
            <w:tcW w:w="2268"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1.68</w:t>
            </w:r>
          </w:p>
        </w:tc>
      </w:tr>
      <w:tr w:rsidR="00616C93" w:rsidRPr="000004BF" w:rsidTr="00616C93">
        <w:tc>
          <w:tcPr>
            <w:tcW w:w="1843" w:type="dxa"/>
          </w:tcPr>
          <w:p w:rsidR="00616C93" w:rsidRPr="000004BF"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本月增幅</w:t>
            </w:r>
          </w:p>
        </w:tc>
        <w:tc>
          <w:tcPr>
            <w:tcW w:w="2410"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-51.63%</w:t>
            </w:r>
          </w:p>
        </w:tc>
        <w:tc>
          <w:tcPr>
            <w:tcW w:w="1843"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-51.11%</w:t>
            </w:r>
          </w:p>
        </w:tc>
        <w:tc>
          <w:tcPr>
            <w:tcW w:w="2268" w:type="dxa"/>
          </w:tcPr>
          <w:p w:rsidR="00616C93" w:rsidRPr="000004BF" w:rsidRDefault="00616C93" w:rsidP="00F15957">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-11.90%</w:t>
            </w:r>
          </w:p>
        </w:tc>
      </w:tr>
    </w:tbl>
    <w:p w:rsidR="00616C93" w:rsidRPr="000004BF"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截止</w:t>
      </w:r>
      <w:r w:rsidRPr="000004BF">
        <w:rPr>
          <w:rFonts w:asciiTheme="minorHAnsi" w:eastAsiaTheme="majorEastAsia" w:hAnsiTheme="minorHAnsi" w:hint="eastAsia"/>
          <w:color w:val="333333"/>
          <w:sz w:val="21"/>
          <w:szCs w:val="21"/>
        </w:rPr>
        <w:t>10</w:t>
      </w:r>
      <w:r w:rsidRPr="000004BF">
        <w:rPr>
          <w:rFonts w:asciiTheme="minorHAnsi" w:eastAsiaTheme="majorEastAsia" w:hAnsiTheme="minorHAnsi" w:hint="eastAsia"/>
          <w:color w:val="333333"/>
          <w:sz w:val="21"/>
          <w:szCs w:val="21"/>
        </w:rPr>
        <w:t>月末，共成立了</w:t>
      </w:r>
      <w:r w:rsidRPr="000004BF">
        <w:rPr>
          <w:rFonts w:asciiTheme="minorHAnsi" w:eastAsiaTheme="majorEastAsia" w:hAnsiTheme="minorHAnsi" w:hint="eastAsia"/>
          <w:color w:val="333333"/>
          <w:sz w:val="21"/>
          <w:szCs w:val="21"/>
        </w:rPr>
        <w:t>223</w:t>
      </w:r>
      <w:r w:rsidRPr="000004BF">
        <w:rPr>
          <w:rFonts w:asciiTheme="minorHAnsi" w:eastAsiaTheme="majorEastAsia" w:hAnsiTheme="minorHAnsi" w:hint="eastAsia"/>
          <w:color w:val="333333"/>
          <w:sz w:val="21"/>
          <w:szCs w:val="21"/>
        </w:rPr>
        <w:t>只信托产品，筹集资金规模约</w:t>
      </w:r>
      <w:r w:rsidRPr="000004BF">
        <w:rPr>
          <w:rFonts w:asciiTheme="minorHAnsi" w:eastAsiaTheme="majorEastAsia" w:hAnsiTheme="minorHAnsi" w:hint="eastAsia"/>
          <w:color w:val="333333"/>
          <w:sz w:val="21"/>
          <w:szCs w:val="21"/>
        </w:rPr>
        <w:t>329.05</w:t>
      </w:r>
      <w:r w:rsidRPr="000004BF">
        <w:rPr>
          <w:rFonts w:asciiTheme="minorHAnsi" w:eastAsiaTheme="majorEastAsia" w:hAnsiTheme="minorHAnsi" w:hint="eastAsia"/>
          <w:color w:val="333333"/>
          <w:sz w:val="21"/>
          <w:szCs w:val="21"/>
        </w:rPr>
        <w:t>亿元，从统计数据来看，本月成立市场表现低迷态势，</w:t>
      </w:r>
      <w:r w:rsidRPr="000004BF">
        <w:rPr>
          <w:rFonts w:asciiTheme="minorHAnsi" w:eastAsiaTheme="majorEastAsia" w:hAnsiTheme="minorHAnsi"/>
          <w:color w:val="333333"/>
          <w:sz w:val="21"/>
          <w:szCs w:val="21"/>
        </w:rPr>
        <w:t>活跃度</w:t>
      </w:r>
      <w:r w:rsidRPr="000004BF">
        <w:rPr>
          <w:rFonts w:asciiTheme="minorHAnsi" w:eastAsiaTheme="majorEastAsia" w:hAnsiTheme="minorHAnsi" w:hint="eastAsia"/>
          <w:color w:val="333333"/>
          <w:sz w:val="21"/>
          <w:szCs w:val="21"/>
        </w:rPr>
        <w:t>较低</w:t>
      </w:r>
      <w:r w:rsidRPr="000004BF">
        <w:rPr>
          <w:rFonts w:asciiTheme="minorHAnsi" w:eastAsiaTheme="majorEastAsia" w:hAnsiTheme="minorHAnsi"/>
          <w:color w:val="333333"/>
          <w:sz w:val="21"/>
          <w:szCs w:val="21"/>
        </w:rPr>
        <w:t>，市场景气度不甚理想</w:t>
      </w:r>
      <w:r w:rsidRPr="000004BF">
        <w:rPr>
          <w:rFonts w:asciiTheme="minorHAnsi" w:eastAsiaTheme="majorEastAsia" w:hAnsiTheme="minorHAnsi" w:hint="eastAsia"/>
          <w:color w:val="333333"/>
          <w:sz w:val="21"/>
          <w:szCs w:val="21"/>
        </w:rPr>
        <w:t>。成立的产品数量、成立规模均较上个月下降了一半，平均规模较上月同期大幅减少</w:t>
      </w:r>
      <w:r w:rsidRPr="000004BF">
        <w:rPr>
          <w:rFonts w:asciiTheme="minorHAnsi" w:eastAsiaTheme="majorEastAsia" w:hAnsiTheme="minorHAnsi" w:hint="eastAsia"/>
          <w:color w:val="333333"/>
          <w:sz w:val="21"/>
          <w:szCs w:val="21"/>
        </w:rPr>
        <w:t>38.48%</w:t>
      </w:r>
      <w:r w:rsidRPr="000004BF">
        <w:rPr>
          <w:rFonts w:asciiTheme="minorHAnsi" w:eastAsiaTheme="majorEastAsia" w:hAnsiTheme="minorHAnsi" w:hint="eastAsia"/>
          <w:color w:val="333333"/>
          <w:sz w:val="21"/>
          <w:szCs w:val="21"/>
        </w:rPr>
        <w:t>。</w:t>
      </w:r>
    </w:p>
    <w:p w:rsidR="00616C93" w:rsidRDefault="00616C93" w:rsidP="00F15957">
      <w:pPr>
        <w:spacing w:line="360" w:lineRule="auto"/>
        <w:rPr>
          <w:b/>
          <w:sz w:val="24"/>
          <w:szCs w:val="24"/>
        </w:rPr>
      </w:pPr>
      <w:r>
        <w:rPr>
          <w:rFonts w:hint="eastAsia"/>
          <w:b/>
          <w:sz w:val="24"/>
          <w:szCs w:val="24"/>
        </w:rPr>
        <w:t>（一）、</w:t>
      </w:r>
      <w:r>
        <w:rPr>
          <w:rFonts w:hint="eastAsia"/>
          <w:b/>
          <w:sz w:val="24"/>
          <w:szCs w:val="24"/>
        </w:rPr>
        <w:t>10</w:t>
      </w:r>
      <w:r>
        <w:rPr>
          <w:rFonts w:hint="eastAsia"/>
          <w:b/>
          <w:sz w:val="24"/>
          <w:szCs w:val="24"/>
        </w:rPr>
        <w:t>月信托产品期限及预期收益率</w:t>
      </w:r>
    </w:p>
    <w:p w:rsidR="00616C93" w:rsidRPr="000004BF" w:rsidRDefault="00CB3A58"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Pr>
          <w:rFonts w:asciiTheme="minorHAnsi" w:eastAsiaTheme="majorEastAsia" w:hAnsiTheme="minorHAnsi"/>
          <w:noProof/>
          <w:color w:val="333333"/>
          <w:sz w:val="21"/>
          <w:szCs w:val="21"/>
        </w:rPr>
        <w:pict>
          <v:shape id="_x0000_s1147" type="#_x0000_t202" style="position:absolute;left:0;text-align:left;margin-left:155.4pt;margin-top:210.35pt;width:116.55pt;height:26.25pt;z-index:251916288;mso-width-relative:margin;mso-height-relative:margin;v-text-anchor:middle" filled="f" stroked="f">
            <v:textbox style="mso-next-textbox:#_x0000_s1147">
              <w:txbxContent>
                <w:p w:rsidR="00A8555C" w:rsidRDefault="00A8555C" w:rsidP="00A8555C">
                  <w:pPr>
                    <w:jc w:val="center"/>
                  </w:pPr>
                  <w:r>
                    <w:rPr>
                      <w:rFonts w:hint="eastAsia"/>
                    </w:rPr>
                    <w:t>第</w:t>
                  </w:r>
                  <w:r>
                    <w:rPr>
                      <w:rFonts w:hint="eastAsia"/>
                    </w:rPr>
                    <w:t>6</w:t>
                  </w:r>
                  <w:r>
                    <w:rPr>
                      <w:rFonts w:hint="eastAsia"/>
                    </w:rPr>
                    <w:t>页</w:t>
                  </w:r>
                </w:p>
              </w:txbxContent>
            </v:textbox>
          </v:shape>
        </w:pict>
      </w:r>
      <w:r w:rsidR="00616C93" w:rsidRPr="000004BF">
        <w:rPr>
          <w:rFonts w:asciiTheme="minorHAnsi" w:eastAsiaTheme="majorEastAsia" w:hAnsiTheme="minorHAnsi" w:hint="eastAsia"/>
          <w:color w:val="333333"/>
          <w:sz w:val="21"/>
          <w:szCs w:val="21"/>
        </w:rPr>
        <w:t>根据用益信托网的数据显示，本月成立的集合信托产品的平均期限为</w:t>
      </w:r>
      <w:r w:rsidR="00616C93" w:rsidRPr="000004BF">
        <w:rPr>
          <w:rFonts w:asciiTheme="minorHAnsi" w:eastAsiaTheme="majorEastAsia" w:hAnsiTheme="minorHAnsi" w:hint="eastAsia"/>
          <w:color w:val="333333"/>
          <w:sz w:val="21"/>
          <w:szCs w:val="21"/>
        </w:rPr>
        <w:t>1.55</w:t>
      </w:r>
      <w:r w:rsidR="00616C93" w:rsidRPr="000004BF">
        <w:rPr>
          <w:rFonts w:asciiTheme="minorHAnsi" w:eastAsiaTheme="majorEastAsia" w:hAnsiTheme="minorHAnsi" w:hint="eastAsia"/>
          <w:color w:val="333333"/>
          <w:sz w:val="21"/>
          <w:szCs w:val="21"/>
        </w:rPr>
        <w:t>年，较上月减少了</w:t>
      </w:r>
      <w:r w:rsidR="00616C93" w:rsidRPr="000004BF">
        <w:rPr>
          <w:rFonts w:asciiTheme="minorHAnsi" w:eastAsiaTheme="majorEastAsia" w:hAnsiTheme="minorHAnsi" w:hint="eastAsia"/>
          <w:color w:val="333333"/>
          <w:sz w:val="21"/>
          <w:szCs w:val="21"/>
        </w:rPr>
        <w:t>4.91%</w:t>
      </w:r>
      <w:r w:rsidR="00616C93" w:rsidRPr="000004BF">
        <w:rPr>
          <w:rFonts w:asciiTheme="minorHAnsi" w:eastAsiaTheme="majorEastAsia" w:hAnsiTheme="minorHAnsi" w:hint="eastAsia"/>
          <w:color w:val="333333"/>
          <w:sz w:val="21"/>
          <w:szCs w:val="21"/>
        </w:rPr>
        <w:t>。本月新成立的</w:t>
      </w:r>
      <w:r w:rsidR="00616C93" w:rsidRPr="000004BF">
        <w:rPr>
          <w:rFonts w:asciiTheme="minorHAnsi" w:eastAsiaTheme="majorEastAsia" w:hAnsiTheme="minorHAnsi" w:hint="eastAsia"/>
          <w:color w:val="333333"/>
          <w:sz w:val="21"/>
          <w:szCs w:val="21"/>
        </w:rPr>
        <w:t>222</w:t>
      </w:r>
      <w:r w:rsidR="00616C93" w:rsidRPr="000004BF">
        <w:rPr>
          <w:rFonts w:asciiTheme="minorHAnsi" w:eastAsiaTheme="majorEastAsia" w:hAnsiTheme="minorHAnsi" w:hint="eastAsia"/>
          <w:color w:val="333333"/>
          <w:sz w:val="21"/>
          <w:szCs w:val="21"/>
        </w:rPr>
        <w:t>款产品中，最长期限的为“中信信托</w:t>
      </w:r>
      <w:r w:rsidR="00616C93" w:rsidRPr="000004BF">
        <w:rPr>
          <w:rFonts w:asciiTheme="minorHAnsi" w:eastAsiaTheme="majorEastAsia" w:hAnsiTheme="minorHAnsi" w:hint="eastAsia"/>
          <w:color w:val="333333"/>
          <w:sz w:val="21"/>
          <w:szCs w:val="21"/>
        </w:rPr>
        <w:t>-</w:t>
      </w:r>
      <w:r w:rsidR="00616C93" w:rsidRPr="000004BF">
        <w:rPr>
          <w:rFonts w:asciiTheme="minorHAnsi" w:eastAsiaTheme="majorEastAsia" w:hAnsiTheme="minorHAnsi" w:hint="eastAsia"/>
          <w:color w:val="333333"/>
          <w:sz w:val="21"/>
          <w:szCs w:val="21"/>
        </w:rPr>
        <w:t>稳健分层型证券投资集合资金信托计划”、“百瑞信托</w:t>
      </w:r>
      <w:r w:rsidR="00616C93" w:rsidRPr="000004BF">
        <w:rPr>
          <w:rFonts w:asciiTheme="minorHAnsi" w:eastAsiaTheme="majorEastAsia" w:hAnsiTheme="minorHAnsi" w:hint="eastAsia"/>
          <w:color w:val="333333"/>
          <w:sz w:val="21"/>
          <w:szCs w:val="21"/>
        </w:rPr>
        <w:t>-</w:t>
      </w:r>
      <w:r w:rsidR="00616C93" w:rsidRPr="000004BF">
        <w:rPr>
          <w:rFonts w:asciiTheme="minorHAnsi" w:eastAsiaTheme="majorEastAsia" w:hAnsiTheme="minorHAnsi" w:hint="eastAsia"/>
          <w:color w:val="333333"/>
          <w:sz w:val="21"/>
          <w:szCs w:val="21"/>
        </w:rPr>
        <w:t>百瑞宝盈</w:t>
      </w:r>
      <w:r w:rsidR="00616C93" w:rsidRPr="000004BF">
        <w:rPr>
          <w:rFonts w:asciiTheme="minorHAnsi" w:eastAsiaTheme="majorEastAsia" w:hAnsiTheme="minorHAnsi" w:hint="eastAsia"/>
          <w:color w:val="333333"/>
          <w:sz w:val="21"/>
          <w:szCs w:val="21"/>
        </w:rPr>
        <w:t>377</w:t>
      </w:r>
      <w:r w:rsidR="00616C93" w:rsidRPr="000004BF">
        <w:rPr>
          <w:rFonts w:asciiTheme="minorHAnsi" w:eastAsiaTheme="majorEastAsia" w:hAnsiTheme="minorHAnsi" w:hint="eastAsia"/>
          <w:color w:val="333333"/>
          <w:sz w:val="21"/>
          <w:szCs w:val="21"/>
        </w:rPr>
        <w:t>号定向集合资金信托计划”、“粤财信托</w:t>
      </w:r>
      <w:r w:rsidR="00616C93" w:rsidRPr="000004BF">
        <w:rPr>
          <w:rFonts w:asciiTheme="minorHAnsi" w:eastAsiaTheme="majorEastAsia" w:hAnsiTheme="minorHAnsi" w:hint="eastAsia"/>
          <w:color w:val="333333"/>
          <w:sz w:val="21"/>
          <w:szCs w:val="21"/>
        </w:rPr>
        <w:t>-</w:t>
      </w:r>
      <w:r w:rsidR="00616C93" w:rsidRPr="000004BF">
        <w:rPr>
          <w:rFonts w:asciiTheme="minorHAnsi" w:eastAsiaTheme="majorEastAsia" w:hAnsiTheme="minorHAnsi" w:hint="eastAsia"/>
          <w:color w:val="333333"/>
          <w:sz w:val="21"/>
          <w:szCs w:val="21"/>
        </w:rPr>
        <w:t>航长红棉</w:t>
      </w:r>
      <w:r w:rsidR="00616C93" w:rsidRPr="000004BF">
        <w:rPr>
          <w:rFonts w:asciiTheme="minorHAnsi" w:eastAsiaTheme="majorEastAsia" w:hAnsiTheme="minorHAnsi" w:hint="eastAsia"/>
          <w:color w:val="333333"/>
          <w:sz w:val="21"/>
          <w:szCs w:val="21"/>
        </w:rPr>
        <w:t>1</w:t>
      </w:r>
      <w:r w:rsidR="00616C93" w:rsidRPr="000004BF">
        <w:rPr>
          <w:rFonts w:asciiTheme="minorHAnsi" w:eastAsiaTheme="majorEastAsia" w:hAnsiTheme="minorHAnsi" w:hint="eastAsia"/>
          <w:color w:val="333333"/>
          <w:sz w:val="21"/>
          <w:szCs w:val="21"/>
        </w:rPr>
        <w:t>号结构化证券投资集合资金信托计划”、“中信信托</w:t>
      </w:r>
      <w:r w:rsidR="00616C93" w:rsidRPr="000004BF">
        <w:rPr>
          <w:rFonts w:asciiTheme="minorHAnsi" w:eastAsiaTheme="majorEastAsia" w:hAnsiTheme="minorHAnsi" w:hint="eastAsia"/>
          <w:color w:val="333333"/>
          <w:sz w:val="21"/>
          <w:szCs w:val="21"/>
        </w:rPr>
        <w:t>-</w:t>
      </w:r>
      <w:r w:rsidR="00616C93" w:rsidRPr="000004BF">
        <w:rPr>
          <w:rFonts w:asciiTheme="minorHAnsi" w:eastAsiaTheme="majorEastAsia" w:hAnsiTheme="minorHAnsi" w:hint="eastAsia"/>
          <w:color w:val="333333"/>
          <w:sz w:val="21"/>
          <w:szCs w:val="21"/>
        </w:rPr>
        <w:t>雪球</w:t>
      </w:r>
      <w:r w:rsidR="00616C93" w:rsidRPr="000004BF">
        <w:rPr>
          <w:rFonts w:asciiTheme="minorHAnsi" w:eastAsiaTheme="majorEastAsia" w:hAnsiTheme="minorHAnsi" w:hint="eastAsia"/>
          <w:color w:val="333333"/>
          <w:sz w:val="21"/>
          <w:szCs w:val="21"/>
        </w:rPr>
        <w:t>2</w:t>
      </w:r>
      <w:r w:rsidR="00616C93" w:rsidRPr="000004BF">
        <w:rPr>
          <w:rFonts w:asciiTheme="minorHAnsi" w:eastAsiaTheme="majorEastAsia" w:hAnsiTheme="minorHAnsi" w:hint="eastAsia"/>
          <w:color w:val="333333"/>
          <w:sz w:val="21"/>
          <w:szCs w:val="21"/>
        </w:rPr>
        <w:t>期管理型证券投资集合资金信托计划”，期限均为</w:t>
      </w:r>
      <w:r w:rsidR="00616C93" w:rsidRPr="000004BF">
        <w:rPr>
          <w:rFonts w:asciiTheme="minorHAnsi" w:eastAsiaTheme="majorEastAsia" w:hAnsiTheme="minorHAnsi" w:hint="eastAsia"/>
          <w:color w:val="333333"/>
          <w:sz w:val="21"/>
          <w:szCs w:val="21"/>
        </w:rPr>
        <w:t>20</w:t>
      </w:r>
      <w:r w:rsidR="00616C93" w:rsidRPr="000004BF">
        <w:rPr>
          <w:rFonts w:asciiTheme="minorHAnsi" w:eastAsiaTheme="majorEastAsia" w:hAnsiTheme="minorHAnsi" w:hint="eastAsia"/>
          <w:color w:val="333333"/>
          <w:sz w:val="21"/>
          <w:szCs w:val="21"/>
        </w:rPr>
        <w:t>年。另外，“中信信托</w:t>
      </w:r>
      <w:r w:rsidR="00616C93" w:rsidRPr="000004BF">
        <w:rPr>
          <w:rFonts w:asciiTheme="minorHAnsi" w:eastAsiaTheme="majorEastAsia" w:hAnsiTheme="minorHAnsi" w:hint="eastAsia"/>
          <w:color w:val="333333"/>
          <w:sz w:val="21"/>
          <w:szCs w:val="21"/>
        </w:rPr>
        <w:t>-</w:t>
      </w:r>
      <w:r w:rsidR="00616C93" w:rsidRPr="000004BF">
        <w:rPr>
          <w:rFonts w:asciiTheme="minorHAnsi" w:eastAsiaTheme="majorEastAsia" w:hAnsiTheme="minorHAnsi" w:hint="eastAsia"/>
          <w:color w:val="333333"/>
          <w:sz w:val="21"/>
          <w:szCs w:val="21"/>
        </w:rPr>
        <w:t>农村土地承包经营权集合信托计划</w:t>
      </w:r>
      <w:r w:rsidR="00616C93" w:rsidRPr="000004BF">
        <w:rPr>
          <w:rFonts w:asciiTheme="minorHAnsi" w:eastAsiaTheme="majorEastAsia" w:hAnsiTheme="minorHAnsi" w:hint="eastAsia"/>
          <w:color w:val="333333"/>
          <w:sz w:val="21"/>
          <w:szCs w:val="21"/>
        </w:rPr>
        <w:t>1301</w:t>
      </w:r>
      <w:r w:rsidR="00616C93" w:rsidRPr="000004BF">
        <w:rPr>
          <w:rFonts w:asciiTheme="minorHAnsi" w:eastAsiaTheme="majorEastAsia" w:hAnsiTheme="minorHAnsi" w:hint="eastAsia"/>
          <w:color w:val="333333"/>
          <w:sz w:val="21"/>
          <w:szCs w:val="21"/>
        </w:rPr>
        <w:t>期”期限为</w:t>
      </w:r>
      <w:r w:rsidR="00616C93" w:rsidRPr="000004BF">
        <w:rPr>
          <w:rFonts w:asciiTheme="minorHAnsi" w:eastAsiaTheme="majorEastAsia" w:hAnsiTheme="minorHAnsi" w:hint="eastAsia"/>
          <w:color w:val="333333"/>
          <w:sz w:val="21"/>
          <w:szCs w:val="21"/>
        </w:rPr>
        <w:t>12</w:t>
      </w:r>
      <w:r w:rsidR="00616C93" w:rsidRPr="000004BF">
        <w:rPr>
          <w:rFonts w:asciiTheme="minorHAnsi" w:eastAsiaTheme="majorEastAsia" w:hAnsiTheme="minorHAnsi" w:hint="eastAsia"/>
          <w:color w:val="333333"/>
          <w:sz w:val="21"/>
          <w:szCs w:val="21"/>
        </w:rPr>
        <w:t>年，</w:t>
      </w:r>
      <w:r w:rsidR="00616C93" w:rsidRPr="000004BF">
        <w:rPr>
          <w:rFonts w:asciiTheme="minorHAnsi" w:eastAsiaTheme="majorEastAsia" w:hAnsiTheme="minorHAnsi" w:hint="eastAsia"/>
          <w:color w:val="333333"/>
          <w:sz w:val="21"/>
          <w:szCs w:val="21"/>
        </w:rPr>
        <w:t xml:space="preserve"> 10</w:t>
      </w:r>
      <w:r w:rsidR="00616C93" w:rsidRPr="000004BF">
        <w:rPr>
          <w:rFonts w:asciiTheme="minorHAnsi" w:eastAsiaTheme="majorEastAsia" w:hAnsiTheme="minorHAnsi" w:hint="eastAsia"/>
          <w:color w:val="333333"/>
          <w:sz w:val="21"/>
          <w:szCs w:val="21"/>
        </w:rPr>
        <w:t>年期产品</w:t>
      </w:r>
      <w:r w:rsidR="00616C93" w:rsidRPr="000004BF">
        <w:rPr>
          <w:rFonts w:asciiTheme="minorHAnsi" w:eastAsiaTheme="majorEastAsia" w:hAnsiTheme="minorHAnsi" w:hint="eastAsia"/>
          <w:color w:val="333333"/>
          <w:sz w:val="21"/>
          <w:szCs w:val="21"/>
        </w:rPr>
        <w:t>6</w:t>
      </w:r>
      <w:r w:rsidR="00616C93" w:rsidRPr="000004BF">
        <w:rPr>
          <w:rFonts w:asciiTheme="minorHAnsi" w:eastAsiaTheme="majorEastAsia" w:hAnsiTheme="minorHAnsi" w:hint="eastAsia"/>
          <w:color w:val="333333"/>
          <w:sz w:val="21"/>
          <w:szCs w:val="21"/>
        </w:rPr>
        <w:t>款。</w:t>
      </w:r>
    </w:p>
    <w:p w:rsidR="00616C93" w:rsidRPr="000004BF" w:rsidRDefault="008A0270"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Pr>
          <w:rFonts w:asciiTheme="minorHAnsi" w:eastAsiaTheme="majorEastAsia" w:hAnsiTheme="minorHAnsi" w:hint="eastAsia"/>
          <w:noProof/>
          <w:color w:val="333333"/>
          <w:sz w:val="21"/>
          <w:szCs w:val="21"/>
        </w:rPr>
        <w:lastRenderedPageBreak/>
        <w:drawing>
          <wp:anchor distT="0" distB="0" distL="114300" distR="114300" simplePos="0" relativeHeight="251893760" behindDoc="1" locked="0" layoutInCell="1" allowOverlap="1">
            <wp:simplePos x="0" y="0"/>
            <wp:positionH relativeFrom="column">
              <wp:posOffset>-1160145</wp:posOffset>
            </wp:positionH>
            <wp:positionV relativeFrom="paragraph">
              <wp:posOffset>-1440180</wp:posOffset>
            </wp:positionV>
            <wp:extent cx="7562850" cy="10706100"/>
            <wp:effectExtent l="19050" t="0" r="0" b="0"/>
            <wp:wrapNone/>
            <wp:docPr id="21"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r w:rsidR="00616C93" w:rsidRPr="000004BF">
        <w:rPr>
          <w:rFonts w:asciiTheme="minorHAnsi" w:eastAsiaTheme="majorEastAsia" w:hAnsiTheme="minorHAnsi" w:hint="eastAsia"/>
          <w:color w:val="333333"/>
          <w:sz w:val="21"/>
          <w:szCs w:val="21"/>
        </w:rPr>
        <w:t>在预期收益方面，受到资金面较上月相对宽松的影响，本月成立产品平均收益率环比下降了</w:t>
      </w:r>
      <w:r w:rsidR="00616C93" w:rsidRPr="000004BF">
        <w:rPr>
          <w:rFonts w:asciiTheme="minorHAnsi" w:eastAsiaTheme="majorEastAsia" w:hAnsiTheme="minorHAnsi" w:hint="eastAsia"/>
          <w:color w:val="333333"/>
          <w:sz w:val="21"/>
          <w:szCs w:val="21"/>
        </w:rPr>
        <w:t>2.96%</w:t>
      </w:r>
      <w:r w:rsidR="00616C93" w:rsidRPr="000004BF">
        <w:rPr>
          <w:rFonts w:asciiTheme="minorHAnsi" w:eastAsiaTheme="majorEastAsia" w:hAnsiTheme="minorHAnsi" w:hint="eastAsia"/>
          <w:color w:val="333333"/>
          <w:sz w:val="21"/>
          <w:szCs w:val="21"/>
        </w:rPr>
        <w:t>，为</w:t>
      </w:r>
      <w:r w:rsidR="00616C93" w:rsidRPr="000004BF">
        <w:rPr>
          <w:rFonts w:asciiTheme="minorHAnsi" w:eastAsiaTheme="majorEastAsia" w:hAnsiTheme="minorHAnsi" w:hint="eastAsia"/>
          <w:color w:val="333333"/>
          <w:sz w:val="21"/>
          <w:szCs w:val="21"/>
        </w:rPr>
        <w:t>8.52%</w:t>
      </w:r>
      <w:r w:rsidR="00616C93" w:rsidRPr="000004BF">
        <w:rPr>
          <w:rFonts w:asciiTheme="minorHAnsi" w:eastAsiaTheme="majorEastAsia" w:hAnsiTheme="minorHAnsi" w:hint="eastAsia"/>
          <w:color w:val="333333"/>
          <w:sz w:val="21"/>
          <w:szCs w:val="21"/>
        </w:rPr>
        <w:t>。从投资方向来看，本月房地产类延续成为平均收益率最高的投向，平均收益率达</w:t>
      </w:r>
      <w:r w:rsidR="00616C93" w:rsidRPr="000004BF">
        <w:rPr>
          <w:rFonts w:asciiTheme="minorHAnsi" w:eastAsiaTheme="majorEastAsia" w:hAnsiTheme="minorHAnsi" w:hint="eastAsia"/>
          <w:color w:val="333333"/>
          <w:sz w:val="21"/>
          <w:szCs w:val="21"/>
        </w:rPr>
        <w:t>9.57%</w:t>
      </w:r>
      <w:r w:rsidR="00616C93" w:rsidRPr="000004BF">
        <w:rPr>
          <w:rFonts w:asciiTheme="minorHAnsi" w:eastAsiaTheme="majorEastAsia" w:hAnsiTheme="minorHAnsi" w:hint="eastAsia"/>
          <w:color w:val="333333"/>
          <w:sz w:val="21"/>
          <w:szCs w:val="21"/>
        </w:rPr>
        <w:t>，然后依次为基础产业类</w:t>
      </w:r>
      <w:r w:rsidR="00616C93" w:rsidRPr="000004BF">
        <w:rPr>
          <w:rFonts w:asciiTheme="minorHAnsi" w:eastAsiaTheme="majorEastAsia" w:hAnsiTheme="minorHAnsi" w:hint="eastAsia"/>
          <w:color w:val="333333"/>
          <w:sz w:val="21"/>
          <w:szCs w:val="21"/>
        </w:rPr>
        <w:t>9.33%</w:t>
      </w:r>
      <w:r w:rsidR="00616C93" w:rsidRPr="000004BF">
        <w:rPr>
          <w:rFonts w:asciiTheme="minorHAnsi" w:eastAsiaTheme="majorEastAsia" w:hAnsiTheme="minorHAnsi" w:hint="eastAsia"/>
          <w:color w:val="333333"/>
          <w:sz w:val="21"/>
          <w:szCs w:val="21"/>
        </w:rPr>
        <w:t>，工商企业类</w:t>
      </w:r>
      <w:r w:rsidR="00616C93" w:rsidRPr="000004BF">
        <w:rPr>
          <w:rFonts w:asciiTheme="minorHAnsi" w:eastAsiaTheme="majorEastAsia" w:hAnsiTheme="minorHAnsi" w:hint="eastAsia"/>
          <w:color w:val="333333"/>
          <w:sz w:val="21"/>
          <w:szCs w:val="21"/>
        </w:rPr>
        <w:t>8.90%</w:t>
      </w:r>
      <w:r w:rsidR="00616C93" w:rsidRPr="000004BF">
        <w:rPr>
          <w:rFonts w:asciiTheme="minorHAnsi" w:eastAsiaTheme="majorEastAsia" w:hAnsiTheme="minorHAnsi" w:hint="eastAsia"/>
          <w:color w:val="333333"/>
          <w:sz w:val="21"/>
          <w:szCs w:val="21"/>
        </w:rPr>
        <w:t>，金融市场类</w:t>
      </w:r>
      <w:r w:rsidR="00616C93" w:rsidRPr="000004BF">
        <w:rPr>
          <w:rFonts w:asciiTheme="minorHAnsi" w:eastAsiaTheme="majorEastAsia" w:hAnsiTheme="minorHAnsi" w:hint="eastAsia"/>
          <w:color w:val="333333"/>
          <w:sz w:val="21"/>
          <w:szCs w:val="21"/>
        </w:rPr>
        <w:t>7.41%</w:t>
      </w:r>
      <w:r w:rsidR="00616C93" w:rsidRPr="000004BF">
        <w:rPr>
          <w:rFonts w:asciiTheme="minorHAnsi" w:eastAsiaTheme="majorEastAsia" w:hAnsiTheme="minorHAnsi" w:hint="eastAsia"/>
          <w:color w:val="333333"/>
          <w:sz w:val="21"/>
          <w:szCs w:val="21"/>
        </w:rPr>
        <w:t>。</w:t>
      </w:r>
    </w:p>
    <w:p w:rsidR="00616C93" w:rsidRPr="000004BF" w:rsidRDefault="00616C93" w:rsidP="00F15957">
      <w:pPr>
        <w:pStyle w:val="a8"/>
        <w:shd w:val="clear" w:color="auto" w:fill="FFFFFF"/>
        <w:spacing w:before="0" w:beforeAutospacing="0" w:after="0" w:afterAutospacing="0" w:line="360" w:lineRule="auto"/>
        <w:ind w:firstLineChars="200" w:firstLine="420"/>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本月收益排名前五的产品中，房地产类信托仍是占据了大半江山，收益最高的是云南信托发行的“瑞恒</w:t>
      </w:r>
      <w:r w:rsidRPr="000004BF">
        <w:rPr>
          <w:rFonts w:asciiTheme="minorHAnsi" w:eastAsiaTheme="majorEastAsia" w:hAnsiTheme="minorHAnsi" w:hint="eastAsia"/>
          <w:color w:val="333333"/>
          <w:sz w:val="21"/>
          <w:szCs w:val="21"/>
        </w:rPr>
        <w:t>9</w:t>
      </w:r>
      <w:r w:rsidRPr="000004BF">
        <w:rPr>
          <w:rFonts w:asciiTheme="minorHAnsi" w:eastAsiaTheme="majorEastAsia" w:hAnsiTheme="minorHAnsi" w:hint="eastAsia"/>
          <w:color w:val="333333"/>
          <w:sz w:val="21"/>
          <w:szCs w:val="21"/>
        </w:rPr>
        <w:t>号复地债权集合资金信托计划”，预期收益为</w:t>
      </w:r>
      <w:r w:rsidRPr="000004BF">
        <w:rPr>
          <w:rFonts w:asciiTheme="minorHAnsi" w:eastAsiaTheme="majorEastAsia" w:hAnsiTheme="minorHAnsi" w:hint="eastAsia"/>
          <w:color w:val="333333"/>
          <w:sz w:val="21"/>
          <w:szCs w:val="21"/>
        </w:rPr>
        <w:t>13.3%</w:t>
      </w:r>
      <w:r w:rsidRPr="000004BF">
        <w:rPr>
          <w:rFonts w:asciiTheme="minorHAnsi" w:eastAsiaTheme="majorEastAsia" w:hAnsiTheme="minorHAnsi" w:hint="eastAsia"/>
          <w:color w:val="333333"/>
          <w:sz w:val="21"/>
          <w:szCs w:val="21"/>
        </w:rPr>
        <w:t>，期限为</w:t>
      </w:r>
      <w:r w:rsidRPr="000004BF">
        <w:rPr>
          <w:rFonts w:asciiTheme="minorHAnsi" w:eastAsiaTheme="majorEastAsia" w:hAnsiTheme="minorHAnsi" w:hint="eastAsia"/>
          <w:color w:val="333333"/>
          <w:sz w:val="21"/>
          <w:szCs w:val="21"/>
        </w:rPr>
        <w:t>2</w:t>
      </w:r>
      <w:r w:rsidRPr="000004BF">
        <w:rPr>
          <w:rFonts w:asciiTheme="minorHAnsi" w:eastAsiaTheme="majorEastAsia" w:hAnsiTheme="minorHAnsi" w:hint="eastAsia"/>
          <w:color w:val="333333"/>
          <w:sz w:val="21"/>
          <w:szCs w:val="21"/>
        </w:rPr>
        <w:t>年，为证券投资类信托，发行规模为</w:t>
      </w:r>
      <w:r w:rsidRPr="000004BF">
        <w:rPr>
          <w:rFonts w:asciiTheme="minorHAnsi" w:eastAsiaTheme="majorEastAsia" w:hAnsiTheme="minorHAnsi" w:hint="eastAsia"/>
          <w:color w:val="333333"/>
          <w:sz w:val="21"/>
          <w:szCs w:val="21"/>
        </w:rPr>
        <w:t>7</w:t>
      </w:r>
      <w:r w:rsidRPr="000004BF">
        <w:rPr>
          <w:rFonts w:asciiTheme="minorHAnsi" w:eastAsiaTheme="majorEastAsia" w:hAnsiTheme="minorHAnsi" w:hint="eastAsia"/>
          <w:color w:val="333333"/>
          <w:sz w:val="21"/>
          <w:szCs w:val="21"/>
        </w:rPr>
        <w:t>亿元。</w:t>
      </w:r>
      <w:r w:rsidRPr="000004BF">
        <w:rPr>
          <w:rFonts w:asciiTheme="minorHAnsi" w:eastAsiaTheme="majorEastAsia" w:hAnsiTheme="minorHAnsi"/>
          <w:color w:val="333333"/>
          <w:sz w:val="21"/>
          <w:szCs w:val="21"/>
        </w:rPr>
        <w:t>另外收益率较高的还有</w:t>
      </w:r>
      <w:r w:rsidRPr="000004BF">
        <w:rPr>
          <w:rFonts w:asciiTheme="minorHAnsi" w:eastAsiaTheme="majorEastAsia" w:hAnsiTheme="minorHAnsi" w:hint="eastAsia"/>
          <w:color w:val="333333"/>
          <w:sz w:val="21"/>
          <w:szCs w:val="21"/>
        </w:rPr>
        <w:t>方正东亚信托发行的“沈阳亿丰置业贷款集合资金信托计划”，最高预期收益为</w:t>
      </w:r>
      <w:r w:rsidRPr="000004BF">
        <w:rPr>
          <w:rFonts w:asciiTheme="minorHAnsi" w:eastAsiaTheme="majorEastAsia" w:hAnsiTheme="minorHAnsi" w:hint="eastAsia"/>
          <w:color w:val="333333"/>
          <w:sz w:val="21"/>
          <w:szCs w:val="21"/>
        </w:rPr>
        <w:t>11.5%</w:t>
      </w:r>
      <w:r w:rsidRPr="000004BF">
        <w:rPr>
          <w:rFonts w:asciiTheme="minorHAnsi" w:eastAsiaTheme="majorEastAsia" w:hAnsiTheme="minorHAnsi" w:hint="eastAsia"/>
          <w:color w:val="333333"/>
          <w:sz w:val="21"/>
          <w:szCs w:val="21"/>
        </w:rPr>
        <w:t>，期限为</w:t>
      </w:r>
      <w:r w:rsidRPr="000004BF">
        <w:rPr>
          <w:rFonts w:asciiTheme="minorHAnsi" w:eastAsiaTheme="majorEastAsia" w:hAnsiTheme="minorHAnsi" w:hint="eastAsia"/>
          <w:color w:val="333333"/>
          <w:sz w:val="21"/>
          <w:szCs w:val="21"/>
        </w:rPr>
        <w:t>2.75</w:t>
      </w:r>
      <w:r w:rsidRPr="000004BF">
        <w:rPr>
          <w:rFonts w:asciiTheme="minorHAnsi" w:eastAsiaTheme="majorEastAsia" w:hAnsiTheme="minorHAnsi" w:hint="eastAsia"/>
          <w:color w:val="333333"/>
          <w:sz w:val="21"/>
          <w:szCs w:val="21"/>
        </w:rPr>
        <w:t>年，发行规模为</w:t>
      </w:r>
      <w:r w:rsidRPr="000004BF">
        <w:rPr>
          <w:rFonts w:asciiTheme="minorHAnsi" w:eastAsiaTheme="majorEastAsia" w:hAnsiTheme="minorHAnsi" w:hint="eastAsia"/>
          <w:color w:val="333333"/>
          <w:sz w:val="21"/>
          <w:szCs w:val="21"/>
        </w:rPr>
        <w:t>1.8</w:t>
      </w:r>
      <w:r w:rsidRPr="000004BF">
        <w:rPr>
          <w:rFonts w:asciiTheme="minorHAnsi" w:eastAsiaTheme="majorEastAsia" w:hAnsiTheme="minorHAnsi" w:hint="eastAsia"/>
          <w:color w:val="333333"/>
          <w:sz w:val="21"/>
          <w:szCs w:val="21"/>
        </w:rPr>
        <w:t>亿元，信托资金将用于对沈阳亿丰置业发展有限公司发放改造资金贷款，用于其沈阳亿丰时代广场一期改造，包括但不限于项目</w:t>
      </w:r>
      <w:r w:rsidRPr="000004BF">
        <w:rPr>
          <w:rFonts w:asciiTheme="minorHAnsi" w:eastAsiaTheme="majorEastAsia" w:hAnsiTheme="minorHAnsi"/>
          <w:color w:val="333333"/>
          <w:sz w:val="21"/>
          <w:szCs w:val="21"/>
        </w:rPr>
        <w:t>5</w:t>
      </w:r>
      <w:r w:rsidRPr="000004BF">
        <w:rPr>
          <w:rFonts w:asciiTheme="minorHAnsi" w:eastAsiaTheme="majorEastAsia" w:hAnsiTheme="minorHAnsi" w:hint="eastAsia"/>
          <w:color w:val="333333"/>
          <w:sz w:val="21"/>
          <w:szCs w:val="21"/>
        </w:rPr>
        <w:t>、</w:t>
      </w:r>
      <w:r w:rsidRPr="000004BF">
        <w:rPr>
          <w:rFonts w:asciiTheme="minorHAnsi" w:eastAsiaTheme="majorEastAsia" w:hAnsiTheme="minorHAnsi"/>
          <w:color w:val="333333"/>
          <w:sz w:val="21"/>
          <w:szCs w:val="21"/>
        </w:rPr>
        <w:t>6</w:t>
      </w:r>
      <w:r w:rsidRPr="000004BF">
        <w:rPr>
          <w:rFonts w:asciiTheme="minorHAnsi" w:eastAsiaTheme="majorEastAsia" w:hAnsiTheme="minorHAnsi" w:hint="eastAsia"/>
          <w:color w:val="333333"/>
          <w:sz w:val="21"/>
          <w:szCs w:val="21"/>
        </w:rPr>
        <w:t>层改造、地下车场改造升级、广场绿化工程等；华融信托发行“山西梅园华盛信托贷款集合信托计划”，最高收益率为</w:t>
      </w:r>
      <w:r w:rsidRPr="000004BF">
        <w:rPr>
          <w:rFonts w:asciiTheme="minorHAnsi" w:eastAsiaTheme="majorEastAsia" w:hAnsiTheme="minorHAnsi" w:hint="eastAsia"/>
          <w:color w:val="333333"/>
          <w:sz w:val="21"/>
          <w:szCs w:val="21"/>
        </w:rPr>
        <w:t>11.5%</w:t>
      </w:r>
      <w:r w:rsidRPr="000004BF">
        <w:rPr>
          <w:rFonts w:asciiTheme="minorHAnsi" w:eastAsiaTheme="majorEastAsia" w:hAnsiTheme="minorHAnsi" w:hint="eastAsia"/>
          <w:color w:val="333333"/>
          <w:sz w:val="21"/>
          <w:szCs w:val="21"/>
        </w:rPr>
        <w:t>，期限为</w:t>
      </w:r>
      <w:r w:rsidRPr="000004BF">
        <w:rPr>
          <w:rFonts w:asciiTheme="minorHAnsi" w:eastAsiaTheme="majorEastAsia" w:hAnsiTheme="minorHAnsi" w:hint="eastAsia"/>
          <w:color w:val="333333"/>
          <w:sz w:val="21"/>
          <w:szCs w:val="21"/>
        </w:rPr>
        <w:t>2.5</w:t>
      </w:r>
      <w:r w:rsidRPr="000004BF">
        <w:rPr>
          <w:rFonts w:asciiTheme="minorHAnsi" w:eastAsiaTheme="majorEastAsia" w:hAnsiTheme="minorHAnsi" w:hint="eastAsia"/>
          <w:color w:val="333333"/>
          <w:sz w:val="21"/>
          <w:szCs w:val="21"/>
        </w:rPr>
        <w:t>年，发行规模</w:t>
      </w:r>
      <w:r w:rsidRPr="000004BF">
        <w:rPr>
          <w:rFonts w:asciiTheme="minorHAnsi" w:eastAsiaTheme="majorEastAsia" w:hAnsiTheme="minorHAnsi" w:hint="eastAsia"/>
          <w:color w:val="333333"/>
          <w:sz w:val="21"/>
          <w:szCs w:val="21"/>
        </w:rPr>
        <w:t>1.1</w:t>
      </w:r>
      <w:r w:rsidRPr="000004BF">
        <w:rPr>
          <w:rFonts w:asciiTheme="minorHAnsi" w:eastAsiaTheme="majorEastAsia" w:hAnsiTheme="minorHAnsi" w:hint="eastAsia"/>
          <w:color w:val="333333"/>
          <w:sz w:val="21"/>
          <w:szCs w:val="21"/>
        </w:rPr>
        <w:t>亿元，</w:t>
      </w:r>
      <w:r w:rsidRPr="000004BF">
        <w:rPr>
          <w:rFonts w:asciiTheme="minorHAnsi" w:eastAsiaTheme="majorEastAsia" w:hAnsiTheme="minorHAnsi"/>
          <w:color w:val="333333"/>
          <w:sz w:val="21"/>
          <w:szCs w:val="21"/>
        </w:rPr>
        <w:t>信托资金用于支付梅园华盛煤矿技改款及资源价款流动资金等</w:t>
      </w:r>
      <w:r w:rsidRPr="000004BF">
        <w:rPr>
          <w:rFonts w:asciiTheme="minorHAnsi" w:eastAsiaTheme="majorEastAsia" w:hAnsiTheme="minorHAnsi" w:hint="eastAsia"/>
          <w:color w:val="333333"/>
          <w:sz w:val="21"/>
          <w:szCs w:val="21"/>
        </w:rPr>
        <w:t>；国民</w:t>
      </w:r>
      <w:r w:rsidRPr="000004BF">
        <w:rPr>
          <w:rFonts w:asciiTheme="minorHAnsi" w:eastAsiaTheme="majorEastAsia" w:hAnsiTheme="minorHAnsi"/>
          <w:color w:val="333333"/>
          <w:sz w:val="21"/>
          <w:szCs w:val="21"/>
        </w:rPr>
        <w:t>信托发行的</w:t>
      </w:r>
      <w:r w:rsidRPr="000004BF">
        <w:rPr>
          <w:rFonts w:asciiTheme="minorHAnsi" w:eastAsiaTheme="majorEastAsia" w:hAnsiTheme="minorHAnsi" w:hint="eastAsia"/>
          <w:color w:val="333333"/>
          <w:sz w:val="21"/>
          <w:szCs w:val="21"/>
        </w:rPr>
        <w:t>“乐兴</w:t>
      </w:r>
      <w:r w:rsidRPr="000004BF">
        <w:rPr>
          <w:rFonts w:asciiTheme="minorHAnsi" w:eastAsiaTheme="majorEastAsia" w:hAnsiTheme="minorHAnsi" w:hint="eastAsia"/>
          <w:color w:val="333333"/>
          <w:sz w:val="21"/>
          <w:szCs w:val="21"/>
        </w:rPr>
        <w:t>6</w:t>
      </w:r>
      <w:r w:rsidRPr="000004BF">
        <w:rPr>
          <w:rFonts w:asciiTheme="minorHAnsi" w:eastAsiaTheme="majorEastAsia" w:hAnsiTheme="minorHAnsi" w:hint="eastAsia"/>
          <w:color w:val="333333"/>
          <w:sz w:val="21"/>
          <w:szCs w:val="21"/>
        </w:rPr>
        <w:t>号集合资金信托计划”</w:t>
      </w:r>
      <w:r w:rsidRPr="000004BF">
        <w:rPr>
          <w:rFonts w:asciiTheme="minorHAnsi" w:eastAsiaTheme="majorEastAsia" w:hAnsiTheme="minorHAnsi"/>
          <w:color w:val="333333"/>
          <w:sz w:val="21"/>
          <w:szCs w:val="21"/>
        </w:rPr>
        <w:t>，发行规模</w:t>
      </w:r>
      <w:r w:rsidRPr="000004BF">
        <w:rPr>
          <w:rFonts w:asciiTheme="minorHAnsi" w:eastAsiaTheme="majorEastAsia" w:hAnsiTheme="minorHAnsi" w:hint="eastAsia"/>
          <w:color w:val="333333"/>
          <w:sz w:val="21"/>
          <w:szCs w:val="21"/>
        </w:rPr>
        <w:t>3</w:t>
      </w:r>
      <w:r w:rsidRPr="000004BF">
        <w:rPr>
          <w:rFonts w:asciiTheme="minorHAnsi" w:eastAsiaTheme="majorEastAsia" w:hAnsiTheme="minorHAnsi" w:hint="eastAsia"/>
          <w:color w:val="333333"/>
          <w:sz w:val="21"/>
          <w:szCs w:val="21"/>
        </w:rPr>
        <w:t>亿元</w:t>
      </w:r>
      <w:r w:rsidRPr="000004BF">
        <w:rPr>
          <w:rFonts w:asciiTheme="minorHAnsi" w:eastAsiaTheme="majorEastAsia" w:hAnsiTheme="minorHAnsi"/>
          <w:color w:val="333333"/>
          <w:sz w:val="21"/>
          <w:szCs w:val="21"/>
        </w:rPr>
        <w:t>，预期收益为</w:t>
      </w:r>
      <w:r w:rsidRPr="000004BF">
        <w:rPr>
          <w:rFonts w:asciiTheme="minorHAnsi" w:eastAsiaTheme="majorEastAsia" w:hAnsiTheme="minorHAnsi"/>
          <w:color w:val="333333"/>
          <w:sz w:val="21"/>
          <w:szCs w:val="21"/>
        </w:rPr>
        <w:t>9</w:t>
      </w:r>
      <w:r w:rsidRPr="000004BF">
        <w:rPr>
          <w:rFonts w:asciiTheme="minorHAnsi" w:eastAsiaTheme="majorEastAsia" w:hAnsiTheme="minorHAnsi" w:hint="eastAsia"/>
          <w:color w:val="333333"/>
          <w:sz w:val="21"/>
          <w:szCs w:val="21"/>
        </w:rPr>
        <w:t>.5</w:t>
      </w:r>
      <w:r w:rsidRPr="000004BF">
        <w:rPr>
          <w:rFonts w:asciiTheme="minorHAnsi" w:eastAsiaTheme="majorEastAsia" w:hAnsiTheme="minorHAnsi"/>
          <w:color w:val="333333"/>
          <w:sz w:val="21"/>
          <w:szCs w:val="21"/>
        </w:rPr>
        <w:t>%-11</w:t>
      </w:r>
      <w:r w:rsidRPr="000004BF">
        <w:rPr>
          <w:rFonts w:asciiTheme="minorHAnsi" w:eastAsiaTheme="majorEastAsia" w:hAnsiTheme="minorHAnsi" w:hint="eastAsia"/>
          <w:color w:val="333333"/>
          <w:sz w:val="21"/>
          <w:szCs w:val="21"/>
        </w:rPr>
        <w:t>.5</w:t>
      </w:r>
      <w:r w:rsidRPr="000004BF">
        <w:rPr>
          <w:rFonts w:asciiTheme="minorHAnsi" w:eastAsiaTheme="majorEastAsia" w:hAnsiTheme="minorHAnsi"/>
          <w:color w:val="333333"/>
          <w:sz w:val="21"/>
          <w:szCs w:val="21"/>
        </w:rPr>
        <w:t>%</w:t>
      </w:r>
      <w:r w:rsidRPr="000004BF">
        <w:rPr>
          <w:rFonts w:asciiTheme="minorHAnsi" w:eastAsiaTheme="majorEastAsia" w:hAnsiTheme="minorHAnsi" w:hint="eastAsia"/>
          <w:color w:val="333333"/>
          <w:sz w:val="21"/>
          <w:szCs w:val="21"/>
        </w:rPr>
        <w:t>；四川信托发行的“绿色轩雨庭项目贷款集合资金信托计划”，预期收益率为</w:t>
      </w:r>
      <w:r w:rsidRPr="000004BF">
        <w:rPr>
          <w:rFonts w:asciiTheme="minorHAnsi" w:eastAsiaTheme="majorEastAsia" w:hAnsiTheme="minorHAnsi" w:hint="eastAsia"/>
          <w:color w:val="333333"/>
          <w:sz w:val="21"/>
          <w:szCs w:val="21"/>
        </w:rPr>
        <w:t>9.5%</w:t>
      </w:r>
      <w:r w:rsidRPr="000004BF">
        <w:rPr>
          <w:rFonts w:asciiTheme="minorHAnsi" w:eastAsiaTheme="majorEastAsia" w:hAnsiTheme="minorHAnsi" w:hint="eastAsia"/>
          <w:color w:val="333333"/>
          <w:sz w:val="21"/>
          <w:szCs w:val="21"/>
        </w:rPr>
        <w:t>至</w:t>
      </w:r>
      <w:r w:rsidRPr="000004BF">
        <w:rPr>
          <w:rFonts w:asciiTheme="minorHAnsi" w:eastAsiaTheme="majorEastAsia" w:hAnsiTheme="minorHAnsi" w:hint="eastAsia"/>
          <w:color w:val="333333"/>
          <w:sz w:val="21"/>
          <w:szCs w:val="21"/>
        </w:rPr>
        <w:t>11.2%</w:t>
      </w:r>
      <w:r w:rsidRPr="000004BF">
        <w:rPr>
          <w:rFonts w:asciiTheme="minorHAnsi" w:eastAsiaTheme="majorEastAsia" w:hAnsiTheme="minorHAnsi" w:hint="eastAsia"/>
          <w:color w:val="333333"/>
          <w:sz w:val="21"/>
          <w:szCs w:val="21"/>
        </w:rPr>
        <w:t>，发行规模为</w:t>
      </w:r>
      <w:r w:rsidRPr="000004BF">
        <w:rPr>
          <w:rFonts w:asciiTheme="minorHAnsi" w:eastAsiaTheme="majorEastAsia" w:hAnsiTheme="minorHAnsi" w:hint="eastAsia"/>
          <w:color w:val="333333"/>
          <w:sz w:val="21"/>
          <w:szCs w:val="21"/>
        </w:rPr>
        <w:t>2.5</w:t>
      </w:r>
      <w:r w:rsidRPr="000004BF">
        <w:rPr>
          <w:rFonts w:asciiTheme="minorHAnsi" w:eastAsiaTheme="majorEastAsia" w:hAnsiTheme="minorHAnsi" w:hint="eastAsia"/>
          <w:color w:val="333333"/>
          <w:sz w:val="21"/>
          <w:szCs w:val="21"/>
        </w:rPr>
        <w:t>亿元，将信托资金用于向云南绿色房地产开发有限公司发放项目贷款，项目公司取得资金后用于“绿色轩雨庭”房地产项目的开发建设。</w:t>
      </w:r>
    </w:p>
    <w:p w:rsidR="00A8555C" w:rsidRPr="00C21748" w:rsidRDefault="00616C93" w:rsidP="00C21748">
      <w:pPr>
        <w:numPr>
          <w:ilvl w:val="0"/>
          <w:numId w:val="7"/>
        </w:numPr>
        <w:spacing w:line="360" w:lineRule="auto"/>
        <w:rPr>
          <w:b/>
          <w:sz w:val="24"/>
          <w:szCs w:val="24"/>
        </w:rPr>
      </w:pPr>
      <w:r>
        <w:rPr>
          <w:rFonts w:hint="eastAsia"/>
          <w:b/>
          <w:sz w:val="24"/>
          <w:szCs w:val="24"/>
        </w:rPr>
        <w:t>、</w:t>
      </w:r>
      <w:r>
        <w:rPr>
          <w:rFonts w:hint="eastAsia"/>
          <w:b/>
          <w:sz w:val="24"/>
          <w:szCs w:val="24"/>
        </w:rPr>
        <w:t>10</w:t>
      </w:r>
      <w:r>
        <w:rPr>
          <w:rFonts w:hint="eastAsia"/>
          <w:b/>
          <w:sz w:val="24"/>
          <w:szCs w:val="24"/>
        </w:rPr>
        <w:t>月信托产品资金使用方式</w:t>
      </w:r>
    </w:p>
    <w:p w:rsidR="00616C93" w:rsidRPr="000004BF" w:rsidRDefault="00616C93" w:rsidP="00A8555C">
      <w:pPr>
        <w:pStyle w:val="a8"/>
        <w:shd w:val="clear" w:color="auto" w:fill="FFFFFF"/>
        <w:spacing w:before="0" w:beforeAutospacing="0" w:after="0" w:afterAutospacing="0" w:line="360" w:lineRule="auto"/>
        <w:ind w:firstLineChars="200" w:firstLine="420"/>
        <w:jc w:val="center"/>
        <w:rPr>
          <w:rFonts w:asciiTheme="minorHAnsi" w:eastAsiaTheme="majorEastAsia" w:hAnsiTheme="minorHAnsi"/>
          <w:color w:val="333333"/>
          <w:sz w:val="21"/>
          <w:szCs w:val="21"/>
        </w:rPr>
      </w:pPr>
      <w:r w:rsidRPr="000004BF">
        <w:rPr>
          <w:rFonts w:asciiTheme="minorHAnsi" w:eastAsiaTheme="majorEastAsia" w:hAnsiTheme="minorHAnsi" w:hint="eastAsia"/>
          <w:color w:val="333333"/>
          <w:sz w:val="21"/>
          <w:szCs w:val="21"/>
        </w:rPr>
        <w:t>图</w:t>
      </w:r>
      <w:r w:rsidRPr="000004BF">
        <w:rPr>
          <w:rFonts w:asciiTheme="minorHAnsi" w:eastAsiaTheme="majorEastAsia" w:hAnsiTheme="minorHAnsi" w:hint="eastAsia"/>
          <w:color w:val="333333"/>
          <w:sz w:val="21"/>
          <w:szCs w:val="21"/>
        </w:rPr>
        <w:t>1</w:t>
      </w:r>
      <w:r w:rsidRPr="000004BF">
        <w:rPr>
          <w:rFonts w:asciiTheme="minorHAnsi" w:eastAsiaTheme="majorEastAsia" w:hAnsiTheme="minorHAnsi" w:hint="eastAsia"/>
          <w:color w:val="333333"/>
          <w:sz w:val="21"/>
          <w:szCs w:val="21"/>
        </w:rPr>
        <w:t>：本月新成立信托产品资金运用方式分布</w:t>
      </w:r>
    </w:p>
    <w:p w:rsidR="00616C93" w:rsidRPr="000004BF" w:rsidRDefault="00C21748" w:rsidP="00C21748">
      <w:pPr>
        <w:pStyle w:val="a8"/>
        <w:shd w:val="clear" w:color="auto" w:fill="FFFFFF"/>
        <w:spacing w:before="0" w:beforeAutospacing="0" w:after="0" w:afterAutospacing="0" w:line="360" w:lineRule="auto"/>
        <w:ind w:firstLineChars="200" w:firstLine="480"/>
        <w:jc w:val="center"/>
        <w:rPr>
          <w:rFonts w:asciiTheme="minorHAnsi" w:eastAsiaTheme="majorEastAsia" w:hAnsiTheme="minorHAnsi"/>
          <w:color w:val="333333"/>
          <w:sz w:val="21"/>
          <w:szCs w:val="21"/>
        </w:rPr>
      </w:pPr>
      <w:r>
        <w:rPr>
          <w:noProof/>
        </w:rPr>
        <w:pict>
          <v:shape id="_x0000_s1148" type="#_x0000_t202" style="position:absolute;left:0;text-align:left;margin-left:150.9pt;margin-top:283.8pt;width:116.55pt;height:26.25pt;z-index:251917312;mso-width-relative:margin;mso-height-relative:margin;v-text-anchor:middle" filled="f" stroked="f">
            <v:textbox style="mso-next-textbox:#_x0000_s1148">
              <w:txbxContent>
                <w:p w:rsidR="00102626" w:rsidRDefault="00102626" w:rsidP="00102626">
                  <w:pPr>
                    <w:jc w:val="center"/>
                  </w:pPr>
                  <w:r>
                    <w:rPr>
                      <w:rFonts w:hint="eastAsia"/>
                    </w:rPr>
                    <w:t>第</w:t>
                  </w:r>
                  <w:r>
                    <w:rPr>
                      <w:rFonts w:hint="eastAsia"/>
                    </w:rPr>
                    <w:t>7</w:t>
                  </w:r>
                  <w:r>
                    <w:rPr>
                      <w:rFonts w:hint="eastAsia"/>
                    </w:rPr>
                    <w:t>页</w:t>
                  </w:r>
                </w:p>
              </w:txbxContent>
            </v:textbox>
          </v:shape>
        </w:pict>
      </w:r>
      <w:r w:rsidR="00616C93" w:rsidRPr="000004BF">
        <w:rPr>
          <w:rFonts w:asciiTheme="minorHAnsi" w:eastAsiaTheme="majorEastAsia" w:hAnsiTheme="minorHAnsi"/>
          <w:noProof/>
          <w:color w:val="333333"/>
          <w:sz w:val="21"/>
          <w:szCs w:val="21"/>
        </w:rPr>
        <w:drawing>
          <wp:inline distT="0" distB="0" distL="0" distR="0">
            <wp:extent cx="3971925" cy="3086100"/>
            <wp:effectExtent l="19050" t="0" r="9525"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16C93" w:rsidRPr="000004BF" w:rsidRDefault="00C21748" w:rsidP="00C21748">
      <w:pPr>
        <w:spacing w:beforeLines="100" w:line="360" w:lineRule="auto"/>
        <w:jc w:val="center"/>
      </w:pPr>
      <w:r>
        <w:rPr>
          <w:rFonts w:hAnsi="宋体"/>
          <w:noProof/>
        </w:rPr>
        <w:lastRenderedPageBreak/>
        <w:drawing>
          <wp:anchor distT="0" distB="0" distL="114300" distR="114300" simplePos="0" relativeHeight="251895808" behindDoc="1" locked="0" layoutInCell="1" allowOverlap="1">
            <wp:simplePos x="0" y="0"/>
            <wp:positionH relativeFrom="column">
              <wp:posOffset>-1141095</wp:posOffset>
            </wp:positionH>
            <wp:positionV relativeFrom="paragraph">
              <wp:posOffset>-1421130</wp:posOffset>
            </wp:positionV>
            <wp:extent cx="7560310" cy="10706100"/>
            <wp:effectExtent l="19050" t="0" r="2540" b="0"/>
            <wp:wrapNone/>
            <wp:docPr id="22"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0310" cy="10706100"/>
                    </a:xfrm>
                    <a:prstGeom prst="rect">
                      <a:avLst/>
                    </a:prstGeom>
                  </pic:spPr>
                </pic:pic>
              </a:graphicData>
            </a:graphic>
          </wp:anchor>
        </w:drawing>
      </w:r>
      <w:r w:rsidR="00616C93" w:rsidRPr="000004BF">
        <w:rPr>
          <w:rFonts w:hAnsi="宋体"/>
        </w:rPr>
        <w:t>表</w:t>
      </w:r>
      <w:r w:rsidR="00616C93" w:rsidRPr="000004BF">
        <w:t>2</w:t>
      </w:r>
      <w:r w:rsidR="00616C93" w:rsidRPr="000004BF">
        <w:rPr>
          <w:rFonts w:hAnsi="宋体"/>
        </w:rPr>
        <w:t>：本月新成立信托产品资金运用方式分布</w:t>
      </w:r>
    </w:p>
    <w:tbl>
      <w:tblPr>
        <w:tblW w:w="8521" w:type="dxa"/>
        <w:tblInd w:w="96" w:type="dxa"/>
        <w:tblLook w:val="04A0"/>
      </w:tblPr>
      <w:tblGrid>
        <w:gridCol w:w="1300"/>
        <w:gridCol w:w="1547"/>
        <w:gridCol w:w="1985"/>
        <w:gridCol w:w="1984"/>
        <w:gridCol w:w="1705"/>
      </w:tblGrid>
      <w:tr w:rsidR="00616C93" w:rsidRPr="000004BF" w:rsidTr="00616C93">
        <w:trPr>
          <w:trHeight w:val="348"/>
        </w:trPr>
        <w:tc>
          <w:tcPr>
            <w:tcW w:w="1300" w:type="dxa"/>
            <w:tcBorders>
              <w:top w:val="single" w:sz="8" w:space="0" w:color="000000"/>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p>
        </w:tc>
        <w:tc>
          <w:tcPr>
            <w:tcW w:w="1547" w:type="dxa"/>
            <w:tcBorders>
              <w:top w:val="single" w:sz="8" w:space="0" w:color="000000"/>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数量（个）</w:t>
            </w:r>
          </w:p>
        </w:tc>
        <w:tc>
          <w:tcPr>
            <w:tcW w:w="1985" w:type="dxa"/>
            <w:tcBorders>
              <w:top w:val="single" w:sz="8" w:space="0" w:color="000000"/>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规模（亿元）</w:t>
            </w:r>
          </w:p>
        </w:tc>
        <w:tc>
          <w:tcPr>
            <w:tcW w:w="1984" w:type="dxa"/>
            <w:tcBorders>
              <w:top w:val="single" w:sz="8" w:space="0" w:color="000000"/>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平均期限（年）</w:t>
            </w:r>
          </w:p>
        </w:tc>
        <w:tc>
          <w:tcPr>
            <w:tcW w:w="1705" w:type="dxa"/>
            <w:tcBorders>
              <w:top w:val="single" w:sz="8" w:space="0" w:color="000000"/>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平均收益率</w:t>
            </w:r>
          </w:p>
        </w:tc>
      </w:tr>
      <w:tr w:rsidR="00616C93" w:rsidRPr="000004BF" w:rsidTr="00616C93">
        <w:trPr>
          <w:trHeight w:val="360"/>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信托贷款</w:t>
            </w:r>
          </w:p>
        </w:tc>
        <w:tc>
          <w:tcPr>
            <w:tcW w:w="1547"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38</w:t>
            </w:r>
          </w:p>
        </w:tc>
        <w:tc>
          <w:tcPr>
            <w:tcW w:w="198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53.53</w:t>
            </w:r>
          </w:p>
        </w:tc>
        <w:tc>
          <w:tcPr>
            <w:tcW w:w="1984"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1.67</w:t>
            </w:r>
          </w:p>
        </w:tc>
        <w:tc>
          <w:tcPr>
            <w:tcW w:w="1705"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9.10%</w:t>
            </w:r>
          </w:p>
        </w:tc>
      </w:tr>
      <w:tr w:rsidR="00616C93" w:rsidRPr="000004BF" w:rsidTr="00616C93">
        <w:trPr>
          <w:trHeight w:val="372"/>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股权投资</w:t>
            </w:r>
          </w:p>
        </w:tc>
        <w:tc>
          <w:tcPr>
            <w:tcW w:w="1547"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11</w:t>
            </w:r>
          </w:p>
        </w:tc>
        <w:tc>
          <w:tcPr>
            <w:tcW w:w="198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47.29</w:t>
            </w:r>
          </w:p>
        </w:tc>
        <w:tc>
          <w:tcPr>
            <w:tcW w:w="1984"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2.18</w:t>
            </w:r>
          </w:p>
        </w:tc>
        <w:tc>
          <w:tcPr>
            <w:tcW w:w="1705"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9.29%</w:t>
            </w:r>
          </w:p>
        </w:tc>
      </w:tr>
      <w:tr w:rsidR="00616C93" w:rsidRPr="000004BF" w:rsidTr="00616C93">
        <w:trPr>
          <w:trHeight w:val="372"/>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权益投资</w:t>
            </w:r>
          </w:p>
        </w:tc>
        <w:tc>
          <w:tcPr>
            <w:tcW w:w="1547"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34</w:t>
            </w:r>
          </w:p>
        </w:tc>
        <w:tc>
          <w:tcPr>
            <w:tcW w:w="198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31.40</w:t>
            </w:r>
          </w:p>
        </w:tc>
        <w:tc>
          <w:tcPr>
            <w:tcW w:w="1984"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1.65</w:t>
            </w:r>
          </w:p>
        </w:tc>
        <w:tc>
          <w:tcPr>
            <w:tcW w:w="1705"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8.93%</w:t>
            </w:r>
          </w:p>
        </w:tc>
      </w:tr>
      <w:tr w:rsidR="00616C93" w:rsidRPr="000004BF" w:rsidTr="00616C93">
        <w:trPr>
          <w:trHeight w:val="336"/>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证券投资</w:t>
            </w:r>
          </w:p>
        </w:tc>
        <w:tc>
          <w:tcPr>
            <w:tcW w:w="1547"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68</w:t>
            </w:r>
          </w:p>
        </w:tc>
        <w:tc>
          <w:tcPr>
            <w:tcW w:w="198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19.33</w:t>
            </w:r>
          </w:p>
        </w:tc>
        <w:tc>
          <w:tcPr>
            <w:tcW w:w="1984"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0.87</w:t>
            </w:r>
          </w:p>
        </w:tc>
        <w:tc>
          <w:tcPr>
            <w:tcW w:w="1705"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6.94%</w:t>
            </w:r>
          </w:p>
        </w:tc>
      </w:tr>
      <w:tr w:rsidR="00616C93" w:rsidRPr="000004BF" w:rsidTr="00616C93">
        <w:trPr>
          <w:trHeight w:val="360"/>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组合运用</w:t>
            </w:r>
          </w:p>
        </w:tc>
        <w:tc>
          <w:tcPr>
            <w:tcW w:w="1547"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20</w:t>
            </w:r>
          </w:p>
        </w:tc>
        <w:tc>
          <w:tcPr>
            <w:tcW w:w="198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130.84</w:t>
            </w:r>
          </w:p>
        </w:tc>
        <w:tc>
          <w:tcPr>
            <w:tcW w:w="1984"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1.36</w:t>
            </w:r>
          </w:p>
        </w:tc>
        <w:tc>
          <w:tcPr>
            <w:tcW w:w="1705"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8.52%</w:t>
            </w:r>
          </w:p>
        </w:tc>
      </w:tr>
      <w:tr w:rsidR="00616C93" w:rsidRPr="000004BF" w:rsidTr="00616C93">
        <w:trPr>
          <w:trHeight w:val="360"/>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其他投资</w:t>
            </w:r>
          </w:p>
        </w:tc>
        <w:tc>
          <w:tcPr>
            <w:tcW w:w="1547"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52</w:t>
            </w:r>
          </w:p>
        </w:tc>
        <w:tc>
          <w:tcPr>
            <w:tcW w:w="198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46.65</w:t>
            </w:r>
          </w:p>
        </w:tc>
        <w:tc>
          <w:tcPr>
            <w:tcW w:w="1984"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1.80</w:t>
            </w:r>
          </w:p>
        </w:tc>
        <w:tc>
          <w:tcPr>
            <w:tcW w:w="1705" w:type="dxa"/>
            <w:tcBorders>
              <w:top w:val="nil"/>
              <w:left w:val="nil"/>
              <w:bottom w:val="single" w:sz="8" w:space="0" w:color="000000"/>
              <w:right w:val="single" w:sz="8" w:space="0" w:color="000000"/>
            </w:tcBorders>
            <w:shd w:val="clear" w:color="auto" w:fill="auto"/>
            <w:vAlign w:val="center"/>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7.43%</w:t>
            </w:r>
          </w:p>
        </w:tc>
      </w:tr>
    </w:tbl>
    <w:p w:rsidR="00616C93" w:rsidRPr="000004BF" w:rsidRDefault="00616C93" w:rsidP="000004BF">
      <w:pPr>
        <w:spacing w:line="360" w:lineRule="auto"/>
        <w:ind w:firstLineChars="200" w:firstLine="420"/>
        <w:rPr>
          <w:rFonts w:eastAsiaTheme="majorEastAsia" w:cs="宋体"/>
          <w:color w:val="333333"/>
          <w:kern w:val="0"/>
          <w:szCs w:val="21"/>
        </w:rPr>
      </w:pPr>
      <w:r w:rsidRPr="000004BF">
        <w:rPr>
          <w:rFonts w:eastAsiaTheme="majorEastAsia" w:cs="宋体" w:hint="eastAsia"/>
          <w:color w:val="333333"/>
          <w:kern w:val="0"/>
          <w:szCs w:val="21"/>
        </w:rPr>
        <w:t>从资金运用方式上看，本月组合运用类信托夺取第一的位置，共成立了</w:t>
      </w:r>
      <w:r w:rsidRPr="000004BF">
        <w:rPr>
          <w:rFonts w:eastAsiaTheme="majorEastAsia" w:cs="宋体" w:hint="eastAsia"/>
          <w:color w:val="333333"/>
          <w:kern w:val="0"/>
          <w:szCs w:val="21"/>
        </w:rPr>
        <w:t>20</w:t>
      </w:r>
      <w:r w:rsidRPr="000004BF">
        <w:rPr>
          <w:rFonts w:eastAsiaTheme="majorEastAsia" w:cs="宋体" w:hint="eastAsia"/>
          <w:color w:val="333333"/>
          <w:kern w:val="0"/>
          <w:szCs w:val="21"/>
        </w:rPr>
        <w:t>款产品，筹集资金</w:t>
      </w:r>
      <w:r w:rsidRPr="000004BF">
        <w:rPr>
          <w:rFonts w:eastAsiaTheme="majorEastAsia" w:cs="宋体" w:hint="eastAsia"/>
          <w:color w:val="333333"/>
          <w:kern w:val="0"/>
          <w:szCs w:val="21"/>
        </w:rPr>
        <w:t>130.84</w:t>
      </w:r>
      <w:r w:rsidRPr="000004BF">
        <w:rPr>
          <w:rFonts w:eastAsiaTheme="majorEastAsia" w:cs="宋体" w:hint="eastAsia"/>
          <w:color w:val="333333"/>
          <w:kern w:val="0"/>
          <w:szCs w:val="21"/>
        </w:rPr>
        <w:t>亿元，规模占比</w:t>
      </w:r>
      <w:r w:rsidRPr="000004BF">
        <w:rPr>
          <w:rFonts w:eastAsiaTheme="majorEastAsia" w:cs="宋体" w:hint="eastAsia"/>
          <w:color w:val="333333"/>
          <w:kern w:val="0"/>
          <w:szCs w:val="21"/>
        </w:rPr>
        <w:t>39.77%</w:t>
      </w:r>
      <w:r w:rsidRPr="000004BF">
        <w:rPr>
          <w:rFonts w:eastAsiaTheme="majorEastAsia" w:cs="宋体" w:hint="eastAsia"/>
          <w:color w:val="333333"/>
          <w:kern w:val="0"/>
          <w:szCs w:val="21"/>
        </w:rPr>
        <w:t>；排名第二位的是信托贷款类产品，共成立</w:t>
      </w:r>
      <w:r w:rsidRPr="000004BF">
        <w:rPr>
          <w:rFonts w:eastAsiaTheme="majorEastAsia" w:cs="宋体" w:hint="eastAsia"/>
          <w:color w:val="333333"/>
          <w:kern w:val="0"/>
          <w:szCs w:val="21"/>
        </w:rPr>
        <w:t>38</w:t>
      </w:r>
      <w:r w:rsidRPr="000004BF">
        <w:rPr>
          <w:rFonts w:eastAsiaTheme="majorEastAsia" w:cs="宋体" w:hint="eastAsia"/>
          <w:color w:val="333333"/>
          <w:kern w:val="0"/>
          <w:szCs w:val="21"/>
        </w:rPr>
        <w:t>款，筹资规模</w:t>
      </w:r>
      <w:r w:rsidRPr="000004BF">
        <w:rPr>
          <w:rFonts w:eastAsiaTheme="majorEastAsia" w:cs="宋体" w:hint="eastAsia"/>
          <w:color w:val="333333"/>
          <w:kern w:val="0"/>
          <w:szCs w:val="21"/>
        </w:rPr>
        <w:t>53.53</w:t>
      </w:r>
      <w:r w:rsidRPr="000004BF">
        <w:rPr>
          <w:rFonts w:eastAsiaTheme="majorEastAsia" w:cs="宋体" w:hint="eastAsia"/>
          <w:color w:val="333333"/>
          <w:kern w:val="0"/>
          <w:szCs w:val="21"/>
        </w:rPr>
        <w:t>亿元，规模占比</w:t>
      </w:r>
      <w:r w:rsidRPr="000004BF">
        <w:rPr>
          <w:rFonts w:eastAsiaTheme="majorEastAsia" w:cs="宋体" w:hint="eastAsia"/>
          <w:color w:val="333333"/>
          <w:kern w:val="0"/>
          <w:szCs w:val="21"/>
        </w:rPr>
        <w:t>16.27%</w:t>
      </w:r>
      <w:r w:rsidRPr="000004BF">
        <w:rPr>
          <w:rFonts w:eastAsiaTheme="majorEastAsia" w:cs="宋体" w:hint="eastAsia"/>
          <w:color w:val="333333"/>
          <w:kern w:val="0"/>
          <w:szCs w:val="21"/>
        </w:rPr>
        <w:t>；然后依次为股权投资类、其他投资类、权益投资类、证券投资类。</w:t>
      </w:r>
    </w:p>
    <w:p w:rsidR="00616C93" w:rsidRPr="000004BF" w:rsidRDefault="00CB3A58" w:rsidP="00102626">
      <w:pPr>
        <w:spacing w:line="360" w:lineRule="auto"/>
        <w:ind w:firstLineChars="200" w:firstLine="420"/>
        <w:rPr>
          <w:rFonts w:eastAsiaTheme="majorEastAsia" w:cs="宋体"/>
          <w:color w:val="333333"/>
          <w:kern w:val="0"/>
          <w:szCs w:val="21"/>
        </w:rPr>
      </w:pPr>
      <w:r w:rsidRPr="00CB3A58">
        <w:rPr>
          <w:rFonts w:eastAsiaTheme="majorEastAsia"/>
          <w:noProof/>
          <w:color w:val="333333"/>
          <w:szCs w:val="21"/>
        </w:rPr>
        <w:pict>
          <v:shape id="_x0000_s1149" type="#_x0000_t202" style="position:absolute;left:0;text-align:left;margin-left:152.4pt;margin-top:393.85pt;width:116.55pt;height:26.25pt;z-index:251918336;mso-width-relative:margin;mso-height-relative:margin;v-text-anchor:middle" filled="f" stroked="f">
            <v:textbox style="mso-next-textbox:#_x0000_s1149">
              <w:txbxContent>
                <w:p w:rsidR="00102626" w:rsidRDefault="00102626" w:rsidP="00102626">
                  <w:pPr>
                    <w:jc w:val="center"/>
                  </w:pPr>
                  <w:r>
                    <w:rPr>
                      <w:rFonts w:hint="eastAsia"/>
                    </w:rPr>
                    <w:t>第</w:t>
                  </w:r>
                  <w:r>
                    <w:rPr>
                      <w:rFonts w:hint="eastAsia"/>
                    </w:rPr>
                    <w:t>8</w:t>
                  </w:r>
                  <w:r>
                    <w:rPr>
                      <w:rFonts w:hint="eastAsia"/>
                    </w:rPr>
                    <w:t>页</w:t>
                  </w:r>
                </w:p>
              </w:txbxContent>
            </v:textbox>
          </v:shape>
        </w:pict>
      </w:r>
      <w:r w:rsidR="00616C93" w:rsidRPr="00AC58A6">
        <w:rPr>
          <w:rFonts w:ascii="宋体" w:hAnsi="宋体" w:hint="eastAsia"/>
          <w:b/>
          <w:szCs w:val="21"/>
        </w:rPr>
        <w:t>信托贷款类</w:t>
      </w:r>
      <w:r w:rsidR="00616C93" w:rsidRPr="00DF6784">
        <w:rPr>
          <w:rFonts w:ascii="宋体" w:hAnsi="宋体" w:hint="eastAsia"/>
          <w:szCs w:val="21"/>
        </w:rPr>
        <w:t>中，</w:t>
      </w:r>
      <w:r w:rsidR="00616C93" w:rsidRPr="000004BF">
        <w:rPr>
          <w:rFonts w:eastAsiaTheme="majorEastAsia" w:cs="宋体" w:hint="eastAsia"/>
          <w:color w:val="333333"/>
          <w:kern w:val="0"/>
          <w:szCs w:val="21"/>
        </w:rPr>
        <w:t>国民</w:t>
      </w:r>
      <w:r w:rsidR="00616C93" w:rsidRPr="000004BF">
        <w:rPr>
          <w:rFonts w:eastAsiaTheme="majorEastAsia" w:cs="宋体"/>
          <w:color w:val="333333"/>
          <w:kern w:val="0"/>
          <w:szCs w:val="21"/>
        </w:rPr>
        <w:t>信托发行的</w:t>
      </w:r>
      <w:r w:rsidR="00616C93" w:rsidRPr="000004BF">
        <w:rPr>
          <w:rFonts w:eastAsiaTheme="majorEastAsia" w:cs="宋体" w:hint="eastAsia"/>
          <w:color w:val="333333"/>
          <w:kern w:val="0"/>
          <w:szCs w:val="21"/>
        </w:rPr>
        <w:t>信托贷款</w:t>
      </w:r>
      <w:r w:rsidR="00616C93" w:rsidRPr="000004BF">
        <w:rPr>
          <w:rFonts w:eastAsiaTheme="majorEastAsia" w:cs="宋体"/>
          <w:color w:val="333333"/>
          <w:kern w:val="0"/>
          <w:szCs w:val="21"/>
        </w:rPr>
        <w:t>类</w:t>
      </w:r>
      <w:r w:rsidR="00616C93" w:rsidRPr="000004BF">
        <w:rPr>
          <w:rFonts w:eastAsiaTheme="majorEastAsia" w:cs="宋体" w:hint="eastAsia"/>
          <w:color w:val="333333"/>
          <w:kern w:val="0"/>
          <w:szCs w:val="21"/>
        </w:rPr>
        <w:t>基建类</w:t>
      </w:r>
      <w:r w:rsidR="00616C93" w:rsidRPr="000004BF">
        <w:rPr>
          <w:rFonts w:eastAsiaTheme="majorEastAsia" w:cs="宋体"/>
          <w:color w:val="333333"/>
          <w:kern w:val="0"/>
          <w:szCs w:val="21"/>
        </w:rPr>
        <w:t>信托</w:t>
      </w:r>
      <w:r w:rsidR="00616C93" w:rsidRPr="000004BF">
        <w:rPr>
          <w:rFonts w:eastAsiaTheme="majorEastAsia" w:cs="宋体"/>
          <w:color w:val="333333"/>
          <w:kern w:val="0"/>
          <w:szCs w:val="21"/>
        </w:rPr>
        <w:t>“</w:t>
      </w:r>
      <w:r w:rsidR="00616C93" w:rsidRPr="000004BF">
        <w:rPr>
          <w:rFonts w:eastAsiaTheme="majorEastAsia" w:cs="宋体"/>
          <w:color w:val="333333"/>
          <w:kern w:val="0"/>
          <w:szCs w:val="21"/>
        </w:rPr>
        <w:t>天房瑞诚集合资金信托计划</w:t>
      </w:r>
      <w:r w:rsidR="00616C93" w:rsidRPr="000004BF">
        <w:rPr>
          <w:rFonts w:eastAsiaTheme="majorEastAsia" w:cs="宋体"/>
          <w:color w:val="333333"/>
          <w:kern w:val="0"/>
          <w:szCs w:val="21"/>
        </w:rPr>
        <w:t>”</w:t>
      </w:r>
      <w:r w:rsidR="00616C93" w:rsidRPr="000004BF">
        <w:rPr>
          <w:rFonts w:eastAsiaTheme="majorEastAsia" w:cs="宋体" w:hint="eastAsia"/>
          <w:color w:val="333333"/>
          <w:kern w:val="0"/>
          <w:szCs w:val="21"/>
        </w:rPr>
        <w:t>总</w:t>
      </w:r>
      <w:r w:rsidR="00616C93" w:rsidRPr="000004BF">
        <w:rPr>
          <w:rFonts w:eastAsiaTheme="majorEastAsia" w:cs="宋体"/>
          <w:color w:val="333333"/>
          <w:kern w:val="0"/>
          <w:szCs w:val="21"/>
        </w:rPr>
        <w:t>规模</w:t>
      </w:r>
      <w:r w:rsidR="00616C93" w:rsidRPr="000004BF">
        <w:rPr>
          <w:rFonts w:eastAsiaTheme="majorEastAsia" w:cs="宋体" w:hint="eastAsia"/>
          <w:color w:val="333333"/>
          <w:kern w:val="0"/>
          <w:szCs w:val="21"/>
        </w:rPr>
        <w:t>5</w:t>
      </w:r>
      <w:r w:rsidR="00616C93" w:rsidRPr="000004BF">
        <w:rPr>
          <w:rFonts w:eastAsiaTheme="majorEastAsia" w:cs="宋体"/>
          <w:color w:val="333333"/>
          <w:kern w:val="0"/>
          <w:szCs w:val="21"/>
        </w:rPr>
        <w:t>亿元</w:t>
      </w:r>
      <w:r w:rsidR="00616C93" w:rsidRPr="000004BF">
        <w:rPr>
          <w:rFonts w:eastAsiaTheme="majorEastAsia" w:cs="宋体" w:hint="eastAsia"/>
          <w:color w:val="333333"/>
          <w:kern w:val="0"/>
          <w:szCs w:val="21"/>
        </w:rPr>
        <w:t>。该产品的</w:t>
      </w:r>
      <w:r w:rsidR="00616C93" w:rsidRPr="000004BF">
        <w:rPr>
          <w:rFonts w:eastAsiaTheme="majorEastAsia" w:cs="宋体"/>
          <w:color w:val="333333"/>
          <w:kern w:val="0"/>
          <w:szCs w:val="21"/>
        </w:rPr>
        <w:t>年化收益率</w:t>
      </w:r>
      <w:r w:rsidR="00616C93" w:rsidRPr="000004BF">
        <w:rPr>
          <w:rFonts w:eastAsiaTheme="majorEastAsia" w:cs="宋体" w:hint="eastAsia"/>
          <w:color w:val="333333"/>
          <w:kern w:val="0"/>
          <w:szCs w:val="21"/>
        </w:rPr>
        <w:t>为</w:t>
      </w:r>
      <w:r w:rsidR="00616C93" w:rsidRPr="000004BF">
        <w:rPr>
          <w:rFonts w:eastAsiaTheme="majorEastAsia" w:cs="宋体" w:hint="eastAsia"/>
          <w:color w:val="333333"/>
          <w:kern w:val="0"/>
          <w:szCs w:val="21"/>
        </w:rPr>
        <w:t>8.5-9</w:t>
      </w:r>
      <w:r w:rsidR="00616C93" w:rsidRPr="000004BF">
        <w:rPr>
          <w:rFonts w:eastAsiaTheme="majorEastAsia" w:cs="宋体"/>
          <w:color w:val="333333"/>
          <w:kern w:val="0"/>
          <w:szCs w:val="21"/>
        </w:rPr>
        <w:t>%</w:t>
      </w:r>
      <w:r w:rsidR="00616C93" w:rsidRPr="000004BF">
        <w:rPr>
          <w:rFonts w:eastAsiaTheme="majorEastAsia" w:cs="宋体"/>
          <w:color w:val="333333"/>
          <w:kern w:val="0"/>
          <w:szCs w:val="21"/>
        </w:rPr>
        <w:t>，</w:t>
      </w:r>
      <w:r w:rsidR="00616C93" w:rsidRPr="000004BF">
        <w:rPr>
          <w:rFonts w:eastAsiaTheme="majorEastAsia" w:cs="宋体" w:hint="eastAsia"/>
          <w:color w:val="333333"/>
          <w:kern w:val="0"/>
          <w:szCs w:val="21"/>
        </w:rPr>
        <w:t>期限为一年期，募集资金</w:t>
      </w:r>
      <w:r w:rsidR="00616C93" w:rsidRPr="000004BF">
        <w:rPr>
          <w:rFonts w:eastAsiaTheme="majorEastAsia" w:cs="宋体"/>
          <w:color w:val="333333"/>
          <w:kern w:val="0"/>
          <w:szCs w:val="21"/>
        </w:rPr>
        <w:t>主要向天津天房瑞诚置业有限公司发放贷款，信托资金用于天津市西青区限价商品住房项目的开发建设。</w:t>
      </w:r>
      <w:r w:rsidR="00616C93" w:rsidRPr="000004BF">
        <w:rPr>
          <w:rFonts w:eastAsiaTheme="majorEastAsia" w:cs="宋体" w:hint="eastAsia"/>
          <w:color w:val="333333"/>
          <w:kern w:val="0"/>
          <w:szCs w:val="21"/>
        </w:rPr>
        <w:t>该产品的风险控制措施主要为股权质押，</w:t>
      </w:r>
      <w:r w:rsidR="00616C93" w:rsidRPr="000004BF">
        <w:rPr>
          <w:rFonts w:eastAsiaTheme="majorEastAsia" w:cs="宋体"/>
          <w:color w:val="333333"/>
          <w:kern w:val="0"/>
          <w:szCs w:val="21"/>
        </w:rPr>
        <w:t>天津天房投资有限公司）将天房瑞诚</w:t>
      </w:r>
      <w:r w:rsidR="00616C93" w:rsidRPr="000004BF">
        <w:rPr>
          <w:rFonts w:eastAsiaTheme="majorEastAsia" w:cs="宋体"/>
          <w:color w:val="333333"/>
          <w:kern w:val="0"/>
          <w:szCs w:val="21"/>
        </w:rPr>
        <w:t xml:space="preserve"> 4.88%</w:t>
      </w:r>
      <w:r w:rsidR="00616C93" w:rsidRPr="000004BF">
        <w:rPr>
          <w:rFonts w:eastAsiaTheme="majorEastAsia" w:cs="宋体"/>
          <w:color w:val="333333"/>
          <w:kern w:val="0"/>
          <w:szCs w:val="21"/>
        </w:rPr>
        <w:t>股权质押给国民信托。截至</w:t>
      </w:r>
      <w:r w:rsidR="00616C93" w:rsidRPr="000004BF">
        <w:rPr>
          <w:rFonts w:eastAsiaTheme="majorEastAsia" w:cs="宋体"/>
          <w:color w:val="333333"/>
          <w:kern w:val="0"/>
          <w:szCs w:val="21"/>
        </w:rPr>
        <w:t>2013</w:t>
      </w:r>
      <w:r w:rsidR="00616C93" w:rsidRPr="000004BF">
        <w:rPr>
          <w:rFonts w:eastAsiaTheme="majorEastAsia" w:cs="宋体"/>
          <w:color w:val="333333"/>
          <w:kern w:val="0"/>
          <w:szCs w:val="21"/>
        </w:rPr>
        <w:t>年</w:t>
      </w:r>
      <w:r w:rsidR="00616C93" w:rsidRPr="000004BF">
        <w:rPr>
          <w:rFonts w:eastAsiaTheme="majorEastAsia" w:cs="宋体"/>
          <w:color w:val="333333"/>
          <w:kern w:val="0"/>
          <w:szCs w:val="21"/>
        </w:rPr>
        <w:t>3</w:t>
      </w:r>
      <w:r w:rsidR="00616C93" w:rsidRPr="000004BF">
        <w:rPr>
          <w:rFonts w:eastAsiaTheme="majorEastAsia" w:cs="宋体"/>
          <w:color w:val="333333"/>
          <w:kern w:val="0"/>
          <w:szCs w:val="21"/>
        </w:rPr>
        <w:t>月</w:t>
      </w:r>
      <w:r w:rsidR="00616C93" w:rsidRPr="000004BF">
        <w:rPr>
          <w:rFonts w:eastAsiaTheme="majorEastAsia" w:cs="宋体"/>
          <w:color w:val="333333"/>
          <w:kern w:val="0"/>
          <w:szCs w:val="21"/>
        </w:rPr>
        <w:t>31</w:t>
      </w:r>
      <w:r w:rsidR="00616C93" w:rsidRPr="000004BF">
        <w:rPr>
          <w:rFonts w:eastAsiaTheme="majorEastAsia" w:cs="宋体"/>
          <w:color w:val="333333"/>
          <w:kern w:val="0"/>
          <w:szCs w:val="21"/>
        </w:rPr>
        <w:t>日，截至</w:t>
      </w:r>
      <w:r w:rsidR="00616C93" w:rsidRPr="000004BF">
        <w:rPr>
          <w:rFonts w:eastAsiaTheme="majorEastAsia" w:cs="宋体"/>
          <w:color w:val="333333"/>
          <w:kern w:val="0"/>
          <w:szCs w:val="21"/>
        </w:rPr>
        <w:t>2013</w:t>
      </w:r>
      <w:r w:rsidR="00616C93" w:rsidRPr="000004BF">
        <w:rPr>
          <w:rFonts w:eastAsiaTheme="majorEastAsia" w:cs="宋体"/>
          <w:color w:val="333333"/>
          <w:kern w:val="0"/>
          <w:szCs w:val="21"/>
        </w:rPr>
        <w:t>年</w:t>
      </w:r>
      <w:r w:rsidR="00616C93" w:rsidRPr="000004BF">
        <w:rPr>
          <w:rFonts w:eastAsiaTheme="majorEastAsia" w:cs="宋体"/>
          <w:color w:val="333333"/>
          <w:kern w:val="0"/>
          <w:szCs w:val="21"/>
        </w:rPr>
        <w:t>3</w:t>
      </w:r>
      <w:r w:rsidR="00616C93" w:rsidRPr="000004BF">
        <w:rPr>
          <w:rFonts w:eastAsiaTheme="majorEastAsia" w:cs="宋体"/>
          <w:color w:val="333333"/>
          <w:kern w:val="0"/>
          <w:szCs w:val="21"/>
        </w:rPr>
        <w:t>月</w:t>
      </w:r>
      <w:r w:rsidR="00616C93" w:rsidRPr="000004BF">
        <w:rPr>
          <w:rFonts w:eastAsiaTheme="majorEastAsia" w:cs="宋体"/>
          <w:color w:val="333333"/>
          <w:kern w:val="0"/>
          <w:szCs w:val="21"/>
        </w:rPr>
        <w:t>31</w:t>
      </w:r>
      <w:r w:rsidR="00616C93" w:rsidRPr="000004BF">
        <w:rPr>
          <w:rFonts w:eastAsiaTheme="majorEastAsia" w:cs="宋体"/>
          <w:color w:val="333333"/>
          <w:kern w:val="0"/>
          <w:szCs w:val="21"/>
        </w:rPr>
        <w:t>日，天房瑞诚</w:t>
      </w:r>
      <w:r w:rsidR="00616C93" w:rsidRPr="000004BF">
        <w:rPr>
          <w:rFonts w:eastAsiaTheme="majorEastAsia" w:cs="宋体"/>
          <w:color w:val="333333"/>
          <w:kern w:val="0"/>
          <w:szCs w:val="21"/>
        </w:rPr>
        <w:t xml:space="preserve"> </w:t>
      </w:r>
      <w:r w:rsidR="00616C93" w:rsidRPr="000004BF">
        <w:rPr>
          <w:rFonts w:eastAsiaTheme="majorEastAsia" w:cs="宋体"/>
          <w:color w:val="333333"/>
          <w:kern w:val="0"/>
          <w:szCs w:val="21"/>
        </w:rPr>
        <w:t>净资产</w:t>
      </w:r>
      <w:r w:rsidR="00616C93" w:rsidRPr="000004BF">
        <w:rPr>
          <w:rFonts w:eastAsiaTheme="majorEastAsia" w:cs="宋体"/>
          <w:color w:val="333333"/>
          <w:kern w:val="0"/>
          <w:szCs w:val="21"/>
        </w:rPr>
        <w:t>74085.24</w:t>
      </w:r>
      <w:r w:rsidR="00616C93" w:rsidRPr="000004BF">
        <w:rPr>
          <w:rFonts w:eastAsiaTheme="majorEastAsia" w:cs="宋体"/>
          <w:color w:val="333333"/>
          <w:kern w:val="0"/>
          <w:szCs w:val="21"/>
        </w:rPr>
        <w:t>万元，</w:t>
      </w:r>
      <w:r w:rsidR="00616C93" w:rsidRPr="000004BF">
        <w:rPr>
          <w:rFonts w:eastAsiaTheme="majorEastAsia" w:cs="宋体"/>
          <w:color w:val="333333"/>
          <w:kern w:val="0"/>
          <w:szCs w:val="21"/>
        </w:rPr>
        <w:t>4.88%</w:t>
      </w:r>
      <w:r w:rsidR="00616C93" w:rsidRPr="000004BF">
        <w:rPr>
          <w:rFonts w:eastAsiaTheme="majorEastAsia" w:cs="宋体"/>
          <w:color w:val="333333"/>
          <w:kern w:val="0"/>
          <w:szCs w:val="21"/>
        </w:rPr>
        <w:t>股权对应价值</w:t>
      </w:r>
      <w:r w:rsidR="00616C93" w:rsidRPr="000004BF">
        <w:rPr>
          <w:rFonts w:eastAsiaTheme="majorEastAsia" w:cs="宋体"/>
          <w:color w:val="333333"/>
          <w:kern w:val="0"/>
          <w:szCs w:val="21"/>
        </w:rPr>
        <w:t>3615.36</w:t>
      </w:r>
      <w:r w:rsidR="00616C93" w:rsidRPr="000004BF">
        <w:rPr>
          <w:rFonts w:eastAsiaTheme="majorEastAsia" w:cs="宋体"/>
          <w:color w:val="333333"/>
          <w:kern w:val="0"/>
          <w:szCs w:val="21"/>
        </w:rPr>
        <w:t>万元。</w:t>
      </w:r>
      <w:r w:rsidR="00616C93" w:rsidRPr="000004BF">
        <w:rPr>
          <w:rFonts w:eastAsiaTheme="majorEastAsia" w:cs="宋体" w:hint="eastAsia"/>
          <w:color w:val="333333"/>
          <w:kern w:val="0"/>
          <w:szCs w:val="21"/>
        </w:rPr>
        <w:t>此外，天房集团及其子公司</w:t>
      </w:r>
      <w:r w:rsidR="00616C93" w:rsidRPr="000004BF">
        <w:rPr>
          <w:rFonts w:eastAsiaTheme="majorEastAsia" w:cs="宋体"/>
          <w:color w:val="333333"/>
          <w:kern w:val="0"/>
          <w:szCs w:val="21"/>
        </w:rPr>
        <w:t>天津天房</w:t>
      </w:r>
      <w:r w:rsidR="00616C93" w:rsidRPr="000004BF">
        <w:rPr>
          <w:rFonts w:eastAsiaTheme="majorEastAsia" w:cs="宋体" w:hint="eastAsia"/>
          <w:color w:val="333333"/>
          <w:kern w:val="0"/>
          <w:szCs w:val="21"/>
        </w:rPr>
        <w:t>投资有限公司将为本次信托计划</w:t>
      </w:r>
      <w:r w:rsidR="00616C93" w:rsidRPr="000004BF">
        <w:rPr>
          <w:rFonts w:eastAsiaTheme="majorEastAsia" w:cs="宋体"/>
          <w:color w:val="333333"/>
          <w:kern w:val="0"/>
          <w:szCs w:val="21"/>
        </w:rPr>
        <w:t>提供连带责任担保。</w:t>
      </w:r>
      <w:r w:rsidR="00616C93" w:rsidRPr="000004BF">
        <w:rPr>
          <w:rFonts w:eastAsiaTheme="majorEastAsia" w:cs="宋体" w:hint="eastAsia"/>
          <w:color w:val="333333"/>
          <w:kern w:val="0"/>
          <w:szCs w:val="21"/>
        </w:rPr>
        <w:t>担保方天房集团成立于</w:t>
      </w:r>
      <w:r w:rsidR="00616C93" w:rsidRPr="000004BF">
        <w:rPr>
          <w:rFonts w:eastAsiaTheme="majorEastAsia" w:cs="宋体" w:hint="eastAsia"/>
          <w:color w:val="333333"/>
          <w:kern w:val="0"/>
          <w:szCs w:val="21"/>
        </w:rPr>
        <w:t>1999</w:t>
      </w:r>
      <w:r w:rsidR="00616C93" w:rsidRPr="000004BF">
        <w:rPr>
          <w:rFonts w:eastAsiaTheme="majorEastAsia" w:cs="宋体" w:hint="eastAsia"/>
          <w:color w:val="333333"/>
          <w:kern w:val="0"/>
          <w:szCs w:val="21"/>
        </w:rPr>
        <w:t>年</w:t>
      </w:r>
      <w:r w:rsidR="00616C93" w:rsidRPr="000004BF">
        <w:rPr>
          <w:rFonts w:eastAsiaTheme="majorEastAsia" w:cs="宋体" w:hint="eastAsia"/>
          <w:color w:val="333333"/>
          <w:kern w:val="0"/>
          <w:szCs w:val="21"/>
        </w:rPr>
        <w:t>7</w:t>
      </w:r>
      <w:r w:rsidR="00616C93" w:rsidRPr="000004BF">
        <w:rPr>
          <w:rFonts w:eastAsiaTheme="majorEastAsia" w:cs="宋体" w:hint="eastAsia"/>
          <w:color w:val="333333"/>
          <w:kern w:val="0"/>
          <w:szCs w:val="21"/>
        </w:rPr>
        <w:t>月，公司注册资本</w:t>
      </w:r>
      <w:r w:rsidR="00616C93" w:rsidRPr="000004BF">
        <w:rPr>
          <w:rFonts w:eastAsiaTheme="majorEastAsia" w:cs="宋体" w:hint="eastAsia"/>
          <w:color w:val="333333"/>
          <w:kern w:val="0"/>
          <w:szCs w:val="21"/>
        </w:rPr>
        <w:t>5.4</w:t>
      </w:r>
      <w:r w:rsidR="00616C93" w:rsidRPr="000004BF">
        <w:rPr>
          <w:rFonts w:eastAsiaTheme="majorEastAsia" w:cs="宋体" w:hint="eastAsia"/>
          <w:color w:val="333333"/>
          <w:kern w:val="0"/>
          <w:szCs w:val="21"/>
        </w:rPr>
        <w:t>亿元，均由天津国资委出资。天房集团拥有地产开发二级资质，下属子公司共</w:t>
      </w:r>
      <w:r w:rsidR="00616C93" w:rsidRPr="000004BF">
        <w:rPr>
          <w:rFonts w:eastAsiaTheme="majorEastAsia" w:cs="宋体" w:hint="eastAsia"/>
          <w:color w:val="333333"/>
          <w:kern w:val="0"/>
          <w:szCs w:val="21"/>
        </w:rPr>
        <w:t>26</w:t>
      </w:r>
      <w:r w:rsidR="00616C93" w:rsidRPr="000004BF">
        <w:rPr>
          <w:rFonts w:eastAsiaTheme="majorEastAsia" w:cs="宋体" w:hint="eastAsia"/>
          <w:color w:val="333333"/>
          <w:kern w:val="0"/>
          <w:szCs w:val="21"/>
        </w:rPr>
        <w:t>家子公司，天津市最大房地产企业，位列</w:t>
      </w:r>
      <w:r w:rsidR="00616C93" w:rsidRPr="000004BF">
        <w:rPr>
          <w:rFonts w:eastAsiaTheme="majorEastAsia" w:cs="宋体" w:hint="eastAsia"/>
          <w:color w:val="333333"/>
          <w:kern w:val="0"/>
          <w:szCs w:val="21"/>
        </w:rPr>
        <w:t>2013</w:t>
      </w:r>
      <w:r w:rsidR="00616C93" w:rsidRPr="000004BF">
        <w:rPr>
          <w:rFonts w:eastAsiaTheme="majorEastAsia" w:cs="宋体" w:hint="eastAsia"/>
          <w:color w:val="333333"/>
          <w:kern w:val="0"/>
          <w:szCs w:val="21"/>
        </w:rPr>
        <w:t>年中国地产第</w:t>
      </w:r>
      <w:r w:rsidR="00616C93" w:rsidRPr="000004BF">
        <w:rPr>
          <w:rFonts w:eastAsiaTheme="majorEastAsia" w:cs="宋体" w:hint="eastAsia"/>
          <w:color w:val="333333"/>
          <w:kern w:val="0"/>
          <w:szCs w:val="21"/>
        </w:rPr>
        <w:t>29</w:t>
      </w:r>
      <w:r w:rsidR="00616C93" w:rsidRPr="000004BF">
        <w:rPr>
          <w:rFonts w:eastAsiaTheme="majorEastAsia" w:cs="宋体" w:hint="eastAsia"/>
          <w:color w:val="333333"/>
          <w:kern w:val="0"/>
          <w:szCs w:val="21"/>
        </w:rPr>
        <w:t>强。截至</w:t>
      </w:r>
      <w:r w:rsidR="00616C93" w:rsidRPr="000004BF">
        <w:rPr>
          <w:rFonts w:eastAsiaTheme="majorEastAsia" w:cs="宋体" w:hint="eastAsia"/>
          <w:color w:val="333333"/>
          <w:kern w:val="0"/>
          <w:szCs w:val="21"/>
        </w:rPr>
        <w:t>2012</w:t>
      </w:r>
      <w:r w:rsidR="00616C93" w:rsidRPr="000004BF">
        <w:rPr>
          <w:rFonts w:eastAsiaTheme="majorEastAsia" w:cs="宋体" w:hint="eastAsia"/>
          <w:color w:val="333333"/>
          <w:kern w:val="0"/>
          <w:szCs w:val="21"/>
        </w:rPr>
        <w:t>年</w:t>
      </w:r>
      <w:r w:rsidR="00616C93" w:rsidRPr="000004BF">
        <w:rPr>
          <w:rFonts w:eastAsiaTheme="majorEastAsia" w:cs="宋体" w:hint="eastAsia"/>
          <w:color w:val="333333"/>
          <w:kern w:val="0"/>
          <w:szCs w:val="21"/>
        </w:rPr>
        <w:t>12</w:t>
      </w:r>
      <w:r w:rsidR="00616C93" w:rsidRPr="000004BF">
        <w:rPr>
          <w:rFonts w:eastAsiaTheme="majorEastAsia" w:cs="宋体" w:hint="eastAsia"/>
          <w:color w:val="333333"/>
          <w:kern w:val="0"/>
          <w:szCs w:val="21"/>
        </w:rPr>
        <w:t>月</w:t>
      </w:r>
      <w:r w:rsidR="00616C93" w:rsidRPr="000004BF">
        <w:rPr>
          <w:rFonts w:eastAsiaTheme="majorEastAsia" w:cs="宋体" w:hint="eastAsia"/>
          <w:color w:val="333333"/>
          <w:kern w:val="0"/>
          <w:szCs w:val="21"/>
        </w:rPr>
        <w:t>31</w:t>
      </w:r>
      <w:r w:rsidR="00616C93" w:rsidRPr="000004BF">
        <w:rPr>
          <w:rFonts w:eastAsiaTheme="majorEastAsia" w:cs="宋体" w:hint="eastAsia"/>
          <w:color w:val="333333"/>
          <w:kern w:val="0"/>
          <w:szCs w:val="21"/>
        </w:rPr>
        <w:t>日，公司合并报表总资产</w:t>
      </w:r>
      <w:r w:rsidR="00616C93" w:rsidRPr="000004BF">
        <w:rPr>
          <w:rFonts w:eastAsiaTheme="majorEastAsia" w:cs="宋体" w:hint="eastAsia"/>
          <w:color w:val="333333"/>
          <w:kern w:val="0"/>
          <w:szCs w:val="21"/>
        </w:rPr>
        <w:t>572.41</w:t>
      </w:r>
      <w:r w:rsidR="00616C93" w:rsidRPr="000004BF">
        <w:rPr>
          <w:rFonts w:eastAsiaTheme="majorEastAsia" w:cs="宋体" w:hint="eastAsia"/>
          <w:color w:val="333333"/>
          <w:kern w:val="0"/>
          <w:szCs w:val="21"/>
        </w:rPr>
        <w:t>亿元，资产负债率</w:t>
      </w:r>
      <w:r w:rsidR="00616C93" w:rsidRPr="000004BF">
        <w:rPr>
          <w:rFonts w:eastAsiaTheme="majorEastAsia" w:cs="宋体" w:hint="eastAsia"/>
          <w:color w:val="333333"/>
          <w:kern w:val="0"/>
          <w:szCs w:val="21"/>
        </w:rPr>
        <w:t>79.01%</w:t>
      </w:r>
      <w:r w:rsidR="00616C93" w:rsidRPr="000004BF">
        <w:rPr>
          <w:rFonts w:eastAsiaTheme="majorEastAsia" w:cs="宋体" w:hint="eastAsia"/>
          <w:color w:val="333333"/>
          <w:kern w:val="0"/>
          <w:szCs w:val="21"/>
        </w:rPr>
        <w:t>；</w:t>
      </w:r>
      <w:r w:rsidR="00616C93" w:rsidRPr="000004BF">
        <w:rPr>
          <w:rFonts w:eastAsiaTheme="majorEastAsia" w:cs="宋体" w:hint="eastAsia"/>
          <w:color w:val="333333"/>
          <w:kern w:val="0"/>
          <w:szCs w:val="21"/>
        </w:rPr>
        <w:t>2012</w:t>
      </w:r>
      <w:r w:rsidR="00616C93" w:rsidRPr="000004BF">
        <w:rPr>
          <w:rFonts w:eastAsiaTheme="majorEastAsia" w:cs="宋体" w:hint="eastAsia"/>
          <w:color w:val="333333"/>
          <w:kern w:val="0"/>
          <w:szCs w:val="21"/>
        </w:rPr>
        <w:t>年</w:t>
      </w:r>
      <w:r w:rsidR="00616C93" w:rsidRPr="000004BF">
        <w:rPr>
          <w:rFonts w:eastAsiaTheme="majorEastAsia" w:cs="宋体" w:hint="eastAsia"/>
          <w:color w:val="333333"/>
          <w:kern w:val="0"/>
          <w:szCs w:val="21"/>
        </w:rPr>
        <w:t>1-12</w:t>
      </w:r>
      <w:r w:rsidR="00616C93" w:rsidRPr="000004BF">
        <w:rPr>
          <w:rFonts w:eastAsiaTheme="majorEastAsia" w:cs="宋体" w:hint="eastAsia"/>
          <w:color w:val="333333"/>
          <w:kern w:val="0"/>
          <w:szCs w:val="21"/>
        </w:rPr>
        <w:t>月，实现主营收入</w:t>
      </w:r>
      <w:r w:rsidR="00616C93" w:rsidRPr="000004BF">
        <w:rPr>
          <w:rFonts w:eastAsiaTheme="majorEastAsia" w:cs="宋体" w:hint="eastAsia"/>
          <w:color w:val="333333"/>
          <w:kern w:val="0"/>
          <w:szCs w:val="21"/>
        </w:rPr>
        <w:t>107.37</w:t>
      </w:r>
      <w:r w:rsidR="00616C93" w:rsidRPr="000004BF">
        <w:rPr>
          <w:rFonts w:eastAsiaTheme="majorEastAsia" w:cs="宋体" w:hint="eastAsia"/>
          <w:color w:val="333333"/>
          <w:kern w:val="0"/>
          <w:szCs w:val="21"/>
        </w:rPr>
        <w:t>亿元，净利润</w:t>
      </w:r>
      <w:r w:rsidR="00616C93" w:rsidRPr="000004BF">
        <w:rPr>
          <w:rFonts w:eastAsiaTheme="majorEastAsia" w:cs="宋体" w:hint="eastAsia"/>
          <w:color w:val="333333"/>
          <w:kern w:val="0"/>
          <w:szCs w:val="21"/>
        </w:rPr>
        <w:t>6.67</w:t>
      </w:r>
      <w:r w:rsidR="00616C93" w:rsidRPr="000004BF">
        <w:rPr>
          <w:rFonts w:eastAsiaTheme="majorEastAsia" w:cs="宋体" w:hint="eastAsia"/>
          <w:color w:val="333333"/>
          <w:kern w:val="0"/>
          <w:szCs w:val="21"/>
        </w:rPr>
        <w:t>亿元。天房集团实力雄厚，资产负债结构合理，拥有担保实力。天津天房投资有限公司是天津市房地产开发经营集团有限公司全资子公司，成立于</w:t>
      </w:r>
      <w:r w:rsidR="00616C93" w:rsidRPr="000004BF">
        <w:rPr>
          <w:rFonts w:eastAsiaTheme="majorEastAsia" w:cs="宋体" w:hint="eastAsia"/>
          <w:color w:val="333333"/>
          <w:kern w:val="0"/>
          <w:szCs w:val="21"/>
        </w:rPr>
        <w:t>2003</w:t>
      </w:r>
      <w:r w:rsidR="00616C93" w:rsidRPr="000004BF">
        <w:rPr>
          <w:rFonts w:eastAsiaTheme="majorEastAsia" w:cs="宋体" w:hint="eastAsia"/>
          <w:color w:val="333333"/>
          <w:kern w:val="0"/>
          <w:szCs w:val="21"/>
        </w:rPr>
        <w:t>年</w:t>
      </w:r>
      <w:r w:rsidR="00616C93" w:rsidRPr="000004BF">
        <w:rPr>
          <w:rFonts w:eastAsiaTheme="majorEastAsia" w:cs="宋体" w:hint="eastAsia"/>
          <w:color w:val="333333"/>
          <w:kern w:val="0"/>
          <w:szCs w:val="21"/>
        </w:rPr>
        <w:t>11</w:t>
      </w:r>
      <w:r w:rsidR="00616C93" w:rsidRPr="000004BF">
        <w:rPr>
          <w:rFonts w:eastAsiaTheme="majorEastAsia" w:cs="宋体" w:hint="eastAsia"/>
          <w:color w:val="333333"/>
          <w:kern w:val="0"/>
          <w:szCs w:val="21"/>
        </w:rPr>
        <w:t>月，注册资本</w:t>
      </w:r>
      <w:r w:rsidR="00616C93" w:rsidRPr="000004BF">
        <w:rPr>
          <w:rFonts w:eastAsiaTheme="majorEastAsia" w:cs="宋体" w:hint="eastAsia"/>
          <w:color w:val="333333"/>
          <w:kern w:val="0"/>
          <w:szCs w:val="21"/>
        </w:rPr>
        <w:t>4.6</w:t>
      </w:r>
      <w:r w:rsidR="00616C93" w:rsidRPr="000004BF">
        <w:rPr>
          <w:rFonts w:eastAsiaTheme="majorEastAsia" w:cs="宋体" w:hint="eastAsia"/>
          <w:color w:val="333333"/>
          <w:kern w:val="0"/>
          <w:szCs w:val="21"/>
        </w:rPr>
        <w:t>亿元。</w:t>
      </w:r>
      <w:r w:rsidR="00616C93" w:rsidRPr="000004BF">
        <w:rPr>
          <w:rFonts w:eastAsiaTheme="majorEastAsia" w:cs="宋体"/>
          <w:color w:val="333333"/>
          <w:kern w:val="0"/>
          <w:szCs w:val="21"/>
        </w:rPr>
        <w:t>截至</w:t>
      </w:r>
      <w:r w:rsidR="00616C93" w:rsidRPr="000004BF">
        <w:rPr>
          <w:rFonts w:eastAsiaTheme="majorEastAsia" w:cs="宋体"/>
          <w:color w:val="333333"/>
          <w:kern w:val="0"/>
          <w:szCs w:val="21"/>
        </w:rPr>
        <w:t>2013</w:t>
      </w:r>
      <w:r w:rsidR="00616C93" w:rsidRPr="000004BF">
        <w:rPr>
          <w:rFonts w:eastAsiaTheme="majorEastAsia" w:cs="宋体"/>
          <w:color w:val="333333"/>
          <w:kern w:val="0"/>
          <w:szCs w:val="21"/>
        </w:rPr>
        <w:t>年</w:t>
      </w:r>
      <w:r w:rsidR="00616C93" w:rsidRPr="000004BF">
        <w:rPr>
          <w:rFonts w:eastAsiaTheme="majorEastAsia" w:cs="宋体"/>
          <w:color w:val="333333"/>
          <w:kern w:val="0"/>
          <w:szCs w:val="21"/>
        </w:rPr>
        <w:t>3</w:t>
      </w:r>
      <w:r w:rsidR="00616C93" w:rsidRPr="000004BF">
        <w:rPr>
          <w:rFonts w:eastAsiaTheme="majorEastAsia" w:cs="宋体"/>
          <w:color w:val="333333"/>
          <w:kern w:val="0"/>
          <w:szCs w:val="21"/>
        </w:rPr>
        <w:t>月</w:t>
      </w:r>
      <w:r w:rsidR="00616C93" w:rsidRPr="000004BF">
        <w:rPr>
          <w:rFonts w:eastAsiaTheme="majorEastAsia" w:cs="宋体"/>
          <w:color w:val="333333"/>
          <w:kern w:val="0"/>
          <w:szCs w:val="21"/>
        </w:rPr>
        <w:t>31</w:t>
      </w:r>
      <w:r w:rsidR="00616C93" w:rsidRPr="000004BF">
        <w:rPr>
          <w:rFonts w:eastAsiaTheme="majorEastAsia" w:cs="宋体"/>
          <w:color w:val="333333"/>
          <w:kern w:val="0"/>
          <w:szCs w:val="21"/>
        </w:rPr>
        <w:t>日，公司总资产</w:t>
      </w:r>
      <w:r w:rsidR="00616C93" w:rsidRPr="000004BF">
        <w:rPr>
          <w:rFonts w:eastAsiaTheme="majorEastAsia" w:cs="宋体"/>
          <w:color w:val="333333"/>
          <w:kern w:val="0"/>
          <w:szCs w:val="21"/>
        </w:rPr>
        <w:t>22</w:t>
      </w:r>
      <w:r w:rsidR="00616C93" w:rsidRPr="000004BF">
        <w:rPr>
          <w:rFonts w:eastAsiaTheme="majorEastAsia" w:cs="宋体" w:hint="eastAsia"/>
          <w:color w:val="333333"/>
          <w:kern w:val="0"/>
          <w:szCs w:val="21"/>
        </w:rPr>
        <w:t>亿</w:t>
      </w:r>
      <w:r w:rsidR="00616C93" w:rsidRPr="000004BF">
        <w:rPr>
          <w:rFonts w:eastAsiaTheme="majorEastAsia" w:cs="宋体"/>
          <w:color w:val="333333"/>
          <w:kern w:val="0"/>
          <w:szCs w:val="21"/>
        </w:rPr>
        <w:t>元，资产负债率</w:t>
      </w:r>
      <w:r w:rsidR="00616C93" w:rsidRPr="000004BF">
        <w:rPr>
          <w:rFonts w:eastAsiaTheme="majorEastAsia" w:cs="宋体"/>
          <w:color w:val="333333"/>
          <w:kern w:val="0"/>
          <w:szCs w:val="21"/>
        </w:rPr>
        <w:t>78.92%</w:t>
      </w:r>
      <w:r w:rsidR="00616C93" w:rsidRPr="000004BF">
        <w:rPr>
          <w:rFonts w:eastAsiaTheme="majorEastAsia" w:cs="宋体"/>
          <w:color w:val="333333"/>
          <w:kern w:val="0"/>
          <w:szCs w:val="21"/>
        </w:rPr>
        <w:t>；</w:t>
      </w:r>
      <w:r w:rsidR="00616C93" w:rsidRPr="000004BF">
        <w:rPr>
          <w:rFonts w:eastAsiaTheme="majorEastAsia" w:cs="宋体"/>
          <w:color w:val="333333"/>
          <w:kern w:val="0"/>
          <w:szCs w:val="21"/>
        </w:rPr>
        <w:t>2013</w:t>
      </w:r>
      <w:r w:rsidR="00616C93" w:rsidRPr="000004BF">
        <w:rPr>
          <w:rFonts w:eastAsiaTheme="majorEastAsia" w:cs="宋体"/>
          <w:color w:val="333333"/>
          <w:kern w:val="0"/>
          <w:szCs w:val="21"/>
        </w:rPr>
        <w:t>年</w:t>
      </w:r>
      <w:r w:rsidR="00616C93" w:rsidRPr="000004BF">
        <w:rPr>
          <w:rFonts w:eastAsiaTheme="majorEastAsia" w:cs="宋体"/>
          <w:color w:val="333333"/>
          <w:kern w:val="0"/>
          <w:szCs w:val="21"/>
        </w:rPr>
        <w:t>1-3</w:t>
      </w:r>
      <w:r w:rsidR="00616C93" w:rsidRPr="000004BF">
        <w:rPr>
          <w:rFonts w:eastAsiaTheme="majorEastAsia" w:cs="宋体"/>
          <w:color w:val="333333"/>
          <w:kern w:val="0"/>
          <w:szCs w:val="21"/>
        </w:rPr>
        <w:t>月，实现主营收入</w:t>
      </w:r>
      <w:r w:rsidR="00616C93" w:rsidRPr="000004BF">
        <w:rPr>
          <w:rFonts w:eastAsiaTheme="majorEastAsia" w:cs="宋体"/>
          <w:color w:val="333333"/>
          <w:kern w:val="0"/>
          <w:szCs w:val="21"/>
        </w:rPr>
        <w:t>4554.80</w:t>
      </w:r>
      <w:r w:rsidR="00616C93" w:rsidRPr="000004BF">
        <w:rPr>
          <w:rFonts w:eastAsiaTheme="majorEastAsia" w:cs="宋体"/>
          <w:color w:val="333333"/>
          <w:kern w:val="0"/>
          <w:szCs w:val="21"/>
        </w:rPr>
        <w:t>万元；</w:t>
      </w:r>
      <w:r w:rsidR="00616C93" w:rsidRPr="000004BF">
        <w:rPr>
          <w:rFonts w:eastAsiaTheme="majorEastAsia" w:cs="宋体"/>
          <w:color w:val="333333"/>
          <w:kern w:val="0"/>
          <w:szCs w:val="21"/>
        </w:rPr>
        <w:t>2010-2012</w:t>
      </w:r>
      <w:r w:rsidR="00616C93" w:rsidRPr="000004BF">
        <w:rPr>
          <w:rFonts w:eastAsiaTheme="majorEastAsia" w:cs="宋体"/>
          <w:color w:val="333333"/>
          <w:kern w:val="0"/>
          <w:szCs w:val="21"/>
        </w:rPr>
        <w:t>年经营净现金流量分别为</w:t>
      </w:r>
      <w:r w:rsidR="00616C93" w:rsidRPr="000004BF">
        <w:rPr>
          <w:rFonts w:eastAsiaTheme="majorEastAsia" w:cs="宋体"/>
          <w:color w:val="333333"/>
          <w:kern w:val="0"/>
          <w:szCs w:val="21"/>
        </w:rPr>
        <w:t>25967.32</w:t>
      </w:r>
      <w:r w:rsidR="00616C93" w:rsidRPr="000004BF">
        <w:rPr>
          <w:rFonts w:eastAsiaTheme="majorEastAsia" w:cs="宋体"/>
          <w:color w:val="333333"/>
          <w:kern w:val="0"/>
          <w:szCs w:val="21"/>
        </w:rPr>
        <w:t>万元，</w:t>
      </w:r>
      <w:r w:rsidR="00616C93" w:rsidRPr="000004BF">
        <w:rPr>
          <w:rFonts w:eastAsiaTheme="majorEastAsia" w:cs="宋体"/>
          <w:color w:val="333333"/>
          <w:kern w:val="0"/>
          <w:szCs w:val="21"/>
        </w:rPr>
        <w:t>20764.78</w:t>
      </w:r>
      <w:r w:rsidR="00616C93" w:rsidRPr="000004BF">
        <w:rPr>
          <w:rFonts w:eastAsiaTheme="majorEastAsia" w:cs="宋体"/>
          <w:color w:val="333333"/>
          <w:kern w:val="0"/>
          <w:szCs w:val="21"/>
        </w:rPr>
        <w:t>万元和</w:t>
      </w:r>
      <w:r w:rsidR="00616C93" w:rsidRPr="000004BF">
        <w:rPr>
          <w:rFonts w:eastAsiaTheme="majorEastAsia" w:cs="宋体"/>
          <w:color w:val="333333"/>
          <w:kern w:val="0"/>
          <w:szCs w:val="21"/>
        </w:rPr>
        <w:t>-60038.11</w:t>
      </w:r>
      <w:r w:rsidR="00616C93" w:rsidRPr="000004BF">
        <w:rPr>
          <w:rFonts w:eastAsiaTheme="majorEastAsia" w:cs="宋体"/>
          <w:color w:val="333333"/>
          <w:kern w:val="0"/>
          <w:szCs w:val="21"/>
        </w:rPr>
        <w:t>万元。</w:t>
      </w:r>
      <w:r w:rsidR="00616C93" w:rsidRPr="000004BF">
        <w:rPr>
          <w:rFonts w:eastAsiaTheme="majorEastAsia" w:cs="宋体" w:hint="eastAsia"/>
          <w:color w:val="333333"/>
          <w:kern w:val="0"/>
          <w:szCs w:val="21"/>
        </w:rPr>
        <w:t>该公司拥有担保实力。</w:t>
      </w:r>
    </w:p>
    <w:p w:rsidR="00616C93" w:rsidRPr="000004BF" w:rsidRDefault="00A8555C" w:rsidP="00F15957">
      <w:pPr>
        <w:spacing w:line="360" w:lineRule="auto"/>
        <w:ind w:firstLineChars="200" w:firstLine="420"/>
        <w:rPr>
          <w:rFonts w:eastAsiaTheme="majorEastAsia" w:cs="宋体"/>
          <w:color w:val="333333"/>
          <w:kern w:val="0"/>
          <w:szCs w:val="21"/>
        </w:rPr>
      </w:pPr>
      <w:r>
        <w:rPr>
          <w:rFonts w:eastAsiaTheme="majorEastAsia" w:cs="宋体" w:hint="eastAsia"/>
          <w:noProof/>
          <w:color w:val="333333"/>
          <w:kern w:val="0"/>
          <w:szCs w:val="21"/>
        </w:rPr>
        <w:lastRenderedPageBreak/>
        <w:drawing>
          <wp:anchor distT="0" distB="0" distL="114300" distR="114300" simplePos="0" relativeHeight="251897856" behindDoc="1" locked="0" layoutInCell="1" allowOverlap="1">
            <wp:simplePos x="0" y="0"/>
            <wp:positionH relativeFrom="column">
              <wp:posOffset>-1118624</wp:posOffset>
            </wp:positionH>
            <wp:positionV relativeFrom="paragraph">
              <wp:posOffset>-1421130</wp:posOffset>
            </wp:positionV>
            <wp:extent cx="7560945" cy="10706100"/>
            <wp:effectExtent l="19050" t="0" r="1905" b="0"/>
            <wp:wrapNone/>
            <wp:docPr id="23"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0945" cy="10706100"/>
                    </a:xfrm>
                    <a:prstGeom prst="rect">
                      <a:avLst/>
                    </a:prstGeom>
                  </pic:spPr>
                </pic:pic>
              </a:graphicData>
            </a:graphic>
          </wp:anchor>
        </w:drawing>
      </w:r>
      <w:r w:rsidR="00616C93" w:rsidRPr="000004BF">
        <w:rPr>
          <w:rFonts w:eastAsiaTheme="majorEastAsia" w:cs="宋体" w:hint="eastAsia"/>
          <w:color w:val="333333"/>
          <w:kern w:val="0"/>
          <w:szCs w:val="21"/>
        </w:rPr>
        <w:t>融资</w:t>
      </w:r>
      <w:r w:rsidR="00616C93" w:rsidRPr="000004BF">
        <w:rPr>
          <w:rFonts w:eastAsiaTheme="majorEastAsia" w:cs="宋体"/>
          <w:color w:val="333333"/>
          <w:kern w:val="0"/>
          <w:szCs w:val="21"/>
        </w:rPr>
        <w:t>项目位于天津市西青区大寺新家园居住区，地处天津市中心城区南侧大寺镇，邻近规划中的地铁</w:t>
      </w:r>
      <w:r w:rsidR="00616C93" w:rsidRPr="000004BF">
        <w:rPr>
          <w:rFonts w:eastAsiaTheme="majorEastAsia" w:cs="宋体"/>
          <w:color w:val="333333"/>
          <w:kern w:val="0"/>
          <w:szCs w:val="21"/>
        </w:rPr>
        <w:t>6</w:t>
      </w:r>
      <w:r w:rsidR="00616C93" w:rsidRPr="000004BF">
        <w:rPr>
          <w:rFonts w:eastAsiaTheme="majorEastAsia" w:cs="宋体"/>
          <w:color w:val="333333"/>
          <w:kern w:val="0"/>
          <w:szCs w:val="21"/>
        </w:rPr>
        <w:t>号线；距天津滨海国际机场</w:t>
      </w:r>
      <w:r w:rsidR="00616C93" w:rsidRPr="000004BF">
        <w:rPr>
          <w:rFonts w:eastAsiaTheme="majorEastAsia" w:cs="宋体"/>
          <w:color w:val="333333"/>
          <w:kern w:val="0"/>
          <w:szCs w:val="21"/>
        </w:rPr>
        <w:t>15</w:t>
      </w:r>
      <w:r w:rsidR="00616C93" w:rsidRPr="000004BF">
        <w:rPr>
          <w:rFonts w:eastAsiaTheme="majorEastAsia" w:cs="宋体"/>
          <w:color w:val="333333"/>
          <w:kern w:val="0"/>
          <w:szCs w:val="21"/>
        </w:rPr>
        <w:t>公里，距天津港</w:t>
      </w:r>
      <w:r w:rsidR="00616C93" w:rsidRPr="000004BF">
        <w:rPr>
          <w:rFonts w:eastAsiaTheme="majorEastAsia" w:cs="宋体"/>
          <w:color w:val="333333"/>
          <w:kern w:val="0"/>
          <w:szCs w:val="21"/>
        </w:rPr>
        <w:t>30</w:t>
      </w:r>
      <w:r w:rsidR="00616C93" w:rsidRPr="000004BF">
        <w:rPr>
          <w:rFonts w:eastAsiaTheme="majorEastAsia" w:cs="宋体"/>
          <w:color w:val="333333"/>
          <w:kern w:val="0"/>
          <w:szCs w:val="21"/>
        </w:rPr>
        <w:t>公里；是天津市重点保障房项目。项目总占地</w:t>
      </w:r>
      <w:r w:rsidR="00616C93" w:rsidRPr="000004BF">
        <w:rPr>
          <w:rFonts w:eastAsiaTheme="majorEastAsia" w:cs="宋体"/>
          <w:color w:val="333333"/>
          <w:kern w:val="0"/>
          <w:szCs w:val="21"/>
        </w:rPr>
        <w:t>157388.50</w:t>
      </w:r>
      <w:r w:rsidR="00616C93" w:rsidRPr="000004BF">
        <w:rPr>
          <w:rFonts w:eastAsiaTheme="majorEastAsia" w:cs="宋体"/>
          <w:color w:val="333333"/>
          <w:kern w:val="0"/>
          <w:szCs w:val="21"/>
        </w:rPr>
        <w:t>平方米，总建筑面积</w:t>
      </w:r>
      <w:r w:rsidR="00616C93" w:rsidRPr="000004BF">
        <w:rPr>
          <w:rFonts w:eastAsiaTheme="majorEastAsia" w:cs="宋体"/>
          <w:color w:val="333333"/>
          <w:kern w:val="0"/>
          <w:szCs w:val="21"/>
        </w:rPr>
        <w:t>237516</w:t>
      </w:r>
      <w:r w:rsidR="00616C93" w:rsidRPr="000004BF">
        <w:rPr>
          <w:rFonts w:eastAsiaTheme="majorEastAsia" w:cs="宋体"/>
          <w:color w:val="333333"/>
          <w:kern w:val="0"/>
          <w:szCs w:val="21"/>
        </w:rPr>
        <w:t>平方米，容积率</w:t>
      </w:r>
      <w:r w:rsidR="00616C93" w:rsidRPr="000004BF">
        <w:rPr>
          <w:rFonts w:eastAsiaTheme="majorEastAsia" w:cs="宋体"/>
          <w:color w:val="333333"/>
          <w:kern w:val="0"/>
          <w:szCs w:val="21"/>
        </w:rPr>
        <w:t>1.9</w:t>
      </w:r>
      <w:r w:rsidR="00616C93" w:rsidRPr="000004BF">
        <w:rPr>
          <w:rFonts w:eastAsiaTheme="majorEastAsia" w:cs="宋体"/>
          <w:color w:val="333333"/>
          <w:kern w:val="0"/>
          <w:szCs w:val="21"/>
        </w:rPr>
        <w:t>，绿地率</w:t>
      </w:r>
      <w:r w:rsidR="00616C93" w:rsidRPr="000004BF">
        <w:rPr>
          <w:rFonts w:eastAsiaTheme="majorEastAsia" w:cs="宋体"/>
          <w:color w:val="333333"/>
          <w:kern w:val="0"/>
          <w:szCs w:val="21"/>
        </w:rPr>
        <w:t>22%</w:t>
      </w:r>
      <w:r w:rsidR="00616C93" w:rsidRPr="000004BF">
        <w:rPr>
          <w:rFonts w:eastAsiaTheme="majorEastAsia" w:cs="宋体"/>
          <w:color w:val="333333"/>
          <w:kern w:val="0"/>
          <w:szCs w:val="21"/>
        </w:rPr>
        <w:t>；项目四证齐全，目前在建中。项目总投资</w:t>
      </w:r>
      <w:r w:rsidR="00616C93" w:rsidRPr="000004BF">
        <w:rPr>
          <w:rFonts w:eastAsiaTheme="majorEastAsia" w:cs="宋体"/>
          <w:color w:val="333333"/>
          <w:kern w:val="0"/>
          <w:szCs w:val="21"/>
        </w:rPr>
        <w:t>171487</w:t>
      </w:r>
      <w:r w:rsidR="00616C93" w:rsidRPr="000004BF">
        <w:rPr>
          <w:rFonts w:eastAsiaTheme="majorEastAsia" w:cs="宋体"/>
          <w:color w:val="333333"/>
          <w:kern w:val="0"/>
          <w:szCs w:val="21"/>
        </w:rPr>
        <w:t>万元，天房瑞诚自由资金投入</w:t>
      </w:r>
      <w:r w:rsidR="00616C93" w:rsidRPr="000004BF">
        <w:rPr>
          <w:rFonts w:eastAsiaTheme="majorEastAsia" w:cs="宋体"/>
          <w:color w:val="333333"/>
          <w:kern w:val="0"/>
          <w:szCs w:val="21"/>
        </w:rPr>
        <w:t>63160</w:t>
      </w:r>
      <w:r w:rsidR="00616C93" w:rsidRPr="000004BF">
        <w:rPr>
          <w:rFonts w:eastAsiaTheme="majorEastAsia" w:cs="宋体"/>
          <w:color w:val="333333"/>
          <w:kern w:val="0"/>
          <w:szCs w:val="21"/>
        </w:rPr>
        <w:t>万元，占比</w:t>
      </w:r>
      <w:r w:rsidR="00616C93" w:rsidRPr="000004BF">
        <w:rPr>
          <w:rFonts w:eastAsiaTheme="majorEastAsia" w:cs="宋体"/>
          <w:color w:val="333333"/>
          <w:kern w:val="0"/>
          <w:szCs w:val="21"/>
        </w:rPr>
        <w:t>36.83%</w:t>
      </w:r>
      <w:r w:rsidR="00616C93" w:rsidRPr="000004BF">
        <w:rPr>
          <w:rFonts w:eastAsiaTheme="majorEastAsia" w:cs="宋体"/>
          <w:color w:val="333333"/>
          <w:kern w:val="0"/>
          <w:szCs w:val="21"/>
        </w:rPr>
        <w:t>。</w:t>
      </w:r>
      <w:r w:rsidR="00616C93" w:rsidRPr="000004BF">
        <w:rPr>
          <w:rFonts w:eastAsiaTheme="majorEastAsia" w:cs="宋体"/>
          <w:color w:val="333333"/>
          <w:kern w:val="0"/>
          <w:szCs w:val="21"/>
        </w:rPr>
        <w:t> </w:t>
      </w:r>
    </w:p>
    <w:p w:rsidR="00616C93" w:rsidRPr="000004BF" w:rsidRDefault="00616C93" w:rsidP="00C21748">
      <w:pPr>
        <w:spacing w:line="360" w:lineRule="auto"/>
        <w:ind w:firstLineChars="200" w:firstLine="422"/>
        <w:rPr>
          <w:rFonts w:eastAsiaTheme="majorEastAsia" w:cs="宋体"/>
          <w:color w:val="333333"/>
          <w:kern w:val="0"/>
          <w:szCs w:val="21"/>
        </w:rPr>
      </w:pPr>
      <w:r w:rsidRPr="00DF6784">
        <w:rPr>
          <w:rFonts w:ascii="Helvetica" w:hAnsi="Helvetica" w:cs="宋体" w:hint="eastAsia"/>
          <w:b/>
          <w:kern w:val="0"/>
          <w:szCs w:val="21"/>
        </w:rPr>
        <w:t>权益投资类</w:t>
      </w:r>
      <w:r w:rsidRPr="00DF6784">
        <w:rPr>
          <w:rFonts w:ascii="Helvetica" w:hAnsi="Helvetica" w:cs="宋体" w:hint="eastAsia"/>
          <w:kern w:val="0"/>
          <w:szCs w:val="21"/>
        </w:rPr>
        <w:t>中</w:t>
      </w:r>
      <w:r w:rsidRPr="000004BF">
        <w:rPr>
          <w:rFonts w:eastAsiaTheme="majorEastAsia" w:cs="宋体" w:hint="eastAsia"/>
          <w:color w:val="333333"/>
          <w:kern w:val="0"/>
          <w:szCs w:val="21"/>
        </w:rPr>
        <w:t>，中融信托发行的“</w:t>
      </w:r>
      <w:r w:rsidRPr="000004BF">
        <w:rPr>
          <w:rFonts w:eastAsiaTheme="majorEastAsia" w:cs="宋体"/>
          <w:color w:val="333333"/>
          <w:kern w:val="0"/>
          <w:szCs w:val="21"/>
        </w:rPr>
        <w:t>广州番禺区桥南融颐</w:t>
      </w:r>
      <w:r w:rsidRPr="000004BF">
        <w:rPr>
          <w:rFonts w:eastAsiaTheme="majorEastAsia" w:cs="宋体"/>
          <w:color w:val="333333"/>
          <w:kern w:val="0"/>
          <w:szCs w:val="21"/>
        </w:rPr>
        <w:t>“</w:t>
      </w:r>
      <w:r w:rsidRPr="000004BF">
        <w:rPr>
          <w:rFonts w:eastAsiaTheme="majorEastAsia" w:cs="宋体"/>
          <w:color w:val="333333"/>
          <w:kern w:val="0"/>
          <w:szCs w:val="21"/>
        </w:rPr>
        <w:t>流金岁月</w:t>
      </w:r>
      <w:r w:rsidRPr="000004BF">
        <w:rPr>
          <w:rFonts w:eastAsiaTheme="majorEastAsia" w:cs="宋体"/>
          <w:color w:val="333333"/>
          <w:kern w:val="0"/>
          <w:szCs w:val="21"/>
        </w:rPr>
        <w:t>”</w:t>
      </w:r>
      <w:r w:rsidRPr="000004BF">
        <w:rPr>
          <w:rFonts w:eastAsiaTheme="majorEastAsia" w:cs="宋体"/>
          <w:color w:val="333333"/>
          <w:kern w:val="0"/>
          <w:szCs w:val="21"/>
        </w:rPr>
        <w:t>集合资金信托计划</w:t>
      </w:r>
      <w:r w:rsidRPr="000004BF">
        <w:rPr>
          <w:rFonts w:eastAsiaTheme="majorEastAsia" w:cs="宋体" w:hint="eastAsia"/>
          <w:color w:val="333333"/>
          <w:kern w:val="0"/>
          <w:szCs w:val="21"/>
        </w:rPr>
        <w:t>”，总规模</w:t>
      </w:r>
      <w:r w:rsidRPr="000004BF">
        <w:rPr>
          <w:rFonts w:eastAsiaTheme="majorEastAsia" w:cs="宋体" w:hint="eastAsia"/>
          <w:color w:val="333333"/>
          <w:kern w:val="0"/>
          <w:szCs w:val="21"/>
        </w:rPr>
        <w:t>8</w:t>
      </w:r>
      <w:r w:rsidRPr="000004BF">
        <w:rPr>
          <w:rFonts w:eastAsiaTheme="majorEastAsia" w:cs="宋体" w:hint="eastAsia"/>
          <w:color w:val="333333"/>
          <w:kern w:val="0"/>
          <w:szCs w:val="21"/>
        </w:rPr>
        <w:t>亿元，预期年化收益率为</w:t>
      </w:r>
      <w:r w:rsidRPr="000004BF">
        <w:rPr>
          <w:rFonts w:eastAsiaTheme="majorEastAsia" w:cs="宋体" w:hint="eastAsia"/>
          <w:color w:val="333333"/>
          <w:kern w:val="0"/>
          <w:szCs w:val="21"/>
        </w:rPr>
        <w:t>9.5-10.9%</w:t>
      </w:r>
      <w:r w:rsidRPr="000004BF">
        <w:rPr>
          <w:rFonts w:eastAsiaTheme="majorEastAsia" w:cs="宋体" w:hint="eastAsia"/>
          <w:color w:val="333333"/>
          <w:kern w:val="0"/>
          <w:szCs w:val="21"/>
        </w:rPr>
        <w:t>，期限为</w:t>
      </w:r>
      <w:r w:rsidRPr="000004BF">
        <w:rPr>
          <w:rFonts w:eastAsiaTheme="majorEastAsia" w:cs="宋体" w:hint="eastAsia"/>
          <w:color w:val="333333"/>
          <w:kern w:val="0"/>
          <w:szCs w:val="21"/>
        </w:rPr>
        <w:t>24</w:t>
      </w:r>
      <w:r w:rsidRPr="000004BF">
        <w:rPr>
          <w:rFonts w:eastAsiaTheme="majorEastAsia" w:cs="宋体" w:hint="eastAsia"/>
          <w:color w:val="333333"/>
          <w:kern w:val="0"/>
          <w:szCs w:val="21"/>
        </w:rPr>
        <w:t>个月，为房地产类信托。</w:t>
      </w:r>
      <w:r w:rsidRPr="000004BF">
        <w:rPr>
          <w:rFonts w:eastAsiaTheme="majorEastAsia" w:cs="宋体"/>
          <w:color w:val="333333"/>
          <w:kern w:val="0"/>
          <w:szCs w:val="21"/>
        </w:rPr>
        <w:t>以</w:t>
      </w:r>
      <w:r w:rsidRPr="000004BF">
        <w:rPr>
          <w:rFonts w:eastAsiaTheme="majorEastAsia" w:cs="宋体"/>
          <w:color w:val="333333"/>
          <w:kern w:val="0"/>
          <w:szCs w:val="21"/>
        </w:rPr>
        <w:t>1400</w:t>
      </w:r>
      <w:r w:rsidRPr="000004BF">
        <w:rPr>
          <w:rFonts w:eastAsiaTheme="majorEastAsia" w:cs="宋体"/>
          <w:color w:val="333333"/>
          <w:kern w:val="0"/>
          <w:szCs w:val="21"/>
        </w:rPr>
        <w:t>万元受让广东中颐投资集团有限公司持有广州市维信房地产有限公司</w:t>
      </w:r>
      <w:r w:rsidRPr="000004BF">
        <w:rPr>
          <w:rFonts w:eastAsiaTheme="majorEastAsia" w:cs="宋体"/>
          <w:color w:val="333333"/>
          <w:kern w:val="0"/>
          <w:szCs w:val="21"/>
        </w:rPr>
        <w:t>70%</w:t>
      </w:r>
      <w:r w:rsidRPr="000004BF">
        <w:rPr>
          <w:rFonts w:eastAsiaTheme="majorEastAsia" w:cs="宋体"/>
          <w:color w:val="333333"/>
          <w:kern w:val="0"/>
          <w:szCs w:val="21"/>
        </w:rPr>
        <w:t>股权并发放</w:t>
      </w:r>
      <w:r w:rsidRPr="000004BF">
        <w:rPr>
          <w:rFonts w:eastAsiaTheme="majorEastAsia" w:cs="宋体"/>
          <w:color w:val="333333"/>
          <w:kern w:val="0"/>
          <w:szCs w:val="21"/>
        </w:rPr>
        <w:t>7.86</w:t>
      </w:r>
      <w:r w:rsidRPr="000004BF">
        <w:rPr>
          <w:rFonts w:eastAsiaTheme="majorEastAsia" w:cs="宋体"/>
          <w:color w:val="333333"/>
          <w:kern w:val="0"/>
          <w:szCs w:val="21"/>
        </w:rPr>
        <w:t>亿元贷款，</w:t>
      </w:r>
      <w:r w:rsidRPr="000004BF">
        <w:rPr>
          <w:rFonts w:eastAsiaTheme="majorEastAsia" w:cs="宋体" w:hint="eastAsia"/>
          <w:color w:val="333333"/>
          <w:kern w:val="0"/>
          <w:szCs w:val="21"/>
        </w:rPr>
        <w:t>信托</w:t>
      </w:r>
      <w:r w:rsidRPr="000004BF">
        <w:rPr>
          <w:rFonts w:eastAsiaTheme="majorEastAsia" w:cs="宋体"/>
          <w:color w:val="333333"/>
          <w:kern w:val="0"/>
          <w:szCs w:val="21"/>
        </w:rPr>
        <w:t>资金用于</w:t>
      </w:r>
      <w:r w:rsidRPr="000004BF">
        <w:rPr>
          <w:rFonts w:eastAsiaTheme="majorEastAsia" w:cs="宋体"/>
          <w:color w:val="333333"/>
          <w:kern w:val="0"/>
          <w:szCs w:val="21"/>
        </w:rPr>
        <w:t>:</w:t>
      </w:r>
      <w:r w:rsidRPr="000004BF">
        <w:rPr>
          <w:rFonts w:eastAsiaTheme="majorEastAsia" w:cs="宋体"/>
          <w:color w:val="333333"/>
          <w:kern w:val="0"/>
          <w:szCs w:val="21"/>
        </w:rPr>
        <w:t>（</w:t>
      </w:r>
      <w:r w:rsidRPr="000004BF">
        <w:rPr>
          <w:rFonts w:eastAsiaTheme="majorEastAsia" w:cs="宋体"/>
          <w:color w:val="333333"/>
          <w:kern w:val="0"/>
          <w:szCs w:val="21"/>
        </w:rPr>
        <w:t>1</w:t>
      </w:r>
      <w:r w:rsidRPr="000004BF">
        <w:rPr>
          <w:rFonts w:eastAsiaTheme="majorEastAsia" w:cs="宋体"/>
          <w:color w:val="333333"/>
          <w:kern w:val="0"/>
          <w:szCs w:val="21"/>
        </w:rPr>
        <w:t>）偿还股东借款及；（</w:t>
      </w:r>
      <w:r w:rsidRPr="000004BF">
        <w:rPr>
          <w:rFonts w:eastAsiaTheme="majorEastAsia" w:cs="宋体"/>
          <w:color w:val="333333"/>
          <w:kern w:val="0"/>
          <w:szCs w:val="21"/>
        </w:rPr>
        <w:t>2</w:t>
      </w:r>
      <w:r w:rsidRPr="000004BF">
        <w:rPr>
          <w:rFonts w:eastAsiaTheme="majorEastAsia" w:cs="宋体"/>
          <w:color w:val="333333"/>
          <w:kern w:val="0"/>
          <w:szCs w:val="21"/>
        </w:rPr>
        <w:t>）广州市番禺区市桥南区</w:t>
      </w:r>
      <w:r w:rsidRPr="000004BF">
        <w:rPr>
          <w:rFonts w:eastAsiaTheme="majorEastAsia" w:cs="宋体"/>
          <w:color w:val="333333"/>
          <w:kern w:val="0"/>
          <w:szCs w:val="21"/>
        </w:rPr>
        <w:t>“</w:t>
      </w:r>
      <w:r w:rsidRPr="000004BF">
        <w:rPr>
          <w:rFonts w:eastAsiaTheme="majorEastAsia" w:cs="宋体"/>
          <w:color w:val="333333"/>
          <w:kern w:val="0"/>
          <w:szCs w:val="21"/>
        </w:rPr>
        <w:t>海伦堡</w:t>
      </w:r>
      <w:r w:rsidRPr="000004BF">
        <w:rPr>
          <w:rFonts w:eastAsiaTheme="majorEastAsia" w:cs="宋体" w:hint="eastAsia"/>
          <w:color w:val="333333"/>
          <w:kern w:val="0"/>
          <w:szCs w:val="21"/>
        </w:rPr>
        <w:t>·</w:t>
      </w:r>
      <w:r w:rsidRPr="000004BF">
        <w:rPr>
          <w:rFonts w:eastAsiaTheme="majorEastAsia" w:cs="宋体"/>
          <w:color w:val="333333"/>
          <w:kern w:val="0"/>
          <w:szCs w:val="21"/>
        </w:rPr>
        <w:t>流金岁月</w:t>
      </w:r>
      <w:r w:rsidRPr="000004BF">
        <w:rPr>
          <w:rFonts w:eastAsiaTheme="majorEastAsia" w:cs="宋体"/>
          <w:color w:val="333333"/>
          <w:kern w:val="0"/>
          <w:szCs w:val="21"/>
        </w:rPr>
        <w:t>”</w:t>
      </w:r>
      <w:r w:rsidRPr="000004BF">
        <w:rPr>
          <w:rFonts w:eastAsiaTheme="majorEastAsia" w:cs="宋体"/>
          <w:color w:val="333333"/>
          <w:kern w:val="0"/>
          <w:szCs w:val="21"/>
        </w:rPr>
        <w:t>后续开发建设。</w:t>
      </w:r>
      <w:r w:rsidRPr="000004BF">
        <w:rPr>
          <w:rFonts w:eastAsiaTheme="majorEastAsia" w:cs="宋体" w:hint="eastAsia"/>
          <w:color w:val="333333"/>
          <w:kern w:val="0"/>
          <w:szCs w:val="21"/>
        </w:rPr>
        <w:t>该产品的风险控制措施主要为股权质押，</w:t>
      </w:r>
      <w:r w:rsidRPr="000004BF">
        <w:rPr>
          <w:rFonts w:eastAsiaTheme="majorEastAsia" w:cs="宋体"/>
          <w:color w:val="333333"/>
          <w:kern w:val="0"/>
          <w:szCs w:val="21"/>
        </w:rPr>
        <w:t>中颐集团将维信地产</w:t>
      </w:r>
      <w:r w:rsidRPr="000004BF">
        <w:rPr>
          <w:rFonts w:eastAsiaTheme="majorEastAsia" w:cs="宋体"/>
          <w:color w:val="333333"/>
          <w:kern w:val="0"/>
          <w:szCs w:val="21"/>
        </w:rPr>
        <w:t xml:space="preserve"> 30%</w:t>
      </w:r>
      <w:r w:rsidRPr="000004BF">
        <w:rPr>
          <w:rFonts w:eastAsiaTheme="majorEastAsia" w:cs="宋体"/>
          <w:color w:val="333333"/>
          <w:kern w:val="0"/>
          <w:szCs w:val="21"/>
        </w:rPr>
        <w:t>股权质押给中融信托（实现</w:t>
      </w:r>
      <w:r w:rsidRPr="000004BF">
        <w:rPr>
          <w:rFonts w:eastAsiaTheme="majorEastAsia" w:cs="宋体"/>
          <w:color w:val="333333"/>
          <w:kern w:val="0"/>
          <w:szCs w:val="21"/>
        </w:rPr>
        <w:t>100%</w:t>
      </w:r>
      <w:r w:rsidRPr="000004BF">
        <w:rPr>
          <w:rFonts w:eastAsiaTheme="majorEastAsia" w:cs="宋体"/>
          <w:color w:val="333333"/>
          <w:kern w:val="0"/>
          <w:szCs w:val="21"/>
        </w:rPr>
        <w:t>控股）。截至</w:t>
      </w:r>
      <w:r w:rsidRPr="000004BF">
        <w:rPr>
          <w:rFonts w:eastAsiaTheme="majorEastAsia" w:cs="宋体"/>
          <w:color w:val="333333"/>
          <w:kern w:val="0"/>
          <w:szCs w:val="21"/>
        </w:rPr>
        <w:t>2013</w:t>
      </w:r>
      <w:r w:rsidRPr="000004BF">
        <w:rPr>
          <w:rFonts w:eastAsiaTheme="majorEastAsia" w:cs="宋体"/>
          <w:color w:val="333333"/>
          <w:kern w:val="0"/>
          <w:szCs w:val="21"/>
        </w:rPr>
        <w:t>年</w:t>
      </w:r>
      <w:r w:rsidRPr="000004BF">
        <w:rPr>
          <w:rFonts w:eastAsiaTheme="majorEastAsia" w:cs="宋体"/>
          <w:color w:val="333333"/>
          <w:kern w:val="0"/>
          <w:szCs w:val="21"/>
        </w:rPr>
        <w:t>4</w:t>
      </w:r>
      <w:r w:rsidRPr="000004BF">
        <w:rPr>
          <w:rFonts w:eastAsiaTheme="majorEastAsia" w:cs="宋体"/>
          <w:color w:val="333333"/>
          <w:kern w:val="0"/>
          <w:szCs w:val="21"/>
        </w:rPr>
        <w:t>月</w:t>
      </w:r>
      <w:r w:rsidRPr="000004BF">
        <w:rPr>
          <w:rFonts w:eastAsiaTheme="majorEastAsia" w:cs="宋体"/>
          <w:color w:val="333333"/>
          <w:kern w:val="0"/>
          <w:szCs w:val="21"/>
        </w:rPr>
        <w:t>30</w:t>
      </w:r>
      <w:r w:rsidRPr="000004BF">
        <w:rPr>
          <w:rFonts w:eastAsiaTheme="majorEastAsia" w:cs="宋体"/>
          <w:color w:val="333333"/>
          <w:kern w:val="0"/>
          <w:szCs w:val="21"/>
        </w:rPr>
        <w:t>日，维信地产净资产</w:t>
      </w:r>
      <w:r w:rsidRPr="000004BF">
        <w:rPr>
          <w:rFonts w:eastAsiaTheme="majorEastAsia" w:cs="宋体"/>
          <w:color w:val="333333"/>
          <w:kern w:val="0"/>
          <w:szCs w:val="21"/>
        </w:rPr>
        <w:t>5.41</w:t>
      </w:r>
      <w:r w:rsidRPr="000004BF">
        <w:rPr>
          <w:rFonts w:eastAsiaTheme="majorEastAsia" w:cs="宋体"/>
          <w:color w:val="333333"/>
          <w:kern w:val="0"/>
          <w:szCs w:val="21"/>
        </w:rPr>
        <w:t>亿元</w:t>
      </w:r>
      <w:r w:rsidRPr="000004BF">
        <w:rPr>
          <w:rFonts w:eastAsiaTheme="majorEastAsia" w:cs="宋体" w:hint="eastAsia"/>
          <w:color w:val="333333"/>
          <w:kern w:val="0"/>
          <w:szCs w:val="21"/>
        </w:rPr>
        <w:t>；连带责任担保，中颐集团及其实际控制人提供无限连带责任担保。担保方</w:t>
      </w:r>
      <w:r w:rsidRPr="000004BF">
        <w:rPr>
          <w:rFonts w:eastAsiaTheme="majorEastAsia" w:cs="宋体"/>
          <w:color w:val="333333"/>
          <w:kern w:val="0"/>
          <w:szCs w:val="21"/>
        </w:rPr>
        <w:t>中颐集团成立于</w:t>
      </w:r>
      <w:r w:rsidRPr="000004BF">
        <w:rPr>
          <w:rFonts w:eastAsiaTheme="majorEastAsia" w:cs="宋体"/>
          <w:color w:val="333333"/>
          <w:kern w:val="0"/>
          <w:szCs w:val="21"/>
        </w:rPr>
        <w:t>2004</w:t>
      </w:r>
      <w:r w:rsidRPr="000004BF">
        <w:rPr>
          <w:rFonts w:eastAsiaTheme="majorEastAsia" w:cs="宋体"/>
          <w:color w:val="333333"/>
          <w:kern w:val="0"/>
          <w:szCs w:val="21"/>
        </w:rPr>
        <w:t>年，注册资本</w:t>
      </w:r>
      <w:r w:rsidRPr="000004BF">
        <w:rPr>
          <w:rFonts w:eastAsiaTheme="majorEastAsia" w:cs="宋体"/>
          <w:color w:val="333333"/>
          <w:kern w:val="0"/>
          <w:szCs w:val="21"/>
        </w:rPr>
        <w:t>1.51</w:t>
      </w:r>
      <w:r w:rsidRPr="000004BF">
        <w:rPr>
          <w:rFonts w:eastAsiaTheme="majorEastAsia" w:cs="宋体"/>
          <w:color w:val="333333"/>
          <w:kern w:val="0"/>
          <w:szCs w:val="21"/>
        </w:rPr>
        <w:t>亿元，以城市运营和房地产开发为主，同时兼顾建筑、酒店、餐饮、物业管理等；拥有土地储备</w:t>
      </w:r>
      <w:r w:rsidRPr="000004BF">
        <w:rPr>
          <w:rFonts w:eastAsiaTheme="majorEastAsia" w:cs="宋体"/>
          <w:color w:val="333333"/>
          <w:kern w:val="0"/>
          <w:szCs w:val="21"/>
        </w:rPr>
        <w:t>429</w:t>
      </w:r>
      <w:r w:rsidRPr="000004BF">
        <w:rPr>
          <w:rFonts w:eastAsiaTheme="majorEastAsia" w:cs="宋体"/>
          <w:color w:val="333333"/>
          <w:kern w:val="0"/>
          <w:szCs w:val="21"/>
        </w:rPr>
        <w:t>万平方米。</w:t>
      </w:r>
      <w:r w:rsidRPr="000004BF">
        <w:rPr>
          <w:rFonts w:eastAsiaTheme="majorEastAsia" w:cs="宋体"/>
          <w:color w:val="333333"/>
          <w:kern w:val="0"/>
          <w:szCs w:val="21"/>
        </w:rPr>
        <w:t xml:space="preserve"> </w:t>
      </w:r>
      <w:r w:rsidRPr="000004BF">
        <w:rPr>
          <w:rFonts w:eastAsiaTheme="majorEastAsia" w:cs="宋体"/>
          <w:color w:val="333333"/>
          <w:kern w:val="0"/>
          <w:szCs w:val="21"/>
        </w:rPr>
        <w:t>截至</w:t>
      </w:r>
      <w:r w:rsidRPr="000004BF">
        <w:rPr>
          <w:rFonts w:eastAsiaTheme="majorEastAsia" w:cs="宋体"/>
          <w:color w:val="333333"/>
          <w:kern w:val="0"/>
          <w:szCs w:val="21"/>
        </w:rPr>
        <w:t>2012</w:t>
      </w:r>
      <w:r w:rsidRPr="000004BF">
        <w:rPr>
          <w:rFonts w:eastAsiaTheme="majorEastAsia" w:cs="宋体"/>
          <w:color w:val="333333"/>
          <w:kern w:val="0"/>
          <w:szCs w:val="21"/>
        </w:rPr>
        <w:t>年</w:t>
      </w:r>
      <w:r w:rsidRPr="000004BF">
        <w:rPr>
          <w:rFonts w:eastAsiaTheme="majorEastAsia" w:cs="宋体"/>
          <w:color w:val="333333"/>
          <w:kern w:val="0"/>
          <w:szCs w:val="21"/>
        </w:rPr>
        <w:t>12</w:t>
      </w:r>
      <w:r w:rsidRPr="000004BF">
        <w:rPr>
          <w:rFonts w:eastAsiaTheme="majorEastAsia" w:cs="宋体"/>
          <w:color w:val="333333"/>
          <w:kern w:val="0"/>
          <w:szCs w:val="21"/>
        </w:rPr>
        <w:t>月</w:t>
      </w:r>
      <w:r w:rsidRPr="000004BF">
        <w:rPr>
          <w:rFonts w:eastAsiaTheme="majorEastAsia" w:cs="宋体"/>
          <w:color w:val="333333"/>
          <w:kern w:val="0"/>
          <w:szCs w:val="21"/>
        </w:rPr>
        <w:t>31</w:t>
      </w:r>
      <w:r w:rsidRPr="000004BF">
        <w:rPr>
          <w:rFonts w:eastAsiaTheme="majorEastAsia" w:cs="宋体"/>
          <w:color w:val="333333"/>
          <w:kern w:val="0"/>
          <w:szCs w:val="21"/>
        </w:rPr>
        <w:t>日，公司总资产超过</w:t>
      </w:r>
      <w:r w:rsidRPr="000004BF">
        <w:rPr>
          <w:rFonts w:eastAsiaTheme="majorEastAsia" w:cs="宋体"/>
          <w:color w:val="333333"/>
          <w:kern w:val="0"/>
          <w:szCs w:val="21"/>
        </w:rPr>
        <w:t>140</w:t>
      </w:r>
      <w:r w:rsidRPr="000004BF">
        <w:rPr>
          <w:rFonts w:eastAsiaTheme="majorEastAsia" w:cs="宋体"/>
          <w:color w:val="333333"/>
          <w:kern w:val="0"/>
          <w:szCs w:val="21"/>
        </w:rPr>
        <w:t>亿元，净资产达</w:t>
      </w:r>
      <w:r w:rsidRPr="000004BF">
        <w:rPr>
          <w:rFonts w:eastAsiaTheme="majorEastAsia" w:cs="宋体"/>
          <w:color w:val="333333"/>
          <w:kern w:val="0"/>
          <w:szCs w:val="21"/>
        </w:rPr>
        <w:t>70</w:t>
      </w:r>
      <w:r w:rsidRPr="000004BF">
        <w:rPr>
          <w:rFonts w:eastAsiaTheme="majorEastAsia" w:cs="宋体"/>
          <w:color w:val="333333"/>
          <w:kern w:val="0"/>
          <w:szCs w:val="21"/>
        </w:rPr>
        <w:t>亿元，资产负债率</w:t>
      </w:r>
      <w:r w:rsidRPr="000004BF">
        <w:rPr>
          <w:rFonts w:eastAsiaTheme="majorEastAsia" w:cs="宋体"/>
          <w:color w:val="333333"/>
          <w:kern w:val="0"/>
          <w:szCs w:val="21"/>
        </w:rPr>
        <w:t>53%</w:t>
      </w:r>
      <w:r w:rsidRPr="000004BF">
        <w:rPr>
          <w:rFonts w:eastAsiaTheme="majorEastAsia" w:cs="宋体"/>
          <w:color w:val="333333"/>
          <w:kern w:val="0"/>
          <w:szCs w:val="21"/>
        </w:rPr>
        <w:t>；</w:t>
      </w:r>
      <w:r w:rsidRPr="000004BF">
        <w:rPr>
          <w:rFonts w:eastAsiaTheme="majorEastAsia" w:cs="宋体"/>
          <w:color w:val="333333"/>
          <w:kern w:val="0"/>
          <w:szCs w:val="21"/>
        </w:rPr>
        <w:t>2012</w:t>
      </w:r>
      <w:r w:rsidRPr="000004BF">
        <w:rPr>
          <w:rFonts w:eastAsiaTheme="majorEastAsia" w:cs="宋体"/>
          <w:color w:val="333333"/>
          <w:kern w:val="0"/>
          <w:szCs w:val="21"/>
        </w:rPr>
        <w:t>年</w:t>
      </w:r>
      <w:r w:rsidRPr="000004BF">
        <w:rPr>
          <w:rFonts w:eastAsiaTheme="majorEastAsia" w:cs="宋体"/>
          <w:color w:val="333333"/>
          <w:kern w:val="0"/>
          <w:szCs w:val="21"/>
        </w:rPr>
        <w:t>1-12</w:t>
      </w:r>
      <w:r w:rsidRPr="000004BF">
        <w:rPr>
          <w:rFonts w:eastAsiaTheme="majorEastAsia" w:cs="宋体"/>
          <w:color w:val="333333"/>
          <w:kern w:val="0"/>
          <w:szCs w:val="21"/>
        </w:rPr>
        <w:t>月，利润</w:t>
      </w:r>
      <w:r w:rsidRPr="000004BF">
        <w:rPr>
          <w:rFonts w:eastAsiaTheme="majorEastAsia" w:cs="宋体"/>
          <w:color w:val="333333"/>
          <w:kern w:val="0"/>
          <w:szCs w:val="21"/>
        </w:rPr>
        <w:t>13.7</w:t>
      </w:r>
      <w:r w:rsidRPr="000004BF">
        <w:rPr>
          <w:rFonts w:eastAsiaTheme="majorEastAsia" w:cs="宋体"/>
          <w:color w:val="333333"/>
          <w:kern w:val="0"/>
          <w:szCs w:val="21"/>
        </w:rPr>
        <w:t>亿元；</w:t>
      </w:r>
      <w:r w:rsidRPr="000004BF">
        <w:rPr>
          <w:rFonts w:eastAsiaTheme="majorEastAsia" w:cs="宋体"/>
          <w:color w:val="333333"/>
          <w:kern w:val="0"/>
          <w:szCs w:val="21"/>
        </w:rPr>
        <w:t>2013</w:t>
      </w:r>
      <w:r w:rsidRPr="000004BF">
        <w:rPr>
          <w:rFonts w:eastAsiaTheme="majorEastAsia" w:cs="宋体"/>
          <w:color w:val="333333"/>
          <w:kern w:val="0"/>
          <w:szCs w:val="21"/>
        </w:rPr>
        <w:t>年</w:t>
      </w:r>
      <w:r w:rsidRPr="000004BF">
        <w:rPr>
          <w:rFonts w:eastAsiaTheme="majorEastAsia" w:cs="宋体"/>
          <w:color w:val="333333"/>
          <w:kern w:val="0"/>
          <w:szCs w:val="21"/>
        </w:rPr>
        <w:t>1-6</w:t>
      </w:r>
      <w:r w:rsidRPr="000004BF">
        <w:rPr>
          <w:rFonts w:eastAsiaTheme="majorEastAsia" w:cs="宋体"/>
          <w:color w:val="333333"/>
          <w:kern w:val="0"/>
          <w:szCs w:val="21"/>
        </w:rPr>
        <w:t>月，地产销售收入</w:t>
      </w:r>
      <w:r w:rsidRPr="000004BF">
        <w:rPr>
          <w:rFonts w:eastAsiaTheme="majorEastAsia" w:cs="宋体"/>
          <w:color w:val="333333"/>
          <w:kern w:val="0"/>
          <w:szCs w:val="21"/>
        </w:rPr>
        <w:t>50</w:t>
      </w:r>
      <w:r w:rsidRPr="000004BF">
        <w:rPr>
          <w:rFonts w:eastAsiaTheme="majorEastAsia" w:cs="宋体"/>
          <w:color w:val="333333"/>
          <w:kern w:val="0"/>
          <w:szCs w:val="21"/>
        </w:rPr>
        <w:t>亿元，全年收入</w:t>
      </w:r>
      <w:r w:rsidRPr="000004BF">
        <w:rPr>
          <w:rFonts w:eastAsiaTheme="majorEastAsia" w:cs="宋体"/>
          <w:color w:val="333333"/>
          <w:kern w:val="0"/>
          <w:szCs w:val="21"/>
        </w:rPr>
        <w:t>100</w:t>
      </w:r>
      <w:r w:rsidRPr="000004BF">
        <w:rPr>
          <w:rFonts w:eastAsiaTheme="majorEastAsia" w:cs="宋体"/>
          <w:color w:val="333333"/>
          <w:kern w:val="0"/>
          <w:szCs w:val="21"/>
        </w:rPr>
        <w:t>亿元。</w:t>
      </w:r>
      <w:r w:rsidRPr="000004BF">
        <w:rPr>
          <w:rFonts w:eastAsiaTheme="majorEastAsia" w:cs="宋体" w:hint="eastAsia"/>
          <w:color w:val="333333"/>
          <w:kern w:val="0"/>
          <w:szCs w:val="21"/>
        </w:rPr>
        <w:t>实力雄厚，财务状况良好，拥有担保能力。</w:t>
      </w:r>
    </w:p>
    <w:p w:rsidR="00616C93" w:rsidRPr="000004BF" w:rsidRDefault="00616C93" w:rsidP="00F15957">
      <w:pPr>
        <w:spacing w:line="360" w:lineRule="auto"/>
        <w:ind w:firstLineChars="200" w:firstLine="420"/>
        <w:rPr>
          <w:rFonts w:eastAsiaTheme="majorEastAsia" w:cs="宋体"/>
          <w:color w:val="333333"/>
          <w:kern w:val="0"/>
          <w:szCs w:val="21"/>
        </w:rPr>
      </w:pPr>
      <w:r w:rsidRPr="000004BF">
        <w:rPr>
          <w:rFonts w:eastAsiaTheme="majorEastAsia" w:cs="宋体" w:hint="eastAsia"/>
          <w:color w:val="333333"/>
          <w:kern w:val="0"/>
          <w:szCs w:val="21"/>
        </w:rPr>
        <w:t>融资</w:t>
      </w:r>
      <w:r w:rsidRPr="000004BF">
        <w:rPr>
          <w:rFonts w:eastAsiaTheme="majorEastAsia" w:cs="宋体"/>
          <w:color w:val="333333"/>
          <w:kern w:val="0"/>
          <w:szCs w:val="21"/>
        </w:rPr>
        <w:t>项目</w:t>
      </w:r>
      <w:r w:rsidRPr="000004BF">
        <w:rPr>
          <w:rFonts w:eastAsiaTheme="majorEastAsia" w:cs="宋体" w:hint="eastAsia"/>
          <w:color w:val="333333"/>
          <w:kern w:val="0"/>
          <w:szCs w:val="21"/>
        </w:rPr>
        <w:t>“</w:t>
      </w:r>
      <w:r w:rsidRPr="000004BF">
        <w:rPr>
          <w:rFonts w:eastAsiaTheme="majorEastAsia" w:cs="宋体"/>
          <w:color w:val="333333"/>
          <w:kern w:val="0"/>
          <w:szCs w:val="21"/>
        </w:rPr>
        <w:t>海伦堡</w:t>
      </w:r>
      <w:r w:rsidRPr="000004BF">
        <w:rPr>
          <w:rFonts w:eastAsiaTheme="majorEastAsia" w:cs="宋体" w:hint="eastAsia"/>
          <w:color w:val="333333"/>
          <w:kern w:val="0"/>
          <w:szCs w:val="21"/>
        </w:rPr>
        <w:t>·</w:t>
      </w:r>
      <w:r w:rsidRPr="000004BF">
        <w:rPr>
          <w:rFonts w:eastAsiaTheme="majorEastAsia" w:cs="宋体"/>
          <w:color w:val="333333"/>
          <w:kern w:val="0"/>
          <w:szCs w:val="21"/>
        </w:rPr>
        <w:t>流金岁月</w:t>
      </w:r>
      <w:r w:rsidRPr="000004BF">
        <w:rPr>
          <w:rFonts w:eastAsiaTheme="majorEastAsia" w:cs="宋体" w:hint="eastAsia"/>
          <w:color w:val="333333"/>
          <w:kern w:val="0"/>
          <w:szCs w:val="21"/>
        </w:rPr>
        <w:t>”</w:t>
      </w:r>
      <w:r w:rsidRPr="000004BF">
        <w:rPr>
          <w:rFonts w:eastAsiaTheme="majorEastAsia" w:cs="宋体"/>
          <w:color w:val="333333"/>
          <w:kern w:val="0"/>
          <w:szCs w:val="21"/>
        </w:rPr>
        <w:t>位于广州市番禺区市桥南区福德路</w:t>
      </w:r>
      <w:r w:rsidRPr="000004BF">
        <w:rPr>
          <w:rFonts w:eastAsiaTheme="majorEastAsia" w:cs="宋体"/>
          <w:color w:val="333333"/>
          <w:kern w:val="0"/>
          <w:szCs w:val="21"/>
        </w:rPr>
        <w:t>223</w:t>
      </w:r>
      <w:r w:rsidRPr="000004BF">
        <w:rPr>
          <w:rFonts w:eastAsiaTheme="majorEastAsia" w:cs="宋体"/>
          <w:color w:val="333333"/>
          <w:kern w:val="0"/>
          <w:szCs w:val="21"/>
        </w:rPr>
        <w:t>号，地处广州番禺区中心，拥有</w:t>
      </w:r>
      <w:r w:rsidRPr="000004BF">
        <w:rPr>
          <w:rFonts w:eastAsiaTheme="majorEastAsia" w:cs="宋体"/>
          <w:color w:val="333333"/>
          <w:kern w:val="0"/>
          <w:szCs w:val="21"/>
        </w:rPr>
        <w:t>1.8</w:t>
      </w:r>
      <w:r w:rsidRPr="000004BF">
        <w:rPr>
          <w:rFonts w:eastAsiaTheme="majorEastAsia" w:cs="宋体"/>
          <w:color w:val="333333"/>
          <w:kern w:val="0"/>
          <w:szCs w:val="21"/>
        </w:rPr>
        <w:t>公里江景，紧邻番禺中学。项目总用地</w:t>
      </w:r>
      <w:r w:rsidRPr="000004BF">
        <w:rPr>
          <w:rFonts w:eastAsiaTheme="majorEastAsia" w:cs="宋体"/>
          <w:color w:val="333333"/>
          <w:kern w:val="0"/>
          <w:szCs w:val="21"/>
        </w:rPr>
        <w:t>193350.90</w:t>
      </w:r>
      <w:r w:rsidRPr="000004BF">
        <w:rPr>
          <w:rFonts w:eastAsiaTheme="majorEastAsia" w:cs="宋体"/>
          <w:color w:val="333333"/>
          <w:kern w:val="0"/>
          <w:szCs w:val="21"/>
        </w:rPr>
        <w:t>平方米，总建筑面积</w:t>
      </w:r>
      <w:r w:rsidRPr="000004BF">
        <w:rPr>
          <w:rFonts w:eastAsiaTheme="majorEastAsia" w:cs="宋体"/>
          <w:color w:val="333333"/>
          <w:kern w:val="0"/>
          <w:szCs w:val="21"/>
        </w:rPr>
        <w:t>55</w:t>
      </w:r>
      <w:r w:rsidRPr="000004BF">
        <w:rPr>
          <w:rFonts w:eastAsiaTheme="majorEastAsia" w:cs="宋体"/>
          <w:color w:val="333333"/>
          <w:kern w:val="0"/>
          <w:szCs w:val="21"/>
        </w:rPr>
        <w:t>万平方米，共分五期开发；拟建</w:t>
      </w:r>
      <w:r w:rsidRPr="000004BF">
        <w:rPr>
          <w:rFonts w:eastAsiaTheme="majorEastAsia" w:cs="宋体"/>
          <w:color w:val="333333"/>
          <w:kern w:val="0"/>
          <w:szCs w:val="21"/>
        </w:rPr>
        <w:t>20</w:t>
      </w:r>
      <w:r w:rsidRPr="000004BF">
        <w:rPr>
          <w:rFonts w:eastAsiaTheme="majorEastAsia" w:cs="宋体"/>
          <w:color w:val="333333"/>
          <w:kern w:val="0"/>
          <w:szCs w:val="21"/>
        </w:rPr>
        <w:t>栋</w:t>
      </w:r>
      <w:r w:rsidRPr="000004BF">
        <w:rPr>
          <w:rFonts w:eastAsiaTheme="majorEastAsia" w:cs="宋体"/>
          <w:color w:val="333333"/>
          <w:kern w:val="0"/>
          <w:szCs w:val="21"/>
        </w:rPr>
        <w:t>28</w:t>
      </w:r>
      <w:r w:rsidRPr="000004BF">
        <w:rPr>
          <w:rFonts w:eastAsiaTheme="majorEastAsia" w:cs="宋体"/>
          <w:color w:val="333333"/>
          <w:kern w:val="0"/>
          <w:szCs w:val="21"/>
        </w:rPr>
        <w:t>层高层洋房；其中流金岁月二期包含</w:t>
      </w:r>
      <w:r w:rsidRPr="000004BF">
        <w:rPr>
          <w:rFonts w:eastAsiaTheme="majorEastAsia" w:cs="宋体"/>
          <w:color w:val="333333"/>
          <w:kern w:val="0"/>
          <w:szCs w:val="21"/>
        </w:rPr>
        <w:t>48</w:t>
      </w:r>
      <w:r w:rsidRPr="000004BF">
        <w:rPr>
          <w:rFonts w:eastAsiaTheme="majorEastAsia" w:cs="宋体"/>
          <w:color w:val="333333"/>
          <w:kern w:val="0"/>
          <w:szCs w:val="21"/>
        </w:rPr>
        <w:t>套复式，</w:t>
      </w:r>
      <w:r w:rsidRPr="000004BF">
        <w:rPr>
          <w:rFonts w:eastAsiaTheme="majorEastAsia" w:cs="宋体"/>
          <w:color w:val="333333"/>
          <w:kern w:val="0"/>
          <w:szCs w:val="21"/>
        </w:rPr>
        <w:t>18</w:t>
      </w:r>
      <w:r w:rsidRPr="000004BF">
        <w:rPr>
          <w:rFonts w:eastAsiaTheme="majorEastAsia" w:cs="宋体"/>
          <w:color w:val="333333"/>
          <w:kern w:val="0"/>
          <w:szCs w:val="21"/>
        </w:rPr>
        <w:t>套别墅；前三期均已竣工验收，除部分商业外，其余均售罄并交房；四期已完工在售</w:t>
      </w:r>
      <w:r w:rsidRPr="000004BF">
        <w:rPr>
          <w:rFonts w:eastAsiaTheme="majorEastAsia" w:cs="宋体" w:hint="eastAsia"/>
          <w:color w:val="333333"/>
          <w:kern w:val="0"/>
          <w:szCs w:val="21"/>
        </w:rPr>
        <w:t>。</w:t>
      </w:r>
      <w:r w:rsidRPr="000004BF">
        <w:rPr>
          <w:rFonts w:eastAsiaTheme="majorEastAsia" w:cs="宋体"/>
          <w:color w:val="333333"/>
          <w:kern w:val="0"/>
          <w:szCs w:val="21"/>
        </w:rPr>
        <w:t>截至</w:t>
      </w:r>
      <w:r w:rsidRPr="000004BF">
        <w:rPr>
          <w:rFonts w:eastAsiaTheme="majorEastAsia" w:cs="宋体"/>
          <w:color w:val="333333"/>
          <w:kern w:val="0"/>
          <w:szCs w:val="21"/>
        </w:rPr>
        <w:t>2013</w:t>
      </w:r>
      <w:r w:rsidRPr="000004BF">
        <w:rPr>
          <w:rFonts w:eastAsiaTheme="majorEastAsia" w:cs="宋体"/>
          <w:color w:val="333333"/>
          <w:kern w:val="0"/>
          <w:szCs w:val="21"/>
        </w:rPr>
        <w:t>年</w:t>
      </w:r>
      <w:r w:rsidRPr="000004BF">
        <w:rPr>
          <w:rFonts w:eastAsiaTheme="majorEastAsia" w:cs="宋体"/>
          <w:color w:val="333333"/>
          <w:kern w:val="0"/>
          <w:szCs w:val="21"/>
        </w:rPr>
        <w:t>6</w:t>
      </w:r>
      <w:r w:rsidRPr="000004BF">
        <w:rPr>
          <w:rFonts w:eastAsiaTheme="majorEastAsia" w:cs="宋体"/>
          <w:color w:val="333333"/>
          <w:kern w:val="0"/>
          <w:szCs w:val="21"/>
        </w:rPr>
        <w:t>月</w:t>
      </w:r>
      <w:r w:rsidRPr="000004BF">
        <w:rPr>
          <w:rFonts w:eastAsiaTheme="majorEastAsia" w:cs="宋体"/>
          <w:color w:val="333333"/>
          <w:kern w:val="0"/>
          <w:szCs w:val="21"/>
        </w:rPr>
        <w:t>30</w:t>
      </w:r>
      <w:r w:rsidRPr="000004BF">
        <w:rPr>
          <w:rFonts w:eastAsiaTheme="majorEastAsia" w:cs="宋体"/>
          <w:color w:val="333333"/>
          <w:kern w:val="0"/>
          <w:szCs w:val="21"/>
        </w:rPr>
        <w:t>日，已竣工未售房源共计</w:t>
      </w:r>
      <w:r w:rsidRPr="000004BF">
        <w:rPr>
          <w:rFonts w:eastAsiaTheme="majorEastAsia" w:cs="宋体"/>
          <w:color w:val="333333"/>
          <w:kern w:val="0"/>
          <w:szCs w:val="21"/>
        </w:rPr>
        <w:t>9.6</w:t>
      </w:r>
      <w:r w:rsidRPr="000004BF">
        <w:rPr>
          <w:rFonts w:eastAsiaTheme="majorEastAsia" w:cs="宋体"/>
          <w:color w:val="333333"/>
          <w:kern w:val="0"/>
          <w:szCs w:val="21"/>
        </w:rPr>
        <w:t>万平米，预计收入</w:t>
      </w:r>
      <w:r w:rsidRPr="000004BF">
        <w:rPr>
          <w:rFonts w:eastAsiaTheme="majorEastAsia" w:cs="宋体"/>
          <w:color w:val="333333"/>
          <w:kern w:val="0"/>
          <w:szCs w:val="21"/>
        </w:rPr>
        <w:t>23.5</w:t>
      </w:r>
      <w:r w:rsidRPr="000004BF">
        <w:rPr>
          <w:rFonts w:eastAsiaTheme="majorEastAsia" w:cs="宋体"/>
          <w:color w:val="333333"/>
          <w:kern w:val="0"/>
          <w:szCs w:val="21"/>
        </w:rPr>
        <w:t>亿，单价</w:t>
      </w:r>
      <w:r w:rsidRPr="000004BF">
        <w:rPr>
          <w:rFonts w:eastAsiaTheme="majorEastAsia" w:cs="宋体"/>
          <w:color w:val="333333"/>
          <w:kern w:val="0"/>
          <w:szCs w:val="21"/>
        </w:rPr>
        <w:t>24479.17</w:t>
      </w:r>
      <w:r w:rsidRPr="000004BF">
        <w:rPr>
          <w:rFonts w:eastAsiaTheme="majorEastAsia" w:cs="宋体"/>
          <w:color w:val="333333"/>
          <w:kern w:val="0"/>
          <w:szCs w:val="21"/>
        </w:rPr>
        <w:t>元</w:t>
      </w:r>
      <w:r w:rsidRPr="000004BF">
        <w:rPr>
          <w:rFonts w:eastAsiaTheme="majorEastAsia" w:cs="宋体"/>
          <w:color w:val="333333"/>
          <w:kern w:val="0"/>
          <w:szCs w:val="21"/>
        </w:rPr>
        <w:t>/</w:t>
      </w:r>
      <w:r w:rsidRPr="000004BF">
        <w:rPr>
          <w:rFonts w:eastAsiaTheme="majorEastAsia" w:cs="宋体"/>
          <w:color w:val="333333"/>
          <w:kern w:val="0"/>
          <w:szCs w:val="21"/>
        </w:rPr>
        <w:t>平方米。</w:t>
      </w:r>
    </w:p>
    <w:p w:rsidR="00616C93" w:rsidRDefault="00616C93" w:rsidP="00616C93">
      <w:pPr>
        <w:spacing w:line="360" w:lineRule="auto"/>
        <w:rPr>
          <w:b/>
          <w:sz w:val="24"/>
          <w:szCs w:val="24"/>
        </w:rPr>
      </w:pPr>
      <w:r>
        <w:rPr>
          <w:rFonts w:hint="eastAsia"/>
          <w:b/>
          <w:sz w:val="24"/>
          <w:szCs w:val="24"/>
        </w:rPr>
        <w:t>（三）、</w:t>
      </w:r>
      <w:r>
        <w:rPr>
          <w:rFonts w:hint="eastAsia"/>
          <w:b/>
          <w:sz w:val="24"/>
          <w:szCs w:val="24"/>
        </w:rPr>
        <w:t>10</w:t>
      </w:r>
      <w:r>
        <w:rPr>
          <w:rFonts w:hint="eastAsia"/>
          <w:b/>
          <w:sz w:val="24"/>
          <w:szCs w:val="24"/>
        </w:rPr>
        <w:t>月信托产品投资方向</w:t>
      </w:r>
    </w:p>
    <w:p w:rsidR="00616C93" w:rsidRPr="000004BF" w:rsidRDefault="00C21748" w:rsidP="00F15957">
      <w:pPr>
        <w:spacing w:line="360" w:lineRule="auto"/>
        <w:ind w:firstLineChars="200" w:firstLine="420"/>
        <w:rPr>
          <w:rFonts w:eastAsiaTheme="majorEastAsia" w:cs="宋体"/>
          <w:color w:val="333333"/>
          <w:kern w:val="0"/>
          <w:szCs w:val="21"/>
        </w:rPr>
      </w:pPr>
      <w:r>
        <w:rPr>
          <w:rFonts w:eastAsiaTheme="majorEastAsia" w:cs="宋体"/>
          <w:noProof/>
          <w:color w:val="333333"/>
          <w:kern w:val="0"/>
          <w:szCs w:val="21"/>
        </w:rPr>
        <w:pict>
          <v:shape id="_x0000_s1150" type="#_x0000_t202" style="position:absolute;left:0;text-align:left;margin-left:151.65pt;margin-top:121.8pt;width:116.55pt;height:26.25pt;z-index:251919360;mso-width-relative:margin;mso-height-relative:margin;v-text-anchor:middle" filled="f" stroked="f">
            <v:textbox style="mso-next-textbox:#_x0000_s1150">
              <w:txbxContent>
                <w:p w:rsidR="00102626" w:rsidRDefault="00102626" w:rsidP="00102626">
                  <w:pPr>
                    <w:jc w:val="center"/>
                  </w:pPr>
                  <w:r>
                    <w:rPr>
                      <w:rFonts w:hint="eastAsia"/>
                    </w:rPr>
                    <w:t>第</w:t>
                  </w:r>
                  <w:r>
                    <w:rPr>
                      <w:rFonts w:hint="eastAsia"/>
                    </w:rPr>
                    <w:t>9</w:t>
                  </w:r>
                  <w:r>
                    <w:rPr>
                      <w:rFonts w:hint="eastAsia"/>
                    </w:rPr>
                    <w:t>页</w:t>
                  </w:r>
                </w:p>
              </w:txbxContent>
            </v:textbox>
          </v:shape>
        </w:pict>
      </w:r>
      <w:r w:rsidR="00616C93" w:rsidRPr="000004BF">
        <w:rPr>
          <w:rFonts w:eastAsiaTheme="majorEastAsia" w:cs="宋体" w:hint="eastAsia"/>
          <w:color w:val="333333"/>
          <w:kern w:val="0"/>
          <w:szCs w:val="21"/>
        </w:rPr>
        <w:t>信托资金在本月投资于金融市场的比例为</w:t>
      </w:r>
      <w:r w:rsidR="00616C93" w:rsidRPr="000004BF">
        <w:rPr>
          <w:rFonts w:eastAsiaTheme="majorEastAsia" w:cs="宋体" w:hint="eastAsia"/>
          <w:color w:val="333333"/>
          <w:kern w:val="0"/>
          <w:szCs w:val="21"/>
        </w:rPr>
        <w:t>44.42%</w:t>
      </w:r>
      <w:r w:rsidR="00616C93" w:rsidRPr="000004BF">
        <w:rPr>
          <w:rFonts w:eastAsiaTheme="majorEastAsia" w:cs="宋体" w:hint="eastAsia"/>
          <w:color w:val="333333"/>
          <w:kern w:val="0"/>
          <w:szCs w:val="21"/>
        </w:rPr>
        <w:t>，较上月有大幅增长，霸占投资领域第一的位置；投向房地产的集合信托资金为</w:t>
      </w:r>
      <w:r w:rsidR="00616C93" w:rsidRPr="000004BF">
        <w:rPr>
          <w:rFonts w:eastAsiaTheme="majorEastAsia" w:cs="宋体" w:hint="eastAsia"/>
          <w:color w:val="333333"/>
          <w:kern w:val="0"/>
          <w:szCs w:val="21"/>
        </w:rPr>
        <w:t>20.76%</w:t>
      </w:r>
      <w:r w:rsidR="00616C93" w:rsidRPr="000004BF">
        <w:rPr>
          <w:rFonts w:eastAsiaTheme="majorEastAsia" w:cs="宋体" w:hint="eastAsia"/>
          <w:color w:val="333333"/>
          <w:kern w:val="0"/>
          <w:szCs w:val="21"/>
        </w:rPr>
        <w:t>，较上月下降了</w:t>
      </w:r>
      <w:r w:rsidR="00616C93" w:rsidRPr="000004BF">
        <w:rPr>
          <w:rFonts w:eastAsiaTheme="majorEastAsia" w:cs="宋体" w:hint="eastAsia"/>
          <w:color w:val="333333"/>
          <w:kern w:val="0"/>
          <w:szCs w:val="21"/>
        </w:rPr>
        <w:t>12.93%</w:t>
      </w:r>
      <w:r w:rsidR="00616C93" w:rsidRPr="000004BF">
        <w:rPr>
          <w:rFonts w:eastAsiaTheme="majorEastAsia" w:cs="宋体" w:hint="eastAsia"/>
          <w:color w:val="333333"/>
          <w:kern w:val="0"/>
          <w:szCs w:val="21"/>
        </w:rPr>
        <w:t>；而工商企业方向的资金比例为</w:t>
      </w:r>
      <w:r w:rsidR="00616C93" w:rsidRPr="000004BF">
        <w:rPr>
          <w:rFonts w:eastAsiaTheme="majorEastAsia" w:cs="宋体" w:hint="eastAsia"/>
          <w:color w:val="333333"/>
          <w:kern w:val="0"/>
          <w:szCs w:val="21"/>
        </w:rPr>
        <w:t>13.85%</w:t>
      </w:r>
      <w:r w:rsidR="00616C93" w:rsidRPr="000004BF">
        <w:rPr>
          <w:rFonts w:eastAsiaTheme="majorEastAsia" w:cs="宋体" w:hint="eastAsia"/>
          <w:color w:val="333333"/>
          <w:kern w:val="0"/>
          <w:szCs w:val="21"/>
        </w:rPr>
        <w:t>，较上月也有所下降；投向基础产业方向的资金比例同样也有所下滑，为</w:t>
      </w:r>
      <w:r w:rsidR="00616C93" w:rsidRPr="000004BF">
        <w:rPr>
          <w:rFonts w:eastAsiaTheme="majorEastAsia" w:cs="宋体" w:hint="eastAsia"/>
          <w:color w:val="333333"/>
          <w:kern w:val="0"/>
          <w:szCs w:val="21"/>
        </w:rPr>
        <w:t>7.58%</w:t>
      </w:r>
      <w:r w:rsidR="00616C93" w:rsidRPr="000004BF">
        <w:rPr>
          <w:rFonts w:eastAsiaTheme="majorEastAsia" w:cs="宋体" w:hint="eastAsia"/>
          <w:color w:val="333333"/>
          <w:kern w:val="0"/>
          <w:szCs w:val="21"/>
        </w:rPr>
        <w:t>。但就规模来看，除了金融市场方向，其余投向规模均出现不同程度的缩水。</w:t>
      </w:r>
    </w:p>
    <w:p w:rsidR="00616C93" w:rsidRPr="00A8555C" w:rsidRDefault="00C21748" w:rsidP="00C21748">
      <w:pPr>
        <w:spacing w:beforeLines="100" w:line="360" w:lineRule="auto"/>
        <w:jc w:val="center"/>
      </w:pPr>
      <w:r>
        <w:rPr>
          <w:rFonts w:hAnsi="宋体"/>
          <w:noProof/>
        </w:rPr>
        <w:lastRenderedPageBreak/>
        <w:drawing>
          <wp:anchor distT="0" distB="0" distL="114300" distR="114300" simplePos="0" relativeHeight="251901952" behindDoc="1" locked="0" layoutInCell="1" allowOverlap="1">
            <wp:simplePos x="0" y="0"/>
            <wp:positionH relativeFrom="column">
              <wp:posOffset>-1122045</wp:posOffset>
            </wp:positionH>
            <wp:positionV relativeFrom="paragraph">
              <wp:posOffset>-1440180</wp:posOffset>
            </wp:positionV>
            <wp:extent cx="7562850" cy="10706100"/>
            <wp:effectExtent l="19050" t="0" r="0" b="0"/>
            <wp:wrapNone/>
            <wp:docPr id="25"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r w:rsidR="00616C93" w:rsidRPr="000004BF">
        <w:rPr>
          <w:rFonts w:hAnsi="宋体"/>
        </w:rPr>
        <w:t>图</w:t>
      </w:r>
      <w:r w:rsidR="00616C93" w:rsidRPr="000004BF">
        <w:t>2</w:t>
      </w:r>
      <w:r w:rsidR="00616C93" w:rsidRPr="000004BF">
        <w:rPr>
          <w:rFonts w:hAnsi="宋体"/>
        </w:rPr>
        <w:t>：本月新成立信托产品投资方向分布</w:t>
      </w:r>
    </w:p>
    <w:p w:rsidR="00102626" w:rsidRDefault="00616C93" w:rsidP="00C21748">
      <w:pPr>
        <w:spacing w:line="360" w:lineRule="auto"/>
        <w:jc w:val="center"/>
        <w:rPr>
          <w:szCs w:val="21"/>
        </w:rPr>
      </w:pPr>
      <w:r>
        <w:rPr>
          <w:noProof/>
          <w:szCs w:val="21"/>
        </w:rPr>
        <w:drawing>
          <wp:inline distT="0" distB="0" distL="0" distR="0">
            <wp:extent cx="4627418" cy="3023755"/>
            <wp:effectExtent l="19050" t="0" r="20782" b="5195"/>
            <wp:docPr id="1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C93" w:rsidRPr="000004BF" w:rsidRDefault="00616C93" w:rsidP="00C21748">
      <w:pPr>
        <w:spacing w:beforeLines="100" w:line="360" w:lineRule="auto"/>
        <w:jc w:val="center"/>
        <w:rPr>
          <w:szCs w:val="21"/>
        </w:rPr>
      </w:pPr>
      <w:r w:rsidRPr="000004BF">
        <w:rPr>
          <w:rFonts w:hAnsi="宋体"/>
        </w:rPr>
        <w:t>表</w:t>
      </w:r>
      <w:r w:rsidRPr="000004BF">
        <w:t>3</w:t>
      </w:r>
      <w:r w:rsidRPr="000004BF">
        <w:rPr>
          <w:szCs w:val="21"/>
        </w:rPr>
        <w:t>：本月新成立信托产品投资方向分布</w:t>
      </w:r>
    </w:p>
    <w:tbl>
      <w:tblPr>
        <w:tblW w:w="8374" w:type="dxa"/>
        <w:tblInd w:w="98" w:type="dxa"/>
        <w:tblLook w:val="04A0"/>
      </w:tblPr>
      <w:tblGrid>
        <w:gridCol w:w="1300"/>
        <w:gridCol w:w="1545"/>
        <w:gridCol w:w="1843"/>
        <w:gridCol w:w="1843"/>
        <w:gridCol w:w="1843"/>
      </w:tblGrid>
      <w:tr w:rsidR="00616C93" w:rsidRPr="004539C5" w:rsidTr="00616C93">
        <w:trPr>
          <w:trHeight w:val="324"/>
        </w:trPr>
        <w:tc>
          <w:tcPr>
            <w:tcW w:w="1300" w:type="dxa"/>
            <w:tcBorders>
              <w:top w:val="single" w:sz="8" w:space="0" w:color="000000"/>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p>
        </w:tc>
        <w:tc>
          <w:tcPr>
            <w:tcW w:w="1545" w:type="dxa"/>
            <w:tcBorders>
              <w:top w:val="single" w:sz="8" w:space="0" w:color="000000"/>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数量（个）</w:t>
            </w:r>
          </w:p>
        </w:tc>
        <w:tc>
          <w:tcPr>
            <w:tcW w:w="1843" w:type="dxa"/>
            <w:tcBorders>
              <w:top w:val="single" w:sz="8" w:space="0" w:color="000000"/>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规模（亿元）</w:t>
            </w:r>
          </w:p>
        </w:tc>
        <w:tc>
          <w:tcPr>
            <w:tcW w:w="1843" w:type="dxa"/>
            <w:tcBorders>
              <w:top w:val="single" w:sz="8" w:space="0" w:color="000000"/>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平均期限（年）</w:t>
            </w:r>
          </w:p>
        </w:tc>
        <w:tc>
          <w:tcPr>
            <w:tcW w:w="1843" w:type="dxa"/>
            <w:tcBorders>
              <w:top w:val="single" w:sz="8" w:space="0" w:color="000000"/>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平均收益率</w:t>
            </w:r>
          </w:p>
        </w:tc>
      </w:tr>
      <w:tr w:rsidR="00616C93" w:rsidRPr="004539C5" w:rsidTr="00616C93">
        <w:trPr>
          <w:trHeight w:val="324"/>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金融市场</w:t>
            </w:r>
          </w:p>
        </w:tc>
        <w:tc>
          <w:tcPr>
            <w:tcW w:w="154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90</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146.16</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1.20</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7.51%</w:t>
            </w:r>
          </w:p>
        </w:tc>
      </w:tr>
      <w:tr w:rsidR="00616C93" w:rsidRPr="004539C5" w:rsidTr="00616C93">
        <w:trPr>
          <w:trHeight w:val="324"/>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房地产</w:t>
            </w:r>
          </w:p>
        </w:tc>
        <w:tc>
          <w:tcPr>
            <w:tcW w:w="154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23</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68.30</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2.02</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9.57%</w:t>
            </w:r>
          </w:p>
        </w:tc>
      </w:tr>
      <w:tr w:rsidR="00616C93" w:rsidRPr="004539C5" w:rsidTr="00616C93">
        <w:trPr>
          <w:trHeight w:val="324"/>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基础产业</w:t>
            </w:r>
          </w:p>
        </w:tc>
        <w:tc>
          <w:tcPr>
            <w:tcW w:w="154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16</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24.94</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1.79</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9.33%</w:t>
            </w:r>
          </w:p>
        </w:tc>
      </w:tr>
      <w:tr w:rsidR="00616C93" w:rsidRPr="004539C5" w:rsidTr="00616C93">
        <w:trPr>
          <w:trHeight w:val="324"/>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工商企业</w:t>
            </w:r>
          </w:p>
        </w:tc>
        <w:tc>
          <w:tcPr>
            <w:tcW w:w="154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42</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45.57</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1.62</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8.90%</w:t>
            </w:r>
          </w:p>
        </w:tc>
      </w:tr>
      <w:tr w:rsidR="00616C93" w:rsidRPr="004539C5" w:rsidTr="00616C93">
        <w:trPr>
          <w:trHeight w:val="324"/>
        </w:trPr>
        <w:tc>
          <w:tcPr>
            <w:tcW w:w="1300" w:type="dxa"/>
            <w:tcBorders>
              <w:top w:val="nil"/>
              <w:left w:val="single" w:sz="8" w:space="0" w:color="000000"/>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宋体"/>
              </w:rPr>
              <w:t>其他</w:t>
            </w:r>
          </w:p>
        </w:tc>
        <w:tc>
          <w:tcPr>
            <w:tcW w:w="1545"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52</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44.07</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1.47</w:t>
            </w:r>
          </w:p>
        </w:tc>
        <w:tc>
          <w:tcPr>
            <w:tcW w:w="1843" w:type="dxa"/>
            <w:tcBorders>
              <w:top w:val="nil"/>
              <w:left w:val="nil"/>
              <w:bottom w:val="single" w:sz="8" w:space="0" w:color="000000"/>
              <w:right w:val="single" w:sz="8" w:space="0" w:color="000000"/>
            </w:tcBorders>
            <w:shd w:val="clear" w:color="auto" w:fill="auto"/>
            <w:hideMark/>
          </w:tcPr>
          <w:p w:rsidR="00616C93" w:rsidRPr="000004BF" w:rsidRDefault="00616C93" w:rsidP="000004BF">
            <w:pPr>
              <w:pStyle w:val="10"/>
              <w:spacing w:line="360" w:lineRule="auto"/>
              <w:ind w:firstLineChars="0" w:firstLine="0"/>
              <w:jc w:val="center"/>
              <w:rPr>
                <w:rFonts w:asciiTheme="minorHAnsi" w:hAnsiTheme="minorHAnsi"/>
              </w:rPr>
            </w:pPr>
            <w:r w:rsidRPr="000004BF">
              <w:rPr>
                <w:rFonts w:asciiTheme="minorHAnsi" w:hAnsiTheme="minorHAnsi"/>
              </w:rPr>
              <w:t>7.23%</w:t>
            </w:r>
          </w:p>
        </w:tc>
      </w:tr>
    </w:tbl>
    <w:p w:rsidR="00616C93" w:rsidRDefault="00616C93" w:rsidP="000004BF">
      <w:pPr>
        <w:spacing w:line="360" w:lineRule="auto"/>
        <w:rPr>
          <w:rFonts w:ascii="宋体" w:hAnsi="宋体"/>
          <w:b/>
        </w:rPr>
      </w:pPr>
    </w:p>
    <w:p w:rsidR="00616C93" w:rsidRPr="000004BF" w:rsidRDefault="00C21748" w:rsidP="00C21748">
      <w:pPr>
        <w:spacing w:line="360" w:lineRule="auto"/>
        <w:ind w:firstLineChars="200" w:firstLine="420"/>
        <w:rPr>
          <w:rFonts w:eastAsiaTheme="majorEastAsia" w:cs="宋体"/>
          <w:color w:val="333333"/>
          <w:kern w:val="0"/>
          <w:szCs w:val="21"/>
        </w:rPr>
      </w:pPr>
      <w:r w:rsidRPr="00CB3A58">
        <w:rPr>
          <w:rFonts w:eastAsiaTheme="majorEastAsia" w:cs="宋体"/>
          <w:noProof/>
          <w:color w:val="333333"/>
          <w:kern w:val="0"/>
          <w:szCs w:val="21"/>
        </w:rPr>
        <w:pict>
          <v:shape id="_x0000_s1154" type="#_x0000_t202" style="position:absolute;left:0;text-align:left;margin-left:153.2pt;margin-top:200.35pt;width:116.55pt;height:26.25pt;z-index:251923456;mso-width-relative:margin;mso-height-relative:margin;v-text-anchor:middle" filled="f" stroked="f">
            <v:textbox style="mso-next-textbox:#_x0000_s1154">
              <w:txbxContent>
                <w:p w:rsidR="00A87587" w:rsidRDefault="00A87587" w:rsidP="00A87587">
                  <w:pPr>
                    <w:jc w:val="center"/>
                  </w:pPr>
                  <w:r>
                    <w:rPr>
                      <w:rFonts w:hint="eastAsia"/>
                    </w:rPr>
                    <w:t>第</w:t>
                  </w:r>
                  <w:r w:rsidR="000E491A">
                    <w:rPr>
                      <w:rFonts w:hint="eastAsia"/>
                    </w:rPr>
                    <w:t>10</w:t>
                  </w:r>
                  <w:r>
                    <w:rPr>
                      <w:rFonts w:hint="eastAsia"/>
                    </w:rPr>
                    <w:t>页</w:t>
                  </w:r>
                </w:p>
              </w:txbxContent>
            </v:textbox>
          </v:shape>
        </w:pict>
      </w:r>
      <w:r w:rsidR="00616C93" w:rsidRPr="00971AC5">
        <w:rPr>
          <w:rFonts w:ascii="宋体" w:hAnsi="宋体" w:hint="eastAsia"/>
          <w:b/>
        </w:rPr>
        <w:t>房地产类</w:t>
      </w:r>
      <w:r w:rsidR="00616C93" w:rsidRPr="00971AC5">
        <w:rPr>
          <w:rFonts w:ascii="宋体" w:hAnsi="宋体" w:hint="eastAsia"/>
        </w:rPr>
        <w:t>：</w:t>
      </w:r>
      <w:r w:rsidR="00616C93" w:rsidRPr="000004BF">
        <w:rPr>
          <w:rFonts w:eastAsiaTheme="majorEastAsia" w:cs="宋体"/>
          <w:color w:val="333333"/>
          <w:kern w:val="0"/>
          <w:szCs w:val="21"/>
        </w:rPr>
        <w:t>本</w:t>
      </w:r>
      <w:r w:rsidR="00616C93" w:rsidRPr="000004BF">
        <w:rPr>
          <w:rFonts w:eastAsiaTheme="majorEastAsia" w:cs="宋体" w:hint="eastAsia"/>
          <w:color w:val="333333"/>
          <w:kern w:val="0"/>
          <w:szCs w:val="21"/>
        </w:rPr>
        <w:t>月</w:t>
      </w:r>
      <w:r w:rsidR="00616C93" w:rsidRPr="000004BF">
        <w:rPr>
          <w:rFonts w:eastAsiaTheme="majorEastAsia" w:cs="宋体"/>
          <w:color w:val="333333"/>
          <w:kern w:val="0"/>
          <w:szCs w:val="21"/>
        </w:rPr>
        <w:t>共成立</w:t>
      </w:r>
      <w:r w:rsidR="00616C93" w:rsidRPr="000004BF">
        <w:rPr>
          <w:rFonts w:eastAsiaTheme="majorEastAsia" w:cs="宋体" w:hint="eastAsia"/>
          <w:color w:val="333333"/>
          <w:kern w:val="0"/>
          <w:szCs w:val="21"/>
        </w:rPr>
        <w:t>23</w:t>
      </w:r>
      <w:r w:rsidR="00616C93" w:rsidRPr="000004BF">
        <w:rPr>
          <w:rFonts w:eastAsiaTheme="majorEastAsia" w:cs="宋体"/>
          <w:color w:val="333333"/>
          <w:kern w:val="0"/>
          <w:szCs w:val="21"/>
        </w:rPr>
        <w:t>只集合类房地产信托，募集资金</w:t>
      </w:r>
      <w:r w:rsidR="00616C93" w:rsidRPr="000004BF">
        <w:rPr>
          <w:rFonts w:eastAsiaTheme="majorEastAsia" w:cs="宋体" w:hint="eastAsia"/>
          <w:color w:val="333333"/>
          <w:kern w:val="0"/>
          <w:szCs w:val="21"/>
        </w:rPr>
        <w:t>68.30</w:t>
      </w:r>
      <w:r w:rsidR="00616C93" w:rsidRPr="000004BF">
        <w:rPr>
          <w:rFonts w:eastAsiaTheme="majorEastAsia" w:cs="宋体"/>
          <w:color w:val="333333"/>
          <w:kern w:val="0"/>
          <w:szCs w:val="21"/>
        </w:rPr>
        <w:t>亿元，占总成立规模的</w:t>
      </w:r>
      <w:r w:rsidR="00616C93" w:rsidRPr="000004BF">
        <w:rPr>
          <w:rFonts w:eastAsiaTheme="majorEastAsia" w:cs="宋体" w:hint="eastAsia"/>
          <w:color w:val="333333"/>
          <w:kern w:val="0"/>
          <w:szCs w:val="21"/>
        </w:rPr>
        <w:t>20.76%</w:t>
      </w:r>
      <w:r w:rsidR="00616C93" w:rsidRPr="000004BF">
        <w:rPr>
          <w:rFonts w:eastAsiaTheme="majorEastAsia" w:cs="宋体" w:hint="eastAsia"/>
          <w:color w:val="333333"/>
          <w:kern w:val="0"/>
          <w:szCs w:val="21"/>
        </w:rPr>
        <w:t>，退居</w:t>
      </w:r>
      <w:r w:rsidR="00616C93" w:rsidRPr="000004BF">
        <w:rPr>
          <w:rFonts w:eastAsiaTheme="majorEastAsia" w:cs="宋体"/>
          <w:color w:val="333333"/>
          <w:kern w:val="0"/>
          <w:szCs w:val="21"/>
        </w:rPr>
        <w:t>规模第</w:t>
      </w:r>
      <w:r w:rsidR="00616C93" w:rsidRPr="000004BF">
        <w:rPr>
          <w:rFonts w:eastAsiaTheme="majorEastAsia" w:cs="宋体" w:hint="eastAsia"/>
          <w:color w:val="333333"/>
          <w:kern w:val="0"/>
          <w:szCs w:val="21"/>
        </w:rPr>
        <w:t>二</w:t>
      </w:r>
      <w:r w:rsidR="00616C93" w:rsidRPr="000004BF">
        <w:rPr>
          <w:rFonts w:eastAsiaTheme="majorEastAsia" w:cs="宋体"/>
          <w:color w:val="333333"/>
          <w:kern w:val="0"/>
          <w:szCs w:val="21"/>
        </w:rPr>
        <w:t>的位置。房地产信托发行数量较多的信托公司有中融信托、</w:t>
      </w:r>
      <w:r w:rsidR="00616C93" w:rsidRPr="000004BF">
        <w:rPr>
          <w:rFonts w:eastAsiaTheme="majorEastAsia" w:cs="宋体" w:hint="eastAsia"/>
          <w:color w:val="333333"/>
          <w:kern w:val="0"/>
          <w:szCs w:val="21"/>
        </w:rPr>
        <w:t>四川</w:t>
      </w:r>
      <w:r w:rsidR="00616C93" w:rsidRPr="000004BF">
        <w:rPr>
          <w:rFonts w:eastAsiaTheme="majorEastAsia" w:cs="宋体"/>
          <w:color w:val="333333"/>
          <w:kern w:val="0"/>
          <w:szCs w:val="21"/>
        </w:rPr>
        <w:t>信托</w:t>
      </w:r>
      <w:r w:rsidR="00616C93" w:rsidRPr="000004BF">
        <w:rPr>
          <w:rFonts w:eastAsiaTheme="majorEastAsia" w:cs="宋体" w:hint="eastAsia"/>
          <w:color w:val="333333"/>
          <w:kern w:val="0"/>
          <w:szCs w:val="21"/>
        </w:rPr>
        <w:t>、方正东亚信托</w:t>
      </w:r>
      <w:r w:rsidR="00616C93" w:rsidRPr="000004BF">
        <w:rPr>
          <w:rFonts w:eastAsiaTheme="majorEastAsia" w:cs="宋体"/>
          <w:color w:val="333333"/>
          <w:kern w:val="0"/>
          <w:szCs w:val="21"/>
        </w:rPr>
        <w:t>。其中</w:t>
      </w:r>
      <w:r w:rsidR="00616C93" w:rsidRPr="000004BF">
        <w:rPr>
          <w:rFonts w:eastAsiaTheme="majorEastAsia" w:cs="宋体" w:hint="eastAsia"/>
          <w:color w:val="333333"/>
          <w:kern w:val="0"/>
          <w:szCs w:val="21"/>
        </w:rPr>
        <w:t>中融</w:t>
      </w:r>
      <w:r w:rsidR="00616C93" w:rsidRPr="000004BF">
        <w:rPr>
          <w:rFonts w:eastAsiaTheme="majorEastAsia" w:cs="宋体"/>
          <w:color w:val="333333"/>
          <w:kern w:val="0"/>
          <w:szCs w:val="21"/>
        </w:rPr>
        <w:t>信托发行的</w:t>
      </w:r>
      <w:r w:rsidR="00616C93" w:rsidRPr="000004BF">
        <w:rPr>
          <w:rFonts w:eastAsiaTheme="majorEastAsia" w:cs="宋体" w:hint="eastAsia"/>
          <w:color w:val="333333"/>
          <w:kern w:val="0"/>
          <w:szCs w:val="21"/>
        </w:rPr>
        <w:t>权益</w:t>
      </w:r>
      <w:r w:rsidR="00616C93" w:rsidRPr="000004BF">
        <w:rPr>
          <w:rFonts w:eastAsiaTheme="majorEastAsia" w:cs="宋体"/>
          <w:color w:val="333333"/>
          <w:kern w:val="0"/>
          <w:szCs w:val="21"/>
        </w:rPr>
        <w:t>投资类房地产信托</w:t>
      </w:r>
      <w:r w:rsidR="00616C93" w:rsidRPr="000004BF">
        <w:rPr>
          <w:rFonts w:eastAsiaTheme="majorEastAsia" w:cs="宋体"/>
          <w:color w:val="333333"/>
          <w:kern w:val="0"/>
          <w:szCs w:val="21"/>
        </w:rPr>
        <w:t>“</w:t>
      </w:r>
      <w:r w:rsidR="00616C93" w:rsidRPr="000004BF">
        <w:rPr>
          <w:rFonts w:eastAsiaTheme="majorEastAsia" w:cs="宋体" w:hint="eastAsia"/>
          <w:color w:val="333333"/>
          <w:kern w:val="0"/>
          <w:szCs w:val="21"/>
        </w:rPr>
        <w:t>中融</w:t>
      </w:r>
      <w:r w:rsidR="00616C93" w:rsidRPr="000004BF">
        <w:rPr>
          <w:rFonts w:eastAsiaTheme="majorEastAsia" w:cs="宋体"/>
          <w:color w:val="333333"/>
          <w:kern w:val="0"/>
          <w:szCs w:val="21"/>
        </w:rPr>
        <w:t>-</w:t>
      </w:r>
      <w:r w:rsidR="00616C93" w:rsidRPr="000004BF">
        <w:rPr>
          <w:rFonts w:eastAsiaTheme="majorEastAsia" w:cs="宋体" w:hint="eastAsia"/>
          <w:color w:val="333333"/>
          <w:kern w:val="0"/>
          <w:szCs w:val="21"/>
        </w:rPr>
        <w:t>乾荣建业股权投资集合资金信托计划</w:t>
      </w:r>
      <w:r w:rsidR="00616C93" w:rsidRPr="000004BF">
        <w:rPr>
          <w:rFonts w:eastAsiaTheme="majorEastAsia" w:cs="宋体"/>
          <w:color w:val="333333"/>
          <w:kern w:val="0"/>
          <w:szCs w:val="21"/>
        </w:rPr>
        <w:t>”</w:t>
      </w:r>
      <w:r w:rsidR="00616C93" w:rsidRPr="000004BF">
        <w:rPr>
          <w:rFonts w:eastAsiaTheme="majorEastAsia" w:cs="宋体"/>
          <w:color w:val="333333"/>
          <w:kern w:val="0"/>
          <w:szCs w:val="21"/>
        </w:rPr>
        <w:t>募集规模</w:t>
      </w:r>
      <w:r w:rsidR="00616C93" w:rsidRPr="000004BF">
        <w:rPr>
          <w:rFonts w:eastAsiaTheme="majorEastAsia" w:cs="宋体" w:hint="eastAsia"/>
          <w:color w:val="333333"/>
          <w:kern w:val="0"/>
          <w:szCs w:val="21"/>
        </w:rPr>
        <w:t>28.49</w:t>
      </w:r>
      <w:r w:rsidR="00616C93" w:rsidRPr="000004BF">
        <w:rPr>
          <w:rFonts w:eastAsiaTheme="majorEastAsia" w:cs="宋体"/>
          <w:color w:val="333333"/>
          <w:kern w:val="0"/>
          <w:szCs w:val="21"/>
        </w:rPr>
        <w:t>亿元，最高年化收益率</w:t>
      </w:r>
      <w:r w:rsidR="00616C93" w:rsidRPr="000004BF">
        <w:rPr>
          <w:rFonts w:eastAsiaTheme="majorEastAsia" w:cs="宋体" w:hint="eastAsia"/>
          <w:color w:val="333333"/>
          <w:kern w:val="0"/>
          <w:szCs w:val="21"/>
        </w:rPr>
        <w:t>10.8</w:t>
      </w:r>
      <w:r w:rsidR="00616C93" w:rsidRPr="000004BF">
        <w:rPr>
          <w:rFonts w:eastAsiaTheme="majorEastAsia" w:cs="宋体"/>
          <w:color w:val="333333"/>
          <w:kern w:val="0"/>
          <w:szCs w:val="21"/>
        </w:rPr>
        <w:t>%</w:t>
      </w:r>
      <w:r w:rsidR="00616C93" w:rsidRPr="000004BF">
        <w:rPr>
          <w:rFonts w:eastAsiaTheme="majorEastAsia" w:cs="宋体"/>
          <w:color w:val="333333"/>
          <w:kern w:val="0"/>
          <w:szCs w:val="21"/>
        </w:rPr>
        <w:t>，</w:t>
      </w:r>
      <w:r w:rsidR="00616C93" w:rsidRPr="000004BF">
        <w:rPr>
          <w:rFonts w:eastAsiaTheme="majorEastAsia" w:cs="宋体" w:hint="eastAsia"/>
          <w:color w:val="333333"/>
          <w:kern w:val="0"/>
          <w:szCs w:val="21"/>
        </w:rPr>
        <w:t>募集资金</w:t>
      </w:r>
      <w:r w:rsidR="00616C93" w:rsidRPr="000004BF">
        <w:rPr>
          <w:rFonts w:eastAsiaTheme="majorEastAsia" w:cs="宋体"/>
          <w:color w:val="333333"/>
          <w:kern w:val="0"/>
          <w:szCs w:val="21"/>
        </w:rPr>
        <w:t>主要用于</w:t>
      </w:r>
      <w:r w:rsidR="00616C93" w:rsidRPr="000004BF">
        <w:rPr>
          <w:rFonts w:eastAsiaTheme="majorEastAsia" w:cs="宋体" w:hint="eastAsia"/>
          <w:color w:val="333333"/>
          <w:kern w:val="0"/>
          <w:szCs w:val="21"/>
        </w:rPr>
        <w:t>向南京正荣置业发展有限公司增资以及信托文件规定的其他用途，资金实际用于江苏省南京市浦口新城项目建设。风控措施包括结构化设计，优先次级比为</w:t>
      </w:r>
      <w:r w:rsidR="00616C93" w:rsidRPr="000004BF">
        <w:rPr>
          <w:rFonts w:eastAsiaTheme="majorEastAsia" w:cs="宋体" w:hint="eastAsia"/>
          <w:color w:val="333333"/>
          <w:kern w:val="0"/>
          <w:szCs w:val="21"/>
        </w:rPr>
        <w:t>1:1.035</w:t>
      </w:r>
      <w:r w:rsidR="00616C93" w:rsidRPr="000004BF">
        <w:rPr>
          <w:rFonts w:eastAsiaTheme="majorEastAsia" w:cs="宋体" w:hint="eastAsia"/>
          <w:color w:val="333333"/>
          <w:kern w:val="0"/>
          <w:szCs w:val="21"/>
        </w:rPr>
        <w:t>；股权质押，中融信托</w:t>
      </w:r>
      <w:r w:rsidR="00616C93" w:rsidRPr="000004BF">
        <w:rPr>
          <w:rFonts w:eastAsiaTheme="majorEastAsia" w:cs="宋体" w:hint="eastAsia"/>
          <w:color w:val="333333"/>
          <w:kern w:val="0"/>
          <w:szCs w:val="21"/>
        </w:rPr>
        <w:t>100%</w:t>
      </w:r>
      <w:r w:rsidR="00616C93" w:rsidRPr="000004BF">
        <w:rPr>
          <w:rFonts w:eastAsiaTheme="majorEastAsia" w:cs="宋体" w:hint="eastAsia"/>
          <w:color w:val="333333"/>
          <w:kern w:val="0"/>
          <w:szCs w:val="21"/>
        </w:rPr>
        <w:t>控制项目公司；正荣集团提供连带责任保证担保；项目全面现场监管。</w:t>
      </w:r>
    </w:p>
    <w:p w:rsidR="00616C93" w:rsidRPr="000004BF" w:rsidRDefault="00C21748" w:rsidP="000004BF">
      <w:pPr>
        <w:spacing w:line="360" w:lineRule="auto"/>
        <w:ind w:firstLineChars="200" w:firstLine="420"/>
        <w:rPr>
          <w:rFonts w:eastAsiaTheme="majorEastAsia" w:cs="宋体"/>
          <w:color w:val="333333"/>
          <w:kern w:val="0"/>
          <w:szCs w:val="21"/>
        </w:rPr>
      </w:pPr>
      <w:r>
        <w:rPr>
          <w:rFonts w:eastAsiaTheme="majorEastAsia" w:cs="宋体" w:hint="eastAsia"/>
          <w:noProof/>
          <w:color w:val="333333"/>
          <w:kern w:val="0"/>
          <w:szCs w:val="21"/>
        </w:rPr>
        <w:lastRenderedPageBreak/>
        <w:drawing>
          <wp:anchor distT="0" distB="0" distL="114300" distR="114300" simplePos="0" relativeHeight="251904000" behindDoc="1" locked="0" layoutInCell="1" allowOverlap="1">
            <wp:simplePos x="0" y="0"/>
            <wp:positionH relativeFrom="column">
              <wp:posOffset>-1122045</wp:posOffset>
            </wp:positionH>
            <wp:positionV relativeFrom="paragraph">
              <wp:posOffset>-1440180</wp:posOffset>
            </wp:positionV>
            <wp:extent cx="7562850" cy="10706100"/>
            <wp:effectExtent l="19050" t="0" r="0" b="0"/>
            <wp:wrapNone/>
            <wp:docPr id="26"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r w:rsidR="00616C93" w:rsidRPr="000004BF">
        <w:rPr>
          <w:rFonts w:eastAsiaTheme="majorEastAsia" w:cs="宋体" w:hint="eastAsia"/>
          <w:color w:val="333333"/>
          <w:kern w:val="0"/>
          <w:szCs w:val="21"/>
        </w:rPr>
        <w:t>南京浦口项目位于南京市浦口区浦口新城，东至规划道路，南至规划道路，西至东方大道望江路，北至临滁路。项目地理位置极佳，紧邻七里河、过江隧道和地铁站，与南京市政府新址仅</w:t>
      </w:r>
      <w:r w:rsidR="00616C93" w:rsidRPr="000004BF">
        <w:rPr>
          <w:rFonts w:eastAsiaTheme="majorEastAsia" w:cs="宋体"/>
          <w:color w:val="333333"/>
          <w:kern w:val="0"/>
          <w:szCs w:val="21"/>
        </w:rPr>
        <w:t>15</w:t>
      </w:r>
      <w:r w:rsidR="00616C93" w:rsidRPr="000004BF">
        <w:rPr>
          <w:rFonts w:eastAsiaTheme="majorEastAsia" w:cs="宋体" w:hint="eastAsia"/>
          <w:color w:val="333333"/>
          <w:kern w:val="0"/>
          <w:szCs w:val="21"/>
        </w:rPr>
        <w:t>分钟车程，整体规划级别高，是未来江北的中心，区位、交通、景观等资源优势极其明显，未来发展前景广阔，升值潜力巨大。主要业态为高层、联排、商铺。土地出让总价为</w:t>
      </w:r>
      <w:r w:rsidR="00616C93" w:rsidRPr="000004BF">
        <w:rPr>
          <w:rFonts w:eastAsiaTheme="majorEastAsia" w:cs="宋体" w:hint="eastAsia"/>
          <w:color w:val="333333"/>
          <w:kern w:val="0"/>
          <w:szCs w:val="21"/>
        </w:rPr>
        <w:t>21</w:t>
      </w:r>
      <w:r w:rsidR="00616C93" w:rsidRPr="000004BF">
        <w:rPr>
          <w:rFonts w:eastAsiaTheme="majorEastAsia" w:cs="宋体" w:hint="eastAsia"/>
          <w:color w:val="333333"/>
          <w:kern w:val="0"/>
          <w:szCs w:val="21"/>
        </w:rPr>
        <w:t>亿元。总用地面积为</w:t>
      </w:r>
      <w:r w:rsidR="00616C93" w:rsidRPr="000004BF">
        <w:rPr>
          <w:rFonts w:eastAsiaTheme="majorEastAsia" w:cs="宋体" w:hint="eastAsia"/>
          <w:color w:val="333333"/>
          <w:kern w:val="0"/>
          <w:szCs w:val="21"/>
        </w:rPr>
        <w:t>10.54</w:t>
      </w:r>
      <w:r w:rsidR="00616C93" w:rsidRPr="000004BF">
        <w:rPr>
          <w:rFonts w:eastAsiaTheme="majorEastAsia" w:cs="宋体" w:hint="eastAsia"/>
          <w:color w:val="333333"/>
          <w:kern w:val="0"/>
          <w:szCs w:val="21"/>
        </w:rPr>
        <w:t>万平方米，总建筑面积为</w:t>
      </w:r>
      <w:r w:rsidR="00616C93" w:rsidRPr="000004BF">
        <w:rPr>
          <w:rFonts w:eastAsiaTheme="majorEastAsia" w:cs="宋体" w:hint="eastAsia"/>
          <w:color w:val="333333"/>
          <w:kern w:val="0"/>
          <w:szCs w:val="21"/>
        </w:rPr>
        <w:t>39.04</w:t>
      </w:r>
      <w:r w:rsidR="00616C93" w:rsidRPr="000004BF">
        <w:rPr>
          <w:rFonts w:eastAsiaTheme="majorEastAsia" w:cs="宋体" w:hint="eastAsia"/>
          <w:color w:val="333333"/>
          <w:kern w:val="0"/>
          <w:szCs w:val="21"/>
        </w:rPr>
        <w:t>万平方米，其中，地上建筑面积为</w:t>
      </w:r>
      <w:r w:rsidR="00616C93" w:rsidRPr="000004BF">
        <w:rPr>
          <w:rFonts w:eastAsiaTheme="majorEastAsia" w:cs="宋体" w:hint="eastAsia"/>
          <w:color w:val="333333"/>
          <w:kern w:val="0"/>
          <w:szCs w:val="21"/>
        </w:rPr>
        <w:t>26.34</w:t>
      </w:r>
      <w:r w:rsidR="00616C93" w:rsidRPr="000004BF">
        <w:rPr>
          <w:rFonts w:eastAsiaTheme="majorEastAsia" w:cs="宋体" w:hint="eastAsia"/>
          <w:color w:val="333333"/>
          <w:kern w:val="0"/>
          <w:szCs w:val="21"/>
        </w:rPr>
        <w:t>万平方米，地下建筑面积为</w:t>
      </w:r>
      <w:r w:rsidR="00616C93" w:rsidRPr="000004BF">
        <w:rPr>
          <w:rFonts w:eastAsiaTheme="majorEastAsia" w:cs="宋体" w:hint="eastAsia"/>
          <w:color w:val="333333"/>
          <w:kern w:val="0"/>
          <w:szCs w:val="21"/>
        </w:rPr>
        <w:t>12.7</w:t>
      </w:r>
      <w:r w:rsidR="00616C93" w:rsidRPr="000004BF">
        <w:rPr>
          <w:rFonts w:eastAsiaTheme="majorEastAsia" w:cs="宋体" w:hint="eastAsia"/>
          <w:color w:val="333333"/>
          <w:kern w:val="0"/>
          <w:szCs w:val="21"/>
        </w:rPr>
        <w:t>万平方米。绿地率为</w:t>
      </w:r>
      <w:r w:rsidR="00616C93" w:rsidRPr="000004BF">
        <w:rPr>
          <w:rFonts w:eastAsiaTheme="majorEastAsia" w:cs="宋体" w:hint="eastAsia"/>
          <w:color w:val="333333"/>
          <w:kern w:val="0"/>
          <w:szCs w:val="21"/>
        </w:rPr>
        <w:t>40%</w:t>
      </w:r>
      <w:r w:rsidR="00616C93" w:rsidRPr="000004BF">
        <w:rPr>
          <w:rFonts w:eastAsiaTheme="majorEastAsia" w:cs="宋体" w:hint="eastAsia"/>
          <w:color w:val="333333"/>
          <w:kern w:val="0"/>
          <w:szCs w:val="21"/>
        </w:rPr>
        <w:t>，规划容积率为</w:t>
      </w:r>
      <w:r w:rsidR="00616C93" w:rsidRPr="000004BF">
        <w:rPr>
          <w:rFonts w:eastAsiaTheme="majorEastAsia" w:cs="宋体" w:hint="eastAsia"/>
          <w:color w:val="333333"/>
          <w:kern w:val="0"/>
          <w:szCs w:val="21"/>
        </w:rPr>
        <w:t>2.5</w:t>
      </w:r>
      <w:r w:rsidR="00616C93" w:rsidRPr="000004BF">
        <w:rPr>
          <w:rFonts w:eastAsiaTheme="majorEastAsia" w:cs="宋体" w:hint="eastAsia"/>
          <w:color w:val="333333"/>
          <w:kern w:val="0"/>
          <w:szCs w:val="21"/>
        </w:rPr>
        <w:t>。本项目预计高层销售均价为</w:t>
      </w:r>
      <w:r w:rsidR="00616C93" w:rsidRPr="000004BF">
        <w:rPr>
          <w:rFonts w:eastAsiaTheme="majorEastAsia" w:cs="宋体" w:hint="eastAsia"/>
          <w:color w:val="333333"/>
          <w:kern w:val="0"/>
          <w:szCs w:val="21"/>
        </w:rPr>
        <w:t>1.9</w:t>
      </w:r>
      <w:r w:rsidR="00616C93" w:rsidRPr="000004BF">
        <w:rPr>
          <w:rFonts w:eastAsiaTheme="majorEastAsia" w:cs="宋体" w:hint="eastAsia"/>
          <w:color w:val="333333"/>
          <w:kern w:val="0"/>
          <w:szCs w:val="21"/>
        </w:rPr>
        <w:t>万元</w:t>
      </w:r>
      <w:r w:rsidR="00616C93" w:rsidRPr="000004BF">
        <w:rPr>
          <w:rFonts w:eastAsiaTheme="majorEastAsia" w:cs="宋体" w:hint="eastAsia"/>
          <w:color w:val="333333"/>
          <w:kern w:val="0"/>
          <w:szCs w:val="21"/>
        </w:rPr>
        <w:t>/</w:t>
      </w:r>
      <w:r w:rsidR="00616C93" w:rsidRPr="000004BF">
        <w:rPr>
          <w:rFonts w:eastAsiaTheme="majorEastAsia" w:cs="宋体" w:hint="eastAsia"/>
          <w:color w:val="333333"/>
          <w:kern w:val="0"/>
          <w:szCs w:val="21"/>
        </w:rPr>
        <w:t>平方米、联排销售均价为</w:t>
      </w:r>
      <w:r w:rsidR="00616C93" w:rsidRPr="000004BF">
        <w:rPr>
          <w:rFonts w:eastAsiaTheme="majorEastAsia" w:cs="宋体" w:hint="eastAsia"/>
          <w:color w:val="333333"/>
          <w:kern w:val="0"/>
          <w:szCs w:val="21"/>
        </w:rPr>
        <w:t>3</w:t>
      </w:r>
      <w:r w:rsidR="00616C93" w:rsidRPr="000004BF">
        <w:rPr>
          <w:rFonts w:eastAsiaTheme="majorEastAsia" w:cs="宋体" w:hint="eastAsia"/>
          <w:color w:val="333333"/>
          <w:kern w:val="0"/>
          <w:szCs w:val="21"/>
        </w:rPr>
        <w:t>万元</w:t>
      </w:r>
      <w:r w:rsidR="00616C93" w:rsidRPr="000004BF">
        <w:rPr>
          <w:rFonts w:eastAsiaTheme="majorEastAsia" w:cs="宋体" w:hint="eastAsia"/>
          <w:color w:val="333333"/>
          <w:kern w:val="0"/>
          <w:szCs w:val="21"/>
        </w:rPr>
        <w:t>/</w:t>
      </w:r>
      <w:r w:rsidR="00616C93" w:rsidRPr="000004BF">
        <w:rPr>
          <w:rFonts w:eastAsiaTheme="majorEastAsia" w:cs="宋体" w:hint="eastAsia"/>
          <w:color w:val="333333"/>
          <w:kern w:val="0"/>
          <w:szCs w:val="21"/>
        </w:rPr>
        <w:t>平方米、复式销售均价为</w:t>
      </w:r>
      <w:r w:rsidR="00616C93" w:rsidRPr="000004BF">
        <w:rPr>
          <w:rFonts w:eastAsiaTheme="majorEastAsia" w:cs="宋体" w:hint="eastAsia"/>
          <w:color w:val="333333"/>
          <w:kern w:val="0"/>
          <w:szCs w:val="21"/>
        </w:rPr>
        <w:t>2.2</w:t>
      </w:r>
      <w:r w:rsidR="00616C93" w:rsidRPr="000004BF">
        <w:rPr>
          <w:rFonts w:eastAsiaTheme="majorEastAsia" w:cs="宋体" w:hint="eastAsia"/>
          <w:color w:val="333333"/>
          <w:kern w:val="0"/>
          <w:szCs w:val="21"/>
        </w:rPr>
        <w:t>万元</w:t>
      </w:r>
      <w:r w:rsidR="00616C93" w:rsidRPr="000004BF">
        <w:rPr>
          <w:rFonts w:eastAsiaTheme="majorEastAsia" w:cs="宋体" w:hint="eastAsia"/>
          <w:color w:val="333333"/>
          <w:kern w:val="0"/>
          <w:szCs w:val="21"/>
        </w:rPr>
        <w:t>/</w:t>
      </w:r>
      <w:r w:rsidR="00616C93" w:rsidRPr="000004BF">
        <w:rPr>
          <w:rFonts w:eastAsiaTheme="majorEastAsia" w:cs="宋体" w:hint="eastAsia"/>
          <w:color w:val="333333"/>
          <w:kern w:val="0"/>
          <w:szCs w:val="21"/>
        </w:rPr>
        <w:t>平方米，商铺销售均价为</w:t>
      </w:r>
      <w:r w:rsidR="00616C93" w:rsidRPr="000004BF">
        <w:rPr>
          <w:rFonts w:eastAsiaTheme="majorEastAsia" w:cs="宋体" w:hint="eastAsia"/>
          <w:color w:val="333333"/>
          <w:kern w:val="0"/>
          <w:szCs w:val="21"/>
        </w:rPr>
        <w:t>3.5</w:t>
      </w:r>
      <w:r w:rsidR="00616C93" w:rsidRPr="000004BF">
        <w:rPr>
          <w:rFonts w:eastAsiaTheme="majorEastAsia" w:cs="宋体" w:hint="eastAsia"/>
          <w:color w:val="333333"/>
          <w:kern w:val="0"/>
          <w:szCs w:val="21"/>
        </w:rPr>
        <w:t>万元</w:t>
      </w:r>
      <w:r w:rsidR="00616C93" w:rsidRPr="000004BF">
        <w:rPr>
          <w:rFonts w:eastAsiaTheme="majorEastAsia" w:cs="宋体" w:hint="eastAsia"/>
          <w:color w:val="333333"/>
          <w:kern w:val="0"/>
          <w:szCs w:val="21"/>
        </w:rPr>
        <w:t>/</w:t>
      </w:r>
      <w:r w:rsidR="00616C93" w:rsidRPr="000004BF">
        <w:rPr>
          <w:rFonts w:eastAsiaTheme="majorEastAsia" w:cs="宋体" w:hint="eastAsia"/>
          <w:color w:val="333333"/>
          <w:kern w:val="0"/>
          <w:szCs w:val="21"/>
        </w:rPr>
        <w:t>平方米，车位单价为</w:t>
      </w:r>
      <w:r w:rsidR="00616C93" w:rsidRPr="000004BF">
        <w:rPr>
          <w:rFonts w:eastAsiaTheme="majorEastAsia" w:cs="宋体" w:hint="eastAsia"/>
          <w:color w:val="333333"/>
          <w:kern w:val="0"/>
          <w:szCs w:val="21"/>
        </w:rPr>
        <w:t>20</w:t>
      </w:r>
      <w:r w:rsidR="00616C93" w:rsidRPr="000004BF">
        <w:rPr>
          <w:rFonts w:eastAsiaTheme="majorEastAsia" w:cs="宋体" w:hint="eastAsia"/>
          <w:color w:val="333333"/>
          <w:kern w:val="0"/>
          <w:szCs w:val="21"/>
        </w:rPr>
        <w:t>万元</w:t>
      </w:r>
      <w:r w:rsidR="00616C93" w:rsidRPr="000004BF">
        <w:rPr>
          <w:rFonts w:eastAsiaTheme="majorEastAsia" w:cs="宋体" w:hint="eastAsia"/>
          <w:color w:val="333333"/>
          <w:kern w:val="0"/>
          <w:szCs w:val="21"/>
        </w:rPr>
        <w:t>/</w:t>
      </w:r>
      <w:r w:rsidR="00616C93" w:rsidRPr="000004BF">
        <w:rPr>
          <w:rFonts w:eastAsiaTheme="majorEastAsia" w:cs="宋体" w:hint="eastAsia"/>
          <w:color w:val="333333"/>
          <w:kern w:val="0"/>
          <w:szCs w:val="21"/>
        </w:rPr>
        <w:t>个。本项目可售面积为</w:t>
      </w:r>
      <w:r w:rsidR="00616C93" w:rsidRPr="000004BF">
        <w:rPr>
          <w:rFonts w:eastAsiaTheme="majorEastAsia" w:cs="宋体" w:hint="eastAsia"/>
          <w:color w:val="333333"/>
          <w:kern w:val="0"/>
          <w:szCs w:val="21"/>
        </w:rPr>
        <w:t>38.89</w:t>
      </w:r>
      <w:r w:rsidR="00616C93" w:rsidRPr="000004BF">
        <w:rPr>
          <w:rFonts w:eastAsiaTheme="majorEastAsia" w:cs="宋体" w:hint="eastAsia"/>
          <w:color w:val="333333"/>
          <w:kern w:val="0"/>
          <w:szCs w:val="21"/>
        </w:rPr>
        <w:t>万平方米，其中</w:t>
      </w:r>
      <w:r w:rsidR="00616C93" w:rsidRPr="000004BF">
        <w:rPr>
          <w:rFonts w:eastAsiaTheme="majorEastAsia" w:cs="宋体" w:hint="eastAsia"/>
          <w:color w:val="333333"/>
          <w:kern w:val="0"/>
          <w:szCs w:val="21"/>
        </w:rPr>
        <w:t>,</w:t>
      </w:r>
      <w:r w:rsidR="00616C93" w:rsidRPr="000004BF">
        <w:rPr>
          <w:rFonts w:eastAsiaTheme="majorEastAsia" w:cs="宋体" w:hint="eastAsia"/>
          <w:color w:val="333333"/>
          <w:kern w:val="0"/>
          <w:szCs w:val="21"/>
        </w:rPr>
        <w:t>地上可售面积为</w:t>
      </w:r>
      <w:r w:rsidR="00616C93" w:rsidRPr="000004BF">
        <w:rPr>
          <w:rFonts w:eastAsiaTheme="majorEastAsia" w:cs="宋体" w:hint="eastAsia"/>
          <w:color w:val="333333"/>
          <w:kern w:val="0"/>
          <w:szCs w:val="21"/>
        </w:rPr>
        <w:t>26.19</w:t>
      </w:r>
      <w:r w:rsidR="00616C93" w:rsidRPr="000004BF">
        <w:rPr>
          <w:rFonts w:eastAsiaTheme="majorEastAsia" w:cs="宋体" w:hint="eastAsia"/>
          <w:color w:val="333333"/>
          <w:kern w:val="0"/>
          <w:szCs w:val="21"/>
        </w:rPr>
        <w:t>万平方米，地下可售面积为</w:t>
      </w:r>
      <w:r w:rsidR="00616C93" w:rsidRPr="000004BF">
        <w:rPr>
          <w:rFonts w:eastAsiaTheme="majorEastAsia" w:cs="宋体" w:hint="eastAsia"/>
          <w:color w:val="333333"/>
          <w:kern w:val="0"/>
          <w:szCs w:val="21"/>
        </w:rPr>
        <w:t>12.7</w:t>
      </w:r>
      <w:r w:rsidR="00616C93" w:rsidRPr="000004BF">
        <w:rPr>
          <w:rFonts w:eastAsiaTheme="majorEastAsia" w:cs="宋体" w:hint="eastAsia"/>
          <w:color w:val="333333"/>
          <w:kern w:val="0"/>
          <w:szCs w:val="21"/>
        </w:rPr>
        <w:t>万平方米。项目预计实现销售收入</w:t>
      </w:r>
      <w:r w:rsidR="00616C93" w:rsidRPr="000004BF">
        <w:rPr>
          <w:rFonts w:eastAsiaTheme="majorEastAsia" w:cs="宋体" w:hint="eastAsia"/>
          <w:color w:val="333333"/>
          <w:kern w:val="0"/>
          <w:szCs w:val="21"/>
        </w:rPr>
        <w:t>61.6</w:t>
      </w:r>
      <w:r w:rsidR="00616C93" w:rsidRPr="000004BF">
        <w:rPr>
          <w:rFonts w:eastAsiaTheme="majorEastAsia" w:cs="宋体" w:hint="eastAsia"/>
          <w:color w:val="333333"/>
          <w:kern w:val="0"/>
          <w:szCs w:val="21"/>
        </w:rPr>
        <w:t>亿元，扣除成本、税金，预计税前利润</w:t>
      </w:r>
      <w:r w:rsidR="00616C93" w:rsidRPr="000004BF">
        <w:rPr>
          <w:rFonts w:eastAsiaTheme="majorEastAsia" w:cs="宋体" w:hint="eastAsia"/>
          <w:color w:val="333333"/>
          <w:kern w:val="0"/>
          <w:szCs w:val="21"/>
        </w:rPr>
        <w:t>13.07</w:t>
      </w:r>
      <w:r w:rsidR="00616C93" w:rsidRPr="000004BF">
        <w:rPr>
          <w:rFonts w:eastAsiaTheme="majorEastAsia" w:cs="宋体" w:hint="eastAsia"/>
          <w:color w:val="333333"/>
          <w:kern w:val="0"/>
          <w:szCs w:val="21"/>
        </w:rPr>
        <w:t>亿元，税后利润</w:t>
      </w:r>
      <w:r w:rsidR="00616C93" w:rsidRPr="000004BF">
        <w:rPr>
          <w:rFonts w:eastAsiaTheme="majorEastAsia" w:cs="宋体" w:hint="eastAsia"/>
          <w:color w:val="333333"/>
          <w:kern w:val="0"/>
          <w:szCs w:val="21"/>
        </w:rPr>
        <w:t>9.8</w:t>
      </w:r>
      <w:r w:rsidR="00616C93" w:rsidRPr="000004BF">
        <w:rPr>
          <w:rFonts w:eastAsiaTheme="majorEastAsia" w:cs="宋体" w:hint="eastAsia"/>
          <w:color w:val="333333"/>
          <w:kern w:val="0"/>
          <w:szCs w:val="21"/>
        </w:rPr>
        <w:t>亿元。</w:t>
      </w:r>
    </w:p>
    <w:p w:rsidR="00616C93" w:rsidRPr="000004BF" w:rsidRDefault="00616C93" w:rsidP="00F15957">
      <w:pPr>
        <w:spacing w:line="360" w:lineRule="auto"/>
        <w:ind w:firstLineChars="200" w:firstLine="420"/>
        <w:rPr>
          <w:rFonts w:eastAsiaTheme="majorEastAsia" w:cs="宋体"/>
          <w:color w:val="333333"/>
          <w:kern w:val="0"/>
          <w:szCs w:val="21"/>
        </w:rPr>
      </w:pPr>
      <w:r w:rsidRPr="000004BF">
        <w:rPr>
          <w:rFonts w:eastAsiaTheme="majorEastAsia" w:cs="宋体" w:hint="eastAsia"/>
          <w:color w:val="333333"/>
          <w:kern w:val="0"/>
          <w:szCs w:val="21"/>
        </w:rPr>
        <w:t>产品具有多个亮点：首先，地理位置优越，升值潜力无限。本项目所在地浦口新城系主城向西扩展区域，南京跨江发展的腹地，与主城距离最近的新城，是未来江北的中心区域。交通便捷，通达性高；距离地铁</w:t>
      </w:r>
      <w:r w:rsidRPr="000004BF">
        <w:rPr>
          <w:rFonts w:eastAsiaTheme="majorEastAsia" w:cs="宋体" w:hint="eastAsia"/>
          <w:color w:val="333333"/>
          <w:kern w:val="0"/>
          <w:szCs w:val="21"/>
        </w:rPr>
        <w:t>11</w:t>
      </w:r>
      <w:r w:rsidRPr="000004BF">
        <w:rPr>
          <w:rFonts w:eastAsiaTheme="majorEastAsia" w:cs="宋体" w:hint="eastAsia"/>
          <w:color w:val="333333"/>
          <w:kern w:val="0"/>
          <w:szCs w:val="21"/>
        </w:rPr>
        <w:t>号线（近期规划）约</w:t>
      </w:r>
      <w:r w:rsidRPr="000004BF">
        <w:rPr>
          <w:rFonts w:eastAsiaTheme="majorEastAsia" w:cs="宋体" w:hint="eastAsia"/>
          <w:color w:val="333333"/>
          <w:kern w:val="0"/>
          <w:szCs w:val="21"/>
        </w:rPr>
        <w:t>300</w:t>
      </w:r>
      <w:r w:rsidRPr="000004BF">
        <w:rPr>
          <w:rFonts w:eastAsiaTheme="majorEastAsia" w:cs="宋体" w:hint="eastAsia"/>
          <w:color w:val="333333"/>
          <w:kern w:val="0"/>
          <w:szCs w:val="21"/>
        </w:rPr>
        <w:t>米；过江隧道使地块通达新街口和奥体中心的车程分别仅需</w:t>
      </w:r>
      <w:r w:rsidRPr="000004BF">
        <w:rPr>
          <w:rFonts w:eastAsiaTheme="majorEastAsia" w:cs="宋体" w:hint="eastAsia"/>
          <w:color w:val="333333"/>
          <w:kern w:val="0"/>
          <w:szCs w:val="21"/>
        </w:rPr>
        <w:t>20</w:t>
      </w:r>
      <w:r w:rsidRPr="000004BF">
        <w:rPr>
          <w:rFonts w:eastAsiaTheme="majorEastAsia" w:cs="宋体" w:hint="eastAsia"/>
          <w:color w:val="333333"/>
          <w:kern w:val="0"/>
          <w:szCs w:val="21"/>
        </w:rPr>
        <w:t>分钟和</w:t>
      </w:r>
      <w:r w:rsidRPr="000004BF">
        <w:rPr>
          <w:rFonts w:eastAsiaTheme="majorEastAsia" w:cs="宋体" w:hint="eastAsia"/>
          <w:color w:val="333333"/>
          <w:kern w:val="0"/>
          <w:szCs w:val="21"/>
        </w:rPr>
        <w:t>10</w:t>
      </w:r>
      <w:r w:rsidRPr="000004BF">
        <w:rPr>
          <w:rFonts w:eastAsiaTheme="majorEastAsia" w:cs="宋体" w:hint="eastAsia"/>
          <w:color w:val="333333"/>
          <w:kern w:val="0"/>
          <w:szCs w:val="21"/>
        </w:rPr>
        <w:t>分钟左右，同时带来大量人气，助推地块价值迅速提升。其次，</w:t>
      </w:r>
      <w:r w:rsidRPr="000004BF">
        <w:rPr>
          <w:rFonts w:eastAsiaTheme="majorEastAsia" w:cs="宋体" w:hint="eastAsia"/>
          <w:color w:val="333333"/>
          <w:kern w:val="0"/>
          <w:szCs w:val="21"/>
        </w:rPr>
        <w:t xml:space="preserve"> </w:t>
      </w:r>
      <w:r w:rsidRPr="000004BF">
        <w:rPr>
          <w:rFonts w:eastAsiaTheme="majorEastAsia" w:cs="宋体" w:hint="eastAsia"/>
          <w:color w:val="333333"/>
          <w:kern w:val="0"/>
          <w:szCs w:val="21"/>
        </w:rPr>
        <w:t>融资方实力雄厚，开发经验丰富。正荣集团立足闽赣，走向全国，推动了正荣集团健康、快速、持续发展。迄今累计完成投资额达</w:t>
      </w:r>
      <w:r w:rsidRPr="000004BF">
        <w:rPr>
          <w:rFonts w:eastAsiaTheme="majorEastAsia" w:cs="宋体" w:hint="eastAsia"/>
          <w:color w:val="333333"/>
          <w:kern w:val="0"/>
          <w:szCs w:val="21"/>
        </w:rPr>
        <w:t>350</w:t>
      </w:r>
      <w:r w:rsidRPr="000004BF">
        <w:rPr>
          <w:rFonts w:eastAsiaTheme="majorEastAsia" w:cs="宋体" w:hint="eastAsia"/>
          <w:color w:val="333333"/>
          <w:kern w:val="0"/>
          <w:szCs w:val="21"/>
        </w:rPr>
        <w:t>多亿元，房地产开发总面积达</w:t>
      </w:r>
      <w:r w:rsidRPr="000004BF">
        <w:rPr>
          <w:rFonts w:eastAsiaTheme="majorEastAsia" w:cs="宋体" w:hint="eastAsia"/>
          <w:color w:val="333333"/>
          <w:kern w:val="0"/>
          <w:szCs w:val="21"/>
        </w:rPr>
        <w:t>600</w:t>
      </w:r>
      <w:r w:rsidRPr="000004BF">
        <w:rPr>
          <w:rFonts w:eastAsiaTheme="majorEastAsia" w:cs="宋体" w:hint="eastAsia"/>
          <w:color w:val="333333"/>
          <w:kern w:val="0"/>
          <w:szCs w:val="21"/>
        </w:rPr>
        <w:t>多万平方米。</w:t>
      </w:r>
      <w:r w:rsidRPr="000004BF">
        <w:rPr>
          <w:rFonts w:eastAsiaTheme="majorEastAsia" w:cs="宋体" w:hint="eastAsia"/>
          <w:color w:val="333333"/>
          <w:kern w:val="0"/>
          <w:szCs w:val="21"/>
        </w:rPr>
        <w:t>2005</w:t>
      </w:r>
      <w:r w:rsidRPr="000004BF">
        <w:rPr>
          <w:rFonts w:eastAsiaTheme="majorEastAsia" w:cs="宋体" w:hint="eastAsia"/>
          <w:color w:val="333333"/>
          <w:kern w:val="0"/>
          <w:szCs w:val="21"/>
        </w:rPr>
        <w:t>年至</w:t>
      </w:r>
      <w:r w:rsidRPr="000004BF">
        <w:rPr>
          <w:rFonts w:eastAsiaTheme="majorEastAsia" w:cs="宋体" w:hint="eastAsia"/>
          <w:color w:val="333333"/>
          <w:kern w:val="0"/>
          <w:szCs w:val="21"/>
        </w:rPr>
        <w:t>2013</w:t>
      </w:r>
      <w:r w:rsidRPr="000004BF">
        <w:rPr>
          <w:rFonts w:eastAsiaTheme="majorEastAsia" w:cs="宋体" w:hint="eastAsia"/>
          <w:color w:val="333333"/>
          <w:kern w:val="0"/>
          <w:szCs w:val="21"/>
        </w:rPr>
        <w:t>年连续九年获得“中国房地产百强企业”荣誉称号；在</w:t>
      </w:r>
      <w:r w:rsidRPr="000004BF">
        <w:rPr>
          <w:rFonts w:eastAsiaTheme="majorEastAsia" w:cs="宋体" w:hint="eastAsia"/>
          <w:color w:val="333333"/>
          <w:kern w:val="0"/>
          <w:szCs w:val="21"/>
        </w:rPr>
        <w:t>2012</w:t>
      </w:r>
      <w:r w:rsidRPr="000004BF">
        <w:rPr>
          <w:rFonts w:eastAsiaTheme="majorEastAsia" w:cs="宋体" w:hint="eastAsia"/>
          <w:color w:val="333333"/>
          <w:kern w:val="0"/>
          <w:szCs w:val="21"/>
        </w:rPr>
        <w:t>年“中国房地产百强企业”中位列第</w:t>
      </w:r>
      <w:r w:rsidRPr="000004BF">
        <w:rPr>
          <w:rFonts w:eastAsiaTheme="majorEastAsia" w:cs="宋体" w:hint="eastAsia"/>
          <w:color w:val="333333"/>
          <w:kern w:val="0"/>
          <w:szCs w:val="21"/>
        </w:rPr>
        <w:t>48</w:t>
      </w:r>
      <w:r w:rsidRPr="000004BF">
        <w:rPr>
          <w:rFonts w:eastAsiaTheme="majorEastAsia" w:cs="宋体" w:hint="eastAsia"/>
          <w:color w:val="333333"/>
          <w:kern w:val="0"/>
          <w:szCs w:val="21"/>
        </w:rPr>
        <w:t>位，</w:t>
      </w:r>
      <w:r w:rsidRPr="000004BF">
        <w:rPr>
          <w:rFonts w:eastAsiaTheme="majorEastAsia" w:cs="宋体" w:hint="eastAsia"/>
          <w:color w:val="333333"/>
          <w:kern w:val="0"/>
          <w:szCs w:val="21"/>
        </w:rPr>
        <w:t>2013</w:t>
      </w:r>
      <w:r w:rsidRPr="000004BF">
        <w:rPr>
          <w:rFonts w:eastAsiaTheme="majorEastAsia" w:cs="宋体" w:hint="eastAsia"/>
          <w:color w:val="333333"/>
          <w:kern w:val="0"/>
          <w:szCs w:val="21"/>
        </w:rPr>
        <w:t>年排名第</w:t>
      </w:r>
      <w:r w:rsidRPr="000004BF">
        <w:rPr>
          <w:rFonts w:eastAsiaTheme="majorEastAsia" w:cs="宋体" w:hint="eastAsia"/>
          <w:color w:val="333333"/>
          <w:kern w:val="0"/>
          <w:szCs w:val="21"/>
        </w:rPr>
        <w:t>42</w:t>
      </w:r>
      <w:r w:rsidRPr="000004BF">
        <w:rPr>
          <w:rFonts w:eastAsiaTheme="majorEastAsia" w:cs="宋体" w:hint="eastAsia"/>
          <w:color w:val="333333"/>
          <w:kern w:val="0"/>
          <w:szCs w:val="21"/>
        </w:rPr>
        <w:t>位。最后，风控完善，未来现金流充裕。本次信托计划增信措施完善，包括股权质押、优先劣后结构化设计、连带责任担保等。项目在信托计划到期时预计可实现收入总计达</w:t>
      </w:r>
      <w:r w:rsidRPr="000004BF">
        <w:rPr>
          <w:rFonts w:eastAsiaTheme="majorEastAsia" w:cs="宋体" w:hint="eastAsia"/>
          <w:color w:val="333333"/>
          <w:kern w:val="0"/>
          <w:szCs w:val="21"/>
        </w:rPr>
        <w:t>61.6</w:t>
      </w:r>
      <w:r w:rsidRPr="000004BF">
        <w:rPr>
          <w:rFonts w:eastAsiaTheme="majorEastAsia" w:cs="宋体" w:hint="eastAsia"/>
          <w:color w:val="333333"/>
          <w:kern w:val="0"/>
          <w:szCs w:val="21"/>
        </w:rPr>
        <w:t>亿元，现金流充裕，安全边际高。</w:t>
      </w:r>
    </w:p>
    <w:p w:rsidR="00616C93" w:rsidRPr="000004BF" w:rsidRDefault="00C21748" w:rsidP="00C21748">
      <w:pPr>
        <w:pStyle w:val="a8"/>
        <w:spacing w:before="0" w:beforeAutospacing="0" w:after="0" w:afterAutospacing="0" w:line="360" w:lineRule="auto"/>
        <w:ind w:firstLineChars="196" w:firstLine="470"/>
        <w:rPr>
          <w:rFonts w:asciiTheme="minorHAnsi" w:eastAsiaTheme="majorEastAsia" w:hAnsiTheme="minorHAnsi"/>
          <w:color w:val="333333"/>
          <w:sz w:val="21"/>
          <w:szCs w:val="21"/>
        </w:rPr>
      </w:pPr>
      <w:r w:rsidRPr="00CB3A58">
        <w:rPr>
          <w:rFonts w:eastAsiaTheme="minorEastAsia" w:cstheme="minorBidi"/>
          <w:noProof/>
          <w:kern w:val="2"/>
          <w:szCs w:val="22"/>
        </w:rPr>
        <w:pict>
          <v:shape id="_x0000_s1151" type="#_x0000_t202" style="position:absolute;left:0;text-align:left;margin-left:151.65pt;margin-top:166.8pt;width:116.55pt;height:26.25pt;z-index:251920384;mso-width-relative:margin;mso-height-relative:margin;v-text-anchor:middle" filled="f" stroked="f">
            <v:textbox style="mso-next-textbox:#_x0000_s1151">
              <w:txbxContent>
                <w:p w:rsidR="00102626" w:rsidRDefault="00102626" w:rsidP="00102626">
                  <w:pPr>
                    <w:jc w:val="center"/>
                  </w:pPr>
                  <w:r>
                    <w:rPr>
                      <w:rFonts w:hint="eastAsia"/>
                    </w:rPr>
                    <w:t>第</w:t>
                  </w:r>
                  <w:r>
                    <w:rPr>
                      <w:rFonts w:hint="eastAsia"/>
                    </w:rPr>
                    <w:t>1</w:t>
                  </w:r>
                  <w:r w:rsidR="00A87587">
                    <w:rPr>
                      <w:rFonts w:hint="eastAsia"/>
                    </w:rPr>
                    <w:t>1</w:t>
                  </w:r>
                  <w:r>
                    <w:rPr>
                      <w:rFonts w:hint="eastAsia"/>
                    </w:rPr>
                    <w:t>页</w:t>
                  </w:r>
                </w:p>
              </w:txbxContent>
            </v:textbox>
          </v:shape>
        </w:pict>
      </w:r>
      <w:r w:rsidR="00616C93" w:rsidRPr="009907F1">
        <w:rPr>
          <w:rFonts w:cs="黑体" w:hint="eastAsia"/>
          <w:b/>
          <w:kern w:val="2"/>
          <w:sz w:val="21"/>
          <w:szCs w:val="22"/>
        </w:rPr>
        <w:t>工商企业类：</w:t>
      </w:r>
      <w:r w:rsidR="00616C93" w:rsidRPr="000004BF">
        <w:rPr>
          <w:rFonts w:asciiTheme="minorHAnsi" w:eastAsiaTheme="majorEastAsia" w:hAnsiTheme="minorHAnsi" w:hint="eastAsia"/>
          <w:color w:val="333333"/>
          <w:sz w:val="21"/>
          <w:szCs w:val="21"/>
        </w:rPr>
        <w:t>本月成立了</w:t>
      </w:r>
      <w:r w:rsidR="00616C93" w:rsidRPr="000004BF">
        <w:rPr>
          <w:rFonts w:asciiTheme="minorHAnsi" w:eastAsiaTheme="majorEastAsia" w:hAnsiTheme="minorHAnsi" w:hint="eastAsia"/>
          <w:color w:val="333333"/>
          <w:sz w:val="21"/>
          <w:szCs w:val="21"/>
        </w:rPr>
        <w:t>42</w:t>
      </w:r>
      <w:r w:rsidR="00616C93" w:rsidRPr="000004BF">
        <w:rPr>
          <w:rFonts w:asciiTheme="minorHAnsi" w:eastAsiaTheme="majorEastAsia" w:hAnsiTheme="minorHAnsi" w:hint="eastAsia"/>
          <w:color w:val="333333"/>
          <w:sz w:val="21"/>
          <w:szCs w:val="21"/>
        </w:rPr>
        <w:t>只工商企业类集合信托产品，合计规模</w:t>
      </w:r>
      <w:r w:rsidR="00616C93" w:rsidRPr="000004BF">
        <w:rPr>
          <w:rFonts w:asciiTheme="minorHAnsi" w:eastAsiaTheme="majorEastAsia" w:hAnsiTheme="minorHAnsi" w:hint="eastAsia"/>
          <w:color w:val="333333"/>
          <w:sz w:val="21"/>
          <w:szCs w:val="21"/>
        </w:rPr>
        <w:t>45.57</w:t>
      </w:r>
      <w:r w:rsidR="00616C93" w:rsidRPr="000004BF">
        <w:rPr>
          <w:rFonts w:asciiTheme="minorHAnsi" w:eastAsiaTheme="majorEastAsia" w:hAnsiTheme="minorHAnsi" w:hint="eastAsia"/>
          <w:color w:val="333333"/>
          <w:sz w:val="21"/>
          <w:szCs w:val="21"/>
        </w:rPr>
        <w:t>亿元，其中发行该类信托较多的有华信信托、新时代信托和四川信托。华融信托发行的“北京同创信托贷款集合资金信托计划”，总规模</w:t>
      </w:r>
      <w:r w:rsidR="00616C93" w:rsidRPr="000004BF">
        <w:rPr>
          <w:rFonts w:asciiTheme="minorHAnsi" w:eastAsiaTheme="majorEastAsia" w:hAnsiTheme="minorHAnsi" w:hint="eastAsia"/>
          <w:color w:val="333333"/>
          <w:sz w:val="21"/>
          <w:szCs w:val="21"/>
        </w:rPr>
        <w:t>1.5</w:t>
      </w:r>
      <w:r w:rsidR="00616C93" w:rsidRPr="000004BF">
        <w:rPr>
          <w:rFonts w:asciiTheme="minorHAnsi" w:eastAsiaTheme="majorEastAsia" w:hAnsiTheme="minorHAnsi" w:hint="eastAsia"/>
          <w:color w:val="333333"/>
          <w:sz w:val="21"/>
          <w:szCs w:val="21"/>
        </w:rPr>
        <w:t>亿元，期限为</w:t>
      </w:r>
      <w:r w:rsidR="00616C93" w:rsidRPr="000004BF">
        <w:rPr>
          <w:rFonts w:asciiTheme="minorHAnsi" w:eastAsiaTheme="majorEastAsia" w:hAnsiTheme="minorHAnsi" w:hint="eastAsia"/>
          <w:color w:val="333333"/>
          <w:sz w:val="21"/>
          <w:szCs w:val="21"/>
        </w:rPr>
        <w:t>24</w:t>
      </w:r>
      <w:r w:rsidR="00616C93" w:rsidRPr="000004BF">
        <w:rPr>
          <w:rFonts w:asciiTheme="minorHAnsi" w:eastAsiaTheme="majorEastAsia" w:hAnsiTheme="minorHAnsi" w:hint="eastAsia"/>
          <w:color w:val="333333"/>
          <w:sz w:val="21"/>
          <w:szCs w:val="21"/>
        </w:rPr>
        <w:t>个月，最高年化收益</w:t>
      </w:r>
      <w:r w:rsidR="00616C93" w:rsidRPr="000004BF">
        <w:rPr>
          <w:rFonts w:asciiTheme="minorHAnsi" w:eastAsiaTheme="majorEastAsia" w:hAnsiTheme="minorHAnsi" w:hint="eastAsia"/>
          <w:color w:val="333333"/>
          <w:sz w:val="21"/>
          <w:szCs w:val="21"/>
        </w:rPr>
        <w:t>10.5%</w:t>
      </w:r>
      <w:r w:rsidR="00616C93" w:rsidRPr="000004BF">
        <w:rPr>
          <w:rFonts w:asciiTheme="minorHAnsi" w:eastAsiaTheme="majorEastAsia" w:hAnsiTheme="minorHAnsi" w:hint="eastAsia"/>
          <w:color w:val="333333"/>
          <w:sz w:val="21"/>
          <w:szCs w:val="21"/>
        </w:rPr>
        <w:t>，融资人为北京同创汽车部件有限公司，信托资金将用于向北京同创汽车部件有限公司发放信托贷款。融资方创立于</w:t>
      </w:r>
      <w:r w:rsidR="00616C93" w:rsidRPr="000004BF">
        <w:rPr>
          <w:rFonts w:asciiTheme="minorHAnsi" w:eastAsiaTheme="majorEastAsia" w:hAnsiTheme="minorHAnsi" w:hint="eastAsia"/>
          <w:color w:val="333333"/>
          <w:sz w:val="21"/>
          <w:szCs w:val="21"/>
        </w:rPr>
        <w:t>1968</w:t>
      </w:r>
      <w:r w:rsidR="00616C93" w:rsidRPr="000004BF">
        <w:rPr>
          <w:rFonts w:asciiTheme="minorHAnsi" w:eastAsiaTheme="majorEastAsia" w:hAnsiTheme="minorHAnsi" w:hint="eastAsia"/>
          <w:color w:val="333333"/>
          <w:sz w:val="21"/>
          <w:szCs w:val="21"/>
        </w:rPr>
        <w:t>年，注册资本</w:t>
      </w:r>
      <w:r w:rsidR="00616C93" w:rsidRPr="000004BF">
        <w:rPr>
          <w:rFonts w:asciiTheme="minorHAnsi" w:eastAsiaTheme="majorEastAsia" w:hAnsiTheme="minorHAnsi" w:hint="eastAsia"/>
          <w:color w:val="333333"/>
          <w:sz w:val="21"/>
          <w:szCs w:val="21"/>
        </w:rPr>
        <w:t>1600</w:t>
      </w:r>
      <w:r w:rsidR="00616C93" w:rsidRPr="000004BF">
        <w:rPr>
          <w:rFonts w:asciiTheme="minorHAnsi" w:eastAsiaTheme="majorEastAsia" w:hAnsiTheme="minorHAnsi" w:hint="eastAsia"/>
          <w:color w:val="333333"/>
          <w:sz w:val="21"/>
          <w:szCs w:val="21"/>
        </w:rPr>
        <w:t>万元，是四川科创制药集团有限公司控股子公司，是四川知名的中成药生产骨干企业，其生产的中药颗粒制剂在西南片区整体市场占有率约</w:t>
      </w:r>
      <w:r w:rsidR="00616C93" w:rsidRPr="000004BF">
        <w:rPr>
          <w:rFonts w:asciiTheme="minorHAnsi" w:eastAsiaTheme="majorEastAsia" w:hAnsiTheme="minorHAnsi" w:hint="eastAsia"/>
          <w:color w:val="333333"/>
          <w:sz w:val="21"/>
          <w:szCs w:val="21"/>
        </w:rPr>
        <w:t>60%</w:t>
      </w:r>
      <w:r w:rsidR="00616C93" w:rsidRPr="000004BF">
        <w:rPr>
          <w:rFonts w:asciiTheme="minorHAnsi" w:eastAsiaTheme="majorEastAsia" w:hAnsiTheme="minorHAnsi" w:hint="eastAsia"/>
          <w:color w:val="333333"/>
          <w:sz w:val="21"/>
          <w:szCs w:val="21"/>
        </w:rPr>
        <w:t>，</w:t>
      </w:r>
      <w:r w:rsidR="00616C93" w:rsidRPr="000004BF">
        <w:rPr>
          <w:rFonts w:asciiTheme="minorHAnsi" w:eastAsiaTheme="majorEastAsia" w:hAnsiTheme="minorHAnsi" w:hint="eastAsia"/>
          <w:color w:val="333333"/>
          <w:sz w:val="21"/>
          <w:szCs w:val="21"/>
        </w:rPr>
        <w:lastRenderedPageBreak/>
        <w:t>滇、渝各占约</w:t>
      </w:r>
      <w:r w:rsidR="00616C93" w:rsidRPr="000004BF">
        <w:rPr>
          <w:rFonts w:asciiTheme="minorHAnsi" w:eastAsiaTheme="majorEastAsia" w:hAnsiTheme="minorHAnsi" w:hint="eastAsia"/>
          <w:color w:val="333333"/>
          <w:sz w:val="21"/>
          <w:szCs w:val="21"/>
        </w:rPr>
        <w:t xml:space="preserve">15% </w:t>
      </w:r>
      <w:r w:rsidR="00616C93" w:rsidRPr="000004BF">
        <w:rPr>
          <w:rFonts w:asciiTheme="minorHAnsi" w:eastAsiaTheme="majorEastAsia" w:hAnsiTheme="minorHAnsi" w:hint="eastAsia"/>
          <w:color w:val="333333"/>
          <w:sz w:val="21"/>
          <w:szCs w:val="21"/>
        </w:rPr>
        <w:t>，陕西、甘肃各占约</w:t>
      </w:r>
      <w:r w:rsidR="00616C93" w:rsidRPr="000004BF">
        <w:rPr>
          <w:rFonts w:asciiTheme="minorHAnsi" w:eastAsiaTheme="majorEastAsia" w:hAnsiTheme="minorHAnsi" w:hint="eastAsia"/>
          <w:color w:val="333333"/>
          <w:sz w:val="21"/>
          <w:szCs w:val="21"/>
        </w:rPr>
        <w:t>5%</w:t>
      </w:r>
      <w:r w:rsidR="00616C93" w:rsidRPr="000004BF">
        <w:rPr>
          <w:rFonts w:asciiTheme="minorHAnsi" w:eastAsiaTheme="majorEastAsia" w:hAnsiTheme="minorHAnsi" w:hint="eastAsia"/>
          <w:color w:val="333333"/>
          <w:sz w:val="21"/>
          <w:szCs w:val="21"/>
        </w:rPr>
        <w:t>。截至</w:t>
      </w:r>
      <w:r w:rsidR="00616C93" w:rsidRPr="000004BF">
        <w:rPr>
          <w:rFonts w:asciiTheme="minorHAnsi" w:eastAsiaTheme="majorEastAsia" w:hAnsiTheme="minorHAnsi" w:hint="eastAsia"/>
          <w:color w:val="333333"/>
          <w:sz w:val="21"/>
          <w:szCs w:val="21"/>
        </w:rPr>
        <w:t>2013</w:t>
      </w:r>
      <w:r w:rsidR="00616C93" w:rsidRPr="000004BF">
        <w:rPr>
          <w:rFonts w:asciiTheme="minorHAnsi" w:eastAsiaTheme="majorEastAsia" w:hAnsiTheme="minorHAnsi" w:hint="eastAsia"/>
          <w:color w:val="333333"/>
          <w:sz w:val="21"/>
          <w:szCs w:val="21"/>
        </w:rPr>
        <w:t>年，公司总资产</w:t>
      </w:r>
      <w:r w:rsidR="00616C93" w:rsidRPr="000004BF">
        <w:rPr>
          <w:rFonts w:asciiTheme="minorHAnsi" w:eastAsiaTheme="majorEastAsia" w:hAnsiTheme="minorHAnsi" w:hint="eastAsia"/>
          <w:color w:val="333333"/>
          <w:sz w:val="21"/>
          <w:szCs w:val="21"/>
        </w:rPr>
        <w:t>13.8</w:t>
      </w:r>
      <w:r w:rsidR="00616C93" w:rsidRPr="000004BF">
        <w:rPr>
          <w:rFonts w:asciiTheme="minorHAnsi" w:eastAsiaTheme="majorEastAsia" w:hAnsiTheme="minorHAnsi" w:hint="eastAsia"/>
          <w:color w:val="333333"/>
          <w:sz w:val="21"/>
          <w:szCs w:val="21"/>
        </w:rPr>
        <w:t>亿元，净资产</w:t>
      </w:r>
      <w:r w:rsidR="00616C93" w:rsidRPr="000004BF">
        <w:rPr>
          <w:rFonts w:asciiTheme="minorHAnsi" w:eastAsiaTheme="majorEastAsia" w:hAnsiTheme="minorHAnsi" w:hint="eastAsia"/>
          <w:color w:val="333333"/>
          <w:sz w:val="21"/>
          <w:szCs w:val="21"/>
        </w:rPr>
        <w:t>7.4</w:t>
      </w:r>
      <w:r w:rsidR="00616C93" w:rsidRPr="000004BF">
        <w:rPr>
          <w:rFonts w:asciiTheme="minorHAnsi" w:eastAsiaTheme="majorEastAsia" w:hAnsiTheme="minorHAnsi" w:hint="eastAsia"/>
          <w:color w:val="333333"/>
          <w:sz w:val="21"/>
          <w:szCs w:val="21"/>
        </w:rPr>
        <w:t>亿元，资产负债率</w:t>
      </w:r>
      <w:r w:rsidR="00616C93" w:rsidRPr="000004BF">
        <w:rPr>
          <w:rFonts w:asciiTheme="minorHAnsi" w:eastAsiaTheme="majorEastAsia" w:hAnsiTheme="minorHAnsi" w:hint="eastAsia"/>
          <w:color w:val="333333"/>
          <w:sz w:val="21"/>
          <w:szCs w:val="21"/>
        </w:rPr>
        <w:t>46.38%</w:t>
      </w:r>
      <w:r w:rsidR="00616C93" w:rsidRPr="000004BF">
        <w:rPr>
          <w:rFonts w:asciiTheme="minorHAnsi" w:eastAsiaTheme="majorEastAsia" w:hAnsiTheme="minorHAnsi" w:hint="eastAsia"/>
          <w:color w:val="333333"/>
          <w:sz w:val="21"/>
          <w:szCs w:val="21"/>
        </w:rPr>
        <w:t>。</w:t>
      </w:r>
      <w:r w:rsidR="00616C93" w:rsidRPr="000004BF">
        <w:rPr>
          <w:rFonts w:asciiTheme="minorHAnsi" w:eastAsiaTheme="majorEastAsia" w:hAnsiTheme="minorHAnsi" w:hint="eastAsia"/>
          <w:color w:val="333333"/>
          <w:sz w:val="21"/>
          <w:szCs w:val="21"/>
        </w:rPr>
        <w:t xml:space="preserve"> </w:t>
      </w:r>
      <w:r w:rsidR="00616C93" w:rsidRPr="000004BF">
        <w:rPr>
          <w:rFonts w:asciiTheme="minorHAnsi" w:eastAsiaTheme="majorEastAsia" w:hAnsiTheme="minorHAnsi" w:hint="eastAsia"/>
          <w:color w:val="333333"/>
          <w:sz w:val="21"/>
          <w:szCs w:val="21"/>
        </w:rPr>
        <w:t>本产品风控措施主要有土地及在建工程抵押，抵押物估值</w:t>
      </w:r>
      <w:r w:rsidR="00616C93" w:rsidRPr="000004BF">
        <w:rPr>
          <w:rFonts w:asciiTheme="minorHAnsi" w:eastAsiaTheme="majorEastAsia" w:hAnsiTheme="minorHAnsi" w:hint="eastAsia"/>
          <w:color w:val="333333"/>
          <w:sz w:val="21"/>
          <w:szCs w:val="21"/>
        </w:rPr>
        <w:t>3.93</w:t>
      </w:r>
      <w:r w:rsidR="00616C93" w:rsidRPr="000004BF">
        <w:rPr>
          <w:rFonts w:asciiTheme="minorHAnsi" w:eastAsiaTheme="majorEastAsia" w:hAnsiTheme="minorHAnsi" w:hint="eastAsia"/>
          <w:color w:val="333333"/>
          <w:sz w:val="21"/>
          <w:szCs w:val="21"/>
        </w:rPr>
        <w:t>亿元，以本次融资</w:t>
      </w:r>
      <w:r w:rsidR="00616C93" w:rsidRPr="000004BF">
        <w:rPr>
          <w:rFonts w:asciiTheme="minorHAnsi" w:eastAsiaTheme="majorEastAsia" w:hAnsiTheme="minorHAnsi" w:hint="eastAsia"/>
          <w:color w:val="333333"/>
          <w:sz w:val="21"/>
          <w:szCs w:val="21"/>
        </w:rPr>
        <w:t>3</w:t>
      </w:r>
      <w:r w:rsidR="00616C93" w:rsidRPr="000004BF">
        <w:rPr>
          <w:rFonts w:asciiTheme="minorHAnsi" w:eastAsiaTheme="majorEastAsia" w:hAnsiTheme="minorHAnsi" w:hint="eastAsia"/>
          <w:color w:val="333333"/>
          <w:sz w:val="21"/>
          <w:szCs w:val="21"/>
        </w:rPr>
        <w:t>亿元计算，抵押率</w:t>
      </w:r>
      <w:r w:rsidR="00616C93" w:rsidRPr="000004BF">
        <w:rPr>
          <w:rFonts w:asciiTheme="minorHAnsi" w:eastAsiaTheme="majorEastAsia" w:hAnsiTheme="minorHAnsi" w:hint="eastAsia"/>
          <w:color w:val="333333"/>
          <w:sz w:val="21"/>
          <w:szCs w:val="21"/>
        </w:rPr>
        <w:t>76.92%</w:t>
      </w:r>
      <w:r w:rsidR="00616C93" w:rsidRPr="000004BF">
        <w:rPr>
          <w:rFonts w:asciiTheme="minorHAnsi" w:eastAsiaTheme="majorEastAsia" w:hAnsiTheme="minorHAnsi" w:hint="eastAsia"/>
          <w:color w:val="333333"/>
          <w:sz w:val="21"/>
          <w:szCs w:val="21"/>
        </w:rPr>
        <w:t>；现金及股权质押。四川中药厂有限责任公司将持有的</w:t>
      </w:r>
      <w:r w:rsidR="00616C93" w:rsidRPr="000004BF">
        <w:rPr>
          <w:rFonts w:asciiTheme="minorHAnsi" w:eastAsiaTheme="majorEastAsia" w:hAnsiTheme="minorHAnsi" w:hint="eastAsia"/>
          <w:color w:val="333333"/>
          <w:sz w:val="21"/>
          <w:szCs w:val="21"/>
        </w:rPr>
        <w:t>1604</w:t>
      </w:r>
      <w:r w:rsidR="00616C93" w:rsidRPr="000004BF">
        <w:rPr>
          <w:rFonts w:asciiTheme="minorHAnsi" w:eastAsiaTheme="majorEastAsia" w:hAnsiTheme="minorHAnsi" w:hint="eastAsia"/>
          <w:color w:val="333333"/>
          <w:sz w:val="21"/>
          <w:szCs w:val="21"/>
        </w:rPr>
        <w:t>万元的定期存单质押给渤海信托。四川科创制药集团有限公司将四川中药</w:t>
      </w:r>
      <w:r w:rsidR="00616C93" w:rsidRPr="000004BF">
        <w:rPr>
          <w:rFonts w:asciiTheme="minorHAnsi" w:eastAsiaTheme="majorEastAsia" w:hAnsiTheme="minorHAnsi" w:hint="eastAsia"/>
          <w:color w:val="333333"/>
          <w:sz w:val="21"/>
          <w:szCs w:val="21"/>
        </w:rPr>
        <w:t xml:space="preserve"> 60%</w:t>
      </w:r>
      <w:r w:rsidR="00616C93" w:rsidRPr="000004BF">
        <w:rPr>
          <w:rFonts w:asciiTheme="minorHAnsi" w:eastAsiaTheme="majorEastAsia" w:hAnsiTheme="minorHAnsi" w:hint="eastAsia"/>
          <w:color w:val="333333"/>
          <w:sz w:val="21"/>
          <w:szCs w:val="21"/>
        </w:rPr>
        <w:t>股权质押给渤海信托；</w:t>
      </w:r>
      <w:r w:rsidR="00616C93" w:rsidRPr="000004BF">
        <w:rPr>
          <w:rFonts w:asciiTheme="minorHAnsi" w:eastAsiaTheme="majorEastAsia" w:hAnsiTheme="minorHAnsi" w:hint="eastAsia"/>
          <w:color w:val="333333"/>
          <w:sz w:val="21"/>
          <w:szCs w:val="21"/>
        </w:rPr>
        <w:t xml:space="preserve"> </w:t>
      </w:r>
      <w:r w:rsidR="00616C93" w:rsidRPr="000004BF">
        <w:rPr>
          <w:rFonts w:asciiTheme="minorHAnsi" w:eastAsiaTheme="majorEastAsia" w:hAnsiTheme="minorHAnsi" w:hint="eastAsia"/>
          <w:color w:val="333333"/>
          <w:sz w:val="21"/>
          <w:szCs w:val="21"/>
        </w:rPr>
        <w:t>科创制药集团有限公司、四川科创医药集团有限公司（、科创控股集团有限公司及科创控股</w:t>
      </w:r>
      <w:r w:rsidR="00616C93" w:rsidRPr="000004BF">
        <w:rPr>
          <w:rFonts w:asciiTheme="minorHAnsi" w:eastAsiaTheme="majorEastAsia" w:hAnsiTheme="minorHAnsi" w:hint="eastAsia"/>
          <w:color w:val="333333"/>
          <w:sz w:val="21"/>
          <w:szCs w:val="21"/>
        </w:rPr>
        <w:t xml:space="preserve"> </w:t>
      </w:r>
      <w:r w:rsidR="00616C93" w:rsidRPr="000004BF">
        <w:rPr>
          <w:rFonts w:asciiTheme="minorHAnsi" w:eastAsiaTheme="majorEastAsia" w:hAnsiTheme="minorHAnsi" w:hint="eastAsia"/>
          <w:color w:val="333333"/>
          <w:sz w:val="21"/>
          <w:szCs w:val="21"/>
        </w:rPr>
        <w:t>实际控制人</w:t>
      </w:r>
      <w:r w:rsidR="00616C93" w:rsidRPr="000004BF">
        <w:rPr>
          <w:rFonts w:asciiTheme="minorHAnsi" w:eastAsiaTheme="majorEastAsia" w:hAnsiTheme="minorHAnsi" w:hint="eastAsia"/>
          <w:color w:val="333333"/>
          <w:sz w:val="21"/>
          <w:szCs w:val="21"/>
        </w:rPr>
        <w:t xml:space="preserve"> </w:t>
      </w:r>
      <w:r w:rsidR="00616C93" w:rsidRPr="000004BF">
        <w:rPr>
          <w:rFonts w:asciiTheme="minorHAnsi" w:eastAsiaTheme="majorEastAsia" w:hAnsiTheme="minorHAnsi" w:hint="eastAsia"/>
          <w:color w:val="333333"/>
          <w:sz w:val="21"/>
          <w:szCs w:val="21"/>
        </w:rPr>
        <w:t>何俊明（全国工商联副主席，全国人大代表）与其妻张燕及其子何质恒提供连带责任担保。</w:t>
      </w:r>
      <w:r w:rsidR="00616C93" w:rsidRPr="000004BF">
        <w:rPr>
          <w:rFonts w:asciiTheme="minorHAnsi" w:eastAsiaTheme="majorEastAsia" w:hAnsiTheme="minorHAnsi" w:hint="eastAsia"/>
          <w:color w:val="333333"/>
          <w:sz w:val="21"/>
          <w:szCs w:val="21"/>
        </w:rPr>
        <w:t xml:space="preserve"> </w:t>
      </w:r>
      <w:r w:rsidR="00616C93" w:rsidRPr="000004BF">
        <w:rPr>
          <w:rFonts w:asciiTheme="minorHAnsi" w:eastAsiaTheme="majorEastAsia" w:hAnsiTheme="minorHAnsi" w:hint="eastAsia"/>
          <w:color w:val="333333"/>
          <w:sz w:val="21"/>
          <w:szCs w:val="21"/>
        </w:rPr>
        <w:t>该产品交易对手优质，保障充分，抵押物好且抵押率低，担保方实力雄厚。</w:t>
      </w:r>
    </w:p>
    <w:p w:rsidR="00616C93" w:rsidRDefault="00C21748" w:rsidP="00616C93">
      <w:pPr>
        <w:spacing w:line="360" w:lineRule="auto"/>
        <w:ind w:firstLine="408"/>
        <w:rPr>
          <w:szCs w:val="21"/>
        </w:rPr>
      </w:pPr>
      <w:r>
        <w:rPr>
          <w:noProof/>
          <w:szCs w:val="21"/>
        </w:rPr>
        <w:drawing>
          <wp:anchor distT="0" distB="0" distL="114300" distR="114300" simplePos="0" relativeHeight="251906048" behindDoc="1" locked="0" layoutInCell="1" allowOverlap="1">
            <wp:simplePos x="0" y="0"/>
            <wp:positionH relativeFrom="column">
              <wp:posOffset>-1141095</wp:posOffset>
            </wp:positionH>
            <wp:positionV relativeFrom="paragraph">
              <wp:posOffset>-3817620</wp:posOffset>
            </wp:positionV>
            <wp:extent cx="7562850" cy="10706100"/>
            <wp:effectExtent l="19050" t="0" r="0" b="0"/>
            <wp:wrapNone/>
            <wp:docPr id="27"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p>
    <w:p w:rsidR="00616C93" w:rsidRDefault="000004BF" w:rsidP="00616C93">
      <w:pPr>
        <w:pStyle w:val="10"/>
        <w:spacing w:line="360" w:lineRule="auto"/>
        <w:ind w:firstLineChars="0" w:firstLine="0"/>
        <w:rPr>
          <w:b/>
          <w:sz w:val="24"/>
          <w:szCs w:val="24"/>
        </w:rPr>
      </w:pPr>
      <w:r>
        <w:rPr>
          <w:rFonts w:hint="eastAsia"/>
          <w:b/>
          <w:sz w:val="24"/>
          <w:szCs w:val="24"/>
        </w:rPr>
        <w:t>四</w:t>
      </w:r>
      <w:r w:rsidR="00616C93">
        <w:rPr>
          <w:rFonts w:hint="eastAsia"/>
          <w:b/>
          <w:sz w:val="24"/>
          <w:szCs w:val="24"/>
        </w:rPr>
        <w:t>、</w:t>
      </w:r>
      <w:r w:rsidR="00616C93">
        <w:rPr>
          <w:rFonts w:hint="eastAsia"/>
          <w:b/>
          <w:sz w:val="24"/>
          <w:szCs w:val="24"/>
        </w:rPr>
        <w:t xml:space="preserve">  </w:t>
      </w:r>
      <w:r w:rsidR="00616C93">
        <w:rPr>
          <w:rFonts w:hint="eastAsia"/>
          <w:b/>
          <w:sz w:val="24"/>
          <w:szCs w:val="24"/>
        </w:rPr>
        <w:t>到期产品概况</w:t>
      </w:r>
    </w:p>
    <w:p w:rsidR="00616C93" w:rsidRPr="000004BF" w:rsidRDefault="00616C93" w:rsidP="00C21748">
      <w:pPr>
        <w:spacing w:line="360" w:lineRule="auto"/>
        <w:ind w:firstLineChars="200" w:firstLine="420"/>
        <w:rPr>
          <w:rFonts w:eastAsiaTheme="majorEastAsia" w:cs="宋体"/>
          <w:color w:val="333333"/>
          <w:kern w:val="0"/>
          <w:szCs w:val="21"/>
        </w:rPr>
      </w:pPr>
      <w:r w:rsidRPr="000004BF">
        <w:rPr>
          <w:rFonts w:eastAsiaTheme="majorEastAsia" w:cs="宋体" w:hint="eastAsia"/>
          <w:color w:val="333333"/>
          <w:kern w:val="0"/>
          <w:szCs w:val="21"/>
        </w:rPr>
        <w:t>10</w:t>
      </w:r>
      <w:r w:rsidRPr="000004BF">
        <w:rPr>
          <w:rFonts w:eastAsiaTheme="majorEastAsia" w:cs="宋体" w:hint="eastAsia"/>
          <w:color w:val="333333"/>
          <w:kern w:val="0"/>
          <w:szCs w:val="21"/>
        </w:rPr>
        <w:t>月，共有</w:t>
      </w:r>
      <w:r w:rsidRPr="000004BF">
        <w:rPr>
          <w:rFonts w:eastAsiaTheme="majorEastAsia" w:cs="宋体" w:hint="eastAsia"/>
          <w:color w:val="333333"/>
          <w:kern w:val="0"/>
          <w:szCs w:val="21"/>
        </w:rPr>
        <w:t>122</w:t>
      </w:r>
      <w:r w:rsidRPr="000004BF">
        <w:rPr>
          <w:rFonts w:eastAsiaTheme="majorEastAsia" w:cs="宋体" w:hint="eastAsia"/>
          <w:color w:val="333333"/>
          <w:kern w:val="0"/>
          <w:szCs w:val="21"/>
        </w:rPr>
        <w:t>只信托产品到期，到期产品总规模为</w:t>
      </w:r>
      <w:r w:rsidRPr="000004BF">
        <w:rPr>
          <w:rFonts w:eastAsiaTheme="majorEastAsia" w:cs="宋体" w:hint="eastAsia"/>
          <w:color w:val="333333"/>
          <w:kern w:val="0"/>
          <w:szCs w:val="21"/>
        </w:rPr>
        <w:t>261.99</w:t>
      </w:r>
      <w:r w:rsidRPr="000004BF">
        <w:rPr>
          <w:rFonts w:eastAsiaTheme="majorEastAsia" w:cs="宋体" w:hint="eastAsia"/>
          <w:color w:val="333333"/>
          <w:kern w:val="0"/>
          <w:szCs w:val="21"/>
        </w:rPr>
        <w:t>亿元，环比上涨</w:t>
      </w:r>
      <w:r w:rsidRPr="000004BF">
        <w:rPr>
          <w:rFonts w:eastAsiaTheme="majorEastAsia" w:cs="宋体" w:hint="eastAsia"/>
          <w:color w:val="333333"/>
          <w:kern w:val="0"/>
          <w:szCs w:val="21"/>
        </w:rPr>
        <w:t>20%</w:t>
      </w:r>
      <w:r w:rsidRPr="000004BF">
        <w:rPr>
          <w:rFonts w:eastAsiaTheme="majorEastAsia" w:cs="宋体" w:hint="eastAsia"/>
          <w:color w:val="333333"/>
          <w:kern w:val="0"/>
          <w:szCs w:val="21"/>
        </w:rPr>
        <w:t>，到期产品平均年收益率为</w:t>
      </w:r>
      <w:r w:rsidRPr="000004BF">
        <w:rPr>
          <w:rFonts w:eastAsiaTheme="majorEastAsia" w:cs="宋体" w:hint="eastAsia"/>
          <w:color w:val="333333"/>
          <w:kern w:val="0"/>
          <w:szCs w:val="21"/>
        </w:rPr>
        <w:t>9.78%</w:t>
      </w:r>
      <w:r w:rsidRPr="000004BF">
        <w:rPr>
          <w:rFonts w:eastAsiaTheme="majorEastAsia" w:cs="宋体" w:hint="eastAsia"/>
          <w:color w:val="333333"/>
          <w:kern w:val="0"/>
          <w:szCs w:val="21"/>
        </w:rPr>
        <w:t>，较上月小幅下降</w:t>
      </w:r>
      <w:r w:rsidRPr="000004BF">
        <w:rPr>
          <w:rFonts w:eastAsiaTheme="majorEastAsia" w:cs="宋体" w:hint="eastAsia"/>
          <w:color w:val="333333"/>
          <w:kern w:val="0"/>
          <w:szCs w:val="21"/>
        </w:rPr>
        <w:t>1.13%</w:t>
      </w:r>
      <w:r w:rsidRPr="000004BF">
        <w:rPr>
          <w:rFonts w:eastAsiaTheme="majorEastAsia" w:cs="宋体" w:hint="eastAsia"/>
          <w:color w:val="333333"/>
          <w:kern w:val="0"/>
          <w:szCs w:val="21"/>
        </w:rPr>
        <w:t>。其中，房地产类到期产品</w:t>
      </w:r>
      <w:r w:rsidRPr="000004BF">
        <w:rPr>
          <w:rFonts w:eastAsiaTheme="majorEastAsia" w:cs="宋体" w:hint="eastAsia"/>
          <w:color w:val="333333"/>
          <w:kern w:val="0"/>
          <w:szCs w:val="21"/>
        </w:rPr>
        <w:t>38</w:t>
      </w:r>
      <w:r w:rsidRPr="000004BF">
        <w:rPr>
          <w:rFonts w:eastAsiaTheme="majorEastAsia" w:cs="宋体" w:hint="eastAsia"/>
          <w:color w:val="333333"/>
          <w:kern w:val="0"/>
          <w:szCs w:val="21"/>
        </w:rPr>
        <w:t>个，规模</w:t>
      </w:r>
      <w:r w:rsidRPr="000004BF">
        <w:rPr>
          <w:rFonts w:eastAsiaTheme="majorEastAsia" w:cs="宋体" w:hint="eastAsia"/>
          <w:color w:val="333333"/>
          <w:kern w:val="0"/>
          <w:szCs w:val="21"/>
        </w:rPr>
        <w:t>104.45</w:t>
      </w:r>
      <w:r w:rsidRPr="000004BF">
        <w:rPr>
          <w:rFonts w:eastAsiaTheme="majorEastAsia" w:cs="宋体" w:hint="eastAsia"/>
          <w:color w:val="333333"/>
          <w:kern w:val="0"/>
          <w:szCs w:val="21"/>
        </w:rPr>
        <w:t>亿元，占比高达</w:t>
      </w:r>
      <w:r w:rsidRPr="000004BF">
        <w:rPr>
          <w:rFonts w:eastAsiaTheme="majorEastAsia" w:cs="宋体" w:hint="eastAsia"/>
          <w:color w:val="333333"/>
          <w:kern w:val="0"/>
          <w:szCs w:val="21"/>
        </w:rPr>
        <w:t>39.87%</w:t>
      </w:r>
      <w:r w:rsidRPr="000004BF">
        <w:rPr>
          <w:rFonts w:eastAsiaTheme="majorEastAsia" w:cs="宋体" w:hint="eastAsia"/>
          <w:color w:val="333333"/>
          <w:kern w:val="0"/>
          <w:szCs w:val="21"/>
        </w:rPr>
        <w:t>，平均年收益率为</w:t>
      </w:r>
      <w:r w:rsidRPr="000004BF">
        <w:rPr>
          <w:rFonts w:eastAsiaTheme="majorEastAsia" w:cs="宋体" w:hint="eastAsia"/>
          <w:color w:val="333333"/>
          <w:kern w:val="0"/>
          <w:szCs w:val="21"/>
        </w:rPr>
        <w:t>10.85%</w:t>
      </w:r>
      <w:r w:rsidRPr="000004BF">
        <w:rPr>
          <w:rFonts w:eastAsiaTheme="majorEastAsia" w:cs="宋体" w:hint="eastAsia"/>
          <w:color w:val="333333"/>
          <w:kern w:val="0"/>
          <w:szCs w:val="21"/>
        </w:rPr>
        <w:t>，与上期相比有所上涨；基础产业类位居次席，本期共</w:t>
      </w:r>
      <w:r w:rsidRPr="000004BF">
        <w:rPr>
          <w:rFonts w:eastAsiaTheme="majorEastAsia" w:cs="宋体" w:hint="eastAsia"/>
          <w:color w:val="333333"/>
          <w:kern w:val="0"/>
          <w:szCs w:val="21"/>
        </w:rPr>
        <w:t>24</w:t>
      </w:r>
      <w:r w:rsidRPr="000004BF">
        <w:rPr>
          <w:rFonts w:eastAsiaTheme="majorEastAsia" w:cs="宋体" w:hint="eastAsia"/>
          <w:color w:val="333333"/>
          <w:kern w:val="0"/>
          <w:szCs w:val="21"/>
        </w:rPr>
        <w:t>款产品到期，规模为</w:t>
      </w:r>
      <w:r w:rsidRPr="000004BF">
        <w:rPr>
          <w:rFonts w:eastAsiaTheme="majorEastAsia" w:cs="宋体" w:hint="eastAsia"/>
          <w:color w:val="333333"/>
          <w:kern w:val="0"/>
          <w:szCs w:val="21"/>
        </w:rPr>
        <w:t>58.22</w:t>
      </w:r>
      <w:r w:rsidRPr="000004BF">
        <w:rPr>
          <w:rFonts w:eastAsiaTheme="majorEastAsia" w:cs="宋体" w:hint="eastAsia"/>
          <w:color w:val="333333"/>
          <w:kern w:val="0"/>
          <w:szCs w:val="21"/>
        </w:rPr>
        <w:t>亿元，平均收益率为</w:t>
      </w:r>
      <w:r w:rsidRPr="000004BF">
        <w:rPr>
          <w:rFonts w:eastAsiaTheme="majorEastAsia" w:cs="宋体" w:hint="eastAsia"/>
          <w:color w:val="333333"/>
          <w:kern w:val="0"/>
          <w:szCs w:val="21"/>
        </w:rPr>
        <w:t>9.25%</w:t>
      </w:r>
      <w:r w:rsidRPr="000004BF">
        <w:rPr>
          <w:rFonts w:eastAsiaTheme="majorEastAsia" w:cs="宋体" w:hint="eastAsia"/>
          <w:color w:val="333333"/>
          <w:kern w:val="0"/>
          <w:szCs w:val="21"/>
        </w:rPr>
        <w:t>；金融类位居第三，本期共</w:t>
      </w:r>
      <w:r w:rsidRPr="000004BF">
        <w:rPr>
          <w:rFonts w:eastAsiaTheme="majorEastAsia" w:cs="宋体" w:hint="eastAsia"/>
          <w:color w:val="333333"/>
          <w:kern w:val="0"/>
          <w:szCs w:val="21"/>
        </w:rPr>
        <w:t>16</w:t>
      </w:r>
      <w:r w:rsidRPr="000004BF">
        <w:rPr>
          <w:rFonts w:eastAsiaTheme="majorEastAsia" w:cs="宋体" w:hint="eastAsia"/>
          <w:color w:val="333333"/>
          <w:kern w:val="0"/>
          <w:szCs w:val="21"/>
        </w:rPr>
        <w:t>款产品到期，规模为</w:t>
      </w:r>
      <w:r w:rsidRPr="000004BF">
        <w:rPr>
          <w:rFonts w:eastAsiaTheme="majorEastAsia" w:cs="宋体" w:hint="eastAsia"/>
          <w:color w:val="333333"/>
          <w:kern w:val="0"/>
          <w:szCs w:val="21"/>
        </w:rPr>
        <w:t>43.64</w:t>
      </w:r>
      <w:r w:rsidRPr="000004BF">
        <w:rPr>
          <w:rFonts w:eastAsiaTheme="majorEastAsia" w:cs="宋体" w:hint="eastAsia"/>
          <w:color w:val="333333"/>
          <w:kern w:val="0"/>
          <w:szCs w:val="21"/>
        </w:rPr>
        <w:t>亿元，平均收益率为</w:t>
      </w:r>
      <w:r w:rsidRPr="000004BF">
        <w:rPr>
          <w:rFonts w:eastAsiaTheme="majorEastAsia" w:cs="宋体" w:hint="eastAsia"/>
          <w:color w:val="333333"/>
          <w:kern w:val="0"/>
          <w:szCs w:val="21"/>
        </w:rPr>
        <w:t>9.05%</w:t>
      </w:r>
      <w:r w:rsidRPr="000004BF">
        <w:rPr>
          <w:rFonts w:eastAsiaTheme="majorEastAsia" w:cs="宋体" w:hint="eastAsia"/>
          <w:color w:val="333333"/>
          <w:kern w:val="0"/>
          <w:szCs w:val="21"/>
        </w:rPr>
        <w:t>。</w:t>
      </w:r>
    </w:p>
    <w:p w:rsidR="00616C93" w:rsidRDefault="00616C93" w:rsidP="00616C93">
      <w:pPr>
        <w:spacing w:line="360" w:lineRule="auto"/>
        <w:rPr>
          <w:szCs w:val="21"/>
        </w:rPr>
      </w:pPr>
    </w:p>
    <w:p w:rsidR="00616C93" w:rsidRDefault="000004BF" w:rsidP="00616C93">
      <w:pPr>
        <w:pStyle w:val="10"/>
        <w:spacing w:line="360" w:lineRule="auto"/>
        <w:ind w:firstLineChars="0" w:firstLine="0"/>
        <w:rPr>
          <w:b/>
          <w:sz w:val="24"/>
          <w:szCs w:val="24"/>
        </w:rPr>
      </w:pPr>
      <w:r>
        <w:rPr>
          <w:rFonts w:hint="eastAsia"/>
          <w:b/>
          <w:sz w:val="24"/>
          <w:szCs w:val="24"/>
        </w:rPr>
        <w:t>五</w:t>
      </w:r>
      <w:r w:rsidR="00616C93">
        <w:rPr>
          <w:rFonts w:hint="eastAsia"/>
          <w:b/>
          <w:sz w:val="24"/>
          <w:szCs w:val="24"/>
        </w:rPr>
        <w:t>、</w:t>
      </w:r>
      <w:r w:rsidR="00616C93">
        <w:rPr>
          <w:rFonts w:hint="eastAsia"/>
          <w:b/>
          <w:sz w:val="24"/>
          <w:szCs w:val="24"/>
        </w:rPr>
        <w:t xml:space="preserve">  </w:t>
      </w:r>
      <w:r w:rsidR="00616C93">
        <w:rPr>
          <w:rFonts w:hint="eastAsia"/>
          <w:b/>
          <w:sz w:val="24"/>
          <w:szCs w:val="24"/>
        </w:rPr>
        <w:t>信托产品投资策略建议</w:t>
      </w:r>
    </w:p>
    <w:p w:rsidR="00616C93" w:rsidRPr="000004BF" w:rsidRDefault="00616C93" w:rsidP="00F15957">
      <w:pPr>
        <w:spacing w:line="360" w:lineRule="auto"/>
        <w:ind w:firstLineChars="200" w:firstLine="420"/>
        <w:rPr>
          <w:rFonts w:eastAsiaTheme="majorEastAsia" w:cs="宋体"/>
          <w:color w:val="333333"/>
          <w:kern w:val="0"/>
          <w:szCs w:val="21"/>
        </w:rPr>
      </w:pPr>
      <w:r w:rsidRPr="000004BF">
        <w:rPr>
          <w:rFonts w:eastAsiaTheme="majorEastAsia" w:cs="宋体" w:hint="eastAsia"/>
          <w:color w:val="333333"/>
          <w:kern w:val="0"/>
          <w:szCs w:val="21"/>
        </w:rPr>
        <w:t>根据信托业协会公布的最新第三季度数据显示，信托总资产管理规模已经突破</w:t>
      </w:r>
      <w:r w:rsidRPr="000004BF">
        <w:rPr>
          <w:rFonts w:eastAsiaTheme="majorEastAsia" w:cs="宋体" w:hint="eastAsia"/>
          <w:color w:val="333333"/>
          <w:kern w:val="0"/>
          <w:szCs w:val="21"/>
        </w:rPr>
        <w:t>10</w:t>
      </w:r>
      <w:r w:rsidRPr="000004BF">
        <w:rPr>
          <w:rFonts w:eastAsiaTheme="majorEastAsia" w:cs="宋体" w:hint="eastAsia"/>
          <w:color w:val="333333"/>
          <w:kern w:val="0"/>
          <w:szCs w:val="21"/>
        </w:rPr>
        <w:t>亿大关，虽然在总体规模上有了一个里程碑式的进展，但在这一光鲜的外表下，难以掩盖信托增速放缓的事实。信托资产规模在今年以来连续三个季度增速下滑，也从另一方面印证了之前提到的观点，信托公司在规模不断扩大的同时，已将业务重点转向风险控制，同时监管层对信托行业的政策也是在不断的趋于严格，这或许是对过去“刚性兑付”的行业潜规则的一种维护手段。</w:t>
      </w:r>
    </w:p>
    <w:p w:rsidR="00616C93" w:rsidRPr="000004BF" w:rsidRDefault="00616C93" w:rsidP="00F15957">
      <w:pPr>
        <w:spacing w:line="360" w:lineRule="auto"/>
        <w:ind w:firstLineChars="200" w:firstLine="420"/>
        <w:rPr>
          <w:rFonts w:eastAsiaTheme="majorEastAsia" w:cs="宋体"/>
          <w:color w:val="333333"/>
          <w:kern w:val="0"/>
          <w:szCs w:val="21"/>
        </w:rPr>
      </w:pPr>
      <w:r w:rsidRPr="000004BF">
        <w:rPr>
          <w:rFonts w:eastAsiaTheme="majorEastAsia" w:cs="宋体" w:hint="eastAsia"/>
          <w:color w:val="333333"/>
          <w:kern w:val="0"/>
          <w:szCs w:val="21"/>
        </w:rPr>
        <w:t>但增速放缓并不代表信托行业“拐点”的到来，中国的资产管理市场是取决于理财市场的需求规模而定，目前来看，这个市场还有很广阔的空间，关键在于信托公司如何去挖掘，重点在于如何做好风险控制和业务创新。</w:t>
      </w:r>
    </w:p>
    <w:p w:rsidR="00616C93" w:rsidRPr="000004BF" w:rsidRDefault="00C21748" w:rsidP="00C21748">
      <w:pPr>
        <w:spacing w:line="360" w:lineRule="auto"/>
        <w:ind w:firstLineChars="200" w:firstLine="422"/>
        <w:rPr>
          <w:rFonts w:eastAsiaTheme="majorEastAsia" w:cs="宋体"/>
          <w:color w:val="333333"/>
          <w:kern w:val="0"/>
          <w:szCs w:val="21"/>
        </w:rPr>
      </w:pPr>
      <w:r w:rsidRPr="00CB3A58">
        <w:rPr>
          <w:rFonts w:cs="黑体"/>
          <w:b/>
          <w:noProof/>
        </w:rPr>
        <w:pict>
          <v:shape id="_x0000_s1152" type="#_x0000_t202" style="position:absolute;left:0;text-align:left;margin-left:149.4pt;margin-top:73.2pt;width:116.55pt;height:26.25pt;z-index:251921408;mso-width-relative:margin;mso-height-relative:margin;v-text-anchor:middle" filled="f" stroked="f">
            <v:textbox style="mso-next-textbox:#_x0000_s1152">
              <w:txbxContent>
                <w:p w:rsidR="00102626" w:rsidRDefault="00102626" w:rsidP="00102626">
                  <w:pPr>
                    <w:jc w:val="center"/>
                  </w:pPr>
                  <w:r>
                    <w:rPr>
                      <w:rFonts w:hint="eastAsia"/>
                    </w:rPr>
                    <w:t>第</w:t>
                  </w:r>
                  <w:r w:rsidR="00A87587">
                    <w:rPr>
                      <w:rFonts w:hint="eastAsia"/>
                    </w:rPr>
                    <w:t>12</w:t>
                  </w:r>
                  <w:r>
                    <w:rPr>
                      <w:rFonts w:hint="eastAsia"/>
                    </w:rPr>
                    <w:t>页</w:t>
                  </w:r>
                </w:p>
              </w:txbxContent>
            </v:textbox>
          </v:shape>
        </w:pict>
      </w:r>
      <w:r w:rsidR="00616C93" w:rsidRPr="000004BF">
        <w:rPr>
          <w:rFonts w:eastAsiaTheme="majorEastAsia" w:cs="宋体" w:hint="eastAsia"/>
          <w:color w:val="333333"/>
          <w:kern w:val="0"/>
          <w:szCs w:val="21"/>
        </w:rPr>
        <w:t>在接近年底的时点，往往是企业资金需求大但市场资金偏紧的矛盾时间，这个时候存在很多的投资机会，但同时对于产品的筛选更需谨慎，建议投资者不要把收益作为筛选的首要</w:t>
      </w:r>
      <w:r w:rsidR="00616C93" w:rsidRPr="000004BF">
        <w:rPr>
          <w:rFonts w:eastAsiaTheme="majorEastAsia" w:cs="宋体" w:hint="eastAsia"/>
          <w:color w:val="333333"/>
          <w:kern w:val="0"/>
          <w:szCs w:val="21"/>
        </w:rPr>
        <w:lastRenderedPageBreak/>
        <w:t>标准，而应该更多的关注交易对手的实力、还款能力，标的项目的风险性等。</w:t>
      </w:r>
    </w:p>
    <w:p w:rsidR="00616C93" w:rsidRPr="000004BF" w:rsidRDefault="00C21748" w:rsidP="00F15957">
      <w:pPr>
        <w:spacing w:line="360" w:lineRule="auto"/>
        <w:ind w:firstLineChars="200" w:firstLine="420"/>
        <w:rPr>
          <w:rFonts w:eastAsiaTheme="majorEastAsia" w:cs="宋体"/>
          <w:color w:val="333333"/>
          <w:kern w:val="0"/>
          <w:szCs w:val="21"/>
        </w:rPr>
      </w:pPr>
      <w:r>
        <w:rPr>
          <w:rFonts w:eastAsiaTheme="majorEastAsia" w:cs="宋体" w:hint="eastAsia"/>
          <w:noProof/>
          <w:color w:val="333333"/>
          <w:kern w:val="0"/>
          <w:szCs w:val="21"/>
        </w:rPr>
        <w:drawing>
          <wp:anchor distT="0" distB="0" distL="114300" distR="114300" simplePos="0" relativeHeight="251908096" behindDoc="1" locked="0" layoutInCell="1" allowOverlap="1">
            <wp:simplePos x="0" y="0"/>
            <wp:positionH relativeFrom="column">
              <wp:posOffset>-1179195</wp:posOffset>
            </wp:positionH>
            <wp:positionV relativeFrom="paragraph">
              <wp:posOffset>-1737360</wp:posOffset>
            </wp:positionV>
            <wp:extent cx="7562850" cy="10706100"/>
            <wp:effectExtent l="19050" t="0" r="0" b="0"/>
            <wp:wrapNone/>
            <wp:docPr id="28" name="图片 1" descr="研究报告模板-内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内页.jpg"/>
                    <pic:cNvPicPr/>
                  </pic:nvPicPr>
                  <pic:blipFill>
                    <a:blip r:embed="rId9" cstate="print"/>
                    <a:stretch>
                      <a:fillRect/>
                    </a:stretch>
                  </pic:blipFill>
                  <pic:spPr>
                    <a:xfrm>
                      <a:off x="0" y="0"/>
                      <a:ext cx="7562850" cy="10706100"/>
                    </a:xfrm>
                    <a:prstGeom prst="rect">
                      <a:avLst/>
                    </a:prstGeom>
                  </pic:spPr>
                </pic:pic>
              </a:graphicData>
            </a:graphic>
          </wp:anchor>
        </w:drawing>
      </w:r>
      <w:r w:rsidR="00616C93" w:rsidRPr="000004BF">
        <w:rPr>
          <w:rFonts w:eastAsiaTheme="majorEastAsia" w:cs="宋体" w:hint="eastAsia"/>
          <w:color w:val="333333"/>
          <w:kern w:val="0"/>
          <w:szCs w:val="21"/>
        </w:rPr>
        <w:t>基于信托市场整体收益率下滑的原因，重点可转向在平均收益率最高的房地产项目中，目前房地产市场基本平稳，未来仍将是信托的重点投资方向，投资者在选择该类产品时，对交易对手的资产状况、偿债压力、未来现金流状况要做比较深入的分析，同时对投资项目的位置、业态、进度、预售价格等市场风险考量的因素应当有个全面的了解，最终选定风险收益平衡的产品。</w:t>
      </w:r>
    </w:p>
    <w:p w:rsidR="00616C93" w:rsidRDefault="00616C93" w:rsidP="00616C93">
      <w:pPr>
        <w:spacing w:line="360" w:lineRule="auto"/>
        <w:rPr>
          <w:rFonts w:ascii="Times New Roman" w:hAnsi="Times New Roman" w:cs="Times New Roman"/>
        </w:rPr>
      </w:pPr>
    </w:p>
    <w:p w:rsidR="00616C93" w:rsidRDefault="00616C93" w:rsidP="00616C93">
      <w:pPr>
        <w:spacing w:line="360" w:lineRule="auto"/>
        <w:rPr>
          <w:rFonts w:ascii="Times New Roman" w:hAnsi="Times New Roman" w:cs="Times New Roman"/>
        </w:rPr>
      </w:pPr>
    </w:p>
    <w:p w:rsidR="00F15957" w:rsidRDefault="00F15957" w:rsidP="00616C93">
      <w:pPr>
        <w:spacing w:line="360" w:lineRule="auto"/>
        <w:rPr>
          <w:rFonts w:ascii="Times New Roman" w:hAnsi="Times New Roman" w:cs="Times New Roman"/>
        </w:rPr>
      </w:pPr>
    </w:p>
    <w:p w:rsidR="00F15957" w:rsidRDefault="00F15957" w:rsidP="00616C93">
      <w:pPr>
        <w:spacing w:line="360" w:lineRule="auto"/>
        <w:rPr>
          <w:rFonts w:ascii="Times New Roman" w:hAnsi="Times New Roman" w:cs="Times New Roman"/>
        </w:rPr>
      </w:pPr>
    </w:p>
    <w:p w:rsidR="00F15957" w:rsidRDefault="00F15957" w:rsidP="00616C93">
      <w:pPr>
        <w:spacing w:line="360" w:lineRule="auto"/>
        <w:rPr>
          <w:rFonts w:ascii="Times New Roman" w:hAnsi="Times New Roman" w:cs="Times New Roman"/>
        </w:rPr>
      </w:pPr>
    </w:p>
    <w:p w:rsidR="00F15957" w:rsidRDefault="00F15957" w:rsidP="00616C93">
      <w:pPr>
        <w:spacing w:line="360" w:lineRule="auto"/>
        <w:rPr>
          <w:rFonts w:ascii="Times New Roman" w:hAnsi="Times New Roman" w:cs="Times New Roman"/>
        </w:rPr>
      </w:pPr>
    </w:p>
    <w:p w:rsidR="00A8555C" w:rsidRDefault="00A8555C" w:rsidP="00C21748">
      <w:pPr>
        <w:pStyle w:val="1"/>
        <w:adjustRightInd w:val="0"/>
        <w:snapToGrid w:val="0"/>
        <w:spacing w:beforeLines="50" w:afterLines="50" w:line="360" w:lineRule="auto"/>
        <w:rPr>
          <w:rFonts w:ascii="Times New Roman" w:hAnsi="Times New Roman" w:cs="Times New Roman"/>
          <w:sz w:val="28"/>
          <w:szCs w:val="28"/>
        </w:rPr>
      </w:pPr>
      <w:bookmarkStart w:id="0" w:name="_Toc335139540"/>
    </w:p>
    <w:p w:rsidR="00A8555C" w:rsidRDefault="00A8555C" w:rsidP="00C21748">
      <w:pPr>
        <w:pStyle w:val="1"/>
        <w:adjustRightInd w:val="0"/>
        <w:snapToGrid w:val="0"/>
        <w:spacing w:beforeLines="50" w:afterLines="50" w:line="360" w:lineRule="auto"/>
        <w:rPr>
          <w:rFonts w:ascii="Times New Roman" w:hAnsi="Times New Roman" w:cs="Times New Roman"/>
          <w:sz w:val="28"/>
          <w:szCs w:val="28"/>
        </w:rPr>
      </w:pPr>
    </w:p>
    <w:p w:rsidR="00C21748" w:rsidRDefault="00C21748" w:rsidP="00C21748">
      <w:pPr>
        <w:pStyle w:val="1"/>
        <w:adjustRightInd w:val="0"/>
        <w:snapToGrid w:val="0"/>
        <w:spacing w:beforeLines="50" w:afterLines="50" w:line="360" w:lineRule="auto"/>
        <w:rPr>
          <w:rFonts w:ascii="Times New Roman" w:hAnsi="Times New Roman" w:cs="Times New Roman" w:hint="eastAsia"/>
          <w:sz w:val="28"/>
          <w:szCs w:val="28"/>
        </w:rPr>
      </w:pPr>
    </w:p>
    <w:p w:rsidR="00C21748" w:rsidRDefault="00C21748" w:rsidP="00C21748">
      <w:pPr>
        <w:pStyle w:val="1"/>
        <w:adjustRightInd w:val="0"/>
        <w:snapToGrid w:val="0"/>
        <w:spacing w:beforeLines="50" w:afterLines="50" w:line="360" w:lineRule="auto"/>
        <w:rPr>
          <w:rFonts w:ascii="Times New Roman" w:hAnsi="Times New Roman" w:cs="Times New Roman" w:hint="eastAsia"/>
          <w:sz w:val="28"/>
          <w:szCs w:val="28"/>
        </w:rPr>
      </w:pPr>
    </w:p>
    <w:p w:rsidR="00C21748" w:rsidRDefault="00C21748" w:rsidP="00C21748">
      <w:pPr>
        <w:pStyle w:val="1"/>
        <w:adjustRightInd w:val="0"/>
        <w:snapToGrid w:val="0"/>
        <w:spacing w:beforeLines="50" w:afterLines="50" w:line="360" w:lineRule="auto"/>
        <w:rPr>
          <w:rFonts w:ascii="Times New Roman" w:hAnsi="Times New Roman" w:cs="Times New Roman" w:hint="eastAsia"/>
          <w:sz w:val="28"/>
          <w:szCs w:val="28"/>
        </w:rPr>
      </w:pPr>
    </w:p>
    <w:bookmarkEnd w:id="0"/>
    <w:p w:rsidR="00616C93" w:rsidRPr="00C21748" w:rsidRDefault="00616C93" w:rsidP="00C21748">
      <w:pPr>
        <w:pStyle w:val="1"/>
        <w:adjustRightInd w:val="0"/>
        <w:snapToGrid w:val="0"/>
        <w:spacing w:beforeLines="50" w:afterLines="50" w:line="360" w:lineRule="auto"/>
        <w:rPr>
          <w:rFonts w:ascii="Times New Roman" w:hAnsi="Times New Roman" w:cs="Times New Roman"/>
          <w:sz w:val="28"/>
          <w:szCs w:val="28"/>
        </w:rPr>
      </w:pPr>
    </w:p>
    <w:p w:rsidR="00616C93" w:rsidRDefault="00616C93" w:rsidP="00616C93">
      <w:pPr>
        <w:spacing w:line="360" w:lineRule="auto"/>
        <w:ind w:firstLineChars="200" w:firstLine="420"/>
        <w:rPr>
          <w:rFonts w:eastAsiaTheme="majorEastAsia" w:hAnsiTheme="majorEastAsia" w:cs="宋体"/>
          <w:color w:val="333333"/>
          <w:kern w:val="0"/>
          <w:szCs w:val="21"/>
        </w:rPr>
      </w:pPr>
    </w:p>
    <w:p w:rsidR="002E6571" w:rsidRPr="00220156" w:rsidRDefault="00C21748" w:rsidP="00220156">
      <w:pPr>
        <w:widowControl/>
        <w:spacing w:line="360" w:lineRule="auto"/>
        <w:jc w:val="left"/>
        <w:rPr>
          <w:szCs w:val="21"/>
        </w:rPr>
      </w:pPr>
      <w:r w:rsidRPr="00CB3A58">
        <w:rPr>
          <w:noProof/>
          <w:szCs w:val="21"/>
        </w:rPr>
        <w:pict>
          <v:shape id="_x0000_s1153" type="#_x0000_t202" style="position:absolute;margin-left:149.4pt;margin-top:134.5pt;width:116.55pt;height:26.25pt;z-index:251922432;mso-width-relative:margin;mso-height-relative:margin;v-text-anchor:middle" filled="f" stroked="f">
            <v:textbox style="mso-next-textbox:#_x0000_s1153">
              <w:txbxContent>
                <w:p w:rsidR="00102626" w:rsidRDefault="00102626" w:rsidP="00102626">
                  <w:pPr>
                    <w:jc w:val="center"/>
                  </w:pPr>
                  <w:r>
                    <w:rPr>
                      <w:rFonts w:hint="eastAsia"/>
                    </w:rPr>
                    <w:t>第</w:t>
                  </w:r>
                  <w:r w:rsidR="00A87587">
                    <w:rPr>
                      <w:rFonts w:hint="eastAsia"/>
                    </w:rPr>
                    <w:t>13</w:t>
                  </w:r>
                  <w:r>
                    <w:rPr>
                      <w:rFonts w:hint="eastAsia"/>
                    </w:rPr>
                    <w:t>页</w:t>
                  </w:r>
                </w:p>
              </w:txbxContent>
            </v:textbox>
          </v:shape>
        </w:pict>
      </w:r>
      <w:r w:rsidR="00CB3A58">
        <w:rPr>
          <w:noProof/>
          <w:szCs w:val="21"/>
        </w:rPr>
        <w:pict>
          <v:shape id="_x0000_s1140" type="#_x0000_t202" style="position:absolute;margin-left:150.9pt;margin-top:379.65pt;width:116.55pt;height:26.25pt;z-index:251881472;mso-width-relative:margin;mso-height-relative:margin;v-text-anchor:middle" filled="f" stroked="f">
            <v:textbox style="mso-next-textbox:#_x0000_s1140">
              <w:txbxContent>
                <w:p w:rsidR="00680E74" w:rsidRDefault="00680E74" w:rsidP="00680E74">
                  <w:pPr>
                    <w:jc w:val="center"/>
                  </w:pPr>
                  <w:r>
                    <w:rPr>
                      <w:rFonts w:hint="eastAsia"/>
                    </w:rPr>
                    <w:t>第</w:t>
                  </w:r>
                  <w:r w:rsidR="00A87587">
                    <w:rPr>
                      <w:rFonts w:hint="eastAsia"/>
                    </w:rPr>
                    <w:t>14</w:t>
                  </w:r>
                  <w:r>
                    <w:rPr>
                      <w:rFonts w:hint="eastAsia"/>
                    </w:rPr>
                    <w:t>页</w:t>
                  </w:r>
                </w:p>
              </w:txbxContent>
            </v:textbox>
          </v:shape>
        </w:pict>
      </w:r>
      <w:r w:rsidR="00CB3A58">
        <w:rPr>
          <w:noProof/>
          <w:szCs w:val="21"/>
        </w:rPr>
        <w:pict>
          <v:shape id="_x0000_s1122" type="#_x0000_t202" style="position:absolute;margin-left:150.9pt;margin-top:451.35pt;width:116.55pt;height:26.25pt;z-index:251844608;mso-width-relative:margin;mso-height-relative:margin;v-text-anchor:middle" filled="f" stroked="f">
            <v:textbox style="mso-next-textbox:#_x0000_s1122">
              <w:txbxContent>
                <w:p w:rsidR="004152F4" w:rsidRDefault="004152F4" w:rsidP="004152F4">
                  <w:pPr>
                    <w:jc w:val="center"/>
                  </w:pPr>
                  <w:r>
                    <w:rPr>
                      <w:rFonts w:hint="eastAsia"/>
                    </w:rPr>
                    <w:t>第</w:t>
                  </w:r>
                  <w:r w:rsidR="00DD6B75">
                    <w:rPr>
                      <w:rFonts w:hint="eastAsia"/>
                    </w:rPr>
                    <w:t>9</w:t>
                  </w:r>
                  <w:r>
                    <w:rPr>
                      <w:rFonts w:hint="eastAsia"/>
                    </w:rPr>
                    <w:t>页</w:t>
                  </w:r>
                </w:p>
              </w:txbxContent>
            </v:textbox>
          </v:shape>
        </w:pict>
      </w:r>
      <w:r w:rsidR="002E6571" w:rsidRPr="00220156">
        <w:rPr>
          <w:szCs w:val="21"/>
        </w:rPr>
        <w:br w:type="page"/>
      </w:r>
    </w:p>
    <w:p w:rsidR="006004CE" w:rsidRPr="00220156" w:rsidRDefault="00DD2B27" w:rsidP="00220156">
      <w:pPr>
        <w:spacing w:line="360" w:lineRule="auto"/>
        <w:ind w:firstLineChars="200" w:firstLine="420"/>
        <w:rPr>
          <w:szCs w:val="21"/>
        </w:rPr>
      </w:pPr>
      <w:r w:rsidRPr="00220156">
        <w:rPr>
          <w:noProof/>
          <w:szCs w:val="21"/>
        </w:rPr>
        <w:lastRenderedPageBreak/>
        <w:drawing>
          <wp:anchor distT="0" distB="0" distL="114300" distR="114300" simplePos="0" relativeHeight="251845632" behindDoc="1" locked="0" layoutInCell="1" allowOverlap="1">
            <wp:simplePos x="0" y="0"/>
            <wp:positionH relativeFrom="column">
              <wp:posOffset>-1131570</wp:posOffset>
            </wp:positionH>
            <wp:positionV relativeFrom="paragraph">
              <wp:posOffset>-1440180</wp:posOffset>
            </wp:positionV>
            <wp:extent cx="7543800" cy="10687050"/>
            <wp:effectExtent l="19050" t="0" r="0" b="0"/>
            <wp:wrapNone/>
            <wp:docPr id="12" name="图片 11" descr="研究报告模板-转曲_页面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转曲_页面_3.jpg"/>
                    <pic:cNvPicPr/>
                  </pic:nvPicPr>
                  <pic:blipFill>
                    <a:blip r:embed="rId16" cstate="print"/>
                    <a:stretch>
                      <a:fillRect/>
                    </a:stretch>
                  </pic:blipFill>
                  <pic:spPr>
                    <a:xfrm>
                      <a:off x="0" y="0"/>
                      <a:ext cx="7543800" cy="10687050"/>
                    </a:xfrm>
                    <a:prstGeom prst="rect">
                      <a:avLst/>
                    </a:prstGeom>
                  </pic:spPr>
                </pic:pic>
              </a:graphicData>
            </a:graphic>
          </wp:anchor>
        </w:drawing>
      </w:r>
      <w:r w:rsidR="00CB3A58">
        <w:rPr>
          <w:noProof/>
          <w:szCs w:val="21"/>
        </w:rPr>
        <w:pict>
          <v:shape id="_x0000_s1077" type="#_x0000_t202" style="position:absolute;left:0;text-align:left;margin-left:156.35pt;margin-top:682.35pt;width:120.3pt;height:22.8pt;z-index:251770880;mso-height-percent:200;mso-position-horizontal-relative:text;mso-position-vertical-relative:text;mso-height-percent:200;mso-width-relative:margin;mso-height-relative:margin;v-text-anchor:middle" filled="f" stroked="f" strokecolor="white">
            <v:textbox style="mso-next-textbox:#_x0000_s1077;mso-fit-shape-to-text:t">
              <w:txbxContent>
                <w:p w:rsidR="00F71C0A" w:rsidRDefault="00F71C0A" w:rsidP="00F71C0A">
                  <w:pPr>
                    <w:jc w:val="center"/>
                  </w:pPr>
                  <w:r>
                    <w:rPr>
                      <w:rFonts w:hint="eastAsia"/>
                    </w:rPr>
                    <w:t>第</w:t>
                  </w:r>
                  <w:r w:rsidR="00DD6B75">
                    <w:rPr>
                      <w:rFonts w:hint="eastAsia"/>
                    </w:rPr>
                    <w:t>1</w:t>
                  </w:r>
                  <w:r w:rsidR="00C21748">
                    <w:rPr>
                      <w:rFonts w:hint="eastAsia"/>
                    </w:rPr>
                    <w:t>4</w:t>
                  </w:r>
                  <w:r>
                    <w:rPr>
                      <w:rFonts w:hint="eastAsia"/>
                    </w:rPr>
                    <w:t>页</w:t>
                  </w:r>
                </w:p>
              </w:txbxContent>
            </v:textbox>
          </v:shape>
        </w:pict>
      </w:r>
    </w:p>
    <w:p w:rsidR="000F55A9" w:rsidRPr="009F2C0C" w:rsidRDefault="000F55A9">
      <w:pPr>
        <w:widowControl/>
        <w:jc w:val="left"/>
        <w:rPr>
          <w:rFonts w:asciiTheme="minorEastAsia" w:hAnsiTheme="minorEastAsia"/>
          <w:noProof/>
          <w:szCs w:val="21"/>
        </w:rPr>
      </w:pPr>
    </w:p>
    <w:p w:rsidR="002E6571" w:rsidRDefault="002E6571">
      <w:pPr>
        <w:rPr>
          <w:rFonts w:asciiTheme="minorEastAsia" w:hAnsiTheme="minorEastAsia"/>
          <w:szCs w:val="21"/>
        </w:rPr>
      </w:pPr>
    </w:p>
    <w:p w:rsidR="002E6571" w:rsidRDefault="002E6571">
      <w:pPr>
        <w:widowControl/>
        <w:jc w:val="left"/>
        <w:rPr>
          <w:rFonts w:asciiTheme="minorEastAsia" w:hAnsiTheme="minorEastAsia"/>
          <w:szCs w:val="21"/>
        </w:rPr>
      </w:pPr>
      <w:r>
        <w:rPr>
          <w:rFonts w:asciiTheme="minorEastAsia" w:hAnsiTheme="minorEastAsia"/>
          <w:szCs w:val="21"/>
        </w:rPr>
        <w:br w:type="page"/>
      </w:r>
    </w:p>
    <w:p w:rsidR="00C816C9" w:rsidRPr="009F2C0C" w:rsidRDefault="002E6571">
      <w:pPr>
        <w:rPr>
          <w:rFonts w:asciiTheme="minorEastAsia" w:hAnsiTheme="minorEastAsia"/>
          <w:szCs w:val="21"/>
        </w:rPr>
      </w:pPr>
      <w:r>
        <w:rPr>
          <w:rFonts w:asciiTheme="minorEastAsia" w:hAnsiTheme="minorEastAsia"/>
          <w:noProof/>
          <w:szCs w:val="21"/>
        </w:rPr>
        <w:lastRenderedPageBreak/>
        <w:drawing>
          <wp:anchor distT="0" distB="0" distL="114300" distR="114300" simplePos="0" relativeHeight="251846656" behindDoc="1" locked="0" layoutInCell="1" allowOverlap="1">
            <wp:simplePos x="0" y="0"/>
            <wp:positionH relativeFrom="column">
              <wp:posOffset>-1150620</wp:posOffset>
            </wp:positionH>
            <wp:positionV relativeFrom="paragraph">
              <wp:posOffset>-1430656</wp:posOffset>
            </wp:positionV>
            <wp:extent cx="7545088" cy="10677525"/>
            <wp:effectExtent l="19050" t="0" r="0" b="0"/>
            <wp:wrapNone/>
            <wp:docPr id="17" name="图片 16" descr="研究报告模板-转曲_页面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研究报告模板-转曲_页面_4.jpg"/>
                    <pic:cNvPicPr/>
                  </pic:nvPicPr>
                  <pic:blipFill>
                    <a:blip r:embed="rId17" cstate="print"/>
                    <a:stretch>
                      <a:fillRect/>
                    </a:stretch>
                  </pic:blipFill>
                  <pic:spPr>
                    <a:xfrm>
                      <a:off x="0" y="0"/>
                      <a:ext cx="7545088" cy="10677525"/>
                    </a:xfrm>
                    <a:prstGeom prst="rect">
                      <a:avLst/>
                    </a:prstGeom>
                  </pic:spPr>
                </pic:pic>
              </a:graphicData>
            </a:graphic>
          </wp:anchor>
        </w:drawing>
      </w:r>
    </w:p>
    <w:sectPr w:rsidR="00C816C9" w:rsidRPr="009F2C0C" w:rsidSect="00885A0C">
      <w:pgSz w:w="11906" w:h="16838"/>
      <w:pgMar w:top="2268"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D31" w:rsidRDefault="00127D31" w:rsidP="000F55A9">
      <w:r>
        <w:separator/>
      </w:r>
    </w:p>
  </w:endnote>
  <w:endnote w:type="continuationSeparator" w:id="0">
    <w:p w:rsidR="00127D31" w:rsidRDefault="00127D31" w:rsidP="000F5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D31" w:rsidRDefault="00127D31" w:rsidP="000F55A9">
      <w:r>
        <w:separator/>
      </w:r>
    </w:p>
  </w:footnote>
  <w:footnote w:type="continuationSeparator" w:id="0">
    <w:p w:rsidR="00127D31" w:rsidRDefault="00127D31" w:rsidP="000F55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japaneseCounting"/>
      <w:lvlText w:val="%1、"/>
      <w:lvlJc w:val="left"/>
      <w:pPr>
        <w:ind w:left="420" w:hanging="4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C"/>
    <w:multiLevelType w:val="singleLevel"/>
    <w:tmpl w:val="0000000C"/>
    <w:lvl w:ilvl="0">
      <w:start w:val="2"/>
      <w:numFmt w:val="chineseCounting"/>
      <w:suff w:val="nothing"/>
      <w:lvlText w:val="（%1）"/>
      <w:lvlJc w:val="left"/>
    </w:lvl>
  </w:abstractNum>
  <w:abstractNum w:abstractNumId="2">
    <w:nsid w:val="056A6560"/>
    <w:multiLevelType w:val="hybridMultilevel"/>
    <w:tmpl w:val="58D08E5C"/>
    <w:lvl w:ilvl="0" w:tplc="F8BCEEB6">
      <w:start w:val="1"/>
      <w:numFmt w:val="decimal"/>
      <w:lvlText w:val="%1、"/>
      <w:lvlJc w:val="left"/>
      <w:pPr>
        <w:ind w:left="375" w:hanging="375"/>
      </w:pPr>
      <w:rPr>
        <w:rFonts w:ascii="Calibri" w:hAnsi="Calibri" w:cs="黑体"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A565C82"/>
    <w:multiLevelType w:val="hybridMultilevel"/>
    <w:tmpl w:val="A52E4002"/>
    <w:lvl w:ilvl="0" w:tplc="1400A34E">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C22197"/>
    <w:multiLevelType w:val="multilevel"/>
    <w:tmpl w:val="AA1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EC22D97"/>
    <w:multiLevelType w:val="multilevel"/>
    <w:tmpl w:val="7360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A77D0E"/>
    <w:multiLevelType w:val="multilevel"/>
    <w:tmpl w:val="95683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4"/>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3906">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55A9"/>
    <w:rsid w:val="000004BF"/>
    <w:rsid w:val="0000356E"/>
    <w:rsid w:val="00004A37"/>
    <w:rsid w:val="00005725"/>
    <w:rsid w:val="00022C01"/>
    <w:rsid w:val="00027CCC"/>
    <w:rsid w:val="0003139B"/>
    <w:rsid w:val="00041C21"/>
    <w:rsid w:val="0005515F"/>
    <w:rsid w:val="000627FB"/>
    <w:rsid w:val="00064532"/>
    <w:rsid w:val="00077C6C"/>
    <w:rsid w:val="00082951"/>
    <w:rsid w:val="000D0B08"/>
    <w:rsid w:val="000E014C"/>
    <w:rsid w:val="000E491A"/>
    <w:rsid w:val="000F0F0B"/>
    <w:rsid w:val="000F4986"/>
    <w:rsid w:val="000F55A9"/>
    <w:rsid w:val="00102626"/>
    <w:rsid w:val="0010722A"/>
    <w:rsid w:val="00120B77"/>
    <w:rsid w:val="00125416"/>
    <w:rsid w:val="00127D31"/>
    <w:rsid w:val="00131FDF"/>
    <w:rsid w:val="00143A39"/>
    <w:rsid w:val="001518ED"/>
    <w:rsid w:val="0015191C"/>
    <w:rsid w:val="0015237F"/>
    <w:rsid w:val="00161D6C"/>
    <w:rsid w:val="0017262F"/>
    <w:rsid w:val="00192623"/>
    <w:rsid w:val="00194375"/>
    <w:rsid w:val="001958E4"/>
    <w:rsid w:val="001B7449"/>
    <w:rsid w:val="001C2B9A"/>
    <w:rsid w:val="00206364"/>
    <w:rsid w:val="00220156"/>
    <w:rsid w:val="00224F4C"/>
    <w:rsid w:val="00274442"/>
    <w:rsid w:val="00282DC9"/>
    <w:rsid w:val="00286FD7"/>
    <w:rsid w:val="00292B32"/>
    <w:rsid w:val="002950BB"/>
    <w:rsid w:val="002B1BC2"/>
    <w:rsid w:val="002C04AC"/>
    <w:rsid w:val="002D3E49"/>
    <w:rsid w:val="002D671E"/>
    <w:rsid w:val="002E6571"/>
    <w:rsid w:val="002E68B4"/>
    <w:rsid w:val="00310143"/>
    <w:rsid w:val="00317128"/>
    <w:rsid w:val="00353139"/>
    <w:rsid w:val="0036434E"/>
    <w:rsid w:val="003A05F5"/>
    <w:rsid w:val="003C0FE7"/>
    <w:rsid w:val="003C1C96"/>
    <w:rsid w:val="003D10A2"/>
    <w:rsid w:val="003D17F6"/>
    <w:rsid w:val="003D37C1"/>
    <w:rsid w:val="003E29B2"/>
    <w:rsid w:val="003E34BF"/>
    <w:rsid w:val="003E4DD2"/>
    <w:rsid w:val="004116B9"/>
    <w:rsid w:val="00411B78"/>
    <w:rsid w:val="004133F4"/>
    <w:rsid w:val="004152F4"/>
    <w:rsid w:val="00416693"/>
    <w:rsid w:val="0041676D"/>
    <w:rsid w:val="00422439"/>
    <w:rsid w:val="00434256"/>
    <w:rsid w:val="004461F0"/>
    <w:rsid w:val="00451E8A"/>
    <w:rsid w:val="00452652"/>
    <w:rsid w:val="0045547C"/>
    <w:rsid w:val="00456681"/>
    <w:rsid w:val="00476424"/>
    <w:rsid w:val="00485FBD"/>
    <w:rsid w:val="00490592"/>
    <w:rsid w:val="004A4DE8"/>
    <w:rsid w:val="004A5009"/>
    <w:rsid w:val="004B45A0"/>
    <w:rsid w:val="004C197F"/>
    <w:rsid w:val="004C6AA2"/>
    <w:rsid w:val="004D30EA"/>
    <w:rsid w:val="004E2479"/>
    <w:rsid w:val="004E6886"/>
    <w:rsid w:val="004F238A"/>
    <w:rsid w:val="00503C75"/>
    <w:rsid w:val="00523064"/>
    <w:rsid w:val="005378D3"/>
    <w:rsid w:val="00541F67"/>
    <w:rsid w:val="0054624A"/>
    <w:rsid w:val="00547EE5"/>
    <w:rsid w:val="005602C4"/>
    <w:rsid w:val="005821CA"/>
    <w:rsid w:val="00586CD9"/>
    <w:rsid w:val="00590E46"/>
    <w:rsid w:val="005A1683"/>
    <w:rsid w:val="005C450F"/>
    <w:rsid w:val="005C63D5"/>
    <w:rsid w:val="005D7298"/>
    <w:rsid w:val="005E2DFF"/>
    <w:rsid w:val="005F43ED"/>
    <w:rsid w:val="006004CE"/>
    <w:rsid w:val="006043F3"/>
    <w:rsid w:val="00606487"/>
    <w:rsid w:val="00614812"/>
    <w:rsid w:val="00616C93"/>
    <w:rsid w:val="00622795"/>
    <w:rsid w:val="006257AA"/>
    <w:rsid w:val="006512B5"/>
    <w:rsid w:val="006548E8"/>
    <w:rsid w:val="00666226"/>
    <w:rsid w:val="00680E74"/>
    <w:rsid w:val="00693607"/>
    <w:rsid w:val="006B0DE5"/>
    <w:rsid w:val="006B145D"/>
    <w:rsid w:val="006C02B6"/>
    <w:rsid w:val="006D0419"/>
    <w:rsid w:val="006D22D3"/>
    <w:rsid w:val="007047AA"/>
    <w:rsid w:val="007322EC"/>
    <w:rsid w:val="0073550D"/>
    <w:rsid w:val="00741EFF"/>
    <w:rsid w:val="00743377"/>
    <w:rsid w:val="007628FE"/>
    <w:rsid w:val="00763DF1"/>
    <w:rsid w:val="00782081"/>
    <w:rsid w:val="007A35B1"/>
    <w:rsid w:val="007A717B"/>
    <w:rsid w:val="007B2721"/>
    <w:rsid w:val="007B6B5E"/>
    <w:rsid w:val="007E0B36"/>
    <w:rsid w:val="007F4350"/>
    <w:rsid w:val="008028D6"/>
    <w:rsid w:val="00811BA2"/>
    <w:rsid w:val="008165A7"/>
    <w:rsid w:val="00827E66"/>
    <w:rsid w:val="008346A7"/>
    <w:rsid w:val="00847E38"/>
    <w:rsid w:val="00851896"/>
    <w:rsid w:val="0085218A"/>
    <w:rsid w:val="008544BF"/>
    <w:rsid w:val="008626E1"/>
    <w:rsid w:val="00864862"/>
    <w:rsid w:val="008741E1"/>
    <w:rsid w:val="0087532F"/>
    <w:rsid w:val="008764DC"/>
    <w:rsid w:val="008847AD"/>
    <w:rsid w:val="00885A0C"/>
    <w:rsid w:val="008A0270"/>
    <w:rsid w:val="008A3F07"/>
    <w:rsid w:val="008A541A"/>
    <w:rsid w:val="008A6784"/>
    <w:rsid w:val="008C1D1C"/>
    <w:rsid w:val="008C4284"/>
    <w:rsid w:val="00915CA8"/>
    <w:rsid w:val="00916480"/>
    <w:rsid w:val="00920A50"/>
    <w:rsid w:val="0093260F"/>
    <w:rsid w:val="00945757"/>
    <w:rsid w:val="00951F79"/>
    <w:rsid w:val="00952594"/>
    <w:rsid w:val="00952DFC"/>
    <w:rsid w:val="00954316"/>
    <w:rsid w:val="00965FB2"/>
    <w:rsid w:val="00970929"/>
    <w:rsid w:val="00987FAF"/>
    <w:rsid w:val="0099097E"/>
    <w:rsid w:val="009B26DB"/>
    <w:rsid w:val="009B3928"/>
    <w:rsid w:val="009C4931"/>
    <w:rsid w:val="009C5DDA"/>
    <w:rsid w:val="009E068D"/>
    <w:rsid w:val="009F0EDF"/>
    <w:rsid w:val="009F2C0C"/>
    <w:rsid w:val="00A104BA"/>
    <w:rsid w:val="00A22CA8"/>
    <w:rsid w:val="00A273BF"/>
    <w:rsid w:val="00A30808"/>
    <w:rsid w:val="00A3137C"/>
    <w:rsid w:val="00A3788A"/>
    <w:rsid w:val="00A41376"/>
    <w:rsid w:val="00A47F90"/>
    <w:rsid w:val="00A54743"/>
    <w:rsid w:val="00A563B5"/>
    <w:rsid w:val="00A635E9"/>
    <w:rsid w:val="00A71597"/>
    <w:rsid w:val="00A8555C"/>
    <w:rsid w:val="00A87587"/>
    <w:rsid w:val="00A93EC6"/>
    <w:rsid w:val="00AA4F1F"/>
    <w:rsid w:val="00AA71F5"/>
    <w:rsid w:val="00AC136F"/>
    <w:rsid w:val="00AD12D9"/>
    <w:rsid w:val="00AD3739"/>
    <w:rsid w:val="00AD48AA"/>
    <w:rsid w:val="00AD67BF"/>
    <w:rsid w:val="00AE6162"/>
    <w:rsid w:val="00AF3DF6"/>
    <w:rsid w:val="00AF4933"/>
    <w:rsid w:val="00B37002"/>
    <w:rsid w:val="00B410C2"/>
    <w:rsid w:val="00B804EB"/>
    <w:rsid w:val="00B8776C"/>
    <w:rsid w:val="00BA2C58"/>
    <w:rsid w:val="00BA4D33"/>
    <w:rsid w:val="00BB0D43"/>
    <w:rsid w:val="00BB4AE8"/>
    <w:rsid w:val="00BB7AAD"/>
    <w:rsid w:val="00BC3B46"/>
    <w:rsid w:val="00BE55C1"/>
    <w:rsid w:val="00C0737A"/>
    <w:rsid w:val="00C10E74"/>
    <w:rsid w:val="00C1743F"/>
    <w:rsid w:val="00C21748"/>
    <w:rsid w:val="00C22DBF"/>
    <w:rsid w:val="00C5642E"/>
    <w:rsid w:val="00C60600"/>
    <w:rsid w:val="00C804E1"/>
    <w:rsid w:val="00C816C9"/>
    <w:rsid w:val="00C83584"/>
    <w:rsid w:val="00C84199"/>
    <w:rsid w:val="00C956A3"/>
    <w:rsid w:val="00C95C33"/>
    <w:rsid w:val="00CA0CFA"/>
    <w:rsid w:val="00CB3A58"/>
    <w:rsid w:val="00CB58E4"/>
    <w:rsid w:val="00CC377F"/>
    <w:rsid w:val="00CE0D6A"/>
    <w:rsid w:val="00CF4398"/>
    <w:rsid w:val="00CF5041"/>
    <w:rsid w:val="00D17336"/>
    <w:rsid w:val="00D17AE0"/>
    <w:rsid w:val="00D50171"/>
    <w:rsid w:val="00D53762"/>
    <w:rsid w:val="00D64247"/>
    <w:rsid w:val="00D64505"/>
    <w:rsid w:val="00D66A2B"/>
    <w:rsid w:val="00D81DE8"/>
    <w:rsid w:val="00D85C0F"/>
    <w:rsid w:val="00D87EF3"/>
    <w:rsid w:val="00DA0E9C"/>
    <w:rsid w:val="00DB0142"/>
    <w:rsid w:val="00DB4052"/>
    <w:rsid w:val="00DD2107"/>
    <w:rsid w:val="00DD2B27"/>
    <w:rsid w:val="00DD6B75"/>
    <w:rsid w:val="00DE01A4"/>
    <w:rsid w:val="00DE104E"/>
    <w:rsid w:val="00DE48DB"/>
    <w:rsid w:val="00DE760A"/>
    <w:rsid w:val="00E108BB"/>
    <w:rsid w:val="00E167BF"/>
    <w:rsid w:val="00E17DC6"/>
    <w:rsid w:val="00E36812"/>
    <w:rsid w:val="00E567E0"/>
    <w:rsid w:val="00E66B00"/>
    <w:rsid w:val="00E74C80"/>
    <w:rsid w:val="00E74EFC"/>
    <w:rsid w:val="00E774C7"/>
    <w:rsid w:val="00E81F2B"/>
    <w:rsid w:val="00E976CB"/>
    <w:rsid w:val="00EB0E44"/>
    <w:rsid w:val="00EB445E"/>
    <w:rsid w:val="00EE03D9"/>
    <w:rsid w:val="00EE4802"/>
    <w:rsid w:val="00EE5CBC"/>
    <w:rsid w:val="00EE7DC3"/>
    <w:rsid w:val="00EF7031"/>
    <w:rsid w:val="00F024C3"/>
    <w:rsid w:val="00F02DF4"/>
    <w:rsid w:val="00F15957"/>
    <w:rsid w:val="00F32D75"/>
    <w:rsid w:val="00F348EC"/>
    <w:rsid w:val="00F360F4"/>
    <w:rsid w:val="00F40BE8"/>
    <w:rsid w:val="00F436BA"/>
    <w:rsid w:val="00F50715"/>
    <w:rsid w:val="00F650AF"/>
    <w:rsid w:val="00F71C0A"/>
    <w:rsid w:val="00F9254A"/>
    <w:rsid w:val="00FA4144"/>
    <w:rsid w:val="00FA4BD2"/>
    <w:rsid w:val="00FE612A"/>
    <w:rsid w:val="00FE6FB7"/>
    <w:rsid w:val="00FF38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3906">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32F"/>
    <w:pPr>
      <w:widowControl w:val="0"/>
      <w:jc w:val="both"/>
    </w:pPr>
  </w:style>
  <w:style w:type="paragraph" w:styleId="1">
    <w:name w:val="heading 1"/>
    <w:basedOn w:val="a"/>
    <w:link w:val="1Char"/>
    <w:uiPriority w:val="9"/>
    <w:qFormat/>
    <w:rsid w:val="005D7298"/>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unhideWhenUsed/>
    <w:qFormat/>
    <w:rsid w:val="0005515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5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55A9"/>
    <w:rPr>
      <w:sz w:val="18"/>
      <w:szCs w:val="18"/>
    </w:rPr>
  </w:style>
  <w:style w:type="paragraph" w:styleId="a4">
    <w:name w:val="footer"/>
    <w:basedOn w:val="a"/>
    <w:link w:val="Char0"/>
    <w:uiPriority w:val="99"/>
    <w:semiHidden/>
    <w:unhideWhenUsed/>
    <w:rsid w:val="000F55A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55A9"/>
    <w:rPr>
      <w:sz w:val="18"/>
      <w:szCs w:val="18"/>
    </w:rPr>
  </w:style>
  <w:style w:type="paragraph" w:styleId="a5">
    <w:name w:val="Balloon Text"/>
    <w:basedOn w:val="a"/>
    <w:link w:val="Char1"/>
    <w:uiPriority w:val="99"/>
    <w:semiHidden/>
    <w:unhideWhenUsed/>
    <w:rsid w:val="000F55A9"/>
    <w:rPr>
      <w:sz w:val="18"/>
      <w:szCs w:val="18"/>
    </w:rPr>
  </w:style>
  <w:style w:type="character" w:customStyle="1" w:styleId="Char1">
    <w:name w:val="批注框文本 Char"/>
    <w:basedOn w:val="a0"/>
    <w:link w:val="a5"/>
    <w:uiPriority w:val="99"/>
    <w:semiHidden/>
    <w:rsid w:val="000F55A9"/>
    <w:rPr>
      <w:sz w:val="18"/>
      <w:szCs w:val="18"/>
    </w:rPr>
  </w:style>
  <w:style w:type="paragraph" w:styleId="a6">
    <w:name w:val="List Paragraph"/>
    <w:basedOn w:val="a"/>
    <w:uiPriority w:val="34"/>
    <w:qFormat/>
    <w:rsid w:val="00864862"/>
    <w:pPr>
      <w:ind w:firstLineChars="200" w:firstLine="420"/>
    </w:pPr>
  </w:style>
  <w:style w:type="character" w:styleId="a7">
    <w:name w:val="Hyperlink"/>
    <w:basedOn w:val="a0"/>
    <w:uiPriority w:val="99"/>
    <w:unhideWhenUsed/>
    <w:rsid w:val="00C816C9"/>
    <w:rPr>
      <w:color w:val="0000FF"/>
      <w:u w:val="single"/>
    </w:rPr>
  </w:style>
  <w:style w:type="character" w:customStyle="1" w:styleId="style121">
    <w:name w:val="style121"/>
    <w:basedOn w:val="a0"/>
    <w:rsid w:val="006004CE"/>
    <w:rPr>
      <w:rFonts w:ascii="黑体" w:eastAsia="黑体" w:hAnsi="黑体" w:hint="eastAsia"/>
      <w:sz w:val="24"/>
      <w:szCs w:val="24"/>
    </w:rPr>
  </w:style>
  <w:style w:type="paragraph" w:styleId="a8">
    <w:name w:val="Normal (Web)"/>
    <w:basedOn w:val="a"/>
    <w:uiPriority w:val="99"/>
    <w:unhideWhenUsed/>
    <w:rsid w:val="006004CE"/>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5D7298"/>
    <w:rPr>
      <w:rFonts w:ascii="宋体" w:eastAsia="宋体" w:hAnsi="宋体" w:cs="宋体"/>
      <w:b/>
      <w:bCs/>
      <w:kern w:val="36"/>
      <w:sz w:val="48"/>
      <w:szCs w:val="48"/>
    </w:rPr>
  </w:style>
  <w:style w:type="character" w:customStyle="1" w:styleId="apple-converted-space">
    <w:name w:val="apple-converted-space"/>
    <w:basedOn w:val="a0"/>
    <w:rsid w:val="004E2479"/>
  </w:style>
  <w:style w:type="character" w:customStyle="1" w:styleId="newstitle1">
    <w:name w:val="newstitle1"/>
    <w:basedOn w:val="a0"/>
    <w:rsid w:val="00A41376"/>
    <w:rPr>
      <w:b/>
      <w:bCs/>
      <w:color w:val="000000"/>
      <w:sz w:val="25"/>
      <w:szCs w:val="25"/>
    </w:rPr>
  </w:style>
  <w:style w:type="character" w:customStyle="1" w:styleId="infomblog">
    <w:name w:val="infomblog"/>
    <w:basedOn w:val="a0"/>
    <w:rsid w:val="00BB7AAD"/>
  </w:style>
  <w:style w:type="character" w:customStyle="1" w:styleId="ared">
    <w:name w:val="ared"/>
    <w:basedOn w:val="a0"/>
    <w:rsid w:val="00BB7AAD"/>
  </w:style>
  <w:style w:type="character" w:customStyle="1" w:styleId="2Char">
    <w:name w:val="标题 2 Char"/>
    <w:basedOn w:val="a0"/>
    <w:link w:val="2"/>
    <w:uiPriority w:val="9"/>
    <w:rsid w:val="0005515F"/>
    <w:rPr>
      <w:rFonts w:asciiTheme="majorHAnsi" w:eastAsiaTheme="majorEastAsia" w:hAnsiTheme="majorHAnsi" w:cstheme="majorBidi"/>
      <w:b/>
      <w:bCs/>
      <w:sz w:val="32"/>
      <w:szCs w:val="32"/>
    </w:rPr>
  </w:style>
  <w:style w:type="character" w:customStyle="1" w:styleId="tt4">
    <w:name w:val="tt4"/>
    <w:basedOn w:val="a0"/>
    <w:rsid w:val="00741EFF"/>
    <w:rPr>
      <w:rFonts w:ascii="宋体" w:eastAsia="宋体" w:hAnsi="宋体" w:hint="eastAsia"/>
      <w:vanish w:val="0"/>
      <w:webHidden w:val="0"/>
      <w:specVanish w:val="0"/>
    </w:rPr>
  </w:style>
  <w:style w:type="character" w:customStyle="1" w:styleId="gray2">
    <w:name w:val="gray2"/>
    <w:basedOn w:val="a0"/>
    <w:rsid w:val="00741EFF"/>
    <w:rPr>
      <w:vanish w:val="0"/>
      <w:webHidden w:val="0"/>
      <w:color w:val="333333"/>
      <w:specVanish w:val="0"/>
    </w:rPr>
  </w:style>
  <w:style w:type="character" w:customStyle="1" w:styleId="red4">
    <w:name w:val="red4"/>
    <w:basedOn w:val="a0"/>
    <w:rsid w:val="00741EFF"/>
    <w:rPr>
      <w:vanish w:val="0"/>
      <w:webHidden w:val="0"/>
      <w:color w:val="FF0000"/>
      <w:specVanish w:val="0"/>
    </w:rPr>
  </w:style>
  <w:style w:type="character" w:customStyle="1" w:styleId="green2">
    <w:name w:val="green2"/>
    <w:basedOn w:val="a0"/>
    <w:rsid w:val="00741EFF"/>
    <w:rPr>
      <w:vanish w:val="0"/>
      <w:webHidden w:val="0"/>
      <w:color w:val="009900"/>
      <w:specVanish w:val="0"/>
    </w:rPr>
  </w:style>
  <w:style w:type="paragraph" w:customStyle="1" w:styleId="p0">
    <w:name w:val="p0"/>
    <w:basedOn w:val="a"/>
    <w:rsid w:val="00A22CA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A22CA8"/>
    <w:rPr>
      <w:b/>
      <w:bCs/>
    </w:rPr>
  </w:style>
  <w:style w:type="paragraph" w:customStyle="1" w:styleId="10">
    <w:name w:val="列出段落1"/>
    <w:basedOn w:val="a"/>
    <w:rsid w:val="00616C93"/>
    <w:pPr>
      <w:ind w:firstLineChars="200" w:firstLine="420"/>
    </w:pPr>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w:divs>
    <w:div w:id="25255800">
      <w:bodyDiv w:val="1"/>
      <w:marLeft w:val="0"/>
      <w:marRight w:val="0"/>
      <w:marTop w:val="0"/>
      <w:marBottom w:val="0"/>
      <w:divBdr>
        <w:top w:val="none" w:sz="0" w:space="0" w:color="auto"/>
        <w:left w:val="none" w:sz="0" w:space="0" w:color="auto"/>
        <w:bottom w:val="none" w:sz="0" w:space="0" w:color="auto"/>
        <w:right w:val="none" w:sz="0" w:space="0" w:color="auto"/>
      </w:divBdr>
    </w:div>
    <w:div w:id="64686660">
      <w:bodyDiv w:val="1"/>
      <w:marLeft w:val="0"/>
      <w:marRight w:val="0"/>
      <w:marTop w:val="0"/>
      <w:marBottom w:val="0"/>
      <w:divBdr>
        <w:top w:val="none" w:sz="0" w:space="0" w:color="auto"/>
        <w:left w:val="none" w:sz="0" w:space="0" w:color="auto"/>
        <w:bottom w:val="none" w:sz="0" w:space="0" w:color="auto"/>
        <w:right w:val="none" w:sz="0" w:space="0" w:color="auto"/>
      </w:divBdr>
      <w:divsChild>
        <w:div w:id="415327452">
          <w:marLeft w:val="0"/>
          <w:marRight w:val="0"/>
          <w:marTop w:val="0"/>
          <w:marBottom w:val="0"/>
          <w:divBdr>
            <w:top w:val="none" w:sz="0" w:space="0" w:color="auto"/>
            <w:left w:val="none" w:sz="0" w:space="0" w:color="auto"/>
            <w:bottom w:val="none" w:sz="0" w:space="0" w:color="auto"/>
            <w:right w:val="none" w:sz="0" w:space="0" w:color="auto"/>
          </w:divBdr>
          <w:divsChild>
            <w:div w:id="1945502397">
              <w:marLeft w:val="0"/>
              <w:marRight w:val="0"/>
              <w:marTop w:val="0"/>
              <w:marBottom w:val="0"/>
              <w:divBdr>
                <w:top w:val="none" w:sz="0" w:space="0" w:color="auto"/>
                <w:left w:val="none" w:sz="0" w:space="0" w:color="auto"/>
                <w:bottom w:val="none" w:sz="0" w:space="0" w:color="auto"/>
                <w:right w:val="none" w:sz="0" w:space="0" w:color="auto"/>
              </w:divBdr>
              <w:divsChild>
                <w:div w:id="699203757">
                  <w:marLeft w:val="0"/>
                  <w:marRight w:val="0"/>
                  <w:marTop w:val="0"/>
                  <w:marBottom w:val="0"/>
                  <w:divBdr>
                    <w:top w:val="none" w:sz="0" w:space="0" w:color="auto"/>
                    <w:left w:val="none" w:sz="0" w:space="0" w:color="auto"/>
                    <w:bottom w:val="none" w:sz="0" w:space="0" w:color="auto"/>
                    <w:right w:val="none" w:sz="0" w:space="0" w:color="auto"/>
                  </w:divBdr>
                </w:div>
                <w:div w:id="2015035745">
                  <w:marLeft w:val="0"/>
                  <w:marRight w:val="0"/>
                  <w:marTop w:val="0"/>
                  <w:marBottom w:val="0"/>
                  <w:divBdr>
                    <w:top w:val="none" w:sz="0" w:space="0" w:color="auto"/>
                    <w:left w:val="none" w:sz="0" w:space="0" w:color="auto"/>
                    <w:bottom w:val="none" w:sz="0" w:space="0" w:color="auto"/>
                    <w:right w:val="none" w:sz="0" w:space="0" w:color="auto"/>
                  </w:divBdr>
                </w:div>
                <w:div w:id="157007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6288">
      <w:bodyDiv w:val="1"/>
      <w:marLeft w:val="0"/>
      <w:marRight w:val="0"/>
      <w:marTop w:val="0"/>
      <w:marBottom w:val="0"/>
      <w:divBdr>
        <w:top w:val="none" w:sz="0" w:space="0" w:color="auto"/>
        <w:left w:val="none" w:sz="0" w:space="0" w:color="auto"/>
        <w:bottom w:val="none" w:sz="0" w:space="0" w:color="auto"/>
        <w:right w:val="none" w:sz="0" w:space="0" w:color="auto"/>
      </w:divBdr>
    </w:div>
    <w:div w:id="113062052">
      <w:bodyDiv w:val="1"/>
      <w:marLeft w:val="0"/>
      <w:marRight w:val="0"/>
      <w:marTop w:val="0"/>
      <w:marBottom w:val="0"/>
      <w:divBdr>
        <w:top w:val="none" w:sz="0" w:space="0" w:color="auto"/>
        <w:left w:val="none" w:sz="0" w:space="0" w:color="auto"/>
        <w:bottom w:val="none" w:sz="0" w:space="0" w:color="auto"/>
        <w:right w:val="none" w:sz="0" w:space="0" w:color="auto"/>
      </w:divBdr>
    </w:div>
    <w:div w:id="166288687">
      <w:bodyDiv w:val="1"/>
      <w:marLeft w:val="0"/>
      <w:marRight w:val="0"/>
      <w:marTop w:val="0"/>
      <w:marBottom w:val="0"/>
      <w:divBdr>
        <w:top w:val="none" w:sz="0" w:space="0" w:color="auto"/>
        <w:left w:val="none" w:sz="0" w:space="0" w:color="auto"/>
        <w:bottom w:val="none" w:sz="0" w:space="0" w:color="auto"/>
        <w:right w:val="none" w:sz="0" w:space="0" w:color="auto"/>
      </w:divBdr>
    </w:div>
    <w:div w:id="235864628">
      <w:bodyDiv w:val="1"/>
      <w:marLeft w:val="0"/>
      <w:marRight w:val="0"/>
      <w:marTop w:val="0"/>
      <w:marBottom w:val="0"/>
      <w:divBdr>
        <w:top w:val="none" w:sz="0" w:space="0" w:color="auto"/>
        <w:left w:val="none" w:sz="0" w:space="0" w:color="auto"/>
        <w:bottom w:val="none" w:sz="0" w:space="0" w:color="auto"/>
        <w:right w:val="none" w:sz="0" w:space="0" w:color="auto"/>
      </w:divBdr>
    </w:div>
    <w:div w:id="283536777">
      <w:bodyDiv w:val="1"/>
      <w:marLeft w:val="0"/>
      <w:marRight w:val="0"/>
      <w:marTop w:val="0"/>
      <w:marBottom w:val="0"/>
      <w:divBdr>
        <w:top w:val="none" w:sz="0" w:space="0" w:color="auto"/>
        <w:left w:val="none" w:sz="0" w:space="0" w:color="auto"/>
        <w:bottom w:val="none" w:sz="0" w:space="0" w:color="auto"/>
        <w:right w:val="none" w:sz="0" w:space="0" w:color="auto"/>
      </w:divBdr>
    </w:div>
    <w:div w:id="309334434">
      <w:bodyDiv w:val="1"/>
      <w:marLeft w:val="0"/>
      <w:marRight w:val="0"/>
      <w:marTop w:val="0"/>
      <w:marBottom w:val="0"/>
      <w:divBdr>
        <w:top w:val="none" w:sz="0" w:space="0" w:color="auto"/>
        <w:left w:val="none" w:sz="0" w:space="0" w:color="auto"/>
        <w:bottom w:val="none" w:sz="0" w:space="0" w:color="auto"/>
        <w:right w:val="none" w:sz="0" w:space="0" w:color="auto"/>
      </w:divBdr>
      <w:divsChild>
        <w:div w:id="1706326946">
          <w:marLeft w:val="0"/>
          <w:marRight w:val="0"/>
          <w:marTop w:val="0"/>
          <w:marBottom w:val="0"/>
          <w:divBdr>
            <w:top w:val="none" w:sz="0" w:space="0" w:color="auto"/>
            <w:left w:val="none" w:sz="0" w:space="0" w:color="auto"/>
            <w:bottom w:val="single" w:sz="6" w:space="11" w:color="CCCCCC"/>
            <w:right w:val="none" w:sz="0" w:space="0" w:color="auto"/>
          </w:divBdr>
          <w:divsChild>
            <w:div w:id="1046754767">
              <w:marLeft w:val="0"/>
              <w:marRight w:val="0"/>
              <w:marTop w:val="0"/>
              <w:marBottom w:val="0"/>
              <w:divBdr>
                <w:top w:val="none" w:sz="0" w:space="0" w:color="auto"/>
                <w:left w:val="none" w:sz="0" w:space="0" w:color="auto"/>
                <w:bottom w:val="none" w:sz="0" w:space="0" w:color="auto"/>
                <w:right w:val="none" w:sz="0" w:space="0" w:color="auto"/>
              </w:divBdr>
              <w:divsChild>
                <w:div w:id="263464847">
                  <w:marLeft w:val="600"/>
                  <w:marRight w:val="600"/>
                  <w:marTop w:val="0"/>
                  <w:marBottom w:val="0"/>
                  <w:divBdr>
                    <w:top w:val="none" w:sz="0" w:space="0" w:color="auto"/>
                    <w:left w:val="none" w:sz="0" w:space="0" w:color="auto"/>
                    <w:bottom w:val="none" w:sz="0" w:space="0" w:color="auto"/>
                    <w:right w:val="none" w:sz="0" w:space="0" w:color="auto"/>
                  </w:divBdr>
                  <w:divsChild>
                    <w:div w:id="2111192769">
                      <w:marLeft w:val="0"/>
                      <w:marRight w:val="0"/>
                      <w:marTop w:val="0"/>
                      <w:marBottom w:val="0"/>
                      <w:divBdr>
                        <w:top w:val="none" w:sz="0" w:space="0" w:color="auto"/>
                        <w:left w:val="none" w:sz="0" w:space="0" w:color="auto"/>
                        <w:bottom w:val="none" w:sz="0" w:space="0" w:color="auto"/>
                        <w:right w:val="none" w:sz="0" w:space="0" w:color="auto"/>
                      </w:divBdr>
                      <w:divsChild>
                        <w:div w:id="526603250">
                          <w:marLeft w:val="0"/>
                          <w:marRight w:val="0"/>
                          <w:marTop w:val="0"/>
                          <w:marBottom w:val="0"/>
                          <w:divBdr>
                            <w:top w:val="none" w:sz="0" w:space="0" w:color="auto"/>
                            <w:left w:val="none" w:sz="0" w:space="0" w:color="auto"/>
                            <w:bottom w:val="none" w:sz="0" w:space="0" w:color="auto"/>
                            <w:right w:val="none" w:sz="0" w:space="0" w:color="auto"/>
                          </w:divBdr>
                          <w:divsChild>
                            <w:div w:id="3005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741020">
      <w:bodyDiv w:val="1"/>
      <w:marLeft w:val="0"/>
      <w:marRight w:val="0"/>
      <w:marTop w:val="0"/>
      <w:marBottom w:val="0"/>
      <w:divBdr>
        <w:top w:val="none" w:sz="0" w:space="0" w:color="auto"/>
        <w:left w:val="none" w:sz="0" w:space="0" w:color="auto"/>
        <w:bottom w:val="none" w:sz="0" w:space="0" w:color="auto"/>
        <w:right w:val="none" w:sz="0" w:space="0" w:color="auto"/>
      </w:divBdr>
    </w:div>
    <w:div w:id="466166084">
      <w:bodyDiv w:val="1"/>
      <w:marLeft w:val="0"/>
      <w:marRight w:val="0"/>
      <w:marTop w:val="0"/>
      <w:marBottom w:val="0"/>
      <w:divBdr>
        <w:top w:val="none" w:sz="0" w:space="0" w:color="auto"/>
        <w:left w:val="none" w:sz="0" w:space="0" w:color="auto"/>
        <w:bottom w:val="none" w:sz="0" w:space="0" w:color="auto"/>
        <w:right w:val="none" w:sz="0" w:space="0" w:color="auto"/>
      </w:divBdr>
    </w:div>
    <w:div w:id="467210293">
      <w:bodyDiv w:val="1"/>
      <w:marLeft w:val="0"/>
      <w:marRight w:val="0"/>
      <w:marTop w:val="0"/>
      <w:marBottom w:val="0"/>
      <w:divBdr>
        <w:top w:val="none" w:sz="0" w:space="0" w:color="auto"/>
        <w:left w:val="none" w:sz="0" w:space="0" w:color="auto"/>
        <w:bottom w:val="none" w:sz="0" w:space="0" w:color="auto"/>
        <w:right w:val="none" w:sz="0" w:space="0" w:color="auto"/>
      </w:divBdr>
    </w:div>
    <w:div w:id="503133580">
      <w:bodyDiv w:val="1"/>
      <w:marLeft w:val="0"/>
      <w:marRight w:val="0"/>
      <w:marTop w:val="0"/>
      <w:marBottom w:val="0"/>
      <w:divBdr>
        <w:top w:val="none" w:sz="0" w:space="0" w:color="auto"/>
        <w:left w:val="none" w:sz="0" w:space="0" w:color="auto"/>
        <w:bottom w:val="none" w:sz="0" w:space="0" w:color="auto"/>
        <w:right w:val="none" w:sz="0" w:space="0" w:color="auto"/>
      </w:divBdr>
      <w:divsChild>
        <w:div w:id="639576835">
          <w:marLeft w:val="0"/>
          <w:marRight w:val="0"/>
          <w:marTop w:val="0"/>
          <w:marBottom w:val="0"/>
          <w:divBdr>
            <w:top w:val="none" w:sz="0" w:space="0" w:color="auto"/>
            <w:left w:val="none" w:sz="0" w:space="0" w:color="auto"/>
            <w:bottom w:val="none" w:sz="0" w:space="0" w:color="auto"/>
            <w:right w:val="none" w:sz="0" w:space="0" w:color="auto"/>
          </w:divBdr>
          <w:divsChild>
            <w:div w:id="229392326">
              <w:marLeft w:val="0"/>
              <w:marRight w:val="0"/>
              <w:marTop w:val="0"/>
              <w:marBottom w:val="0"/>
              <w:divBdr>
                <w:top w:val="single" w:sz="6" w:space="0" w:color="DBDBDB"/>
                <w:left w:val="none" w:sz="0" w:space="0" w:color="auto"/>
                <w:bottom w:val="none" w:sz="0" w:space="0" w:color="auto"/>
                <w:right w:val="none" w:sz="0" w:space="0" w:color="auto"/>
              </w:divBdr>
              <w:divsChild>
                <w:div w:id="631713826">
                  <w:marLeft w:val="0"/>
                  <w:marRight w:val="0"/>
                  <w:marTop w:val="0"/>
                  <w:marBottom w:val="0"/>
                  <w:divBdr>
                    <w:top w:val="none" w:sz="0" w:space="0" w:color="auto"/>
                    <w:left w:val="none" w:sz="0" w:space="0" w:color="auto"/>
                    <w:bottom w:val="none" w:sz="0" w:space="0" w:color="auto"/>
                    <w:right w:val="none" w:sz="0" w:space="0" w:color="auto"/>
                  </w:divBdr>
                  <w:divsChild>
                    <w:div w:id="1872304971">
                      <w:marLeft w:val="0"/>
                      <w:marRight w:val="0"/>
                      <w:marTop w:val="0"/>
                      <w:marBottom w:val="0"/>
                      <w:divBdr>
                        <w:top w:val="none" w:sz="0" w:space="0" w:color="auto"/>
                        <w:left w:val="none" w:sz="0" w:space="0" w:color="auto"/>
                        <w:bottom w:val="none" w:sz="0" w:space="0" w:color="auto"/>
                        <w:right w:val="none" w:sz="0" w:space="0" w:color="auto"/>
                      </w:divBdr>
                      <w:divsChild>
                        <w:div w:id="78139354">
                          <w:marLeft w:val="0"/>
                          <w:marRight w:val="0"/>
                          <w:marTop w:val="0"/>
                          <w:marBottom w:val="0"/>
                          <w:divBdr>
                            <w:top w:val="none" w:sz="0" w:space="0" w:color="auto"/>
                            <w:left w:val="none" w:sz="0" w:space="0" w:color="auto"/>
                            <w:bottom w:val="none" w:sz="0" w:space="0" w:color="auto"/>
                            <w:right w:val="none" w:sz="0" w:space="0" w:color="auto"/>
                          </w:divBdr>
                          <w:divsChild>
                            <w:div w:id="1141465732">
                              <w:marLeft w:val="0"/>
                              <w:marRight w:val="0"/>
                              <w:marTop w:val="0"/>
                              <w:marBottom w:val="0"/>
                              <w:divBdr>
                                <w:top w:val="none" w:sz="0" w:space="0" w:color="auto"/>
                                <w:left w:val="none" w:sz="0" w:space="0" w:color="auto"/>
                                <w:bottom w:val="none" w:sz="0" w:space="0" w:color="auto"/>
                                <w:right w:val="none" w:sz="0" w:space="0" w:color="auto"/>
                              </w:divBdr>
                              <w:divsChild>
                                <w:div w:id="5389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599152">
      <w:bodyDiv w:val="1"/>
      <w:marLeft w:val="0"/>
      <w:marRight w:val="0"/>
      <w:marTop w:val="0"/>
      <w:marBottom w:val="0"/>
      <w:divBdr>
        <w:top w:val="none" w:sz="0" w:space="0" w:color="auto"/>
        <w:left w:val="none" w:sz="0" w:space="0" w:color="auto"/>
        <w:bottom w:val="none" w:sz="0" w:space="0" w:color="auto"/>
        <w:right w:val="none" w:sz="0" w:space="0" w:color="auto"/>
      </w:divBdr>
    </w:div>
    <w:div w:id="572129532">
      <w:bodyDiv w:val="1"/>
      <w:marLeft w:val="0"/>
      <w:marRight w:val="0"/>
      <w:marTop w:val="0"/>
      <w:marBottom w:val="0"/>
      <w:divBdr>
        <w:top w:val="none" w:sz="0" w:space="0" w:color="auto"/>
        <w:left w:val="none" w:sz="0" w:space="0" w:color="auto"/>
        <w:bottom w:val="none" w:sz="0" w:space="0" w:color="auto"/>
        <w:right w:val="none" w:sz="0" w:space="0" w:color="auto"/>
      </w:divBdr>
    </w:div>
    <w:div w:id="573929721">
      <w:bodyDiv w:val="1"/>
      <w:marLeft w:val="0"/>
      <w:marRight w:val="0"/>
      <w:marTop w:val="0"/>
      <w:marBottom w:val="0"/>
      <w:divBdr>
        <w:top w:val="none" w:sz="0" w:space="0" w:color="auto"/>
        <w:left w:val="none" w:sz="0" w:space="0" w:color="auto"/>
        <w:bottom w:val="none" w:sz="0" w:space="0" w:color="auto"/>
        <w:right w:val="none" w:sz="0" w:space="0" w:color="auto"/>
      </w:divBdr>
      <w:divsChild>
        <w:div w:id="175507474">
          <w:marLeft w:val="0"/>
          <w:marRight w:val="0"/>
          <w:marTop w:val="75"/>
          <w:marBottom w:val="75"/>
          <w:divBdr>
            <w:top w:val="none" w:sz="0" w:space="0" w:color="auto"/>
            <w:left w:val="none" w:sz="0" w:space="0" w:color="auto"/>
            <w:bottom w:val="none" w:sz="0" w:space="0" w:color="auto"/>
            <w:right w:val="none" w:sz="0" w:space="0" w:color="auto"/>
          </w:divBdr>
          <w:divsChild>
            <w:div w:id="3096767">
              <w:marLeft w:val="0"/>
              <w:marRight w:val="0"/>
              <w:marTop w:val="0"/>
              <w:marBottom w:val="0"/>
              <w:divBdr>
                <w:top w:val="single" w:sz="6" w:space="0" w:color="BEBEBE"/>
                <w:left w:val="single" w:sz="6" w:space="0" w:color="BEBEBE"/>
                <w:bottom w:val="single" w:sz="6" w:space="0" w:color="BEBEBE"/>
                <w:right w:val="single" w:sz="6" w:space="0" w:color="BEBEBE"/>
              </w:divBdr>
              <w:divsChild>
                <w:div w:id="1123382400">
                  <w:marLeft w:val="0"/>
                  <w:marRight w:val="0"/>
                  <w:marTop w:val="0"/>
                  <w:marBottom w:val="0"/>
                  <w:divBdr>
                    <w:top w:val="none" w:sz="0" w:space="0" w:color="auto"/>
                    <w:left w:val="none" w:sz="0" w:space="0" w:color="auto"/>
                    <w:bottom w:val="none" w:sz="0" w:space="0" w:color="auto"/>
                    <w:right w:val="none" w:sz="0" w:space="0" w:color="auto"/>
                  </w:divBdr>
                  <w:divsChild>
                    <w:div w:id="1747191643">
                      <w:marLeft w:val="0"/>
                      <w:marRight w:val="0"/>
                      <w:marTop w:val="0"/>
                      <w:marBottom w:val="0"/>
                      <w:divBdr>
                        <w:top w:val="none" w:sz="0" w:space="0" w:color="auto"/>
                        <w:left w:val="none" w:sz="0" w:space="0" w:color="auto"/>
                        <w:bottom w:val="none" w:sz="0" w:space="0" w:color="auto"/>
                        <w:right w:val="none" w:sz="0" w:space="0" w:color="auto"/>
                      </w:divBdr>
                      <w:divsChild>
                        <w:div w:id="1332560336">
                          <w:marLeft w:val="0"/>
                          <w:marRight w:val="0"/>
                          <w:marTop w:val="0"/>
                          <w:marBottom w:val="0"/>
                          <w:divBdr>
                            <w:top w:val="none" w:sz="0" w:space="0" w:color="auto"/>
                            <w:left w:val="none" w:sz="0" w:space="0" w:color="auto"/>
                            <w:bottom w:val="single" w:sz="18" w:space="0" w:color="CCCCCC"/>
                            <w:right w:val="none" w:sz="0" w:space="0" w:color="auto"/>
                          </w:divBdr>
                          <w:divsChild>
                            <w:div w:id="34467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442364">
      <w:bodyDiv w:val="1"/>
      <w:marLeft w:val="0"/>
      <w:marRight w:val="0"/>
      <w:marTop w:val="0"/>
      <w:marBottom w:val="0"/>
      <w:divBdr>
        <w:top w:val="none" w:sz="0" w:space="0" w:color="auto"/>
        <w:left w:val="none" w:sz="0" w:space="0" w:color="auto"/>
        <w:bottom w:val="none" w:sz="0" w:space="0" w:color="auto"/>
        <w:right w:val="none" w:sz="0" w:space="0" w:color="auto"/>
      </w:divBdr>
    </w:div>
    <w:div w:id="584995338">
      <w:bodyDiv w:val="1"/>
      <w:marLeft w:val="0"/>
      <w:marRight w:val="0"/>
      <w:marTop w:val="0"/>
      <w:marBottom w:val="0"/>
      <w:divBdr>
        <w:top w:val="none" w:sz="0" w:space="0" w:color="auto"/>
        <w:left w:val="none" w:sz="0" w:space="0" w:color="auto"/>
        <w:bottom w:val="none" w:sz="0" w:space="0" w:color="auto"/>
        <w:right w:val="none" w:sz="0" w:space="0" w:color="auto"/>
      </w:divBdr>
      <w:divsChild>
        <w:div w:id="1942452967">
          <w:marLeft w:val="0"/>
          <w:marRight w:val="0"/>
          <w:marTop w:val="0"/>
          <w:marBottom w:val="0"/>
          <w:divBdr>
            <w:top w:val="none" w:sz="0" w:space="0" w:color="auto"/>
            <w:left w:val="none" w:sz="0" w:space="0" w:color="auto"/>
            <w:bottom w:val="none" w:sz="0" w:space="0" w:color="auto"/>
            <w:right w:val="none" w:sz="0" w:space="0" w:color="auto"/>
          </w:divBdr>
          <w:divsChild>
            <w:div w:id="171116287">
              <w:marLeft w:val="0"/>
              <w:marRight w:val="0"/>
              <w:marTop w:val="0"/>
              <w:marBottom w:val="0"/>
              <w:divBdr>
                <w:top w:val="none" w:sz="0" w:space="0" w:color="auto"/>
                <w:left w:val="none" w:sz="0" w:space="0" w:color="auto"/>
                <w:bottom w:val="none" w:sz="0" w:space="0" w:color="auto"/>
                <w:right w:val="none" w:sz="0" w:space="0" w:color="auto"/>
              </w:divBdr>
              <w:divsChild>
                <w:div w:id="69616755">
                  <w:marLeft w:val="0"/>
                  <w:marRight w:val="0"/>
                  <w:marTop w:val="0"/>
                  <w:marBottom w:val="0"/>
                  <w:divBdr>
                    <w:top w:val="none" w:sz="0" w:space="0" w:color="auto"/>
                    <w:left w:val="none" w:sz="0" w:space="0" w:color="auto"/>
                    <w:bottom w:val="none" w:sz="0" w:space="0" w:color="auto"/>
                    <w:right w:val="none" w:sz="0" w:space="0" w:color="auto"/>
                  </w:divBdr>
                  <w:divsChild>
                    <w:div w:id="466241464">
                      <w:marLeft w:val="0"/>
                      <w:marRight w:val="0"/>
                      <w:marTop w:val="0"/>
                      <w:marBottom w:val="0"/>
                      <w:divBdr>
                        <w:top w:val="none" w:sz="0" w:space="0" w:color="auto"/>
                        <w:left w:val="none" w:sz="0" w:space="0" w:color="auto"/>
                        <w:bottom w:val="none" w:sz="0" w:space="0" w:color="auto"/>
                        <w:right w:val="none" w:sz="0" w:space="0" w:color="auto"/>
                      </w:divBdr>
                      <w:divsChild>
                        <w:div w:id="188347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572053">
      <w:bodyDiv w:val="1"/>
      <w:marLeft w:val="0"/>
      <w:marRight w:val="0"/>
      <w:marTop w:val="0"/>
      <w:marBottom w:val="0"/>
      <w:divBdr>
        <w:top w:val="none" w:sz="0" w:space="0" w:color="auto"/>
        <w:left w:val="none" w:sz="0" w:space="0" w:color="auto"/>
        <w:bottom w:val="none" w:sz="0" w:space="0" w:color="auto"/>
        <w:right w:val="none" w:sz="0" w:space="0" w:color="auto"/>
      </w:divBdr>
    </w:div>
    <w:div w:id="623005362">
      <w:bodyDiv w:val="1"/>
      <w:marLeft w:val="0"/>
      <w:marRight w:val="0"/>
      <w:marTop w:val="0"/>
      <w:marBottom w:val="0"/>
      <w:divBdr>
        <w:top w:val="none" w:sz="0" w:space="0" w:color="auto"/>
        <w:left w:val="none" w:sz="0" w:space="0" w:color="auto"/>
        <w:bottom w:val="none" w:sz="0" w:space="0" w:color="auto"/>
        <w:right w:val="none" w:sz="0" w:space="0" w:color="auto"/>
      </w:divBdr>
    </w:div>
    <w:div w:id="632635279">
      <w:bodyDiv w:val="1"/>
      <w:marLeft w:val="0"/>
      <w:marRight w:val="0"/>
      <w:marTop w:val="0"/>
      <w:marBottom w:val="0"/>
      <w:divBdr>
        <w:top w:val="none" w:sz="0" w:space="0" w:color="auto"/>
        <w:left w:val="none" w:sz="0" w:space="0" w:color="auto"/>
        <w:bottom w:val="none" w:sz="0" w:space="0" w:color="auto"/>
        <w:right w:val="none" w:sz="0" w:space="0" w:color="auto"/>
      </w:divBdr>
      <w:divsChild>
        <w:div w:id="1788350916">
          <w:marLeft w:val="0"/>
          <w:marRight w:val="0"/>
          <w:marTop w:val="0"/>
          <w:marBottom w:val="0"/>
          <w:divBdr>
            <w:top w:val="none" w:sz="0" w:space="0" w:color="auto"/>
            <w:left w:val="none" w:sz="0" w:space="0" w:color="auto"/>
            <w:bottom w:val="single" w:sz="6" w:space="11" w:color="CCCCCC"/>
            <w:right w:val="none" w:sz="0" w:space="0" w:color="auto"/>
          </w:divBdr>
          <w:divsChild>
            <w:div w:id="1586496855">
              <w:marLeft w:val="0"/>
              <w:marRight w:val="0"/>
              <w:marTop w:val="0"/>
              <w:marBottom w:val="0"/>
              <w:divBdr>
                <w:top w:val="none" w:sz="0" w:space="0" w:color="auto"/>
                <w:left w:val="none" w:sz="0" w:space="0" w:color="auto"/>
                <w:bottom w:val="none" w:sz="0" w:space="0" w:color="auto"/>
                <w:right w:val="none" w:sz="0" w:space="0" w:color="auto"/>
              </w:divBdr>
              <w:divsChild>
                <w:div w:id="574390093">
                  <w:marLeft w:val="600"/>
                  <w:marRight w:val="600"/>
                  <w:marTop w:val="0"/>
                  <w:marBottom w:val="0"/>
                  <w:divBdr>
                    <w:top w:val="none" w:sz="0" w:space="0" w:color="auto"/>
                    <w:left w:val="none" w:sz="0" w:space="0" w:color="auto"/>
                    <w:bottom w:val="none" w:sz="0" w:space="0" w:color="auto"/>
                    <w:right w:val="none" w:sz="0" w:space="0" w:color="auto"/>
                  </w:divBdr>
                  <w:divsChild>
                    <w:div w:id="1043599368">
                      <w:marLeft w:val="0"/>
                      <w:marRight w:val="0"/>
                      <w:marTop w:val="0"/>
                      <w:marBottom w:val="0"/>
                      <w:divBdr>
                        <w:top w:val="none" w:sz="0" w:space="0" w:color="auto"/>
                        <w:left w:val="none" w:sz="0" w:space="0" w:color="auto"/>
                        <w:bottom w:val="none" w:sz="0" w:space="0" w:color="auto"/>
                        <w:right w:val="none" w:sz="0" w:space="0" w:color="auto"/>
                      </w:divBdr>
                      <w:divsChild>
                        <w:div w:id="1893492308">
                          <w:marLeft w:val="0"/>
                          <w:marRight w:val="0"/>
                          <w:marTop w:val="0"/>
                          <w:marBottom w:val="0"/>
                          <w:divBdr>
                            <w:top w:val="none" w:sz="0" w:space="0" w:color="auto"/>
                            <w:left w:val="none" w:sz="0" w:space="0" w:color="auto"/>
                            <w:bottom w:val="none" w:sz="0" w:space="0" w:color="auto"/>
                            <w:right w:val="none" w:sz="0" w:space="0" w:color="auto"/>
                          </w:divBdr>
                          <w:divsChild>
                            <w:div w:id="70093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464728">
      <w:bodyDiv w:val="1"/>
      <w:marLeft w:val="0"/>
      <w:marRight w:val="0"/>
      <w:marTop w:val="0"/>
      <w:marBottom w:val="0"/>
      <w:divBdr>
        <w:top w:val="none" w:sz="0" w:space="0" w:color="auto"/>
        <w:left w:val="none" w:sz="0" w:space="0" w:color="auto"/>
        <w:bottom w:val="none" w:sz="0" w:space="0" w:color="auto"/>
        <w:right w:val="none" w:sz="0" w:space="0" w:color="auto"/>
      </w:divBdr>
    </w:div>
    <w:div w:id="719128725">
      <w:bodyDiv w:val="1"/>
      <w:marLeft w:val="0"/>
      <w:marRight w:val="0"/>
      <w:marTop w:val="0"/>
      <w:marBottom w:val="0"/>
      <w:divBdr>
        <w:top w:val="none" w:sz="0" w:space="0" w:color="auto"/>
        <w:left w:val="none" w:sz="0" w:space="0" w:color="auto"/>
        <w:bottom w:val="none" w:sz="0" w:space="0" w:color="auto"/>
        <w:right w:val="none" w:sz="0" w:space="0" w:color="auto"/>
      </w:divBdr>
    </w:div>
    <w:div w:id="829759115">
      <w:bodyDiv w:val="1"/>
      <w:marLeft w:val="0"/>
      <w:marRight w:val="0"/>
      <w:marTop w:val="0"/>
      <w:marBottom w:val="0"/>
      <w:divBdr>
        <w:top w:val="none" w:sz="0" w:space="0" w:color="auto"/>
        <w:left w:val="none" w:sz="0" w:space="0" w:color="auto"/>
        <w:bottom w:val="none" w:sz="0" w:space="0" w:color="auto"/>
        <w:right w:val="none" w:sz="0" w:space="0" w:color="auto"/>
      </w:divBdr>
      <w:divsChild>
        <w:div w:id="390539268">
          <w:marLeft w:val="0"/>
          <w:marRight w:val="0"/>
          <w:marTop w:val="0"/>
          <w:marBottom w:val="0"/>
          <w:divBdr>
            <w:top w:val="none" w:sz="0" w:space="0" w:color="auto"/>
            <w:left w:val="none" w:sz="0" w:space="0" w:color="auto"/>
            <w:bottom w:val="none" w:sz="0" w:space="0" w:color="auto"/>
            <w:right w:val="none" w:sz="0" w:space="0" w:color="auto"/>
          </w:divBdr>
          <w:divsChild>
            <w:div w:id="437069247">
              <w:marLeft w:val="0"/>
              <w:marRight w:val="0"/>
              <w:marTop w:val="0"/>
              <w:marBottom w:val="0"/>
              <w:divBdr>
                <w:top w:val="none" w:sz="0" w:space="0" w:color="auto"/>
                <w:left w:val="none" w:sz="0" w:space="0" w:color="auto"/>
                <w:bottom w:val="none" w:sz="0" w:space="0" w:color="auto"/>
                <w:right w:val="none" w:sz="0" w:space="0" w:color="auto"/>
              </w:divBdr>
              <w:divsChild>
                <w:div w:id="1726298163">
                  <w:marLeft w:val="0"/>
                  <w:marRight w:val="0"/>
                  <w:marTop w:val="0"/>
                  <w:marBottom w:val="0"/>
                  <w:divBdr>
                    <w:top w:val="none" w:sz="0" w:space="0" w:color="auto"/>
                    <w:left w:val="none" w:sz="0" w:space="0" w:color="auto"/>
                    <w:bottom w:val="none" w:sz="0" w:space="0" w:color="auto"/>
                    <w:right w:val="none" w:sz="0" w:space="0" w:color="auto"/>
                  </w:divBdr>
                  <w:divsChild>
                    <w:div w:id="1461875996">
                      <w:marLeft w:val="0"/>
                      <w:marRight w:val="0"/>
                      <w:marTop w:val="0"/>
                      <w:marBottom w:val="0"/>
                      <w:divBdr>
                        <w:top w:val="none" w:sz="0" w:space="0" w:color="auto"/>
                        <w:left w:val="none" w:sz="0" w:space="0" w:color="auto"/>
                        <w:bottom w:val="none" w:sz="0" w:space="0" w:color="auto"/>
                        <w:right w:val="none" w:sz="0" w:space="0" w:color="auto"/>
                      </w:divBdr>
                      <w:divsChild>
                        <w:div w:id="15209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808786">
      <w:bodyDiv w:val="1"/>
      <w:marLeft w:val="0"/>
      <w:marRight w:val="0"/>
      <w:marTop w:val="0"/>
      <w:marBottom w:val="0"/>
      <w:divBdr>
        <w:top w:val="none" w:sz="0" w:space="0" w:color="auto"/>
        <w:left w:val="none" w:sz="0" w:space="0" w:color="auto"/>
        <w:bottom w:val="none" w:sz="0" w:space="0" w:color="auto"/>
        <w:right w:val="none" w:sz="0" w:space="0" w:color="auto"/>
      </w:divBdr>
    </w:div>
    <w:div w:id="870606059">
      <w:bodyDiv w:val="1"/>
      <w:marLeft w:val="0"/>
      <w:marRight w:val="0"/>
      <w:marTop w:val="0"/>
      <w:marBottom w:val="0"/>
      <w:divBdr>
        <w:top w:val="none" w:sz="0" w:space="0" w:color="auto"/>
        <w:left w:val="none" w:sz="0" w:space="0" w:color="auto"/>
        <w:bottom w:val="none" w:sz="0" w:space="0" w:color="auto"/>
        <w:right w:val="none" w:sz="0" w:space="0" w:color="auto"/>
      </w:divBdr>
    </w:div>
    <w:div w:id="1028291788">
      <w:bodyDiv w:val="1"/>
      <w:marLeft w:val="0"/>
      <w:marRight w:val="0"/>
      <w:marTop w:val="0"/>
      <w:marBottom w:val="0"/>
      <w:divBdr>
        <w:top w:val="none" w:sz="0" w:space="0" w:color="auto"/>
        <w:left w:val="none" w:sz="0" w:space="0" w:color="auto"/>
        <w:bottom w:val="none" w:sz="0" w:space="0" w:color="auto"/>
        <w:right w:val="none" w:sz="0" w:space="0" w:color="auto"/>
      </w:divBdr>
      <w:divsChild>
        <w:div w:id="1549955548">
          <w:marLeft w:val="0"/>
          <w:marRight w:val="0"/>
          <w:marTop w:val="0"/>
          <w:marBottom w:val="0"/>
          <w:divBdr>
            <w:top w:val="none" w:sz="0" w:space="0" w:color="auto"/>
            <w:left w:val="none" w:sz="0" w:space="0" w:color="auto"/>
            <w:bottom w:val="none" w:sz="0" w:space="0" w:color="auto"/>
            <w:right w:val="none" w:sz="0" w:space="0" w:color="auto"/>
          </w:divBdr>
          <w:divsChild>
            <w:div w:id="743529564">
              <w:marLeft w:val="0"/>
              <w:marRight w:val="0"/>
              <w:marTop w:val="0"/>
              <w:marBottom w:val="0"/>
              <w:divBdr>
                <w:top w:val="single" w:sz="6" w:space="0" w:color="DBDBDB"/>
                <w:left w:val="none" w:sz="0" w:space="0" w:color="auto"/>
                <w:bottom w:val="none" w:sz="0" w:space="0" w:color="auto"/>
                <w:right w:val="none" w:sz="0" w:space="0" w:color="auto"/>
              </w:divBdr>
              <w:divsChild>
                <w:div w:id="1134449784">
                  <w:marLeft w:val="0"/>
                  <w:marRight w:val="0"/>
                  <w:marTop w:val="0"/>
                  <w:marBottom w:val="0"/>
                  <w:divBdr>
                    <w:top w:val="none" w:sz="0" w:space="0" w:color="auto"/>
                    <w:left w:val="none" w:sz="0" w:space="0" w:color="auto"/>
                    <w:bottom w:val="none" w:sz="0" w:space="0" w:color="auto"/>
                    <w:right w:val="none" w:sz="0" w:space="0" w:color="auto"/>
                  </w:divBdr>
                  <w:divsChild>
                    <w:div w:id="1633487371">
                      <w:marLeft w:val="0"/>
                      <w:marRight w:val="0"/>
                      <w:marTop w:val="0"/>
                      <w:marBottom w:val="0"/>
                      <w:divBdr>
                        <w:top w:val="none" w:sz="0" w:space="0" w:color="auto"/>
                        <w:left w:val="none" w:sz="0" w:space="0" w:color="auto"/>
                        <w:bottom w:val="none" w:sz="0" w:space="0" w:color="auto"/>
                        <w:right w:val="none" w:sz="0" w:space="0" w:color="auto"/>
                      </w:divBdr>
                      <w:divsChild>
                        <w:div w:id="1526403129">
                          <w:marLeft w:val="0"/>
                          <w:marRight w:val="0"/>
                          <w:marTop w:val="0"/>
                          <w:marBottom w:val="0"/>
                          <w:divBdr>
                            <w:top w:val="none" w:sz="0" w:space="0" w:color="auto"/>
                            <w:left w:val="none" w:sz="0" w:space="0" w:color="auto"/>
                            <w:bottom w:val="none" w:sz="0" w:space="0" w:color="auto"/>
                            <w:right w:val="none" w:sz="0" w:space="0" w:color="auto"/>
                          </w:divBdr>
                          <w:divsChild>
                            <w:div w:id="1497067854">
                              <w:marLeft w:val="0"/>
                              <w:marRight w:val="0"/>
                              <w:marTop w:val="0"/>
                              <w:marBottom w:val="0"/>
                              <w:divBdr>
                                <w:top w:val="none" w:sz="0" w:space="0" w:color="auto"/>
                                <w:left w:val="none" w:sz="0" w:space="0" w:color="auto"/>
                                <w:bottom w:val="none" w:sz="0" w:space="0" w:color="auto"/>
                                <w:right w:val="none" w:sz="0" w:space="0" w:color="auto"/>
                              </w:divBdr>
                              <w:divsChild>
                                <w:div w:id="3432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507230">
      <w:bodyDiv w:val="1"/>
      <w:marLeft w:val="0"/>
      <w:marRight w:val="0"/>
      <w:marTop w:val="0"/>
      <w:marBottom w:val="0"/>
      <w:divBdr>
        <w:top w:val="none" w:sz="0" w:space="0" w:color="auto"/>
        <w:left w:val="none" w:sz="0" w:space="0" w:color="auto"/>
        <w:bottom w:val="none" w:sz="0" w:space="0" w:color="auto"/>
        <w:right w:val="none" w:sz="0" w:space="0" w:color="auto"/>
      </w:divBdr>
    </w:div>
    <w:div w:id="1092238102">
      <w:bodyDiv w:val="1"/>
      <w:marLeft w:val="0"/>
      <w:marRight w:val="0"/>
      <w:marTop w:val="0"/>
      <w:marBottom w:val="0"/>
      <w:divBdr>
        <w:top w:val="none" w:sz="0" w:space="0" w:color="auto"/>
        <w:left w:val="none" w:sz="0" w:space="0" w:color="auto"/>
        <w:bottom w:val="none" w:sz="0" w:space="0" w:color="auto"/>
        <w:right w:val="none" w:sz="0" w:space="0" w:color="auto"/>
      </w:divBdr>
    </w:div>
    <w:div w:id="1229532351">
      <w:bodyDiv w:val="1"/>
      <w:marLeft w:val="0"/>
      <w:marRight w:val="0"/>
      <w:marTop w:val="0"/>
      <w:marBottom w:val="0"/>
      <w:divBdr>
        <w:top w:val="none" w:sz="0" w:space="0" w:color="auto"/>
        <w:left w:val="none" w:sz="0" w:space="0" w:color="auto"/>
        <w:bottom w:val="none" w:sz="0" w:space="0" w:color="auto"/>
        <w:right w:val="none" w:sz="0" w:space="0" w:color="auto"/>
      </w:divBdr>
      <w:divsChild>
        <w:div w:id="135874240">
          <w:marLeft w:val="0"/>
          <w:marRight w:val="0"/>
          <w:marTop w:val="0"/>
          <w:marBottom w:val="0"/>
          <w:divBdr>
            <w:top w:val="none" w:sz="0" w:space="0" w:color="auto"/>
            <w:left w:val="none" w:sz="0" w:space="0" w:color="auto"/>
            <w:bottom w:val="none" w:sz="0" w:space="0" w:color="auto"/>
            <w:right w:val="none" w:sz="0" w:space="0" w:color="auto"/>
          </w:divBdr>
          <w:divsChild>
            <w:div w:id="194583451">
              <w:marLeft w:val="0"/>
              <w:marRight w:val="0"/>
              <w:marTop w:val="0"/>
              <w:marBottom w:val="0"/>
              <w:divBdr>
                <w:top w:val="single" w:sz="18" w:space="7" w:color="CC1E1E"/>
                <w:left w:val="single" w:sz="6" w:space="13" w:color="CBCBCB"/>
                <w:bottom w:val="single" w:sz="6" w:space="9" w:color="CBCBCB"/>
                <w:right w:val="single" w:sz="6" w:space="13" w:color="CBCBCB"/>
              </w:divBdr>
            </w:div>
          </w:divsChild>
        </w:div>
      </w:divsChild>
    </w:div>
    <w:div w:id="1237787503">
      <w:bodyDiv w:val="1"/>
      <w:marLeft w:val="0"/>
      <w:marRight w:val="0"/>
      <w:marTop w:val="0"/>
      <w:marBottom w:val="0"/>
      <w:divBdr>
        <w:top w:val="none" w:sz="0" w:space="0" w:color="auto"/>
        <w:left w:val="none" w:sz="0" w:space="0" w:color="auto"/>
        <w:bottom w:val="none" w:sz="0" w:space="0" w:color="auto"/>
        <w:right w:val="none" w:sz="0" w:space="0" w:color="auto"/>
      </w:divBdr>
      <w:divsChild>
        <w:div w:id="2124764628">
          <w:marLeft w:val="0"/>
          <w:marRight w:val="0"/>
          <w:marTop w:val="0"/>
          <w:marBottom w:val="300"/>
          <w:divBdr>
            <w:top w:val="single" w:sz="48" w:space="0" w:color="FFFFFF"/>
            <w:left w:val="none" w:sz="0" w:space="0" w:color="auto"/>
            <w:bottom w:val="none" w:sz="0" w:space="0" w:color="auto"/>
            <w:right w:val="none" w:sz="0" w:space="0" w:color="auto"/>
          </w:divBdr>
          <w:divsChild>
            <w:div w:id="734426253">
              <w:marLeft w:val="0"/>
              <w:marRight w:val="0"/>
              <w:marTop w:val="0"/>
              <w:marBottom w:val="0"/>
              <w:divBdr>
                <w:top w:val="none" w:sz="0" w:space="0" w:color="auto"/>
                <w:left w:val="none" w:sz="0" w:space="0" w:color="auto"/>
                <w:bottom w:val="none" w:sz="0" w:space="0" w:color="auto"/>
                <w:right w:val="none" w:sz="0" w:space="0" w:color="auto"/>
              </w:divBdr>
              <w:divsChild>
                <w:div w:id="1772628783">
                  <w:marLeft w:val="0"/>
                  <w:marRight w:val="0"/>
                  <w:marTop w:val="0"/>
                  <w:marBottom w:val="0"/>
                  <w:divBdr>
                    <w:top w:val="none" w:sz="0" w:space="0" w:color="auto"/>
                    <w:left w:val="none" w:sz="0" w:space="0" w:color="auto"/>
                    <w:bottom w:val="none" w:sz="0" w:space="0" w:color="auto"/>
                    <w:right w:val="none" w:sz="0" w:space="0" w:color="auto"/>
                  </w:divBdr>
                  <w:divsChild>
                    <w:div w:id="1576626129">
                      <w:marLeft w:val="0"/>
                      <w:marRight w:val="0"/>
                      <w:marTop w:val="0"/>
                      <w:marBottom w:val="360"/>
                      <w:divBdr>
                        <w:top w:val="none" w:sz="0" w:space="0" w:color="auto"/>
                        <w:left w:val="none" w:sz="0" w:space="0" w:color="auto"/>
                        <w:bottom w:val="none" w:sz="0" w:space="0" w:color="auto"/>
                        <w:right w:val="none" w:sz="0" w:space="0" w:color="auto"/>
                      </w:divBdr>
                      <w:divsChild>
                        <w:div w:id="1523350115">
                          <w:marLeft w:val="0"/>
                          <w:marRight w:val="0"/>
                          <w:marTop w:val="0"/>
                          <w:marBottom w:val="0"/>
                          <w:divBdr>
                            <w:top w:val="none" w:sz="0" w:space="0" w:color="auto"/>
                            <w:left w:val="none" w:sz="0" w:space="0" w:color="auto"/>
                            <w:bottom w:val="none" w:sz="0" w:space="0" w:color="auto"/>
                            <w:right w:val="none" w:sz="0" w:space="0" w:color="auto"/>
                          </w:divBdr>
                          <w:divsChild>
                            <w:div w:id="2115050193">
                              <w:marLeft w:val="150"/>
                              <w:marRight w:val="0"/>
                              <w:marTop w:val="420"/>
                              <w:marBottom w:val="0"/>
                              <w:divBdr>
                                <w:top w:val="none" w:sz="0" w:space="0" w:color="auto"/>
                                <w:left w:val="none" w:sz="0" w:space="0" w:color="auto"/>
                                <w:bottom w:val="none" w:sz="0" w:space="0" w:color="auto"/>
                                <w:right w:val="none" w:sz="0" w:space="0" w:color="auto"/>
                              </w:divBdr>
                              <w:divsChild>
                                <w:div w:id="44515163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378129">
      <w:bodyDiv w:val="1"/>
      <w:marLeft w:val="0"/>
      <w:marRight w:val="0"/>
      <w:marTop w:val="0"/>
      <w:marBottom w:val="0"/>
      <w:divBdr>
        <w:top w:val="none" w:sz="0" w:space="0" w:color="auto"/>
        <w:left w:val="none" w:sz="0" w:space="0" w:color="auto"/>
        <w:bottom w:val="none" w:sz="0" w:space="0" w:color="auto"/>
        <w:right w:val="none" w:sz="0" w:space="0" w:color="auto"/>
      </w:divBdr>
      <w:divsChild>
        <w:div w:id="341591007">
          <w:marLeft w:val="0"/>
          <w:marRight w:val="0"/>
          <w:marTop w:val="75"/>
          <w:marBottom w:val="75"/>
          <w:divBdr>
            <w:top w:val="none" w:sz="0" w:space="0" w:color="auto"/>
            <w:left w:val="none" w:sz="0" w:space="0" w:color="auto"/>
            <w:bottom w:val="none" w:sz="0" w:space="0" w:color="auto"/>
            <w:right w:val="none" w:sz="0" w:space="0" w:color="auto"/>
          </w:divBdr>
          <w:divsChild>
            <w:div w:id="1362393564">
              <w:marLeft w:val="0"/>
              <w:marRight w:val="0"/>
              <w:marTop w:val="0"/>
              <w:marBottom w:val="0"/>
              <w:divBdr>
                <w:top w:val="single" w:sz="6" w:space="0" w:color="BEBEBE"/>
                <w:left w:val="single" w:sz="6" w:space="0" w:color="BEBEBE"/>
                <w:bottom w:val="single" w:sz="6" w:space="0" w:color="BEBEBE"/>
                <w:right w:val="single" w:sz="6" w:space="0" w:color="BEBEBE"/>
              </w:divBdr>
              <w:divsChild>
                <w:div w:id="772433422">
                  <w:marLeft w:val="0"/>
                  <w:marRight w:val="0"/>
                  <w:marTop w:val="0"/>
                  <w:marBottom w:val="0"/>
                  <w:divBdr>
                    <w:top w:val="none" w:sz="0" w:space="0" w:color="auto"/>
                    <w:left w:val="none" w:sz="0" w:space="0" w:color="auto"/>
                    <w:bottom w:val="none" w:sz="0" w:space="0" w:color="auto"/>
                    <w:right w:val="none" w:sz="0" w:space="0" w:color="auto"/>
                  </w:divBdr>
                  <w:divsChild>
                    <w:div w:id="1357534872">
                      <w:marLeft w:val="0"/>
                      <w:marRight w:val="0"/>
                      <w:marTop w:val="0"/>
                      <w:marBottom w:val="0"/>
                      <w:divBdr>
                        <w:top w:val="none" w:sz="0" w:space="0" w:color="auto"/>
                        <w:left w:val="none" w:sz="0" w:space="0" w:color="auto"/>
                        <w:bottom w:val="none" w:sz="0" w:space="0" w:color="auto"/>
                        <w:right w:val="none" w:sz="0" w:space="0" w:color="auto"/>
                      </w:divBdr>
                      <w:divsChild>
                        <w:div w:id="112777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392414">
      <w:bodyDiv w:val="1"/>
      <w:marLeft w:val="0"/>
      <w:marRight w:val="0"/>
      <w:marTop w:val="0"/>
      <w:marBottom w:val="0"/>
      <w:divBdr>
        <w:top w:val="none" w:sz="0" w:space="0" w:color="auto"/>
        <w:left w:val="none" w:sz="0" w:space="0" w:color="auto"/>
        <w:bottom w:val="none" w:sz="0" w:space="0" w:color="auto"/>
        <w:right w:val="none" w:sz="0" w:space="0" w:color="auto"/>
      </w:divBdr>
    </w:div>
    <w:div w:id="1370841268">
      <w:bodyDiv w:val="1"/>
      <w:marLeft w:val="0"/>
      <w:marRight w:val="0"/>
      <w:marTop w:val="0"/>
      <w:marBottom w:val="0"/>
      <w:divBdr>
        <w:top w:val="none" w:sz="0" w:space="0" w:color="auto"/>
        <w:left w:val="none" w:sz="0" w:space="0" w:color="auto"/>
        <w:bottom w:val="none" w:sz="0" w:space="0" w:color="auto"/>
        <w:right w:val="none" w:sz="0" w:space="0" w:color="auto"/>
      </w:divBdr>
      <w:divsChild>
        <w:div w:id="1178344972">
          <w:marLeft w:val="0"/>
          <w:marRight w:val="0"/>
          <w:marTop w:val="0"/>
          <w:marBottom w:val="0"/>
          <w:divBdr>
            <w:top w:val="none" w:sz="0" w:space="0" w:color="auto"/>
            <w:left w:val="none" w:sz="0" w:space="0" w:color="auto"/>
            <w:bottom w:val="none" w:sz="0" w:space="0" w:color="auto"/>
            <w:right w:val="none" w:sz="0" w:space="0" w:color="auto"/>
          </w:divBdr>
          <w:divsChild>
            <w:div w:id="1045906582">
              <w:marLeft w:val="0"/>
              <w:marRight w:val="0"/>
              <w:marTop w:val="0"/>
              <w:marBottom w:val="0"/>
              <w:divBdr>
                <w:top w:val="single" w:sz="24" w:space="0" w:color="000000"/>
                <w:left w:val="none" w:sz="0" w:space="0" w:color="auto"/>
                <w:bottom w:val="none" w:sz="0" w:space="0" w:color="auto"/>
                <w:right w:val="none" w:sz="0" w:space="0" w:color="auto"/>
              </w:divBdr>
              <w:divsChild>
                <w:div w:id="10357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37212">
      <w:bodyDiv w:val="1"/>
      <w:marLeft w:val="0"/>
      <w:marRight w:val="0"/>
      <w:marTop w:val="0"/>
      <w:marBottom w:val="0"/>
      <w:divBdr>
        <w:top w:val="none" w:sz="0" w:space="0" w:color="auto"/>
        <w:left w:val="none" w:sz="0" w:space="0" w:color="auto"/>
        <w:bottom w:val="none" w:sz="0" w:space="0" w:color="auto"/>
        <w:right w:val="none" w:sz="0" w:space="0" w:color="auto"/>
      </w:divBdr>
      <w:divsChild>
        <w:div w:id="1240407978">
          <w:marLeft w:val="0"/>
          <w:marRight w:val="0"/>
          <w:marTop w:val="0"/>
          <w:marBottom w:val="300"/>
          <w:divBdr>
            <w:top w:val="single" w:sz="48" w:space="0" w:color="FFFFFF"/>
            <w:left w:val="none" w:sz="0" w:space="0" w:color="auto"/>
            <w:bottom w:val="none" w:sz="0" w:space="0" w:color="auto"/>
            <w:right w:val="none" w:sz="0" w:space="0" w:color="auto"/>
          </w:divBdr>
          <w:divsChild>
            <w:div w:id="1513840672">
              <w:marLeft w:val="0"/>
              <w:marRight w:val="0"/>
              <w:marTop w:val="0"/>
              <w:marBottom w:val="0"/>
              <w:divBdr>
                <w:top w:val="none" w:sz="0" w:space="0" w:color="auto"/>
                <w:left w:val="none" w:sz="0" w:space="0" w:color="auto"/>
                <w:bottom w:val="none" w:sz="0" w:space="0" w:color="auto"/>
                <w:right w:val="none" w:sz="0" w:space="0" w:color="auto"/>
              </w:divBdr>
              <w:divsChild>
                <w:div w:id="877275174">
                  <w:marLeft w:val="0"/>
                  <w:marRight w:val="0"/>
                  <w:marTop w:val="0"/>
                  <w:marBottom w:val="0"/>
                  <w:divBdr>
                    <w:top w:val="none" w:sz="0" w:space="0" w:color="auto"/>
                    <w:left w:val="none" w:sz="0" w:space="0" w:color="auto"/>
                    <w:bottom w:val="none" w:sz="0" w:space="0" w:color="auto"/>
                    <w:right w:val="none" w:sz="0" w:space="0" w:color="auto"/>
                  </w:divBdr>
                  <w:divsChild>
                    <w:div w:id="299844107">
                      <w:marLeft w:val="0"/>
                      <w:marRight w:val="0"/>
                      <w:marTop w:val="0"/>
                      <w:marBottom w:val="360"/>
                      <w:divBdr>
                        <w:top w:val="none" w:sz="0" w:space="0" w:color="auto"/>
                        <w:left w:val="none" w:sz="0" w:space="0" w:color="auto"/>
                        <w:bottom w:val="none" w:sz="0" w:space="0" w:color="auto"/>
                        <w:right w:val="none" w:sz="0" w:space="0" w:color="auto"/>
                      </w:divBdr>
                      <w:divsChild>
                        <w:div w:id="1148596765">
                          <w:marLeft w:val="0"/>
                          <w:marRight w:val="0"/>
                          <w:marTop w:val="0"/>
                          <w:marBottom w:val="0"/>
                          <w:divBdr>
                            <w:top w:val="none" w:sz="0" w:space="0" w:color="auto"/>
                            <w:left w:val="none" w:sz="0" w:space="0" w:color="auto"/>
                            <w:bottom w:val="none" w:sz="0" w:space="0" w:color="auto"/>
                            <w:right w:val="none" w:sz="0" w:space="0" w:color="auto"/>
                          </w:divBdr>
                          <w:divsChild>
                            <w:div w:id="1459030168">
                              <w:marLeft w:val="150"/>
                              <w:marRight w:val="0"/>
                              <w:marTop w:val="420"/>
                              <w:marBottom w:val="0"/>
                              <w:divBdr>
                                <w:top w:val="none" w:sz="0" w:space="0" w:color="auto"/>
                                <w:left w:val="none" w:sz="0" w:space="0" w:color="auto"/>
                                <w:bottom w:val="none" w:sz="0" w:space="0" w:color="auto"/>
                                <w:right w:val="none" w:sz="0" w:space="0" w:color="auto"/>
                              </w:divBdr>
                              <w:divsChild>
                                <w:div w:id="6189492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6829448">
      <w:bodyDiv w:val="1"/>
      <w:marLeft w:val="0"/>
      <w:marRight w:val="0"/>
      <w:marTop w:val="0"/>
      <w:marBottom w:val="0"/>
      <w:divBdr>
        <w:top w:val="none" w:sz="0" w:space="0" w:color="auto"/>
        <w:left w:val="none" w:sz="0" w:space="0" w:color="auto"/>
        <w:bottom w:val="none" w:sz="0" w:space="0" w:color="auto"/>
        <w:right w:val="none" w:sz="0" w:space="0" w:color="auto"/>
      </w:divBdr>
      <w:divsChild>
        <w:div w:id="97607842">
          <w:marLeft w:val="0"/>
          <w:marRight w:val="0"/>
          <w:marTop w:val="0"/>
          <w:marBottom w:val="0"/>
          <w:divBdr>
            <w:top w:val="none" w:sz="0" w:space="0" w:color="auto"/>
            <w:left w:val="none" w:sz="0" w:space="0" w:color="auto"/>
            <w:bottom w:val="none" w:sz="0" w:space="0" w:color="auto"/>
            <w:right w:val="none" w:sz="0" w:space="0" w:color="auto"/>
          </w:divBdr>
          <w:divsChild>
            <w:div w:id="1050156234">
              <w:marLeft w:val="0"/>
              <w:marRight w:val="0"/>
              <w:marTop w:val="0"/>
              <w:marBottom w:val="0"/>
              <w:divBdr>
                <w:top w:val="single" w:sz="18" w:space="7" w:color="CC1E1E"/>
                <w:left w:val="single" w:sz="6" w:space="13" w:color="CBCBCB"/>
                <w:bottom w:val="single" w:sz="6" w:space="9" w:color="CBCBCB"/>
                <w:right w:val="single" w:sz="6" w:space="13" w:color="CBCBCB"/>
              </w:divBdr>
            </w:div>
          </w:divsChild>
        </w:div>
      </w:divsChild>
    </w:div>
    <w:div w:id="1476486320">
      <w:bodyDiv w:val="1"/>
      <w:marLeft w:val="0"/>
      <w:marRight w:val="0"/>
      <w:marTop w:val="0"/>
      <w:marBottom w:val="0"/>
      <w:divBdr>
        <w:top w:val="none" w:sz="0" w:space="0" w:color="auto"/>
        <w:left w:val="none" w:sz="0" w:space="0" w:color="auto"/>
        <w:bottom w:val="none" w:sz="0" w:space="0" w:color="auto"/>
        <w:right w:val="none" w:sz="0" w:space="0" w:color="auto"/>
      </w:divBdr>
      <w:divsChild>
        <w:div w:id="1700469651">
          <w:marLeft w:val="0"/>
          <w:marRight w:val="0"/>
          <w:marTop w:val="0"/>
          <w:marBottom w:val="0"/>
          <w:divBdr>
            <w:top w:val="none" w:sz="0" w:space="0" w:color="auto"/>
            <w:left w:val="none" w:sz="0" w:space="0" w:color="auto"/>
            <w:bottom w:val="none" w:sz="0" w:space="0" w:color="auto"/>
            <w:right w:val="none" w:sz="0" w:space="0" w:color="auto"/>
          </w:divBdr>
          <w:divsChild>
            <w:div w:id="155184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8090">
      <w:bodyDiv w:val="1"/>
      <w:marLeft w:val="0"/>
      <w:marRight w:val="0"/>
      <w:marTop w:val="0"/>
      <w:marBottom w:val="0"/>
      <w:divBdr>
        <w:top w:val="none" w:sz="0" w:space="0" w:color="auto"/>
        <w:left w:val="none" w:sz="0" w:space="0" w:color="auto"/>
        <w:bottom w:val="none" w:sz="0" w:space="0" w:color="auto"/>
        <w:right w:val="none" w:sz="0" w:space="0" w:color="auto"/>
      </w:divBdr>
    </w:div>
    <w:div w:id="1523087641">
      <w:bodyDiv w:val="1"/>
      <w:marLeft w:val="0"/>
      <w:marRight w:val="0"/>
      <w:marTop w:val="0"/>
      <w:marBottom w:val="0"/>
      <w:divBdr>
        <w:top w:val="none" w:sz="0" w:space="0" w:color="auto"/>
        <w:left w:val="none" w:sz="0" w:space="0" w:color="auto"/>
        <w:bottom w:val="none" w:sz="0" w:space="0" w:color="auto"/>
        <w:right w:val="none" w:sz="0" w:space="0" w:color="auto"/>
      </w:divBdr>
    </w:div>
    <w:div w:id="1545098382">
      <w:bodyDiv w:val="1"/>
      <w:marLeft w:val="0"/>
      <w:marRight w:val="0"/>
      <w:marTop w:val="0"/>
      <w:marBottom w:val="0"/>
      <w:divBdr>
        <w:top w:val="none" w:sz="0" w:space="0" w:color="auto"/>
        <w:left w:val="none" w:sz="0" w:space="0" w:color="auto"/>
        <w:bottom w:val="none" w:sz="0" w:space="0" w:color="auto"/>
        <w:right w:val="none" w:sz="0" w:space="0" w:color="auto"/>
      </w:divBdr>
      <w:divsChild>
        <w:div w:id="1604457773">
          <w:marLeft w:val="0"/>
          <w:marRight w:val="0"/>
          <w:marTop w:val="75"/>
          <w:marBottom w:val="75"/>
          <w:divBdr>
            <w:top w:val="none" w:sz="0" w:space="0" w:color="auto"/>
            <w:left w:val="none" w:sz="0" w:space="0" w:color="auto"/>
            <w:bottom w:val="none" w:sz="0" w:space="0" w:color="auto"/>
            <w:right w:val="none" w:sz="0" w:space="0" w:color="auto"/>
          </w:divBdr>
          <w:divsChild>
            <w:div w:id="836532178">
              <w:marLeft w:val="0"/>
              <w:marRight w:val="0"/>
              <w:marTop w:val="0"/>
              <w:marBottom w:val="0"/>
              <w:divBdr>
                <w:top w:val="single" w:sz="6" w:space="0" w:color="BEBEBE"/>
                <w:left w:val="single" w:sz="6" w:space="0" w:color="BEBEBE"/>
                <w:bottom w:val="single" w:sz="6" w:space="0" w:color="BEBEBE"/>
                <w:right w:val="single" w:sz="6" w:space="0" w:color="BEBEBE"/>
              </w:divBdr>
              <w:divsChild>
                <w:div w:id="1090200553">
                  <w:marLeft w:val="0"/>
                  <w:marRight w:val="0"/>
                  <w:marTop w:val="0"/>
                  <w:marBottom w:val="0"/>
                  <w:divBdr>
                    <w:top w:val="none" w:sz="0" w:space="0" w:color="auto"/>
                    <w:left w:val="none" w:sz="0" w:space="0" w:color="auto"/>
                    <w:bottom w:val="none" w:sz="0" w:space="0" w:color="auto"/>
                    <w:right w:val="none" w:sz="0" w:space="0" w:color="auto"/>
                  </w:divBdr>
                  <w:divsChild>
                    <w:div w:id="1681542351">
                      <w:marLeft w:val="0"/>
                      <w:marRight w:val="0"/>
                      <w:marTop w:val="0"/>
                      <w:marBottom w:val="0"/>
                      <w:divBdr>
                        <w:top w:val="none" w:sz="0" w:space="0" w:color="auto"/>
                        <w:left w:val="none" w:sz="0" w:space="0" w:color="auto"/>
                        <w:bottom w:val="none" w:sz="0" w:space="0" w:color="auto"/>
                        <w:right w:val="none" w:sz="0" w:space="0" w:color="auto"/>
                      </w:divBdr>
                      <w:divsChild>
                        <w:div w:id="3554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7953750">
      <w:bodyDiv w:val="1"/>
      <w:marLeft w:val="0"/>
      <w:marRight w:val="0"/>
      <w:marTop w:val="0"/>
      <w:marBottom w:val="0"/>
      <w:divBdr>
        <w:top w:val="none" w:sz="0" w:space="0" w:color="auto"/>
        <w:left w:val="none" w:sz="0" w:space="0" w:color="auto"/>
        <w:bottom w:val="none" w:sz="0" w:space="0" w:color="auto"/>
        <w:right w:val="none" w:sz="0" w:space="0" w:color="auto"/>
      </w:divBdr>
      <w:divsChild>
        <w:div w:id="349918787">
          <w:marLeft w:val="0"/>
          <w:marRight w:val="0"/>
          <w:marTop w:val="0"/>
          <w:marBottom w:val="300"/>
          <w:divBdr>
            <w:top w:val="single" w:sz="48" w:space="0" w:color="FFFFFF"/>
            <w:left w:val="none" w:sz="0" w:space="0" w:color="auto"/>
            <w:bottom w:val="none" w:sz="0" w:space="0" w:color="auto"/>
            <w:right w:val="none" w:sz="0" w:space="0" w:color="auto"/>
          </w:divBdr>
          <w:divsChild>
            <w:div w:id="1247112257">
              <w:marLeft w:val="0"/>
              <w:marRight w:val="0"/>
              <w:marTop w:val="0"/>
              <w:marBottom w:val="0"/>
              <w:divBdr>
                <w:top w:val="none" w:sz="0" w:space="0" w:color="auto"/>
                <w:left w:val="none" w:sz="0" w:space="0" w:color="auto"/>
                <w:bottom w:val="none" w:sz="0" w:space="0" w:color="auto"/>
                <w:right w:val="none" w:sz="0" w:space="0" w:color="auto"/>
              </w:divBdr>
              <w:divsChild>
                <w:div w:id="68236867">
                  <w:marLeft w:val="0"/>
                  <w:marRight w:val="0"/>
                  <w:marTop w:val="0"/>
                  <w:marBottom w:val="0"/>
                  <w:divBdr>
                    <w:top w:val="none" w:sz="0" w:space="0" w:color="auto"/>
                    <w:left w:val="none" w:sz="0" w:space="0" w:color="auto"/>
                    <w:bottom w:val="none" w:sz="0" w:space="0" w:color="auto"/>
                    <w:right w:val="none" w:sz="0" w:space="0" w:color="auto"/>
                  </w:divBdr>
                  <w:divsChild>
                    <w:div w:id="442310408">
                      <w:marLeft w:val="0"/>
                      <w:marRight w:val="0"/>
                      <w:marTop w:val="0"/>
                      <w:marBottom w:val="360"/>
                      <w:divBdr>
                        <w:top w:val="none" w:sz="0" w:space="0" w:color="auto"/>
                        <w:left w:val="none" w:sz="0" w:space="0" w:color="auto"/>
                        <w:bottom w:val="none" w:sz="0" w:space="0" w:color="auto"/>
                        <w:right w:val="none" w:sz="0" w:space="0" w:color="auto"/>
                      </w:divBdr>
                      <w:divsChild>
                        <w:div w:id="391123223">
                          <w:marLeft w:val="0"/>
                          <w:marRight w:val="0"/>
                          <w:marTop w:val="0"/>
                          <w:marBottom w:val="0"/>
                          <w:divBdr>
                            <w:top w:val="none" w:sz="0" w:space="0" w:color="auto"/>
                            <w:left w:val="none" w:sz="0" w:space="0" w:color="auto"/>
                            <w:bottom w:val="none" w:sz="0" w:space="0" w:color="auto"/>
                            <w:right w:val="none" w:sz="0" w:space="0" w:color="auto"/>
                          </w:divBdr>
                          <w:divsChild>
                            <w:div w:id="1798982819">
                              <w:marLeft w:val="150"/>
                              <w:marRight w:val="0"/>
                              <w:marTop w:val="420"/>
                              <w:marBottom w:val="0"/>
                              <w:divBdr>
                                <w:top w:val="none" w:sz="0" w:space="0" w:color="auto"/>
                                <w:left w:val="none" w:sz="0" w:space="0" w:color="auto"/>
                                <w:bottom w:val="none" w:sz="0" w:space="0" w:color="auto"/>
                                <w:right w:val="none" w:sz="0" w:space="0" w:color="auto"/>
                              </w:divBdr>
                              <w:divsChild>
                                <w:div w:id="7139691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819917">
      <w:bodyDiv w:val="1"/>
      <w:marLeft w:val="0"/>
      <w:marRight w:val="0"/>
      <w:marTop w:val="0"/>
      <w:marBottom w:val="0"/>
      <w:divBdr>
        <w:top w:val="none" w:sz="0" w:space="0" w:color="auto"/>
        <w:left w:val="none" w:sz="0" w:space="0" w:color="auto"/>
        <w:bottom w:val="none" w:sz="0" w:space="0" w:color="auto"/>
        <w:right w:val="none" w:sz="0" w:space="0" w:color="auto"/>
      </w:divBdr>
    </w:div>
    <w:div w:id="1670592484">
      <w:bodyDiv w:val="1"/>
      <w:marLeft w:val="0"/>
      <w:marRight w:val="0"/>
      <w:marTop w:val="0"/>
      <w:marBottom w:val="0"/>
      <w:divBdr>
        <w:top w:val="none" w:sz="0" w:space="0" w:color="auto"/>
        <w:left w:val="none" w:sz="0" w:space="0" w:color="auto"/>
        <w:bottom w:val="none" w:sz="0" w:space="0" w:color="auto"/>
        <w:right w:val="none" w:sz="0" w:space="0" w:color="auto"/>
      </w:divBdr>
    </w:div>
    <w:div w:id="1833788441">
      <w:bodyDiv w:val="1"/>
      <w:marLeft w:val="0"/>
      <w:marRight w:val="0"/>
      <w:marTop w:val="0"/>
      <w:marBottom w:val="0"/>
      <w:divBdr>
        <w:top w:val="none" w:sz="0" w:space="0" w:color="auto"/>
        <w:left w:val="none" w:sz="0" w:space="0" w:color="auto"/>
        <w:bottom w:val="none" w:sz="0" w:space="0" w:color="auto"/>
        <w:right w:val="none" w:sz="0" w:space="0" w:color="auto"/>
      </w:divBdr>
    </w:div>
    <w:div w:id="1849055000">
      <w:bodyDiv w:val="1"/>
      <w:marLeft w:val="0"/>
      <w:marRight w:val="0"/>
      <w:marTop w:val="0"/>
      <w:marBottom w:val="0"/>
      <w:divBdr>
        <w:top w:val="none" w:sz="0" w:space="0" w:color="auto"/>
        <w:left w:val="none" w:sz="0" w:space="0" w:color="auto"/>
        <w:bottom w:val="none" w:sz="0" w:space="0" w:color="auto"/>
        <w:right w:val="none" w:sz="0" w:space="0" w:color="auto"/>
      </w:divBdr>
      <w:divsChild>
        <w:div w:id="932318982">
          <w:marLeft w:val="0"/>
          <w:marRight w:val="0"/>
          <w:marTop w:val="75"/>
          <w:marBottom w:val="75"/>
          <w:divBdr>
            <w:top w:val="none" w:sz="0" w:space="0" w:color="auto"/>
            <w:left w:val="none" w:sz="0" w:space="0" w:color="auto"/>
            <w:bottom w:val="none" w:sz="0" w:space="0" w:color="auto"/>
            <w:right w:val="none" w:sz="0" w:space="0" w:color="auto"/>
          </w:divBdr>
          <w:divsChild>
            <w:div w:id="1111785289">
              <w:marLeft w:val="0"/>
              <w:marRight w:val="0"/>
              <w:marTop w:val="0"/>
              <w:marBottom w:val="0"/>
              <w:divBdr>
                <w:top w:val="single" w:sz="6" w:space="0" w:color="BEBEBE"/>
                <w:left w:val="single" w:sz="6" w:space="0" w:color="BEBEBE"/>
                <w:bottom w:val="single" w:sz="6" w:space="0" w:color="BEBEBE"/>
                <w:right w:val="single" w:sz="6" w:space="0" w:color="BEBEBE"/>
              </w:divBdr>
              <w:divsChild>
                <w:div w:id="1655261498">
                  <w:marLeft w:val="0"/>
                  <w:marRight w:val="0"/>
                  <w:marTop w:val="0"/>
                  <w:marBottom w:val="0"/>
                  <w:divBdr>
                    <w:top w:val="none" w:sz="0" w:space="0" w:color="auto"/>
                    <w:left w:val="none" w:sz="0" w:space="0" w:color="auto"/>
                    <w:bottom w:val="none" w:sz="0" w:space="0" w:color="auto"/>
                    <w:right w:val="none" w:sz="0" w:space="0" w:color="auto"/>
                  </w:divBdr>
                  <w:divsChild>
                    <w:div w:id="83311065">
                      <w:marLeft w:val="0"/>
                      <w:marRight w:val="0"/>
                      <w:marTop w:val="0"/>
                      <w:marBottom w:val="0"/>
                      <w:divBdr>
                        <w:top w:val="none" w:sz="0" w:space="0" w:color="auto"/>
                        <w:left w:val="none" w:sz="0" w:space="0" w:color="auto"/>
                        <w:bottom w:val="none" w:sz="0" w:space="0" w:color="auto"/>
                        <w:right w:val="none" w:sz="0" w:space="0" w:color="auto"/>
                      </w:divBdr>
                      <w:divsChild>
                        <w:div w:id="19895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71695">
      <w:bodyDiv w:val="1"/>
      <w:marLeft w:val="0"/>
      <w:marRight w:val="0"/>
      <w:marTop w:val="0"/>
      <w:marBottom w:val="0"/>
      <w:divBdr>
        <w:top w:val="none" w:sz="0" w:space="0" w:color="auto"/>
        <w:left w:val="none" w:sz="0" w:space="0" w:color="auto"/>
        <w:bottom w:val="none" w:sz="0" w:space="0" w:color="auto"/>
        <w:right w:val="none" w:sz="0" w:space="0" w:color="auto"/>
      </w:divBdr>
    </w:div>
    <w:div w:id="1981568115">
      <w:bodyDiv w:val="1"/>
      <w:marLeft w:val="0"/>
      <w:marRight w:val="0"/>
      <w:marTop w:val="0"/>
      <w:marBottom w:val="0"/>
      <w:divBdr>
        <w:top w:val="none" w:sz="0" w:space="0" w:color="auto"/>
        <w:left w:val="none" w:sz="0" w:space="0" w:color="auto"/>
        <w:bottom w:val="none" w:sz="0" w:space="0" w:color="auto"/>
        <w:right w:val="none" w:sz="0" w:space="0" w:color="auto"/>
      </w:divBdr>
      <w:divsChild>
        <w:div w:id="446125612">
          <w:marLeft w:val="0"/>
          <w:marRight w:val="0"/>
          <w:marTop w:val="75"/>
          <w:marBottom w:val="75"/>
          <w:divBdr>
            <w:top w:val="none" w:sz="0" w:space="0" w:color="auto"/>
            <w:left w:val="none" w:sz="0" w:space="0" w:color="auto"/>
            <w:bottom w:val="none" w:sz="0" w:space="0" w:color="auto"/>
            <w:right w:val="none" w:sz="0" w:space="0" w:color="auto"/>
          </w:divBdr>
          <w:divsChild>
            <w:div w:id="1356078096">
              <w:marLeft w:val="0"/>
              <w:marRight w:val="0"/>
              <w:marTop w:val="0"/>
              <w:marBottom w:val="0"/>
              <w:divBdr>
                <w:top w:val="single" w:sz="6" w:space="0" w:color="BEBEBE"/>
                <w:left w:val="single" w:sz="6" w:space="0" w:color="BEBEBE"/>
                <w:bottom w:val="single" w:sz="6" w:space="0" w:color="BEBEBE"/>
                <w:right w:val="single" w:sz="6" w:space="0" w:color="BEBEBE"/>
              </w:divBdr>
              <w:divsChild>
                <w:div w:id="144469128">
                  <w:marLeft w:val="0"/>
                  <w:marRight w:val="0"/>
                  <w:marTop w:val="0"/>
                  <w:marBottom w:val="0"/>
                  <w:divBdr>
                    <w:top w:val="none" w:sz="0" w:space="0" w:color="auto"/>
                    <w:left w:val="none" w:sz="0" w:space="0" w:color="auto"/>
                    <w:bottom w:val="none" w:sz="0" w:space="0" w:color="auto"/>
                    <w:right w:val="none" w:sz="0" w:space="0" w:color="auto"/>
                  </w:divBdr>
                  <w:divsChild>
                    <w:div w:id="629214819">
                      <w:marLeft w:val="0"/>
                      <w:marRight w:val="0"/>
                      <w:marTop w:val="0"/>
                      <w:marBottom w:val="0"/>
                      <w:divBdr>
                        <w:top w:val="none" w:sz="0" w:space="0" w:color="auto"/>
                        <w:left w:val="none" w:sz="0" w:space="0" w:color="auto"/>
                        <w:bottom w:val="none" w:sz="0" w:space="0" w:color="auto"/>
                        <w:right w:val="none" w:sz="0" w:space="0" w:color="auto"/>
                      </w:divBdr>
                      <w:divsChild>
                        <w:div w:id="731391650">
                          <w:marLeft w:val="0"/>
                          <w:marRight w:val="0"/>
                          <w:marTop w:val="0"/>
                          <w:marBottom w:val="0"/>
                          <w:divBdr>
                            <w:top w:val="none" w:sz="0" w:space="0" w:color="auto"/>
                            <w:left w:val="none" w:sz="0" w:space="0" w:color="auto"/>
                            <w:bottom w:val="single" w:sz="18" w:space="0" w:color="CCCCCC"/>
                            <w:right w:val="none" w:sz="0" w:space="0" w:color="auto"/>
                          </w:divBdr>
                          <w:divsChild>
                            <w:div w:id="114446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428916">
      <w:bodyDiv w:val="1"/>
      <w:marLeft w:val="0"/>
      <w:marRight w:val="0"/>
      <w:marTop w:val="0"/>
      <w:marBottom w:val="0"/>
      <w:divBdr>
        <w:top w:val="none" w:sz="0" w:space="0" w:color="auto"/>
        <w:left w:val="none" w:sz="0" w:space="0" w:color="auto"/>
        <w:bottom w:val="none" w:sz="0" w:space="0" w:color="auto"/>
        <w:right w:val="none" w:sz="0" w:space="0" w:color="auto"/>
      </w:divBdr>
    </w:div>
    <w:div w:id="2020112374">
      <w:bodyDiv w:val="1"/>
      <w:marLeft w:val="0"/>
      <w:marRight w:val="0"/>
      <w:marTop w:val="0"/>
      <w:marBottom w:val="0"/>
      <w:divBdr>
        <w:top w:val="none" w:sz="0" w:space="0" w:color="auto"/>
        <w:left w:val="none" w:sz="0" w:space="0" w:color="auto"/>
        <w:bottom w:val="none" w:sz="0" w:space="0" w:color="auto"/>
        <w:right w:val="none" w:sz="0" w:space="0" w:color="auto"/>
      </w:divBdr>
    </w:div>
    <w:div w:id="2082481631">
      <w:bodyDiv w:val="1"/>
      <w:marLeft w:val="0"/>
      <w:marRight w:val="0"/>
      <w:marTop w:val="0"/>
      <w:marBottom w:val="0"/>
      <w:divBdr>
        <w:top w:val="none" w:sz="0" w:space="0" w:color="auto"/>
        <w:left w:val="none" w:sz="0" w:space="0" w:color="auto"/>
        <w:bottom w:val="none" w:sz="0" w:space="0" w:color="auto"/>
        <w:right w:val="none" w:sz="0" w:space="0" w:color="auto"/>
      </w:divBdr>
      <w:divsChild>
        <w:div w:id="181405022">
          <w:marLeft w:val="0"/>
          <w:marRight w:val="0"/>
          <w:marTop w:val="0"/>
          <w:marBottom w:val="0"/>
          <w:divBdr>
            <w:top w:val="none" w:sz="0" w:space="0" w:color="auto"/>
            <w:left w:val="none" w:sz="0" w:space="0" w:color="auto"/>
            <w:bottom w:val="none" w:sz="0" w:space="0" w:color="auto"/>
            <w:right w:val="none" w:sz="0" w:space="0" w:color="auto"/>
          </w:divBdr>
          <w:divsChild>
            <w:div w:id="1287007782">
              <w:marLeft w:val="0"/>
              <w:marRight w:val="0"/>
              <w:marTop w:val="0"/>
              <w:marBottom w:val="0"/>
              <w:divBdr>
                <w:top w:val="single" w:sz="18" w:space="6" w:color="CC1E1E"/>
                <w:left w:val="single" w:sz="6" w:space="11" w:color="CBCBCB"/>
                <w:bottom w:val="single" w:sz="6" w:space="8" w:color="CBCBCB"/>
                <w:right w:val="single" w:sz="6" w:space="11" w:color="CBCBCB"/>
              </w:divBdr>
              <w:divsChild>
                <w:div w:id="960696373">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2092776811">
      <w:bodyDiv w:val="1"/>
      <w:marLeft w:val="0"/>
      <w:marRight w:val="0"/>
      <w:marTop w:val="0"/>
      <w:marBottom w:val="0"/>
      <w:divBdr>
        <w:top w:val="none" w:sz="0" w:space="0" w:color="auto"/>
        <w:left w:val="none" w:sz="0" w:space="0" w:color="auto"/>
        <w:bottom w:val="none" w:sz="0" w:space="0" w:color="auto"/>
        <w:right w:val="none" w:sz="0" w:space="0" w:color="auto"/>
      </w:divBdr>
    </w:div>
    <w:div w:id="2101367009">
      <w:bodyDiv w:val="1"/>
      <w:marLeft w:val="0"/>
      <w:marRight w:val="0"/>
      <w:marTop w:val="0"/>
      <w:marBottom w:val="0"/>
      <w:divBdr>
        <w:top w:val="none" w:sz="0" w:space="0" w:color="auto"/>
        <w:left w:val="none" w:sz="0" w:space="0" w:color="auto"/>
        <w:bottom w:val="none" w:sz="0" w:space="0" w:color="auto"/>
        <w:right w:val="none" w:sz="0" w:space="0" w:color="auto"/>
      </w:divBdr>
      <w:divsChild>
        <w:div w:id="240718289">
          <w:marLeft w:val="0"/>
          <w:marRight w:val="0"/>
          <w:marTop w:val="0"/>
          <w:marBottom w:val="300"/>
          <w:divBdr>
            <w:top w:val="single" w:sz="48" w:space="0" w:color="FFFFFF"/>
            <w:left w:val="none" w:sz="0" w:space="0" w:color="auto"/>
            <w:bottom w:val="none" w:sz="0" w:space="0" w:color="auto"/>
            <w:right w:val="none" w:sz="0" w:space="0" w:color="auto"/>
          </w:divBdr>
          <w:divsChild>
            <w:div w:id="175466947">
              <w:marLeft w:val="0"/>
              <w:marRight w:val="0"/>
              <w:marTop w:val="0"/>
              <w:marBottom w:val="0"/>
              <w:divBdr>
                <w:top w:val="none" w:sz="0" w:space="0" w:color="auto"/>
                <w:left w:val="none" w:sz="0" w:space="0" w:color="auto"/>
                <w:bottom w:val="none" w:sz="0" w:space="0" w:color="auto"/>
                <w:right w:val="none" w:sz="0" w:space="0" w:color="auto"/>
              </w:divBdr>
              <w:divsChild>
                <w:div w:id="819930295">
                  <w:marLeft w:val="0"/>
                  <w:marRight w:val="0"/>
                  <w:marTop w:val="0"/>
                  <w:marBottom w:val="0"/>
                  <w:divBdr>
                    <w:top w:val="none" w:sz="0" w:space="0" w:color="auto"/>
                    <w:left w:val="none" w:sz="0" w:space="0" w:color="auto"/>
                    <w:bottom w:val="none" w:sz="0" w:space="0" w:color="auto"/>
                    <w:right w:val="none" w:sz="0" w:space="0" w:color="auto"/>
                  </w:divBdr>
                  <w:divsChild>
                    <w:div w:id="895051497">
                      <w:marLeft w:val="0"/>
                      <w:marRight w:val="0"/>
                      <w:marTop w:val="0"/>
                      <w:marBottom w:val="360"/>
                      <w:divBdr>
                        <w:top w:val="none" w:sz="0" w:space="0" w:color="auto"/>
                        <w:left w:val="none" w:sz="0" w:space="0" w:color="auto"/>
                        <w:bottom w:val="none" w:sz="0" w:space="0" w:color="auto"/>
                        <w:right w:val="none" w:sz="0" w:space="0" w:color="auto"/>
                      </w:divBdr>
                      <w:divsChild>
                        <w:div w:id="20405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681031">
      <w:bodyDiv w:val="1"/>
      <w:marLeft w:val="0"/>
      <w:marRight w:val="0"/>
      <w:marTop w:val="0"/>
      <w:marBottom w:val="0"/>
      <w:divBdr>
        <w:top w:val="none" w:sz="0" w:space="0" w:color="auto"/>
        <w:left w:val="none" w:sz="0" w:space="0" w:color="auto"/>
        <w:bottom w:val="none" w:sz="0" w:space="0" w:color="auto"/>
        <w:right w:val="none" w:sz="0" w:space="0" w:color="auto"/>
      </w:divBdr>
    </w:div>
    <w:div w:id="2127699132">
      <w:bodyDiv w:val="1"/>
      <w:marLeft w:val="0"/>
      <w:marRight w:val="0"/>
      <w:marTop w:val="0"/>
      <w:marBottom w:val="0"/>
      <w:divBdr>
        <w:top w:val="none" w:sz="0" w:space="0" w:color="auto"/>
        <w:left w:val="none" w:sz="0" w:space="0" w:color="auto"/>
        <w:bottom w:val="none" w:sz="0" w:space="0" w:color="auto"/>
        <w:right w:val="none" w:sz="0" w:space="0" w:color="auto"/>
      </w:divBdr>
      <w:divsChild>
        <w:div w:id="227306810">
          <w:marLeft w:val="0"/>
          <w:marRight w:val="0"/>
          <w:marTop w:val="0"/>
          <w:marBottom w:val="0"/>
          <w:divBdr>
            <w:top w:val="none" w:sz="0" w:space="0" w:color="auto"/>
            <w:left w:val="none" w:sz="0" w:space="0" w:color="auto"/>
            <w:bottom w:val="none" w:sz="0" w:space="0" w:color="auto"/>
            <w:right w:val="none" w:sz="0" w:space="0" w:color="auto"/>
          </w:divBdr>
          <w:divsChild>
            <w:div w:id="56245736">
              <w:marLeft w:val="0"/>
              <w:marRight w:val="0"/>
              <w:marTop w:val="0"/>
              <w:marBottom w:val="0"/>
              <w:divBdr>
                <w:top w:val="none" w:sz="0" w:space="0" w:color="auto"/>
                <w:left w:val="none" w:sz="0" w:space="0" w:color="auto"/>
                <w:bottom w:val="none" w:sz="0" w:space="0" w:color="auto"/>
                <w:right w:val="none" w:sz="0" w:space="0" w:color="auto"/>
              </w:divBdr>
              <w:divsChild>
                <w:div w:id="933708047">
                  <w:marLeft w:val="0"/>
                  <w:marRight w:val="0"/>
                  <w:marTop w:val="0"/>
                  <w:marBottom w:val="0"/>
                  <w:divBdr>
                    <w:top w:val="none" w:sz="0" w:space="0" w:color="auto"/>
                    <w:left w:val="none" w:sz="0" w:space="0" w:color="auto"/>
                    <w:bottom w:val="none" w:sz="0" w:space="0" w:color="auto"/>
                    <w:right w:val="none" w:sz="0" w:space="0" w:color="auto"/>
                  </w:divBdr>
                  <w:divsChild>
                    <w:div w:id="110051824">
                      <w:marLeft w:val="0"/>
                      <w:marRight w:val="0"/>
                      <w:marTop w:val="0"/>
                      <w:marBottom w:val="0"/>
                      <w:divBdr>
                        <w:top w:val="none" w:sz="0" w:space="0" w:color="auto"/>
                        <w:left w:val="none" w:sz="0" w:space="0" w:color="auto"/>
                        <w:bottom w:val="none" w:sz="0" w:space="0" w:color="auto"/>
                        <w:right w:val="none" w:sz="0" w:space="0" w:color="auto"/>
                      </w:divBdr>
                      <w:divsChild>
                        <w:div w:id="11500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aike.finance.ifeng.com/doc/2522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uto.ifeng.com/news/finance/"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ngsi.hexun.com/fc_1022.shtml" TargetMode="Externa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hyperlink" Target="http://gongsi.hexun.com/fc_527.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manualLayout>
          <c:layoutTarget val="inner"/>
          <c:xMode val="edge"/>
          <c:yMode val="edge"/>
          <c:x val="0.10359643204429372"/>
          <c:y val="0.1774879782976059"/>
          <c:w val="0.85787556811103183"/>
          <c:h val="0.67282277674925683"/>
        </c:manualLayout>
      </c:layout>
      <c:pie3DChart>
        <c:varyColors val="1"/>
        <c:ser>
          <c:idx val="0"/>
          <c:order val="0"/>
          <c:tx>
            <c:strRef>
              <c:f>Sheet1!$B$1</c:f>
              <c:strCache>
                <c:ptCount val="1"/>
                <c:pt idx="0">
                  <c:v>列1</c:v>
                </c:pt>
              </c:strCache>
            </c:strRef>
          </c:tx>
          <c:explosion val="25"/>
          <c:dLbls>
            <c:dLbl>
              <c:idx val="0"/>
              <c:layout>
                <c:manualLayout>
                  <c:x val="-4.8690088454624733E-2"/>
                  <c:y val="-4.6100329110465695E-2"/>
                </c:manualLayout>
              </c:layout>
              <c:tx>
                <c:rich>
                  <a:bodyPr/>
                  <a:lstStyle/>
                  <a:p>
                    <a:r>
                      <a:rPr lang="zh-CN" altLang="en-US"/>
                      <a:t>信托贷款</a:t>
                    </a:r>
                    <a:endParaRPr lang="en-US" altLang="zh-CN"/>
                  </a:p>
                  <a:p>
                    <a:r>
                      <a:rPr lang="en-US" altLang="zh-CN"/>
                      <a:t>16.27%</a:t>
                    </a:r>
                  </a:p>
                </c:rich>
              </c:tx>
              <c:showPercent val="1"/>
            </c:dLbl>
            <c:dLbl>
              <c:idx val="1"/>
              <c:layout>
                <c:manualLayout>
                  <c:x val="0"/>
                  <c:y val="-4.1080078710627771E-2"/>
                </c:manualLayout>
              </c:layout>
              <c:tx>
                <c:rich>
                  <a:bodyPr/>
                  <a:lstStyle/>
                  <a:p>
                    <a:r>
                      <a:rPr lang="zh-CN" altLang="en-US"/>
                      <a:t>股权投资</a:t>
                    </a:r>
                    <a:endParaRPr lang="en-US" altLang="zh-CN"/>
                  </a:p>
                  <a:p>
                    <a:r>
                      <a:rPr lang="en-US" altLang="zh-CN"/>
                      <a:t>14.37%</a:t>
                    </a:r>
                  </a:p>
                </c:rich>
              </c:tx>
              <c:showPercent val="1"/>
            </c:dLbl>
            <c:dLbl>
              <c:idx val="2"/>
              <c:layout>
                <c:manualLayout>
                  <c:x val="1.9641639600193071E-2"/>
                  <c:y val="-5.7220689599171884E-2"/>
                </c:manualLayout>
              </c:layout>
              <c:tx>
                <c:rich>
                  <a:bodyPr/>
                  <a:lstStyle/>
                  <a:p>
                    <a:r>
                      <a:rPr lang="zh-CN" altLang="en-US"/>
                      <a:t>权益投资</a:t>
                    </a:r>
                    <a:endParaRPr lang="en-US" altLang="zh-CN"/>
                  </a:p>
                  <a:p>
                    <a:r>
                      <a:rPr lang="en-US" altLang="zh-CN"/>
                      <a:t>9.54%</a:t>
                    </a:r>
                  </a:p>
                </c:rich>
              </c:tx>
              <c:showPercent val="1"/>
            </c:dLbl>
            <c:dLbl>
              <c:idx val="3"/>
              <c:layout>
                <c:manualLayout>
                  <c:x val="3.7134277721512877E-2"/>
                  <c:y val="-2.817907840717758E-2"/>
                </c:manualLayout>
              </c:layout>
              <c:tx>
                <c:rich>
                  <a:bodyPr/>
                  <a:lstStyle/>
                  <a:p>
                    <a:r>
                      <a:rPr lang="zh-CN" altLang="en-US"/>
                      <a:t>证券投资</a:t>
                    </a:r>
                    <a:endParaRPr lang="en-US" altLang="zh-CN"/>
                  </a:p>
                  <a:p>
                    <a:r>
                      <a:rPr lang="en-US" altLang="zh-CN"/>
                      <a:t>5.87%</a:t>
                    </a:r>
                  </a:p>
                </c:rich>
              </c:tx>
              <c:showPercent val="1"/>
            </c:dLbl>
            <c:dLbl>
              <c:idx val="4"/>
              <c:layout>
                <c:manualLayout>
                  <c:x val="4.2982888309654285E-2"/>
                  <c:y val="-1.9955484818533127E-3"/>
                </c:manualLayout>
              </c:layout>
              <c:tx>
                <c:rich>
                  <a:bodyPr/>
                  <a:lstStyle/>
                  <a:p>
                    <a:r>
                      <a:rPr lang="zh-CN" altLang="en-US"/>
                      <a:t>组合投资</a:t>
                    </a:r>
                    <a:endParaRPr lang="en-US" altLang="zh-CN"/>
                  </a:p>
                  <a:p>
                    <a:r>
                      <a:rPr lang="en-US" altLang="zh-CN"/>
                      <a:t>39.77%</a:t>
                    </a:r>
                  </a:p>
                </c:rich>
              </c:tx>
              <c:showPercent val="1"/>
            </c:dLbl>
            <c:dLbl>
              <c:idx val="5"/>
              <c:layout>
                <c:manualLayout>
                  <c:x val="4.4866209750881098E-2"/>
                  <c:y val="4.7133205347555133E-3"/>
                </c:manualLayout>
              </c:layout>
              <c:tx>
                <c:rich>
                  <a:bodyPr/>
                  <a:lstStyle/>
                  <a:p>
                    <a:r>
                      <a:rPr lang="zh-CN" altLang="en-US"/>
                      <a:t>其他投资</a:t>
                    </a:r>
                    <a:endParaRPr lang="en-US" altLang="zh-CN"/>
                  </a:p>
                  <a:p>
                    <a:r>
                      <a:rPr lang="en-US" altLang="zh-CN"/>
                      <a:t>14.18%</a:t>
                    </a:r>
                  </a:p>
                </c:rich>
              </c:tx>
              <c:showPercent val="1"/>
            </c:dLbl>
            <c:showPercent val="1"/>
            <c:showLeaderLines val="1"/>
          </c:dLbls>
          <c:cat>
            <c:strRef>
              <c:f>Sheet1!$A$2:$A$7</c:f>
              <c:strCache>
                <c:ptCount val="6"/>
                <c:pt idx="0">
                  <c:v>信托贷款</c:v>
                </c:pt>
                <c:pt idx="1">
                  <c:v>股权投资</c:v>
                </c:pt>
                <c:pt idx="2">
                  <c:v>权益投资</c:v>
                </c:pt>
                <c:pt idx="3">
                  <c:v>证券投资</c:v>
                </c:pt>
                <c:pt idx="4">
                  <c:v>组合运用</c:v>
                </c:pt>
                <c:pt idx="5">
                  <c:v>其他投资</c:v>
                </c:pt>
              </c:strCache>
            </c:strRef>
          </c:cat>
          <c:val>
            <c:numRef>
              <c:f>Sheet1!$B$2:$B$7</c:f>
              <c:numCache>
                <c:formatCode>General</c:formatCode>
                <c:ptCount val="6"/>
                <c:pt idx="0">
                  <c:v>53.53</c:v>
                </c:pt>
                <c:pt idx="1">
                  <c:v>47.290000000000013</c:v>
                </c:pt>
                <c:pt idx="2">
                  <c:v>31.4</c:v>
                </c:pt>
                <c:pt idx="3">
                  <c:v>19.329999999999988</c:v>
                </c:pt>
                <c:pt idx="4">
                  <c:v>130.84</c:v>
                </c:pt>
                <c:pt idx="5">
                  <c:v>46.65</c:v>
                </c:pt>
              </c:numCache>
            </c:numRef>
          </c:val>
        </c:ser>
        <c:dLbls>
          <c:showPercent val="1"/>
        </c:dLbls>
      </c:pie3DChart>
    </c:plotArea>
    <c:legend>
      <c:legendPos val="t"/>
      <c:layout>
        <c:manualLayout>
          <c:xMode val="edge"/>
          <c:yMode val="edge"/>
          <c:x val="6.0267128554985491E-2"/>
          <c:y val="0.89841269841269444"/>
          <c:w val="0.89999995668209842"/>
          <c:h val="6.9066681182560902E-2"/>
        </c:manualLayout>
      </c:layou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rotX val="30"/>
      <c:perspective val="30"/>
    </c:view3D>
    <c:plotArea>
      <c:layout/>
      <c:pie3DChart>
        <c:varyColors val="1"/>
        <c:ser>
          <c:idx val="0"/>
          <c:order val="0"/>
          <c:tx>
            <c:strRef>
              <c:f>Sheet1!$B$1</c:f>
              <c:strCache>
                <c:ptCount val="1"/>
                <c:pt idx="0">
                  <c:v>销售额</c:v>
                </c:pt>
              </c:strCache>
            </c:strRef>
          </c:tx>
          <c:explosion val="25"/>
          <c:dLbls>
            <c:dLbl>
              <c:idx val="0"/>
              <c:layout>
                <c:manualLayout>
                  <c:x val="-3.9036526684163957E-3"/>
                  <c:y val="4.6150168728908855E-2"/>
                </c:manualLayout>
              </c:layout>
              <c:tx>
                <c:rich>
                  <a:bodyPr/>
                  <a:lstStyle/>
                  <a:p>
                    <a:r>
                      <a:rPr lang="zh-CN" altLang="en-US"/>
                      <a:t>金融市场 </a:t>
                    </a:r>
                    <a:endParaRPr lang="en-US" altLang="zh-CN"/>
                  </a:p>
                  <a:p>
                    <a:r>
                      <a:rPr lang="en-US" altLang="zh-CN"/>
                      <a:t>44.42%</a:t>
                    </a:r>
                  </a:p>
                </c:rich>
              </c:tx>
              <c:showPercent val="1"/>
            </c:dLbl>
            <c:dLbl>
              <c:idx val="1"/>
              <c:layout>
                <c:manualLayout>
                  <c:x val="-0.13470989653409357"/>
                  <c:y val="-0.10545761809405825"/>
                </c:manualLayout>
              </c:layout>
              <c:tx>
                <c:rich>
                  <a:bodyPr/>
                  <a:lstStyle/>
                  <a:p>
                    <a:r>
                      <a:rPr lang="zh-CN" altLang="en-US"/>
                      <a:t>房地产</a:t>
                    </a:r>
                    <a:endParaRPr lang="en-US" altLang="zh-CN"/>
                  </a:p>
                  <a:p>
                    <a:r>
                      <a:rPr lang="en-US" altLang="zh-CN"/>
                      <a:t>20.76%</a:t>
                    </a:r>
                  </a:p>
                </c:rich>
              </c:tx>
              <c:showPercent val="1"/>
            </c:dLbl>
            <c:dLbl>
              <c:idx val="2"/>
              <c:layout>
                <c:manualLayout>
                  <c:x val="2.9507509477981813E-3"/>
                  <c:y val="-0.10865860517435318"/>
                </c:manualLayout>
              </c:layout>
              <c:tx>
                <c:rich>
                  <a:bodyPr/>
                  <a:lstStyle/>
                  <a:p>
                    <a:r>
                      <a:rPr lang="zh-CN" altLang="en-US"/>
                      <a:t>基础产业</a:t>
                    </a:r>
                    <a:endParaRPr lang="en-US" altLang="zh-CN"/>
                  </a:p>
                  <a:p>
                    <a:r>
                      <a:rPr lang="en-US" altLang="zh-CN"/>
                      <a:t>7.58%</a:t>
                    </a:r>
                  </a:p>
                </c:rich>
              </c:tx>
              <c:showPercent val="1"/>
            </c:dLbl>
            <c:dLbl>
              <c:idx val="3"/>
              <c:layout>
                <c:manualLayout>
                  <c:x val="4.1379046369203747E-2"/>
                  <c:y val="-4.8513935758030716E-2"/>
                </c:manualLayout>
              </c:layout>
              <c:tx>
                <c:rich>
                  <a:bodyPr/>
                  <a:lstStyle/>
                  <a:p>
                    <a:r>
                      <a:rPr lang="zh-CN" altLang="en-US"/>
                      <a:t>工商企业</a:t>
                    </a:r>
                    <a:endParaRPr lang="en-US" altLang="zh-CN"/>
                  </a:p>
                  <a:p>
                    <a:r>
                      <a:rPr lang="en-US" altLang="zh-CN"/>
                      <a:t>13.85%</a:t>
                    </a:r>
                  </a:p>
                </c:rich>
              </c:tx>
              <c:showPercent val="1"/>
            </c:dLbl>
            <c:dLbl>
              <c:idx val="4"/>
              <c:layout>
                <c:manualLayout>
                  <c:x val="3.011163969087198E-2"/>
                  <c:y val="-1.8982002249719038E-3"/>
                </c:manualLayout>
              </c:layout>
              <c:tx>
                <c:rich>
                  <a:bodyPr/>
                  <a:lstStyle/>
                  <a:p>
                    <a:r>
                      <a:rPr lang="zh-CN" altLang="en-US"/>
                      <a:t>其他</a:t>
                    </a:r>
                    <a:endParaRPr lang="en-US" altLang="zh-CN"/>
                  </a:p>
                  <a:p>
                    <a:r>
                      <a:rPr lang="en-US" altLang="zh-CN"/>
                      <a:t>13.39%</a:t>
                    </a:r>
                  </a:p>
                </c:rich>
              </c:tx>
              <c:showPercent val="1"/>
            </c:dLbl>
            <c:numFmt formatCode="General" sourceLinked="0"/>
            <c:showPercent val="1"/>
            <c:showLeaderLines val="1"/>
          </c:dLbls>
          <c:cat>
            <c:strRef>
              <c:f>Sheet1!$A$2:$A$6</c:f>
              <c:strCache>
                <c:ptCount val="5"/>
                <c:pt idx="0">
                  <c:v>金融市场</c:v>
                </c:pt>
                <c:pt idx="1">
                  <c:v>房地产</c:v>
                </c:pt>
                <c:pt idx="2">
                  <c:v>基础产业</c:v>
                </c:pt>
                <c:pt idx="3">
                  <c:v>工商企业</c:v>
                </c:pt>
                <c:pt idx="4">
                  <c:v>其他</c:v>
                </c:pt>
              </c:strCache>
            </c:strRef>
          </c:cat>
          <c:val>
            <c:numRef>
              <c:f>Sheet1!$B$2:$B$6</c:f>
              <c:numCache>
                <c:formatCode>General</c:formatCode>
                <c:ptCount val="5"/>
                <c:pt idx="0">
                  <c:v>146.16</c:v>
                </c:pt>
                <c:pt idx="1">
                  <c:v>68.3</c:v>
                </c:pt>
                <c:pt idx="2">
                  <c:v>24.939999999999987</c:v>
                </c:pt>
                <c:pt idx="3">
                  <c:v>45.57</c:v>
                </c:pt>
                <c:pt idx="4">
                  <c:v>44.07</c:v>
                </c:pt>
              </c:numCache>
            </c:numRef>
          </c:val>
        </c:ser>
        <c:dLbls>
          <c:showPercent val="1"/>
        </c:dLbls>
      </c:pie3DChart>
    </c:plotArea>
    <c:legend>
      <c:legendPos val="t"/>
      <c:layout>
        <c:manualLayout>
          <c:xMode val="edge"/>
          <c:yMode val="edge"/>
          <c:x val="0.15751512831729575"/>
          <c:y val="0.89841269841269433"/>
          <c:w val="0.74076255916366318"/>
          <c:h val="7.5949605705488699E-2"/>
        </c:manualLayout>
      </c:layout>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EF880-C6DC-4CE4-A160-F5FF90BFB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16</cp:revision>
  <cp:lastPrinted>2013-09-13T09:25:00Z</cp:lastPrinted>
  <dcterms:created xsi:type="dcterms:W3CDTF">2013-11-01T07:58:00Z</dcterms:created>
  <dcterms:modified xsi:type="dcterms:W3CDTF">2013-11-08T10:03:00Z</dcterms:modified>
</cp:coreProperties>
</file>