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B97697"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34" type="#_x0000_t202" style="position:absolute;left:0;text-align:left;margin-left:456.65pt;margin-top:41.1pt;width:117.3pt;height:23.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3B0B13" w:rsidRPr="00EE31AB" w:rsidRDefault="003B0B13"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33" type="#_x0000_t202" style="position:absolute;left:0;text-align:left;margin-left:15.3pt;margin-top:49.15pt;width:409.2pt;height:2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3B0B13" w:rsidRPr="00AE6908" w:rsidRDefault="003B0B13">
                  <w:pPr>
                    <w:rPr>
                      <w:rFonts w:ascii="楷体_GB2312"/>
                      <w:b/>
                      <w:sz w:val="30"/>
                      <w:szCs w:val="30"/>
                    </w:rPr>
                  </w:pPr>
                  <w:r w:rsidRPr="00466BE1">
                    <w:rPr>
                      <w:rFonts w:ascii="楷体_GB2312" w:hint="eastAsia"/>
                      <w:b/>
                      <w:sz w:val="30"/>
                      <w:szCs w:val="30"/>
                    </w:rPr>
                    <w:t>2</w:t>
                  </w:r>
                  <w:r>
                    <w:rPr>
                      <w:rFonts w:ascii="楷体_GB2312" w:hint="eastAsia"/>
                      <w:b/>
                      <w:sz w:val="30"/>
                      <w:szCs w:val="30"/>
                    </w:rPr>
                    <w:t>01</w:t>
                  </w:r>
                  <w:r w:rsidR="00D81CCE">
                    <w:rPr>
                      <w:rFonts w:ascii="楷体_GB2312" w:hint="eastAsia"/>
                      <w:b/>
                      <w:sz w:val="30"/>
                      <w:szCs w:val="30"/>
                    </w:rPr>
                    <w:t>6</w:t>
                  </w:r>
                  <w:r>
                    <w:rPr>
                      <w:rFonts w:ascii="楷体_GB2312" w:hint="eastAsia"/>
                      <w:b/>
                      <w:sz w:val="30"/>
                      <w:szCs w:val="30"/>
                    </w:rPr>
                    <w:t>年二季度</w:t>
                  </w:r>
                  <w:r w:rsidRPr="00466BE1">
                    <w:rPr>
                      <w:rFonts w:ascii="楷体_GB2312" w:hint="eastAsia"/>
                      <w:b/>
                      <w:sz w:val="30"/>
                      <w:szCs w:val="30"/>
                    </w:rPr>
                    <w:t>私募基金投资策略报告</w:t>
                  </w:r>
                </w:p>
              </w:txbxContent>
            </v:textbox>
            <w10:wrap anchorx="page" anchory="page"/>
          </v:shape>
        </w:pict>
      </w:r>
      <w:r>
        <w:rPr>
          <w:noProof/>
        </w:rPr>
        <w:pict>
          <v:shape id="Text Box 335" o:spid="_x0000_s1032" type="#_x0000_t202" style="position:absolute;left:0;text-align:left;margin-left:15.3pt;margin-top:15.6pt;width:370.25pt;height:21.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0" w:name="reportDate"/>
                <w:p w:rsidR="003B0B13" w:rsidRDefault="00B97697" w:rsidP="00832F33">
                  <w:pPr>
                    <w:jc w:val="left"/>
                  </w:pPr>
                  <w:sdt>
                    <w:sdtPr>
                      <w:rPr>
                        <w:rFonts w:eastAsia="黑体" w:cs="Arial" w:hint="eastAsia"/>
                        <w:b/>
                        <w:sz w:val="21"/>
                        <w:szCs w:val="21"/>
                      </w:rPr>
                      <w:alias w:val="报告日期"/>
                      <w:tag w:val="BDCONTENTCONTROL_5c179c93-3177-4ab7-ae62-1dc3677fa3d8"/>
                      <w:id w:val="3936421"/>
                      <w:placeholder>
                        <w:docPart w:val="AFE9B3C153714B868DB9765424937AED"/>
                      </w:placeholder>
                      <w:text/>
                    </w:sdtPr>
                    <w:sdtEndPr/>
                    <w:sdtContent>
                      <w:r w:rsidR="008A1136">
                        <w:rPr>
                          <w:rFonts w:eastAsia="黑体" w:cs="Arial" w:hint="eastAsia"/>
                          <w:b/>
                          <w:sz w:val="21"/>
                          <w:szCs w:val="21"/>
                        </w:rPr>
                        <w:t>2016</w:t>
                      </w:r>
                      <w:r w:rsidR="008A1136">
                        <w:rPr>
                          <w:rFonts w:eastAsia="黑体" w:cs="Arial" w:hint="eastAsia"/>
                          <w:b/>
                          <w:sz w:val="21"/>
                          <w:szCs w:val="21"/>
                        </w:rPr>
                        <w:t>年</w:t>
                      </w:r>
                      <w:r w:rsidR="008A1136">
                        <w:rPr>
                          <w:rFonts w:eastAsia="黑体" w:cs="Arial" w:hint="eastAsia"/>
                          <w:b/>
                          <w:sz w:val="21"/>
                          <w:szCs w:val="21"/>
                        </w:rPr>
                        <w:t>04</w:t>
                      </w:r>
                      <w:r w:rsidR="008A1136">
                        <w:rPr>
                          <w:rFonts w:eastAsia="黑体" w:cs="Arial" w:hint="eastAsia"/>
                          <w:b/>
                          <w:sz w:val="21"/>
                          <w:szCs w:val="21"/>
                        </w:rPr>
                        <w:t>月</w:t>
                      </w:r>
                      <w:r w:rsidR="008A1136">
                        <w:rPr>
                          <w:rFonts w:eastAsia="黑体" w:cs="Arial" w:hint="eastAsia"/>
                          <w:b/>
                          <w:sz w:val="21"/>
                          <w:szCs w:val="21"/>
                        </w:rPr>
                        <w:t>29</w:t>
                      </w:r>
                      <w:r w:rsidR="008A1136">
                        <w:rPr>
                          <w:rFonts w:eastAsia="黑体" w:cs="Arial" w:hint="eastAsia"/>
                          <w:b/>
                          <w:sz w:val="21"/>
                          <w:szCs w:val="21"/>
                        </w:rPr>
                        <w:t>日</w:t>
                      </w:r>
                    </w:sdtContent>
                  </w:sdt>
                  <w:bookmarkEnd w:id="0"/>
                </w:p>
              </w:txbxContent>
            </v:textbox>
            <w10:wrap anchorx="page" anchory="page"/>
          </v:shape>
        </w:pict>
      </w:r>
      <w:r>
        <w:rPr>
          <w:noProof/>
        </w:rPr>
        <w:pict>
          <v:rect id="Rectangle 406" o:spid="_x0000_s1031" style="position:absolute;left:0;text-align:left;margin-left:416.25pt;margin-top:-30.75pt;width:124.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3B0B13" w:rsidRPr="00EC07DB" w:rsidRDefault="003B0B13" w:rsidP="00865BF6">
                  <w:pPr>
                    <w:jc w:val="right"/>
                    <w:rPr>
                      <w:sz w:val="15"/>
                      <w:szCs w:val="15"/>
                    </w:rPr>
                  </w:pPr>
                </w:p>
              </w:txbxContent>
            </v:textbox>
            <w10:anchorlock/>
          </v:rect>
        </w:pict>
      </w:r>
      <w:r>
        <w:rPr>
          <w:noProof/>
        </w:rPr>
        <w:pict>
          <v:shape id="Text Box 405" o:spid="_x0000_s1030" type="#_x0000_t202" style="position:absolute;left:0;text-align:left;margin-left:414.3pt;margin-top:15.6pt;width:128.45pt;height:34.3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3B0B13" w:rsidRPr="00E17DD1" w:rsidRDefault="003B0B13"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29" style="position:absolute;left:0;text-align:left;margin-left:299.1pt;margin-top:12.75pt;width:86.55pt;height:25.6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3B0B13" w:rsidRPr="00FE4B43" w:rsidRDefault="003B0B13" w:rsidP="006449BF">
                  <w:pPr>
                    <w:rPr>
                      <w:b/>
                      <w:sz w:val="24"/>
                      <w:szCs w:val="24"/>
                    </w:rPr>
                  </w:pPr>
                  <w:bookmarkStart w:id="1" w:name="lastInvestSuggestion"/>
                  <w:r>
                    <w:rPr>
                      <w:rFonts w:hint="eastAsia"/>
                      <w:b/>
                      <w:sz w:val="24"/>
                      <w:szCs w:val="24"/>
                    </w:rPr>
                    <w:t>买入</w:t>
                  </w:r>
                  <w:bookmarkEnd w:id="1"/>
                </w:p>
              </w:txbxContent>
            </v:textbox>
          </v:rect>
        </w:pict>
      </w:r>
    </w:p>
    <w:p w:rsidR="0090542D" w:rsidRDefault="00B97697">
      <w:pPr>
        <w:jc w:val="right"/>
        <w:rPr>
          <w:rFonts w:eastAsia="黑体" w:cs="Arial"/>
          <w:sz w:val="30"/>
          <w:szCs w:val="52"/>
        </w:rPr>
      </w:pPr>
      <w:r>
        <w:rPr>
          <w:noProof/>
        </w:rPr>
        <w:pict>
          <v:shape id="Text Box 338" o:spid="_x0000_s1028" type="#_x0000_t202" style="position:absolute;left:0;text-align:left;margin-left:341.25pt;margin-top:98.35pt;width:228.75pt;height:22.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3B0B13" w:rsidRDefault="00B97697" w:rsidP="00F30157">
                  <w:pPr>
                    <w:jc w:val="right"/>
                  </w:pPr>
                  <w:sdt>
                    <w:sdtPr>
                      <w:rPr>
                        <w:rFonts w:hint="eastAsia"/>
                        <w:b/>
                        <w:sz w:val="24"/>
                        <w:szCs w:val="24"/>
                      </w:rPr>
                      <w:alias w:val="报告类型"/>
                      <w:tag w:val="BDCONTENTCONTROL_84bd61de-94b7-4c7c-8f81-60dfebe1887e"/>
                      <w:id w:val="1634203798"/>
                      <w:text/>
                    </w:sdtPr>
                    <w:sdtEndPr/>
                    <w:sdtContent>
                      <w:r w:rsidR="008A1136">
                        <w:rPr>
                          <w:rFonts w:hint="eastAsia"/>
                          <w:b/>
                          <w:sz w:val="24"/>
                          <w:szCs w:val="24"/>
                        </w:rPr>
                        <w:t>私募基金投资策略报告</w:t>
                      </w:r>
                    </w:sdtContent>
                  </w:sdt>
                </w:p>
              </w:txbxContent>
            </v:textbox>
            <w10:wrap anchorx="page" anchory="page"/>
          </v:shape>
        </w:pict>
      </w:r>
    </w:p>
    <w:p w:rsidR="0090542D" w:rsidRDefault="00B97697">
      <w:pPr>
        <w:jc w:val="right"/>
        <w:rPr>
          <w:rFonts w:eastAsia="黑体" w:cs="Arial"/>
          <w:sz w:val="30"/>
          <w:szCs w:val="52"/>
        </w:rPr>
      </w:pPr>
      <w:r>
        <w:rPr>
          <w:noProof/>
        </w:rPr>
        <w:pict>
          <v:line id="Line 335" o:spid="_x0000_s1027"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0E6AE0" w:rsidRPr="00F224E2" w:rsidRDefault="000E6AE0" w:rsidP="000E6AE0">
            <w:pPr>
              <w:ind w:rightChars="300" w:right="540"/>
              <w:rPr>
                <w:rFonts w:cs="Arial"/>
                <w:b/>
                <w:bCs/>
                <w:sz w:val="21"/>
              </w:rPr>
            </w:pPr>
          </w:p>
          <w:p w:rsidR="000E6AE0" w:rsidRDefault="000E6AE0" w:rsidP="000F5713">
            <w:pPr>
              <w:pStyle w:val="a6"/>
              <w:widowControl/>
              <w:pBdr>
                <w:bottom w:val="none" w:sz="0" w:space="0" w:color="auto"/>
              </w:pBdr>
              <w:tabs>
                <w:tab w:val="clear" w:pos="4153"/>
                <w:tab w:val="clear" w:pos="8306"/>
              </w:tabs>
              <w:snapToGrid/>
              <w:ind w:left="420" w:rightChars="300" w:right="540" w:firstLineChars="1150" w:firstLine="2415"/>
              <w:jc w:val="both"/>
              <w:rPr>
                <w:sz w:val="21"/>
              </w:rPr>
            </w:pPr>
          </w:p>
          <w:p w:rsidR="000F5713" w:rsidRDefault="000F5713" w:rsidP="000F5713">
            <w:pPr>
              <w:pStyle w:val="a6"/>
              <w:widowControl/>
              <w:pBdr>
                <w:bottom w:val="none" w:sz="0" w:space="0" w:color="auto"/>
              </w:pBdr>
              <w:tabs>
                <w:tab w:val="clear" w:pos="4153"/>
                <w:tab w:val="clear" w:pos="8306"/>
              </w:tabs>
              <w:snapToGrid/>
              <w:ind w:left="420" w:rightChars="300" w:right="540" w:firstLineChars="1150" w:firstLine="2415"/>
              <w:jc w:val="both"/>
              <w:rPr>
                <w:sz w:val="21"/>
              </w:rPr>
            </w:pPr>
          </w:p>
          <w:p w:rsidR="000F5713" w:rsidRDefault="000F5713" w:rsidP="000F5713">
            <w:pPr>
              <w:pStyle w:val="a6"/>
              <w:widowControl/>
              <w:pBdr>
                <w:bottom w:val="none" w:sz="0" w:space="0" w:color="auto"/>
              </w:pBdr>
              <w:tabs>
                <w:tab w:val="clear" w:pos="4153"/>
                <w:tab w:val="clear" w:pos="8306"/>
              </w:tabs>
              <w:snapToGrid/>
              <w:ind w:left="420" w:rightChars="300" w:right="540" w:firstLineChars="1150" w:firstLine="2415"/>
              <w:jc w:val="both"/>
              <w:rPr>
                <w:sz w:val="21"/>
              </w:rPr>
            </w:pPr>
          </w:p>
          <w:p w:rsidR="000F5713" w:rsidRPr="00F224E2" w:rsidRDefault="000F5713" w:rsidP="000F5713">
            <w:pPr>
              <w:pStyle w:val="a6"/>
              <w:widowControl/>
              <w:pBdr>
                <w:bottom w:val="none" w:sz="0" w:space="0" w:color="auto"/>
              </w:pBdr>
              <w:tabs>
                <w:tab w:val="clear" w:pos="4153"/>
                <w:tab w:val="clear" w:pos="8306"/>
              </w:tabs>
              <w:snapToGrid/>
              <w:ind w:left="420" w:rightChars="300" w:right="540" w:firstLineChars="1150" w:firstLine="2415"/>
              <w:jc w:val="both"/>
              <w:rPr>
                <w:sz w:val="21"/>
              </w:rPr>
            </w:pPr>
          </w:p>
          <w:p w:rsidR="000E6AE0" w:rsidRPr="00F224E2" w:rsidRDefault="000E6AE0" w:rsidP="000F5713">
            <w:pPr>
              <w:pStyle w:val="a6"/>
              <w:widowControl/>
              <w:pBdr>
                <w:bottom w:val="none" w:sz="0" w:space="0" w:color="auto"/>
              </w:pBdr>
              <w:tabs>
                <w:tab w:val="clear" w:pos="4153"/>
                <w:tab w:val="clear" w:pos="8306"/>
              </w:tabs>
              <w:snapToGrid/>
              <w:ind w:left="420" w:rightChars="300" w:right="540"/>
              <w:jc w:val="both"/>
              <w:rPr>
                <w:sz w:val="21"/>
              </w:rPr>
            </w:pPr>
            <w:bookmarkStart w:id="2" w:name="_GoBack"/>
            <w:bookmarkEnd w:id="2"/>
          </w:p>
          <w:p w:rsidR="000E6AE0" w:rsidRDefault="000E6AE0" w:rsidP="000F5713">
            <w:pPr>
              <w:pStyle w:val="a6"/>
              <w:widowControl/>
              <w:pBdr>
                <w:bottom w:val="none" w:sz="0" w:space="0" w:color="auto"/>
              </w:pBdr>
              <w:tabs>
                <w:tab w:val="clear" w:pos="4153"/>
                <w:tab w:val="clear" w:pos="8306"/>
              </w:tabs>
              <w:snapToGrid/>
              <w:ind w:left="420" w:rightChars="300" w:right="540"/>
              <w:jc w:val="both"/>
              <w:rPr>
                <w:sz w:val="21"/>
              </w:rPr>
            </w:pPr>
          </w:p>
          <w:p w:rsidR="000F5713" w:rsidRDefault="000F5713" w:rsidP="000F5713">
            <w:pPr>
              <w:pStyle w:val="a6"/>
              <w:widowControl/>
              <w:pBdr>
                <w:bottom w:val="none" w:sz="0" w:space="0" w:color="auto"/>
              </w:pBdr>
              <w:tabs>
                <w:tab w:val="clear" w:pos="4153"/>
                <w:tab w:val="clear" w:pos="8306"/>
              </w:tabs>
              <w:snapToGrid/>
              <w:ind w:left="420" w:rightChars="300" w:right="540"/>
              <w:jc w:val="both"/>
              <w:rPr>
                <w:sz w:val="21"/>
              </w:rPr>
            </w:pPr>
          </w:p>
          <w:p w:rsidR="000F5713" w:rsidRDefault="000F5713" w:rsidP="000F5713">
            <w:pPr>
              <w:pStyle w:val="a6"/>
              <w:widowControl/>
              <w:pBdr>
                <w:bottom w:val="none" w:sz="0" w:space="0" w:color="auto"/>
              </w:pBdr>
              <w:tabs>
                <w:tab w:val="clear" w:pos="4153"/>
                <w:tab w:val="clear" w:pos="8306"/>
              </w:tabs>
              <w:snapToGrid/>
              <w:ind w:left="420" w:rightChars="300" w:right="540"/>
              <w:jc w:val="both"/>
              <w:rPr>
                <w:sz w:val="21"/>
              </w:rPr>
            </w:pPr>
          </w:p>
          <w:p w:rsidR="000F5713" w:rsidRPr="00F224E2" w:rsidRDefault="000F5713" w:rsidP="000F5713">
            <w:pPr>
              <w:pStyle w:val="a6"/>
              <w:widowControl/>
              <w:pBdr>
                <w:bottom w:val="none" w:sz="0" w:space="0" w:color="auto"/>
              </w:pBdr>
              <w:tabs>
                <w:tab w:val="clear" w:pos="4153"/>
                <w:tab w:val="clear" w:pos="8306"/>
              </w:tabs>
              <w:snapToGrid/>
              <w:ind w:left="420" w:rightChars="300" w:right="540"/>
              <w:jc w:val="both"/>
              <w:rPr>
                <w:sz w:val="21"/>
              </w:rPr>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4B281C80B90642189926D37E5CDABAE1"/>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B97697"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3AC7F8694A5A4ACB911D31684A77082F"/>
                    </w:placeholder>
                  </w:sdtPr>
                  <w:sdtEndPr/>
                  <w:sdtContent>
                    <w:p w:rsidR="00B632AD" w:rsidRPr="00B632AD" w:rsidRDefault="00B632AD" w:rsidP="00B632AD">
                      <w:pPr>
                        <w:spacing w:line="14" w:lineRule="exact"/>
                      </w:pPr>
                    </w:p>
                    <w:tbl>
                      <w:tblPr>
                        <w:tblW w:w="5084" w:type="pct"/>
                        <w:tblLayout w:type="fixed"/>
                        <w:tblCellMar>
                          <w:left w:w="0" w:type="dxa"/>
                          <w:right w:w="0" w:type="dxa"/>
                        </w:tblCellMar>
                        <w:tblLook w:val="0000" w:firstRow="0" w:lastRow="0" w:firstColumn="0" w:lastColumn="0" w:noHBand="0" w:noVBand="0"/>
                      </w:tblPr>
                      <w:tblGrid>
                        <w:gridCol w:w="850"/>
                        <w:gridCol w:w="2608"/>
                      </w:tblGrid>
                      <w:tr w:rsidR="00626F55" w:rsidTr="00A50B9B">
                        <w:trPr>
                          <w:trHeight w:val="567"/>
                        </w:trPr>
                        <w:tc>
                          <w:tcPr>
                            <w:tcW w:w="1229" w:type="pct"/>
                            <w:tcMar>
                              <w:left w:w="0" w:type="dxa"/>
                              <w:right w:w="28" w:type="dxa"/>
                            </w:tcMar>
                          </w:tcPr>
                          <w:p w:rsidR="00626F55" w:rsidRDefault="008A1136" w:rsidP="004E627E">
                            <w:pPr>
                              <w:pStyle w:val="GJReportFirPageAuthorName"/>
                            </w:pPr>
                            <w:r>
                              <w:rPr>
                                <w:rFonts w:hint="eastAsia"/>
                              </w:rPr>
                              <w:t>张慧</w:t>
                            </w:r>
                          </w:p>
                        </w:tc>
                        <w:tc>
                          <w:tcPr>
                            <w:tcW w:w="3771" w:type="pct"/>
                            <w:tcMar>
                              <w:left w:w="0" w:type="dxa"/>
                              <w:right w:w="28" w:type="dxa"/>
                            </w:tcMar>
                          </w:tcPr>
                          <w:p w:rsidR="00626F55" w:rsidRPr="00EE0794" w:rsidRDefault="00626F55" w:rsidP="008A1136">
                            <w:pPr>
                              <w:pStyle w:val="GJReportFirPageAuthorEmail"/>
                            </w:pPr>
                          </w:p>
                        </w:tc>
                      </w:tr>
                    </w:tbl>
                    <w:p w:rsidR="00B632AD" w:rsidRPr="006E3D11" w:rsidRDefault="00B97697" w:rsidP="008A1136">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3AC7F8694A5A4ACB911D31684A77082F"/>
              </w:placeholder>
            </w:sdtPr>
            <w:sdtEndPr/>
            <w:sdtContent>
              <w:p w:rsidR="00962AD2" w:rsidRDefault="002C3CFC" w:rsidP="00AA352E">
                <w:pPr>
                  <w:ind w:rightChars="13" w:right="23"/>
                  <w:jc w:val="center"/>
                  <w:rPr>
                    <w:rFonts w:ascii="楷体_GB2312"/>
                    <w:b/>
                    <w:bCs/>
                    <w:sz w:val="36"/>
                    <w:szCs w:val="36"/>
                  </w:rPr>
                </w:pPr>
                <w:r>
                  <w:rPr>
                    <w:rFonts w:ascii="楷体_GB2312" w:hint="eastAsia"/>
                    <w:b/>
                    <w:bCs/>
                    <w:sz w:val="36"/>
                    <w:szCs w:val="36"/>
                  </w:rPr>
                  <w:t>扰动因素贯穿</w:t>
                </w:r>
                <w:r w:rsidR="00466BE1">
                  <w:rPr>
                    <w:rFonts w:ascii="楷体_GB2312" w:hint="eastAsia"/>
                    <w:b/>
                    <w:bCs/>
                    <w:sz w:val="36"/>
                    <w:szCs w:val="36"/>
                  </w:rPr>
                  <w:t>，</w:t>
                </w:r>
                <w:r w:rsidR="00A532CD">
                  <w:rPr>
                    <w:rFonts w:ascii="楷体_GB2312" w:hint="eastAsia"/>
                    <w:b/>
                    <w:bCs/>
                    <w:sz w:val="36"/>
                    <w:szCs w:val="36"/>
                  </w:rPr>
                  <w:t>防范波动适度积极</w:t>
                </w:r>
                <w:r w:rsidR="00D81CCE">
                  <w:rPr>
                    <w:rFonts w:ascii="楷体_GB2312" w:hint="eastAsia"/>
                    <w:b/>
                    <w:bCs/>
                    <w:sz w:val="36"/>
                    <w:szCs w:val="36"/>
                  </w:rPr>
                  <w:t xml:space="preserve"> </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3AC7F8694A5A4ACB911D31684A77082F"/>
              </w:placeholder>
            </w:sdtPr>
            <w:sdtEndPr>
              <w:rPr>
                <w:rFonts w:cs="Times New Roman"/>
                <w:b w:val="0"/>
                <w:sz w:val="21"/>
                <w:szCs w:val="21"/>
              </w:rPr>
            </w:sdtEndPr>
            <w:sdtContent>
              <w:p w:rsidR="000E6AE0" w:rsidRPr="00346E26" w:rsidRDefault="000E6AE0" w:rsidP="000E6AE0">
                <w:pPr>
                  <w:pStyle w:val="a0"/>
                  <w:spacing w:line="240" w:lineRule="auto"/>
                  <w:ind w:left="0" w:rightChars="12" w:right="22"/>
                  <w:jc w:val="left"/>
                  <w:rPr>
                    <w:b/>
                    <w:bCs/>
                    <w:color w:val="auto"/>
                    <w:sz w:val="24"/>
                  </w:rPr>
                </w:pPr>
                <w:r w:rsidRPr="00346E26">
                  <w:rPr>
                    <w:b/>
                    <w:bCs/>
                    <w:color w:val="auto"/>
                    <w:sz w:val="24"/>
                  </w:rPr>
                  <w:t>基本结论</w:t>
                </w:r>
              </w:p>
              <w:p w:rsidR="00122D87" w:rsidRPr="00122D87" w:rsidRDefault="00122D87" w:rsidP="00CD61C5">
                <w:pPr>
                  <w:pStyle w:val="a0"/>
                  <w:widowControl/>
                  <w:numPr>
                    <w:ilvl w:val="0"/>
                    <w:numId w:val="33"/>
                  </w:numPr>
                  <w:ind w:rightChars="12" w:right="22"/>
                  <w:jc w:val="left"/>
                  <w:rPr>
                    <w:color w:val="auto"/>
                  </w:rPr>
                </w:pPr>
                <w:r w:rsidRPr="00122D87">
                  <w:rPr>
                    <w:rFonts w:hint="eastAsia"/>
                    <w:color w:val="auto"/>
                  </w:rPr>
                  <w:t>最新公布的经济数据短期内提升了市场信心，</w:t>
                </w:r>
                <w:r w:rsidR="008C5B52">
                  <w:rPr>
                    <w:rFonts w:hint="eastAsia"/>
                    <w:color w:val="auto"/>
                  </w:rPr>
                  <w:t>但整体</w:t>
                </w:r>
                <w:r w:rsidRPr="00122D87">
                  <w:rPr>
                    <w:rFonts w:hint="eastAsia"/>
                    <w:color w:val="auto"/>
                  </w:rPr>
                  <w:t>复苏的持续性还有待甄别。</w:t>
                </w:r>
                <w:r>
                  <w:rPr>
                    <w:rFonts w:hint="eastAsia"/>
                    <w:color w:val="auto"/>
                  </w:rPr>
                  <w:t>二季度</w:t>
                </w:r>
                <w:r w:rsidRPr="00122D87">
                  <w:rPr>
                    <w:rFonts w:hint="eastAsia"/>
                    <w:color w:val="auto"/>
                  </w:rPr>
                  <w:t>扰动因素的伴随</w:t>
                </w:r>
                <w:r>
                  <w:rPr>
                    <w:rFonts w:hint="eastAsia"/>
                    <w:color w:val="auto"/>
                  </w:rPr>
                  <w:t>将使得</w:t>
                </w:r>
                <w:r w:rsidRPr="00122D87">
                  <w:rPr>
                    <w:rFonts w:hint="eastAsia"/>
                    <w:color w:val="auto"/>
                  </w:rPr>
                  <w:t>震荡波动</w:t>
                </w:r>
                <w:r>
                  <w:rPr>
                    <w:rFonts w:hint="eastAsia"/>
                    <w:color w:val="auto"/>
                  </w:rPr>
                  <w:t>成为</w:t>
                </w:r>
                <w:r w:rsidRPr="00122D87">
                  <w:rPr>
                    <w:rFonts w:hint="eastAsia"/>
                    <w:color w:val="auto"/>
                  </w:rPr>
                  <w:t>大概率事件，短期内在政策</w:t>
                </w:r>
                <w:r w:rsidR="008C5B52">
                  <w:rPr>
                    <w:rFonts w:hint="eastAsia"/>
                    <w:color w:val="auto"/>
                  </w:rPr>
                  <w:t>的</w:t>
                </w:r>
                <w:r w:rsidRPr="00122D87">
                  <w:rPr>
                    <w:rFonts w:hint="eastAsia"/>
                    <w:color w:val="auto"/>
                  </w:rPr>
                  <w:t>呵护</w:t>
                </w:r>
                <w:r w:rsidR="008C5B52">
                  <w:rPr>
                    <w:rFonts w:hint="eastAsia"/>
                    <w:color w:val="auto"/>
                  </w:rPr>
                  <w:t>下，</w:t>
                </w:r>
                <w:r w:rsidR="00832C42">
                  <w:rPr>
                    <w:rFonts w:hint="eastAsia"/>
                    <w:color w:val="auto"/>
                  </w:rPr>
                  <w:t>投资</w:t>
                </w:r>
                <w:r w:rsidRPr="00122D87">
                  <w:rPr>
                    <w:rFonts w:hint="eastAsia"/>
                    <w:color w:val="auto"/>
                  </w:rPr>
                  <w:t>机会依旧有望延续，只是空间</w:t>
                </w:r>
                <w:r w:rsidR="008C5B52">
                  <w:rPr>
                    <w:rFonts w:hint="eastAsia"/>
                    <w:color w:val="auto"/>
                  </w:rPr>
                  <w:t>有限</w:t>
                </w:r>
                <w:r w:rsidRPr="00122D87">
                  <w:rPr>
                    <w:rFonts w:hint="eastAsia"/>
                    <w:color w:val="auto"/>
                  </w:rPr>
                  <w:t>。落实到阳光私募基金的投资上，我们建议</w:t>
                </w:r>
                <w:r w:rsidR="008C5B52">
                  <w:rPr>
                    <w:rFonts w:hint="eastAsia"/>
                    <w:color w:val="auto"/>
                  </w:rPr>
                  <w:t>投资者应</w:t>
                </w:r>
                <w:r w:rsidRPr="00122D87">
                  <w:rPr>
                    <w:rFonts w:hint="eastAsia"/>
                    <w:color w:val="auto"/>
                  </w:rPr>
                  <w:t>继续</w:t>
                </w:r>
                <w:r w:rsidR="008C5B52">
                  <w:rPr>
                    <w:rFonts w:hint="eastAsia"/>
                    <w:color w:val="auto"/>
                  </w:rPr>
                  <w:t>将</w:t>
                </w:r>
                <w:r w:rsidRPr="00122D87">
                  <w:rPr>
                    <w:rFonts w:hint="eastAsia"/>
                    <w:color w:val="auto"/>
                  </w:rPr>
                  <w:t>防范市场波动</w:t>
                </w:r>
                <w:r w:rsidR="008C5B52">
                  <w:rPr>
                    <w:rFonts w:hint="eastAsia"/>
                    <w:color w:val="auto"/>
                  </w:rPr>
                  <w:t>作为第一要务</w:t>
                </w:r>
                <w:r w:rsidRPr="00122D87">
                  <w:rPr>
                    <w:rFonts w:hint="eastAsia"/>
                    <w:color w:val="auto"/>
                  </w:rPr>
                  <w:t>，在此基础上适度提高组合的积极性。在机会的把握方面，</w:t>
                </w:r>
                <w:r w:rsidR="008C5B52">
                  <w:rPr>
                    <w:rFonts w:hint="eastAsia"/>
                    <w:color w:val="auto"/>
                  </w:rPr>
                  <w:t>对于</w:t>
                </w:r>
                <w:r w:rsidRPr="00122D87">
                  <w:rPr>
                    <w:rFonts w:hint="eastAsia"/>
                    <w:color w:val="auto"/>
                  </w:rPr>
                  <w:t>A</w:t>
                </w:r>
                <w:r w:rsidRPr="00122D87">
                  <w:rPr>
                    <w:rFonts w:hint="eastAsia"/>
                    <w:color w:val="auto"/>
                  </w:rPr>
                  <w:t>股市场短期的反</w:t>
                </w:r>
                <w:r>
                  <w:rPr>
                    <w:rFonts w:hint="eastAsia"/>
                    <w:color w:val="auto"/>
                  </w:rPr>
                  <w:t>弹窗口，可通过</w:t>
                </w:r>
                <w:r w:rsidR="007F0F09">
                  <w:rPr>
                    <w:rFonts w:hint="eastAsia"/>
                    <w:color w:val="auto"/>
                  </w:rPr>
                  <w:t>股票</w:t>
                </w:r>
                <w:r>
                  <w:rPr>
                    <w:rFonts w:hint="eastAsia"/>
                    <w:color w:val="auto"/>
                  </w:rPr>
                  <w:t>多头策略适度把握，但</w:t>
                </w:r>
                <w:r w:rsidRPr="00122D87">
                  <w:rPr>
                    <w:rFonts w:hint="eastAsia"/>
                    <w:color w:val="auto"/>
                  </w:rPr>
                  <w:t>不可全面激进；同时</w:t>
                </w:r>
                <w:r w:rsidR="008C5B52">
                  <w:rPr>
                    <w:rFonts w:hint="eastAsia"/>
                    <w:color w:val="auto"/>
                  </w:rPr>
                  <w:t>搭配管理期货策略</w:t>
                </w:r>
                <w:r w:rsidRPr="00122D87">
                  <w:rPr>
                    <w:rFonts w:hint="eastAsia"/>
                    <w:color w:val="auto"/>
                  </w:rPr>
                  <w:t>，获取期货市场趋势波段机会；对于债券市场，从基本面、资金面和违约情况来看，</w:t>
                </w:r>
                <w:r>
                  <w:rPr>
                    <w:rFonts w:hint="eastAsia"/>
                    <w:color w:val="auto"/>
                  </w:rPr>
                  <w:t>建议</w:t>
                </w:r>
                <w:r w:rsidRPr="00122D87">
                  <w:rPr>
                    <w:rFonts w:hint="eastAsia"/>
                    <w:color w:val="auto"/>
                  </w:rPr>
                  <w:t>短期回避。在控制波动风险方面，我们主张主动平衡风险，即通过多策略多市场的方式中和不同类型产品之间不同节奏的波动。既关注市场中性策略、相对价值套利策略的防御属性，积累组合的稳健收益，同时又通过搭配股票多头策略、管理期货策略品种，在把握</w:t>
                </w:r>
                <w:r w:rsidRPr="00122D87">
                  <w:rPr>
                    <w:rFonts w:hint="eastAsia"/>
                    <w:color w:val="auto"/>
                  </w:rPr>
                  <w:t>A</w:t>
                </w:r>
                <w:r w:rsidRPr="00122D87">
                  <w:rPr>
                    <w:rFonts w:hint="eastAsia"/>
                    <w:color w:val="auto"/>
                  </w:rPr>
                  <w:t>股市</w:t>
                </w:r>
                <w:proofErr w:type="gramStart"/>
                <w:r w:rsidRPr="00122D87">
                  <w:rPr>
                    <w:rFonts w:hint="eastAsia"/>
                    <w:color w:val="auto"/>
                  </w:rPr>
                  <w:t>场反弹</w:t>
                </w:r>
                <w:proofErr w:type="gramEnd"/>
                <w:r w:rsidRPr="00122D87">
                  <w:rPr>
                    <w:rFonts w:hint="eastAsia"/>
                    <w:color w:val="auto"/>
                  </w:rPr>
                  <w:t>机会以及期货市场的趋势波动机会的同时，利用多样化手段分散组合总体风险。</w:t>
                </w:r>
                <w:r w:rsidR="00404657">
                  <w:rPr>
                    <w:rFonts w:hint="eastAsia"/>
                    <w:color w:val="auto"/>
                  </w:rPr>
                  <w:t xml:space="preserve"> </w:t>
                </w:r>
              </w:p>
              <w:p w:rsidR="00122D87" w:rsidRPr="00122D87" w:rsidRDefault="008E4AD6" w:rsidP="00122D87">
                <w:pPr>
                  <w:pStyle w:val="a0"/>
                  <w:widowControl/>
                  <w:numPr>
                    <w:ilvl w:val="0"/>
                    <w:numId w:val="33"/>
                  </w:numPr>
                  <w:ind w:rightChars="12" w:right="22"/>
                  <w:jc w:val="left"/>
                  <w:rPr>
                    <w:color w:val="auto"/>
                  </w:rPr>
                </w:pPr>
                <w:r>
                  <w:rPr>
                    <w:rFonts w:hint="eastAsia"/>
                    <w:b/>
                    <w:color w:val="auto"/>
                  </w:rPr>
                  <w:t>偏高风险策略私募基金</w:t>
                </w:r>
              </w:p>
              <w:p w:rsidR="00872CFF" w:rsidRPr="00872CFF" w:rsidRDefault="00122D87" w:rsidP="00132F26">
                <w:pPr>
                  <w:pStyle w:val="a0"/>
                  <w:widowControl/>
                  <w:numPr>
                    <w:ilvl w:val="0"/>
                    <w:numId w:val="33"/>
                  </w:numPr>
                  <w:ind w:rightChars="12" w:right="22"/>
                  <w:jc w:val="left"/>
                  <w:rPr>
                    <w:b/>
                    <w:bCs/>
                    <w:color w:val="auto"/>
                    <w:sz w:val="24"/>
                  </w:rPr>
                </w:pPr>
                <w:r w:rsidRPr="00122D87">
                  <w:rPr>
                    <w:rFonts w:hint="eastAsia"/>
                    <w:b/>
                    <w:color w:val="auto"/>
                  </w:rPr>
                  <w:t>股票多头策略：不忘潜在风险，暖风下适度积极。</w:t>
                </w:r>
                <w:r w:rsidRPr="00122D87">
                  <w:rPr>
                    <w:rFonts w:hint="eastAsia"/>
                    <w:color w:val="auto"/>
                  </w:rPr>
                  <w:t>在二季度反弹的窗口期，可考虑适度提高组合</w:t>
                </w:r>
                <w:r>
                  <w:rPr>
                    <w:rFonts w:hint="eastAsia"/>
                    <w:color w:val="auto"/>
                  </w:rPr>
                  <w:t>中</w:t>
                </w:r>
                <w:r w:rsidRPr="00122D87">
                  <w:rPr>
                    <w:rFonts w:hint="eastAsia"/>
                    <w:color w:val="auto"/>
                  </w:rPr>
                  <w:t>股票多头策略的积极程度，但由于美联储</w:t>
                </w:r>
                <w:r w:rsidRPr="00122D87">
                  <w:rPr>
                    <w:rFonts w:hint="eastAsia"/>
                    <w:color w:val="auto"/>
                  </w:rPr>
                  <w:t>6</w:t>
                </w:r>
                <w:r w:rsidRPr="00122D87">
                  <w:rPr>
                    <w:rFonts w:hint="eastAsia"/>
                    <w:color w:val="auto"/>
                  </w:rPr>
                  <w:t>月份的议息会议、供给</w:t>
                </w:r>
                <w:proofErr w:type="gramStart"/>
                <w:r w:rsidRPr="00122D87">
                  <w:rPr>
                    <w:rFonts w:hint="eastAsia"/>
                    <w:color w:val="auto"/>
                  </w:rPr>
                  <w:t>侧改革</w:t>
                </w:r>
                <w:proofErr w:type="gramEnd"/>
                <w:r w:rsidRPr="00122D87">
                  <w:rPr>
                    <w:rFonts w:hint="eastAsia"/>
                    <w:color w:val="auto"/>
                  </w:rPr>
                  <w:t>的推进速度、通货膨胀的上升幅度、人民币汇率的稳定程度等等因素，都是整个二季度需要关注的潜在风险所在</w:t>
                </w:r>
                <w:r>
                  <w:rPr>
                    <w:rFonts w:hint="eastAsia"/>
                    <w:color w:val="auto"/>
                  </w:rPr>
                  <w:t>，</w:t>
                </w:r>
                <w:r w:rsidRPr="00122D87">
                  <w:rPr>
                    <w:rFonts w:hint="eastAsia"/>
                    <w:color w:val="auto"/>
                  </w:rPr>
                  <w:t>因而</w:t>
                </w:r>
                <w:r>
                  <w:rPr>
                    <w:rFonts w:hint="eastAsia"/>
                    <w:color w:val="auto"/>
                  </w:rPr>
                  <w:t>不可过度激进。</w:t>
                </w:r>
                <w:r w:rsidR="00872CFF">
                  <w:rPr>
                    <w:rFonts w:hint="eastAsia"/>
                    <w:color w:val="auto"/>
                  </w:rPr>
                  <w:t>考虑到</w:t>
                </w:r>
                <w:r w:rsidR="00872CFF" w:rsidRPr="00122D87">
                  <w:rPr>
                    <w:rFonts w:hint="eastAsia"/>
                    <w:color w:val="auto"/>
                  </w:rPr>
                  <w:t>供给侧结构性改革将是今年全年的主基调</w:t>
                </w:r>
                <w:r w:rsidR="00872CFF">
                  <w:rPr>
                    <w:rFonts w:hint="eastAsia"/>
                    <w:color w:val="auto"/>
                  </w:rPr>
                  <w:t>，</w:t>
                </w:r>
                <w:r w:rsidR="00872CFF" w:rsidRPr="00122D87">
                  <w:rPr>
                    <w:rFonts w:hint="eastAsia"/>
                    <w:color w:val="auto"/>
                  </w:rPr>
                  <w:t>因而在私募基金管理人的选择中，应注重灵活选</w:t>
                </w:r>
                <w:proofErr w:type="gramStart"/>
                <w:r w:rsidR="00872CFF" w:rsidRPr="00122D87">
                  <w:rPr>
                    <w:rFonts w:hint="eastAsia"/>
                    <w:color w:val="auto"/>
                  </w:rPr>
                  <w:t>股能力</w:t>
                </w:r>
                <w:proofErr w:type="gramEnd"/>
                <w:r w:rsidR="00872CFF" w:rsidRPr="00122D87">
                  <w:rPr>
                    <w:rFonts w:hint="eastAsia"/>
                    <w:color w:val="auto"/>
                  </w:rPr>
                  <w:t>的把握，筛选具有较强选</w:t>
                </w:r>
                <w:proofErr w:type="gramStart"/>
                <w:r w:rsidR="00872CFF" w:rsidRPr="00122D87">
                  <w:rPr>
                    <w:rFonts w:hint="eastAsia"/>
                    <w:color w:val="auto"/>
                  </w:rPr>
                  <w:t>股能力</w:t>
                </w:r>
                <w:proofErr w:type="gramEnd"/>
                <w:r w:rsidR="00872CFF" w:rsidRPr="00122D87">
                  <w:rPr>
                    <w:rFonts w:hint="eastAsia"/>
                    <w:color w:val="auto"/>
                  </w:rPr>
                  <w:t>和投资灵活性的品种，布局热点投资机会</w:t>
                </w:r>
                <w:r w:rsidR="005F70BF">
                  <w:rPr>
                    <w:rFonts w:hint="eastAsia"/>
                    <w:color w:val="auto"/>
                  </w:rPr>
                  <w:t>，</w:t>
                </w:r>
                <w:r w:rsidR="00872CFF">
                  <w:rPr>
                    <w:rFonts w:hint="eastAsia"/>
                    <w:color w:val="auto"/>
                  </w:rPr>
                  <w:t>具体可关注</w:t>
                </w:r>
                <w:r w:rsidR="00872CFF" w:rsidRPr="00CF4008">
                  <w:rPr>
                    <w:rFonts w:hint="eastAsia"/>
                    <w:color w:val="auto"/>
                  </w:rPr>
                  <w:t>和聚、</w:t>
                </w:r>
                <w:r w:rsidR="00872CFF">
                  <w:rPr>
                    <w:rFonts w:hint="eastAsia"/>
                    <w:color w:val="auto"/>
                  </w:rPr>
                  <w:t>源乐晟、</w:t>
                </w:r>
                <w:proofErr w:type="gramStart"/>
                <w:r w:rsidR="00872CFF">
                  <w:rPr>
                    <w:rFonts w:hint="eastAsia"/>
                    <w:color w:val="auto"/>
                  </w:rPr>
                  <w:t>世</w:t>
                </w:r>
                <w:proofErr w:type="gramEnd"/>
                <w:r w:rsidR="00872CFF">
                  <w:rPr>
                    <w:rFonts w:hint="eastAsia"/>
                    <w:color w:val="auto"/>
                  </w:rPr>
                  <w:t>诚、</w:t>
                </w:r>
                <w:r w:rsidR="00872CFF" w:rsidRPr="00CF4008">
                  <w:rPr>
                    <w:rFonts w:hint="eastAsia"/>
                    <w:color w:val="auto"/>
                  </w:rPr>
                  <w:t>理成</w:t>
                </w:r>
                <w:r w:rsidR="00872CFF">
                  <w:rPr>
                    <w:rFonts w:hint="eastAsia"/>
                    <w:color w:val="auto"/>
                  </w:rPr>
                  <w:t>、鼎锋、神农</w:t>
                </w:r>
                <w:r w:rsidR="00872CFF" w:rsidRPr="00CF4008">
                  <w:rPr>
                    <w:rFonts w:hint="eastAsia"/>
                    <w:color w:val="auto"/>
                  </w:rPr>
                  <w:t>等公</w:t>
                </w:r>
                <w:r w:rsidR="00872CFF" w:rsidRPr="005C14D4">
                  <w:rPr>
                    <w:rFonts w:hint="eastAsia"/>
                    <w:color w:val="auto"/>
                  </w:rPr>
                  <w:t>司</w:t>
                </w:r>
                <w:r w:rsidR="00872CFF">
                  <w:rPr>
                    <w:rFonts w:hint="eastAsia"/>
                    <w:color w:val="auto"/>
                  </w:rPr>
                  <w:t>旗下的产品</w:t>
                </w:r>
                <w:r w:rsidR="00872CFF" w:rsidRPr="005C14D4">
                  <w:rPr>
                    <w:rFonts w:hint="eastAsia"/>
                    <w:color w:val="auto"/>
                  </w:rPr>
                  <w:t>。</w:t>
                </w:r>
              </w:p>
              <w:p w:rsidR="00AF502D" w:rsidRPr="00A7262D" w:rsidRDefault="00872CFF" w:rsidP="007E1B52">
                <w:pPr>
                  <w:pStyle w:val="a0"/>
                  <w:widowControl/>
                  <w:numPr>
                    <w:ilvl w:val="0"/>
                    <w:numId w:val="33"/>
                  </w:numPr>
                  <w:ind w:rightChars="12" w:right="22"/>
                  <w:jc w:val="left"/>
                  <w:rPr>
                    <w:b/>
                    <w:bCs/>
                    <w:color w:val="auto"/>
                    <w:sz w:val="24"/>
                  </w:rPr>
                </w:pPr>
                <w:r w:rsidRPr="00A7262D">
                  <w:rPr>
                    <w:rFonts w:hint="eastAsia"/>
                    <w:b/>
                    <w:color w:val="auto"/>
                  </w:rPr>
                  <w:t>管理期货策略：捕捉趋势波段机会，发挥多样化优势。</w:t>
                </w:r>
                <w:r w:rsidR="005F70BF" w:rsidRPr="00A7262D">
                  <w:rPr>
                    <w:rFonts w:hint="eastAsia"/>
                    <w:color w:val="auto"/>
                  </w:rPr>
                  <w:t>前期整体大宗商品在宏观经济面和供需基本面共同作用下出现了一波明显的反弹，但从持续性上来看，价格的企稳</w:t>
                </w:r>
                <w:proofErr w:type="gramStart"/>
                <w:r w:rsidR="005F70BF" w:rsidRPr="00A7262D">
                  <w:rPr>
                    <w:rFonts w:hint="eastAsia"/>
                    <w:color w:val="auto"/>
                  </w:rPr>
                  <w:t>攀升很</w:t>
                </w:r>
                <w:proofErr w:type="gramEnd"/>
                <w:r w:rsidR="008C5B52">
                  <w:rPr>
                    <w:rFonts w:hint="eastAsia"/>
                    <w:color w:val="auto"/>
                  </w:rPr>
                  <w:t>可能</w:t>
                </w:r>
                <w:r w:rsidR="005F70BF" w:rsidRPr="00A7262D">
                  <w:rPr>
                    <w:rFonts w:hint="eastAsia"/>
                    <w:color w:val="auto"/>
                  </w:rPr>
                  <w:t>会推动通胀预期的升温，从而压制</w:t>
                </w:r>
                <w:r w:rsidR="008C5B52" w:rsidRPr="00A7262D">
                  <w:rPr>
                    <w:rFonts w:hint="eastAsia"/>
                    <w:color w:val="auto"/>
                  </w:rPr>
                  <w:t>政策</w:t>
                </w:r>
                <w:r w:rsidR="005F70BF" w:rsidRPr="00A7262D">
                  <w:rPr>
                    <w:rFonts w:hint="eastAsia"/>
                    <w:color w:val="auto"/>
                  </w:rPr>
                  <w:t>刺激的空间</w:t>
                </w:r>
                <w:r w:rsidR="00315A4E">
                  <w:rPr>
                    <w:rFonts w:hint="eastAsia"/>
                    <w:color w:val="auto"/>
                  </w:rPr>
                  <w:t>，</w:t>
                </w:r>
                <w:r w:rsidR="005F70BF" w:rsidRPr="00A7262D">
                  <w:rPr>
                    <w:rFonts w:hint="eastAsia"/>
                    <w:color w:val="auto"/>
                  </w:rPr>
                  <w:t>而且供应量的增加也会使得供需结构发生改变，本轮的价格反弹或将难以持续。</w:t>
                </w:r>
                <w:r w:rsidR="00A7262D" w:rsidRPr="00A7262D">
                  <w:rPr>
                    <w:rFonts w:hint="eastAsia"/>
                    <w:color w:val="auto"/>
                  </w:rPr>
                  <w:t>不过由于管理期货策略品种把握的是趋势波动的机会，因而对于大宗商品市场当前的趋势向上和未来可能出现的趋势调整，此类品种均有把握机会的可能。加上</w:t>
                </w:r>
                <w:r w:rsidR="00A7262D">
                  <w:rPr>
                    <w:rFonts w:hint="eastAsia"/>
                    <w:color w:val="auto"/>
                  </w:rPr>
                  <w:t>与其他策略之间较</w:t>
                </w:r>
                <w:r w:rsidR="00A7262D" w:rsidRPr="00A7262D">
                  <w:rPr>
                    <w:rFonts w:ascii="楷体_GB2312" w:hint="eastAsia"/>
                    <w:szCs w:val="21"/>
                  </w:rPr>
                  <w:t>低的相关性，</w:t>
                </w:r>
                <w:r w:rsidR="00A7262D" w:rsidRPr="00A7262D">
                  <w:rPr>
                    <w:rFonts w:hint="eastAsia"/>
                    <w:color w:val="auto"/>
                  </w:rPr>
                  <w:t>因而可作为一个很好的多样化工具进行配置</w:t>
                </w:r>
                <w:r w:rsidR="00A7262D">
                  <w:rPr>
                    <w:rFonts w:hint="eastAsia"/>
                    <w:color w:val="auto"/>
                  </w:rPr>
                  <w:t>。具体可关注</w:t>
                </w:r>
                <w:r w:rsidR="00A7262D" w:rsidRPr="002F6CE2">
                  <w:rPr>
                    <w:rFonts w:hint="eastAsia"/>
                    <w:color w:val="auto"/>
                  </w:rPr>
                  <w:t>富善、白石、双隆</w:t>
                </w:r>
                <w:r w:rsidR="00A7262D">
                  <w:rPr>
                    <w:rFonts w:hint="eastAsia"/>
                    <w:color w:val="auto"/>
                  </w:rPr>
                  <w:t>、元葵</w:t>
                </w:r>
                <w:r w:rsidR="00A7262D" w:rsidRPr="002F6CE2">
                  <w:rPr>
                    <w:rFonts w:hint="eastAsia"/>
                    <w:color w:val="auto"/>
                  </w:rPr>
                  <w:t>旗下产品</w:t>
                </w:r>
                <w:r w:rsidR="00A7262D">
                  <w:rPr>
                    <w:rFonts w:hint="eastAsia"/>
                    <w:color w:val="auto"/>
                  </w:rPr>
                  <w:t>。</w:t>
                </w:r>
              </w:p>
              <w:p w:rsidR="008C5B52" w:rsidRPr="008C5B52" w:rsidRDefault="00A14F9B" w:rsidP="00122D87">
                <w:pPr>
                  <w:pStyle w:val="a0"/>
                  <w:widowControl/>
                  <w:numPr>
                    <w:ilvl w:val="0"/>
                    <w:numId w:val="33"/>
                  </w:numPr>
                  <w:ind w:rightChars="12" w:right="22"/>
                  <w:jc w:val="left"/>
                  <w:rPr>
                    <w:b/>
                    <w:bCs/>
                    <w:color w:val="auto"/>
                    <w:sz w:val="24"/>
                  </w:rPr>
                </w:pPr>
                <w:r>
                  <w:rPr>
                    <w:rFonts w:hint="eastAsia"/>
                    <w:b/>
                    <w:color w:val="auto"/>
                  </w:rPr>
                  <w:t>偏低风险策略私募基金</w:t>
                </w:r>
              </w:p>
              <w:p w:rsidR="00EB1BD1" w:rsidRPr="008C5B52" w:rsidRDefault="008C5B52" w:rsidP="003E1F05">
                <w:pPr>
                  <w:pStyle w:val="a0"/>
                  <w:widowControl/>
                  <w:numPr>
                    <w:ilvl w:val="0"/>
                    <w:numId w:val="33"/>
                  </w:numPr>
                  <w:ind w:rightChars="12" w:right="22"/>
                  <w:jc w:val="left"/>
                  <w:rPr>
                    <w:color w:val="auto"/>
                  </w:rPr>
                </w:pPr>
                <w:r w:rsidRPr="008C5B52">
                  <w:rPr>
                    <w:rFonts w:hint="eastAsia"/>
                    <w:b/>
                    <w:color w:val="auto"/>
                  </w:rPr>
                  <w:t>市场中性策略、相对价值</w:t>
                </w:r>
                <w:r>
                  <w:rPr>
                    <w:rFonts w:hint="eastAsia"/>
                    <w:b/>
                    <w:color w:val="auto"/>
                  </w:rPr>
                  <w:t>套利</w:t>
                </w:r>
                <w:r w:rsidRPr="008C5B52">
                  <w:rPr>
                    <w:rFonts w:hint="eastAsia"/>
                    <w:b/>
                    <w:color w:val="auto"/>
                  </w:rPr>
                  <w:t>策略：应对震荡波动，增强稳健收益。</w:t>
                </w:r>
                <w:r w:rsidRPr="008C5B52">
                  <w:rPr>
                    <w:rFonts w:hint="eastAsia"/>
                    <w:szCs w:val="21"/>
                  </w:rPr>
                  <w:t>在扰动因素比较多的二季度，震荡波动将是</w:t>
                </w:r>
                <w:r>
                  <w:rPr>
                    <w:rFonts w:hint="eastAsia"/>
                    <w:szCs w:val="21"/>
                  </w:rPr>
                  <w:t>主要特征，因而</w:t>
                </w:r>
                <w:r w:rsidRPr="008C5B52">
                  <w:rPr>
                    <w:rFonts w:hint="eastAsia"/>
                    <w:szCs w:val="21"/>
                  </w:rPr>
                  <w:t>对于组合防御性的要求也将始终是第一要务，市场中性策略、相对价值套利策略通过量化手段回避市场波动，追求独立于市场的行情，从投资逻辑上来看，能够很好的实现为组合积累稳健的安全</w:t>
                </w:r>
                <w:proofErr w:type="gramStart"/>
                <w:r w:rsidRPr="008C5B52">
                  <w:rPr>
                    <w:rFonts w:hint="eastAsia"/>
                    <w:szCs w:val="21"/>
                  </w:rPr>
                  <w:t>垫收益</w:t>
                </w:r>
                <w:proofErr w:type="gramEnd"/>
                <w:r w:rsidRPr="008C5B52">
                  <w:rPr>
                    <w:rFonts w:hint="eastAsia"/>
                    <w:szCs w:val="21"/>
                  </w:rPr>
                  <w:t>这一目标。因而在组合中将这两类策略作为配置的基础，能够有效控制整体风险水平，</w:t>
                </w:r>
                <w:r w:rsidRPr="008C5B52">
                  <w:rPr>
                    <w:rFonts w:hint="eastAsia"/>
                    <w:color w:val="auto"/>
                  </w:rPr>
                  <w:t>为把握投资机会创造更大的操作空间。</w:t>
                </w:r>
                <w:r>
                  <w:rPr>
                    <w:rFonts w:hint="eastAsia"/>
                    <w:color w:val="auto"/>
                  </w:rPr>
                  <w:t>具体可关注</w:t>
                </w:r>
                <w:r>
                  <w:rPr>
                    <w:rFonts w:hint="eastAsia"/>
                    <w:szCs w:val="21"/>
                  </w:rPr>
                  <w:t>市场中性策略</w:t>
                </w:r>
                <w:r w:rsidRPr="00CF4008">
                  <w:rPr>
                    <w:rFonts w:hint="eastAsia"/>
                    <w:szCs w:val="21"/>
                  </w:rPr>
                  <w:t>中</w:t>
                </w:r>
                <w:proofErr w:type="gramStart"/>
                <w:r w:rsidRPr="00CF4008">
                  <w:rPr>
                    <w:rFonts w:hint="eastAsia"/>
                    <w:szCs w:val="21"/>
                  </w:rPr>
                  <w:t>的</w:t>
                </w:r>
                <w:r w:rsidRPr="00CF4008">
                  <w:rPr>
                    <w:rFonts w:hint="eastAsia"/>
                  </w:rPr>
                  <w:t>嘉石大</w:t>
                </w:r>
                <w:proofErr w:type="gramEnd"/>
                <w:r w:rsidRPr="00CF4008">
                  <w:rPr>
                    <w:rFonts w:hint="eastAsia"/>
                  </w:rPr>
                  <w:t>岩、</w:t>
                </w:r>
                <w:r>
                  <w:rPr>
                    <w:rFonts w:hint="eastAsia"/>
                  </w:rPr>
                  <w:t>宽智、</w:t>
                </w:r>
                <w:r w:rsidRPr="00C25631">
                  <w:rPr>
                    <w:rFonts w:hint="eastAsia"/>
                  </w:rPr>
                  <w:t>金锝</w:t>
                </w:r>
                <w:r w:rsidRPr="00CF4008">
                  <w:rPr>
                    <w:rFonts w:hint="eastAsia"/>
                  </w:rPr>
                  <w:t>，相对价值套利策略</w:t>
                </w:r>
                <w:r>
                  <w:rPr>
                    <w:rFonts w:hint="eastAsia"/>
                  </w:rPr>
                  <w:t>中的</w:t>
                </w:r>
                <w:r>
                  <w:rPr>
                    <w:rFonts w:hint="eastAsia"/>
                    <w:szCs w:val="21"/>
                  </w:rPr>
                  <w:t>淘利、艾方旗下产品</w:t>
                </w:r>
                <w:r w:rsidRPr="00616ADA">
                  <w:rPr>
                    <w:rFonts w:hint="eastAsia"/>
                    <w:color w:val="auto"/>
                  </w:rPr>
                  <w:t>。</w:t>
                </w:r>
              </w:p>
              <w:p w:rsidR="00BC7E24" w:rsidRPr="00EB1BD1" w:rsidRDefault="008C5B52" w:rsidP="008C5B52">
                <w:pPr>
                  <w:pStyle w:val="a0"/>
                  <w:widowControl/>
                  <w:numPr>
                    <w:ilvl w:val="0"/>
                    <w:numId w:val="33"/>
                  </w:numPr>
                  <w:ind w:rightChars="12" w:right="22"/>
                  <w:jc w:val="left"/>
                  <w:rPr>
                    <w:color w:val="auto"/>
                  </w:rPr>
                </w:pPr>
                <w:r>
                  <w:rPr>
                    <w:rFonts w:hint="eastAsia"/>
                    <w:b/>
                    <w:color w:val="auto"/>
                  </w:rPr>
                  <w:t>固定收益策略：违约事件再发，短期建议回避。</w:t>
                </w:r>
                <w:r>
                  <w:rPr>
                    <w:rFonts w:hint="eastAsia"/>
                    <w:color w:val="auto"/>
                  </w:rPr>
                  <w:t>经济基本面的企</w:t>
                </w:r>
                <w:proofErr w:type="gramStart"/>
                <w:r>
                  <w:rPr>
                    <w:rFonts w:hint="eastAsia"/>
                    <w:color w:val="auto"/>
                  </w:rPr>
                  <w:t>稳总体</w:t>
                </w:r>
                <w:proofErr w:type="gramEnd"/>
                <w:r>
                  <w:rPr>
                    <w:rFonts w:hint="eastAsia"/>
                    <w:color w:val="auto"/>
                  </w:rPr>
                  <w:t>不利于债市行情的演进，而且在经济状况实现改善、房地产持续火热的状态下，为避免通胀的发生流动性边际收紧的可能性也在加大，再加上近来债市违约事件的再度来袭，因而总体投资机会有限。对于投资固定收益市场的固定收益策略基金，短期可考虑暂时回避</w:t>
                </w:r>
                <w:r w:rsidR="00EB1BD1" w:rsidRPr="00EB1BD1">
                  <w:rPr>
                    <w:rFonts w:hint="eastAsia"/>
                    <w:color w:val="auto"/>
                  </w:rPr>
                  <w:t>。</w:t>
                </w:r>
              </w:p>
            </w:sdtContent>
          </w:sdt>
        </w:tc>
      </w:tr>
    </w:tbl>
    <w:p w:rsidR="00EE7C0D" w:rsidRDefault="00EE7C0D" w:rsidP="00EE7C0D">
      <w:pPr>
        <w:pStyle w:val="14"/>
        <w:ind w:leftChars="1890"/>
        <w:rPr>
          <w:color w:val="auto"/>
        </w:rPr>
      </w:pPr>
      <w:r>
        <w:rPr>
          <w:rFonts w:hint="eastAsia"/>
          <w:color w:val="auto"/>
        </w:rPr>
        <w:lastRenderedPageBreak/>
        <w:t>第一部</w:t>
      </w:r>
      <w:r w:rsidRPr="00EA63C9">
        <w:rPr>
          <w:rFonts w:hint="eastAsia"/>
          <w:color w:val="auto"/>
        </w:rPr>
        <w:t>分</w:t>
      </w:r>
      <w:r w:rsidRPr="00EA63C9">
        <w:rPr>
          <w:rFonts w:hint="eastAsia"/>
          <w:color w:val="auto"/>
        </w:rPr>
        <w:t xml:space="preserve">  </w:t>
      </w:r>
      <w:r w:rsidRPr="007F59F6">
        <w:rPr>
          <w:rFonts w:hint="eastAsia"/>
          <w:color w:val="auto"/>
        </w:rPr>
        <w:t xml:space="preserve">  </w:t>
      </w:r>
      <w:r w:rsidRPr="007F59F6">
        <w:rPr>
          <w:rFonts w:hint="eastAsia"/>
          <w:color w:val="auto"/>
        </w:rPr>
        <w:t>宏观经济</w:t>
      </w:r>
      <w:r>
        <w:rPr>
          <w:rFonts w:hint="eastAsia"/>
          <w:color w:val="auto"/>
        </w:rPr>
        <w:t>及</w:t>
      </w:r>
      <w:r>
        <w:rPr>
          <w:rFonts w:hint="eastAsia"/>
          <w:color w:val="auto"/>
        </w:rPr>
        <w:t>A</w:t>
      </w:r>
      <w:r>
        <w:rPr>
          <w:rFonts w:hint="eastAsia"/>
          <w:color w:val="auto"/>
        </w:rPr>
        <w:t>股市场</w:t>
      </w:r>
      <w:r w:rsidRPr="007F59F6">
        <w:rPr>
          <w:rFonts w:hint="eastAsia"/>
          <w:color w:val="auto"/>
        </w:rPr>
        <w:t>分析</w:t>
      </w:r>
    </w:p>
    <w:p w:rsidR="00333600" w:rsidRDefault="006B6E0C" w:rsidP="00EE7C0D">
      <w:pPr>
        <w:pStyle w:val="a0"/>
        <w:numPr>
          <w:ilvl w:val="4"/>
          <w:numId w:val="3"/>
        </w:numPr>
        <w:rPr>
          <w:color w:val="auto"/>
        </w:rPr>
      </w:pPr>
      <w:r>
        <w:rPr>
          <w:rFonts w:hint="eastAsia"/>
          <w:color w:val="auto"/>
        </w:rPr>
        <w:t>最新公布的一季度经济数据以及</w:t>
      </w:r>
      <w:r>
        <w:rPr>
          <w:rFonts w:hint="eastAsia"/>
          <w:color w:val="auto"/>
        </w:rPr>
        <w:t>3</w:t>
      </w:r>
      <w:r>
        <w:rPr>
          <w:rFonts w:hint="eastAsia"/>
          <w:color w:val="auto"/>
        </w:rPr>
        <w:t>月投资、信贷等数据整体好于市场预期，</w:t>
      </w:r>
      <w:r w:rsidR="00AE55E5">
        <w:rPr>
          <w:rFonts w:hint="eastAsia"/>
          <w:color w:val="auto"/>
        </w:rPr>
        <w:t xml:space="preserve"> </w:t>
      </w:r>
      <w:r w:rsidR="00D25FB7">
        <w:rPr>
          <w:rFonts w:hint="eastAsia"/>
          <w:color w:val="auto"/>
        </w:rPr>
        <w:t>2016</w:t>
      </w:r>
      <w:r w:rsidR="00D25FB7">
        <w:rPr>
          <w:rFonts w:hint="eastAsia"/>
          <w:color w:val="auto"/>
        </w:rPr>
        <w:t>年一季度</w:t>
      </w:r>
      <w:r w:rsidR="00D25FB7">
        <w:rPr>
          <w:rFonts w:hint="eastAsia"/>
          <w:color w:val="auto"/>
        </w:rPr>
        <w:t>GDP</w:t>
      </w:r>
      <w:r w:rsidR="00D25FB7">
        <w:rPr>
          <w:rFonts w:hint="eastAsia"/>
          <w:color w:val="auto"/>
        </w:rPr>
        <w:t>同比增长</w:t>
      </w:r>
      <w:r w:rsidR="00D25FB7">
        <w:rPr>
          <w:rFonts w:hint="eastAsia"/>
          <w:color w:val="auto"/>
        </w:rPr>
        <w:t>6.7%</w:t>
      </w:r>
      <w:r w:rsidR="00D25FB7">
        <w:rPr>
          <w:rFonts w:hint="eastAsia"/>
          <w:color w:val="auto"/>
        </w:rPr>
        <w:t>，</w:t>
      </w:r>
      <w:r w:rsidR="00AE55E5">
        <w:rPr>
          <w:rFonts w:hint="eastAsia"/>
          <w:color w:val="auto"/>
        </w:rPr>
        <w:t>其中</w:t>
      </w:r>
      <w:r w:rsidR="00AE55E5">
        <w:rPr>
          <w:rFonts w:hint="eastAsia"/>
          <w:color w:val="auto"/>
        </w:rPr>
        <w:t>3</w:t>
      </w:r>
      <w:r w:rsidR="00AE55E5">
        <w:rPr>
          <w:rFonts w:hint="eastAsia"/>
          <w:color w:val="auto"/>
        </w:rPr>
        <w:t>月份较</w:t>
      </w:r>
      <w:r w:rsidR="00AE55E5">
        <w:rPr>
          <w:rFonts w:hint="eastAsia"/>
          <w:color w:val="auto"/>
        </w:rPr>
        <w:t>1-2</w:t>
      </w:r>
      <w:r w:rsidR="00AE55E5">
        <w:rPr>
          <w:rFonts w:hint="eastAsia"/>
          <w:color w:val="auto"/>
        </w:rPr>
        <w:t>月份经济景气度</w:t>
      </w:r>
      <w:r w:rsidR="00D00469">
        <w:rPr>
          <w:rFonts w:hint="eastAsia"/>
          <w:color w:val="auto"/>
        </w:rPr>
        <w:t>明显改善，</w:t>
      </w:r>
      <w:r w:rsidR="00E5678A">
        <w:rPr>
          <w:rFonts w:hint="eastAsia"/>
          <w:color w:val="auto"/>
        </w:rPr>
        <w:t>供需两端均有</w:t>
      </w:r>
      <w:r w:rsidR="005A5372">
        <w:rPr>
          <w:rFonts w:hint="eastAsia"/>
          <w:color w:val="auto"/>
        </w:rPr>
        <w:t>复苏</w:t>
      </w:r>
      <w:r w:rsidR="00E5678A">
        <w:rPr>
          <w:rFonts w:hint="eastAsia"/>
          <w:color w:val="auto"/>
        </w:rPr>
        <w:t>迹象</w:t>
      </w:r>
      <w:r w:rsidR="005A5372">
        <w:rPr>
          <w:rFonts w:hint="eastAsia"/>
          <w:color w:val="auto"/>
        </w:rPr>
        <w:t>，通胀水平也好于预期，</w:t>
      </w:r>
      <w:r w:rsidR="00BF2705">
        <w:rPr>
          <w:rFonts w:hint="eastAsia"/>
          <w:color w:val="auto"/>
        </w:rPr>
        <w:t>整体市场信心得到一定修复。</w:t>
      </w:r>
    </w:p>
    <w:p w:rsidR="00D25FB7" w:rsidRDefault="004F77E8" w:rsidP="00D25FB7">
      <w:pPr>
        <w:pStyle w:val="a0"/>
        <w:widowControl/>
        <w:numPr>
          <w:ilvl w:val="5"/>
          <w:numId w:val="4"/>
        </w:numPr>
        <w:rPr>
          <w:color w:val="auto"/>
        </w:rPr>
      </w:pPr>
      <w:r>
        <w:rPr>
          <w:rFonts w:hint="eastAsia"/>
          <w:color w:val="auto"/>
        </w:rPr>
        <w:t>消费数据方面，</w:t>
      </w:r>
      <w:r w:rsidR="007C2313">
        <w:rPr>
          <w:rFonts w:hint="eastAsia"/>
          <w:color w:val="auto"/>
        </w:rPr>
        <w:t>在经济增速回升拉动居民收入增速的作用下，</w:t>
      </w:r>
      <w:r>
        <w:rPr>
          <w:rFonts w:hint="eastAsia"/>
          <w:color w:val="auto"/>
        </w:rPr>
        <w:t>3</w:t>
      </w:r>
      <w:r>
        <w:rPr>
          <w:rFonts w:hint="eastAsia"/>
          <w:color w:val="auto"/>
        </w:rPr>
        <w:t>月份社会消费零售总额同比增长</w:t>
      </w:r>
      <w:r>
        <w:rPr>
          <w:rFonts w:hint="eastAsia"/>
          <w:color w:val="auto"/>
        </w:rPr>
        <w:t>10.5%</w:t>
      </w:r>
      <w:r>
        <w:rPr>
          <w:rFonts w:hint="eastAsia"/>
          <w:color w:val="auto"/>
        </w:rPr>
        <w:t>，</w:t>
      </w:r>
      <w:r w:rsidR="003931D7">
        <w:rPr>
          <w:rFonts w:hint="eastAsia"/>
          <w:color w:val="auto"/>
        </w:rPr>
        <w:t>回升了</w:t>
      </w:r>
      <w:r w:rsidR="003931D7">
        <w:rPr>
          <w:rFonts w:hint="eastAsia"/>
          <w:color w:val="auto"/>
        </w:rPr>
        <w:t>0.3</w:t>
      </w:r>
      <w:r w:rsidR="003931D7">
        <w:rPr>
          <w:rFonts w:hint="eastAsia"/>
          <w:color w:val="auto"/>
        </w:rPr>
        <w:t>个百分点</w:t>
      </w:r>
      <w:r w:rsidR="007C2313">
        <w:rPr>
          <w:rFonts w:hint="eastAsia"/>
          <w:color w:val="auto"/>
        </w:rPr>
        <w:t>。不过，考虑到</w:t>
      </w:r>
      <w:r w:rsidR="007C2313">
        <w:rPr>
          <w:rFonts w:hint="eastAsia"/>
          <w:color w:val="auto"/>
        </w:rPr>
        <w:t>2016</w:t>
      </w:r>
      <w:r w:rsidR="007C2313">
        <w:rPr>
          <w:rFonts w:hint="eastAsia"/>
          <w:color w:val="auto"/>
        </w:rPr>
        <w:t>年全年经济增速低位徘徊的可能性较大，预计未来整体消费数据还是会较去年有所放缓，但是降幅会有</w:t>
      </w:r>
      <w:proofErr w:type="gramStart"/>
      <w:r w:rsidR="007C2313">
        <w:rPr>
          <w:rFonts w:hint="eastAsia"/>
          <w:color w:val="auto"/>
        </w:rPr>
        <w:t>所收窄</w:t>
      </w:r>
      <w:r w:rsidR="00963793">
        <w:rPr>
          <w:rFonts w:hint="eastAsia"/>
          <w:color w:val="auto"/>
        </w:rPr>
        <w:t>并</w:t>
      </w:r>
      <w:r w:rsidR="0024027B">
        <w:rPr>
          <w:rFonts w:hint="eastAsia"/>
          <w:color w:val="auto"/>
        </w:rPr>
        <w:t>趋向</w:t>
      </w:r>
      <w:proofErr w:type="gramEnd"/>
      <w:r w:rsidR="0024027B">
        <w:rPr>
          <w:rFonts w:hint="eastAsia"/>
          <w:color w:val="auto"/>
        </w:rPr>
        <w:t>稳定</w:t>
      </w:r>
      <w:r w:rsidR="007C2313">
        <w:rPr>
          <w:rFonts w:hint="eastAsia"/>
          <w:color w:val="auto"/>
        </w:rPr>
        <w:t>。</w:t>
      </w:r>
    </w:p>
    <w:p w:rsidR="007C2313" w:rsidRDefault="007C2313" w:rsidP="00D25FB7">
      <w:pPr>
        <w:pStyle w:val="a0"/>
        <w:widowControl/>
        <w:numPr>
          <w:ilvl w:val="5"/>
          <w:numId w:val="4"/>
        </w:numPr>
        <w:rPr>
          <w:color w:val="auto"/>
        </w:rPr>
      </w:pPr>
      <w:r>
        <w:rPr>
          <w:rFonts w:hint="eastAsia"/>
          <w:color w:val="auto"/>
        </w:rPr>
        <w:t>投资方面，</w:t>
      </w:r>
      <w:r w:rsidR="00DE2A64">
        <w:rPr>
          <w:rFonts w:hint="eastAsia"/>
          <w:color w:val="auto"/>
        </w:rPr>
        <w:t>在地产投资、基建投资的拉动下，今年一季度固定资产投资累计同比增长</w:t>
      </w:r>
      <w:r w:rsidR="00DE2A64">
        <w:rPr>
          <w:rFonts w:hint="eastAsia"/>
          <w:color w:val="auto"/>
        </w:rPr>
        <w:t>10.7%</w:t>
      </w:r>
      <w:r w:rsidR="00DE2A64">
        <w:rPr>
          <w:rFonts w:hint="eastAsia"/>
          <w:color w:val="auto"/>
        </w:rPr>
        <w:t>。虽然受到楼市调控的</w:t>
      </w:r>
      <w:r w:rsidR="00D4782C">
        <w:rPr>
          <w:rFonts w:hint="eastAsia"/>
          <w:color w:val="auto"/>
        </w:rPr>
        <w:t>影响，但是销售的火热还是带动了投资积极性的提高</w:t>
      </w:r>
      <w:r w:rsidR="006A6A98">
        <w:rPr>
          <w:rFonts w:hint="eastAsia"/>
          <w:color w:val="auto"/>
        </w:rPr>
        <w:t>。基建投资一季度同比增速</w:t>
      </w:r>
      <w:r w:rsidR="006A6A98">
        <w:rPr>
          <w:rFonts w:hint="eastAsia"/>
          <w:color w:val="auto"/>
        </w:rPr>
        <w:t>19.6%</w:t>
      </w:r>
      <w:r w:rsidR="006A6A98">
        <w:rPr>
          <w:rFonts w:hint="eastAsia"/>
          <w:color w:val="auto"/>
        </w:rPr>
        <w:t>，在二季度开工率上升的季节性因素之下，基建投资对经济增长的助力作用会进一步释放。</w:t>
      </w:r>
    </w:p>
    <w:p w:rsidR="00C043CE" w:rsidRDefault="00BA4941" w:rsidP="007A08F4">
      <w:pPr>
        <w:pStyle w:val="a0"/>
        <w:widowControl/>
        <w:numPr>
          <w:ilvl w:val="5"/>
          <w:numId w:val="4"/>
        </w:numPr>
        <w:rPr>
          <w:color w:val="auto"/>
        </w:rPr>
      </w:pPr>
      <w:r>
        <w:rPr>
          <w:rFonts w:hint="eastAsia"/>
          <w:color w:val="auto"/>
        </w:rPr>
        <w:t>外贸方面，</w:t>
      </w:r>
      <w:r w:rsidR="007A3B8B">
        <w:rPr>
          <w:rFonts w:hint="eastAsia"/>
          <w:color w:val="auto"/>
        </w:rPr>
        <w:t>从数据上看，</w:t>
      </w:r>
      <w:r w:rsidR="0016199B">
        <w:rPr>
          <w:rFonts w:hint="eastAsia"/>
          <w:color w:val="auto"/>
        </w:rPr>
        <w:t>3</w:t>
      </w:r>
      <w:r w:rsidR="0016199B">
        <w:rPr>
          <w:rFonts w:hint="eastAsia"/>
          <w:color w:val="auto"/>
        </w:rPr>
        <w:t>月出口大幅跳升至</w:t>
      </w:r>
      <w:r w:rsidR="0016199B">
        <w:rPr>
          <w:rFonts w:hint="eastAsia"/>
          <w:color w:val="auto"/>
        </w:rPr>
        <w:t>11.5%</w:t>
      </w:r>
      <w:r w:rsidR="0016199B">
        <w:rPr>
          <w:rFonts w:hint="eastAsia"/>
          <w:color w:val="auto"/>
        </w:rPr>
        <w:t>，</w:t>
      </w:r>
      <w:r w:rsidR="00861F13">
        <w:rPr>
          <w:rFonts w:hint="eastAsia"/>
          <w:color w:val="auto"/>
        </w:rPr>
        <w:t>但主要是由于技术性因素，</w:t>
      </w:r>
      <w:r w:rsidR="00861F13">
        <w:rPr>
          <w:rFonts w:hint="eastAsia"/>
          <w:color w:val="auto"/>
        </w:rPr>
        <w:t>2015</w:t>
      </w:r>
      <w:r w:rsidR="00861F13">
        <w:rPr>
          <w:rFonts w:hint="eastAsia"/>
          <w:color w:val="auto"/>
        </w:rPr>
        <w:t>年春节较晚导致</w:t>
      </w:r>
      <w:r w:rsidR="00861F13">
        <w:rPr>
          <w:rFonts w:hint="eastAsia"/>
          <w:color w:val="auto"/>
        </w:rPr>
        <w:t>3</w:t>
      </w:r>
      <w:r w:rsidR="00861F13">
        <w:rPr>
          <w:rFonts w:hint="eastAsia"/>
          <w:color w:val="auto"/>
        </w:rPr>
        <w:t>月份基数较低，加上工作日同比增加一天，</w:t>
      </w:r>
      <w:r w:rsidR="009F27E7">
        <w:rPr>
          <w:rFonts w:hint="eastAsia"/>
          <w:color w:val="auto"/>
        </w:rPr>
        <w:t>按国金宏观</w:t>
      </w:r>
      <w:proofErr w:type="gramStart"/>
      <w:r w:rsidR="009F27E7">
        <w:rPr>
          <w:rFonts w:hint="eastAsia"/>
          <w:color w:val="auto"/>
        </w:rPr>
        <w:t>小组季调结果</w:t>
      </w:r>
      <w:proofErr w:type="gramEnd"/>
      <w:r w:rsidR="009F27E7">
        <w:rPr>
          <w:rFonts w:hint="eastAsia"/>
          <w:color w:val="auto"/>
        </w:rPr>
        <w:t>，</w:t>
      </w:r>
      <w:r w:rsidR="009F27E7">
        <w:rPr>
          <w:rFonts w:hint="eastAsia"/>
          <w:color w:val="auto"/>
        </w:rPr>
        <w:t>3</w:t>
      </w:r>
      <w:r w:rsidR="009F27E7">
        <w:rPr>
          <w:rFonts w:hint="eastAsia"/>
          <w:color w:val="auto"/>
        </w:rPr>
        <w:t>月出口为</w:t>
      </w:r>
      <w:r w:rsidR="009F27E7">
        <w:rPr>
          <w:rFonts w:hint="eastAsia"/>
          <w:color w:val="auto"/>
        </w:rPr>
        <w:t>-6.3%</w:t>
      </w:r>
      <w:r w:rsidR="009F27E7">
        <w:rPr>
          <w:rFonts w:hint="eastAsia"/>
          <w:color w:val="auto"/>
        </w:rPr>
        <w:t>，</w:t>
      </w:r>
      <w:r w:rsidR="00FE6707">
        <w:rPr>
          <w:rFonts w:hint="eastAsia"/>
          <w:color w:val="auto"/>
        </w:rPr>
        <w:t>较</w:t>
      </w:r>
      <w:r w:rsidR="00FE6707">
        <w:rPr>
          <w:rFonts w:hint="eastAsia"/>
          <w:color w:val="auto"/>
        </w:rPr>
        <w:t>2</w:t>
      </w:r>
      <w:r w:rsidR="00FE6707">
        <w:rPr>
          <w:rFonts w:hint="eastAsia"/>
          <w:color w:val="auto"/>
        </w:rPr>
        <w:t>月跌幅扩大</w:t>
      </w:r>
      <w:r w:rsidR="00FE6707">
        <w:rPr>
          <w:rFonts w:hint="eastAsia"/>
          <w:color w:val="auto"/>
        </w:rPr>
        <w:t>0.7</w:t>
      </w:r>
      <w:r w:rsidR="00FE6707">
        <w:rPr>
          <w:rFonts w:hint="eastAsia"/>
          <w:color w:val="auto"/>
        </w:rPr>
        <w:t>个点</w:t>
      </w:r>
      <w:r w:rsidR="0068353D">
        <w:rPr>
          <w:rFonts w:hint="eastAsia"/>
          <w:color w:val="auto"/>
        </w:rPr>
        <w:t>。</w:t>
      </w:r>
      <w:r w:rsidR="007A3B8B">
        <w:rPr>
          <w:rFonts w:hint="eastAsia"/>
          <w:color w:val="auto"/>
        </w:rPr>
        <w:t>进口低位回升至</w:t>
      </w:r>
      <w:r w:rsidR="007A3B8B">
        <w:rPr>
          <w:rFonts w:hint="eastAsia"/>
          <w:color w:val="auto"/>
        </w:rPr>
        <w:t>-7.6%</w:t>
      </w:r>
      <w:r w:rsidR="007A3B8B">
        <w:rPr>
          <w:rFonts w:hint="eastAsia"/>
          <w:color w:val="auto"/>
        </w:rPr>
        <w:t>，排除技术性因素后，真实进口水平仍处于低位。预计未来出口会逐步向真实水平回归，难言实质性改善，进口会随着国内工业、投资阶段性反弹而低位回升。</w:t>
      </w:r>
    </w:p>
    <w:p w:rsidR="008B7794" w:rsidRDefault="008B7794" w:rsidP="007A08F4">
      <w:pPr>
        <w:pStyle w:val="a0"/>
        <w:widowControl/>
        <w:numPr>
          <w:ilvl w:val="5"/>
          <w:numId w:val="4"/>
        </w:numPr>
        <w:rPr>
          <w:color w:val="auto"/>
        </w:rPr>
      </w:pPr>
      <w:r>
        <w:rPr>
          <w:rFonts w:hint="eastAsia"/>
          <w:color w:val="auto"/>
        </w:rPr>
        <w:t>3</w:t>
      </w:r>
      <w:r>
        <w:rPr>
          <w:rFonts w:hint="eastAsia"/>
          <w:color w:val="auto"/>
        </w:rPr>
        <w:t>月</w:t>
      </w:r>
      <w:r>
        <w:rPr>
          <w:rFonts w:hint="eastAsia"/>
          <w:color w:val="auto"/>
        </w:rPr>
        <w:t>PMI</w:t>
      </w:r>
      <w:r>
        <w:rPr>
          <w:rFonts w:hint="eastAsia"/>
          <w:color w:val="auto"/>
        </w:rPr>
        <w:t>大幅回升至扩张区间，创</w:t>
      </w:r>
      <w:r>
        <w:rPr>
          <w:rFonts w:hint="eastAsia"/>
          <w:color w:val="auto"/>
        </w:rPr>
        <w:t>9</w:t>
      </w:r>
      <w:r>
        <w:rPr>
          <w:rFonts w:hint="eastAsia"/>
          <w:color w:val="auto"/>
        </w:rPr>
        <w:t>个月新高。反映供需的产出、订单、采购</w:t>
      </w:r>
      <w:proofErr w:type="gramStart"/>
      <w:r>
        <w:rPr>
          <w:rFonts w:hint="eastAsia"/>
          <w:color w:val="auto"/>
        </w:rPr>
        <w:t>量指数</w:t>
      </w:r>
      <w:proofErr w:type="gramEnd"/>
      <w:r>
        <w:rPr>
          <w:rFonts w:hint="eastAsia"/>
          <w:color w:val="auto"/>
        </w:rPr>
        <w:t>均显著回升，并且订单和采购量的回升力度均大幅超过产出，可见产出还会有进一步的空间。产成品库存进一步下降，供需结构偏正面。非制造业</w:t>
      </w:r>
      <w:r>
        <w:rPr>
          <w:rFonts w:hint="eastAsia"/>
          <w:color w:val="auto"/>
        </w:rPr>
        <w:t>PMI</w:t>
      </w:r>
      <w:proofErr w:type="gramStart"/>
      <w:r>
        <w:rPr>
          <w:rFonts w:hint="eastAsia"/>
          <w:color w:val="auto"/>
        </w:rPr>
        <w:t>也环比</w:t>
      </w:r>
      <w:proofErr w:type="gramEnd"/>
      <w:r>
        <w:rPr>
          <w:rFonts w:hint="eastAsia"/>
          <w:color w:val="auto"/>
        </w:rPr>
        <w:t>出现回升，其中电信、互联网、信息技术、金融相关服务业增长较快，与居民消费相关的行业受春节因素影响出现了一些季节性回落。</w:t>
      </w:r>
    </w:p>
    <w:p w:rsidR="00D77824" w:rsidRDefault="00D77824" w:rsidP="00AC1EDE">
      <w:pPr>
        <w:pStyle w:val="a0"/>
        <w:numPr>
          <w:ilvl w:val="4"/>
          <w:numId w:val="3"/>
        </w:numPr>
        <w:rPr>
          <w:color w:val="auto"/>
        </w:rPr>
      </w:pPr>
      <w:r>
        <w:rPr>
          <w:rFonts w:hint="eastAsia"/>
          <w:color w:val="auto"/>
        </w:rPr>
        <w:t>总体来看，近来经济形势在投资季节性回暖的拉动下出现改善迹象，</w:t>
      </w:r>
      <w:r w:rsidR="000779AA">
        <w:rPr>
          <w:rFonts w:hint="eastAsia"/>
          <w:color w:val="auto"/>
        </w:rPr>
        <w:t>但是整体离真正转暖还有一定的距离，</w:t>
      </w:r>
      <w:r w:rsidR="00DC553E">
        <w:rPr>
          <w:rFonts w:hint="eastAsia"/>
          <w:color w:val="auto"/>
        </w:rPr>
        <w:t>消费</w:t>
      </w:r>
      <w:r w:rsidR="000779AA">
        <w:rPr>
          <w:rFonts w:hint="eastAsia"/>
          <w:color w:val="auto"/>
        </w:rPr>
        <w:t>和外贸形势的全面</w:t>
      </w:r>
      <w:r w:rsidR="00C9120D">
        <w:rPr>
          <w:rFonts w:hint="eastAsia"/>
          <w:color w:val="auto"/>
        </w:rPr>
        <w:t>好转</w:t>
      </w:r>
      <w:r w:rsidR="00DC553E">
        <w:rPr>
          <w:rFonts w:hint="eastAsia"/>
          <w:color w:val="auto"/>
        </w:rPr>
        <w:t>还有待</w:t>
      </w:r>
      <w:r w:rsidR="000779AA">
        <w:rPr>
          <w:rFonts w:hint="eastAsia"/>
          <w:color w:val="auto"/>
        </w:rPr>
        <w:t>内外需的改善。</w:t>
      </w:r>
      <w:r w:rsidR="00440597">
        <w:rPr>
          <w:rFonts w:hint="eastAsia"/>
          <w:color w:val="auto"/>
        </w:rPr>
        <w:t>尽管</w:t>
      </w:r>
      <w:r w:rsidR="00C9120D">
        <w:rPr>
          <w:rFonts w:hint="eastAsia"/>
          <w:color w:val="auto"/>
        </w:rPr>
        <w:t>目前我国工业水平距离中高端还有不小差距</w:t>
      </w:r>
      <w:r w:rsidR="00440597">
        <w:rPr>
          <w:rFonts w:hint="eastAsia"/>
          <w:color w:val="auto"/>
        </w:rPr>
        <w:t>，但在十三五结构调整的大环境下，</w:t>
      </w:r>
      <w:r w:rsidR="00BC2789">
        <w:rPr>
          <w:rFonts w:hint="eastAsia"/>
          <w:color w:val="auto"/>
        </w:rPr>
        <w:t>在</w:t>
      </w:r>
      <w:r w:rsidR="00C9120D">
        <w:rPr>
          <w:rFonts w:hint="eastAsia"/>
          <w:color w:val="auto"/>
        </w:rPr>
        <w:t>供给</w:t>
      </w:r>
      <w:proofErr w:type="gramStart"/>
      <w:r w:rsidR="00C9120D">
        <w:rPr>
          <w:rFonts w:hint="eastAsia"/>
          <w:color w:val="auto"/>
        </w:rPr>
        <w:t>侧改革</w:t>
      </w:r>
      <w:proofErr w:type="gramEnd"/>
      <w:r w:rsidR="00BC2789">
        <w:rPr>
          <w:rFonts w:hint="eastAsia"/>
          <w:color w:val="auto"/>
        </w:rPr>
        <w:t>去产能的逐步推进中</w:t>
      </w:r>
      <w:r w:rsidR="00E62580">
        <w:rPr>
          <w:rFonts w:hint="eastAsia"/>
          <w:color w:val="auto"/>
        </w:rPr>
        <w:t>，</w:t>
      </w:r>
      <w:r w:rsidR="00BC2789">
        <w:rPr>
          <w:rFonts w:hint="eastAsia"/>
          <w:color w:val="auto"/>
        </w:rPr>
        <w:t>中长期企稳回升还是值得期待的。</w:t>
      </w:r>
    </w:p>
    <w:p w:rsidR="00BC2789" w:rsidRDefault="00EE7C0D" w:rsidP="00211947">
      <w:pPr>
        <w:pStyle w:val="a0"/>
        <w:numPr>
          <w:ilvl w:val="4"/>
          <w:numId w:val="3"/>
        </w:numPr>
        <w:rPr>
          <w:color w:val="auto"/>
        </w:rPr>
      </w:pPr>
      <w:r w:rsidRPr="009A7B47">
        <w:rPr>
          <w:rFonts w:hint="eastAsia"/>
          <w:color w:val="auto"/>
        </w:rPr>
        <w:t>就</w:t>
      </w:r>
      <w:r w:rsidRPr="009A7B47">
        <w:rPr>
          <w:rFonts w:hint="eastAsia"/>
          <w:color w:val="auto"/>
        </w:rPr>
        <w:t>A</w:t>
      </w:r>
      <w:r w:rsidRPr="009A7B47">
        <w:rPr>
          <w:rFonts w:hint="eastAsia"/>
          <w:color w:val="auto"/>
        </w:rPr>
        <w:t>股市场投资而言，</w:t>
      </w:r>
      <w:r w:rsidR="00401C22">
        <w:rPr>
          <w:rFonts w:hint="eastAsia"/>
          <w:color w:val="auto"/>
        </w:rPr>
        <w:t>我们</w:t>
      </w:r>
      <w:r w:rsidRPr="009A7B47">
        <w:rPr>
          <w:rFonts w:hint="eastAsia"/>
          <w:color w:val="auto"/>
        </w:rPr>
        <w:t>认为，</w:t>
      </w:r>
      <w:r w:rsidR="00BC2789">
        <w:rPr>
          <w:rFonts w:hint="eastAsia"/>
          <w:color w:val="auto"/>
        </w:rPr>
        <w:t>最近公布的经济数据的偏暖，对于市场信心的恢复具有一定的积极作用，</w:t>
      </w:r>
      <w:r w:rsidR="000A766E">
        <w:rPr>
          <w:rFonts w:hint="eastAsia"/>
          <w:color w:val="auto"/>
        </w:rPr>
        <w:t>不过当前市场仍然比较脆弱，任何噪音都会导致波动的放大。</w:t>
      </w:r>
      <w:r w:rsidR="00CB0E1A">
        <w:rPr>
          <w:rFonts w:hint="eastAsia"/>
          <w:color w:val="auto"/>
        </w:rPr>
        <w:t>从两市资金来源来看，目前仍然是存量博弈的市场，这就使得反弹不会一蹴而就，震荡波动应当是二季度的主旋律。</w:t>
      </w:r>
      <w:r w:rsidR="005446E7">
        <w:rPr>
          <w:rFonts w:hint="eastAsia"/>
          <w:color w:val="auto"/>
        </w:rPr>
        <w:t>与此同时，考虑到美联储在当前全球经济状况的不确定性尚未消除之时，做出由“鸽”转“鹰”的激进行为的可能性很低，而且在当前国内通胀处于</w:t>
      </w:r>
      <w:r w:rsidR="005446E7">
        <w:rPr>
          <w:rFonts w:hint="eastAsia"/>
          <w:color w:val="auto"/>
        </w:rPr>
        <w:t>3%</w:t>
      </w:r>
      <w:r w:rsidR="005446E7">
        <w:rPr>
          <w:rFonts w:hint="eastAsia"/>
          <w:color w:val="auto"/>
        </w:rPr>
        <w:t>以下的背景下，央行延续</w:t>
      </w:r>
      <w:r w:rsidR="005446E7">
        <w:rPr>
          <w:rFonts w:hint="eastAsia"/>
          <w:color w:val="auto"/>
        </w:rPr>
        <w:t>MLF+</w:t>
      </w:r>
      <w:r w:rsidR="005446E7">
        <w:rPr>
          <w:rFonts w:hint="eastAsia"/>
          <w:color w:val="auto"/>
        </w:rPr>
        <w:t>逆回购的流动性调控思路，</w:t>
      </w:r>
      <w:r w:rsidR="00747684">
        <w:rPr>
          <w:rFonts w:hint="eastAsia"/>
          <w:color w:val="auto"/>
        </w:rPr>
        <w:t>因而</w:t>
      </w:r>
      <w:r w:rsidR="005446E7">
        <w:rPr>
          <w:rFonts w:hint="eastAsia"/>
          <w:color w:val="auto"/>
        </w:rPr>
        <w:t>整体流动性</w:t>
      </w:r>
      <w:r w:rsidR="0062330C">
        <w:rPr>
          <w:rFonts w:hint="eastAsia"/>
          <w:color w:val="auto"/>
        </w:rPr>
        <w:t>处于</w:t>
      </w:r>
      <w:r w:rsidR="005446E7">
        <w:rPr>
          <w:rFonts w:hint="eastAsia"/>
          <w:color w:val="auto"/>
        </w:rPr>
        <w:t>合理</w:t>
      </w:r>
      <w:r w:rsidR="0062330C">
        <w:rPr>
          <w:rFonts w:hint="eastAsia"/>
          <w:color w:val="auto"/>
        </w:rPr>
        <w:t>区间</w:t>
      </w:r>
      <w:r w:rsidR="005446E7">
        <w:rPr>
          <w:rFonts w:hint="eastAsia"/>
          <w:color w:val="auto"/>
        </w:rPr>
        <w:t>应当是无忧的。</w:t>
      </w:r>
      <w:r w:rsidR="00747684">
        <w:rPr>
          <w:rFonts w:hint="eastAsia"/>
          <w:color w:val="auto"/>
        </w:rPr>
        <w:t>从政策面来看，</w:t>
      </w:r>
      <w:r w:rsidR="00BD102C">
        <w:rPr>
          <w:rFonts w:hint="eastAsia"/>
          <w:color w:val="auto"/>
        </w:rPr>
        <w:t>政府暂缓注册制，并对战略新兴板由</w:t>
      </w:r>
      <w:r w:rsidR="00773408">
        <w:rPr>
          <w:rFonts w:hint="eastAsia"/>
          <w:color w:val="auto"/>
        </w:rPr>
        <w:t>前期的“积极推进”转变为了“尚在研究”，加上引导全国养老金入市等等举措，均表现出了监管层对于市场的呵护态度。因而，总体来看，我们认为，</w:t>
      </w:r>
      <w:r w:rsidR="00F101D2">
        <w:rPr>
          <w:rFonts w:hint="eastAsia"/>
          <w:color w:val="auto"/>
        </w:rPr>
        <w:t>短期内</w:t>
      </w:r>
      <w:r w:rsidR="00773408">
        <w:rPr>
          <w:rFonts w:hint="eastAsia"/>
          <w:color w:val="auto"/>
        </w:rPr>
        <w:t>市场</w:t>
      </w:r>
      <w:r w:rsidR="00F101D2">
        <w:rPr>
          <w:rFonts w:hint="eastAsia"/>
          <w:color w:val="auto"/>
        </w:rPr>
        <w:t>风险</w:t>
      </w:r>
      <w:r w:rsidR="00773408">
        <w:rPr>
          <w:rFonts w:hint="eastAsia"/>
          <w:color w:val="auto"/>
        </w:rPr>
        <w:t>整体</w:t>
      </w:r>
      <w:r w:rsidR="00F101D2">
        <w:rPr>
          <w:rFonts w:hint="eastAsia"/>
          <w:color w:val="auto"/>
        </w:rPr>
        <w:t>可控</w:t>
      </w:r>
      <w:r w:rsidR="00773408">
        <w:rPr>
          <w:rFonts w:hint="eastAsia"/>
          <w:color w:val="auto"/>
        </w:rPr>
        <w:t>，</w:t>
      </w:r>
      <w:r w:rsidR="00F101D2">
        <w:rPr>
          <w:rFonts w:hint="eastAsia"/>
          <w:color w:val="auto"/>
        </w:rPr>
        <w:t>但</w:t>
      </w:r>
      <w:r w:rsidR="00773408">
        <w:rPr>
          <w:rFonts w:hint="eastAsia"/>
          <w:color w:val="auto"/>
        </w:rPr>
        <w:t>震荡波动仍会贯穿</w:t>
      </w:r>
      <w:r w:rsidR="00F101D2">
        <w:rPr>
          <w:rFonts w:hint="eastAsia"/>
          <w:color w:val="auto"/>
        </w:rPr>
        <w:t>。</w:t>
      </w:r>
    </w:p>
    <w:p w:rsidR="00FE6B68" w:rsidRDefault="00FE6B68" w:rsidP="00FE6B68">
      <w:pPr>
        <w:pStyle w:val="a0"/>
        <w:widowControl/>
        <w:numPr>
          <w:ilvl w:val="5"/>
          <w:numId w:val="4"/>
        </w:numPr>
        <w:rPr>
          <w:color w:val="auto"/>
        </w:rPr>
      </w:pPr>
      <w:r>
        <w:rPr>
          <w:rFonts w:hint="eastAsia"/>
          <w:color w:val="auto"/>
        </w:rPr>
        <w:t>板块配置方面，建议关注</w:t>
      </w:r>
      <w:r w:rsidR="00F101D2">
        <w:rPr>
          <w:rFonts w:hint="eastAsia"/>
          <w:color w:val="auto"/>
        </w:rPr>
        <w:t>兼顾成长与周期的品种。主题方面，可关注稀土、建材、钢铁、煤炭等供给</w:t>
      </w:r>
      <w:proofErr w:type="gramStart"/>
      <w:r w:rsidR="00F101D2">
        <w:rPr>
          <w:rFonts w:hint="eastAsia"/>
          <w:color w:val="auto"/>
        </w:rPr>
        <w:t>侧改革</w:t>
      </w:r>
      <w:proofErr w:type="gramEnd"/>
      <w:r w:rsidR="00F101D2">
        <w:rPr>
          <w:rFonts w:hint="eastAsia"/>
          <w:color w:val="auto"/>
        </w:rPr>
        <w:t>相关产业，以及高校改革、特斯拉产业链、</w:t>
      </w:r>
      <w:r w:rsidR="00F101D2">
        <w:rPr>
          <w:rFonts w:hint="eastAsia"/>
          <w:color w:val="auto"/>
        </w:rPr>
        <w:t>VR</w:t>
      </w:r>
      <w:r w:rsidR="00F101D2">
        <w:rPr>
          <w:rFonts w:hint="eastAsia"/>
          <w:color w:val="auto"/>
        </w:rPr>
        <w:t>、无人驾驶、人工智能等等领域的投资机会</w:t>
      </w:r>
      <w:r w:rsidRPr="00FE6B68">
        <w:rPr>
          <w:rFonts w:hint="eastAsia"/>
          <w:color w:val="auto"/>
        </w:rPr>
        <w:t>。</w:t>
      </w:r>
    </w:p>
    <w:p w:rsidR="00EE7C0D" w:rsidRDefault="00EE7C0D" w:rsidP="00EE7C0D">
      <w:pPr>
        <w:pStyle w:val="14"/>
        <w:ind w:leftChars="1890"/>
        <w:rPr>
          <w:color w:val="auto"/>
        </w:rPr>
      </w:pPr>
      <w:r w:rsidRPr="002162C3">
        <w:rPr>
          <w:rFonts w:hint="eastAsia"/>
          <w:color w:val="auto"/>
        </w:rPr>
        <w:lastRenderedPageBreak/>
        <w:t>第</w:t>
      </w:r>
      <w:r>
        <w:rPr>
          <w:rFonts w:hint="eastAsia"/>
          <w:color w:val="auto"/>
        </w:rPr>
        <w:t>二</w:t>
      </w:r>
      <w:r w:rsidRPr="002162C3">
        <w:rPr>
          <w:rFonts w:hint="eastAsia"/>
          <w:color w:val="auto"/>
        </w:rPr>
        <w:t>部分</w:t>
      </w:r>
      <w:r w:rsidRPr="002162C3">
        <w:rPr>
          <w:rFonts w:hint="eastAsia"/>
          <w:color w:val="auto"/>
        </w:rPr>
        <w:t xml:space="preserve">  </w:t>
      </w:r>
      <w:r w:rsidR="008D082C">
        <w:rPr>
          <w:rFonts w:hint="eastAsia"/>
          <w:color w:val="auto"/>
        </w:rPr>
        <w:t>二季</w:t>
      </w:r>
      <w:r>
        <w:rPr>
          <w:rFonts w:hint="eastAsia"/>
          <w:color w:val="auto"/>
        </w:rPr>
        <w:t>度阳光</w:t>
      </w:r>
      <w:r w:rsidRPr="002162C3">
        <w:rPr>
          <w:rFonts w:hint="eastAsia"/>
          <w:color w:val="auto"/>
        </w:rPr>
        <w:t>私募基金投资策略</w:t>
      </w:r>
    </w:p>
    <w:p w:rsidR="00C00699" w:rsidRPr="00796DB7" w:rsidRDefault="007B5DBE" w:rsidP="007B5DBE">
      <w:pPr>
        <w:pStyle w:val="a0"/>
        <w:numPr>
          <w:ilvl w:val="4"/>
          <w:numId w:val="3"/>
        </w:numPr>
        <w:rPr>
          <w:color w:val="auto"/>
        </w:rPr>
      </w:pPr>
      <w:r w:rsidRPr="00796DB7">
        <w:rPr>
          <w:rFonts w:hint="eastAsia"/>
          <w:color w:val="auto"/>
        </w:rPr>
        <w:t>基于前文对于宏观环境和</w:t>
      </w:r>
      <w:r w:rsidRPr="00796DB7">
        <w:rPr>
          <w:rFonts w:hint="eastAsia"/>
          <w:color w:val="auto"/>
        </w:rPr>
        <w:t>A</w:t>
      </w:r>
      <w:r w:rsidRPr="00796DB7">
        <w:rPr>
          <w:rFonts w:hint="eastAsia"/>
          <w:color w:val="auto"/>
        </w:rPr>
        <w:t>股市场的分析，</w:t>
      </w:r>
      <w:r w:rsidR="00E407E0" w:rsidRPr="00796DB7">
        <w:rPr>
          <w:rFonts w:hint="eastAsia"/>
          <w:color w:val="auto"/>
        </w:rPr>
        <w:t>市场在大的国际国内环境相对平稳和流动性适中的背景下，</w:t>
      </w:r>
      <w:r w:rsidR="00013952" w:rsidRPr="00796DB7">
        <w:rPr>
          <w:rFonts w:hint="eastAsia"/>
          <w:color w:val="auto"/>
        </w:rPr>
        <w:t>股票市场</w:t>
      </w:r>
      <w:r w:rsidR="0003556E">
        <w:rPr>
          <w:rFonts w:hint="eastAsia"/>
          <w:color w:val="auto"/>
        </w:rPr>
        <w:t>投资机会</w:t>
      </w:r>
      <w:r w:rsidR="00013952" w:rsidRPr="00796DB7">
        <w:rPr>
          <w:rFonts w:hint="eastAsia"/>
          <w:color w:val="auto"/>
        </w:rPr>
        <w:t>短期有望延续</w:t>
      </w:r>
      <w:r w:rsidR="004664E5" w:rsidRPr="00796DB7">
        <w:rPr>
          <w:rFonts w:hint="eastAsia"/>
          <w:color w:val="auto"/>
        </w:rPr>
        <w:t>。不过，潜在的风险点始终伴随，因而震荡波动</w:t>
      </w:r>
      <w:r w:rsidR="00E23904">
        <w:rPr>
          <w:rFonts w:hint="eastAsia"/>
          <w:color w:val="auto"/>
        </w:rPr>
        <w:t>才</w:t>
      </w:r>
      <w:r w:rsidR="00796DB7" w:rsidRPr="00796DB7">
        <w:rPr>
          <w:rFonts w:hint="eastAsia"/>
          <w:color w:val="auto"/>
        </w:rPr>
        <w:t>会是二季度的主旋律。</w:t>
      </w:r>
      <w:r w:rsidR="0040516E" w:rsidRPr="00796DB7">
        <w:rPr>
          <w:rFonts w:hint="eastAsia"/>
          <w:color w:val="auto"/>
        </w:rPr>
        <w:t>基于此，</w:t>
      </w:r>
      <w:r w:rsidR="00492056" w:rsidRPr="00796DB7">
        <w:rPr>
          <w:rFonts w:hint="eastAsia"/>
          <w:color w:val="auto"/>
        </w:rPr>
        <w:t>落实到阳光私募基金的投资上，</w:t>
      </w:r>
      <w:r w:rsidR="005F5478" w:rsidRPr="00796DB7">
        <w:rPr>
          <w:rFonts w:hint="eastAsia"/>
          <w:color w:val="auto"/>
        </w:rPr>
        <w:t>我们建议</w:t>
      </w:r>
      <w:r w:rsidR="00893E2B" w:rsidRPr="00796DB7">
        <w:rPr>
          <w:rFonts w:hint="eastAsia"/>
          <w:color w:val="auto"/>
        </w:rPr>
        <w:t>投资者应当</w:t>
      </w:r>
      <w:r w:rsidR="003B0B13" w:rsidRPr="00796DB7">
        <w:rPr>
          <w:rFonts w:hint="eastAsia"/>
          <w:color w:val="auto"/>
        </w:rPr>
        <w:t>继续防范市场波动，在此基础上适度提高组合配置的积极性。</w:t>
      </w:r>
    </w:p>
    <w:p w:rsidR="002B1398" w:rsidRDefault="002B1398" w:rsidP="002B1398">
      <w:pPr>
        <w:pStyle w:val="a0"/>
        <w:widowControl/>
        <w:numPr>
          <w:ilvl w:val="5"/>
          <w:numId w:val="4"/>
        </w:numPr>
        <w:rPr>
          <w:color w:val="auto"/>
        </w:rPr>
      </w:pPr>
      <w:r>
        <w:rPr>
          <w:rFonts w:hint="eastAsia"/>
          <w:color w:val="auto"/>
        </w:rPr>
        <w:t>在机会的把握方面，经济数据回温叠加美联储加息进度放缓给</w:t>
      </w:r>
      <w:r>
        <w:rPr>
          <w:rFonts w:hint="eastAsia"/>
          <w:color w:val="auto"/>
        </w:rPr>
        <w:t>A</w:t>
      </w:r>
      <w:r>
        <w:rPr>
          <w:rFonts w:hint="eastAsia"/>
          <w:color w:val="auto"/>
        </w:rPr>
        <w:t>股带来了短期的反弹窗口，可通过多头策略、多空对冲策略等偏高风险策略适度把握，但仍不可全面激进。</w:t>
      </w:r>
      <w:r w:rsidR="00635641">
        <w:rPr>
          <w:rFonts w:hint="eastAsia"/>
          <w:color w:val="auto"/>
        </w:rPr>
        <w:t>同</w:t>
      </w:r>
      <w:r w:rsidR="00013952">
        <w:rPr>
          <w:rFonts w:hint="eastAsia"/>
          <w:color w:val="auto"/>
        </w:rPr>
        <w:t>时</w:t>
      </w:r>
      <w:r w:rsidR="00635641">
        <w:rPr>
          <w:rFonts w:hint="eastAsia"/>
          <w:color w:val="auto"/>
        </w:rPr>
        <w:t>，</w:t>
      </w:r>
      <w:r w:rsidR="00013952">
        <w:rPr>
          <w:rFonts w:hint="eastAsia"/>
          <w:color w:val="auto"/>
        </w:rPr>
        <w:t>建议</w:t>
      </w:r>
      <w:r w:rsidR="00635641">
        <w:rPr>
          <w:rFonts w:hint="eastAsia"/>
          <w:color w:val="auto"/>
        </w:rPr>
        <w:t>搭配管理期货策略品种，在对期货市场趋势波动机会进行把握的同时，通过其与其他策略类型较低的相关性特征，增强组合的多样化效果</w:t>
      </w:r>
      <w:r w:rsidR="00013952">
        <w:rPr>
          <w:rFonts w:hint="eastAsia"/>
          <w:color w:val="auto"/>
        </w:rPr>
        <w:t>。</w:t>
      </w:r>
      <w:r w:rsidR="00F479F0">
        <w:rPr>
          <w:rFonts w:hint="eastAsia"/>
          <w:color w:val="auto"/>
        </w:rPr>
        <w:t>对于债券市场，我们建议可短期回避。</w:t>
      </w:r>
    </w:p>
    <w:p w:rsidR="00C00699" w:rsidRDefault="003B0B13" w:rsidP="00C00699">
      <w:pPr>
        <w:pStyle w:val="a0"/>
        <w:widowControl/>
        <w:numPr>
          <w:ilvl w:val="5"/>
          <w:numId w:val="4"/>
        </w:numPr>
        <w:rPr>
          <w:color w:val="auto"/>
        </w:rPr>
      </w:pPr>
      <w:r>
        <w:rPr>
          <w:rFonts w:hint="eastAsia"/>
          <w:color w:val="auto"/>
        </w:rPr>
        <w:t>在控制波动风险方面，我们主张主动平衡风险，而非被动回避风险，即通过多策略多市场的方式中和</w:t>
      </w:r>
      <w:r w:rsidR="00955BDA">
        <w:rPr>
          <w:rFonts w:hint="eastAsia"/>
          <w:color w:val="auto"/>
        </w:rPr>
        <w:t>不同类型产品之间不同节奏的波动。</w:t>
      </w:r>
      <w:r w:rsidR="00C00699">
        <w:rPr>
          <w:rFonts w:hint="eastAsia"/>
          <w:color w:val="auto"/>
        </w:rPr>
        <w:t>既</w:t>
      </w:r>
      <w:r w:rsidR="002D7D37">
        <w:rPr>
          <w:rFonts w:hint="eastAsia"/>
          <w:color w:val="auto"/>
        </w:rPr>
        <w:t>关注市场中性策略、相对价值套利策略等品种的防御属性</w:t>
      </w:r>
      <w:r w:rsidR="00C00699">
        <w:rPr>
          <w:rFonts w:hint="eastAsia"/>
          <w:color w:val="auto"/>
        </w:rPr>
        <w:t>，</w:t>
      </w:r>
      <w:r w:rsidR="002D7D37">
        <w:rPr>
          <w:rFonts w:hint="eastAsia"/>
          <w:color w:val="auto"/>
        </w:rPr>
        <w:t>积累组合的稳健收益，同时又通过</w:t>
      </w:r>
      <w:r w:rsidR="00980340">
        <w:rPr>
          <w:rFonts w:hint="eastAsia"/>
          <w:color w:val="auto"/>
        </w:rPr>
        <w:t>搭配</w:t>
      </w:r>
      <w:r w:rsidR="002D7D37">
        <w:rPr>
          <w:rFonts w:hint="eastAsia"/>
          <w:color w:val="auto"/>
        </w:rPr>
        <w:t>股票多头策略、管理期货策略等品种，</w:t>
      </w:r>
      <w:r w:rsidR="00980340">
        <w:rPr>
          <w:rFonts w:hint="eastAsia"/>
          <w:color w:val="auto"/>
        </w:rPr>
        <w:t>在</w:t>
      </w:r>
      <w:r w:rsidR="002D7D37">
        <w:rPr>
          <w:rFonts w:hint="eastAsia"/>
          <w:color w:val="auto"/>
        </w:rPr>
        <w:t>把握</w:t>
      </w:r>
      <w:r w:rsidR="002B1398">
        <w:rPr>
          <w:rFonts w:hint="eastAsia"/>
          <w:color w:val="auto"/>
        </w:rPr>
        <w:t>A</w:t>
      </w:r>
      <w:r w:rsidR="00980340">
        <w:rPr>
          <w:rFonts w:hint="eastAsia"/>
          <w:color w:val="auto"/>
        </w:rPr>
        <w:t>股市</w:t>
      </w:r>
      <w:proofErr w:type="gramStart"/>
      <w:r w:rsidR="00980340">
        <w:rPr>
          <w:rFonts w:hint="eastAsia"/>
          <w:color w:val="auto"/>
        </w:rPr>
        <w:t>场</w:t>
      </w:r>
      <w:r w:rsidR="002B1398">
        <w:rPr>
          <w:rFonts w:hint="eastAsia"/>
          <w:color w:val="auto"/>
        </w:rPr>
        <w:t>反弹</w:t>
      </w:r>
      <w:proofErr w:type="gramEnd"/>
      <w:r w:rsidR="002B1398">
        <w:rPr>
          <w:rFonts w:hint="eastAsia"/>
          <w:color w:val="auto"/>
        </w:rPr>
        <w:t>机会以及期货市场的趋势波动机会</w:t>
      </w:r>
      <w:r w:rsidR="00980340">
        <w:rPr>
          <w:rFonts w:hint="eastAsia"/>
          <w:color w:val="auto"/>
        </w:rPr>
        <w:t>的同时，</w:t>
      </w:r>
      <w:r w:rsidR="00053C2D">
        <w:rPr>
          <w:rFonts w:hint="eastAsia"/>
          <w:color w:val="auto"/>
        </w:rPr>
        <w:t>利用</w:t>
      </w:r>
      <w:r w:rsidR="00980340">
        <w:rPr>
          <w:rFonts w:hint="eastAsia"/>
          <w:color w:val="auto"/>
        </w:rPr>
        <w:t>多样化手段分散组合总体风险</w:t>
      </w:r>
      <w:r w:rsidR="002B1398">
        <w:rPr>
          <w:rFonts w:hint="eastAsia"/>
          <w:color w:val="auto"/>
        </w:rPr>
        <w:t>。</w:t>
      </w:r>
      <w:r w:rsidR="002D7D37">
        <w:rPr>
          <w:rFonts w:hint="eastAsia"/>
          <w:color w:val="auto"/>
        </w:rPr>
        <w:t xml:space="preserve"> </w:t>
      </w:r>
    </w:p>
    <w:p w:rsidR="00A96592" w:rsidRDefault="002D53B0" w:rsidP="00A96592">
      <w:pPr>
        <w:pStyle w:val="a0"/>
        <w:rPr>
          <w:b/>
          <w:color w:val="auto"/>
        </w:rPr>
      </w:pPr>
      <w:r>
        <w:rPr>
          <w:rFonts w:hint="eastAsia"/>
          <w:b/>
          <w:color w:val="auto"/>
        </w:rPr>
        <w:t xml:space="preserve">2.1  </w:t>
      </w:r>
      <w:r>
        <w:rPr>
          <w:rFonts w:hint="eastAsia"/>
          <w:b/>
          <w:color w:val="auto"/>
        </w:rPr>
        <w:t>偏高风险策略私募基金</w:t>
      </w:r>
    </w:p>
    <w:p w:rsidR="002D53B0" w:rsidRPr="00A96592" w:rsidRDefault="002D53B0" w:rsidP="00A96592">
      <w:pPr>
        <w:pStyle w:val="a0"/>
        <w:rPr>
          <w:b/>
          <w:color w:val="auto"/>
        </w:rPr>
      </w:pPr>
      <w:r>
        <w:rPr>
          <w:rFonts w:hint="eastAsia"/>
          <w:b/>
          <w:color w:val="auto"/>
        </w:rPr>
        <w:t xml:space="preserve">2.1.1  </w:t>
      </w:r>
      <w:r w:rsidR="008A6E22">
        <w:rPr>
          <w:rFonts w:hint="eastAsia"/>
          <w:b/>
          <w:color w:val="auto"/>
        </w:rPr>
        <w:t>股票</w:t>
      </w:r>
      <w:r w:rsidR="001B596F">
        <w:rPr>
          <w:rFonts w:hint="eastAsia"/>
          <w:b/>
          <w:color w:val="auto"/>
        </w:rPr>
        <w:t>多头策略：</w:t>
      </w:r>
      <w:r w:rsidR="008A6E22">
        <w:rPr>
          <w:rFonts w:hint="eastAsia"/>
          <w:b/>
          <w:color w:val="auto"/>
        </w:rPr>
        <w:t>不忘潜在风险，暖风下适度积极</w:t>
      </w:r>
    </w:p>
    <w:p w:rsidR="00FA70F4" w:rsidRDefault="00E23904" w:rsidP="0024414C">
      <w:pPr>
        <w:pStyle w:val="a0"/>
        <w:numPr>
          <w:ilvl w:val="4"/>
          <w:numId w:val="3"/>
        </w:numPr>
        <w:rPr>
          <w:color w:val="auto"/>
        </w:rPr>
      </w:pPr>
      <w:r>
        <w:rPr>
          <w:rFonts w:hint="eastAsia"/>
          <w:color w:val="auto"/>
        </w:rPr>
        <w:t>最新公布的一季度经济数据和</w:t>
      </w:r>
      <w:r w:rsidR="00B21885">
        <w:rPr>
          <w:rFonts w:hint="eastAsia"/>
          <w:color w:val="auto"/>
        </w:rPr>
        <w:t>3</w:t>
      </w:r>
      <w:r w:rsidR="00B21885">
        <w:rPr>
          <w:rFonts w:hint="eastAsia"/>
          <w:color w:val="auto"/>
        </w:rPr>
        <w:t>月份</w:t>
      </w:r>
      <w:r>
        <w:rPr>
          <w:rFonts w:hint="eastAsia"/>
          <w:color w:val="auto"/>
        </w:rPr>
        <w:t>经济数据</w:t>
      </w:r>
      <w:r w:rsidR="00B21885">
        <w:rPr>
          <w:rFonts w:hint="eastAsia"/>
          <w:color w:val="auto"/>
        </w:rPr>
        <w:t>为市场带来了短暂的信心修复，</w:t>
      </w:r>
      <w:r w:rsidR="003D57F4">
        <w:rPr>
          <w:rFonts w:hint="eastAsia"/>
          <w:color w:val="auto"/>
        </w:rPr>
        <w:t>预计二季度基建投资、地产投资仍将是支撑整体经济增长的主力，消费和出口短期内全面回暖的可能性较低。</w:t>
      </w:r>
      <w:r w:rsidR="00923E17">
        <w:rPr>
          <w:rFonts w:hint="eastAsia"/>
          <w:color w:val="auto"/>
        </w:rPr>
        <w:t>整体经济复苏的持续性还有待甄别，</w:t>
      </w:r>
      <w:r w:rsidR="0024414C">
        <w:rPr>
          <w:rFonts w:hint="eastAsia"/>
          <w:color w:val="auto"/>
        </w:rPr>
        <w:t>还</w:t>
      </w:r>
      <w:r w:rsidR="0024414C" w:rsidRPr="0024414C">
        <w:rPr>
          <w:rFonts w:hint="eastAsia"/>
          <w:color w:val="auto"/>
        </w:rPr>
        <w:t>需持续跟踪房地产</w:t>
      </w:r>
      <w:r w:rsidR="0024414C">
        <w:rPr>
          <w:rFonts w:hint="eastAsia"/>
          <w:color w:val="auto"/>
        </w:rPr>
        <w:t>、</w:t>
      </w:r>
      <w:r w:rsidR="0024414C" w:rsidRPr="0024414C">
        <w:rPr>
          <w:rFonts w:hint="eastAsia"/>
          <w:color w:val="auto"/>
        </w:rPr>
        <w:t>钢铁销量、库存等</w:t>
      </w:r>
      <w:r w:rsidR="0024414C">
        <w:rPr>
          <w:rFonts w:hint="eastAsia"/>
          <w:color w:val="auto"/>
        </w:rPr>
        <w:t>等</w:t>
      </w:r>
      <w:r w:rsidR="0024414C" w:rsidRPr="0024414C">
        <w:rPr>
          <w:rFonts w:hint="eastAsia"/>
          <w:color w:val="auto"/>
        </w:rPr>
        <w:t>高频数据。</w:t>
      </w:r>
      <w:r w:rsidR="00BE0F1F">
        <w:rPr>
          <w:rFonts w:hint="eastAsia"/>
          <w:color w:val="auto"/>
        </w:rPr>
        <w:t>另外，从海外环境来看，</w:t>
      </w:r>
      <w:r w:rsidR="0026576B">
        <w:rPr>
          <w:rFonts w:hint="eastAsia"/>
          <w:color w:val="auto"/>
        </w:rPr>
        <w:t>美联储加息延后为市场</w:t>
      </w:r>
      <w:r w:rsidR="00777E2C">
        <w:rPr>
          <w:rFonts w:hint="eastAsia"/>
          <w:color w:val="auto"/>
        </w:rPr>
        <w:t>短期</w:t>
      </w:r>
      <w:r w:rsidR="0026576B">
        <w:rPr>
          <w:rFonts w:hint="eastAsia"/>
          <w:color w:val="auto"/>
        </w:rPr>
        <w:t>创造了相对宽松的环境，</w:t>
      </w:r>
      <w:r w:rsidR="00777E2C">
        <w:rPr>
          <w:rFonts w:hint="eastAsia"/>
          <w:color w:val="auto"/>
        </w:rPr>
        <w:t>但</w:t>
      </w:r>
      <w:r w:rsidR="00777E2C">
        <w:rPr>
          <w:rFonts w:hint="eastAsia"/>
          <w:color w:val="auto"/>
        </w:rPr>
        <w:t>6</w:t>
      </w:r>
      <w:r w:rsidR="00777E2C">
        <w:rPr>
          <w:rFonts w:hint="eastAsia"/>
          <w:color w:val="auto"/>
        </w:rPr>
        <w:t>月份的议</w:t>
      </w:r>
      <w:proofErr w:type="gramStart"/>
      <w:r w:rsidR="00777E2C">
        <w:rPr>
          <w:rFonts w:hint="eastAsia"/>
          <w:color w:val="auto"/>
        </w:rPr>
        <w:t>息会议</w:t>
      </w:r>
      <w:proofErr w:type="gramEnd"/>
      <w:r w:rsidR="00414BCA">
        <w:rPr>
          <w:rFonts w:hint="eastAsia"/>
          <w:color w:val="auto"/>
        </w:rPr>
        <w:t>是否存在变数将会是二季度比较重要的风险点所在。而且，供给</w:t>
      </w:r>
      <w:proofErr w:type="gramStart"/>
      <w:r w:rsidR="00414BCA">
        <w:rPr>
          <w:rFonts w:hint="eastAsia"/>
          <w:color w:val="auto"/>
        </w:rPr>
        <w:t>侧改革</w:t>
      </w:r>
      <w:proofErr w:type="gramEnd"/>
      <w:r w:rsidR="00414BCA">
        <w:rPr>
          <w:rFonts w:hint="eastAsia"/>
          <w:color w:val="auto"/>
        </w:rPr>
        <w:t>的推进速度、通货膨胀的上升幅度、人民币汇率的稳定程度等等因素，都是整个二季度需要关注的潜在风险所在，因此，</w:t>
      </w:r>
      <w:r w:rsidR="001B6F65">
        <w:rPr>
          <w:rFonts w:hint="eastAsia"/>
          <w:color w:val="auto"/>
        </w:rPr>
        <w:t>在扰动因素伴随的</w:t>
      </w:r>
      <w:r w:rsidR="00AE476B">
        <w:rPr>
          <w:rFonts w:hint="eastAsia"/>
          <w:color w:val="auto"/>
        </w:rPr>
        <w:t>二季度</w:t>
      </w:r>
      <w:r w:rsidR="001B6F65">
        <w:rPr>
          <w:rFonts w:hint="eastAsia"/>
          <w:color w:val="auto"/>
        </w:rPr>
        <w:t>预计</w:t>
      </w:r>
      <w:r w:rsidR="00AE476B">
        <w:rPr>
          <w:rFonts w:hint="eastAsia"/>
          <w:color w:val="auto"/>
        </w:rPr>
        <w:t>市场震荡波动将是大概率事件，短期内在政策呵护市场的作用下，投资机会依旧有望延续，只是上升空间不会太高。</w:t>
      </w:r>
    </w:p>
    <w:p w:rsidR="00931A6B" w:rsidRDefault="00541002" w:rsidP="00222FE3">
      <w:pPr>
        <w:pStyle w:val="a0"/>
        <w:numPr>
          <w:ilvl w:val="4"/>
          <w:numId w:val="3"/>
        </w:numPr>
        <w:rPr>
          <w:color w:val="auto"/>
        </w:rPr>
      </w:pPr>
      <w:r>
        <w:rPr>
          <w:rFonts w:hint="eastAsia"/>
          <w:color w:val="auto"/>
        </w:rPr>
        <w:t>在此背景下，</w:t>
      </w:r>
      <w:r w:rsidRPr="005C3E72">
        <w:rPr>
          <w:rFonts w:hint="eastAsia"/>
          <w:color w:val="auto"/>
        </w:rPr>
        <w:t>就阳光私募基金投资而言，</w:t>
      </w:r>
      <w:r w:rsidR="00882A14">
        <w:rPr>
          <w:rFonts w:hint="eastAsia"/>
          <w:color w:val="auto"/>
        </w:rPr>
        <w:t>可考虑适度提高积极程度，</w:t>
      </w:r>
      <w:r w:rsidR="00931A6B">
        <w:rPr>
          <w:rFonts w:hint="eastAsia"/>
          <w:color w:val="auto"/>
        </w:rPr>
        <w:t>在组合中</w:t>
      </w:r>
      <w:r w:rsidR="00DA5D88">
        <w:rPr>
          <w:rFonts w:hint="eastAsia"/>
          <w:color w:val="auto"/>
        </w:rPr>
        <w:t>对于主要投资</w:t>
      </w:r>
      <w:r w:rsidR="00DA5D88">
        <w:rPr>
          <w:rFonts w:hint="eastAsia"/>
          <w:color w:val="auto"/>
        </w:rPr>
        <w:t>A</w:t>
      </w:r>
      <w:r w:rsidR="00DA5D88">
        <w:rPr>
          <w:rFonts w:hint="eastAsia"/>
          <w:color w:val="auto"/>
        </w:rPr>
        <w:t>股市场的股票多头策略和多空对冲策略品种</w:t>
      </w:r>
      <w:r w:rsidR="00931A6B">
        <w:rPr>
          <w:rFonts w:hint="eastAsia"/>
          <w:color w:val="auto"/>
        </w:rPr>
        <w:t>可适度提高其具体管理人选择时的风险等级，但不可过度激进，</w:t>
      </w:r>
      <w:r w:rsidR="001B6F65">
        <w:rPr>
          <w:rFonts w:hint="eastAsia"/>
          <w:color w:val="auto"/>
        </w:rPr>
        <w:t>应注重对于能力的考核</w:t>
      </w:r>
      <w:r w:rsidR="00E43091">
        <w:rPr>
          <w:rFonts w:hint="eastAsia"/>
          <w:color w:val="auto"/>
        </w:rPr>
        <w:t>。考虑到</w:t>
      </w:r>
      <w:r w:rsidR="008A6C27">
        <w:rPr>
          <w:rFonts w:hint="eastAsia"/>
          <w:color w:val="auto"/>
        </w:rPr>
        <w:t>供给侧结构性改革将是今年全年的主基调，因而在</w:t>
      </w:r>
      <w:r w:rsidR="00E43091">
        <w:rPr>
          <w:rFonts w:hint="eastAsia"/>
          <w:color w:val="auto"/>
        </w:rPr>
        <w:t>二季度</w:t>
      </w:r>
      <w:r w:rsidR="008A6C27">
        <w:rPr>
          <w:rFonts w:hint="eastAsia"/>
          <w:color w:val="auto"/>
        </w:rPr>
        <w:t>短期反弹中，对于</w:t>
      </w:r>
      <w:r w:rsidR="00E541E1">
        <w:rPr>
          <w:rFonts w:hint="eastAsia"/>
          <w:color w:val="auto"/>
        </w:rPr>
        <w:t>受益于</w:t>
      </w:r>
      <w:r w:rsidR="008A6C27">
        <w:rPr>
          <w:rFonts w:hint="eastAsia"/>
          <w:color w:val="auto"/>
        </w:rPr>
        <w:t>供给</w:t>
      </w:r>
      <w:proofErr w:type="gramStart"/>
      <w:r w:rsidR="008A6C27">
        <w:rPr>
          <w:rFonts w:hint="eastAsia"/>
          <w:color w:val="auto"/>
        </w:rPr>
        <w:t>侧改革</w:t>
      </w:r>
      <w:proofErr w:type="gramEnd"/>
      <w:r w:rsidR="008A6C27">
        <w:rPr>
          <w:rFonts w:hint="eastAsia"/>
          <w:color w:val="auto"/>
        </w:rPr>
        <w:t>的</w:t>
      </w:r>
      <w:r w:rsidR="00EF178F">
        <w:rPr>
          <w:rFonts w:hint="eastAsia"/>
          <w:color w:val="auto"/>
        </w:rPr>
        <w:t>投资</w:t>
      </w:r>
      <w:r w:rsidR="008A6C27">
        <w:rPr>
          <w:rFonts w:hint="eastAsia"/>
          <w:color w:val="auto"/>
        </w:rPr>
        <w:t>机会</w:t>
      </w:r>
      <w:r w:rsidR="00EF178F">
        <w:rPr>
          <w:rFonts w:hint="eastAsia"/>
          <w:color w:val="auto"/>
        </w:rPr>
        <w:t>，如煤炭、钢铁等传统周期行业龙头</w:t>
      </w:r>
      <w:r w:rsidR="00E541E1">
        <w:rPr>
          <w:rFonts w:hint="eastAsia"/>
          <w:color w:val="auto"/>
        </w:rPr>
        <w:t>，环保、医疗、旅游等供给扩张型行业，</w:t>
      </w:r>
      <w:r w:rsidR="00880B26">
        <w:rPr>
          <w:rFonts w:hint="eastAsia"/>
          <w:color w:val="auto"/>
        </w:rPr>
        <w:t>涨价型的化工子行业等等，</w:t>
      </w:r>
      <w:r w:rsidR="003367F5">
        <w:rPr>
          <w:rFonts w:hint="eastAsia"/>
          <w:color w:val="auto"/>
        </w:rPr>
        <w:t>均可给与关注。因而在私募基金管理人的选择中，</w:t>
      </w:r>
      <w:r w:rsidR="00C51180">
        <w:rPr>
          <w:rFonts w:hint="eastAsia"/>
          <w:color w:val="auto"/>
        </w:rPr>
        <w:t>应注重</w:t>
      </w:r>
      <w:r w:rsidR="003367F5">
        <w:rPr>
          <w:rFonts w:hint="eastAsia"/>
          <w:color w:val="auto"/>
        </w:rPr>
        <w:t>灵活选</w:t>
      </w:r>
      <w:proofErr w:type="gramStart"/>
      <w:r w:rsidR="003367F5">
        <w:rPr>
          <w:rFonts w:hint="eastAsia"/>
          <w:color w:val="auto"/>
        </w:rPr>
        <w:t>股能力</w:t>
      </w:r>
      <w:proofErr w:type="gramEnd"/>
      <w:r w:rsidR="00C51180">
        <w:rPr>
          <w:rFonts w:hint="eastAsia"/>
          <w:color w:val="auto"/>
        </w:rPr>
        <w:t>的把握，筛选具有较强选</w:t>
      </w:r>
      <w:proofErr w:type="gramStart"/>
      <w:r w:rsidR="00C51180">
        <w:rPr>
          <w:rFonts w:hint="eastAsia"/>
          <w:color w:val="auto"/>
        </w:rPr>
        <w:t>股能力</w:t>
      </w:r>
      <w:proofErr w:type="gramEnd"/>
      <w:r w:rsidR="00C51180">
        <w:rPr>
          <w:rFonts w:hint="eastAsia"/>
          <w:color w:val="auto"/>
        </w:rPr>
        <w:t>和投资灵活性的品种，布局热点投资机会。</w:t>
      </w:r>
    </w:p>
    <w:p w:rsidR="005C56F1" w:rsidRPr="00E8719C" w:rsidRDefault="00393F0E" w:rsidP="00E8719C">
      <w:pPr>
        <w:pStyle w:val="a0"/>
        <w:widowControl/>
        <w:numPr>
          <w:ilvl w:val="5"/>
          <w:numId w:val="4"/>
        </w:numPr>
        <w:rPr>
          <w:color w:val="auto"/>
        </w:rPr>
      </w:pPr>
      <w:r w:rsidRPr="00E8719C">
        <w:rPr>
          <w:rFonts w:hint="eastAsia"/>
          <w:color w:val="auto"/>
        </w:rPr>
        <w:t>选</w:t>
      </w:r>
      <w:proofErr w:type="gramStart"/>
      <w:r w:rsidRPr="00E8719C">
        <w:rPr>
          <w:rFonts w:hint="eastAsia"/>
          <w:color w:val="auto"/>
        </w:rPr>
        <w:t>股能力</w:t>
      </w:r>
      <w:proofErr w:type="gramEnd"/>
      <w:r w:rsidRPr="00E8719C">
        <w:rPr>
          <w:rFonts w:hint="eastAsia"/>
          <w:color w:val="auto"/>
        </w:rPr>
        <w:t>较强的品种在各种市场环境下对于投资机会的把握均能表现出一定的优势</w:t>
      </w:r>
      <w:r w:rsidR="00E8719C" w:rsidRPr="00E8719C">
        <w:rPr>
          <w:rFonts w:hint="eastAsia"/>
          <w:color w:val="auto"/>
        </w:rPr>
        <w:t>。</w:t>
      </w:r>
      <w:r w:rsidR="007B2772" w:rsidRPr="00E8719C">
        <w:rPr>
          <w:rFonts w:hint="eastAsia"/>
          <w:color w:val="auto"/>
        </w:rPr>
        <w:t>我们选取截止</w:t>
      </w:r>
      <w:r w:rsidR="007B2772" w:rsidRPr="00E8719C">
        <w:rPr>
          <w:rFonts w:hint="eastAsia"/>
          <w:color w:val="auto"/>
        </w:rPr>
        <w:t>2016</w:t>
      </w:r>
      <w:r w:rsidR="007B2772" w:rsidRPr="00E8719C">
        <w:rPr>
          <w:rFonts w:hint="eastAsia"/>
          <w:color w:val="auto"/>
        </w:rPr>
        <w:t>年</w:t>
      </w:r>
      <w:r w:rsidR="007B2772" w:rsidRPr="00E8719C">
        <w:rPr>
          <w:rFonts w:hint="eastAsia"/>
          <w:color w:val="auto"/>
        </w:rPr>
        <w:t>2</w:t>
      </w:r>
      <w:r w:rsidR="007B2772" w:rsidRPr="00E8719C">
        <w:rPr>
          <w:rFonts w:hint="eastAsia"/>
          <w:color w:val="auto"/>
        </w:rPr>
        <w:t>月运作满五年的</w:t>
      </w:r>
      <w:r w:rsidR="007B2772" w:rsidRPr="00E8719C">
        <w:rPr>
          <w:rFonts w:hint="eastAsia"/>
          <w:color w:val="auto"/>
        </w:rPr>
        <w:t>393</w:t>
      </w:r>
      <w:r w:rsidR="007B2772" w:rsidRPr="00E8719C">
        <w:rPr>
          <w:rFonts w:hint="eastAsia"/>
          <w:color w:val="auto"/>
        </w:rPr>
        <w:t>只管理型股票多头策略品种，利用其月度收益率序列</w:t>
      </w:r>
      <w:r w:rsidR="00DA5EDD" w:rsidRPr="00E8719C">
        <w:rPr>
          <w:rFonts w:hint="eastAsia"/>
          <w:color w:val="auto"/>
        </w:rPr>
        <w:t>通过</w:t>
      </w:r>
      <w:r w:rsidR="00DA5EDD" w:rsidRPr="00E8719C">
        <w:rPr>
          <w:rFonts w:hint="eastAsia"/>
          <w:color w:val="auto"/>
        </w:rPr>
        <w:t>T-M</w:t>
      </w:r>
      <w:r w:rsidR="00DA5EDD" w:rsidRPr="00E8719C">
        <w:rPr>
          <w:rFonts w:hint="eastAsia"/>
          <w:color w:val="auto"/>
        </w:rPr>
        <w:t>模型</w:t>
      </w:r>
      <w:r w:rsidR="007B2772" w:rsidRPr="00E8719C">
        <w:rPr>
          <w:rFonts w:hint="eastAsia"/>
          <w:color w:val="auto"/>
        </w:rPr>
        <w:t>测算选</w:t>
      </w:r>
      <w:proofErr w:type="gramStart"/>
      <w:r w:rsidR="007B2772" w:rsidRPr="00E8719C">
        <w:rPr>
          <w:rFonts w:hint="eastAsia"/>
          <w:color w:val="auto"/>
        </w:rPr>
        <w:t>股能力</w:t>
      </w:r>
      <w:proofErr w:type="gramEnd"/>
      <w:r w:rsidR="007B2772" w:rsidRPr="00E8719C">
        <w:rPr>
          <w:rFonts w:hint="eastAsia"/>
          <w:color w:val="auto"/>
        </w:rPr>
        <w:t>指标，将样本划分为具备选</w:t>
      </w:r>
      <w:proofErr w:type="gramStart"/>
      <w:r w:rsidR="007B2772" w:rsidRPr="00E8719C">
        <w:rPr>
          <w:rFonts w:hint="eastAsia"/>
          <w:color w:val="auto"/>
        </w:rPr>
        <w:t>股能力</w:t>
      </w:r>
      <w:proofErr w:type="gramEnd"/>
      <w:r w:rsidR="007B2772" w:rsidRPr="00E8719C">
        <w:rPr>
          <w:rFonts w:hint="eastAsia"/>
          <w:color w:val="auto"/>
        </w:rPr>
        <w:t>和不具备选</w:t>
      </w:r>
      <w:proofErr w:type="gramStart"/>
      <w:r w:rsidR="007B2772" w:rsidRPr="00E8719C">
        <w:rPr>
          <w:rFonts w:hint="eastAsia"/>
          <w:color w:val="auto"/>
        </w:rPr>
        <w:t>股能力</w:t>
      </w:r>
      <w:proofErr w:type="gramEnd"/>
      <w:r w:rsidR="007B2772" w:rsidRPr="00E8719C">
        <w:rPr>
          <w:rFonts w:hint="eastAsia"/>
          <w:color w:val="auto"/>
        </w:rPr>
        <w:t>两大类别。</w:t>
      </w:r>
      <w:r w:rsidR="00DA5EDD" w:rsidRPr="00E8719C">
        <w:rPr>
          <w:rFonts w:hint="eastAsia"/>
          <w:color w:val="auto"/>
        </w:rPr>
        <w:t>分别计算这两大类样本在过去五年各个市场特征下的平均获益水平，以及统计在各个市场特征下收益排名前</w:t>
      </w:r>
      <w:r w:rsidR="00DA5EDD" w:rsidRPr="00E8719C">
        <w:rPr>
          <w:rFonts w:hint="eastAsia"/>
          <w:color w:val="auto"/>
        </w:rPr>
        <w:t>20%</w:t>
      </w:r>
      <w:r w:rsidR="00DA5EDD" w:rsidRPr="00E8719C">
        <w:rPr>
          <w:rFonts w:hint="eastAsia"/>
          <w:color w:val="auto"/>
        </w:rPr>
        <w:t>的产品中，具备选</w:t>
      </w:r>
      <w:proofErr w:type="gramStart"/>
      <w:r w:rsidR="00DA5EDD" w:rsidRPr="00E8719C">
        <w:rPr>
          <w:rFonts w:hint="eastAsia"/>
          <w:color w:val="auto"/>
        </w:rPr>
        <w:t>股能力</w:t>
      </w:r>
      <w:proofErr w:type="gramEnd"/>
      <w:r w:rsidR="00DA5EDD" w:rsidRPr="00E8719C">
        <w:rPr>
          <w:rFonts w:hint="eastAsia"/>
          <w:color w:val="auto"/>
        </w:rPr>
        <w:t>和不具备选</w:t>
      </w:r>
      <w:proofErr w:type="gramStart"/>
      <w:r w:rsidR="00DA5EDD" w:rsidRPr="00E8719C">
        <w:rPr>
          <w:rFonts w:hint="eastAsia"/>
          <w:color w:val="auto"/>
        </w:rPr>
        <w:t>股能力</w:t>
      </w:r>
      <w:proofErr w:type="gramEnd"/>
      <w:r w:rsidR="00DA5EDD" w:rsidRPr="00E8719C">
        <w:rPr>
          <w:rFonts w:hint="eastAsia"/>
          <w:color w:val="auto"/>
        </w:rPr>
        <w:t>产品的各自数量，结果如图表所示。可以看出，</w:t>
      </w:r>
      <w:r w:rsidR="00E363A7" w:rsidRPr="00E8719C">
        <w:rPr>
          <w:rFonts w:hint="eastAsia"/>
          <w:color w:val="auto"/>
        </w:rPr>
        <w:t>具备选</w:t>
      </w:r>
      <w:proofErr w:type="gramStart"/>
      <w:r w:rsidR="00E363A7" w:rsidRPr="00E8719C">
        <w:rPr>
          <w:rFonts w:hint="eastAsia"/>
          <w:color w:val="auto"/>
        </w:rPr>
        <w:t>股能力</w:t>
      </w:r>
      <w:proofErr w:type="gramEnd"/>
      <w:r w:rsidR="00E363A7" w:rsidRPr="00E8719C">
        <w:rPr>
          <w:rFonts w:hint="eastAsia"/>
          <w:color w:val="auto"/>
        </w:rPr>
        <w:t>的产品在平均收益特别是收益排名靠前的占比中表现出了明显的优势，即不论在何种环境下，优选个股都是贡献收益的主要来源</w:t>
      </w:r>
      <w:r w:rsidR="00E8719C">
        <w:rPr>
          <w:rFonts w:hint="eastAsia"/>
          <w:color w:val="auto"/>
        </w:rPr>
        <w:t>之一</w:t>
      </w:r>
      <w:r w:rsidR="00E363A7" w:rsidRPr="00E8719C">
        <w:rPr>
          <w:rFonts w:hint="eastAsia"/>
          <w:color w:val="auto"/>
        </w:rPr>
        <w:t>。因而，我们建议</w:t>
      </w:r>
      <w:r w:rsidR="0016782C" w:rsidRPr="00E8719C">
        <w:rPr>
          <w:rFonts w:hint="eastAsia"/>
          <w:color w:val="auto"/>
        </w:rPr>
        <w:t>投资者在把握市场机会方面可通过优选具备选</w:t>
      </w:r>
      <w:proofErr w:type="gramStart"/>
      <w:r w:rsidR="0016782C" w:rsidRPr="00E8719C">
        <w:rPr>
          <w:rFonts w:hint="eastAsia"/>
          <w:color w:val="auto"/>
        </w:rPr>
        <w:t>股优势</w:t>
      </w:r>
      <w:proofErr w:type="gramEnd"/>
      <w:r w:rsidR="0016782C" w:rsidRPr="00E8719C">
        <w:rPr>
          <w:rFonts w:hint="eastAsia"/>
          <w:color w:val="auto"/>
        </w:rPr>
        <w:t>的管理人来进行布局</w:t>
      </w:r>
      <w:r w:rsidR="00E8719C">
        <w:rPr>
          <w:rFonts w:hint="eastAsia"/>
          <w:color w:val="auto"/>
        </w:rPr>
        <w:t>。</w:t>
      </w:r>
    </w:p>
    <w:tbl>
      <w:tblPr>
        <w:tblStyle w:val="GJStylesChartInsertSingleCol"/>
        <w:tblW w:w="8391" w:type="dxa"/>
        <w:jc w:val="right"/>
        <w:tblLook w:val="0600" w:firstRow="0" w:lastRow="0" w:firstColumn="0" w:lastColumn="0" w:noHBand="1" w:noVBand="1"/>
      </w:tblPr>
      <w:tblGrid>
        <w:gridCol w:w="2694"/>
        <w:gridCol w:w="850"/>
        <w:gridCol w:w="851"/>
        <w:gridCol w:w="974"/>
        <w:gridCol w:w="1006"/>
        <w:gridCol w:w="1011"/>
        <w:gridCol w:w="1005"/>
      </w:tblGrid>
      <w:tr w:rsidR="00443427" w:rsidTr="00E8719C">
        <w:trPr>
          <w:tblHeader/>
          <w:jc w:val="right"/>
        </w:trPr>
        <w:tc>
          <w:tcPr>
            <w:tcW w:w="8391" w:type="dxa"/>
            <w:gridSpan w:val="7"/>
            <w:tcBorders>
              <w:bottom w:val="single" w:sz="4" w:space="0" w:color="00A0E9"/>
            </w:tcBorders>
          </w:tcPr>
          <w:p w:rsidR="00443427" w:rsidRPr="00443427" w:rsidRDefault="00443427" w:rsidP="00443427">
            <w:pPr>
              <w:pStyle w:val="GJStylesGraphTitle"/>
            </w:pPr>
            <w:r>
              <w:rPr>
                <w:rFonts w:hint="eastAsia"/>
              </w:rPr>
              <w:lastRenderedPageBreak/>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w:t>
            </w:r>
            <w:r>
              <w:fldChar w:fldCharType="end"/>
            </w:r>
            <w:r>
              <w:rPr>
                <w:rFonts w:hint="eastAsia"/>
              </w:rPr>
              <w:t>：选</w:t>
            </w:r>
            <w:proofErr w:type="gramStart"/>
            <w:r>
              <w:rPr>
                <w:rFonts w:hint="eastAsia"/>
              </w:rPr>
              <w:t>股能力</w:t>
            </w:r>
            <w:proofErr w:type="gramEnd"/>
            <w:r>
              <w:rPr>
                <w:rFonts w:hint="eastAsia"/>
              </w:rPr>
              <w:t>在各类市场中的</w:t>
            </w:r>
            <w:proofErr w:type="gramStart"/>
            <w:r>
              <w:rPr>
                <w:rFonts w:hint="eastAsia"/>
              </w:rPr>
              <w:t>普遍优势</w:t>
            </w:r>
            <w:proofErr w:type="gramEnd"/>
          </w:p>
        </w:tc>
      </w:tr>
      <w:tr w:rsidR="007B2772" w:rsidTr="00E8719C">
        <w:trPr>
          <w:trHeight w:val="451"/>
          <w:tblHeader/>
          <w:jc w:val="right"/>
        </w:trPr>
        <w:tc>
          <w:tcPr>
            <w:tcW w:w="2694" w:type="dxa"/>
            <w:tcBorders>
              <w:bottom w:val="single" w:sz="4" w:space="0" w:color="00A0E9"/>
              <w:right w:val="single" w:sz="4" w:space="0" w:color="00A0E9"/>
            </w:tcBorders>
            <w:shd w:val="clear" w:color="auto" w:fill="8DB3E2" w:themeFill="text2" w:themeFillTint="66"/>
            <w:vAlign w:val="center"/>
          </w:tcPr>
          <w:p w:rsidR="00443427" w:rsidRPr="00443427" w:rsidRDefault="00443427" w:rsidP="00443427">
            <w:pPr>
              <w:jc w:val="center"/>
              <w:rPr>
                <w:rFonts w:asciiTheme="minorEastAsia" w:eastAsiaTheme="minorEastAsia" w:hAnsiTheme="minorEastAsia" w:cs="宋体"/>
                <w:b/>
                <w:color w:val="000000"/>
                <w:sz w:val="15"/>
                <w:szCs w:val="15"/>
              </w:rPr>
            </w:pPr>
          </w:p>
        </w:tc>
        <w:tc>
          <w:tcPr>
            <w:tcW w:w="850" w:type="dxa"/>
            <w:tcBorders>
              <w:left w:val="single" w:sz="4" w:space="0" w:color="00A0E9"/>
              <w:bottom w:val="single" w:sz="4" w:space="0" w:color="00A0E9"/>
              <w:right w:val="single" w:sz="4" w:space="0" w:color="00A0E9"/>
            </w:tcBorders>
            <w:shd w:val="clear" w:color="auto" w:fill="8DB3E2" w:themeFill="text2" w:themeFillTint="66"/>
            <w:vAlign w:val="center"/>
          </w:tcPr>
          <w:p w:rsidR="00443427" w:rsidRPr="00443427" w:rsidRDefault="00443427" w:rsidP="00443427">
            <w:pPr>
              <w:jc w:val="center"/>
              <w:rPr>
                <w:rFonts w:asciiTheme="minorEastAsia" w:eastAsiaTheme="minorEastAsia" w:hAnsiTheme="minorEastAsia"/>
                <w:b/>
                <w:color w:val="000000"/>
                <w:sz w:val="15"/>
                <w:szCs w:val="15"/>
              </w:rPr>
            </w:pPr>
            <w:r w:rsidRPr="00443427">
              <w:rPr>
                <w:rFonts w:asciiTheme="minorEastAsia" w:eastAsiaTheme="minorEastAsia" w:hAnsiTheme="minorEastAsia" w:hint="eastAsia"/>
                <w:b/>
                <w:color w:val="000000"/>
                <w:sz w:val="15"/>
                <w:szCs w:val="15"/>
              </w:rPr>
              <w:t>2011</w:t>
            </w:r>
          </w:p>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熊市</w:t>
            </w:r>
          </w:p>
        </w:tc>
        <w:tc>
          <w:tcPr>
            <w:tcW w:w="851" w:type="dxa"/>
            <w:tcBorders>
              <w:left w:val="single" w:sz="4" w:space="0" w:color="00A0E9"/>
              <w:bottom w:val="single" w:sz="4" w:space="0" w:color="00A0E9"/>
              <w:right w:val="single" w:sz="4" w:space="0" w:color="00A0E9"/>
            </w:tcBorders>
            <w:shd w:val="clear" w:color="auto" w:fill="8DB3E2" w:themeFill="text2" w:themeFillTint="66"/>
            <w:vAlign w:val="center"/>
          </w:tcPr>
          <w:p w:rsidR="00443427" w:rsidRPr="00443427" w:rsidRDefault="00443427" w:rsidP="00443427">
            <w:pPr>
              <w:jc w:val="center"/>
              <w:rPr>
                <w:rFonts w:asciiTheme="minorEastAsia" w:eastAsiaTheme="minorEastAsia" w:hAnsiTheme="minorEastAsia"/>
                <w:b/>
                <w:color w:val="000000"/>
                <w:sz w:val="15"/>
                <w:szCs w:val="15"/>
              </w:rPr>
            </w:pPr>
            <w:r w:rsidRPr="00443427">
              <w:rPr>
                <w:rFonts w:asciiTheme="minorEastAsia" w:eastAsiaTheme="minorEastAsia" w:hAnsiTheme="minorEastAsia" w:hint="eastAsia"/>
                <w:b/>
                <w:color w:val="000000"/>
                <w:sz w:val="15"/>
                <w:szCs w:val="15"/>
              </w:rPr>
              <w:t>2012</w:t>
            </w:r>
          </w:p>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震荡市</w:t>
            </w:r>
          </w:p>
        </w:tc>
        <w:tc>
          <w:tcPr>
            <w:tcW w:w="974" w:type="dxa"/>
            <w:tcBorders>
              <w:left w:val="single" w:sz="4" w:space="0" w:color="00A0E9"/>
              <w:bottom w:val="single" w:sz="4" w:space="0" w:color="00A0E9"/>
              <w:right w:val="single" w:sz="4" w:space="0" w:color="00A0E9"/>
            </w:tcBorders>
            <w:shd w:val="clear" w:color="auto" w:fill="8DB3E2" w:themeFill="text2" w:themeFillTint="66"/>
            <w:vAlign w:val="center"/>
          </w:tcPr>
          <w:p w:rsidR="00443427" w:rsidRPr="00443427" w:rsidRDefault="00443427" w:rsidP="00443427">
            <w:pPr>
              <w:jc w:val="center"/>
              <w:rPr>
                <w:rFonts w:asciiTheme="minorEastAsia" w:eastAsiaTheme="minorEastAsia" w:hAnsiTheme="minorEastAsia"/>
                <w:b/>
                <w:color w:val="000000"/>
                <w:sz w:val="15"/>
                <w:szCs w:val="15"/>
              </w:rPr>
            </w:pPr>
            <w:r w:rsidRPr="00443427">
              <w:rPr>
                <w:rFonts w:asciiTheme="minorEastAsia" w:eastAsiaTheme="minorEastAsia" w:hAnsiTheme="minorEastAsia" w:hint="eastAsia"/>
                <w:b/>
                <w:color w:val="000000"/>
                <w:sz w:val="15"/>
                <w:szCs w:val="15"/>
              </w:rPr>
              <w:t>2013</w:t>
            </w:r>
          </w:p>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震荡市</w:t>
            </w:r>
          </w:p>
        </w:tc>
        <w:tc>
          <w:tcPr>
            <w:tcW w:w="1006" w:type="dxa"/>
            <w:tcBorders>
              <w:left w:val="single" w:sz="4" w:space="0" w:color="00A0E9"/>
              <w:bottom w:val="single" w:sz="4" w:space="0" w:color="00A0E9"/>
              <w:right w:val="single" w:sz="4" w:space="0" w:color="00A0E9"/>
            </w:tcBorders>
            <w:shd w:val="clear" w:color="auto" w:fill="8DB3E2" w:themeFill="text2" w:themeFillTint="66"/>
            <w:vAlign w:val="center"/>
          </w:tcPr>
          <w:p w:rsidR="00443427" w:rsidRPr="00443427" w:rsidRDefault="00443427" w:rsidP="00443427">
            <w:pPr>
              <w:jc w:val="center"/>
              <w:rPr>
                <w:rFonts w:asciiTheme="minorEastAsia" w:eastAsiaTheme="minorEastAsia" w:hAnsiTheme="minorEastAsia"/>
                <w:b/>
                <w:color w:val="000000"/>
                <w:sz w:val="15"/>
                <w:szCs w:val="15"/>
              </w:rPr>
            </w:pPr>
            <w:r w:rsidRPr="00443427">
              <w:rPr>
                <w:rFonts w:asciiTheme="minorEastAsia" w:eastAsiaTheme="minorEastAsia" w:hAnsiTheme="minorEastAsia" w:hint="eastAsia"/>
                <w:b/>
                <w:color w:val="000000"/>
                <w:sz w:val="15"/>
                <w:szCs w:val="15"/>
              </w:rPr>
              <w:t>2014前3Q</w:t>
            </w:r>
          </w:p>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震荡市</w:t>
            </w:r>
          </w:p>
        </w:tc>
        <w:tc>
          <w:tcPr>
            <w:tcW w:w="1011" w:type="dxa"/>
            <w:tcBorders>
              <w:left w:val="single" w:sz="4" w:space="0" w:color="00A0E9"/>
              <w:bottom w:val="single" w:sz="4" w:space="0" w:color="00A0E9"/>
              <w:right w:val="single" w:sz="4" w:space="0" w:color="00A0E9"/>
            </w:tcBorders>
            <w:shd w:val="clear" w:color="auto" w:fill="8DB3E2" w:themeFill="text2" w:themeFillTint="66"/>
            <w:vAlign w:val="center"/>
          </w:tcPr>
          <w:p w:rsidR="00443427" w:rsidRPr="00443427" w:rsidRDefault="00443427" w:rsidP="00443427">
            <w:pPr>
              <w:jc w:val="center"/>
              <w:rPr>
                <w:rFonts w:asciiTheme="minorEastAsia" w:eastAsiaTheme="minorEastAsia" w:hAnsiTheme="minorEastAsia"/>
                <w:b/>
                <w:color w:val="000000"/>
                <w:sz w:val="15"/>
                <w:szCs w:val="15"/>
              </w:rPr>
            </w:pPr>
            <w:r w:rsidRPr="00443427">
              <w:rPr>
                <w:rFonts w:asciiTheme="minorEastAsia" w:eastAsiaTheme="minorEastAsia" w:hAnsiTheme="minorEastAsia" w:hint="eastAsia"/>
                <w:b/>
                <w:color w:val="000000"/>
                <w:sz w:val="15"/>
                <w:szCs w:val="15"/>
              </w:rPr>
              <w:t>20144Q-20152Q</w:t>
            </w:r>
          </w:p>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牛市</w:t>
            </w:r>
          </w:p>
        </w:tc>
        <w:tc>
          <w:tcPr>
            <w:tcW w:w="1005" w:type="dxa"/>
            <w:tcBorders>
              <w:left w:val="single" w:sz="4" w:space="0" w:color="00A0E9"/>
              <w:bottom w:val="single" w:sz="4" w:space="0" w:color="00A0E9"/>
            </w:tcBorders>
            <w:shd w:val="clear" w:color="auto" w:fill="8DB3E2" w:themeFill="text2" w:themeFillTint="66"/>
            <w:vAlign w:val="center"/>
          </w:tcPr>
          <w:p w:rsidR="00443427" w:rsidRPr="00443427" w:rsidRDefault="00443427" w:rsidP="00443427">
            <w:pPr>
              <w:jc w:val="center"/>
              <w:rPr>
                <w:rFonts w:asciiTheme="minorEastAsia" w:eastAsiaTheme="minorEastAsia" w:hAnsiTheme="minorEastAsia"/>
                <w:b/>
                <w:color w:val="000000"/>
                <w:sz w:val="15"/>
                <w:szCs w:val="15"/>
              </w:rPr>
            </w:pPr>
            <w:r w:rsidRPr="00443427">
              <w:rPr>
                <w:rFonts w:asciiTheme="minorEastAsia" w:eastAsiaTheme="minorEastAsia" w:hAnsiTheme="minorEastAsia" w:hint="eastAsia"/>
                <w:b/>
                <w:color w:val="000000"/>
                <w:sz w:val="15"/>
                <w:szCs w:val="15"/>
              </w:rPr>
              <w:t>20153Q至今</w:t>
            </w:r>
          </w:p>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震荡市</w:t>
            </w:r>
          </w:p>
        </w:tc>
      </w:tr>
      <w:tr w:rsidR="007B2772" w:rsidTr="007B2772">
        <w:trPr>
          <w:trHeight w:val="307"/>
          <w:jc w:val="right"/>
        </w:trPr>
        <w:tc>
          <w:tcPr>
            <w:tcW w:w="2694" w:type="dxa"/>
            <w:tcBorders>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平均收益（具备选股能力）</w:t>
            </w:r>
          </w:p>
        </w:tc>
        <w:tc>
          <w:tcPr>
            <w:tcW w:w="850"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-17.16%</w:t>
            </w:r>
          </w:p>
        </w:tc>
        <w:tc>
          <w:tcPr>
            <w:tcW w:w="851"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2.81%</w:t>
            </w:r>
          </w:p>
        </w:tc>
        <w:tc>
          <w:tcPr>
            <w:tcW w:w="974"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16.33%</w:t>
            </w:r>
          </w:p>
        </w:tc>
        <w:tc>
          <w:tcPr>
            <w:tcW w:w="1006"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16.78%</w:t>
            </w:r>
          </w:p>
        </w:tc>
        <w:tc>
          <w:tcPr>
            <w:tcW w:w="1011"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69.07%</w:t>
            </w:r>
          </w:p>
        </w:tc>
        <w:tc>
          <w:tcPr>
            <w:tcW w:w="1005" w:type="dxa"/>
            <w:tcBorders>
              <w:left w:val="single" w:sz="4" w:space="0" w:color="00A0E9"/>
              <w:bottom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-24.30%</w:t>
            </w:r>
          </w:p>
        </w:tc>
      </w:tr>
      <w:tr w:rsidR="00443427" w:rsidTr="007B2772">
        <w:trPr>
          <w:trHeight w:val="269"/>
          <w:jc w:val="right"/>
        </w:trPr>
        <w:tc>
          <w:tcPr>
            <w:tcW w:w="2694" w:type="dxa"/>
            <w:tcBorders>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平均收益（不具备选股能力）</w:t>
            </w:r>
          </w:p>
        </w:tc>
        <w:tc>
          <w:tcPr>
            <w:tcW w:w="850"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-21.70%</w:t>
            </w:r>
          </w:p>
        </w:tc>
        <w:tc>
          <w:tcPr>
            <w:tcW w:w="851"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5.02%</w:t>
            </w:r>
          </w:p>
        </w:tc>
        <w:tc>
          <w:tcPr>
            <w:tcW w:w="974"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-4.64%</w:t>
            </w:r>
          </w:p>
        </w:tc>
        <w:tc>
          <w:tcPr>
            <w:tcW w:w="1006"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6.50%</w:t>
            </w:r>
          </w:p>
        </w:tc>
        <w:tc>
          <w:tcPr>
            <w:tcW w:w="1011"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64.43%</w:t>
            </w:r>
          </w:p>
        </w:tc>
        <w:tc>
          <w:tcPr>
            <w:tcW w:w="1005" w:type="dxa"/>
            <w:tcBorders>
              <w:left w:val="single" w:sz="4" w:space="0" w:color="00A0E9"/>
              <w:bottom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-14.85%</w:t>
            </w:r>
          </w:p>
        </w:tc>
      </w:tr>
      <w:tr w:rsidR="007B2772" w:rsidTr="007B2772">
        <w:trPr>
          <w:trHeight w:val="273"/>
          <w:jc w:val="right"/>
        </w:trPr>
        <w:tc>
          <w:tcPr>
            <w:tcW w:w="2694" w:type="dxa"/>
            <w:tcBorders>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排名前20%的产品数（具备选股能力）</w:t>
            </w:r>
          </w:p>
        </w:tc>
        <w:tc>
          <w:tcPr>
            <w:tcW w:w="850"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74</w:t>
            </w:r>
          </w:p>
        </w:tc>
        <w:tc>
          <w:tcPr>
            <w:tcW w:w="851"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70</w:t>
            </w:r>
          </w:p>
        </w:tc>
        <w:tc>
          <w:tcPr>
            <w:tcW w:w="974"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77</w:t>
            </w:r>
          </w:p>
        </w:tc>
        <w:tc>
          <w:tcPr>
            <w:tcW w:w="1006"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78</w:t>
            </w:r>
          </w:p>
        </w:tc>
        <w:tc>
          <w:tcPr>
            <w:tcW w:w="1011" w:type="dxa"/>
            <w:tcBorders>
              <w:left w:val="single" w:sz="4" w:space="0" w:color="00A0E9"/>
              <w:bottom w:val="single" w:sz="4" w:space="0" w:color="00A0E9"/>
              <w:right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75</w:t>
            </w:r>
          </w:p>
        </w:tc>
        <w:tc>
          <w:tcPr>
            <w:tcW w:w="1005" w:type="dxa"/>
            <w:tcBorders>
              <w:left w:val="single" w:sz="4" w:space="0" w:color="00A0E9"/>
              <w:bottom w:val="single" w:sz="4" w:space="0" w:color="00A0E9"/>
            </w:tcBorders>
            <w:shd w:val="clear" w:color="auto" w:fill="F2DBDB" w:themeFill="accent2" w:themeFillTint="33"/>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64</w:t>
            </w:r>
          </w:p>
        </w:tc>
      </w:tr>
      <w:tr w:rsidR="00443427" w:rsidTr="00443427">
        <w:trPr>
          <w:trHeight w:val="277"/>
          <w:jc w:val="right"/>
        </w:trPr>
        <w:tc>
          <w:tcPr>
            <w:tcW w:w="2694" w:type="dxa"/>
            <w:tcBorders>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b/>
                <w:color w:val="000000"/>
                <w:sz w:val="15"/>
                <w:szCs w:val="15"/>
              </w:rPr>
            </w:pPr>
            <w:r w:rsidRPr="00443427">
              <w:rPr>
                <w:rFonts w:asciiTheme="minorEastAsia" w:eastAsiaTheme="minorEastAsia" w:hAnsiTheme="minorEastAsia" w:hint="eastAsia"/>
                <w:b/>
                <w:color w:val="000000"/>
                <w:sz w:val="15"/>
                <w:szCs w:val="15"/>
              </w:rPr>
              <w:t>排名前20%的产品数（不具备选股能力）</w:t>
            </w:r>
          </w:p>
        </w:tc>
        <w:tc>
          <w:tcPr>
            <w:tcW w:w="850"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4</w:t>
            </w:r>
          </w:p>
        </w:tc>
        <w:tc>
          <w:tcPr>
            <w:tcW w:w="851"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8</w:t>
            </w:r>
          </w:p>
        </w:tc>
        <w:tc>
          <w:tcPr>
            <w:tcW w:w="974"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1</w:t>
            </w:r>
          </w:p>
        </w:tc>
        <w:tc>
          <w:tcPr>
            <w:tcW w:w="1006"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0</w:t>
            </w:r>
          </w:p>
        </w:tc>
        <w:tc>
          <w:tcPr>
            <w:tcW w:w="1011" w:type="dxa"/>
            <w:tcBorders>
              <w:left w:val="single" w:sz="4" w:space="0" w:color="00A0E9"/>
              <w:bottom w:val="single" w:sz="4" w:space="0" w:color="00A0E9"/>
              <w:right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3</w:t>
            </w:r>
          </w:p>
        </w:tc>
        <w:tc>
          <w:tcPr>
            <w:tcW w:w="1005" w:type="dxa"/>
            <w:tcBorders>
              <w:left w:val="single" w:sz="4" w:space="0" w:color="00A0E9"/>
              <w:bottom w:val="single" w:sz="4" w:space="0" w:color="00A0E9"/>
            </w:tcBorders>
            <w:vAlign w:val="center"/>
          </w:tcPr>
          <w:p w:rsidR="00443427" w:rsidRPr="00443427" w:rsidRDefault="00443427" w:rsidP="00443427">
            <w:pPr>
              <w:jc w:val="center"/>
              <w:rPr>
                <w:rFonts w:asciiTheme="minorEastAsia" w:eastAsiaTheme="minorEastAsia" w:hAnsiTheme="minorEastAsia" w:cs="宋体"/>
                <w:color w:val="000000"/>
                <w:sz w:val="15"/>
                <w:szCs w:val="15"/>
              </w:rPr>
            </w:pPr>
            <w:r w:rsidRPr="00443427">
              <w:rPr>
                <w:rFonts w:asciiTheme="minorEastAsia" w:eastAsiaTheme="minorEastAsia" w:hAnsiTheme="minorEastAsia" w:hint="eastAsia"/>
                <w:color w:val="000000"/>
                <w:sz w:val="15"/>
                <w:szCs w:val="15"/>
              </w:rPr>
              <w:t>14</w:t>
            </w:r>
          </w:p>
        </w:tc>
      </w:tr>
      <w:tr w:rsidR="00443427" w:rsidTr="00DC0A59">
        <w:trPr>
          <w:trHeight w:val="281"/>
          <w:jc w:val="right"/>
        </w:trPr>
        <w:tc>
          <w:tcPr>
            <w:tcW w:w="8391" w:type="dxa"/>
            <w:gridSpan w:val="7"/>
            <w:tcBorders>
              <w:bottom w:val="single" w:sz="4" w:space="0" w:color="00A0E9"/>
            </w:tcBorders>
            <w:vAlign w:val="center"/>
          </w:tcPr>
          <w:p w:rsidR="00443427" w:rsidRPr="00443427" w:rsidRDefault="00443427" w:rsidP="00443427">
            <w:pPr>
              <w:rPr>
                <w:rFonts w:asciiTheme="minorEastAsia" w:eastAsiaTheme="minorEastAsia" w:hAnsiTheme="minorEastAsia"/>
                <w:sz w:val="15"/>
                <w:szCs w:val="15"/>
              </w:rPr>
            </w:pPr>
            <w:r w:rsidRPr="00443427">
              <w:rPr>
                <w:rFonts w:asciiTheme="minorEastAsia" w:eastAsiaTheme="minorEastAsia" w:hAnsiTheme="minorEastAsia" w:hint="eastAsia"/>
                <w:sz w:val="15"/>
                <w:szCs w:val="15"/>
              </w:rPr>
              <w:t>注：由于选</w:t>
            </w:r>
            <w:proofErr w:type="gramStart"/>
            <w:r w:rsidRPr="00443427">
              <w:rPr>
                <w:rFonts w:asciiTheme="minorEastAsia" w:eastAsiaTheme="minorEastAsia" w:hAnsiTheme="minorEastAsia" w:hint="eastAsia"/>
                <w:sz w:val="15"/>
                <w:szCs w:val="15"/>
              </w:rPr>
              <w:t>股能力</w:t>
            </w:r>
            <w:proofErr w:type="gramEnd"/>
            <w:r w:rsidRPr="00443427">
              <w:rPr>
                <w:rFonts w:asciiTheme="minorEastAsia" w:eastAsiaTheme="minorEastAsia" w:hAnsiTheme="minorEastAsia" w:hint="eastAsia"/>
                <w:sz w:val="15"/>
                <w:szCs w:val="15"/>
              </w:rPr>
              <w:t>采用截止2016年2月最近五年的数据测算，因而对最近五年的统计区间进行划分，其中表中2011年表示的是2011年3月-2011年12月。</w:t>
            </w:r>
          </w:p>
        </w:tc>
      </w:tr>
      <w:tr w:rsidR="00443427" w:rsidTr="00443427">
        <w:trPr>
          <w:jc w:val="right"/>
        </w:trPr>
        <w:tc>
          <w:tcPr>
            <w:tcW w:w="8391" w:type="dxa"/>
            <w:gridSpan w:val="7"/>
            <w:tcBorders>
              <w:top w:val="single" w:sz="4" w:space="0" w:color="00A0E9"/>
            </w:tcBorders>
          </w:tcPr>
          <w:p w:rsidR="00443427" w:rsidRDefault="00443427" w:rsidP="00443427">
            <w:pPr>
              <w:pStyle w:val="GJStylesGraphSource"/>
            </w:pPr>
            <w:r>
              <w:rPr>
                <w:rFonts w:hint="eastAsia"/>
              </w:rPr>
              <w:t>来源：国金证券研究所</w:t>
            </w:r>
          </w:p>
        </w:tc>
      </w:tr>
    </w:tbl>
    <w:p w:rsidR="00E032E2" w:rsidRDefault="00E032E2" w:rsidP="001B7156">
      <w:pPr>
        <w:pStyle w:val="a0"/>
        <w:ind w:left="3799"/>
        <w:rPr>
          <w:color w:val="auto"/>
        </w:rPr>
      </w:pPr>
    </w:p>
    <w:tbl>
      <w:tblPr>
        <w:tblStyle w:val="GJStylesChartInsertSingleCol"/>
        <w:tblW w:w="8504" w:type="dxa"/>
        <w:tblInd w:w="2268" w:type="dxa"/>
        <w:tblLook w:val="0600" w:firstRow="0" w:lastRow="0" w:firstColumn="0" w:lastColumn="0" w:noHBand="1" w:noVBand="1"/>
      </w:tblPr>
      <w:tblGrid>
        <w:gridCol w:w="2552"/>
        <w:gridCol w:w="1134"/>
        <w:gridCol w:w="850"/>
        <w:gridCol w:w="709"/>
        <w:gridCol w:w="992"/>
        <w:gridCol w:w="709"/>
        <w:gridCol w:w="851"/>
        <w:gridCol w:w="707"/>
      </w:tblGrid>
      <w:tr w:rsidR="001B7156" w:rsidTr="001B7156">
        <w:tc>
          <w:tcPr>
            <w:tcW w:w="8504" w:type="dxa"/>
            <w:gridSpan w:val="8"/>
            <w:tcBorders>
              <w:bottom w:val="single" w:sz="4" w:space="0" w:color="00A0E9"/>
            </w:tcBorders>
          </w:tcPr>
          <w:p w:rsidR="001B7156" w:rsidRPr="001B7156" w:rsidRDefault="001B7156" w:rsidP="001B71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2</w:t>
            </w:r>
            <w:r>
              <w:fldChar w:fldCharType="end"/>
            </w:r>
            <w:r>
              <w:rPr>
                <w:rFonts w:hint="eastAsia"/>
              </w:rPr>
              <w:t>：部分选</w:t>
            </w:r>
            <w:proofErr w:type="gramStart"/>
            <w:r>
              <w:rPr>
                <w:rFonts w:hint="eastAsia"/>
              </w:rPr>
              <w:t>股能力</w:t>
            </w:r>
            <w:proofErr w:type="gramEnd"/>
            <w:r>
              <w:rPr>
                <w:rFonts w:hint="eastAsia"/>
              </w:rPr>
              <w:t>排名靠前且</w:t>
            </w:r>
            <w:r>
              <w:rPr>
                <w:rFonts w:hint="eastAsia"/>
              </w:rPr>
              <w:t>2014</w:t>
            </w:r>
            <w:r>
              <w:rPr>
                <w:rFonts w:hint="eastAsia"/>
              </w:rPr>
              <w:t>年以来收益稳定品种</w:t>
            </w:r>
          </w:p>
        </w:tc>
      </w:tr>
      <w:tr w:rsidR="001B7156" w:rsidRPr="001B7156" w:rsidTr="001B7156">
        <w:trPr>
          <w:trHeight w:val="246"/>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color w:val="000000"/>
                <w:sz w:val="15"/>
                <w:szCs w:val="15"/>
              </w:rPr>
            </w:pPr>
            <w:r w:rsidRPr="001B7156">
              <w:rPr>
                <w:rFonts w:asciiTheme="minorEastAsia" w:eastAsiaTheme="minorEastAsia" w:hAnsiTheme="minorEastAsia" w:hint="eastAsia"/>
                <w:b/>
                <w:color w:val="000000"/>
                <w:sz w:val="15"/>
                <w:szCs w:val="15"/>
              </w:rPr>
              <w:t>T-M选</w:t>
            </w:r>
            <w:proofErr w:type="gramStart"/>
            <w:r w:rsidRPr="001B7156">
              <w:rPr>
                <w:rFonts w:asciiTheme="minorEastAsia" w:eastAsiaTheme="minorEastAsia" w:hAnsiTheme="minorEastAsia" w:hint="eastAsia"/>
                <w:b/>
                <w:color w:val="000000"/>
                <w:sz w:val="15"/>
                <w:szCs w:val="15"/>
              </w:rPr>
              <w:t>股能力</w:t>
            </w:r>
            <w:proofErr w:type="gramEnd"/>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color w:val="000000"/>
                <w:sz w:val="15"/>
                <w:szCs w:val="15"/>
              </w:rPr>
            </w:pPr>
            <w:r w:rsidRPr="001B7156">
              <w:rPr>
                <w:rFonts w:asciiTheme="minorEastAsia" w:eastAsiaTheme="minorEastAsia" w:hAnsiTheme="minorEastAsia" w:hint="eastAsia"/>
                <w:b/>
                <w:color w:val="000000"/>
                <w:sz w:val="15"/>
                <w:szCs w:val="15"/>
              </w:rPr>
              <w:t>2014前3Q震荡市</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color w:val="000000"/>
                <w:sz w:val="15"/>
                <w:szCs w:val="15"/>
              </w:rPr>
            </w:pPr>
            <w:r w:rsidRPr="001B7156">
              <w:rPr>
                <w:rFonts w:asciiTheme="minorEastAsia" w:eastAsiaTheme="minorEastAsia" w:hAnsiTheme="minorEastAsia" w:hint="eastAsia"/>
                <w:b/>
                <w:color w:val="000000"/>
                <w:sz w:val="15"/>
                <w:szCs w:val="15"/>
              </w:rPr>
              <w:t>排名（/393）</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color w:val="000000"/>
                <w:sz w:val="15"/>
                <w:szCs w:val="15"/>
              </w:rPr>
            </w:pPr>
            <w:r w:rsidRPr="001B7156">
              <w:rPr>
                <w:rFonts w:asciiTheme="minorEastAsia" w:eastAsiaTheme="minorEastAsia" w:hAnsiTheme="minorEastAsia" w:hint="eastAsia"/>
                <w:b/>
                <w:color w:val="000000"/>
                <w:sz w:val="15"/>
                <w:szCs w:val="15"/>
              </w:rPr>
              <w:t>20144Q-20152Q牛市</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color w:val="000000"/>
                <w:sz w:val="15"/>
                <w:szCs w:val="15"/>
              </w:rPr>
            </w:pPr>
            <w:r w:rsidRPr="001B7156">
              <w:rPr>
                <w:rFonts w:asciiTheme="minorEastAsia" w:eastAsiaTheme="minorEastAsia" w:hAnsiTheme="minorEastAsia" w:hint="eastAsia"/>
                <w:b/>
                <w:color w:val="000000"/>
                <w:sz w:val="15"/>
                <w:szCs w:val="15"/>
              </w:rPr>
              <w:t>排名（/393）</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color w:val="000000"/>
                <w:sz w:val="15"/>
                <w:szCs w:val="15"/>
              </w:rPr>
            </w:pPr>
            <w:r w:rsidRPr="001B7156">
              <w:rPr>
                <w:rFonts w:asciiTheme="minorEastAsia" w:eastAsiaTheme="minorEastAsia" w:hAnsiTheme="minorEastAsia" w:hint="eastAsia"/>
                <w:b/>
                <w:color w:val="000000"/>
                <w:sz w:val="15"/>
                <w:szCs w:val="15"/>
              </w:rPr>
              <w:t>20153Q至今震荡市</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b/>
                <w:color w:val="000000"/>
                <w:sz w:val="15"/>
                <w:szCs w:val="15"/>
              </w:rPr>
            </w:pPr>
            <w:r w:rsidRPr="001B7156">
              <w:rPr>
                <w:rFonts w:asciiTheme="minorEastAsia" w:eastAsiaTheme="minorEastAsia" w:hAnsiTheme="minorEastAsia" w:hint="eastAsia"/>
                <w:b/>
                <w:color w:val="000000"/>
                <w:sz w:val="15"/>
                <w:szCs w:val="15"/>
              </w:rPr>
              <w:t>排名（/393）</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r w:rsidRPr="001B7156">
              <w:rPr>
                <w:rFonts w:asciiTheme="minorEastAsia" w:eastAsiaTheme="minorEastAsia" w:hAnsiTheme="minorEastAsia" w:hint="eastAsia"/>
                <w:b/>
                <w:bCs/>
                <w:color w:val="000000"/>
                <w:sz w:val="15"/>
                <w:szCs w:val="15"/>
              </w:rPr>
              <w:t>联华信托</w:t>
            </w:r>
            <w:r w:rsidRPr="001B7156">
              <w:rPr>
                <w:rFonts w:asciiTheme="minorEastAsia" w:eastAsiaTheme="minorEastAsia" w:hAnsiTheme="minorEastAsia" w:cs="宋体" w:hint="eastAsia"/>
                <w:b/>
                <w:bCs/>
                <w:color w:val="000000"/>
                <w:sz w:val="15"/>
                <w:szCs w:val="15"/>
              </w:rPr>
              <w:t>•</w:t>
            </w:r>
            <w:proofErr w:type="gramStart"/>
            <w:r w:rsidRPr="001B7156">
              <w:rPr>
                <w:rFonts w:asciiTheme="minorEastAsia" w:eastAsiaTheme="minorEastAsia" w:hAnsiTheme="minorEastAsia" w:cs="楷体" w:hint="eastAsia"/>
                <w:b/>
                <w:bCs/>
                <w:color w:val="000000"/>
                <w:sz w:val="15"/>
                <w:szCs w:val="15"/>
              </w:rPr>
              <w:t>菁英时代</w:t>
            </w:r>
            <w:proofErr w:type="gramEnd"/>
            <w:r w:rsidRPr="001B7156">
              <w:rPr>
                <w:rFonts w:asciiTheme="minorEastAsia" w:eastAsiaTheme="minorEastAsia" w:hAnsiTheme="minorEastAsia" w:cs="楷体" w:hint="eastAsia"/>
                <w:b/>
                <w:bCs/>
                <w:color w:val="000000"/>
                <w:sz w:val="15"/>
                <w:szCs w:val="15"/>
              </w:rPr>
              <w:t>成长</w:t>
            </w:r>
            <w:r w:rsidRPr="001B7156">
              <w:rPr>
                <w:rFonts w:asciiTheme="minorEastAsia" w:eastAsiaTheme="minorEastAsia" w:hAnsiTheme="minorEastAsia" w:hint="eastAsia"/>
                <w:b/>
                <w:bCs/>
                <w:color w:val="000000"/>
                <w:sz w:val="15"/>
                <w:szCs w:val="15"/>
              </w:rPr>
              <w:t>3号</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3.80%</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18.36%</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135</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89.88%</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81</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-14.75%</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77</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r w:rsidRPr="001B7156">
              <w:rPr>
                <w:rFonts w:asciiTheme="minorEastAsia" w:eastAsiaTheme="minorEastAsia" w:hAnsiTheme="minorEastAsia" w:hint="eastAsia"/>
                <w:b/>
                <w:bCs/>
                <w:color w:val="000000"/>
                <w:sz w:val="15"/>
                <w:szCs w:val="15"/>
              </w:rPr>
              <w:t>山西信托</w:t>
            </w:r>
            <w:r w:rsidRPr="001B7156">
              <w:rPr>
                <w:rFonts w:asciiTheme="minorEastAsia" w:eastAsiaTheme="minorEastAsia" w:hAnsiTheme="minorEastAsia" w:cs="宋体" w:hint="eastAsia"/>
                <w:b/>
                <w:bCs/>
                <w:color w:val="000000"/>
                <w:sz w:val="15"/>
                <w:szCs w:val="15"/>
              </w:rPr>
              <w:t>•</w:t>
            </w:r>
            <w:proofErr w:type="gramStart"/>
            <w:r w:rsidRPr="001B7156">
              <w:rPr>
                <w:rFonts w:asciiTheme="minorEastAsia" w:eastAsiaTheme="minorEastAsia" w:hAnsiTheme="minorEastAsia" w:cs="楷体" w:hint="eastAsia"/>
                <w:b/>
                <w:bCs/>
                <w:color w:val="000000"/>
                <w:sz w:val="15"/>
                <w:szCs w:val="15"/>
              </w:rPr>
              <w:t>恒复趋势</w:t>
            </w:r>
            <w:proofErr w:type="gramEnd"/>
            <w:r w:rsidRPr="001B7156">
              <w:rPr>
                <w:rFonts w:asciiTheme="minorEastAsia" w:eastAsiaTheme="minorEastAsia" w:hAnsiTheme="minorEastAsia" w:hint="eastAsia"/>
                <w:b/>
                <w:bCs/>
                <w:color w:val="000000"/>
                <w:sz w:val="15"/>
                <w:szCs w:val="15"/>
              </w:rPr>
              <w:t>1号</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3.49%</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24.19%</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83</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91.24%</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75</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-22.08%</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158</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r w:rsidRPr="001B7156">
              <w:rPr>
                <w:rFonts w:asciiTheme="minorEastAsia" w:eastAsiaTheme="minorEastAsia" w:hAnsiTheme="minorEastAsia" w:hint="eastAsia"/>
                <w:b/>
                <w:bCs/>
                <w:color w:val="000000"/>
                <w:sz w:val="15"/>
                <w:szCs w:val="15"/>
              </w:rPr>
              <w:t>华润信托</w:t>
            </w:r>
            <w:proofErr w:type="gramStart"/>
            <w:r w:rsidRPr="001B7156">
              <w:rPr>
                <w:rFonts w:asciiTheme="minorEastAsia" w:eastAsiaTheme="minorEastAsia" w:hAnsiTheme="minorEastAsia" w:cs="宋体" w:hint="eastAsia"/>
                <w:b/>
                <w:bCs/>
                <w:color w:val="000000"/>
                <w:sz w:val="15"/>
                <w:szCs w:val="15"/>
              </w:rPr>
              <w:t>•</w:t>
            </w:r>
            <w:r w:rsidRPr="001B7156">
              <w:rPr>
                <w:rFonts w:asciiTheme="minorEastAsia" w:eastAsiaTheme="minorEastAsia" w:hAnsiTheme="minorEastAsia" w:cs="楷体" w:hint="eastAsia"/>
                <w:b/>
                <w:bCs/>
                <w:color w:val="000000"/>
                <w:sz w:val="15"/>
                <w:szCs w:val="15"/>
              </w:rPr>
              <w:t>展博</w:t>
            </w:r>
            <w:r w:rsidRPr="001B7156">
              <w:rPr>
                <w:rFonts w:asciiTheme="minorEastAsia" w:eastAsiaTheme="minorEastAsia" w:hAnsiTheme="minorEastAsia" w:hint="eastAsia"/>
                <w:b/>
                <w:bCs/>
                <w:color w:val="000000"/>
                <w:sz w:val="15"/>
                <w:szCs w:val="15"/>
              </w:rPr>
              <w:t>1期</w:t>
            </w:r>
            <w:proofErr w:type="gramEnd"/>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2.99%</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13.71%</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192</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87.94%</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89</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-19.26%</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115</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r w:rsidRPr="001B7156">
              <w:rPr>
                <w:rFonts w:asciiTheme="minorEastAsia" w:eastAsiaTheme="minorEastAsia" w:hAnsiTheme="minorEastAsia" w:hint="eastAsia"/>
                <w:b/>
                <w:bCs/>
                <w:color w:val="000000"/>
                <w:sz w:val="15"/>
                <w:szCs w:val="15"/>
              </w:rPr>
              <w:t>重庆国投</w:t>
            </w:r>
            <w:r w:rsidRPr="001B7156">
              <w:rPr>
                <w:rFonts w:asciiTheme="minorEastAsia" w:eastAsiaTheme="minorEastAsia" w:hAnsiTheme="minorEastAsia" w:cs="宋体" w:hint="eastAsia"/>
                <w:b/>
                <w:bCs/>
                <w:color w:val="000000"/>
                <w:sz w:val="15"/>
                <w:szCs w:val="15"/>
              </w:rPr>
              <w:t>•</w:t>
            </w:r>
            <w:r w:rsidRPr="001B7156">
              <w:rPr>
                <w:rFonts w:asciiTheme="minorEastAsia" w:eastAsiaTheme="minorEastAsia" w:hAnsiTheme="minorEastAsia" w:cs="楷体" w:hint="eastAsia"/>
                <w:b/>
                <w:bCs/>
                <w:color w:val="000000"/>
                <w:sz w:val="15"/>
                <w:szCs w:val="15"/>
              </w:rPr>
              <w:t>金中和</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2.85%</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40.10%</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23</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97.10%</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63</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-14.95%</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78</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proofErr w:type="gramStart"/>
            <w:r w:rsidRPr="001B7156">
              <w:rPr>
                <w:rFonts w:asciiTheme="minorEastAsia" w:eastAsiaTheme="minorEastAsia" w:hAnsiTheme="minorEastAsia" w:hint="eastAsia"/>
                <w:b/>
                <w:bCs/>
                <w:color w:val="000000"/>
                <w:sz w:val="15"/>
                <w:szCs w:val="15"/>
              </w:rPr>
              <w:t>中融</w:t>
            </w:r>
            <w:proofErr w:type="gramEnd"/>
            <w:r w:rsidRPr="001B7156">
              <w:rPr>
                <w:rFonts w:asciiTheme="minorEastAsia" w:eastAsiaTheme="minorEastAsia" w:hAnsiTheme="minorEastAsia" w:hint="eastAsia"/>
                <w:b/>
                <w:bCs/>
                <w:color w:val="000000"/>
                <w:sz w:val="15"/>
                <w:szCs w:val="15"/>
              </w:rPr>
              <w:t>-富恩德一期</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2.42%</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42.65%</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16</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65.98%</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191</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-5.36%</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33</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r w:rsidRPr="001B7156">
              <w:rPr>
                <w:rFonts w:asciiTheme="minorEastAsia" w:eastAsiaTheme="minorEastAsia" w:hAnsiTheme="minorEastAsia" w:hint="eastAsia"/>
                <w:b/>
                <w:bCs/>
                <w:color w:val="000000"/>
                <w:sz w:val="15"/>
                <w:szCs w:val="15"/>
              </w:rPr>
              <w:t>联华信托·龙腾3期</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2.22%</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30.19%</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63</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83.28%</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103</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-13.58%</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69</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proofErr w:type="gramStart"/>
            <w:r w:rsidRPr="001B7156">
              <w:rPr>
                <w:rFonts w:asciiTheme="minorEastAsia" w:eastAsiaTheme="minorEastAsia" w:hAnsiTheme="minorEastAsia" w:hint="eastAsia"/>
                <w:b/>
                <w:bCs/>
                <w:color w:val="000000"/>
                <w:sz w:val="15"/>
                <w:szCs w:val="15"/>
              </w:rPr>
              <w:t>中融-世</w:t>
            </w:r>
            <w:proofErr w:type="gramEnd"/>
            <w:r w:rsidRPr="001B7156">
              <w:rPr>
                <w:rFonts w:asciiTheme="minorEastAsia" w:eastAsiaTheme="minorEastAsia" w:hAnsiTheme="minorEastAsia" w:hint="eastAsia"/>
                <w:b/>
                <w:bCs/>
                <w:color w:val="000000"/>
                <w:sz w:val="15"/>
                <w:szCs w:val="15"/>
              </w:rPr>
              <w:t>诚扬子三号</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2.15%</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17.46%</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149</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82.47%</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107</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-16.94%</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95</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r w:rsidRPr="001B7156">
              <w:rPr>
                <w:rFonts w:asciiTheme="minorEastAsia" w:eastAsiaTheme="minorEastAsia" w:hAnsiTheme="minorEastAsia" w:hint="eastAsia"/>
                <w:b/>
                <w:bCs/>
                <w:color w:val="000000"/>
                <w:sz w:val="15"/>
                <w:szCs w:val="15"/>
              </w:rPr>
              <w:t>北京国投</w:t>
            </w:r>
            <w:r w:rsidRPr="001B7156">
              <w:rPr>
                <w:rFonts w:asciiTheme="minorEastAsia" w:eastAsiaTheme="minorEastAsia" w:hAnsiTheme="minorEastAsia" w:cs="宋体" w:hint="eastAsia"/>
                <w:b/>
                <w:bCs/>
                <w:color w:val="000000"/>
                <w:sz w:val="15"/>
                <w:szCs w:val="15"/>
              </w:rPr>
              <w:t>•</w:t>
            </w:r>
            <w:r w:rsidRPr="001B7156">
              <w:rPr>
                <w:rFonts w:asciiTheme="minorEastAsia" w:eastAsiaTheme="minorEastAsia" w:hAnsiTheme="minorEastAsia" w:cs="楷体" w:hint="eastAsia"/>
                <w:b/>
                <w:bCs/>
                <w:color w:val="000000"/>
                <w:sz w:val="15"/>
                <w:szCs w:val="15"/>
              </w:rPr>
              <w:t>云</w:t>
            </w:r>
            <w:proofErr w:type="gramStart"/>
            <w:r w:rsidRPr="001B7156">
              <w:rPr>
                <w:rFonts w:asciiTheme="minorEastAsia" w:eastAsiaTheme="minorEastAsia" w:hAnsiTheme="minorEastAsia" w:cs="楷体" w:hint="eastAsia"/>
                <w:b/>
                <w:bCs/>
                <w:color w:val="000000"/>
                <w:sz w:val="15"/>
                <w:szCs w:val="15"/>
              </w:rPr>
              <w:t>程泰资本</w:t>
            </w:r>
            <w:proofErr w:type="gramEnd"/>
            <w:r w:rsidRPr="001B7156">
              <w:rPr>
                <w:rFonts w:asciiTheme="minorEastAsia" w:eastAsiaTheme="minorEastAsia" w:hAnsiTheme="minorEastAsia" w:cs="楷体" w:hint="eastAsia"/>
                <w:b/>
                <w:bCs/>
                <w:color w:val="000000"/>
                <w:sz w:val="15"/>
                <w:szCs w:val="15"/>
              </w:rPr>
              <w:t>增值（一期）</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2.14%</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17.09%</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154</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68.77%</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177</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-20.09%</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127</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r w:rsidRPr="001B7156">
              <w:rPr>
                <w:rFonts w:asciiTheme="minorEastAsia" w:eastAsiaTheme="minorEastAsia" w:hAnsiTheme="minorEastAsia" w:hint="eastAsia"/>
                <w:b/>
                <w:bCs/>
                <w:color w:val="000000"/>
                <w:sz w:val="15"/>
                <w:szCs w:val="15"/>
              </w:rPr>
              <w:t>华宝信托－证大稳健</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2.11%</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47.26%</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7</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100.89%</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55</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38.80%</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w:t>
            </w:r>
          </w:p>
        </w:tc>
      </w:tr>
      <w:tr w:rsidR="001B7156" w:rsidTr="001B7156">
        <w:trPr>
          <w:trHeight w:val="245"/>
        </w:trPr>
        <w:tc>
          <w:tcPr>
            <w:tcW w:w="2552" w:type="dxa"/>
            <w:tcBorders>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b/>
                <w:bCs/>
                <w:color w:val="000000"/>
                <w:sz w:val="15"/>
                <w:szCs w:val="15"/>
              </w:rPr>
            </w:pPr>
            <w:proofErr w:type="gramStart"/>
            <w:r w:rsidRPr="001B7156">
              <w:rPr>
                <w:rFonts w:asciiTheme="minorEastAsia" w:eastAsiaTheme="minorEastAsia" w:hAnsiTheme="minorEastAsia" w:hint="eastAsia"/>
                <w:b/>
                <w:bCs/>
                <w:color w:val="000000"/>
                <w:sz w:val="15"/>
                <w:szCs w:val="15"/>
              </w:rPr>
              <w:t>中融</w:t>
            </w:r>
            <w:proofErr w:type="gramEnd"/>
            <w:r w:rsidRPr="001B7156">
              <w:rPr>
                <w:rFonts w:asciiTheme="minorEastAsia" w:eastAsiaTheme="minorEastAsia" w:hAnsiTheme="minorEastAsia" w:hint="eastAsia"/>
                <w:b/>
                <w:bCs/>
                <w:color w:val="000000"/>
                <w:sz w:val="15"/>
                <w:szCs w:val="15"/>
              </w:rPr>
              <w:t>-乐晟</w:t>
            </w:r>
          </w:p>
        </w:tc>
        <w:tc>
          <w:tcPr>
            <w:tcW w:w="1134"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2.10%</w:t>
            </w:r>
          </w:p>
        </w:tc>
        <w:tc>
          <w:tcPr>
            <w:tcW w:w="850"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10.67%</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232</w:t>
            </w:r>
          </w:p>
        </w:tc>
        <w:tc>
          <w:tcPr>
            <w:tcW w:w="992"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123.41%</w:t>
            </w:r>
          </w:p>
        </w:tc>
        <w:tc>
          <w:tcPr>
            <w:tcW w:w="709"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13</w:t>
            </w:r>
          </w:p>
        </w:tc>
        <w:tc>
          <w:tcPr>
            <w:tcW w:w="851" w:type="dxa"/>
            <w:tcBorders>
              <w:left w:val="single" w:sz="4" w:space="0" w:color="00A0E9"/>
              <w:bottom w:val="single" w:sz="4" w:space="0" w:color="00A0E9"/>
              <w:right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-18.47%</w:t>
            </w:r>
          </w:p>
        </w:tc>
        <w:tc>
          <w:tcPr>
            <w:tcW w:w="707" w:type="dxa"/>
            <w:tcBorders>
              <w:left w:val="single" w:sz="4" w:space="0" w:color="00A0E9"/>
              <w:bottom w:val="single" w:sz="4" w:space="0" w:color="00A0E9"/>
            </w:tcBorders>
            <w:vAlign w:val="center"/>
          </w:tcPr>
          <w:p w:rsidR="001B7156" w:rsidRPr="001B7156" w:rsidRDefault="001B7156" w:rsidP="001B7156">
            <w:pPr>
              <w:jc w:val="center"/>
              <w:rPr>
                <w:rFonts w:asciiTheme="minorEastAsia" w:eastAsiaTheme="minorEastAsia" w:hAnsiTheme="minorEastAsia" w:cs="宋体"/>
                <w:color w:val="000000"/>
                <w:sz w:val="15"/>
                <w:szCs w:val="15"/>
              </w:rPr>
            </w:pPr>
            <w:r w:rsidRPr="001B7156">
              <w:rPr>
                <w:rFonts w:asciiTheme="minorEastAsia" w:eastAsiaTheme="minorEastAsia" w:hAnsiTheme="minorEastAsia" w:hint="eastAsia"/>
                <w:color w:val="000000"/>
                <w:sz w:val="15"/>
                <w:szCs w:val="15"/>
              </w:rPr>
              <w:t>111</w:t>
            </w:r>
          </w:p>
        </w:tc>
      </w:tr>
      <w:tr w:rsidR="001B7156" w:rsidTr="001B7156">
        <w:tc>
          <w:tcPr>
            <w:tcW w:w="8504" w:type="dxa"/>
            <w:gridSpan w:val="8"/>
            <w:tcBorders>
              <w:top w:val="single" w:sz="4" w:space="0" w:color="00A0E9"/>
            </w:tcBorders>
          </w:tcPr>
          <w:p w:rsidR="001B7156" w:rsidRDefault="001B7156" w:rsidP="001B7156">
            <w:pPr>
              <w:pStyle w:val="GJStylesGraphSource"/>
            </w:pPr>
            <w:r>
              <w:rPr>
                <w:rFonts w:hint="eastAsia"/>
              </w:rPr>
              <w:t>来源：国金证券研究所</w:t>
            </w:r>
          </w:p>
        </w:tc>
      </w:tr>
    </w:tbl>
    <w:p w:rsidR="000643D0" w:rsidRDefault="000643D0" w:rsidP="000643D0">
      <w:pPr>
        <w:pStyle w:val="a0"/>
        <w:widowControl/>
        <w:numPr>
          <w:ilvl w:val="5"/>
          <w:numId w:val="4"/>
        </w:numPr>
        <w:rPr>
          <w:color w:val="auto"/>
        </w:rPr>
      </w:pPr>
      <w:r>
        <w:rPr>
          <w:rFonts w:hint="eastAsia"/>
          <w:color w:val="auto"/>
        </w:rPr>
        <w:t>根据数据测算结果和定期调研对于基金公司操作风格的了解，对于灵活选</w:t>
      </w:r>
      <w:proofErr w:type="gramStart"/>
      <w:r>
        <w:rPr>
          <w:rFonts w:hint="eastAsia"/>
          <w:color w:val="auto"/>
        </w:rPr>
        <w:t>股能力</w:t>
      </w:r>
      <w:proofErr w:type="gramEnd"/>
      <w:r>
        <w:rPr>
          <w:rFonts w:hint="eastAsia"/>
          <w:color w:val="auto"/>
        </w:rPr>
        <w:t>的选择我们建议关</w:t>
      </w:r>
      <w:r w:rsidRPr="00123478">
        <w:rPr>
          <w:rFonts w:hint="eastAsia"/>
          <w:color w:val="auto"/>
        </w:rPr>
        <w:t>注</w:t>
      </w:r>
      <w:r w:rsidR="00951CD2" w:rsidRPr="00CF4008">
        <w:rPr>
          <w:rFonts w:hint="eastAsia"/>
          <w:color w:val="auto"/>
        </w:rPr>
        <w:t>和聚、</w:t>
      </w:r>
      <w:r w:rsidR="00951CD2">
        <w:rPr>
          <w:rFonts w:hint="eastAsia"/>
          <w:color w:val="auto"/>
        </w:rPr>
        <w:t>源乐晟、</w:t>
      </w:r>
      <w:proofErr w:type="gramStart"/>
      <w:r w:rsidR="00951CD2">
        <w:rPr>
          <w:rFonts w:hint="eastAsia"/>
          <w:color w:val="auto"/>
        </w:rPr>
        <w:t>世</w:t>
      </w:r>
      <w:proofErr w:type="gramEnd"/>
      <w:r w:rsidR="00951CD2">
        <w:rPr>
          <w:rFonts w:hint="eastAsia"/>
          <w:color w:val="auto"/>
        </w:rPr>
        <w:t>诚、</w:t>
      </w:r>
      <w:r w:rsidRPr="00CF4008">
        <w:rPr>
          <w:rFonts w:hint="eastAsia"/>
          <w:color w:val="auto"/>
        </w:rPr>
        <w:t>理成</w:t>
      </w:r>
      <w:r w:rsidR="001B29E0">
        <w:rPr>
          <w:rFonts w:hint="eastAsia"/>
          <w:color w:val="auto"/>
        </w:rPr>
        <w:t>、鼎锋、神农</w:t>
      </w:r>
      <w:r w:rsidRPr="00CF4008">
        <w:rPr>
          <w:rFonts w:hint="eastAsia"/>
          <w:color w:val="auto"/>
        </w:rPr>
        <w:t>等公</w:t>
      </w:r>
      <w:r w:rsidRPr="005C14D4">
        <w:rPr>
          <w:rFonts w:hint="eastAsia"/>
          <w:color w:val="auto"/>
        </w:rPr>
        <w:t>司</w:t>
      </w:r>
      <w:r>
        <w:rPr>
          <w:rFonts w:hint="eastAsia"/>
          <w:color w:val="auto"/>
        </w:rPr>
        <w:t>旗下的产品</w:t>
      </w:r>
      <w:r w:rsidRPr="005C14D4">
        <w:rPr>
          <w:rFonts w:hint="eastAsia"/>
          <w:color w:val="auto"/>
        </w:rPr>
        <w:t>。</w:t>
      </w:r>
    </w:p>
    <w:p w:rsidR="000643D0" w:rsidRPr="00EE7C0D" w:rsidRDefault="000643D0" w:rsidP="000643D0">
      <w:pPr>
        <w:pStyle w:val="a0"/>
        <w:widowControl/>
        <w:numPr>
          <w:ilvl w:val="5"/>
          <w:numId w:val="37"/>
        </w:numPr>
        <w:rPr>
          <w:color w:val="auto"/>
        </w:rPr>
      </w:pPr>
      <w:r w:rsidRPr="00EE7C0D">
        <w:rPr>
          <w:rFonts w:hint="eastAsia"/>
          <w:color w:val="auto"/>
        </w:rPr>
        <w:t>和聚：</w:t>
      </w:r>
      <w:r>
        <w:rPr>
          <w:rFonts w:hint="eastAsia"/>
          <w:color w:val="auto"/>
        </w:rPr>
        <w:t>公司采取主动管理的模式，倡导稳健为先精选个股，与资产配置和风格行业相比，和</w:t>
      </w:r>
      <w:proofErr w:type="gramStart"/>
      <w:r>
        <w:rPr>
          <w:rFonts w:hint="eastAsia"/>
          <w:color w:val="auto"/>
        </w:rPr>
        <w:t>聚更加</w:t>
      </w:r>
      <w:proofErr w:type="gramEnd"/>
      <w:r>
        <w:rPr>
          <w:rFonts w:hint="eastAsia"/>
          <w:color w:val="auto"/>
        </w:rPr>
        <w:t>注重对于优质个股的把握，如若投资机会相对明确时，公司往往会适度提高股票的集中度水平。从实际运作结果来看，和聚旗下多</w:t>
      </w:r>
      <w:proofErr w:type="gramStart"/>
      <w:r>
        <w:rPr>
          <w:rFonts w:hint="eastAsia"/>
          <w:color w:val="auto"/>
        </w:rPr>
        <w:t>只产品</w:t>
      </w:r>
      <w:proofErr w:type="gramEnd"/>
      <w:r>
        <w:rPr>
          <w:rFonts w:hint="eastAsia"/>
          <w:color w:val="auto"/>
        </w:rPr>
        <w:t>在我们的选</w:t>
      </w:r>
      <w:proofErr w:type="gramStart"/>
      <w:r>
        <w:rPr>
          <w:rFonts w:hint="eastAsia"/>
          <w:color w:val="auto"/>
        </w:rPr>
        <w:t>股能力</w:t>
      </w:r>
      <w:proofErr w:type="gramEnd"/>
      <w:r>
        <w:rPr>
          <w:rFonts w:hint="eastAsia"/>
          <w:color w:val="auto"/>
        </w:rPr>
        <w:t>测算结果中均排名靠前。</w:t>
      </w:r>
    </w:p>
    <w:p w:rsidR="001B29E0" w:rsidRDefault="001B29E0" w:rsidP="000643D0">
      <w:pPr>
        <w:pStyle w:val="a0"/>
        <w:widowControl/>
        <w:numPr>
          <w:ilvl w:val="5"/>
          <w:numId w:val="37"/>
        </w:numPr>
        <w:rPr>
          <w:color w:val="auto"/>
        </w:rPr>
      </w:pPr>
      <w:r>
        <w:rPr>
          <w:rFonts w:hint="eastAsia"/>
          <w:color w:val="auto"/>
        </w:rPr>
        <w:t>源乐晟：</w:t>
      </w:r>
      <w:r w:rsidR="00092285">
        <w:rPr>
          <w:rFonts w:hint="eastAsia"/>
          <w:color w:val="auto"/>
        </w:rPr>
        <w:t>公司</w:t>
      </w:r>
      <w:r w:rsidR="00092285">
        <w:rPr>
          <w:rFonts w:hint="eastAsia"/>
        </w:rPr>
        <w:t>注重个股的选择</w:t>
      </w:r>
      <w:r w:rsidR="00092285" w:rsidRPr="006C1C5E">
        <w:rPr>
          <w:rFonts w:hint="eastAsia"/>
        </w:rPr>
        <w:t>，</w:t>
      </w:r>
      <w:r w:rsidR="00092285">
        <w:rPr>
          <w:rFonts w:hint="eastAsia"/>
        </w:rPr>
        <w:t>投资风格相对积极，在缺乏趋势性机会的行情中，</w:t>
      </w:r>
      <w:r w:rsidR="00092285" w:rsidRPr="006C1C5E">
        <w:rPr>
          <w:rFonts w:hint="eastAsia"/>
        </w:rPr>
        <w:t>更多采用波段操作</w:t>
      </w:r>
      <w:r w:rsidR="00092285">
        <w:rPr>
          <w:rFonts w:hint="eastAsia"/>
        </w:rPr>
        <w:t>。但是，在灵活操作的同时，公司同样也非常重视对于风险的控制，并取得了良好的效果，在去年深幅下跌中比较及时的控制住了风险。</w:t>
      </w:r>
    </w:p>
    <w:p w:rsidR="000A5B27" w:rsidRDefault="001B29E0" w:rsidP="000A5B27">
      <w:pPr>
        <w:pStyle w:val="a0"/>
        <w:widowControl/>
        <w:numPr>
          <w:ilvl w:val="5"/>
          <w:numId w:val="37"/>
        </w:numPr>
        <w:rPr>
          <w:color w:val="auto"/>
        </w:rPr>
      </w:pPr>
      <w:proofErr w:type="gramStart"/>
      <w:r>
        <w:rPr>
          <w:rFonts w:hint="eastAsia"/>
          <w:color w:val="auto"/>
        </w:rPr>
        <w:t>世</w:t>
      </w:r>
      <w:proofErr w:type="gramEnd"/>
      <w:r>
        <w:rPr>
          <w:rFonts w:hint="eastAsia"/>
          <w:color w:val="auto"/>
        </w:rPr>
        <w:t>诚：</w:t>
      </w:r>
      <w:r w:rsidR="000A5B27">
        <w:rPr>
          <w:rFonts w:hint="eastAsia"/>
          <w:color w:val="auto"/>
        </w:rPr>
        <w:t>公司</w:t>
      </w:r>
      <w:r w:rsidR="00B8216C">
        <w:rPr>
          <w:rFonts w:hint="eastAsia"/>
          <w:color w:val="auto"/>
        </w:rPr>
        <w:t>坚持</w:t>
      </w:r>
      <w:r w:rsidR="007A0778">
        <w:rPr>
          <w:rFonts w:hint="eastAsia"/>
          <w:color w:val="auto"/>
        </w:rPr>
        <w:t>精选个股、</w:t>
      </w:r>
      <w:r w:rsidR="00B8216C">
        <w:rPr>
          <w:rFonts w:hint="eastAsia"/>
          <w:color w:val="auto"/>
        </w:rPr>
        <w:t>价值投资，通过</w:t>
      </w:r>
      <w:r w:rsidR="000A5B27">
        <w:rPr>
          <w:rFonts w:hint="eastAsia"/>
          <w:color w:val="auto"/>
        </w:rPr>
        <w:t>基本面研究</w:t>
      </w:r>
      <w:proofErr w:type="gramStart"/>
      <w:r w:rsidR="000A5B27">
        <w:rPr>
          <w:rFonts w:hint="eastAsia"/>
          <w:color w:val="auto"/>
        </w:rPr>
        <w:t>挖掘长</w:t>
      </w:r>
      <w:proofErr w:type="gramEnd"/>
      <w:r w:rsidR="000A5B27">
        <w:rPr>
          <w:rFonts w:hint="eastAsia"/>
          <w:color w:val="auto"/>
        </w:rPr>
        <w:t>三角地区</w:t>
      </w:r>
      <w:r w:rsidR="00B8216C">
        <w:rPr>
          <w:rFonts w:hint="eastAsia"/>
          <w:color w:val="auto"/>
        </w:rPr>
        <w:t>制造业、服务业、消费行业、以及战略新兴产业的投资机会。同时，对于</w:t>
      </w:r>
      <w:r w:rsidR="00B8216C" w:rsidRPr="000A5B27">
        <w:rPr>
          <w:rFonts w:hint="eastAsia"/>
          <w:color w:val="auto"/>
        </w:rPr>
        <w:t>重大公司行为导致的基本面重大变化，以及由此引发的相关投资机会</w:t>
      </w:r>
      <w:r w:rsidR="00B8216C">
        <w:rPr>
          <w:rFonts w:hint="eastAsia"/>
          <w:color w:val="auto"/>
        </w:rPr>
        <w:t>也会给与密切关注</w:t>
      </w:r>
      <w:r w:rsidR="00B8216C" w:rsidRPr="000A5B27">
        <w:rPr>
          <w:rFonts w:hint="eastAsia"/>
          <w:color w:val="auto"/>
        </w:rPr>
        <w:t>。</w:t>
      </w:r>
    </w:p>
    <w:p w:rsidR="000643D0" w:rsidRDefault="000643D0" w:rsidP="000643D0">
      <w:pPr>
        <w:pStyle w:val="a0"/>
        <w:widowControl/>
        <w:numPr>
          <w:ilvl w:val="5"/>
          <w:numId w:val="37"/>
        </w:numPr>
        <w:rPr>
          <w:color w:val="auto"/>
        </w:rPr>
      </w:pPr>
      <w:r w:rsidRPr="00881AB1">
        <w:rPr>
          <w:rFonts w:hint="eastAsia"/>
          <w:color w:val="auto"/>
        </w:rPr>
        <w:t>理成：公司始终遵循长期基本面驱动的价值投资理念，同时适当关注市场的短期博弈机会，因而总体管理风格主动进取，操作风格适度积极，主动选择具有良好基本面支撑、未来发展趋势向好的行业、股票进行价值投资</w:t>
      </w:r>
      <w:r>
        <w:rPr>
          <w:rFonts w:hint="eastAsia"/>
          <w:color w:val="auto"/>
        </w:rPr>
        <w:t>，且</w:t>
      </w:r>
      <w:r w:rsidRPr="00881AB1">
        <w:rPr>
          <w:rFonts w:hint="eastAsia"/>
          <w:color w:val="auto"/>
        </w:rPr>
        <w:t>重视自身投资理念、操作风格的持续性。</w:t>
      </w:r>
    </w:p>
    <w:p w:rsidR="001B29E0" w:rsidRDefault="001B29E0" w:rsidP="00726B71">
      <w:pPr>
        <w:pStyle w:val="a0"/>
        <w:widowControl/>
        <w:numPr>
          <w:ilvl w:val="5"/>
          <w:numId w:val="37"/>
        </w:numPr>
        <w:rPr>
          <w:color w:val="auto"/>
        </w:rPr>
      </w:pPr>
      <w:r>
        <w:rPr>
          <w:rFonts w:hint="eastAsia"/>
          <w:color w:val="auto"/>
        </w:rPr>
        <w:t>鼎锋：</w:t>
      </w:r>
      <w:r w:rsidR="007A0778">
        <w:rPr>
          <w:rFonts w:hint="eastAsia"/>
          <w:color w:val="auto"/>
        </w:rPr>
        <w:t>公司</w:t>
      </w:r>
      <w:r w:rsidR="00726B71">
        <w:rPr>
          <w:rFonts w:hint="eastAsia"/>
          <w:color w:val="auto"/>
        </w:rPr>
        <w:t>核心</w:t>
      </w:r>
      <w:r w:rsidR="007A0778">
        <w:rPr>
          <w:rFonts w:hint="eastAsia"/>
          <w:color w:val="auto"/>
        </w:rPr>
        <w:t>成员具有投资银行和产业工作背景，结合中国国情</w:t>
      </w:r>
      <w:r w:rsidR="00726B71">
        <w:rPr>
          <w:rFonts w:hint="eastAsia"/>
          <w:color w:val="auto"/>
        </w:rPr>
        <w:t>建立了</w:t>
      </w:r>
      <w:r w:rsidR="007A0778">
        <w:rPr>
          <w:rFonts w:hint="eastAsia"/>
          <w:color w:val="auto"/>
        </w:rPr>
        <w:t>一套自下而上的选股</w:t>
      </w:r>
      <w:r w:rsidR="00726B71">
        <w:rPr>
          <w:rFonts w:hint="eastAsia"/>
          <w:color w:val="auto"/>
        </w:rPr>
        <w:t>系统。注重把握小公司成长以及行业阶段性高景气的投资机会，寻找</w:t>
      </w:r>
      <w:r w:rsidR="00726B71" w:rsidRPr="00726B71">
        <w:rPr>
          <w:rFonts w:hint="eastAsia"/>
          <w:color w:val="auto"/>
        </w:rPr>
        <w:t>本面出现跳跃变化或超越市场平均水平的高增长公司</w:t>
      </w:r>
      <w:r w:rsidR="00726B71">
        <w:rPr>
          <w:rFonts w:hint="eastAsia"/>
          <w:color w:val="auto"/>
        </w:rPr>
        <w:t>。</w:t>
      </w:r>
    </w:p>
    <w:p w:rsidR="000643D0" w:rsidRPr="00EE7C0D" w:rsidRDefault="000643D0" w:rsidP="000643D0">
      <w:pPr>
        <w:pStyle w:val="a0"/>
        <w:widowControl/>
        <w:numPr>
          <w:ilvl w:val="5"/>
          <w:numId w:val="37"/>
        </w:numPr>
        <w:rPr>
          <w:color w:val="auto"/>
        </w:rPr>
      </w:pPr>
      <w:r w:rsidRPr="00EE7C0D">
        <w:rPr>
          <w:rFonts w:hint="eastAsia"/>
          <w:color w:val="auto"/>
        </w:rPr>
        <w:t>神农：</w:t>
      </w:r>
      <w:r>
        <w:rPr>
          <w:rFonts w:hint="eastAsia"/>
          <w:color w:val="auto"/>
        </w:rPr>
        <w:t>公司强调</w:t>
      </w:r>
      <w:r w:rsidRPr="004B38CD">
        <w:rPr>
          <w:rFonts w:hint="eastAsia"/>
          <w:color w:val="auto"/>
        </w:rPr>
        <w:t>以长远的眼光</w:t>
      </w:r>
      <w:r>
        <w:rPr>
          <w:rFonts w:hint="eastAsia"/>
          <w:color w:val="auto"/>
        </w:rPr>
        <w:t>、长期投资的心态选择</w:t>
      </w:r>
      <w:r w:rsidRPr="004B38CD">
        <w:rPr>
          <w:rFonts w:hint="eastAsia"/>
          <w:color w:val="auto"/>
        </w:rPr>
        <w:t>股</w:t>
      </w:r>
      <w:r>
        <w:rPr>
          <w:rFonts w:hint="eastAsia"/>
          <w:color w:val="auto"/>
        </w:rPr>
        <w:t>票，同时注重风险控制，动态</w:t>
      </w:r>
      <w:r w:rsidRPr="001919CC">
        <w:rPr>
          <w:rFonts w:hint="eastAsia"/>
          <w:color w:val="auto"/>
        </w:rPr>
        <w:t>调整</w:t>
      </w:r>
      <w:proofErr w:type="gramStart"/>
      <w:r w:rsidRPr="001919CC">
        <w:rPr>
          <w:rFonts w:hint="eastAsia"/>
          <w:color w:val="auto"/>
        </w:rPr>
        <w:t>仓位</w:t>
      </w:r>
      <w:proofErr w:type="gramEnd"/>
      <w:r w:rsidRPr="001919CC">
        <w:rPr>
          <w:rFonts w:hint="eastAsia"/>
          <w:color w:val="auto"/>
        </w:rPr>
        <w:t>与持股重心</w:t>
      </w:r>
      <w:r>
        <w:rPr>
          <w:rFonts w:hint="eastAsia"/>
          <w:color w:val="auto"/>
        </w:rPr>
        <w:t>，但</w:t>
      </w:r>
      <w:proofErr w:type="gramStart"/>
      <w:r>
        <w:rPr>
          <w:rFonts w:hint="eastAsia"/>
          <w:color w:val="auto"/>
        </w:rPr>
        <w:t>若面临</w:t>
      </w:r>
      <w:proofErr w:type="gramEnd"/>
      <w:r>
        <w:rPr>
          <w:rFonts w:hint="eastAsia"/>
          <w:color w:val="auto"/>
        </w:rPr>
        <w:t>确定性机会时，则会</w:t>
      </w:r>
      <w:r>
        <w:rPr>
          <w:rFonts w:hint="eastAsia"/>
          <w:color w:val="auto"/>
        </w:rPr>
        <w:lastRenderedPageBreak/>
        <w:t>加强集中投资</w:t>
      </w:r>
      <w:r w:rsidR="00F911AC">
        <w:rPr>
          <w:rFonts w:hint="eastAsia"/>
          <w:color w:val="auto"/>
        </w:rPr>
        <w:t>，当前</w:t>
      </w:r>
      <w:r>
        <w:rPr>
          <w:rFonts w:hint="eastAsia"/>
          <w:color w:val="auto"/>
        </w:rPr>
        <w:t>公司认为应在分散投资基础上把握确定性强的公司的投资机会。</w:t>
      </w:r>
    </w:p>
    <w:p w:rsidR="001B29E0" w:rsidRPr="00A96592" w:rsidRDefault="001B29E0" w:rsidP="001B29E0">
      <w:pPr>
        <w:pStyle w:val="a0"/>
        <w:rPr>
          <w:b/>
          <w:color w:val="auto"/>
        </w:rPr>
      </w:pPr>
      <w:r>
        <w:rPr>
          <w:rFonts w:hint="eastAsia"/>
          <w:b/>
          <w:color w:val="auto"/>
        </w:rPr>
        <w:t xml:space="preserve">2.1.2  </w:t>
      </w:r>
      <w:r>
        <w:rPr>
          <w:rFonts w:hint="eastAsia"/>
          <w:b/>
          <w:color w:val="auto"/>
        </w:rPr>
        <w:t>管理期货策略：</w:t>
      </w:r>
      <w:r w:rsidR="00B377EE">
        <w:rPr>
          <w:rFonts w:hint="eastAsia"/>
          <w:b/>
          <w:color w:val="auto"/>
        </w:rPr>
        <w:t>捕捉趋势波段机会，发挥多样化优势</w:t>
      </w:r>
      <w:r w:rsidRPr="00A96592">
        <w:rPr>
          <w:b/>
          <w:color w:val="auto"/>
        </w:rPr>
        <w:t xml:space="preserve"> </w:t>
      </w:r>
    </w:p>
    <w:p w:rsidR="00B2232D" w:rsidRPr="00564C16" w:rsidRDefault="00AA7B90" w:rsidP="001B29E0">
      <w:pPr>
        <w:pStyle w:val="a0"/>
        <w:numPr>
          <w:ilvl w:val="4"/>
          <w:numId w:val="3"/>
        </w:numPr>
        <w:rPr>
          <w:color w:val="auto"/>
        </w:rPr>
      </w:pPr>
      <w:r w:rsidRPr="00564C16">
        <w:rPr>
          <w:rFonts w:hint="eastAsia"/>
          <w:color w:val="auto"/>
        </w:rPr>
        <w:t>前期整体大宗商品在原油和黑色系的带动下出现一波明显的反弹，</w:t>
      </w:r>
      <w:r w:rsidR="00AC3B1A" w:rsidRPr="00564C16">
        <w:rPr>
          <w:rFonts w:hint="eastAsia"/>
          <w:color w:val="auto"/>
        </w:rPr>
        <w:t>追溯这轮反弹的根源，</w:t>
      </w:r>
      <w:r w:rsidR="00DF206C" w:rsidRPr="00564C16">
        <w:rPr>
          <w:rFonts w:hint="eastAsia"/>
          <w:color w:val="auto"/>
        </w:rPr>
        <w:t>是宏观面和基本面共同作用所致。首先，在宏观层面，</w:t>
      </w:r>
      <w:r w:rsidR="00EB1439" w:rsidRPr="00564C16">
        <w:rPr>
          <w:rFonts w:hint="eastAsia"/>
          <w:color w:val="auto"/>
        </w:rPr>
        <w:t>美联储加息推后加上美元持续走弱为大宗商品反弹创造了有利环境，国内人民币汇率企稳、财政政策刺激实体经济均助推了大宗商品的反弹。其次，基本面层面，</w:t>
      </w:r>
      <w:r w:rsidR="00A23F83" w:rsidRPr="00564C16">
        <w:rPr>
          <w:rFonts w:hint="eastAsia"/>
          <w:color w:val="auto"/>
        </w:rPr>
        <w:t>我国固定资产投资</w:t>
      </w:r>
      <w:proofErr w:type="gramStart"/>
      <w:r w:rsidR="00A23F83" w:rsidRPr="00564C16">
        <w:rPr>
          <w:rFonts w:hint="eastAsia"/>
          <w:color w:val="auto"/>
        </w:rPr>
        <w:t>增速超</w:t>
      </w:r>
      <w:proofErr w:type="gramEnd"/>
      <w:r w:rsidR="00A23F83" w:rsidRPr="00564C16">
        <w:rPr>
          <w:rFonts w:hint="eastAsia"/>
          <w:color w:val="auto"/>
        </w:rPr>
        <w:t>预期回升，令市场对螺纹钢等黑色系品种的需求出现明显增长，</w:t>
      </w:r>
      <w:r w:rsidR="00B2232D" w:rsidRPr="00564C16">
        <w:rPr>
          <w:rFonts w:hint="eastAsia"/>
          <w:color w:val="auto"/>
        </w:rPr>
        <w:t>但供给端由于前期去产能力度较大加上对后市的悲观预期，因而库存量下降明显，需求的增加加剧了供需失衡的状态，从而推升了整体价格。但从持续性上来看，</w:t>
      </w:r>
      <w:r w:rsidR="00DF4163" w:rsidRPr="00564C16">
        <w:rPr>
          <w:rFonts w:hint="eastAsia"/>
          <w:color w:val="auto"/>
        </w:rPr>
        <w:t>原油等大宗商品价格的企稳攀升</w:t>
      </w:r>
      <w:r w:rsidR="00DE2E77" w:rsidRPr="00564C16">
        <w:rPr>
          <w:rFonts w:hint="eastAsia"/>
          <w:color w:val="auto"/>
        </w:rPr>
        <w:t>在很大程度上会推动通胀预期的升温，</w:t>
      </w:r>
      <w:r w:rsidR="00BE4F14" w:rsidRPr="00564C16">
        <w:rPr>
          <w:rFonts w:hint="eastAsia"/>
          <w:color w:val="auto"/>
        </w:rPr>
        <w:t>这会使得货币政策和财政刺激政策的空间受到压制。而且，大宗商品价格的反弹也会带来供应量的增加，</w:t>
      </w:r>
      <w:r w:rsidR="00F735F0">
        <w:rPr>
          <w:rFonts w:hint="eastAsia"/>
          <w:color w:val="auto"/>
        </w:rPr>
        <w:t>很可能导致</w:t>
      </w:r>
      <w:r w:rsidR="00BE4F14" w:rsidRPr="00564C16">
        <w:rPr>
          <w:rFonts w:hint="eastAsia"/>
          <w:color w:val="auto"/>
        </w:rPr>
        <w:t>后期供应的过剩。因而综合来看，大宗商品本轮的价格反弹或将难以持续。</w:t>
      </w:r>
    </w:p>
    <w:p w:rsidR="00564C16" w:rsidRPr="00564C16" w:rsidRDefault="00C13CE2" w:rsidP="00564C16">
      <w:pPr>
        <w:pStyle w:val="a0"/>
        <w:numPr>
          <w:ilvl w:val="4"/>
          <w:numId w:val="3"/>
        </w:numPr>
        <w:rPr>
          <w:rFonts w:ascii="楷体_GB2312"/>
          <w:szCs w:val="21"/>
        </w:rPr>
      </w:pPr>
      <w:r w:rsidRPr="00564C16">
        <w:rPr>
          <w:rFonts w:hint="eastAsia"/>
          <w:color w:val="auto"/>
        </w:rPr>
        <w:t>落实到阳光私募基金的投资上，</w:t>
      </w:r>
      <w:r w:rsidR="00491787" w:rsidRPr="00564C16">
        <w:rPr>
          <w:rFonts w:hint="eastAsia"/>
          <w:color w:val="auto"/>
        </w:rPr>
        <w:t>由于管理期货策略品种把握的是</w:t>
      </w:r>
      <w:r w:rsidR="009707C6" w:rsidRPr="00564C16">
        <w:rPr>
          <w:rFonts w:hint="eastAsia"/>
          <w:color w:val="auto"/>
        </w:rPr>
        <w:t>趋势</w:t>
      </w:r>
      <w:r w:rsidR="00491787" w:rsidRPr="00564C16">
        <w:rPr>
          <w:rFonts w:hint="eastAsia"/>
          <w:color w:val="auto"/>
        </w:rPr>
        <w:t>波动的机会，</w:t>
      </w:r>
      <w:r w:rsidR="009707C6" w:rsidRPr="00564C16">
        <w:rPr>
          <w:rFonts w:hint="eastAsia"/>
          <w:color w:val="auto"/>
        </w:rPr>
        <w:t>不论是趋势上涨还是趋势下行均有获益空间，因而对于大宗商品市场当前的趋势向上和未来可能出现的趋势调整</w:t>
      </w:r>
      <w:r w:rsidR="0036797A" w:rsidRPr="00564C16">
        <w:rPr>
          <w:rFonts w:hint="eastAsia"/>
          <w:color w:val="auto"/>
        </w:rPr>
        <w:t>，此类品种均有把握机会的可能。</w:t>
      </w:r>
      <w:r w:rsidR="00564C16" w:rsidRPr="00564C16">
        <w:rPr>
          <w:rFonts w:ascii="楷体_GB2312" w:hint="eastAsia"/>
          <w:szCs w:val="21"/>
        </w:rPr>
        <w:t>而且，从</w:t>
      </w:r>
      <w:r w:rsidR="00564C16">
        <w:rPr>
          <w:rFonts w:ascii="楷体_GB2312" w:hint="eastAsia"/>
          <w:szCs w:val="21"/>
        </w:rPr>
        <w:t>实际数据测算的</w:t>
      </w:r>
      <w:r w:rsidR="00564C16" w:rsidRPr="00564C16">
        <w:rPr>
          <w:rFonts w:ascii="楷体_GB2312" w:hint="eastAsia"/>
          <w:szCs w:val="21"/>
        </w:rPr>
        <w:t>风险收益配比效果上来</w:t>
      </w:r>
      <w:r w:rsidR="00564C16">
        <w:rPr>
          <w:rFonts w:ascii="楷体_GB2312" w:hint="eastAsia"/>
          <w:szCs w:val="21"/>
        </w:rPr>
        <w:t>看</w:t>
      </w:r>
      <w:r w:rsidR="00564C16" w:rsidRPr="00564C16">
        <w:rPr>
          <w:rFonts w:ascii="楷体_GB2312" w:hint="eastAsia"/>
          <w:szCs w:val="21"/>
        </w:rPr>
        <w:t>，尽管该策略投资于期货市场，但是此类品种往往会通过跨市场对冲、</w:t>
      </w:r>
      <w:proofErr w:type="gramStart"/>
      <w:r w:rsidR="00564C16" w:rsidRPr="00564C16">
        <w:rPr>
          <w:rFonts w:ascii="楷体_GB2312" w:hint="eastAsia"/>
          <w:szCs w:val="21"/>
        </w:rPr>
        <w:t>跨品种对冲等等</w:t>
      </w:r>
      <w:proofErr w:type="gramEnd"/>
      <w:r w:rsidR="00564C16" w:rsidRPr="00564C16">
        <w:rPr>
          <w:rFonts w:ascii="楷体_GB2312" w:hint="eastAsia"/>
          <w:szCs w:val="21"/>
        </w:rPr>
        <w:t>方式来控制整体风险敞口，因而所呈现出的波动幅度和回撤水平均小于其他高风险策略类型。</w:t>
      </w:r>
      <w:r w:rsidR="00564C16">
        <w:rPr>
          <w:rFonts w:hint="eastAsia"/>
          <w:color w:val="auto"/>
        </w:rPr>
        <w:t>加上管理期货策略品种投资领域与其他几类策略显著不同，</w:t>
      </w:r>
      <w:r w:rsidR="00564C16" w:rsidRPr="00564C16">
        <w:rPr>
          <w:rFonts w:ascii="楷体_GB2312" w:hint="eastAsia"/>
          <w:szCs w:val="21"/>
        </w:rPr>
        <w:t>呈现出较低的相关性，</w:t>
      </w:r>
      <w:r w:rsidR="00564C16">
        <w:rPr>
          <w:rFonts w:hint="eastAsia"/>
          <w:color w:val="auto"/>
        </w:rPr>
        <w:t>因而可作为一个很好的多样化工具进行配置。</w:t>
      </w:r>
    </w:p>
    <w:tbl>
      <w:tblPr>
        <w:tblStyle w:val="GJStylesChartInsertSingleCol"/>
        <w:tblW w:w="7370" w:type="dxa"/>
        <w:tblInd w:w="3402" w:type="dxa"/>
        <w:tblLook w:val="0600" w:firstRow="0" w:lastRow="0" w:firstColumn="0" w:lastColumn="0" w:noHBand="1" w:noVBand="1"/>
      </w:tblPr>
      <w:tblGrid>
        <w:gridCol w:w="1276"/>
        <w:gridCol w:w="992"/>
        <w:gridCol w:w="993"/>
        <w:gridCol w:w="950"/>
        <w:gridCol w:w="1053"/>
        <w:gridCol w:w="1053"/>
        <w:gridCol w:w="1053"/>
      </w:tblGrid>
      <w:tr w:rsidR="00564C16" w:rsidTr="005E06B3">
        <w:tc>
          <w:tcPr>
            <w:tcW w:w="7370" w:type="dxa"/>
            <w:gridSpan w:val="7"/>
            <w:tcBorders>
              <w:bottom w:val="single" w:sz="4" w:space="0" w:color="00A0E9"/>
            </w:tcBorders>
          </w:tcPr>
          <w:p w:rsidR="00564C16" w:rsidRPr="00474B92" w:rsidRDefault="00564C16" w:rsidP="006D1D1C">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3</w:t>
            </w:r>
            <w:r>
              <w:fldChar w:fldCharType="end"/>
            </w:r>
            <w:r>
              <w:rPr>
                <w:rFonts w:hint="eastAsia"/>
              </w:rPr>
              <w:t>：管理期货策略风险收益指标具有优势</w:t>
            </w:r>
          </w:p>
        </w:tc>
      </w:tr>
      <w:tr w:rsidR="00564C16" w:rsidTr="005E06B3">
        <w:trPr>
          <w:trHeight w:val="451"/>
        </w:trPr>
        <w:tc>
          <w:tcPr>
            <w:tcW w:w="1276" w:type="dxa"/>
            <w:tcBorders>
              <w:bottom w:val="single" w:sz="4" w:space="0" w:color="00A0E9"/>
              <w:right w:val="single" w:sz="4" w:space="0" w:color="00A0E9"/>
            </w:tcBorders>
            <w:vAlign w:val="center"/>
          </w:tcPr>
          <w:p w:rsidR="00564C16" w:rsidRPr="00A40B66" w:rsidRDefault="00564C16" w:rsidP="005E06B3">
            <w:pPr>
              <w:jc w:val="center"/>
              <w:rPr>
                <w:rFonts w:asciiTheme="minorEastAsia" w:eastAsiaTheme="minorEastAsia" w:hAnsiTheme="minorEastAsia" w:cs="宋体"/>
                <w:b/>
                <w:bCs/>
                <w:color w:val="000000"/>
                <w:sz w:val="15"/>
                <w:szCs w:val="15"/>
              </w:rPr>
            </w:pPr>
          </w:p>
        </w:tc>
        <w:tc>
          <w:tcPr>
            <w:tcW w:w="992" w:type="dxa"/>
            <w:tcBorders>
              <w:left w:val="single" w:sz="4" w:space="0" w:color="00A0E9"/>
              <w:bottom w:val="single" w:sz="4" w:space="0" w:color="00A0E9"/>
              <w:right w:val="single" w:sz="4" w:space="0" w:color="00A0E9"/>
            </w:tcBorders>
            <w:vAlign w:val="center"/>
          </w:tcPr>
          <w:p w:rsidR="00564C16" w:rsidRPr="00A40B66" w:rsidRDefault="00564C16" w:rsidP="005E06B3">
            <w:pPr>
              <w:jc w:val="center"/>
              <w:rPr>
                <w:rFonts w:asciiTheme="minorEastAsia" w:eastAsiaTheme="minorEastAsia" w:hAnsiTheme="minorEastAsia"/>
                <w:b/>
                <w:color w:val="000000"/>
                <w:sz w:val="15"/>
                <w:szCs w:val="15"/>
              </w:rPr>
            </w:pPr>
            <w:r w:rsidRPr="00A40B66">
              <w:rPr>
                <w:rFonts w:asciiTheme="minorEastAsia" w:eastAsiaTheme="minorEastAsia" w:hAnsiTheme="minorEastAsia" w:hint="eastAsia"/>
                <w:b/>
                <w:color w:val="000000"/>
                <w:sz w:val="15"/>
                <w:szCs w:val="15"/>
              </w:rPr>
              <w:t>一年期</w:t>
            </w:r>
          </w:p>
          <w:p w:rsidR="00564C16" w:rsidRPr="00A40B66" w:rsidRDefault="00564C16"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标准差</w:t>
            </w:r>
          </w:p>
        </w:tc>
        <w:tc>
          <w:tcPr>
            <w:tcW w:w="993" w:type="dxa"/>
            <w:tcBorders>
              <w:left w:val="single" w:sz="4" w:space="0" w:color="00A0E9"/>
              <w:bottom w:val="single" w:sz="4" w:space="0" w:color="00A0E9"/>
              <w:right w:val="single" w:sz="4" w:space="0" w:color="00A0E9"/>
            </w:tcBorders>
            <w:vAlign w:val="center"/>
          </w:tcPr>
          <w:p w:rsidR="00564C16" w:rsidRPr="00A40B66" w:rsidRDefault="00564C16" w:rsidP="005E06B3">
            <w:pPr>
              <w:jc w:val="center"/>
              <w:rPr>
                <w:rFonts w:asciiTheme="minorEastAsia" w:eastAsiaTheme="minorEastAsia" w:hAnsiTheme="minorEastAsia"/>
                <w:b/>
                <w:color w:val="000000"/>
                <w:sz w:val="15"/>
                <w:szCs w:val="15"/>
              </w:rPr>
            </w:pPr>
            <w:r w:rsidRPr="00A40B66">
              <w:rPr>
                <w:rFonts w:asciiTheme="minorEastAsia" w:eastAsiaTheme="minorEastAsia" w:hAnsiTheme="minorEastAsia" w:hint="eastAsia"/>
                <w:b/>
                <w:color w:val="000000"/>
                <w:sz w:val="15"/>
                <w:szCs w:val="15"/>
              </w:rPr>
              <w:t>一年期</w:t>
            </w:r>
          </w:p>
          <w:p w:rsidR="00564C16" w:rsidRPr="00A40B66" w:rsidRDefault="00564C16"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最大回撤</w:t>
            </w:r>
          </w:p>
        </w:tc>
        <w:tc>
          <w:tcPr>
            <w:tcW w:w="950" w:type="dxa"/>
            <w:tcBorders>
              <w:left w:val="single" w:sz="4" w:space="0" w:color="00A0E9"/>
              <w:bottom w:val="single" w:sz="4" w:space="0" w:color="00A0E9"/>
              <w:right w:val="single" w:sz="4" w:space="0" w:color="00A0E9"/>
            </w:tcBorders>
            <w:vAlign w:val="center"/>
          </w:tcPr>
          <w:p w:rsidR="00564C16" w:rsidRPr="00A40B66" w:rsidRDefault="00564C16" w:rsidP="005E06B3">
            <w:pPr>
              <w:jc w:val="center"/>
              <w:rPr>
                <w:rFonts w:asciiTheme="minorEastAsia" w:eastAsiaTheme="minorEastAsia" w:hAnsiTheme="minorEastAsia"/>
                <w:b/>
                <w:color w:val="000000"/>
                <w:sz w:val="15"/>
                <w:szCs w:val="15"/>
              </w:rPr>
            </w:pPr>
            <w:r w:rsidRPr="00A40B66">
              <w:rPr>
                <w:rFonts w:asciiTheme="minorEastAsia" w:eastAsiaTheme="minorEastAsia" w:hAnsiTheme="minorEastAsia" w:hint="eastAsia"/>
                <w:b/>
                <w:color w:val="000000"/>
                <w:sz w:val="15"/>
                <w:szCs w:val="15"/>
              </w:rPr>
              <w:t>一年期</w:t>
            </w:r>
          </w:p>
          <w:p w:rsidR="00564C16" w:rsidRPr="00A40B66" w:rsidRDefault="00564C16"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夏普比率</w:t>
            </w:r>
          </w:p>
        </w:tc>
        <w:tc>
          <w:tcPr>
            <w:tcW w:w="1053" w:type="dxa"/>
            <w:tcBorders>
              <w:left w:val="single" w:sz="4" w:space="0" w:color="00A0E9"/>
              <w:bottom w:val="single" w:sz="4" w:space="0" w:color="00A0E9"/>
              <w:right w:val="single" w:sz="4" w:space="0" w:color="00A0E9"/>
            </w:tcBorders>
            <w:vAlign w:val="center"/>
          </w:tcPr>
          <w:p w:rsidR="00564C16" w:rsidRPr="00A40B66" w:rsidRDefault="00564C16" w:rsidP="005E06B3">
            <w:pPr>
              <w:jc w:val="center"/>
              <w:rPr>
                <w:rFonts w:asciiTheme="minorEastAsia" w:eastAsiaTheme="minorEastAsia" w:hAnsiTheme="minorEastAsia"/>
                <w:b/>
                <w:color w:val="000000"/>
                <w:sz w:val="15"/>
                <w:szCs w:val="15"/>
              </w:rPr>
            </w:pPr>
            <w:r w:rsidRPr="00A40B66">
              <w:rPr>
                <w:rFonts w:asciiTheme="minorEastAsia" w:eastAsiaTheme="minorEastAsia" w:hAnsiTheme="minorEastAsia" w:hint="eastAsia"/>
                <w:b/>
                <w:color w:val="000000"/>
                <w:sz w:val="15"/>
                <w:szCs w:val="15"/>
              </w:rPr>
              <w:t>三年期</w:t>
            </w:r>
          </w:p>
          <w:p w:rsidR="00564C16" w:rsidRPr="00A40B66" w:rsidRDefault="00564C16"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标准差</w:t>
            </w:r>
          </w:p>
        </w:tc>
        <w:tc>
          <w:tcPr>
            <w:tcW w:w="1053" w:type="dxa"/>
            <w:tcBorders>
              <w:left w:val="single" w:sz="4" w:space="0" w:color="00A0E9"/>
              <w:bottom w:val="single" w:sz="4" w:space="0" w:color="00A0E9"/>
              <w:right w:val="single" w:sz="4" w:space="0" w:color="00A0E9"/>
            </w:tcBorders>
            <w:vAlign w:val="center"/>
          </w:tcPr>
          <w:p w:rsidR="00564C16" w:rsidRPr="00A40B66" w:rsidRDefault="00564C16" w:rsidP="005E06B3">
            <w:pPr>
              <w:jc w:val="center"/>
              <w:rPr>
                <w:rFonts w:asciiTheme="minorEastAsia" w:eastAsiaTheme="minorEastAsia" w:hAnsiTheme="minorEastAsia"/>
                <w:b/>
                <w:color w:val="000000"/>
                <w:sz w:val="15"/>
                <w:szCs w:val="15"/>
              </w:rPr>
            </w:pPr>
            <w:r w:rsidRPr="00A40B66">
              <w:rPr>
                <w:rFonts w:asciiTheme="minorEastAsia" w:eastAsiaTheme="minorEastAsia" w:hAnsiTheme="minorEastAsia" w:hint="eastAsia"/>
                <w:b/>
                <w:color w:val="000000"/>
                <w:sz w:val="15"/>
                <w:szCs w:val="15"/>
              </w:rPr>
              <w:t>三年期</w:t>
            </w:r>
          </w:p>
          <w:p w:rsidR="00564C16" w:rsidRPr="00A40B66" w:rsidRDefault="00564C16"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最大回撤</w:t>
            </w:r>
          </w:p>
        </w:tc>
        <w:tc>
          <w:tcPr>
            <w:tcW w:w="1053" w:type="dxa"/>
            <w:tcBorders>
              <w:left w:val="single" w:sz="4" w:space="0" w:color="00A0E9"/>
              <w:bottom w:val="single" w:sz="4" w:space="0" w:color="00A0E9"/>
            </w:tcBorders>
            <w:vAlign w:val="center"/>
          </w:tcPr>
          <w:p w:rsidR="00564C16" w:rsidRPr="00A40B66" w:rsidRDefault="00564C16" w:rsidP="005E06B3">
            <w:pPr>
              <w:jc w:val="center"/>
              <w:rPr>
                <w:rFonts w:asciiTheme="minorEastAsia" w:eastAsiaTheme="minorEastAsia" w:hAnsiTheme="minorEastAsia"/>
                <w:b/>
                <w:color w:val="000000"/>
                <w:sz w:val="15"/>
                <w:szCs w:val="15"/>
              </w:rPr>
            </w:pPr>
            <w:r w:rsidRPr="00A40B66">
              <w:rPr>
                <w:rFonts w:asciiTheme="minorEastAsia" w:eastAsiaTheme="minorEastAsia" w:hAnsiTheme="minorEastAsia" w:hint="eastAsia"/>
                <w:b/>
                <w:color w:val="000000"/>
                <w:sz w:val="15"/>
                <w:szCs w:val="15"/>
              </w:rPr>
              <w:t>三年期</w:t>
            </w:r>
          </w:p>
          <w:p w:rsidR="00564C16" w:rsidRPr="00A40B66" w:rsidRDefault="00564C16"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夏普比率</w:t>
            </w:r>
          </w:p>
        </w:tc>
      </w:tr>
      <w:tr w:rsidR="006D1D1C" w:rsidTr="005E06B3">
        <w:trPr>
          <w:trHeight w:val="325"/>
        </w:trPr>
        <w:tc>
          <w:tcPr>
            <w:tcW w:w="1276" w:type="dxa"/>
            <w:tcBorders>
              <w:bottom w:val="single" w:sz="4" w:space="0" w:color="00A0E9"/>
              <w:right w:val="single" w:sz="4" w:space="0" w:color="00A0E9"/>
            </w:tcBorders>
            <w:shd w:val="clear" w:color="auto" w:fill="E5B8B7" w:themeFill="accent2" w:themeFillTint="66"/>
            <w:vAlign w:val="center"/>
          </w:tcPr>
          <w:p w:rsidR="006D1D1C" w:rsidRPr="00A40B66" w:rsidRDefault="006D1D1C"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管理期货策略</w:t>
            </w:r>
          </w:p>
        </w:tc>
        <w:tc>
          <w:tcPr>
            <w:tcW w:w="992" w:type="dxa"/>
            <w:tcBorders>
              <w:left w:val="single" w:sz="4" w:space="0" w:color="00A0E9"/>
              <w:bottom w:val="single" w:sz="4" w:space="0" w:color="00A0E9"/>
              <w:right w:val="single" w:sz="4" w:space="0" w:color="00A0E9"/>
            </w:tcBorders>
            <w:shd w:val="clear" w:color="auto" w:fill="E5B8B7" w:themeFill="accent2" w:themeFillTint="66"/>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31.12%</w:t>
            </w:r>
          </w:p>
        </w:tc>
        <w:tc>
          <w:tcPr>
            <w:tcW w:w="993" w:type="dxa"/>
            <w:tcBorders>
              <w:left w:val="single" w:sz="4" w:space="0" w:color="00A0E9"/>
              <w:bottom w:val="single" w:sz="4" w:space="0" w:color="00A0E9"/>
              <w:right w:val="single" w:sz="4" w:space="0" w:color="00A0E9"/>
            </w:tcBorders>
            <w:shd w:val="clear" w:color="auto" w:fill="E5B8B7" w:themeFill="accent2" w:themeFillTint="66"/>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14.62%</w:t>
            </w:r>
          </w:p>
        </w:tc>
        <w:tc>
          <w:tcPr>
            <w:tcW w:w="950" w:type="dxa"/>
            <w:tcBorders>
              <w:left w:val="single" w:sz="4" w:space="0" w:color="00A0E9"/>
              <w:bottom w:val="single" w:sz="4" w:space="0" w:color="00A0E9"/>
              <w:right w:val="single" w:sz="4" w:space="0" w:color="00A0E9"/>
            </w:tcBorders>
            <w:shd w:val="clear" w:color="auto" w:fill="E5B8B7" w:themeFill="accent2" w:themeFillTint="66"/>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0.72</w:t>
            </w:r>
          </w:p>
        </w:tc>
        <w:tc>
          <w:tcPr>
            <w:tcW w:w="1053" w:type="dxa"/>
            <w:tcBorders>
              <w:left w:val="single" w:sz="4" w:space="0" w:color="00A0E9"/>
              <w:bottom w:val="single" w:sz="4" w:space="0" w:color="00A0E9"/>
              <w:right w:val="single" w:sz="4" w:space="0" w:color="00A0E9"/>
            </w:tcBorders>
            <w:shd w:val="clear" w:color="auto" w:fill="E5B8B7" w:themeFill="accent2" w:themeFillTint="66"/>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27.22%</w:t>
            </w:r>
          </w:p>
        </w:tc>
        <w:tc>
          <w:tcPr>
            <w:tcW w:w="1053" w:type="dxa"/>
            <w:tcBorders>
              <w:left w:val="single" w:sz="4" w:space="0" w:color="00A0E9"/>
              <w:bottom w:val="single" w:sz="4" w:space="0" w:color="00A0E9"/>
              <w:right w:val="single" w:sz="4" w:space="0" w:color="00A0E9"/>
            </w:tcBorders>
            <w:shd w:val="clear" w:color="auto" w:fill="E5B8B7" w:themeFill="accent2" w:themeFillTint="66"/>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12.27%</w:t>
            </w:r>
          </w:p>
        </w:tc>
        <w:tc>
          <w:tcPr>
            <w:tcW w:w="1053" w:type="dxa"/>
            <w:tcBorders>
              <w:left w:val="single" w:sz="4" w:space="0" w:color="00A0E9"/>
              <w:bottom w:val="single" w:sz="4" w:space="0" w:color="00A0E9"/>
            </w:tcBorders>
            <w:shd w:val="clear" w:color="auto" w:fill="E5B8B7" w:themeFill="accent2" w:themeFillTint="66"/>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1.25</w:t>
            </w:r>
          </w:p>
        </w:tc>
      </w:tr>
      <w:tr w:rsidR="006D1D1C" w:rsidTr="005E06B3">
        <w:trPr>
          <w:trHeight w:val="287"/>
        </w:trPr>
        <w:tc>
          <w:tcPr>
            <w:tcW w:w="1276" w:type="dxa"/>
            <w:tcBorders>
              <w:bottom w:val="single" w:sz="4" w:space="0" w:color="00A0E9"/>
              <w:right w:val="single" w:sz="4" w:space="0" w:color="00A0E9"/>
            </w:tcBorders>
            <w:vAlign w:val="center"/>
          </w:tcPr>
          <w:p w:rsidR="006D1D1C" w:rsidRPr="00A40B66" w:rsidRDefault="006D1D1C"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股票多头策略</w:t>
            </w:r>
          </w:p>
        </w:tc>
        <w:tc>
          <w:tcPr>
            <w:tcW w:w="992"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41.70%</w:t>
            </w:r>
          </w:p>
        </w:tc>
        <w:tc>
          <w:tcPr>
            <w:tcW w:w="99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30.83%</w:t>
            </w:r>
          </w:p>
        </w:tc>
        <w:tc>
          <w:tcPr>
            <w:tcW w:w="950"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0.25</w:t>
            </w:r>
          </w:p>
        </w:tc>
        <w:tc>
          <w:tcPr>
            <w:tcW w:w="105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29.27%</w:t>
            </w:r>
          </w:p>
        </w:tc>
        <w:tc>
          <w:tcPr>
            <w:tcW w:w="105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32.62%</w:t>
            </w:r>
          </w:p>
        </w:tc>
        <w:tc>
          <w:tcPr>
            <w:tcW w:w="1053" w:type="dxa"/>
            <w:tcBorders>
              <w:left w:val="single" w:sz="4" w:space="0" w:color="00A0E9"/>
              <w:bottom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0.59</w:t>
            </w:r>
          </w:p>
        </w:tc>
      </w:tr>
      <w:tr w:rsidR="006D1D1C" w:rsidTr="005E06B3">
        <w:trPr>
          <w:trHeight w:val="263"/>
        </w:trPr>
        <w:tc>
          <w:tcPr>
            <w:tcW w:w="1276" w:type="dxa"/>
            <w:tcBorders>
              <w:bottom w:val="single" w:sz="4" w:space="0" w:color="00A0E9"/>
              <w:right w:val="single" w:sz="4" w:space="0" w:color="00A0E9"/>
            </w:tcBorders>
            <w:vAlign w:val="center"/>
          </w:tcPr>
          <w:p w:rsidR="006D1D1C" w:rsidRPr="00A40B66" w:rsidRDefault="006D1D1C"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（全球）宏观策略</w:t>
            </w:r>
          </w:p>
        </w:tc>
        <w:tc>
          <w:tcPr>
            <w:tcW w:w="992"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32.54%</w:t>
            </w:r>
          </w:p>
        </w:tc>
        <w:tc>
          <w:tcPr>
            <w:tcW w:w="99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18.37%</w:t>
            </w:r>
          </w:p>
        </w:tc>
        <w:tc>
          <w:tcPr>
            <w:tcW w:w="950"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0.88</w:t>
            </w:r>
          </w:p>
        </w:tc>
        <w:tc>
          <w:tcPr>
            <w:tcW w:w="105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33.22%</w:t>
            </w:r>
          </w:p>
        </w:tc>
        <w:tc>
          <w:tcPr>
            <w:tcW w:w="105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31.37%</w:t>
            </w:r>
          </w:p>
        </w:tc>
        <w:tc>
          <w:tcPr>
            <w:tcW w:w="1053" w:type="dxa"/>
            <w:tcBorders>
              <w:left w:val="single" w:sz="4" w:space="0" w:color="00A0E9"/>
              <w:bottom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0.81</w:t>
            </w:r>
          </w:p>
        </w:tc>
      </w:tr>
      <w:tr w:rsidR="006D1D1C" w:rsidTr="005E06B3">
        <w:trPr>
          <w:trHeight w:val="267"/>
        </w:trPr>
        <w:tc>
          <w:tcPr>
            <w:tcW w:w="1276" w:type="dxa"/>
            <w:tcBorders>
              <w:bottom w:val="single" w:sz="4" w:space="0" w:color="00A0E9"/>
              <w:right w:val="single" w:sz="4" w:space="0" w:color="00A0E9"/>
            </w:tcBorders>
            <w:vAlign w:val="center"/>
          </w:tcPr>
          <w:p w:rsidR="006D1D1C" w:rsidRPr="00A40B66" w:rsidRDefault="006D1D1C" w:rsidP="005E06B3">
            <w:pPr>
              <w:jc w:val="center"/>
              <w:rPr>
                <w:rFonts w:asciiTheme="minorEastAsia" w:eastAsiaTheme="minorEastAsia" w:hAnsiTheme="minorEastAsia" w:cs="宋体"/>
                <w:b/>
                <w:color w:val="000000"/>
                <w:sz w:val="15"/>
                <w:szCs w:val="15"/>
              </w:rPr>
            </w:pPr>
            <w:r w:rsidRPr="00A40B66">
              <w:rPr>
                <w:rFonts w:asciiTheme="minorEastAsia" w:eastAsiaTheme="minorEastAsia" w:hAnsiTheme="minorEastAsia" w:hint="eastAsia"/>
                <w:b/>
                <w:color w:val="000000"/>
                <w:sz w:val="15"/>
                <w:szCs w:val="15"/>
              </w:rPr>
              <w:t>多空对冲策略</w:t>
            </w:r>
          </w:p>
        </w:tc>
        <w:tc>
          <w:tcPr>
            <w:tcW w:w="992"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38.36%</w:t>
            </w:r>
          </w:p>
        </w:tc>
        <w:tc>
          <w:tcPr>
            <w:tcW w:w="99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24.27%</w:t>
            </w:r>
          </w:p>
        </w:tc>
        <w:tc>
          <w:tcPr>
            <w:tcW w:w="950"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0.61</w:t>
            </w:r>
          </w:p>
        </w:tc>
        <w:tc>
          <w:tcPr>
            <w:tcW w:w="105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24.02%</w:t>
            </w:r>
          </w:p>
        </w:tc>
        <w:tc>
          <w:tcPr>
            <w:tcW w:w="1053" w:type="dxa"/>
            <w:tcBorders>
              <w:left w:val="single" w:sz="4" w:space="0" w:color="00A0E9"/>
              <w:bottom w:val="single" w:sz="4" w:space="0" w:color="00A0E9"/>
              <w:right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20.16%</w:t>
            </w:r>
          </w:p>
        </w:tc>
        <w:tc>
          <w:tcPr>
            <w:tcW w:w="1053" w:type="dxa"/>
            <w:tcBorders>
              <w:left w:val="single" w:sz="4" w:space="0" w:color="00A0E9"/>
              <w:bottom w:val="single" w:sz="4" w:space="0" w:color="00A0E9"/>
            </w:tcBorders>
            <w:vAlign w:val="center"/>
          </w:tcPr>
          <w:p w:rsidR="006D1D1C" w:rsidRPr="006D1D1C" w:rsidRDefault="006D1D1C" w:rsidP="006D1D1C">
            <w:pPr>
              <w:jc w:val="center"/>
              <w:rPr>
                <w:rFonts w:asciiTheme="minorEastAsia" w:eastAsiaTheme="minorEastAsia" w:hAnsiTheme="minorEastAsia" w:cs="宋体"/>
                <w:color w:val="000000"/>
                <w:sz w:val="15"/>
                <w:szCs w:val="15"/>
              </w:rPr>
            </w:pPr>
            <w:r w:rsidRPr="006D1D1C">
              <w:rPr>
                <w:rFonts w:asciiTheme="minorEastAsia" w:eastAsiaTheme="minorEastAsia" w:hAnsiTheme="minorEastAsia" w:hint="eastAsia"/>
                <w:color w:val="000000"/>
                <w:sz w:val="15"/>
                <w:szCs w:val="15"/>
              </w:rPr>
              <w:t>0.89</w:t>
            </w:r>
          </w:p>
        </w:tc>
      </w:tr>
      <w:tr w:rsidR="00564C16" w:rsidTr="005E06B3">
        <w:trPr>
          <w:trHeight w:val="261"/>
        </w:trPr>
        <w:tc>
          <w:tcPr>
            <w:tcW w:w="7370" w:type="dxa"/>
            <w:gridSpan w:val="7"/>
            <w:tcBorders>
              <w:bottom w:val="single" w:sz="4" w:space="0" w:color="00A0E9"/>
            </w:tcBorders>
            <w:vAlign w:val="center"/>
          </w:tcPr>
          <w:p w:rsidR="00564C16" w:rsidRPr="00A40B66" w:rsidRDefault="00564C16" w:rsidP="006D1D1C">
            <w:pPr>
              <w:jc w:val="left"/>
              <w:rPr>
                <w:rFonts w:asciiTheme="minorEastAsia" w:eastAsiaTheme="minorEastAsia" w:hAnsiTheme="minorEastAsia"/>
                <w:color w:val="000000"/>
                <w:sz w:val="15"/>
                <w:szCs w:val="15"/>
              </w:rPr>
            </w:pPr>
            <w:r>
              <w:rPr>
                <w:rFonts w:asciiTheme="minorEastAsia" w:eastAsiaTheme="minorEastAsia" w:hAnsiTheme="minorEastAsia" w:hint="eastAsia"/>
                <w:color w:val="000000"/>
                <w:sz w:val="15"/>
                <w:szCs w:val="15"/>
              </w:rPr>
              <w:t>注：风险收益指标均截止201</w:t>
            </w:r>
            <w:r w:rsidR="006D1D1C">
              <w:rPr>
                <w:rFonts w:asciiTheme="minorEastAsia" w:eastAsiaTheme="minorEastAsia" w:hAnsiTheme="minorEastAsia" w:hint="eastAsia"/>
                <w:color w:val="000000"/>
                <w:sz w:val="15"/>
                <w:szCs w:val="15"/>
              </w:rPr>
              <w:t>6</w:t>
            </w:r>
            <w:r>
              <w:rPr>
                <w:rFonts w:asciiTheme="minorEastAsia" w:eastAsiaTheme="minorEastAsia" w:hAnsiTheme="minorEastAsia" w:hint="eastAsia"/>
                <w:color w:val="000000"/>
                <w:sz w:val="15"/>
                <w:szCs w:val="15"/>
              </w:rPr>
              <w:t>年</w:t>
            </w:r>
            <w:r w:rsidR="006D1D1C">
              <w:rPr>
                <w:rFonts w:asciiTheme="minorEastAsia" w:eastAsiaTheme="minorEastAsia" w:hAnsiTheme="minorEastAsia" w:hint="eastAsia"/>
                <w:color w:val="000000"/>
                <w:sz w:val="15"/>
                <w:szCs w:val="15"/>
              </w:rPr>
              <w:t>2</w:t>
            </w:r>
            <w:r>
              <w:rPr>
                <w:rFonts w:asciiTheme="minorEastAsia" w:eastAsiaTheme="minorEastAsia" w:hAnsiTheme="minorEastAsia" w:hint="eastAsia"/>
                <w:color w:val="000000"/>
                <w:sz w:val="15"/>
                <w:szCs w:val="15"/>
              </w:rPr>
              <w:t>月。</w:t>
            </w:r>
          </w:p>
        </w:tc>
      </w:tr>
      <w:tr w:rsidR="00564C16" w:rsidTr="005E06B3">
        <w:tc>
          <w:tcPr>
            <w:tcW w:w="7370" w:type="dxa"/>
            <w:gridSpan w:val="7"/>
            <w:tcBorders>
              <w:top w:val="single" w:sz="4" w:space="0" w:color="00A0E9"/>
            </w:tcBorders>
          </w:tcPr>
          <w:p w:rsidR="00564C16" w:rsidRDefault="00564C16" w:rsidP="005E06B3">
            <w:pPr>
              <w:pStyle w:val="GJStylesGraphSource"/>
            </w:pPr>
            <w:r>
              <w:rPr>
                <w:rFonts w:hint="eastAsia"/>
              </w:rPr>
              <w:t>来源：国金证券研究所</w:t>
            </w:r>
          </w:p>
        </w:tc>
      </w:tr>
    </w:tbl>
    <w:p w:rsidR="00564C16" w:rsidRDefault="00564C16" w:rsidP="00564C16">
      <w:pPr>
        <w:pStyle w:val="a0"/>
        <w:numPr>
          <w:ilvl w:val="4"/>
          <w:numId w:val="3"/>
        </w:numPr>
        <w:rPr>
          <w:rFonts w:ascii="楷体_GB2312"/>
          <w:szCs w:val="21"/>
        </w:rPr>
      </w:pPr>
      <w:r>
        <w:rPr>
          <w:rFonts w:hint="eastAsia"/>
          <w:color w:val="auto"/>
        </w:rPr>
        <w:t>根据我们对于</w:t>
      </w:r>
      <w:r w:rsidRPr="002F6CE2">
        <w:rPr>
          <w:rFonts w:hint="eastAsia"/>
          <w:color w:val="auto"/>
        </w:rPr>
        <w:t>管理期货策略</w:t>
      </w:r>
      <w:r>
        <w:rPr>
          <w:rFonts w:hint="eastAsia"/>
          <w:color w:val="auto"/>
        </w:rPr>
        <w:t>管理人的持续跟踪调研以及客观的数据分析，建议</w:t>
      </w:r>
      <w:r w:rsidRPr="002F6CE2">
        <w:rPr>
          <w:rFonts w:hint="eastAsia"/>
          <w:color w:val="auto"/>
        </w:rPr>
        <w:t>可以关注富善、白石、双隆</w:t>
      </w:r>
      <w:r>
        <w:rPr>
          <w:rFonts w:hint="eastAsia"/>
          <w:color w:val="auto"/>
        </w:rPr>
        <w:t>、元葵</w:t>
      </w:r>
      <w:r w:rsidRPr="002F6CE2">
        <w:rPr>
          <w:rFonts w:hint="eastAsia"/>
          <w:color w:val="auto"/>
        </w:rPr>
        <w:t>旗下产品，</w:t>
      </w:r>
      <w:r>
        <w:rPr>
          <w:rFonts w:hint="eastAsia"/>
          <w:color w:val="auto"/>
        </w:rPr>
        <w:t>其比较注重风险的控制，同时具备较好</w:t>
      </w:r>
      <w:r w:rsidRPr="002F6CE2">
        <w:rPr>
          <w:rFonts w:hint="eastAsia"/>
          <w:color w:val="auto"/>
        </w:rPr>
        <w:t>的</w:t>
      </w:r>
      <w:r>
        <w:rPr>
          <w:rFonts w:hint="eastAsia"/>
          <w:color w:val="auto"/>
        </w:rPr>
        <w:t>持续</w:t>
      </w:r>
      <w:r w:rsidRPr="002F6CE2">
        <w:rPr>
          <w:rFonts w:hint="eastAsia"/>
          <w:color w:val="auto"/>
        </w:rPr>
        <w:t>获益能力。</w:t>
      </w:r>
    </w:p>
    <w:p w:rsidR="00564C16" w:rsidRDefault="00564C16" w:rsidP="00564C16">
      <w:pPr>
        <w:pStyle w:val="a0"/>
        <w:widowControl/>
        <w:numPr>
          <w:ilvl w:val="5"/>
          <w:numId w:val="4"/>
        </w:numPr>
        <w:rPr>
          <w:color w:val="auto"/>
        </w:rPr>
      </w:pPr>
      <w:r>
        <w:rPr>
          <w:rFonts w:hint="eastAsia"/>
          <w:color w:val="auto"/>
        </w:rPr>
        <w:t>富善：公司专注量化投资，</w:t>
      </w:r>
      <w:r w:rsidRPr="004A51AA">
        <w:rPr>
          <w:rFonts w:hint="eastAsia"/>
          <w:color w:val="auto"/>
        </w:rPr>
        <w:t>运用金融理论和数学方法构建策略模型，通过</w:t>
      </w:r>
      <w:r w:rsidRPr="004A51AA">
        <w:rPr>
          <w:rFonts w:hint="eastAsia"/>
          <w:color w:val="auto"/>
        </w:rPr>
        <w:t>IT</w:t>
      </w:r>
      <w:r w:rsidRPr="004A51AA">
        <w:rPr>
          <w:rFonts w:hint="eastAsia"/>
          <w:color w:val="auto"/>
        </w:rPr>
        <w:t>技术实现自动化交易，利用衍生</w:t>
      </w:r>
      <w:proofErr w:type="gramStart"/>
      <w:r w:rsidRPr="004A51AA">
        <w:rPr>
          <w:rFonts w:hint="eastAsia"/>
          <w:color w:val="auto"/>
        </w:rPr>
        <w:t>品工具</w:t>
      </w:r>
      <w:proofErr w:type="gramEnd"/>
      <w:r>
        <w:rPr>
          <w:rFonts w:hint="eastAsia"/>
          <w:color w:val="auto"/>
        </w:rPr>
        <w:t>力争</w:t>
      </w:r>
      <w:r w:rsidRPr="004A51AA">
        <w:rPr>
          <w:rFonts w:hint="eastAsia"/>
          <w:color w:val="auto"/>
        </w:rPr>
        <w:t>实现长期稳定的投资回报。</w:t>
      </w:r>
      <w:r>
        <w:rPr>
          <w:rFonts w:hint="eastAsia"/>
          <w:color w:val="auto"/>
        </w:rPr>
        <w:t>整个内部策略的研发是由团队共同进行，并且注重利用</w:t>
      </w:r>
      <w:r>
        <w:rPr>
          <w:rFonts w:hint="eastAsia"/>
          <w:color w:val="auto"/>
        </w:rPr>
        <w:t>IT</w:t>
      </w:r>
      <w:r>
        <w:rPr>
          <w:rFonts w:hint="eastAsia"/>
          <w:color w:val="auto"/>
        </w:rPr>
        <w:t>技术进行风险控制。从运作结果来看，富善旗下产品在管理期货策略中排名始终领先。</w:t>
      </w:r>
    </w:p>
    <w:p w:rsidR="00564C16" w:rsidRDefault="00564C16" w:rsidP="00564C16">
      <w:pPr>
        <w:pStyle w:val="a0"/>
        <w:widowControl/>
        <w:numPr>
          <w:ilvl w:val="5"/>
          <w:numId w:val="4"/>
        </w:numPr>
        <w:rPr>
          <w:color w:val="auto"/>
        </w:rPr>
      </w:pPr>
      <w:r>
        <w:rPr>
          <w:rFonts w:hint="eastAsia"/>
          <w:color w:val="auto"/>
        </w:rPr>
        <w:t>白石：公司主要投资方向在大宗商品领域，少量进行外汇、股指期货、期权的投资，主要采用趋势策略和对冲策略，由于重点投资商品，因而更看重对宏观的判断以及实地调研。公司投</w:t>
      </w:r>
      <w:proofErr w:type="gramStart"/>
      <w:r>
        <w:rPr>
          <w:rFonts w:hint="eastAsia"/>
          <w:color w:val="auto"/>
        </w:rPr>
        <w:t>研</w:t>
      </w:r>
      <w:proofErr w:type="gramEnd"/>
      <w:r>
        <w:rPr>
          <w:rFonts w:hint="eastAsia"/>
          <w:color w:val="auto"/>
        </w:rPr>
        <w:t>团队大多数来自期货公司，按照</w:t>
      </w:r>
      <w:r w:rsidR="00404657">
        <w:rPr>
          <w:rFonts w:hint="eastAsia"/>
          <w:color w:val="auto"/>
        </w:rPr>
        <w:t>各个</w:t>
      </w:r>
      <w:r>
        <w:rPr>
          <w:rFonts w:hint="eastAsia"/>
          <w:color w:val="auto"/>
        </w:rPr>
        <w:t>策略进行团队分工，</w:t>
      </w:r>
      <w:r>
        <w:rPr>
          <w:rFonts w:hint="eastAsia"/>
        </w:rPr>
        <w:t>核心领导主要进行资金头寸方向的分配，具体策略均由各自专门的团队负责。</w:t>
      </w:r>
    </w:p>
    <w:p w:rsidR="00564C16" w:rsidRDefault="00564C16" w:rsidP="00564C16">
      <w:pPr>
        <w:pStyle w:val="a0"/>
        <w:widowControl/>
        <w:numPr>
          <w:ilvl w:val="5"/>
          <w:numId w:val="4"/>
        </w:numPr>
        <w:rPr>
          <w:color w:val="auto"/>
        </w:rPr>
      </w:pPr>
      <w:r>
        <w:rPr>
          <w:rFonts w:hint="eastAsia"/>
          <w:color w:val="auto"/>
        </w:rPr>
        <w:t>双隆：管理期货策略是公司的主要策略类型，目前已经由前些年主要投资商品期货转向了股指期货，但是杠杆水平很低。整个投</w:t>
      </w:r>
      <w:proofErr w:type="gramStart"/>
      <w:r>
        <w:rPr>
          <w:rFonts w:hint="eastAsia"/>
          <w:color w:val="auto"/>
        </w:rPr>
        <w:t>研</w:t>
      </w:r>
      <w:proofErr w:type="gramEnd"/>
      <w:r>
        <w:rPr>
          <w:rFonts w:hint="eastAsia"/>
          <w:color w:val="auto"/>
        </w:rPr>
        <w:t>团队中一半是策略开发团队、一半是程序开发团队，公司运用自己开发的量化交易软件采用纯量化手段把握趋势性机会。</w:t>
      </w:r>
    </w:p>
    <w:p w:rsidR="00564C16" w:rsidRPr="006D1D1C" w:rsidRDefault="00564C16" w:rsidP="006D1D1C">
      <w:pPr>
        <w:pStyle w:val="a0"/>
        <w:widowControl/>
        <w:numPr>
          <w:ilvl w:val="5"/>
          <w:numId w:val="4"/>
        </w:numPr>
        <w:rPr>
          <w:color w:val="auto"/>
        </w:rPr>
      </w:pPr>
      <w:r>
        <w:rPr>
          <w:rFonts w:hint="eastAsia"/>
          <w:color w:val="auto"/>
        </w:rPr>
        <w:t>元葵：公司主张通过平衡稳健的投资方式追求可持续的复利增长，核心团队拥有二十年的衍生</w:t>
      </w:r>
      <w:proofErr w:type="gramStart"/>
      <w:r>
        <w:rPr>
          <w:rFonts w:hint="eastAsia"/>
          <w:color w:val="auto"/>
        </w:rPr>
        <w:t>品投资</w:t>
      </w:r>
      <w:proofErr w:type="gramEnd"/>
      <w:r>
        <w:rPr>
          <w:rFonts w:hint="eastAsia"/>
          <w:color w:val="auto"/>
        </w:rPr>
        <w:t>管理经验，旗下产品即有主观趋势交易策略，也有程序化策略。主张把握市场中有序的部分，如因果关系、</w:t>
      </w:r>
      <w:r>
        <w:rPr>
          <w:rFonts w:hint="eastAsia"/>
          <w:color w:val="auto"/>
        </w:rPr>
        <w:lastRenderedPageBreak/>
        <w:t>周期性、概率性，只要市场中存在重复出现并可以把握的有序特征，公司的策略就能够持续有效。</w:t>
      </w:r>
    </w:p>
    <w:p w:rsidR="006D1D1C" w:rsidRDefault="002E7F3C" w:rsidP="00764360">
      <w:pPr>
        <w:pStyle w:val="a0"/>
        <w:ind w:left="3430"/>
        <w:rPr>
          <w:b/>
          <w:color w:val="auto"/>
        </w:rPr>
      </w:pPr>
      <w:r>
        <w:rPr>
          <w:rFonts w:hint="eastAsia"/>
          <w:b/>
          <w:color w:val="auto"/>
        </w:rPr>
        <w:t xml:space="preserve">2.2  </w:t>
      </w:r>
      <w:r>
        <w:rPr>
          <w:rFonts w:hint="eastAsia"/>
          <w:b/>
          <w:color w:val="auto"/>
        </w:rPr>
        <w:t>偏低风险策略私募基金</w:t>
      </w:r>
    </w:p>
    <w:p w:rsidR="00EE7C0D" w:rsidRPr="00764360" w:rsidRDefault="006D1D1C" w:rsidP="00764360">
      <w:pPr>
        <w:pStyle w:val="a0"/>
        <w:ind w:left="3430"/>
        <w:rPr>
          <w:b/>
          <w:color w:val="auto"/>
        </w:rPr>
      </w:pPr>
      <w:r>
        <w:rPr>
          <w:rFonts w:hint="eastAsia"/>
          <w:b/>
          <w:color w:val="auto"/>
        </w:rPr>
        <w:t xml:space="preserve">2.2.1 </w:t>
      </w:r>
      <w:r>
        <w:rPr>
          <w:rFonts w:hint="eastAsia"/>
          <w:b/>
          <w:color w:val="auto"/>
        </w:rPr>
        <w:t>市场中性策略、相对价值</w:t>
      </w:r>
      <w:r w:rsidR="008C5B52">
        <w:rPr>
          <w:rFonts w:hint="eastAsia"/>
          <w:b/>
          <w:color w:val="auto"/>
        </w:rPr>
        <w:t>套利</w:t>
      </w:r>
      <w:r>
        <w:rPr>
          <w:rFonts w:hint="eastAsia"/>
          <w:b/>
          <w:color w:val="auto"/>
        </w:rPr>
        <w:t>策略：</w:t>
      </w:r>
      <w:r w:rsidR="00F019A5">
        <w:rPr>
          <w:rFonts w:hint="eastAsia"/>
          <w:b/>
          <w:color w:val="auto"/>
        </w:rPr>
        <w:t>应对震荡波动，</w:t>
      </w:r>
      <w:r w:rsidR="007524DA">
        <w:rPr>
          <w:rFonts w:hint="eastAsia"/>
          <w:b/>
          <w:color w:val="auto"/>
        </w:rPr>
        <w:t>增强稳健收益</w:t>
      </w:r>
    </w:p>
    <w:p w:rsidR="006D29C9" w:rsidRDefault="00CA35A2" w:rsidP="00FD68DD">
      <w:pPr>
        <w:pStyle w:val="a0"/>
        <w:numPr>
          <w:ilvl w:val="4"/>
          <w:numId w:val="3"/>
        </w:numPr>
        <w:rPr>
          <w:color w:val="auto"/>
        </w:rPr>
      </w:pPr>
      <w:r w:rsidRPr="009E4A09">
        <w:rPr>
          <w:rFonts w:hint="eastAsia"/>
          <w:szCs w:val="21"/>
        </w:rPr>
        <w:t>正如前文所述，</w:t>
      </w:r>
      <w:r>
        <w:rPr>
          <w:rFonts w:hint="eastAsia"/>
          <w:szCs w:val="21"/>
        </w:rPr>
        <w:t>A</w:t>
      </w:r>
      <w:r>
        <w:rPr>
          <w:rFonts w:hint="eastAsia"/>
          <w:szCs w:val="21"/>
        </w:rPr>
        <w:t>股市场的短期反弹空间有限，在扰动因素比较多的二季度，震荡波动将是主基调，而且在</w:t>
      </w:r>
      <w:r w:rsidR="00FD68DD">
        <w:rPr>
          <w:rFonts w:hint="eastAsia"/>
          <w:szCs w:val="21"/>
        </w:rPr>
        <w:t>投资者情绪</w:t>
      </w:r>
      <w:r>
        <w:rPr>
          <w:rFonts w:hint="eastAsia"/>
          <w:szCs w:val="21"/>
        </w:rPr>
        <w:t>尚未</w:t>
      </w:r>
      <w:r w:rsidRPr="009E4A09">
        <w:rPr>
          <w:rFonts w:hint="eastAsia"/>
          <w:szCs w:val="21"/>
        </w:rPr>
        <w:t>彻底修复</w:t>
      </w:r>
      <w:r>
        <w:rPr>
          <w:rFonts w:hint="eastAsia"/>
          <w:szCs w:val="21"/>
        </w:rPr>
        <w:t>之前</w:t>
      </w:r>
      <w:r w:rsidRPr="009E4A09">
        <w:rPr>
          <w:rFonts w:hint="eastAsia"/>
          <w:szCs w:val="21"/>
        </w:rPr>
        <w:t>，任何负面事件都会对当前市场构成重击，震荡幅度</w:t>
      </w:r>
      <w:r>
        <w:rPr>
          <w:rFonts w:hint="eastAsia"/>
          <w:szCs w:val="21"/>
        </w:rPr>
        <w:t>也会较大。</w:t>
      </w:r>
      <w:r w:rsidRPr="009E4A09">
        <w:rPr>
          <w:rFonts w:hint="eastAsia"/>
          <w:szCs w:val="21"/>
        </w:rPr>
        <w:t>落实到阳光私募基金的投资上，对于组合防御性的要求也将</w:t>
      </w:r>
      <w:r>
        <w:rPr>
          <w:rFonts w:hint="eastAsia"/>
          <w:szCs w:val="21"/>
        </w:rPr>
        <w:t>始终是第一要务</w:t>
      </w:r>
      <w:r w:rsidRPr="009E4A09">
        <w:rPr>
          <w:rFonts w:hint="eastAsia"/>
          <w:szCs w:val="21"/>
        </w:rPr>
        <w:t>，而市场中性策略、相对价值套利策略</w:t>
      </w:r>
      <w:r w:rsidR="005040AD">
        <w:rPr>
          <w:rFonts w:hint="eastAsia"/>
          <w:szCs w:val="21"/>
        </w:rPr>
        <w:t>通过量化手段回避市场波动，追求独立于市场的行情，</w:t>
      </w:r>
      <w:r w:rsidRPr="009E4A09">
        <w:rPr>
          <w:rFonts w:hint="eastAsia"/>
          <w:szCs w:val="21"/>
        </w:rPr>
        <w:t>从投资逻辑上来看，能够很好的实现</w:t>
      </w:r>
      <w:r w:rsidR="005040AD">
        <w:rPr>
          <w:rFonts w:hint="eastAsia"/>
          <w:szCs w:val="21"/>
        </w:rPr>
        <w:t>为组合积累稳健的安全</w:t>
      </w:r>
      <w:proofErr w:type="gramStart"/>
      <w:r w:rsidR="005040AD">
        <w:rPr>
          <w:rFonts w:hint="eastAsia"/>
          <w:szCs w:val="21"/>
        </w:rPr>
        <w:t>垫收益</w:t>
      </w:r>
      <w:proofErr w:type="gramEnd"/>
      <w:r w:rsidRPr="009E4A09">
        <w:rPr>
          <w:rFonts w:hint="eastAsia"/>
          <w:szCs w:val="21"/>
        </w:rPr>
        <w:t>这一目标</w:t>
      </w:r>
      <w:r w:rsidR="00002065">
        <w:rPr>
          <w:rFonts w:hint="eastAsia"/>
          <w:szCs w:val="21"/>
        </w:rPr>
        <w:t>。如下图所示，在去年股灾以及今年</w:t>
      </w:r>
      <w:r w:rsidR="00002065">
        <w:rPr>
          <w:rFonts w:hint="eastAsia"/>
          <w:szCs w:val="21"/>
        </w:rPr>
        <w:t>1</w:t>
      </w:r>
      <w:r w:rsidR="00002065">
        <w:rPr>
          <w:rFonts w:hint="eastAsia"/>
          <w:szCs w:val="21"/>
        </w:rPr>
        <w:t>月份的深幅下跌中，市场中性策略和相对价值套利策略整体表现显著好于市场，成功的回避了市场的向下波动，因而在组合中将这两类策略作为配置的基础，能够有效</w:t>
      </w:r>
      <w:r w:rsidR="00905721">
        <w:rPr>
          <w:rFonts w:hint="eastAsia"/>
          <w:szCs w:val="21"/>
        </w:rPr>
        <w:t>控制整体风险水平</w:t>
      </w:r>
      <w:r>
        <w:rPr>
          <w:rFonts w:hint="eastAsia"/>
          <w:szCs w:val="21"/>
        </w:rPr>
        <w:t>，</w:t>
      </w:r>
      <w:r>
        <w:rPr>
          <w:rFonts w:hint="eastAsia"/>
          <w:color w:val="auto"/>
        </w:rPr>
        <w:t>为</w:t>
      </w:r>
      <w:r w:rsidR="00002065">
        <w:rPr>
          <w:rFonts w:hint="eastAsia"/>
          <w:color w:val="auto"/>
        </w:rPr>
        <w:t>日后把握新出现的</w:t>
      </w:r>
      <w:r>
        <w:rPr>
          <w:rFonts w:hint="eastAsia"/>
          <w:color w:val="auto"/>
        </w:rPr>
        <w:t>投资机会创造更大的操作空间。</w:t>
      </w:r>
    </w:p>
    <w:tbl>
      <w:tblPr>
        <w:tblStyle w:val="GJStylesChartInsertSingleCol"/>
        <w:tblW w:w="7370" w:type="dxa"/>
        <w:jc w:val="right"/>
        <w:tblLook w:val="0600" w:firstRow="0" w:lastRow="0" w:firstColumn="0" w:lastColumn="0" w:noHBand="1" w:noVBand="1"/>
      </w:tblPr>
      <w:tblGrid>
        <w:gridCol w:w="7370"/>
      </w:tblGrid>
      <w:tr w:rsidR="000717BA" w:rsidTr="000717BA">
        <w:trPr>
          <w:jc w:val="right"/>
        </w:trPr>
        <w:tc>
          <w:tcPr>
            <w:tcW w:w="7370" w:type="dxa"/>
          </w:tcPr>
          <w:p w:rsidR="000717BA" w:rsidRPr="000717BA" w:rsidRDefault="000717BA" w:rsidP="000717BA">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4</w:t>
            </w:r>
            <w:r>
              <w:fldChar w:fldCharType="end"/>
            </w:r>
            <w:r>
              <w:rPr>
                <w:rFonts w:hint="eastAsia"/>
              </w:rPr>
              <w:t>：市场中性、相对价值策略的稳健性</w:t>
            </w:r>
          </w:p>
        </w:tc>
      </w:tr>
      <w:tr w:rsidR="000717BA" w:rsidTr="000717BA">
        <w:trPr>
          <w:trHeight w:val="3297"/>
          <w:jc w:val="right"/>
        </w:trPr>
        <w:tc>
          <w:tcPr>
            <w:tcW w:w="7370" w:type="dxa"/>
          </w:tcPr>
          <w:p w:rsidR="000717BA" w:rsidRPr="000717BA" w:rsidRDefault="000717BA" w:rsidP="000717BA">
            <w:pPr>
              <w:jc w:val="center"/>
            </w:pPr>
            <w:r>
              <w:rPr>
                <w:noProof/>
              </w:rPr>
              <w:drawing>
                <wp:inline distT="0" distB="0" distL="0" distR="0" wp14:anchorId="2BD1BE43" wp14:editId="287CE516">
                  <wp:extent cx="3599078" cy="21591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9578" cy="2159447"/>
                          </a:xfrm>
                          <a:prstGeom prst="rect">
                            <a:avLst/>
                          </a:prstGeom>
                          <a:noFill/>
                        </pic:spPr>
                      </pic:pic>
                    </a:graphicData>
                  </a:graphic>
                </wp:inline>
              </w:drawing>
            </w:r>
          </w:p>
        </w:tc>
      </w:tr>
      <w:tr w:rsidR="000717BA" w:rsidTr="000717BA">
        <w:trPr>
          <w:jc w:val="right"/>
        </w:trPr>
        <w:tc>
          <w:tcPr>
            <w:tcW w:w="7370" w:type="dxa"/>
          </w:tcPr>
          <w:p w:rsidR="000717BA" w:rsidRDefault="000717BA" w:rsidP="000717BA">
            <w:pPr>
              <w:pStyle w:val="GJStylesGraphSource"/>
            </w:pPr>
            <w:r>
              <w:rPr>
                <w:rFonts w:hint="eastAsia"/>
              </w:rPr>
              <w:t>来源：国金证券研究所</w:t>
            </w:r>
          </w:p>
        </w:tc>
      </w:tr>
    </w:tbl>
    <w:p w:rsidR="00070838" w:rsidRDefault="00CA35A2" w:rsidP="00FD68DD">
      <w:pPr>
        <w:pStyle w:val="a0"/>
        <w:numPr>
          <w:ilvl w:val="4"/>
          <w:numId w:val="3"/>
        </w:numPr>
        <w:rPr>
          <w:color w:val="auto"/>
        </w:rPr>
      </w:pPr>
      <w:r>
        <w:rPr>
          <w:rFonts w:hint="eastAsia"/>
          <w:color w:val="auto"/>
        </w:rPr>
        <w:t>具体我们建议关注</w:t>
      </w:r>
      <w:r>
        <w:rPr>
          <w:rFonts w:hint="eastAsia"/>
          <w:szCs w:val="21"/>
        </w:rPr>
        <w:t>市场中性策略</w:t>
      </w:r>
      <w:r w:rsidRPr="00CF4008">
        <w:rPr>
          <w:rFonts w:hint="eastAsia"/>
          <w:szCs w:val="21"/>
        </w:rPr>
        <w:t>中</w:t>
      </w:r>
      <w:proofErr w:type="gramStart"/>
      <w:r w:rsidRPr="00CF4008">
        <w:rPr>
          <w:rFonts w:hint="eastAsia"/>
          <w:szCs w:val="21"/>
        </w:rPr>
        <w:t>的</w:t>
      </w:r>
      <w:r w:rsidRPr="00CF4008">
        <w:rPr>
          <w:rFonts w:hint="eastAsia"/>
        </w:rPr>
        <w:t>嘉石大</w:t>
      </w:r>
      <w:proofErr w:type="gramEnd"/>
      <w:r w:rsidRPr="00CF4008">
        <w:rPr>
          <w:rFonts w:hint="eastAsia"/>
        </w:rPr>
        <w:t>岩、</w:t>
      </w:r>
      <w:r>
        <w:rPr>
          <w:rFonts w:hint="eastAsia"/>
        </w:rPr>
        <w:t>宽智、</w:t>
      </w:r>
      <w:r w:rsidRPr="00C25631">
        <w:rPr>
          <w:rFonts w:hint="eastAsia"/>
        </w:rPr>
        <w:t>金锝</w:t>
      </w:r>
      <w:r w:rsidRPr="00CF4008">
        <w:rPr>
          <w:rFonts w:hint="eastAsia"/>
        </w:rPr>
        <w:t>，相对价值套利策略</w:t>
      </w:r>
      <w:r>
        <w:rPr>
          <w:rFonts w:hint="eastAsia"/>
        </w:rPr>
        <w:t>中的</w:t>
      </w:r>
      <w:r w:rsidR="00FD68DD">
        <w:rPr>
          <w:rFonts w:hint="eastAsia"/>
          <w:szCs w:val="21"/>
        </w:rPr>
        <w:t>淘利</w:t>
      </w:r>
      <w:r w:rsidR="00B450D7">
        <w:rPr>
          <w:rFonts w:hint="eastAsia"/>
          <w:szCs w:val="21"/>
        </w:rPr>
        <w:t>、艾方</w:t>
      </w:r>
      <w:r w:rsidR="00FD68DD">
        <w:rPr>
          <w:rFonts w:hint="eastAsia"/>
          <w:szCs w:val="21"/>
        </w:rPr>
        <w:t>旗下产品</w:t>
      </w:r>
      <w:r w:rsidR="008F5E08" w:rsidRPr="00616ADA">
        <w:rPr>
          <w:rFonts w:hint="eastAsia"/>
          <w:color w:val="auto"/>
        </w:rPr>
        <w:t>。</w:t>
      </w:r>
    </w:p>
    <w:p w:rsidR="00092285" w:rsidRPr="002D4A35" w:rsidRDefault="00092285" w:rsidP="00092285">
      <w:pPr>
        <w:pStyle w:val="a0"/>
        <w:widowControl/>
        <w:numPr>
          <w:ilvl w:val="5"/>
          <w:numId w:val="4"/>
        </w:numPr>
        <w:rPr>
          <w:color w:val="auto"/>
        </w:rPr>
      </w:pPr>
      <w:proofErr w:type="gramStart"/>
      <w:r w:rsidRPr="00092285">
        <w:rPr>
          <w:rFonts w:hint="eastAsia"/>
          <w:color w:val="auto"/>
        </w:rPr>
        <w:t>嘉石大</w:t>
      </w:r>
      <w:proofErr w:type="gramEnd"/>
      <w:r w:rsidRPr="00092285">
        <w:rPr>
          <w:rFonts w:hint="eastAsia"/>
          <w:color w:val="auto"/>
        </w:rPr>
        <w:t>岩：公司采用量化投资模式，核心团队成员主要来自于美国</w:t>
      </w:r>
      <w:r w:rsidRPr="00092285">
        <w:rPr>
          <w:rFonts w:hint="eastAsia"/>
          <w:color w:val="auto"/>
        </w:rPr>
        <w:t>JASPER</w:t>
      </w:r>
      <w:r w:rsidRPr="00092285">
        <w:rPr>
          <w:rFonts w:hint="eastAsia"/>
          <w:color w:val="auto"/>
        </w:rPr>
        <w:t>资产管理有限公司，从九十年代至今经历了多次市场危机，并在危机中也取得了不错的回报，拥有丰富的量化投资经验，旗下管理多</w:t>
      </w:r>
      <w:proofErr w:type="gramStart"/>
      <w:r w:rsidRPr="00092285">
        <w:rPr>
          <w:rFonts w:hint="eastAsia"/>
          <w:color w:val="auto"/>
        </w:rPr>
        <w:t>只市场</w:t>
      </w:r>
      <w:proofErr w:type="gramEnd"/>
      <w:r w:rsidRPr="00092285">
        <w:rPr>
          <w:rFonts w:hint="eastAsia"/>
          <w:color w:val="auto"/>
        </w:rPr>
        <w:t>中性策略品种，从实际运行结果来看，整体收益稳健。</w:t>
      </w:r>
    </w:p>
    <w:p w:rsidR="00092285" w:rsidRPr="00395142" w:rsidRDefault="00092285" w:rsidP="00092285">
      <w:pPr>
        <w:pStyle w:val="a0"/>
        <w:widowControl/>
        <w:numPr>
          <w:ilvl w:val="5"/>
          <w:numId w:val="4"/>
        </w:numPr>
        <w:rPr>
          <w:color w:val="auto"/>
        </w:rPr>
      </w:pPr>
      <w:r w:rsidRPr="00092285">
        <w:rPr>
          <w:rFonts w:hint="eastAsia"/>
          <w:color w:val="auto"/>
        </w:rPr>
        <w:t>宽智：公司坚持指数化、数量化、模型化、程序化的投资原则，平滑市场噪声，追求保持不低于</w:t>
      </w:r>
      <w:r w:rsidRPr="00092285">
        <w:rPr>
          <w:rFonts w:hint="eastAsia"/>
          <w:color w:val="auto"/>
        </w:rPr>
        <w:t>20%</w:t>
      </w:r>
      <w:proofErr w:type="gramStart"/>
      <w:r w:rsidRPr="00092285">
        <w:rPr>
          <w:rFonts w:hint="eastAsia"/>
          <w:color w:val="auto"/>
        </w:rPr>
        <w:t>的年化收益率</w:t>
      </w:r>
      <w:proofErr w:type="gramEnd"/>
      <w:r w:rsidRPr="00092285">
        <w:rPr>
          <w:rFonts w:hint="eastAsia"/>
          <w:color w:val="auto"/>
        </w:rPr>
        <w:t>，同时最大回撤控制在</w:t>
      </w:r>
      <w:r w:rsidRPr="00092285">
        <w:rPr>
          <w:rFonts w:hint="eastAsia"/>
          <w:color w:val="auto"/>
        </w:rPr>
        <w:t>3%</w:t>
      </w:r>
      <w:r w:rsidRPr="00092285">
        <w:rPr>
          <w:rFonts w:hint="eastAsia"/>
          <w:color w:val="auto"/>
        </w:rPr>
        <w:t>之内的目标。公司团队稳定，核心成员共事多年，有多年量化投资经验和统一的投资理念。</w:t>
      </w:r>
      <w:proofErr w:type="gramStart"/>
      <w:r w:rsidRPr="00092285">
        <w:rPr>
          <w:rFonts w:hint="eastAsia"/>
          <w:color w:val="auto"/>
        </w:rPr>
        <w:t>其阿尔</w:t>
      </w:r>
      <w:proofErr w:type="gramEnd"/>
      <w:r w:rsidRPr="00092285">
        <w:rPr>
          <w:rFonts w:hint="eastAsia"/>
          <w:color w:val="auto"/>
        </w:rPr>
        <w:t>法策略主要基于动量和反转模型，具体会根据市场情况而定，对于组合中所涉及的行业和股票权重不会进行主观判断，完全采用等权重配置。</w:t>
      </w:r>
    </w:p>
    <w:p w:rsidR="00092285" w:rsidRPr="00FC5B86" w:rsidRDefault="00092285" w:rsidP="00092285">
      <w:pPr>
        <w:pStyle w:val="a0"/>
        <w:widowControl/>
        <w:numPr>
          <w:ilvl w:val="5"/>
          <w:numId w:val="4"/>
        </w:numPr>
        <w:rPr>
          <w:color w:val="auto"/>
        </w:rPr>
      </w:pPr>
      <w:r w:rsidRPr="00F57C78">
        <w:rPr>
          <w:rFonts w:hint="eastAsia"/>
          <w:color w:val="auto"/>
        </w:rPr>
        <w:t>金锝</w:t>
      </w:r>
      <w:r>
        <w:rPr>
          <w:rFonts w:hint="eastAsia"/>
          <w:color w:val="auto"/>
        </w:rPr>
        <w:t>：</w:t>
      </w:r>
      <w:r w:rsidRPr="0018393A">
        <w:rPr>
          <w:rFonts w:hint="eastAsia"/>
          <w:color w:val="auto"/>
        </w:rPr>
        <w:t>公司致力于数量化投资策略的研究</w:t>
      </w:r>
      <w:r>
        <w:rPr>
          <w:rFonts w:hint="eastAsia"/>
          <w:color w:val="auto"/>
        </w:rPr>
        <w:t>、</w:t>
      </w:r>
      <w:r w:rsidRPr="0018393A">
        <w:rPr>
          <w:rFonts w:hint="eastAsia"/>
          <w:color w:val="auto"/>
        </w:rPr>
        <w:t>测试</w:t>
      </w:r>
      <w:r>
        <w:rPr>
          <w:rFonts w:hint="eastAsia"/>
          <w:color w:val="auto"/>
        </w:rPr>
        <w:t>、</w:t>
      </w:r>
      <w:r w:rsidRPr="0018393A">
        <w:rPr>
          <w:rFonts w:hint="eastAsia"/>
          <w:color w:val="auto"/>
        </w:rPr>
        <w:t>运行</w:t>
      </w:r>
      <w:r>
        <w:rPr>
          <w:rFonts w:hint="eastAsia"/>
          <w:color w:val="auto"/>
        </w:rPr>
        <w:t>，更多</w:t>
      </w:r>
      <w:r w:rsidRPr="0018393A">
        <w:rPr>
          <w:rFonts w:hint="eastAsia"/>
          <w:color w:val="auto"/>
        </w:rPr>
        <w:t>利用统计学原理来研究金融市场</w:t>
      </w:r>
      <w:r>
        <w:rPr>
          <w:rFonts w:hint="eastAsia"/>
          <w:color w:val="auto"/>
        </w:rPr>
        <w:t>，通过计算机系统把握投资时机</w:t>
      </w:r>
      <w:r w:rsidRPr="0018393A">
        <w:rPr>
          <w:rFonts w:hint="eastAsia"/>
          <w:color w:val="auto"/>
        </w:rPr>
        <w:t>，</w:t>
      </w:r>
      <w:r>
        <w:rPr>
          <w:rFonts w:hint="eastAsia"/>
          <w:color w:val="auto"/>
        </w:rPr>
        <w:t>团队成员大多具有量化研究实践经验，核心人员曾有海外对冲基金管理经历，在量化投资领域经验丰富。</w:t>
      </w:r>
    </w:p>
    <w:p w:rsidR="00092285" w:rsidRDefault="00092285" w:rsidP="00092285">
      <w:pPr>
        <w:pStyle w:val="a0"/>
        <w:widowControl/>
        <w:numPr>
          <w:ilvl w:val="5"/>
          <w:numId w:val="4"/>
        </w:numPr>
        <w:rPr>
          <w:color w:val="auto"/>
        </w:rPr>
      </w:pPr>
      <w:r w:rsidRPr="00092285">
        <w:rPr>
          <w:rFonts w:hint="eastAsia"/>
          <w:color w:val="auto"/>
        </w:rPr>
        <w:t>淘利：公司专注二级市场的套利交易和对冲交易，以量化策略为核心，目前主要涉及跨期套利、期现套利、量化</w:t>
      </w:r>
      <w:r w:rsidRPr="00092285">
        <w:rPr>
          <w:rFonts w:hint="eastAsia"/>
          <w:color w:val="auto"/>
        </w:rPr>
        <w:t>Alpha</w:t>
      </w:r>
      <w:r w:rsidRPr="00092285">
        <w:rPr>
          <w:rFonts w:hint="eastAsia"/>
          <w:color w:val="auto"/>
        </w:rPr>
        <w:t>市场中性、债券套利、</w:t>
      </w:r>
      <w:r w:rsidRPr="00092285">
        <w:rPr>
          <w:rFonts w:hint="eastAsia"/>
          <w:color w:val="auto"/>
        </w:rPr>
        <w:t>ETF</w:t>
      </w:r>
      <w:r w:rsidRPr="00092285">
        <w:rPr>
          <w:rFonts w:hint="eastAsia"/>
          <w:color w:val="auto"/>
        </w:rPr>
        <w:t>套利等多种投资策略，针对商品及金融现货和衍生品市场定价机制失灵时出现的套利机会进行程序化对冲套利等低风险投资，追求稳定、安全的回报。</w:t>
      </w:r>
    </w:p>
    <w:p w:rsidR="00B450D7" w:rsidRPr="00092285" w:rsidRDefault="00B450D7" w:rsidP="00092285">
      <w:pPr>
        <w:pStyle w:val="a0"/>
        <w:widowControl/>
        <w:numPr>
          <w:ilvl w:val="5"/>
          <w:numId w:val="4"/>
        </w:numPr>
        <w:rPr>
          <w:color w:val="auto"/>
        </w:rPr>
      </w:pPr>
      <w:r>
        <w:rPr>
          <w:rFonts w:hint="eastAsia"/>
          <w:color w:val="auto"/>
        </w:rPr>
        <w:lastRenderedPageBreak/>
        <w:t>艾方：</w:t>
      </w:r>
      <w:r w:rsidR="002201F9">
        <w:rPr>
          <w:rFonts w:hint="eastAsia"/>
          <w:color w:val="auto"/>
        </w:rPr>
        <w:t>公司</w:t>
      </w:r>
      <w:r w:rsidR="00685F59">
        <w:rPr>
          <w:rFonts w:hint="eastAsia"/>
          <w:color w:val="auto"/>
        </w:rPr>
        <w:t>核心团队成员在海外绝对收益投资领域有丰富的经验，</w:t>
      </w:r>
      <w:r w:rsidR="002201F9">
        <w:rPr>
          <w:rFonts w:hint="eastAsia"/>
          <w:color w:val="auto"/>
        </w:rPr>
        <w:t>注重投资的性价比，即同时关注收益和风险，</w:t>
      </w:r>
      <w:r w:rsidR="00685F59">
        <w:rPr>
          <w:rFonts w:hint="eastAsia"/>
          <w:color w:val="auto"/>
        </w:rPr>
        <w:t>运用系统平台</w:t>
      </w:r>
      <w:r w:rsidR="002201F9">
        <w:rPr>
          <w:rFonts w:hint="eastAsia"/>
          <w:color w:val="auto"/>
        </w:rPr>
        <w:t>把握各种新兴的金融产品和交易机制带来的二级市场套利机会。</w:t>
      </w:r>
    </w:p>
    <w:p w:rsidR="00FD68DD" w:rsidRPr="00616ADA" w:rsidRDefault="00FD68DD" w:rsidP="00FD68DD">
      <w:pPr>
        <w:pStyle w:val="a0"/>
        <w:rPr>
          <w:color w:val="auto"/>
        </w:rPr>
      </w:pPr>
      <w:r>
        <w:rPr>
          <w:rFonts w:hint="eastAsia"/>
          <w:b/>
          <w:color w:val="auto"/>
        </w:rPr>
        <w:t xml:space="preserve">2.2.2 </w:t>
      </w:r>
      <w:r>
        <w:rPr>
          <w:rFonts w:hint="eastAsia"/>
          <w:b/>
          <w:color w:val="auto"/>
        </w:rPr>
        <w:t>固定收益策略：</w:t>
      </w:r>
      <w:r w:rsidR="008730C9">
        <w:rPr>
          <w:rFonts w:hint="eastAsia"/>
          <w:b/>
          <w:color w:val="auto"/>
        </w:rPr>
        <w:t>违约事件</w:t>
      </w:r>
      <w:r w:rsidR="00445E4D">
        <w:rPr>
          <w:rFonts w:hint="eastAsia"/>
          <w:b/>
          <w:color w:val="auto"/>
        </w:rPr>
        <w:t>再</w:t>
      </w:r>
      <w:r w:rsidR="008730C9">
        <w:rPr>
          <w:rFonts w:hint="eastAsia"/>
          <w:b/>
          <w:color w:val="auto"/>
        </w:rPr>
        <w:t>发，短期建议回避</w:t>
      </w:r>
    </w:p>
    <w:p w:rsidR="006B3A17" w:rsidRDefault="00F4421F" w:rsidP="00E7550F">
      <w:pPr>
        <w:pStyle w:val="a0"/>
        <w:numPr>
          <w:ilvl w:val="4"/>
          <w:numId w:val="3"/>
        </w:numPr>
        <w:rPr>
          <w:color w:val="auto"/>
        </w:rPr>
      </w:pPr>
      <w:r>
        <w:rPr>
          <w:rFonts w:hint="eastAsia"/>
          <w:color w:val="auto"/>
        </w:rPr>
        <w:t>近期公布的经济数据显示当前经济有企稳迹象，但</w:t>
      </w:r>
      <w:r w:rsidR="009B2BB7">
        <w:rPr>
          <w:rFonts w:hint="eastAsia"/>
          <w:color w:val="auto"/>
        </w:rPr>
        <w:t>经济基本面</w:t>
      </w:r>
      <w:r>
        <w:rPr>
          <w:rFonts w:hint="eastAsia"/>
          <w:color w:val="auto"/>
        </w:rPr>
        <w:t>的</w:t>
      </w:r>
      <w:r w:rsidR="009B2BB7">
        <w:rPr>
          <w:rFonts w:hint="eastAsia"/>
          <w:color w:val="auto"/>
        </w:rPr>
        <w:t>好转总体不利于债市行情的演进</w:t>
      </w:r>
      <w:r>
        <w:rPr>
          <w:rFonts w:hint="eastAsia"/>
          <w:color w:val="auto"/>
        </w:rPr>
        <w:t>。而且</w:t>
      </w:r>
      <w:r w:rsidR="009B2BB7">
        <w:rPr>
          <w:rFonts w:hint="eastAsia"/>
          <w:color w:val="auto"/>
        </w:rPr>
        <w:t>从货币政策来看，在经济状况实现改善、房地产持续火热的状态下，为避免通胀的发生边际收紧的可能性也在加大，</w:t>
      </w:r>
      <w:r>
        <w:rPr>
          <w:rFonts w:hint="eastAsia"/>
          <w:color w:val="auto"/>
        </w:rPr>
        <w:t>再加上近来债市违约事件的再度来袭，</w:t>
      </w:r>
      <w:r w:rsidR="009B2BB7">
        <w:rPr>
          <w:rFonts w:hint="eastAsia"/>
          <w:color w:val="auto"/>
        </w:rPr>
        <w:t>因而总体债市投资机会有限</w:t>
      </w:r>
      <w:r>
        <w:rPr>
          <w:rFonts w:hint="eastAsia"/>
          <w:color w:val="auto"/>
        </w:rPr>
        <w:t>。对于投资固定收益市场的固定收益策略基金，短期可考虑暂时回避</w:t>
      </w:r>
      <w:r w:rsidR="009B2BB7">
        <w:rPr>
          <w:rFonts w:hint="eastAsia"/>
          <w:color w:val="auto"/>
        </w:rPr>
        <w:t>。</w:t>
      </w:r>
    </w:p>
    <w:p w:rsidR="00EE7C0D" w:rsidRPr="00C6462B" w:rsidRDefault="00EE7C0D" w:rsidP="00EE7C0D">
      <w:pPr>
        <w:pStyle w:val="a0"/>
        <w:ind w:left="3430"/>
        <w:rPr>
          <w:szCs w:val="21"/>
        </w:rPr>
      </w:pPr>
    </w:p>
    <w:p w:rsidR="00EE7C0D" w:rsidRPr="00255D7A" w:rsidRDefault="00EE7C0D" w:rsidP="00EE7C0D">
      <w:pPr>
        <w:pStyle w:val="14"/>
        <w:ind w:left="0"/>
        <w:jc w:val="center"/>
        <w:rPr>
          <w:color w:val="auto"/>
        </w:rPr>
      </w:pPr>
      <w:r w:rsidRPr="00762C2B">
        <w:rPr>
          <w:rFonts w:hint="eastAsia"/>
          <w:color w:val="auto"/>
        </w:rPr>
        <w:lastRenderedPageBreak/>
        <w:t>第</w:t>
      </w:r>
      <w:r>
        <w:rPr>
          <w:rFonts w:hint="eastAsia"/>
          <w:color w:val="auto"/>
        </w:rPr>
        <w:t>三</w:t>
      </w:r>
      <w:r w:rsidRPr="00762C2B">
        <w:rPr>
          <w:rFonts w:hint="eastAsia"/>
          <w:color w:val="auto"/>
        </w:rPr>
        <w:t>部分</w:t>
      </w:r>
      <w:r w:rsidRPr="00255D7A">
        <w:rPr>
          <w:rFonts w:hint="eastAsia"/>
          <w:color w:val="auto"/>
        </w:rPr>
        <w:t xml:space="preserve">    </w:t>
      </w:r>
      <w:r w:rsidRPr="006A101D">
        <w:rPr>
          <w:rFonts w:hint="eastAsia"/>
          <w:color w:val="auto"/>
        </w:rPr>
        <w:t>私募基金组合推荐</w:t>
      </w:r>
    </w:p>
    <w:p w:rsidR="00EE7C0D" w:rsidRDefault="00EE7C0D" w:rsidP="00EE7C0D">
      <w:pPr>
        <w:pStyle w:val="a0"/>
        <w:numPr>
          <w:ilvl w:val="4"/>
          <w:numId w:val="3"/>
        </w:numPr>
        <w:rPr>
          <w:color w:val="auto"/>
        </w:rPr>
      </w:pPr>
      <w:r>
        <w:rPr>
          <w:rFonts w:hint="eastAsia"/>
          <w:color w:val="auto"/>
        </w:rPr>
        <w:t>基于</w:t>
      </w:r>
      <w:r w:rsidR="00E30734">
        <w:rPr>
          <w:rFonts w:hint="eastAsia"/>
          <w:color w:val="auto"/>
        </w:rPr>
        <w:t>前文对于宏观</w:t>
      </w:r>
      <w:r>
        <w:rPr>
          <w:rFonts w:hint="eastAsia"/>
          <w:color w:val="auto"/>
        </w:rPr>
        <w:t>经济</w:t>
      </w:r>
      <w:r w:rsidR="00E30734">
        <w:rPr>
          <w:rFonts w:hint="eastAsia"/>
          <w:color w:val="auto"/>
        </w:rPr>
        <w:t>形势</w:t>
      </w:r>
      <w:r>
        <w:rPr>
          <w:rFonts w:hint="eastAsia"/>
          <w:color w:val="auto"/>
        </w:rPr>
        <w:t>、市场</w:t>
      </w:r>
      <w:r w:rsidR="00E30734">
        <w:rPr>
          <w:rFonts w:hint="eastAsia"/>
          <w:color w:val="auto"/>
        </w:rPr>
        <w:t>投资机会</w:t>
      </w:r>
      <w:r>
        <w:rPr>
          <w:rFonts w:hint="eastAsia"/>
          <w:color w:val="auto"/>
        </w:rPr>
        <w:t>及私募基金投资策略的分析，</w:t>
      </w:r>
      <w:r>
        <w:rPr>
          <w:rFonts w:hint="eastAsia"/>
          <w:color w:val="auto"/>
        </w:rPr>
        <w:t>201</w:t>
      </w:r>
      <w:r w:rsidR="000855E4">
        <w:rPr>
          <w:rFonts w:hint="eastAsia"/>
          <w:color w:val="auto"/>
        </w:rPr>
        <w:t>6</w:t>
      </w:r>
      <w:r>
        <w:rPr>
          <w:rFonts w:hint="eastAsia"/>
          <w:color w:val="auto"/>
        </w:rPr>
        <w:t>年</w:t>
      </w:r>
      <w:r w:rsidR="000855E4">
        <w:rPr>
          <w:rFonts w:hint="eastAsia"/>
          <w:color w:val="auto"/>
        </w:rPr>
        <w:t>二季度</w:t>
      </w:r>
      <w:r w:rsidRPr="007D4F41">
        <w:rPr>
          <w:rFonts w:hint="eastAsia"/>
          <w:color w:val="auto"/>
        </w:rPr>
        <w:t>阳光私募积极型和稳健型投资组合如下：</w:t>
      </w:r>
    </w:p>
    <w:tbl>
      <w:tblPr>
        <w:tblW w:w="5000" w:type="pct"/>
        <w:tblLook w:val="04A0" w:firstRow="1" w:lastRow="0" w:firstColumn="1" w:lastColumn="0" w:noHBand="0" w:noVBand="1"/>
      </w:tblPr>
      <w:tblGrid>
        <w:gridCol w:w="1950"/>
        <w:gridCol w:w="853"/>
        <w:gridCol w:w="1557"/>
        <w:gridCol w:w="568"/>
        <w:gridCol w:w="709"/>
        <w:gridCol w:w="948"/>
        <w:gridCol w:w="974"/>
        <w:gridCol w:w="866"/>
        <w:gridCol w:w="866"/>
        <w:gridCol w:w="868"/>
        <w:gridCol w:w="716"/>
      </w:tblGrid>
      <w:tr w:rsidR="00EE7C0D" w:rsidRPr="000376F4" w:rsidTr="009E5CE9">
        <w:trPr>
          <w:trHeight w:val="285"/>
        </w:trPr>
        <w:tc>
          <w:tcPr>
            <w:tcW w:w="5000" w:type="pct"/>
            <w:gridSpan w:val="11"/>
            <w:tcBorders>
              <w:top w:val="single" w:sz="8" w:space="0" w:color="00A0E9"/>
              <w:left w:val="nil"/>
              <w:bottom w:val="single" w:sz="8" w:space="0" w:color="00A0E9"/>
              <w:right w:val="nil"/>
            </w:tcBorders>
            <w:shd w:val="clear" w:color="auto" w:fill="auto"/>
            <w:vAlign w:val="bottom"/>
            <w:hideMark/>
          </w:tcPr>
          <w:p w:rsidR="00EE7C0D" w:rsidRPr="000376F4" w:rsidRDefault="00EE7C0D" w:rsidP="009E5CE9">
            <w:pPr>
              <w:jc w:val="left"/>
              <w:rPr>
                <w:rFonts w:ascii="楷体_GB2312" w:hAnsi="宋体" w:cs="宋体"/>
                <w:b/>
                <w:bCs/>
                <w:i/>
                <w:iCs/>
                <w:color w:val="000000"/>
                <w:sz w:val="21"/>
                <w:szCs w:val="21"/>
              </w:rPr>
            </w:pPr>
            <w:r>
              <w:rPr>
                <w:rFonts w:ascii="楷体_GB2312" w:hAnsi="宋体" w:cs="宋体" w:hint="eastAsia"/>
                <w:b/>
                <w:bCs/>
                <w:i/>
                <w:iCs/>
                <w:color w:val="000000"/>
                <w:sz w:val="21"/>
                <w:szCs w:val="21"/>
              </w:rPr>
              <w:t>图表</w:t>
            </w:r>
            <w:r w:rsidR="008763EE" w:rsidRPr="009275F7">
              <w:rPr>
                <w:rFonts w:ascii="楷体_GB2312" w:hAnsi="宋体" w:cs="宋体"/>
                <w:b/>
                <w:bCs/>
                <w:i/>
                <w:iCs/>
                <w:color w:val="000000"/>
                <w:sz w:val="21"/>
                <w:szCs w:val="21"/>
              </w:rPr>
              <w:fldChar w:fldCharType="begin"/>
            </w:r>
            <w:r w:rsidR="008763EE" w:rsidRPr="009275F7">
              <w:rPr>
                <w:rFonts w:ascii="楷体_GB2312" w:hAnsi="宋体" w:cs="宋体"/>
                <w:b/>
                <w:bCs/>
                <w:i/>
                <w:iCs/>
                <w:color w:val="000000"/>
                <w:sz w:val="21"/>
                <w:szCs w:val="21"/>
              </w:rPr>
              <w:instrText xml:space="preserve"> </w:instrText>
            </w:r>
            <w:r w:rsidR="008763EE" w:rsidRPr="009275F7">
              <w:rPr>
                <w:rFonts w:ascii="楷体_GB2312" w:hAnsi="宋体" w:cs="宋体" w:hint="eastAsia"/>
                <w:b/>
                <w:bCs/>
                <w:i/>
                <w:iCs/>
                <w:color w:val="000000"/>
                <w:sz w:val="21"/>
                <w:szCs w:val="21"/>
              </w:rPr>
              <w:instrText>SEQ 图表 \* ARABIC</w:instrText>
            </w:r>
            <w:r w:rsidR="008763EE" w:rsidRPr="009275F7">
              <w:rPr>
                <w:rFonts w:ascii="楷体_GB2312" w:hAnsi="宋体" w:cs="宋体"/>
                <w:b/>
                <w:bCs/>
                <w:i/>
                <w:iCs/>
                <w:color w:val="000000"/>
                <w:sz w:val="21"/>
                <w:szCs w:val="21"/>
              </w:rPr>
              <w:instrText xml:space="preserve"> </w:instrText>
            </w:r>
            <w:r w:rsidR="008763EE" w:rsidRPr="009275F7">
              <w:rPr>
                <w:rFonts w:ascii="楷体_GB2312" w:hAnsi="宋体" w:cs="宋体"/>
                <w:b/>
                <w:bCs/>
                <w:i/>
                <w:iCs/>
                <w:color w:val="000000"/>
                <w:sz w:val="21"/>
                <w:szCs w:val="21"/>
              </w:rPr>
              <w:fldChar w:fldCharType="separate"/>
            </w:r>
            <w:r w:rsidR="00A508FC">
              <w:rPr>
                <w:rFonts w:ascii="楷体_GB2312" w:hAnsi="宋体" w:cs="宋体"/>
                <w:b/>
                <w:bCs/>
                <w:i/>
                <w:iCs/>
                <w:noProof/>
                <w:color w:val="000000"/>
                <w:sz w:val="21"/>
                <w:szCs w:val="21"/>
              </w:rPr>
              <w:t>5</w:t>
            </w:r>
            <w:r w:rsidR="008763EE" w:rsidRPr="009275F7">
              <w:rPr>
                <w:rFonts w:ascii="楷体_GB2312" w:hAnsi="宋体" w:cs="宋体"/>
                <w:b/>
                <w:bCs/>
                <w:i/>
                <w:iCs/>
                <w:color w:val="000000"/>
                <w:sz w:val="21"/>
                <w:szCs w:val="21"/>
              </w:rPr>
              <w:fldChar w:fldCharType="end"/>
            </w:r>
            <w:r w:rsidR="008763EE" w:rsidRPr="008F1C37">
              <w:rPr>
                <w:rFonts w:ascii="楷体_GB2312" w:hAnsi="宋体" w:cs="宋体" w:hint="eastAsia"/>
                <w:b/>
                <w:bCs/>
                <w:i/>
                <w:iCs/>
                <w:color w:val="000000"/>
                <w:sz w:val="21"/>
                <w:szCs w:val="21"/>
              </w:rPr>
              <w:t>：</w:t>
            </w:r>
            <w:r>
              <w:rPr>
                <w:rFonts w:ascii="楷体_GB2312" w:hAnsi="宋体" w:cs="宋体" w:hint="eastAsia"/>
                <w:b/>
                <w:bCs/>
                <w:i/>
                <w:iCs/>
                <w:color w:val="000000"/>
                <w:sz w:val="21"/>
                <w:szCs w:val="21"/>
              </w:rPr>
              <w:t>积极型投资组合</w:t>
            </w:r>
          </w:p>
        </w:tc>
      </w:tr>
      <w:tr w:rsidR="00D12231" w:rsidRPr="000376F4" w:rsidTr="00D12231">
        <w:trPr>
          <w:trHeight w:val="285"/>
        </w:trPr>
        <w:tc>
          <w:tcPr>
            <w:tcW w:w="897" w:type="pct"/>
            <w:vMerge w:val="restart"/>
            <w:tcBorders>
              <w:top w:val="nil"/>
              <w:left w:val="nil"/>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 xml:space="preserve">产品 </w:t>
            </w:r>
          </w:p>
        </w:tc>
        <w:tc>
          <w:tcPr>
            <w:tcW w:w="392" w:type="pct"/>
            <w:vMerge w:val="restart"/>
            <w:tcBorders>
              <w:top w:val="nil"/>
              <w:left w:val="single" w:sz="8" w:space="0" w:color="00A0E9"/>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proofErr w:type="gramStart"/>
            <w:r w:rsidRPr="008763EE">
              <w:rPr>
                <w:rFonts w:asciiTheme="minorEastAsia" w:eastAsiaTheme="minorEastAsia" w:hAnsiTheme="minorEastAsia" w:cs="宋体" w:hint="eastAsia"/>
                <w:b/>
                <w:color w:val="000000"/>
                <w:sz w:val="15"/>
                <w:szCs w:val="15"/>
              </w:rPr>
              <w:t>投顾</w:t>
            </w:r>
            <w:proofErr w:type="gramEnd"/>
          </w:p>
        </w:tc>
        <w:tc>
          <w:tcPr>
            <w:tcW w:w="716" w:type="pct"/>
            <w:vMerge w:val="restart"/>
            <w:tcBorders>
              <w:top w:val="nil"/>
              <w:left w:val="single" w:sz="8" w:space="0" w:color="00A0E9"/>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 xml:space="preserve">策略 </w:t>
            </w:r>
          </w:p>
        </w:tc>
        <w:tc>
          <w:tcPr>
            <w:tcW w:w="261" w:type="pct"/>
            <w:vMerge w:val="restart"/>
            <w:tcBorders>
              <w:top w:val="nil"/>
              <w:left w:val="nil"/>
              <w:right w:val="single" w:sz="8" w:space="0" w:color="00A0E9"/>
            </w:tcBorders>
            <w:shd w:val="clear" w:color="auto" w:fill="auto"/>
            <w:vAlign w:val="center"/>
          </w:tcPr>
          <w:p w:rsidR="00D12231" w:rsidRPr="008763EE" w:rsidRDefault="00D12231" w:rsidP="00D12231">
            <w:pPr>
              <w:jc w:val="center"/>
              <w:rPr>
                <w:rFonts w:asciiTheme="minorEastAsia" w:eastAsiaTheme="minorEastAsia" w:hAnsiTheme="minorEastAsia" w:cs="宋体"/>
                <w:b/>
                <w:color w:val="000000"/>
                <w:sz w:val="15"/>
                <w:szCs w:val="15"/>
              </w:rPr>
            </w:pPr>
            <w:r>
              <w:rPr>
                <w:rFonts w:asciiTheme="minorEastAsia" w:eastAsiaTheme="minorEastAsia" w:hAnsiTheme="minorEastAsia" w:cs="宋体" w:hint="eastAsia"/>
                <w:b/>
                <w:color w:val="000000"/>
                <w:sz w:val="15"/>
                <w:szCs w:val="15"/>
              </w:rPr>
              <w:t>风险</w:t>
            </w:r>
          </w:p>
        </w:tc>
        <w:tc>
          <w:tcPr>
            <w:tcW w:w="326" w:type="pct"/>
            <w:vMerge w:val="restart"/>
            <w:tcBorders>
              <w:top w:val="nil"/>
              <w:left w:val="nil"/>
              <w:right w:val="single" w:sz="8" w:space="0" w:color="00A0E9"/>
            </w:tcBorders>
            <w:shd w:val="clear" w:color="auto" w:fill="auto"/>
            <w:vAlign w:val="center"/>
          </w:tcPr>
          <w:p w:rsidR="00D12231" w:rsidRDefault="00D12231" w:rsidP="00415458">
            <w:pPr>
              <w:jc w:val="center"/>
              <w:rPr>
                <w:rFonts w:asciiTheme="minorEastAsia" w:eastAsiaTheme="minorEastAsia" w:hAnsiTheme="minorEastAsia"/>
                <w:b/>
                <w:color w:val="000000"/>
                <w:sz w:val="15"/>
                <w:szCs w:val="15"/>
              </w:rPr>
            </w:pPr>
            <w:r>
              <w:rPr>
                <w:rFonts w:asciiTheme="minorEastAsia" w:eastAsiaTheme="minorEastAsia" w:hAnsiTheme="minorEastAsia" w:hint="eastAsia"/>
                <w:b/>
                <w:color w:val="000000"/>
                <w:sz w:val="15"/>
                <w:szCs w:val="15"/>
              </w:rPr>
              <w:t>2月</w:t>
            </w:r>
          </w:p>
          <w:p w:rsidR="00D12231" w:rsidRPr="008763EE" w:rsidRDefault="00D12231" w:rsidP="00415458">
            <w:pPr>
              <w:jc w:val="center"/>
              <w:rPr>
                <w:rFonts w:asciiTheme="minorEastAsia" w:eastAsiaTheme="minorEastAsia" w:hAnsiTheme="minorEastAsia" w:cs="宋体"/>
                <w:b/>
                <w:color w:val="000000"/>
                <w:sz w:val="15"/>
                <w:szCs w:val="15"/>
              </w:rPr>
            </w:pPr>
            <w:r>
              <w:rPr>
                <w:rFonts w:asciiTheme="minorEastAsia" w:eastAsiaTheme="minorEastAsia" w:hAnsiTheme="minorEastAsia" w:hint="eastAsia"/>
                <w:b/>
                <w:color w:val="000000"/>
                <w:sz w:val="15"/>
                <w:szCs w:val="15"/>
              </w:rPr>
              <w:t>收益</w:t>
            </w:r>
            <w:r w:rsidRPr="008763EE">
              <w:rPr>
                <w:rFonts w:asciiTheme="minorEastAsia" w:eastAsiaTheme="minorEastAsia" w:hAnsiTheme="minorEastAsia" w:hint="eastAsia"/>
                <w:b/>
                <w:color w:val="000000"/>
                <w:sz w:val="15"/>
                <w:szCs w:val="15"/>
              </w:rPr>
              <w:t>率</w:t>
            </w:r>
          </w:p>
        </w:tc>
        <w:tc>
          <w:tcPr>
            <w:tcW w:w="436" w:type="pct"/>
            <w:vMerge w:val="restart"/>
            <w:tcBorders>
              <w:top w:val="nil"/>
              <w:left w:val="nil"/>
              <w:right w:val="single" w:sz="8" w:space="0" w:color="00A0E9"/>
            </w:tcBorders>
            <w:shd w:val="clear" w:color="auto" w:fill="auto"/>
            <w:vAlign w:val="center"/>
          </w:tcPr>
          <w:p w:rsidR="00D12231" w:rsidRPr="008763EE" w:rsidRDefault="00D12231" w:rsidP="00415458">
            <w:pPr>
              <w:jc w:val="center"/>
              <w:rPr>
                <w:rFonts w:asciiTheme="minorEastAsia" w:eastAsiaTheme="minorEastAsia" w:hAnsiTheme="minorEastAsia" w:cs="宋体"/>
                <w:b/>
                <w:color w:val="000000"/>
                <w:sz w:val="15"/>
                <w:szCs w:val="15"/>
              </w:rPr>
            </w:pPr>
            <w:r>
              <w:rPr>
                <w:rFonts w:asciiTheme="minorEastAsia" w:eastAsiaTheme="minorEastAsia" w:hAnsiTheme="minorEastAsia" w:cs="宋体" w:hint="eastAsia"/>
                <w:b/>
                <w:color w:val="000000"/>
                <w:sz w:val="15"/>
                <w:szCs w:val="15"/>
              </w:rPr>
              <w:t>今年以来收益率</w:t>
            </w:r>
          </w:p>
        </w:tc>
        <w:tc>
          <w:tcPr>
            <w:tcW w:w="1643" w:type="pct"/>
            <w:gridSpan w:val="4"/>
            <w:tcBorders>
              <w:top w:val="single" w:sz="8" w:space="0" w:color="00A0E9"/>
              <w:left w:val="nil"/>
              <w:bottom w:val="single" w:sz="8" w:space="0" w:color="00A0E9"/>
              <w:right w:val="single" w:sz="8" w:space="0" w:color="00A0E9"/>
            </w:tcBorders>
            <w:shd w:val="clear" w:color="auto" w:fill="auto"/>
            <w:vAlign w:val="center"/>
            <w:hideMark/>
          </w:tcPr>
          <w:p w:rsidR="00D12231" w:rsidRPr="008763EE" w:rsidRDefault="00D12231" w:rsidP="009E5CE9">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 xml:space="preserve">近三年 </w:t>
            </w:r>
          </w:p>
        </w:tc>
        <w:tc>
          <w:tcPr>
            <w:tcW w:w="329" w:type="pct"/>
            <w:vMerge w:val="restart"/>
            <w:tcBorders>
              <w:top w:val="nil"/>
              <w:left w:val="single" w:sz="8" w:space="0" w:color="00A0E9"/>
              <w:bottom w:val="single" w:sz="8" w:space="0" w:color="00A0E9"/>
              <w:right w:val="nil"/>
            </w:tcBorders>
            <w:shd w:val="clear" w:color="auto" w:fill="auto"/>
            <w:vAlign w:val="center"/>
            <w:hideMark/>
          </w:tcPr>
          <w:p w:rsidR="00D12231" w:rsidRPr="008763EE" w:rsidRDefault="00D12231" w:rsidP="009E5CE9">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权重</w:t>
            </w:r>
          </w:p>
        </w:tc>
      </w:tr>
      <w:tr w:rsidR="00D12231" w:rsidRPr="000376F4" w:rsidTr="00D12231">
        <w:trPr>
          <w:trHeight w:val="285"/>
        </w:trPr>
        <w:tc>
          <w:tcPr>
            <w:tcW w:w="897" w:type="pct"/>
            <w:vMerge/>
            <w:tcBorders>
              <w:top w:val="nil"/>
              <w:left w:val="nil"/>
              <w:bottom w:val="single" w:sz="8" w:space="0" w:color="00A0E9"/>
              <w:right w:val="single" w:sz="8" w:space="0" w:color="00A0E9"/>
            </w:tcBorders>
            <w:vAlign w:val="center"/>
            <w:hideMark/>
          </w:tcPr>
          <w:p w:rsidR="00D12231" w:rsidRPr="008763EE" w:rsidRDefault="00D12231" w:rsidP="009E5CE9">
            <w:pPr>
              <w:jc w:val="left"/>
              <w:rPr>
                <w:rFonts w:asciiTheme="minorEastAsia" w:eastAsiaTheme="minorEastAsia" w:hAnsiTheme="minorEastAsia" w:cs="宋体"/>
                <w:b/>
                <w:color w:val="000000"/>
                <w:sz w:val="15"/>
                <w:szCs w:val="15"/>
              </w:rPr>
            </w:pPr>
          </w:p>
        </w:tc>
        <w:tc>
          <w:tcPr>
            <w:tcW w:w="392" w:type="pct"/>
            <w:vMerge/>
            <w:tcBorders>
              <w:top w:val="nil"/>
              <w:left w:val="single" w:sz="8" w:space="0" w:color="00A0E9"/>
              <w:bottom w:val="single" w:sz="8" w:space="0" w:color="00A0E9"/>
              <w:right w:val="single" w:sz="8" w:space="0" w:color="00A0E9"/>
            </w:tcBorders>
            <w:vAlign w:val="center"/>
            <w:hideMark/>
          </w:tcPr>
          <w:p w:rsidR="00D12231" w:rsidRPr="008763EE" w:rsidRDefault="00D12231" w:rsidP="009E5CE9">
            <w:pPr>
              <w:jc w:val="left"/>
              <w:rPr>
                <w:rFonts w:asciiTheme="minorEastAsia" w:eastAsiaTheme="minorEastAsia" w:hAnsiTheme="minorEastAsia" w:cs="宋体"/>
                <w:b/>
                <w:color w:val="000000"/>
                <w:sz w:val="15"/>
                <w:szCs w:val="15"/>
              </w:rPr>
            </w:pPr>
          </w:p>
        </w:tc>
        <w:tc>
          <w:tcPr>
            <w:tcW w:w="716" w:type="pct"/>
            <w:vMerge/>
            <w:tcBorders>
              <w:top w:val="nil"/>
              <w:left w:val="single" w:sz="8" w:space="0" w:color="00A0E9"/>
              <w:bottom w:val="single" w:sz="8" w:space="0" w:color="00A0E9"/>
              <w:right w:val="single" w:sz="8" w:space="0" w:color="00A0E9"/>
            </w:tcBorders>
            <w:vAlign w:val="center"/>
            <w:hideMark/>
          </w:tcPr>
          <w:p w:rsidR="00D12231" w:rsidRPr="008763EE" w:rsidRDefault="00D12231" w:rsidP="009E5CE9">
            <w:pPr>
              <w:jc w:val="left"/>
              <w:rPr>
                <w:rFonts w:asciiTheme="minorEastAsia" w:eastAsiaTheme="minorEastAsia" w:hAnsiTheme="minorEastAsia" w:cs="宋体"/>
                <w:b/>
                <w:color w:val="000000"/>
                <w:sz w:val="15"/>
                <w:szCs w:val="15"/>
              </w:rPr>
            </w:pPr>
          </w:p>
        </w:tc>
        <w:tc>
          <w:tcPr>
            <w:tcW w:w="261" w:type="pct"/>
            <w:vMerge/>
            <w:tcBorders>
              <w:left w:val="nil"/>
              <w:bottom w:val="single" w:sz="8" w:space="0" w:color="00A0E9"/>
              <w:right w:val="single" w:sz="8" w:space="0" w:color="00A0E9"/>
            </w:tcBorders>
            <w:shd w:val="clear" w:color="auto" w:fill="auto"/>
            <w:vAlign w:val="bottom"/>
          </w:tcPr>
          <w:p w:rsidR="00D12231" w:rsidRPr="008763EE" w:rsidRDefault="00D12231" w:rsidP="009E5CE9">
            <w:pPr>
              <w:jc w:val="center"/>
              <w:rPr>
                <w:rFonts w:asciiTheme="minorEastAsia" w:eastAsiaTheme="minorEastAsia" w:hAnsiTheme="minorEastAsia" w:cs="宋体"/>
                <w:b/>
                <w:color w:val="000000"/>
                <w:sz w:val="15"/>
                <w:szCs w:val="15"/>
              </w:rPr>
            </w:pPr>
          </w:p>
        </w:tc>
        <w:tc>
          <w:tcPr>
            <w:tcW w:w="326" w:type="pct"/>
            <w:vMerge/>
            <w:tcBorders>
              <w:left w:val="nil"/>
              <w:bottom w:val="single" w:sz="8" w:space="0" w:color="00A0E9"/>
              <w:right w:val="single" w:sz="8" w:space="0" w:color="00A0E9"/>
            </w:tcBorders>
            <w:shd w:val="clear" w:color="auto" w:fill="auto"/>
            <w:vAlign w:val="bottom"/>
          </w:tcPr>
          <w:p w:rsidR="00D12231" w:rsidRPr="008763EE" w:rsidRDefault="00D12231" w:rsidP="009E5CE9">
            <w:pPr>
              <w:jc w:val="center"/>
              <w:rPr>
                <w:rFonts w:asciiTheme="minorEastAsia" w:eastAsiaTheme="minorEastAsia" w:hAnsiTheme="minorEastAsia" w:cs="宋体"/>
                <w:b/>
                <w:color w:val="000000"/>
                <w:sz w:val="15"/>
                <w:szCs w:val="15"/>
              </w:rPr>
            </w:pPr>
          </w:p>
        </w:tc>
        <w:tc>
          <w:tcPr>
            <w:tcW w:w="436" w:type="pct"/>
            <w:vMerge/>
            <w:tcBorders>
              <w:left w:val="nil"/>
              <w:bottom w:val="single" w:sz="8" w:space="0" w:color="00A0E9"/>
              <w:right w:val="single" w:sz="8" w:space="0" w:color="00A0E9"/>
            </w:tcBorders>
            <w:shd w:val="clear" w:color="auto" w:fill="auto"/>
            <w:vAlign w:val="bottom"/>
          </w:tcPr>
          <w:p w:rsidR="00D12231" w:rsidRPr="008763EE" w:rsidRDefault="00D12231" w:rsidP="009E5CE9">
            <w:pPr>
              <w:jc w:val="center"/>
              <w:rPr>
                <w:rFonts w:asciiTheme="minorEastAsia" w:eastAsiaTheme="minorEastAsia" w:hAnsiTheme="minorEastAsia" w:cs="宋体"/>
                <w:b/>
                <w:color w:val="000000"/>
                <w:sz w:val="15"/>
                <w:szCs w:val="15"/>
              </w:rPr>
            </w:pPr>
          </w:p>
        </w:tc>
        <w:tc>
          <w:tcPr>
            <w:tcW w:w="448" w:type="pct"/>
            <w:tcBorders>
              <w:top w:val="nil"/>
              <w:left w:val="nil"/>
              <w:bottom w:val="single" w:sz="8" w:space="0" w:color="00A0E9"/>
              <w:right w:val="single" w:sz="8" w:space="0" w:color="00A0E9"/>
            </w:tcBorders>
            <w:shd w:val="clear" w:color="auto" w:fill="auto"/>
            <w:vAlign w:val="center"/>
            <w:hideMark/>
          </w:tcPr>
          <w:p w:rsidR="00D12231" w:rsidRPr="008763EE" w:rsidRDefault="00D12231">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hint="eastAsia"/>
                <w:b/>
                <w:color w:val="000000"/>
                <w:sz w:val="15"/>
                <w:szCs w:val="15"/>
              </w:rPr>
              <w:t>净值增长率</w:t>
            </w:r>
          </w:p>
        </w:tc>
        <w:tc>
          <w:tcPr>
            <w:tcW w:w="398" w:type="pct"/>
            <w:tcBorders>
              <w:top w:val="nil"/>
              <w:left w:val="nil"/>
              <w:bottom w:val="single" w:sz="8" w:space="0" w:color="00A0E9"/>
              <w:right w:val="single" w:sz="8" w:space="0" w:color="00A0E9"/>
            </w:tcBorders>
            <w:shd w:val="clear" w:color="auto" w:fill="auto"/>
            <w:vAlign w:val="center"/>
            <w:hideMark/>
          </w:tcPr>
          <w:p w:rsidR="00D12231" w:rsidRPr="008763EE" w:rsidRDefault="00D12231">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hint="eastAsia"/>
                <w:b/>
                <w:color w:val="000000"/>
                <w:sz w:val="15"/>
                <w:szCs w:val="15"/>
              </w:rPr>
              <w:t>排名</w:t>
            </w:r>
          </w:p>
        </w:tc>
        <w:tc>
          <w:tcPr>
            <w:tcW w:w="398" w:type="pct"/>
            <w:tcBorders>
              <w:top w:val="nil"/>
              <w:left w:val="nil"/>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Pr>
                <w:rFonts w:asciiTheme="minorEastAsia" w:eastAsiaTheme="minorEastAsia" w:hAnsiTheme="minorEastAsia" w:cs="宋体" w:hint="eastAsia"/>
                <w:b/>
                <w:color w:val="000000"/>
                <w:sz w:val="15"/>
                <w:szCs w:val="15"/>
              </w:rPr>
              <w:t>最大回撤</w:t>
            </w:r>
          </w:p>
        </w:tc>
        <w:tc>
          <w:tcPr>
            <w:tcW w:w="399" w:type="pct"/>
            <w:tcBorders>
              <w:top w:val="nil"/>
              <w:left w:val="nil"/>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hint="eastAsia"/>
                <w:b/>
                <w:color w:val="000000"/>
                <w:sz w:val="15"/>
                <w:szCs w:val="15"/>
              </w:rPr>
              <w:t>夏普比率</w:t>
            </w:r>
          </w:p>
        </w:tc>
        <w:tc>
          <w:tcPr>
            <w:tcW w:w="329" w:type="pct"/>
            <w:vMerge/>
            <w:tcBorders>
              <w:top w:val="nil"/>
              <w:left w:val="single" w:sz="8" w:space="0" w:color="00A0E9"/>
              <w:bottom w:val="single" w:sz="8" w:space="0" w:color="00A0E9"/>
              <w:right w:val="nil"/>
            </w:tcBorders>
            <w:vAlign w:val="center"/>
            <w:hideMark/>
          </w:tcPr>
          <w:p w:rsidR="00D12231" w:rsidRPr="008763EE" w:rsidRDefault="00D12231" w:rsidP="009E5CE9">
            <w:pPr>
              <w:jc w:val="left"/>
              <w:rPr>
                <w:rFonts w:asciiTheme="minorEastAsia" w:eastAsiaTheme="minorEastAsia" w:hAnsiTheme="minorEastAsia" w:cs="宋体"/>
                <w:color w:val="000000"/>
                <w:sz w:val="15"/>
                <w:szCs w:val="15"/>
              </w:rPr>
            </w:pPr>
          </w:p>
        </w:tc>
      </w:tr>
      <w:tr w:rsidR="00D12231" w:rsidRPr="000376F4" w:rsidTr="00D12231">
        <w:trPr>
          <w:trHeight w:val="285"/>
        </w:trPr>
        <w:tc>
          <w:tcPr>
            <w:tcW w:w="897" w:type="pct"/>
            <w:tcBorders>
              <w:top w:val="nil"/>
              <w:left w:val="nil"/>
              <w:bottom w:val="single" w:sz="8" w:space="0" w:color="00A0E9"/>
              <w:right w:val="single" w:sz="8" w:space="0" w:color="00A0E9"/>
            </w:tcBorders>
            <w:shd w:val="clear" w:color="auto" w:fill="auto"/>
            <w:vAlign w:val="center"/>
          </w:tcPr>
          <w:p w:rsidR="00D12231" w:rsidRPr="00D12231" w:rsidRDefault="00D12231" w:rsidP="00415458">
            <w:pPr>
              <w:jc w:val="center"/>
              <w:rPr>
                <w:rFonts w:asciiTheme="minorEastAsia" w:eastAsiaTheme="minorEastAsia" w:hAnsiTheme="minorEastAsia" w:cs="宋体"/>
                <w:b/>
                <w:color w:val="000000"/>
                <w:sz w:val="15"/>
                <w:szCs w:val="15"/>
              </w:rPr>
            </w:pPr>
            <w:r w:rsidRPr="00D12231">
              <w:rPr>
                <w:rFonts w:asciiTheme="minorEastAsia" w:eastAsiaTheme="minorEastAsia" w:hAnsiTheme="minorEastAsia" w:hint="eastAsia"/>
                <w:b/>
                <w:color w:val="000000"/>
                <w:sz w:val="15"/>
                <w:szCs w:val="15"/>
              </w:rPr>
              <w:t>中信信托</w:t>
            </w:r>
            <w:r w:rsidRPr="00D12231">
              <w:rPr>
                <w:rFonts w:asciiTheme="minorEastAsia" w:eastAsiaTheme="minorEastAsia" w:hAnsiTheme="minorEastAsia" w:cs="宋体" w:hint="eastAsia"/>
                <w:b/>
                <w:color w:val="000000"/>
                <w:sz w:val="15"/>
                <w:szCs w:val="15"/>
              </w:rPr>
              <w:t>•</w:t>
            </w:r>
            <w:r w:rsidRPr="00D12231">
              <w:rPr>
                <w:rFonts w:asciiTheme="minorEastAsia" w:eastAsiaTheme="minorEastAsia" w:hAnsiTheme="minorEastAsia" w:cs="楷体" w:hint="eastAsia"/>
                <w:b/>
                <w:color w:val="000000"/>
                <w:sz w:val="15"/>
                <w:szCs w:val="15"/>
              </w:rPr>
              <w:t>和</w:t>
            </w:r>
            <w:proofErr w:type="gramStart"/>
            <w:r w:rsidRPr="00D12231">
              <w:rPr>
                <w:rFonts w:asciiTheme="minorEastAsia" w:eastAsiaTheme="minorEastAsia" w:hAnsiTheme="minorEastAsia" w:cs="楷体" w:hint="eastAsia"/>
                <w:b/>
                <w:color w:val="000000"/>
                <w:sz w:val="15"/>
                <w:szCs w:val="15"/>
              </w:rPr>
              <w:t>聚鼎宝</w:t>
            </w:r>
            <w:proofErr w:type="gramEnd"/>
            <w:r w:rsidRPr="00D12231">
              <w:rPr>
                <w:rFonts w:asciiTheme="minorEastAsia" w:eastAsiaTheme="minorEastAsia" w:hAnsiTheme="minorEastAsia" w:hint="eastAsia"/>
                <w:b/>
                <w:color w:val="000000"/>
                <w:sz w:val="15"/>
                <w:szCs w:val="15"/>
              </w:rPr>
              <w:t>1期</w:t>
            </w:r>
          </w:p>
        </w:tc>
        <w:tc>
          <w:tcPr>
            <w:tcW w:w="392"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和聚</w:t>
            </w:r>
          </w:p>
        </w:tc>
        <w:tc>
          <w:tcPr>
            <w:tcW w:w="71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股票多头策略</w:t>
            </w:r>
          </w:p>
        </w:tc>
        <w:tc>
          <w:tcPr>
            <w:tcW w:w="261"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0.39%</w:t>
            </w:r>
          </w:p>
        </w:tc>
        <w:tc>
          <w:tcPr>
            <w:tcW w:w="43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-13.49%</w:t>
            </w:r>
          </w:p>
        </w:tc>
        <w:tc>
          <w:tcPr>
            <w:tcW w:w="44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146.23%</w:t>
            </w:r>
          </w:p>
        </w:tc>
        <w:tc>
          <w:tcPr>
            <w:tcW w:w="39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22</w:t>
            </w:r>
            <w:r>
              <w:rPr>
                <w:rFonts w:asciiTheme="minorEastAsia" w:eastAsiaTheme="minorEastAsia" w:hAnsiTheme="minorEastAsia" w:hint="eastAsia"/>
                <w:color w:val="000000"/>
                <w:sz w:val="15"/>
                <w:szCs w:val="15"/>
              </w:rPr>
              <w:t>/505</w:t>
            </w:r>
          </w:p>
        </w:tc>
        <w:tc>
          <w:tcPr>
            <w:tcW w:w="39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16.08%</w:t>
            </w:r>
          </w:p>
        </w:tc>
        <w:tc>
          <w:tcPr>
            <w:tcW w:w="399"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120.02%</w:t>
            </w:r>
          </w:p>
        </w:tc>
        <w:tc>
          <w:tcPr>
            <w:tcW w:w="329" w:type="pct"/>
            <w:tcBorders>
              <w:top w:val="nil"/>
              <w:left w:val="nil"/>
              <w:bottom w:val="single" w:sz="8" w:space="0" w:color="00A0E9"/>
              <w:right w:val="nil"/>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Pr>
                <w:rFonts w:asciiTheme="minorEastAsia" w:eastAsiaTheme="minorEastAsia" w:hAnsiTheme="minorEastAsia" w:cs="宋体" w:hint="eastAsia"/>
                <w:color w:val="000000"/>
                <w:sz w:val="15"/>
                <w:szCs w:val="15"/>
              </w:rPr>
              <w:t>20%</w:t>
            </w:r>
          </w:p>
        </w:tc>
      </w:tr>
      <w:tr w:rsidR="00D12231" w:rsidRPr="000376F4" w:rsidTr="00D12231">
        <w:trPr>
          <w:trHeight w:val="270"/>
        </w:trPr>
        <w:tc>
          <w:tcPr>
            <w:tcW w:w="897" w:type="pct"/>
            <w:tcBorders>
              <w:top w:val="nil"/>
              <w:left w:val="nil"/>
              <w:bottom w:val="single" w:sz="8" w:space="0" w:color="00A0E9"/>
              <w:right w:val="single" w:sz="8" w:space="0" w:color="00A0E9"/>
            </w:tcBorders>
            <w:shd w:val="clear" w:color="auto" w:fill="auto"/>
            <w:vAlign w:val="center"/>
            <w:hideMark/>
          </w:tcPr>
          <w:p w:rsidR="00D12231" w:rsidRPr="00D12231" w:rsidRDefault="00D12231" w:rsidP="00415458">
            <w:pPr>
              <w:jc w:val="center"/>
              <w:rPr>
                <w:rFonts w:asciiTheme="minorEastAsia" w:eastAsiaTheme="minorEastAsia" w:hAnsiTheme="minorEastAsia" w:cs="宋体"/>
                <w:b/>
                <w:color w:val="000000"/>
                <w:sz w:val="15"/>
                <w:szCs w:val="15"/>
              </w:rPr>
            </w:pPr>
            <w:r w:rsidRPr="00D12231">
              <w:rPr>
                <w:rFonts w:asciiTheme="minorEastAsia" w:eastAsiaTheme="minorEastAsia" w:hAnsiTheme="minorEastAsia" w:hint="eastAsia"/>
                <w:b/>
                <w:color w:val="000000"/>
                <w:sz w:val="15"/>
                <w:szCs w:val="15"/>
              </w:rPr>
              <w:t>陕国投·</w:t>
            </w:r>
            <w:proofErr w:type="gramStart"/>
            <w:r w:rsidRPr="00D12231">
              <w:rPr>
                <w:rFonts w:asciiTheme="minorEastAsia" w:eastAsiaTheme="minorEastAsia" w:hAnsiTheme="minorEastAsia" w:hint="eastAsia"/>
                <w:b/>
                <w:color w:val="000000"/>
                <w:sz w:val="15"/>
                <w:szCs w:val="15"/>
              </w:rPr>
              <w:t>鼎锋8期</w:t>
            </w:r>
            <w:proofErr w:type="gramEnd"/>
          </w:p>
        </w:tc>
        <w:tc>
          <w:tcPr>
            <w:tcW w:w="392"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proofErr w:type="gramStart"/>
            <w:r w:rsidRPr="00893F15">
              <w:rPr>
                <w:rFonts w:asciiTheme="minorEastAsia" w:eastAsiaTheme="minorEastAsia" w:hAnsiTheme="minorEastAsia" w:hint="eastAsia"/>
                <w:color w:val="000000"/>
                <w:sz w:val="15"/>
                <w:szCs w:val="15"/>
              </w:rPr>
              <w:t>鼎锋</w:t>
            </w:r>
            <w:proofErr w:type="gramEnd"/>
          </w:p>
        </w:tc>
        <w:tc>
          <w:tcPr>
            <w:tcW w:w="716"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股票多头策略</w:t>
            </w:r>
          </w:p>
        </w:tc>
        <w:tc>
          <w:tcPr>
            <w:tcW w:w="261"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中</w:t>
            </w:r>
          </w:p>
        </w:tc>
        <w:tc>
          <w:tcPr>
            <w:tcW w:w="32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6.13%</w:t>
            </w:r>
          </w:p>
        </w:tc>
        <w:tc>
          <w:tcPr>
            <w:tcW w:w="43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-6.86%</w:t>
            </w:r>
          </w:p>
        </w:tc>
        <w:tc>
          <w:tcPr>
            <w:tcW w:w="448"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96.01%</w:t>
            </w:r>
          </w:p>
        </w:tc>
        <w:tc>
          <w:tcPr>
            <w:tcW w:w="398"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79</w:t>
            </w:r>
            <w:r>
              <w:rPr>
                <w:rFonts w:asciiTheme="minorEastAsia" w:eastAsiaTheme="minorEastAsia" w:hAnsiTheme="minorEastAsia" w:hint="eastAsia"/>
                <w:color w:val="000000"/>
                <w:sz w:val="15"/>
                <w:szCs w:val="15"/>
              </w:rPr>
              <w:t>/505</w:t>
            </w:r>
          </w:p>
        </w:tc>
        <w:tc>
          <w:tcPr>
            <w:tcW w:w="398"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17.73%</w:t>
            </w:r>
          </w:p>
        </w:tc>
        <w:tc>
          <w:tcPr>
            <w:tcW w:w="399"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102.65%</w:t>
            </w:r>
          </w:p>
        </w:tc>
        <w:tc>
          <w:tcPr>
            <w:tcW w:w="329" w:type="pct"/>
            <w:tcBorders>
              <w:top w:val="nil"/>
              <w:left w:val="nil"/>
              <w:bottom w:val="single" w:sz="8" w:space="0" w:color="00A0E9"/>
              <w:right w:val="nil"/>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Pr>
                <w:rFonts w:asciiTheme="minorEastAsia" w:eastAsiaTheme="minorEastAsia" w:hAnsiTheme="minorEastAsia" w:cs="宋体" w:hint="eastAsia"/>
                <w:color w:val="000000"/>
                <w:sz w:val="15"/>
                <w:szCs w:val="15"/>
              </w:rPr>
              <w:t>20%</w:t>
            </w:r>
          </w:p>
        </w:tc>
      </w:tr>
      <w:tr w:rsidR="00D12231" w:rsidRPr="000376F4" w:rsidTr="00D12231">
        <w:trPr>
          <w:trHeight w:val="285"/>
        </w:trPr>
        <w:tc>
          <w:tcPr>
            <w:tcW w:w="897" w:type="pct"/>
            <w:tcBorders>
              <w:top w:val="nil"/>
              <w:left w:val="nil"/>
              <w:bottom w:val="single" w:sz="8" w:space="0" w:color="00A0E9"/>
              <w:right w:val="single" w:sz="8" w:space="0" w:color="00A0E9"/>
            </w:tcBorders>
            <w:shd w:val="clear" w:color="auto" w:fill="auto"/>
            <w:vAlign w:val="center"/>
            <w:hideMark/>
          </w:tcPr>
          <w:p w:rsidR="00D12231" w:rsidRPr="00D12231" w:rsidRDefault="00D12231" w:rsidP="00415458">
            <w:pPr>
              <w:jc w:val="center"/>
              <w:rPr>
                <w:rFonts w:asciiTheme="minorEastAsia" w:eastAsiaTheme="minorEastAsia" w:hAnsiTheme="minorEastAsia" w:cs="宋体"/>
                <w:b/>
                <w:color w:val="000000"/>
                <w:sz w:val="15"/>
                <w:szCs w:val="15"/>
              </w:rPr>
            </w:pPr>
            <w:r w:rsidRPr="00D12231">
              <w:rPr>
                <w:rFonts w:asciiTheme="minorEastAsia" w:eastAsiaTheme="minorEastAsia" w:hAnsiTheme="minorEastAsia" w:hint="eastAsia"/>
                <w:b/>
                <w:color w:val="000000"/>
                <w:sz w:val="15"/>
                <w:szCs w:val="15"/>
              </w:rPr>
              <w:t>诺德-</w:t>
            </w:r>
            <w:proofErr w:type="gramStart"/>
            <w:r w:rsidRPr="00D12231">
              <w:rPr>
                <w:rFonts w:asciiTheme="minorEastAsia" w:eastAsiaTheme="minorEastAsia" w:hAnsiTheme="minorEastAsia" w:hint="eastAsia"/>
                <w:b/>
                <w:color w:val="000000"/>
                <w:sz w:val="15"/>
                <w:szCs w:val="15"/>
              </w:rPr>
              <w:t>富善致远</w:t>
            </w:r>
            <w:proofErr w:type="gramEnd"/>
            <w:r w:rsidRPr="00D12231">
              <w:rPr>
                <w:rFonts w:asciiTheme="minorEastAsia" w:eastAsiaTheme="minorEastAsia" w:hAnsiTheme="minorEastAsia" w:hint="eastAsia"/>
                <w:b/>
                <w:color w:val="000000"/>
                <w:sz w:val="15"/>
                <w:szCs w:val="15"/>
              </w:rPr>
              <w:t>CTA一期</w:t>
            </w:r>
          </w:p>
        </w:tc>
        <w:tc>
          <w:tcPr>
            <w:tcW w:w="392"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富善</w:t>
            </w:r>
          </w:p>
        </w:tc>
        <w:tc>
          <w:tcPr>
            <w:tcW w:w="716"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管理期货策略</w:t>
            </w:r>
          </w:p>
        </w:tc>
        <w:tc>
          <w:tcPr>
            <w:tcW w:w="261"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2.37%</w:t>
            </w:r>
          </w:p>
        </w:tc>
        <w:tc>
          <w:tcPr>
            <w:tcW w:w="43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-0.85%</w:t>
            </w:r>
          </w:p>
        </w:tc>
        <w:tc>
          <w:tcPr>
            <w:tcW w:w="448"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98"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98"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99" w:type="pct"/>
            <w:tcBorders>
              <w:top w:val="nil"/>
              <w:left w:val="nil"/>
              <w:bottom w:val="single" w:sz="8" w:space="0" w:color="00A0E9"/>
              <w:right w:val="single" w:sz="8" w:space="0" w:color="00A0E9"/>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29" w:type="pct"/>
            <w:tcBorders>
              <w:top w:val="nil"/>
              <w:left w:val="nil"/>
              <w:bottom w:val="single" w:sz="8" w:space="0" w:color="00A0E9"/>
              <w:right w:val="nil"/>
            </w:tcBorders>
            <w:shd w:val="clear" w:color="auto" w:fill="auto"/>
            <w:vAlign w:val="center"/>
            <w:hideMark/>
          </w:tcPr>
          <w:p w:rsidR="00D12231" w:rsidRPr="00893F15" w:rsidRDefault="00D12231" w:rsidP="00415458">
            <w:pPr>
              <w:jc w:val="center"/>
              <w:rPr>
                <w:rFonts w:asciiTheme="minorEastAsia" w:eastAsiaTheme="minorEastAsia" w:hAnsiTheme="minorEastAsia" w:cs="宋体"/>
                <w:color w:val="000000"/>
                <w:sz w:val="15"/>
                <w:szCs w:val="15"/>
              </w:rPr>
            </w:pPr>
            <w:r>
              <w:rPr>
                <w:rFonts w:asciiTheme="minorEastAsia" w:eastAsiaTheme="minorEastAsia" w:hAnsiTheme="minorEastAsia" w:cs="宋体" w:hint="eastAsia"/>
                <w:color w:val="000000"/>
                <w:sz w:val="15"/>
                <w:szCs w:val="15"/>
              </w:rPr>
              <w:t>20%</w:t>
            </w:r>
          </w:p>
        </w:tc>
      </w:tr>
      <w:tr w:rsidR="00D12231" w:rsidRPr="000376F4" w:rsidTr="00D12231">
        <w:trPr>
          <w:trHeight w:val="285"/>
        </w:trPr>
        <w:tc>
          <w:tcPr>
            <w:tcW w:w="897" w:type="pct"/>
            <w:tcBorders>
              <w:top w:val="nil"/>
              <w:left w:val="nil"/>
              <w:bottom w:val="single" w:sz="8" w:space="0" w:color="00A0E9"/>
              <w:right w:val="single" w:sz="8" w:space="0" w:color="00A0E9"/>
            </w:tcBorders>
            <w:shd w:val="clear" w:color="auto" w:fill="auto"/>
            <w:vAlign w:val="center"/>
          </w:tcPr>
          <w:p w:rsidR="00D12231" w:rsidRPr="00D12231" w:rsidRDefault="00D12231" w:rsidP="00415458">
            <w:pPr>
              <w:jc w:val="center"/>
              <w:rPr>
                <w:rFonts w:asciiTheme="minorEastAsia" w:eastAsiaTheme="minorEastAsia" w:hAnsiTheme="minorEastAsia" w:cs="宋体"/>
                <w:b/>
                <w:color w:val="000000"/>
                <w:sz w:val="15"/>
                <w:szCs w:val="15"/>
              </w:rPr>
            </w:pPr>
            <w:r w:rsidRPr="00D12231">
              <w:rPr>
                <w:rFonts w:asciiTheme="minorEastAsia" w:eastAsiaTheme="minorEastAsia" w:hAnsiTheme="minorEastAsia" w:hint="eastAsia"/>
                <w:b/>
                <w:color w:val="000000"/>
                <w:sz w:val="15"/>
                <w:szCs w:val="15"/>
              </w:rPr>
              <w:t>华润信托-大岩绝对</w:t>
            </w:r>
          </w:p>
        </w:tc>
        <w:tc>
          <w:tcPr>
            <w:tcW w:w="392"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proofErr w:type="gramStart"/>
            <w:r w:rsidRPr="00893F15">
              <w:rPr>
                <w:rFonts w:asciiTheme="minorEastAsia" w:eastAsiaTheme="minorEastAsia" w:hAnsiTheme="minorEastAsia" w:hint="eastAsia"/>
                <w:color w:val="000000"/>
                <w:sz w:val="15"/>
                <w:szCs w:val="15"/>
              </w:rPr>
              <w:t>嘉石大</w:t>
            </w:r>
            <w:proofErr w:type="gramEnd"/>
            <w:r w:rsidRPr="00893F15">
              <w:rPr>
                <w:rFonts w:asciiTheme="minorEastAsia" w:eastAsiaTheme="minorEastAsia" w:hAnsiTheme="minorEastAsia" w:hint="eastAsia"/>
                <w:color w:val="000000"/>
                <w:sz w:val="15"/>
                <w:szCs w:val="15"/>
              </w:rPr>
              <w:t>岩</w:t>
            </w:r>
          </w:p>
        </w:tc>
        <w:tc>
          <w:tcPr>
            <w:tcW w:w="71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市场中性策略</w:t>
            </w:r>
          </w:p>
        </w:tc>
        <w:tc>
          <w:tcPr>
            <w:tcW w:w="261"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1.57%</w:t>
            </w:r>
          </w:p>
        </w:tc>
        <w:tc>
          <w:tcPr>
            <w:tcW w:w="43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-4.34%</w:t>
            </w:r>
          </w:p>
        </w:tc>
        <w:tc>
          <w:tcPr>
            <w:tcW w:w="44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9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9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99"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w:t>
            </w:r>
          </w:p>
        </w:tc>
        <w:tc>
          <w:tcPr>
            <w:tcW w:w="329" w:type="pct"/>
            <w:tcBorders>
              <w:top w:val="nil"/>
              <w:left w:val="nil"/>
              <w:bottom w:val="single" w:sz="8" w:space="0" w:color="00A0E9"/>
              <w:right w:val="nil"/>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Pr>
                <w:rFonts w:asciiTheme="minorEastAsia" w:eastAsiaTheme="minorEastAsia" w:hAnsiTheme="minorEastAsia" w:cs="宋体" w:hint="eastAsia"/>
                <w:color w:val="000000"/>
                <w:sz w:val="15"/>
                <w:szCs w:val="15"/>
              </w:rPr>
              <w:t>20%</w:t>
            </w:r>
          </w:p>
        </w:tc>
      </w:tr>
      <w:tr w:rsidR="00D12231" w:rsidRPr="000376F4" w:rsidTr="00A30901">
        <w:trPr>
          <w:trHeight w:val="285"/>
        </w:trPr>
        <w:tc>
          <w:tcPr>
            <w:tcW w:w="897" w:type="pct"/>
            <w:tcBorders>
              <w:top w:val="nil"/>
              <w:left w:val="nil"/>
              <w:bottom w:val="single" w:sz="8" w:space="0" w:color="00A0E9"/>
              <w:right w:val="single" w:sz="8" w:space="0" w:color="00A0E9"/>
            </w:tcBorders>
            <w:shd w:val="clear" w:color="auto" w:fill="auto"/>
            <w:vAlign w:val="center"/>
          </w:tcPr>
          <w:p w:rsidR="00D12231" w:rsidRPr="00D12231" w:rsidRDefault="00D12231" w:rsidP="00415458">
            <w:pPr>
              <w:jc w:val="center"/>
              <w:rPr>
                <w:rFonts w:asciiTheme="minorEastAsia" w:eastAsiaTheme="minorEastAsia" w:hAnsiTheme="minorEastAsia" w:cs="宋体"/>
                <w:b/>
                <w:color w:val="000000"/>
                <w:sz w:val="15"/>
                <w:szCs w:val="15"/>
              </w:rPr>
            </w:pPr>
            <w:r w:rsidRPr="00D12231">
              <w:rPr>
                <w:rFonts w:asciiTheme="minorEastAsia" w:eastAsiaTheme="minorEastAsia" w:hAnsiTheme="minorEastAsia" w:hint="eastAsia"/>
                <w:b/>
                <w:color w:val="000000"/>
                <w:sz w:val="15"/>
                <w:szCs w:val="15"/>
              </w:rPr>
              <w:t>有限合伙-</w:t>
            </w:r>
            <w:proofErr w:type="gramStart"/>
            <w:r w:rsidRPr="00D12231">
              <w:rPr>
                <w:rFonts w:asciiTheme="minorEastAsia" w:eastAsiaTheme="minorEastAsia" w:hAnsiTheme="minorEastAsia" w:hint="eastAsia"/>
                <w:b/>
                <w:color w:val="000000"/>
                <w:sz w:val="15"/>
                <w:szCs w:val="15"/>
              </w:rPr>
              <w:t>淘利趋势</w:t>
            </w:r>
            <w:proofErr w:type="gramEnd"/>
            <w:r w:rsidRPr="00D12231">
              <w:rPr>
                <w:rFonts w:asciiTheme="minorEastAsia" w:eastAsiaTheme="minorEastAsia" w:hAnsiTheme="minorEastAsia" w:hint="eastAsia"/>
                <w:b/>
                <w:color w:val="000000"/>
                <w:sz w:val="15"/>
                <w:szCs w:val="15"/>
              </w:rPr>
              <w:t>1号</w:t>
            </w:r>
          </w:p>
        </w:tc>
        <w:tc>
          <w:tcPr>
            <w:tcW w:w="392"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proofErr w:type="gramStart"/>
            <w:r w:rsidRPr="00893F15">
              <w:rPr>
                <w:rFonts w:asciiTheme="minorEastAsia" w:eastAsiaTheme="minorEastAsia" w:hAnsiTheme="minorEastAsia" w:hint="eastAsia"/>
                <w:color w:val="000000"/>
                <w:sz w:val="15"/>
                <w:szCs w:val="15"/>
              </w:rPr>
              <w:t>淘利</w:t>
            </w:r>
            <w:proofErr w:type="gramEnd"/>
          </w:p>
        </w:tc>
        <w:tc>
          <w:tcPr>
            <w:tcW w:w="71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相对价值套利策略</w:t>
            </w:r>
          </w:p>
        </w:tc>
        <w:tc>
          <w:tcPr>
            <w:tcW w:w="261"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1.92%</w:t>
            </w:r>
          </w:p>
        </w:tc>
        <w:tc>
          <w:tcPr>
            <w:tcW w:w="436"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5.00%</w:t>
            </w:r>
          </w:p>
        </w:tc>
        <w:tc>
          <w:tcPr>
            <w:tcW w:w="44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62.47%</w:t>
            </w:r>
          </w:p>
        </w:tc>
        <w:tc>
          <w:tcPr>
            <w:tcW w:w="39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2</w:t>
            </w:r>
            <w:r>
              <w:rPr>
                <w:rFonts w:asciiTheme="minorEastAsia" w:eastAsiaTheme="minorEastAsia" w:hAnsiTheme="minorEastAsia" w:hint="eastAsia"/>
                <w:color w:val="000000"/>
                <w:sz w:val="15"/>
                <w:szCs w:val="15"/>
              </w:rPr>
              <w:t>/3</w:t>
            </w:r>
          </w:p>
        </w:tc>
        <w:tc>
          <w:tcPr>
            <w:tcW w:w="398"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30.35%</w:t>
            </w:r>
          </w:p>
        </w:tc>
        <w:tc>
          <w:tcPr>
            <w:tcW w:w="399" w:type="pct"/>
            <w:tcBorders>
              <w:top w:val="nil"/>
              <w:left w:val="nil"/>
              <w:bottom w:val="single" w:sz="8" w:space="0" w:color="00A0E9"/>
              <w:right w:val="single" w:sz="8" w:space="0" w:color="00A0E9"/>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sidRPr="00893F15">
              <w:rPr>
                <w:rFonts w:asciiTheme="minorEastAsia" w:eastAsiaTheme="minorEastAsia" w:hAnsiTheme="minorEastAsia" w:hint="eastAsia"/>
                <w:color w:val="000000"/>
                <w:sz w:val="15"/>
                <w:szCs w:val="15"/>
              </w:rPr>
              <w:t>72.31%</w:t>
            </w:r>
          </w:p>
        </w:tc>
        <w:tc>
          <w:tcPr>
            <w:tcW w:w="329" w:type="pct"/>
            <w:tcBorders>
              <w:top w:val="nil"/>
              <w:left w:val="nil"/>
              <w:bottom w:val="single" w:sz="8" w:space="0" w:color="00A0E9"/>
              <w:right w:val="nil"/>
            </w:tcBorders>
            <w:shd w:val="clear" w:color="auto" w:fill="auto"/>
            <w:vAlign w:val="center"/>
          </w:tcPr>
          <w:p w:rsidR="00D12231" w:rsidRPr="00893F15" w:rsidRDefault="00D12231" w:rsidP="00415458">
            <w:pPr>
              <w:jc w:val="center"/>
              <w:rPr>
                <w:rFonts w:asciiTheme="minorEastAsia" w:eastAsiaTheme="minorEastAsia" w:hAnsiTheme="minorEastAsia" w:cs="宋体"/>
                <w:color w:val="000000"/>
                <w:sz w:val="15"/>
                <w:szCs w:val="15"/>
              </w:rPr>
            </w:pPr>
            <w:r>
              <w:rPr>
                <w:rFonts w:asciiTheme="minorEastAsia" w:eastAsiaTheme="minorEastAsia" w:hAnsiTheme="minorEastAsia" w:cs="宋体" w:hint="eastAsia"/>
                <w:color w:val="000000"/>
                <w:sz w:val="15"/>
                <w:szCs w:val="15"/>
              </w:rPr>
              <w:t>20%</w:t>
            </w:r>
          </w:p>
        </w:tc>
      </w:tr>
      <w:tr w:rsidR="008763EE" w:rsidRPr="000376F4" w:rsidTr="00A30901">
        <w:trPr>
          <w:trHeight w:val="285"/>
        </w:trPr>
        <w:tc>
          <w:tcPr>
            <w:tcW w:w="5000" w:type="pct"/>
            <w:gridSpan w:val="11"/>
            <w:tcBorders>
              <w:top w:val="single" w:sz="8" w:space="0" w:color="00A0E9"/>
              <w:left w:val="nil"/>
              <w:bottom w:val="single" w:sz="8" w:space="0" w:color="00A0E9"/>
            </w:tcBorders>
            <w:shd w:val="clear" w:color="auto" w:fill="auto"/>
            <w:vAlign w:val="center"/>
          </w:tcPr>
          <w:p w:rsidR="008763EE" w:rsidRPr="008763EE" w:rsidRDefault="008763EE" w:rsidP="000855E4">
            <w:pPr>
              <w:jc w:val="left"/>
              <w:rPr>
                <w:rFonts w:asciiTheme="minorEastAsia" w:eastAsiaTheme="minorEastAsia" w:hAnsiTheme="minorEastAsia"/>
                <w:color w:val="000000"/>
                <w:sz w:val="15"/>
                <w:szCs w:val="15"/>
              </w:rPr>
            </w:pPr>
            <w:r>
              <w:rPr>
                <w:rFonts w:asciiTheme="minorEastAsia" w:eastAsiaTheme="minorEastAsia" w:hAnsiTheme="minorEastAsia" w:hint="eastAsia"/>
                <w:color w:val="000000"/>
                <w:sz w:val="15"/>
                <w:szCs w:val="15"/>
              </w:rPr>
              <w:t>注：业绩相关数据截止201</w:t>
            </w:r>
            <w:r w:rsidR="000855E4">
              <w:rPr>
                <w:rFonts w:asciiTheme="minorEastAsia" w:eastAsiaTheme="minorEastAsia" w:hAnsiTheme="minorEastAsia" w:hint="eastAsia"/>
                <w:color w:val="000000"/>
                <w:sz w:val="15"/>
                <w:szCs w:val="15"/>
              </w:rPr>
              <w:t>6</w:t>
            </w:r>
            <w:r>
              <w:rPr>
                <w:rFonts w:asciiTheme="minorEastAsia" w:eastAsiaTheme="minorEastAsia" w:hAnsiTheme="minorEastAsia" w:hint="eastAsia"/>
                <w:color w:val="000000"/>
                <w:sz w:val="15"/>
                <w:szCs w:val="15"/>
              </w:rPr>
              <w:t>年</w:t>
            </w:r>
            <w:r w:rsidR="000855E4">
              <w:rPr>
                <w:rFonts w:asciiTheme="minorEastAsia" w:eastAsiaTheme="minorEastAsia" w:hAnsiTheme="minorEastAsia" w:hint="eastAsia"/>
                <w:color w:val="000000"/>
                <w:sz w:val="15"/>
                <w:szCs w:val="15"/>
              </w:rPr>
              <w:t>2月</w:t>
            </w:r>
            <w:r>
              <w:rPr>
                <w:rFonts w:asciiTheme="minorEastAsia" w:eastAsiaTheme="minorEastAsia" w:hAnsiTheme="minorEastAsia" w:hint="eastAsia"/>
                <w:color w:val="000000"/>
                <w:sz w:val="15"/>
                <w:szCs w:val="15"/>
              </w:rPr>
              <w:t>，综合评级和风险评价均为201</w:t>
            </w:r>
            <w:r w:rsidR="000855E4">
              <w:rPr>
                <w:rFonts w:asciiTheme="minorEastAsia" w:eastAsiaTheme="minorEastAsia" w:hAnsiTheme="minorEastAsia" w:hint="eastAsia"/>
                <w:color w:val="000000"/>
                <w:sz w:val="15"/>
                <w:szCs w:val="15"/>
              </w:rPr>
              <w:t>5</w:t>
            </w:r>
            <w:r>
              <w:rPr>
                <w:rFonts w:asciiTheme="minorEastAsia" w:eastAsiaTheme="minorEastAsia" w:hAnsiTheme="minorEastAsia" w:hint="eastAsia"/>
                <w:color w:val="000000"/>
                <w:sz w:val="15"/>
                <w:szCs w:val="15"/>
              </w:rPr>
              <w:t>年</w:t>
            </w:r>
            <w:r w:rsidR="00A60C46">
              <w:rPr>
                <w:rFonts w:asciiTheme="minorEastAsia" w:eastAsiaTheme="minorEastAsia" w:hAnsiTheme="minorEastAsia" w:hint="eastAsia"/>
                <w:color w:val="000000"/>
                <w:sz w:val="15"/>
                <w:szCs w:val="15"/>
              </w:rPr>
              <w:t>四</w:t>
            </w:r>
            <w:r>
              <w:rPr>
                <w:rFonts w:asciiTheme="minorEastAsia" w:eastAsiaTheme="minorEastAsia" w:hAnsiTheme="minorEastAsia" w:hint="eastAsia"/>
                <w:color w:val="000000"/>
                <w:sz w:val="15"/>
                <w:szCs w:val="15"/>
              </w:rPr>
              <w:t>季度评价结果。</w:t>
            </w:r>
          </w:p>
        </w:tc>
      </w:tr>
      <w:tr w:rsidR="00EE7C0D" w:rsidRPr="000376F4" w:rsidTr="009E5CE9">
        <w:trPr>
          <w:trHeight w:val="270"/>
        </w:trPr>
        <w:tc>
          <w:tcPr>
            <w:tcW w:w="5000" w:type="pct"/>
            <w:gridSpan w:val="11"/>
            <w:tcBorders>
              <w:top w:val="nil"/>
              <w:left w:val="nil"/>
              <w:bottom w:val="nil"/>
              <w:right w:val="nil"/>
            </w:tcBorders>
            <w:shd w:val="clear" w:color="auto" w:fill="auto"/>
            <w:vAlign w:val="bottom"/>
            <w:hideMark/>
          </w:tcPr>
          <w:p w:rsidR="00EE7C0D" w:rsidRPr="000376F4" w:rsidRDefault="00EE7C0D" w:rsidP="009E5CE9">
            <w:pPr>
              <w:pStyle w:val="FootnoteNoline"/>
              <w:ind w:left="0"/>
              <w:rPr>
                <w:rFonts w:ascii="楷体_GB2312" w:hAnsi="宋体" w:cs="宋体"/>
                <w:szCs w:val="15"/>
              </w:rPr>
            </w:pPr>
            <w:r w:rsidRPr="000376F4">
              <w:rPr>
                <w:rFonts w:hint="eastAsia"/>
              </w:rPr>
              <w:t>来源：国金证券研究所</w:t>
            </w:r>
            <w:r w:rsidRPr="000376F4">
              <w:t xml:space="preserve"> </w:t>
            </w:r>
          </w:p>
        </w:tc>
      </w:tr>
    </w:tbl>
    <w:p w:rsidR="00EE7C0D" w:rsidRDefault="00EE7C0D" w:rsidP="00EE7C0D">
      <w:pPr>
        <w:pStyle w:val="a0"/>
        <w:ind w:left="3430"/>
        <w:rPr>
          <w:color w:val="auto"/>
        </w:rPr>
      </w:pPr>
    </w:p>
    <w:tbl>
      <w:tblPr>
        <w:tblW w:w="5000" w:type="pct"/>
        <w:tblLook w:val="04A0" w:firstRow="1" w:lastRow="0" w:firstColumn="1" w:lastColumn="0" w:noHBand="0" w:noVBand="1"/>
      </w:tblPr>
      <w:tblGrid>
        <w:gridCol w:w="1952"/>
        <w:gridCol w:w="850"/>
        <w:gridCol w:w="1559"/>
        <w:gridCol w:w="568"/>
        <w:gridCol w:w="709"/>
        <w:gridCol w:w="920"/>
        <w:gridCol w:w="981"/>
        <w:gridCol w:w="872"/>
        <w:gridCol w:w="872"/>
        <w:gridCol w:w="872"/>
        <w:gridCol w:w="720"/>
      </w:tblGrid>
      <w:tr w:rsidR="008763EE" w:rsidRPr="000376F4" w:rsidTr="00EB76E3">
        <w:trPr>
          <w:trHeight w:val="285"/>
        </w:trPr>
        <w:tc>
          <w:tcPr>
            <w:tcW w:w="5000" w:type="pct"/>
            <w:gridSpan w:val="11"/>
            <w:tcBorders>
              <w:top w:val="single" w:sz="8" w:space="0" w:color="00A0E9"/>
              <w:left w:val="nil"/>
              <w:bottom w:val="single" w:sz="8" w:space="0" w:color="00A0E9"/>
              <w:right w:val="nil"/>
            </w:tcBorders>
            <w:shd w:val="clear" w:color="auto" w:fill="auto"/>
            <w:vAlign w:val="bottom"/>
            <w:hideMark/>
          </w:tcPr>
          <w:p w:rsidR="008763EE" w:rsidRPr="000376F4" w:rsidRDefault="008763EE" w:rsidP="00EB76E3">
            <w:pPr>
              <w:jc w:val="left"/>
              <w:rPr>
                <w:rFonts w:ascii="楷体_GB2312" w:hAnsi="宋体" w:cs="宋体"/>
                <w:b/>
                <w:bCs/>
                <w:i/>
                <w:iCs/>
                <w:color w:val="000000"/>
                <w:sz w:val="21"/>
                <w:szCs w:val="21"/>
              </w:rPr>
            </w:pPr>
            <w:r>
              <w:rPr>
                <w:rFonts w:ascii="楷体_GB2312" w:hAnsi="宋体" w:cs="宋体" w:hint="eastAsia"/>
                <w:b/>
                <w:bCs/>
                <w:i/>
                <w:iCs/>
                <w:color w:val="000000"/>
                <w:sz w:val="21"/>
                <w:szCs w:val="21"/>
              </w:rPr>
              <w:t>图表</w:t>
            </w:r>
            <w:r w:rsidRPr="009275F7">
              <w:rPr>
                <w:rFonts w:ascii="楷体_GB2312" w:hAnsi="宋体" w:cs="宋体"/>
                <w:b/>
                <w:bCs/>
                <w:i/>
                <w:iCs/>
                <w:color w:val="000000"/>
                <w:sz w:val="21"/>
                <w:szCs w:val="21"/>
              </w:rPr>
              <w:fldChar w:fldCharType="begin"/>
            </w:r>
            <w:r w:rsidRPr="009275F7">
              <w:rPr>
                <w:rFonts w:ascii="楷体_GB2312" w:hAnsi="宋体" w:cs="宋体"/>
                <w:b/>
                <w:bCs/>
                <w:i/>
                <w:iCs/>
                <w:color w:val="000000"/>
                <w:sz w:val="21"/>
                <w:szCs w:val="21"/>
              </w:rPr>
              <w:instrText xml:space="preserve"> </w:instrText>
            </w:r>
            <w:r w:rsidRPr="009275F7">
              <w:rPr>
                <w:rFonts w:ascii="楷体_GB2312" w:hAnsi="宋体" w:cs="宋体" w:hint="eastAsia"/>
                <w:b/>
                <w:bCs/>
                <w:i/>
                <w:iCs/>
                <w:color w:val="000000"/>
                <w:sz w:val="21"/>
                <w:szCs w:val="21"/>
              </w:rPr>
              <w:instrText>SEQ 图表 \* ARABIC</w:instrText>
            </w:r>
            <w:r w:rsidRPr="009275F7">
              <w:rPr>
                <w:rFonts w:ascii="楷体_GB2312" w:hAnsi="宋体" w:cs="宋体"/>
                <w:b/>
                <w:bCs/>
                <w:i/>
                <w:iCs/>
                <w:color w:val="000000"/>
                <w:sz w:val="21"/>
                <w:szCs w:val="21"/>
              </w:rPr>
              <w:instrText xml:space="preserve"> </w:instrText>
            </w:r>
            <w:r w:rsidRPr="009275F7">
              <w:rPr>
                <w:rFonts w:ascii="楷体_GB2312" w:hAnsi="宋体" w:cs="宋体"/>
                <w:b/>
                <w:bCs/>
                <w:i/>
                <w:iCs/>
                <w:color w:val="000000"/>
                <w:sz w:val="21"/>
                <w:szCs w:val="21"/>
              </w:rPr>
              <w:fldChar w:fldCharType="separate"/>
            </w:r>
            <w:r w:rsidR="00A508FC">
              <w:rPr>
                <w:rFonts w:ascii="楷体_GB2312" w:hAnsi="宋体" w:cs="宋体"/>
                <w:b/>
                <w:bCs/>
                <w:i/>
                <w:iCs/>
                <w:noProof/>
                <w:color w:val="000000"/>
                <w:sz w:val="21"/>
                <w:szCs w:val="21"/>
              </w:rPr>
              <w:t>6</w:t>
            </w:r>
            <w:r w:rsidRPr="009275F7">
              <w:rPr>
                <w:rFonts w:ascii="楷体_GB2312" w:hAnsi="宋体" w:cs="宋体"/>
                <w:b/>
                <w:bCs/>
                <w:i/>
                <w:iCs/>
                <w:color w:val="000000"/>
                <w:sz w:val="21"/>
                <w:szCs w:val="21"/>
              </w:rPr>
              <w:fldChar w:fldCharType="end"/>
            </w:r>
            <w:r w:rsidRPr="008F1C37">
              <w:rPr>
                <w:rFonts w:ascii="楷体_GB2312" w:hAnsi="宋体" w:cs="宋体" w:hint="eastAsia"/>
                <w:b/>
                <w:bCs/>
                <w:i/>
                <w:iCs/>
                <w:color w:val="000000"/>
                <w:sz w:val="21"/>
                <w:szCs w:val="21"/>
              </w:rPr>
              <w:t>：</w:t>
            </w:r>
            <w:r>
              <w:rPr>
                <w:rFonts w:ascii="楷体_GB2312" w:hAnsi="宋体" w:cs="宋体" w:hint="eastAsia"/>
                <w:b/>
                <w:bCs/>
                <w:i/>
                <w:iCs/>
                <w:color w:val="000000"/>
                <w:sz w:val="21"/>
                <w:szCs w:val="21"/>
              </w:rPr>
              <w:t>稳健型投资组合</w:t>
            </w:r>
          </w:p>
        </w:tc>
      </w:tr>
      <w:tr w:rsidR="00D12231" w:rsidRPr="000376F4" w:rsidTr="001A3A81">
        <w:trPr>
          <w:trHeight w:val="285"/>
        </w:trPr>
        <w:tc>
          <w:tcPr>
            <w:tcW w:w="897" w:type="pct"/>
            <w:vMerge w:val="restart"/>
            <w:tcBorders>
              <w:top w:val="nil"/>
              <w:left w:val="nil"/>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 xml:space="preserve">产品 </w:t>
            </w:r>
          </w:p>
        </w:tc>
        <w:tc>
          <w:tcPr>
            <w:tcW w:w="391" w:type="pct"/>
            <w:vMerge w:val="restart"/>
            <w:tcBorders>
              <w:top w:val="nil"/>
              <w:left w:val="single" w:sz="8" w:space="0" w:color="00A0E9"/>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proofErr w:type="gramStart"/>
            <w:r w:rsidRPr="008763EE">
              <w:rPr>
                <w:rFonts w:asciiTheme="minorEastAsia" w:eastAsiaTheme="minorEastAsia" w:hAnsiTheme="minorEastAsia" w:cs="宋体" w:hint="eastAsia"/>
                <w:b/>
                <w:color w:val="000000"/>
                <w:sz w:val="15"/>
                <w:szCs w:val="15"/>
              </w:rPr>
              <w:t>投顾</w:t>
            </w:r>
            <w:proofErr w:type="gramEnd"/>
          </w:p>
        </w:tc>
        <w:tc>
          <w:tcPr>
            <w:tcW w:w="717" w:type="pct"/>
            <w:vMerge w:val="restart"/>
            <w:tcBorders>
              <w:top w:val="nil"/>
              <w:left w:val="single" w:sz="8" w:space="0" w:color="00A0E9"/>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 xml:space="preserve">策略 </w:t>
            </w:r>
          </w:p>
        </w:tc>
        <w:tc>
          <w:tcPr>
            <w:tcW w:w="261" w:type="pct"/>
            <w:vMerge w:val="restart"/>
            <w:tcBorders>
              <w:top w:val="nil"/>
              <w:left w:val="nil"/>
              <w:right w:val="single" w:sz="8" w:space="0" w:color="00A0E9"/>
            </w:tcBorders>
            <w:shd w:val="clear" w:color="auto" w:fill="auto"/>
            <w:vAlign w:val="center"/>
          </w:tcPr>
          <w:p w:rsidR="00D12231" w:rsidRPr="008763EE" w:rsidRDefault="00D12231" w:rsidP="00415458">
            <w:pPr>
              <w:jc w:val="center"/>
              <w:rPr>
                <w:rFonts w:asciiTheme="minorEastAsia" w:eastAsiaTheme="minorEastAsia" w:hAnsiTheme="minorEastAsia" w:cs="宋体"/>
                <w:b/>
                <w:color w:val="000000"/>
                <w:sz w:val="15"/>
                <w:szCs w:val="15"/>
              </w:rPr>
            </w:pPr>
            <w:r>
              <w:rPr>
                <w:rFonts w:asciiTheme="minorEastAsia" w:eastAsiaTheme="minorEastAsia" w:hAnsiTheme="minorEastAsia" w:cs="宋体" w:hint="eastAsia"/>
                <w:b/>
                <w:color w:val="000000"/>
                <w:sz w:val="15"/>
                <w:szCs w:val="15"/>
              </w:rPr>
              <w:t>风险</w:t>
            </w:r>
          </w:p>
        </w:tc>
        <w:tc>
          <w:tcPr>
            <w:tcW w:w="326" w:type="pct"/>
            <w:vMerge w:val="restart"/>
            <w:tcBorders>
              <w:top w:val="nil"/>
              <w:left w:val="nil"/>
              <w:right w:val="single" w:sz="8" w:space="0" w:color="00A0E9"/>
            </w:tcBorders>
            <w:shd w:val="clear" w:color="auto" w:fill="auto"/>
            <w:vAlign w:val="center"/>
          </w:tcPr>
          <w:p w:rsidR="00D12231" w:rsidRDefault="00D12231" w:rsidP="00415458">
            <w:pPr>
              <w:jc w:val="center"/>
              <w:rPr>
                <w:rFonts w:asciiTheme="minorEastAsia" w:eastAsiaTheme="minorEastAsia" w:hAnsiTheme="minorEastAsia"/>
                <w:b/>
                <w:color w:val="000000"/>
                <w:sz w:val="15"/>
                <w:szCs w:val="15"/>
              </w:rPr>
            </w:pPr>
            <w:r>
              <w:rPr>
                <w:rFonts w:asciiTheme="minorEastAsia" w:eastAsiaTheme="minorEastAsia" w:hAnsiTheme="minorEastAsia" w:hint="eastAsia"/>
                <w:b/>
                <w:color w:val="000000"/>
                <w:sz w:val="15"/>
                <w:szCs w:val="15"/>
              </w:rPr>
              <w:t>2月</w:t>
            </w:r>
          </w:p>
          <w:p w:rsidR="00D12231" w:rsidRPr="008763EE" w:rsidRDefault="00D12231" w:rsidP="00415458">
            <w:pPr>
              <w:jc w:val="center"/>
              <w:rPr>
                <w:rFonts w:asciiTheme="minorEastAsia" w:eastAsiaTheme="minorEastAsia" w:hAnsiTheme="minorEastAsia" w:cs="宋体"/>
                <w:b/>
                <w:color w:val="000000"/>
                <w:sz w:val="15"/>
                <w:szCs w:val="15"/>
              </w:rPr>
            </w:pPr>
            <w:r>
              <w:rPr>
                <w:rFonts w:asciiTheme="minorEastAsia" w:eastAsiaTheme="minorEastAsia" w:hAnsiTheme="minorEastAsia" w:hint="eastAsia"/>
                <w:b/>
                <w:color w:val="000000"/>
                <w:sz w:val="15"/>
                <w:szCs w:val="15"/>
              </w:rPr>
              <w:t>收益</w:t>
            </w:r>
            <w:r w:rsidRPr="008763EE">
              <w:rPr>
                <w:rFonts w:asciiTheme="minorEastAsia" w:eastAsiaTheme="minorEastAsia" w:hAnsiTheme="minorEastAsia" w:hint="eastAsia"/>
                <w:b/>
                <w:color w:val="000000"/>
                <w:sz w:val="15"/>
                <w:szCs w:val="15"/>
              </w:rPr>
              <w:t>率</w:t>
            </w:r>
          </w:p>
        </w:tc>
        <w:tc>
          <w:tcPr>
            <w:tcW w:w="423" w:type="pct"/>
            <w:vMerge w:val="restart"/>
            <w:tcBorders>
              <w:top w:val="nil"/>
              <w:left w:val="nil"/>
              <w:right w:val="single" w:sz="8" w:space="0" w:color="00A0E9"/>
            </w:tcBorders>
            <w:shd w:val="clear" w:color="auto" w:fill="auto"/>
            <w:vAlign w:val="center"/>
          </w:tcPr>
          <w:p w:rsidR="00D12231" w:rsidRPr="008763EE" w:rsidRDefault="00D12231" w:rsidP="00415458">
            <w:pPr>
              <w:jc w:val="center"/>
              <w:rPr>
                <w:rFonts w:asciiTheme="minorEastAsia" w:eastAsiaTheme="minorEastAsia" w:hAnsiTheme="minorEastAsia" w:cs="宋体"/>
                <w:b/>
                <w:color w:val="000000"/>
                <w:sz w:val="15"/>
                <w:szCs w:val="15"/>
              </w:rPr>
            </w:pPr>
            <w:r>
              <w:rPr>
                <w:rFonts w:asciiTheme="minorEastAsia" w:eastAsiaTheme="minorEastAsia" w:hAnsiTheme="minorEastAsia" w:cs="宋体" w:hint="eastAsia"/>
                <w:b/>
                <w:color w:val="000000"/>
                <w:sz w:val="15"/>
                <w:szCs w:val="15"/>
              </w:rPr>
              <w:t>今年以来收益率</w:t>
            </w:r>
          </w:p>
        </w:tc>
        <w:tc>
          <w:tcPr>
            <w:tcW w:w="1654" w:type="pct"/>
            <w:gridSpan w:val="4"/>
            <w:tcBorders>
              <w:top w:val="single" w:sz="8" w:space="0" w:color="00A0E9"/>
              <w:left w:val="nil"/>
              <w:bottom w:val="single" w:sz="8" w:space="0" w:color="00A0E9"/>
              <w:right w:val="single" w:sz="8" w:space="0" w:color="00A0E9"/>
            </w:tcBorders>
            <w:shd w:val="clear" w:color="auto" w:fill="auto"/>
            <w:vAlign w:val="center"/>
            <w:hideMark/>
          </w:tcPr>
          <w:p w:rsidR="00D12231" w:rsidRPr="008763EE" w:rsidRDefault="00D12231" w:rsidP="00EB76E3">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 xml:space="preserve">近三年 </w:t>
            </w:r>
          </w:p>
        </w:tc>
        <w:tc>
          <w:tcPr>
            <w:tcW w:w="331" w:type="pct"/>
            <w:vMerge w:val="restart"/>
            <w:tcBorders>
              <w:top w:val="nil"/>
              <w:left w:val="single" w:sz="8" w:space="0" w:color="00A0E9"/>
              <w:bottom w:val="single" w:sz="8" w:space="0" w:color="00A0E9"/>
              <w:right w:val="nil"/>
            </w:tcBorders>
            <w:shd w:val="clear" w:color="auto" w:fill="auto"/>
            <w:vAlign w:val="center"/>
            <w:hideMark/>
          </w:tcPr>
          <w:p w:rsidR="00D12231" w:rsidRPr="008763EE" w:rsidRDefault="00D12231" w:rsidP="00EB76E3">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cs="宋体" w:hint="eastAsia"/>
                <w:b/>
                <w:color w:val="000000"/>
                <w:sz w:val="15"/>
                <w:szCs w:val="15"/>
              </w:rPr>
              <w:t>权重</w:t>
            </w:r>
          </w:p>
        </w:tc>
      </w:tr>
      <w:tr w:rsidR="00D12231" w:rsidRPr="000376F4" w:rsidTr="001A3A81">
        <w:trPr>
          <w:trHeight w:val="285"/>
        </w:trPr>
        <w:tc>
          <w:tcPr>
            <w:tcW w:w="897" w:type="pct"/>
            <w:vMerge/>
            <w:tcBorders>
              <w:top w:val="nil"/>
              <w:left w:val="nil"/>
              <w:bottom w:val="single" w:sz="8" w:space="0" w:color="00A0E9"/>
              <w:right w:val="single" w:sz="8" w:space="0" w:color="00A0E9"/>
            </w:tcBorders>
            <w:vAlign w:val="center"/>
            <w:hideMark/>
          </w:tcPr>
          <w:p w:rsidR="00D12231" w:rsidRPr="008763EE" w:rsidRDefault="00D12231" w:rsidP="00EB76E3">
            <w:pPr>
              <w:jc w:val="left"/>
              <w:rPr>
                <w:rFonts w:asciiTheme="minorEastAsia" w:eastAsiaTheme="minorEastAsia" w:hAnsiTheme="minorEastAsia" w:cs="宋体"/>
                <w:b/>
                <w:color w:val="000000"/>
                <w:sz w:val="15"/>
                <w:szCs w:val="15"/>
              </w:rPr>
            </w:pPr>
          </w:p>
        </w:tc>
        <w:tc>
          <w:tcPr>
            <w:tcW w:w="391" w:type="pct"/>
            <w:vMerge/>
            <w:tcBorders>
              <w:top w:val="nil"/>
              <w:left w:val="single" w:sz="8" w:space="0" w:color="00A0E9"/>
              <w:bottom w:val="single" w:sz="8" w:space="0" w:color="00A0E9"/>
              <w:right w:val="single" w:sz="8" w:space="0" w:color="00A0E9"/>
            </w:tcBorders>
            <w:vAlign w:val="center"/>
            <w:hideMark/>
          </w:tcPr>
          <w:p w:rsidR="00D12231" w:rsidRPr="008763EE" w:rsidRDefault="00D12231" w:rsidP="00EB76E3">
            <w:pPr>
              <w:jc w:val="left"/>
              <w:rPr>
                <w:rFonts w:asciiTheme="minorEastAsia" w:eastAsiaTheme="minorEastAsia" w:hAnsiTheme="minorEastAsia" w:cs="宋体"/>
                <w:b/>
                <w:color w:val="000000"/>
                <w:sz w:val="15"/>
                <w:szCs w:val="15"/>
              </w:rPr>
            </w:pPr>
          </w:p>
        </w:tc>
        <w:tc>
          <w:tcPr>
            <w:tcW w:w="717" w:type="pct"/>
            <w:vMerge/>
            <w:tcBorders>
              <w:top w:val="nil"/>
              <w:left w:val="single" w:sz="8" w:space="0" w:color="00A0E9"/>
              <w:bottom w:val="single" w:sz="8" w:space="0" w:color="00A0E9"/>
              <w:right w:val="single" w:sz="8" w:space="0" w:color="00A0E9"/>
            </w:tcBorders>
            <w:vAlign w:val="center"/>
            <w:hideMark/>
          </w:tcPr>
          <w:p w:rsidR="00D12231" w:rsidRPr="008763EE" w:rsidRDefault="00D12231" w:rsidP="00EB76E3">
            <w:pPr>
              <w:jc w:val="left"/>
              <w:rPr>
                <w:rFonts w:asciiTheme="minorEastAsia" w:eastAsiaTheme="minorEastAsia" w:hAnsiTheme="minorEastAsia" w:cs="宋体"/>
                <w:b/>
                <w:color w:val="000000"/>
                <w:sz w:val="15"/>
                <w:szCs w:val="15"/>
              </w:rPr>
            </w:pPr>
          </w:p>
        </w:tc>
        <w:tc>
          <w:tcPr>
            <w:tcW w:w="261" w:type="pct"/>
            <w:vMerge/>
            <w:tcBorders>
              <w:left w:val="nil"/>
              <w:bottom w:val="single" w:sz="8" w:space="0" w:color="00A0E9"/>
              <w:right w:val="single" w:sz="8" w:space="0" w:color="00A0E9"/>
            </w:tcBorders>
            <w:shd w:val="clear" w:color="auto" w:fill="auto"/>
            <w:vAlign w:val="bottom"/>
          </w:tcPr>
          <w:p w:rsidR="00D12231" w:rsidRPr="008763EE" w:rsidRDefault="00D12231" w:rsidP="00EB76E3">
            <w:pPr>
              <w:jc w:val="center"/>
              <w:rPr>
                <w:rFonts w:asciiTheme="minorEastAsia" w:eastAsiaTheme="minorEastAsia" w:hAnsiTheme="minorEastAsia" w:cs="宋体"/>
                <w:b/>
                <w:color w:val="000000"/>
                <w:sz w:val="15"/>
                <w:szCs w:val="15"/>
              </w:rPr>
            </w:pPr>
          </w:p>
        </w:tc>
        <w:tc>
          <w:tcPr>
            <w:tcW w:w="326" w:type="pct"/>
            <w:vMerge/>
            <w:tcBorders>
              <w:left w:val="nil"/>
              <w:bottom w:val="single" w:sz="8" w:space="0" w:color="00A0E9"/>
              <w:right w:val="single" w:sz="8" w:space="0" w:color="00A0E9"/>
            </w:tcBorders>
            <w:shd w:val="clear" w:color="auto" w:fill="auto"/>
            <w:vAlign w:val="bottom"/>
          </w:tcPr>
          <w:p w:rsidR="00D12231" w:rsidRPr="008763EE" w:rsidRDefault="00D12231" w:rsidP="00EB76E3">
            <w:pPr>
              <w:jc w:val="center"/>
              <w:rPr>
                <w:rFonts w:asciiTheme="minorEastAsia" w:eastAsiaTheme="minorEastAsia" w:hAnsiTheme="minorEastAsia" w:cs="宋体"/>
                <w:b/>
                <w:color w:val="000000"/>
                <w:sz w:val="15"/>
                <w:szCs w:val="15"/>
              </w:rPr>
            </w:pPr>
          </w:p>
        </w:tc>
        <w:tc>
          <w:tcPr>
            <w:tcW w:w="423" w:type="pct"/>
            <w:vMerge/>
            <w:tcBorders>
              <w:left w:val="nil"/>
              <w:bottom w:val="single" w:sz="8" w:space="0" w:color="00A0E9"/>
              <w:right w:val="single" w:sz="8" w:space="0" w:color="00A0E9"/>
            </w:tcBorders>
            <w:shd w:val="clear" w:color="auto" w:fill="auto"/>
            <w:vAlign w:val="bottom"/>
          </w:tcPr>
          <w:p w:rsidR="00D12231" w:rsidRPr="008763EE" w:rsidRDefault="00D12231" w:rsidP="00EB76E3">
            <w:pPr>
              <w:jc w:val="center"/>
              <w:rPr>
                <w:rFonts w:asciiTheme="minorEastAsia" w:eastAsiaTheme="minorEastAsia" w:hAnsiTheme="minorEastAsia" w:cs="宋体"/>
                <w:b/>
                <w:color w:val="000000"/>
                <w:sz w:val="15"/>
                <w:szCs w:val="15"/>
              </w:rPr>
            </w:pPr>
          </w:p>
        </w:tc>
        <w:tc>
          <w:tcPr>
            <w:tcW w:w="451" w:type="pct"/>
            <w:tcBorders>
              <w:top w:val="nil"/>
              <w:left w:val="nil"/>
              <w:bottom w:val="single" w:sz="8" w:space="0" w:color="00A0E9"/>
              <w:right w:val="single" w:sz="8" w:space="0" w:color="00A0E9"/>
            </w:tcBorders>
            <w:shd w:val="clear" w:color="auto" w:fill="auto"/>
            <w:vAlign w:val="center"/>
            <w:hideMark/>
          </w:tcPr>
          <w:p w:rsidR="00D12231" w:rsidRPr="008763EE" w:rsidRDefault="00D12231" w:rsidP="00EB76E3">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hint="eastAsia"/>
                <w:b/>
                <w:color w:val="000000"/>
                <w:sz w:val="15"/>
                <w:szCs w:val="15"/>
              </w:rPr>
              <w:t>净值增长率</w:t>
            </w:r>
          </w:p>
        </w:tc>
        <w:tc>
          <w:tcPr>
            <w:tcW w:w="401" w:type="pct"/>
            <w:tcBorders>
              <w:top w:val="nil"/>
              <w:left w:val="nil"/>
              <w:bottom w:val="single" w:sz="8" w:space="0" w:color="00A0E9"/>
              <w:right w:val="single" w:sz="8" w:space="0" w:color="00A0E9"/>
            </w:tcBorders>
            <w:shd w:val="clear" w:color="auto" w:fill="auto"/>
            <w:vAlign w:val="center"/>
            <w:hideMark/>
          </w:tcPr>
          <w:p w:rsidR="00D12231" w:rsidRPr="008763EE" w:rsidRDefault="00D12231" w:rsidP="00EB76E3">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hint="eastAsia"/>
                <w:b/>
                <w:color w:val="000000"/>
                <w:sz w:val="15"/>
                <w:szCs w:val="15"/>
              </w:rPr>
              <w:t>排名</w:t>
            </w:r>
          </w:p>
        </w:tc>
        <w:tc>
          <w:tcPr>
            <w:tcW w:w="401" w:type="pct"/>
            <w:tcBorders>
              <w:top w:val="nil"/>
              <w:left w:val="nil"/>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Pr>
                <w:rFonts w:asciiTheme="minorEastAsia" w:eastAsiaTheme="minorEastAsia" w:hAnsiTheme="minorEastAsia" w:cs="宋体" w:hint="eastAsia"/>
                <w:b/>
                <w:color w:val="000000"/>
                <w:sz w:val="15"/>
                <w:szCs w:val="15"/>
              </w:rPr>
              <w:t>最大回撤</w:t>
            </w:r>
          </w:p>
        </w:tc>
        <w:tc>
          <w:tcPr>
            <w:tcW w:w="401" w:type="pct"/>
            <w:tcBorders>
              <w:top w:val="nil"/>
              <w:left w:val="nil"/>
              <w:bottom w:val="single" w:sz="8" w:space="0" w:color="00A0E9"/>
              <w:right w:val="single" w:sz="8" w:space="0" w:color="00A0E9"/>
            </w:tcBorders>
            <w:shd w:val="clear" w:color="auto" w:fill="auto"/>
            <w:vAlign w:val="center"/>
            <w:hideMark/>
          </w:tcPr>
          <w:p w:rsidR="00D12231" w:rsidRPr="008763EE" w:rsidRDefault="00D12231" w:rsidP="00415458">
            <w:pPr>
              <w:jc w:val="center"/>
              <w:rPr>
                <w:rFonts w:asciiTheme="minorEastAsia" w:eastAsiaTheme="minorEastAsia" w:hAnsiTheme="minorEastAsia" w:cs="宋体"/>
                <w:b/>
                <w:color w:val="000000"/>
                <w:sz w:val="15"/>
                <w:szCs w:val="15"/>
              </w:rPr>
            </w:pPr>
            <w:r w:rsidRPr="008763EE">
              <w:rPr>
                <w:rFonts w:asciiTheme="minorEastAsia" w:eastAsiaTheme="minorEastAsia" w:hAnsiTheme="minorEastAsia" w:hint="eastAsia"/>
                <w:b/>
                <w:color w:val="000000"/>
                <w:sz w:val="15"/>
                <w:szCs w:val="15"/>
              </w:rPr>
              <w:t>夏普比率</w:t>
            </w:r>
          </w:p>
        </w:tc>
        <w:tc>
          <w:tcPr>
            <w:tcW w:w="331" w:type="pct"/>
            <w:vMerge/>
            <w:tcBorders>
              <w:top w:val="nil"/>
              <w:left w:val="single" w:sz="8" w:space="0" w:color="00A0E9"/>
              <w:bottom w:val="single" w:sz="8" w:space="0" w:color="00A0E9"/>
              <w:right w:val="nil"/>
            </w:tcBorders>
            <w:vAlign w:val="center"/>
            <w:hideMark/>
          </w:tcPr>
          <w:p w:rsidR="00D12231" w:rsidRPr="008763EE" w:rsidRDefault="00D12231" w:rsidP="00EB76E3">
            <w:pPr>
              <w:jc w:val="left"/>
              <w:rPr>
                <w:rFonts w:asciiTheme="minorEastAsia" w:eastAsiaTheme="minorEastAsia" w:hAnsiTheme="minorEastAsia" w:cs="宋体"/>
                <w:color w:val="000000"/>
                <w:sz w:val="15"/>
                <w:szCs w:val="15"/>
              </w:rPr>
            </w:pPr>
          </w:p>
        </w:tc>
      </w:tr>
      <w:tr w:rsidR="00B85C44" w:rsidRPr="000376F4" w:rsidTr="001A3A81">
        <w:trPr>
          <w:trHeight w:val="285"/>
        </w:trPr>
        <w:tc>
          <w:tcPr>
            <w:tcW w:w="897"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b/>
                <w:color w:val="000000"/>
                <w:sz w:val="15"/>
                <w:szCs w:val="15"/>
              </w:rPr>
            </w:pPr>
            <w:r w:rsidRPr="00B85C44">
              <w:rPr>
                <w:rFonts w:asciiTheme="minorEastAsia" w:eastAsiaTheme="minorEastAsia" w:hAnsiTheme="minorEastAsia" w:hint="eastAsia"/>
                <w:b/>
                <w:color w:val="000000"/>
                <w:sz w:val="15"/>
                <w:szCs w:val="15"/>
              </w:rPr>
              <w:t>东莞信托-</w:t>
            </w:r>
            <w:proofErr w:type="gramStart"/>
            <w:r w:rsidRPr="00B85C44">
              <w:rPr>
                <w:rFonts w:asciiTheme="minorEastAsia" w:eastAsiaTheme="minorEastAsia" w:hAnsiTheme="minorEastAsia" w:hint="eastAsia"/>
                <w:b/>
                <w:color w:val="000000"/>
                <w:sz w:val="15"/>
                <w:szCs w:val="15"/>
              </w:rPr>
              <w:t>汇信-世</w:t>
            </w:r>
            <w:proofErr w:type="gramEnd"/>
            <w:r w:rsidRPr="00B85C44">
              <w:rPr>
                <w:rFonts w:asciiTheme="minorEastAsia" w:eastAsiaTheme="minorEastAsia" w:hAnsiTheme="minorEastAsia" w:hint="eastAsia"/>
                <w:b/>
                <w:color w:val="000000"/>
                <w:sz w:val="15"/>
                <w:szCs w:val="15"/>
              </w:rPr>
              <w:t>诚1号</w:t>
            </w:r>
          </w:p>
        </w:tc>
        <w:tc>
          <w:tcPr>
            <w:tcW w:w="39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proofErr w:type="gramStart"/>
            <w:r w:rsidRPr="00B85C44">
              <w:rPr>
                <w:rFonts w:asciiTheme="minorEastAsia" w:eastAsiaTheme="minorEastAsia" w:hAnsiTheme="minorEastAsia" w:hint="eastAsia"/>
                <w:color w:val="000000"/>
                <w:sz w:val="15"/>
                <w:szCs w:val="15"/>
              </w:rPr>
              <w:t>世</w:t>
            </w:r>
            <w:proofErr w:type="gramEnd"/>
            <w:r w:rsidRPr="00B85C44">
              <w:rPr>
                <w:rFonts w:asciiTheme="minorEastAsia" w:eastAsiaTheme="minorEastAsia" w:hAnsiTheme="minorEastAsia" w:hint="eastAsia"/>
                <w:color w:val="000000"/>
                <w:sz w:val="15"/>
                <w:szCs w:val="15"/>
              </w:rPr>
              <w:t>诚</w:t>
            </w:r>
          </w:p>
        </w:tc>
        <w:tc>
          <w:tcPr>
            <w:tcW w:w="717"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股票多头策略</w:t>
            </w:r>
          </w:p>
        </w:tc>
        <w:tc>
          <w:tcPr>
            <w:tcW w:w="26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中</w:t>
            </w:r>
          </w:p>
        </w:tc>
        <w:tc>
          <w:tcPr>
            <w:tcW w:w="326"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1.65%</w:t>
            </w:r>
          </w:p>
        </w:tc>
        <w:tc>
          <w:tcPr>
            <w:tcW w:w="423"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-9.22%</w:t>
            </w:r>
          </w:p>
        </w:tc>
        <w:tc>
          <w:tcPr>
            <w:tcW w:w="45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331" w:type="pct"/>
            <w:tcBorders>
              <w:top w:val="nil"/>
              <w:left w:val="nil"/>
              <w:bottom w:val="single" w:sz="8" w:space="0" w:color="00A0E9"/>
              <w:right w:val="nil"/>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20%</w:t>
            </w:r>
          </w:p>
        </w:tc>
      </w:tr>
      <w:tr w:rsidR="00B85C44" w:rsidRPr="000376F4" w:rsidTr="001A3A81">
        <w:trPr>
          <w:trHeight w:val="270"/>
        </w:trPr>
        <w:tc>
          <w:tcPr>
            <w:tcW w:w="897"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b/>
                <w:color w:val="000000"/>
                <w:sz w:val="15"/>
                <w:szCs w:val="15"/>
              </w:rPr>
            </w:pPr>
            <w:r w:rsidRPr="00B85C44">
              <w:rPr>
                <w:rFonts w:asciiTheme="minorEastAsia" w:eastAsiaTheme="minorEastAsia" w:hAnsiTheme="minorEastAsia" w:hint="eastAsia"/>
                <w:b/>
                <w:color w:val="000000"/>
                <w:sz w:val="15"/>
                <w:szCs w:val="15"/>
              </w:rPr>
              <w:t>备案-</w:t>
            </w:r>
            <w:proofErr w:type="gramStart"/>
            <w:r w:rsidRPr="00B85C44">
              <w:rPr>
                <w:rFonts w:asciiTheme="minorEastAsia" w:eastAsiaTheme="minorEastAsia" w:hAnsiTheme="minorEastAsia" w:hint="eastAsia"/>
                <w:b/>
                <w:color w:val="000000"/>
                <w:sz w:val="15"/>
                <w:szCs w:val="15"/>
              </w:rPr>
              <w:t>宽智量化</w:t>
            </w:r>
            <w:proofErr w:type="gramEnd"/>
            <w:r w:rsidRPr="00B85C44">
              <w:rPr>
                <w:rFonts w:asciiTheme="minorEastAsia" w:eastAsiaTheme="minorEastAsia" w:hAnsiTheme="minorEastAsia" w:hint="eastAsia"/>
                <w:b/>
                <w:color w:val="000000"/>
                <w:sz w:val="15"/>
                <w:szCs w:val="15"/>
              </w:rPr>
              <w:t>对冲5号</w:t>
            </w:r>
          </w:p>
        </w:tc>
        <w:tc>
          <w:tcPr>
            <w:tcW w:w="39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proofErr w:type="gramStart"/>
            <w:r w:rsidRPr="00B85C44">
              <w:rPr>
                <w:rFonts w:asciiTheme="minorEastAsia" w:eastAsiaTheme="minorEastAsia" w:hAnsiTheme="minorEastAsia" w:hint="eastAsia"/>
                <w:color w:val="000000"/>
                <w:sz w:val="15"/>
                <w:szCs w:val="15"/>
              </w:rPr>
              <w:t>宽智</w:t>
            </w:r>
            <w:proofErr w:type="gramEnd"/>
          </w:p>
        </w:tc>
        <w:tc>
          <w:tcPr>
            <w:tcW w:w="717"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市场中性策略</w:t>
            </w:r>
          </w:p>
        </w:tc>
        <w:tc>
          <w:tcPr>
            <w:tcW w:w="26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0.61%</w:t>
            </w:r>
          </w:p>
        </w:tc>
        <w:tc>
          <w:tcPr>
            <w:tcW w:w="423"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0.90%</w:t>
            </w:r>
          </w:p>
        </w:tc>
        <w:tc>
          <w:tcPr>
            <w:tcW w:w="45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331" w:type="pct"/>
            <w:tcBorders>
              <w:top w:val="nil"/>
              <w:left w:val="nil"/>
              <w:bottom w:val="single" w:sz="8" w:space="0" w:color="00A0E9"/>
              <w:right w:val="nil"/>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20%</w:t>
            </w:r>
          </w:p>
        </w:tc>
      </w:tr>
      <w:tr w:rsidR="00B85C44" w:rsidRPr="000376F4" w:rsidTr="001A3A81">
        <w:trPr>
          <w:trHeight w:val="285"/>
        </w:trPr>
        <w:tc>
          <w:tcPr>
            <w:tcW w:w="897"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b/>
                <w:color w:val="000000"/>
                <w:sz w:val="15"/>
                <w:szCs w:val="15"/>
              </w:rPr>
            </w:pPr>
            <w:r w:rsidRPr="00B85C44">
              <w:rPr>
                <w:rFonts w:asciiTheme="minorEastAsia" w:eastAsiaTheme="minorEastAsia" w:hAnsiTheme="minorEastAsia" w:hint="eastAsia"/>
                <w:b/>
                <w:color w:val="000000"/>
                <w:sz w:val="15"/>
                <w:szCs w:val="15"/>
              </w:rPr>
              <w:t>外贸信托-金锝量化套利</w:t>
            </w:r>
          </w:p>
        </w:tc>
        <w:tc>
          <w:tcPr>
            <w:tcW w:w="39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金锝</w:t>
            </w:r>
          </w:p>
        </w:tc>
        <w:tc>
          <w:tcPr>
            <w:tcW w:w="717"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市场中性策略</w:t>
            </w:r>
          </w:p>
        </w:tc>
        <w:tc>
          <w:tcPr>
            <w:tcW w:w="26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0.08%</w:t>
            </w:r>
          </w:p>
        </w:tc>
        <w:tc>
          <w:tcPr>
            <w:tcW w:w="423"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0.23%</w:t>
            </w:r>
          </w:p>
        </w:tc>
        <w:tc>
          <w:tcPr>
            <w:tcW w:w="45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45.80%</w:t>
            </w:r>
          </w:p>
        </w:tc>
        <w:tc>
          <w:tcPr>
            <w:tcW w:w="401" w:type="pct"/>
            <w:tcBorders>
              <w:top w:val="nil"/>
              <w:left w:val="nil"/>
              <w:bottom w:val="single" w:sz="8" w:space="0" w:color="00A0E9"/>
              <w:right w:val="single" w:sz="8" w:space="0" w:color="00A0E9"/>
            </w:tcBorders>
            <w:shd w:val="clear" w:color="auto" w:fill="auto"/>
            <w:vAlign w:val="center"/>
            <w:hideMark/>
          </w:tcPr>
          <w:p w:rsidR="00B85C44" w:rsidRPr="00B85C44" w:rsidRDefault="00B85C44" w:rsidP="00BB7429">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4</w:t>
            </w:r>
            <w:r w:rsidR="00BB7429">
              <w:rPr>
                <w:rFonts w:asciiTheme="minorEastAsia" w:eastAsiaTheme="minorEastAsia" w:hAnsiTheme="minorEastAsia" w:hint="eastAsia"/>
                <w:color w:val="000000"/>
                <w:sz w:val="15"/>
                <w:szCs w:val="15"/>
              </w:rPr>
              <w:t>/</w:t>
            </w:r>
            <w:r w:rsidRPr="00B85C44">
              <w:rPr>
                <w:rFonts w:asciiTheme="minorEastAsia" w:eastAsiaTheme="minorEastAsia" w:hAnsiTheme="minorEastAsia" w:hint="eastAsia"/>
                <w:color w:val="000000"/>
                <w:sz w:val="15"/>
                <w:szCs w:val="15"/>
              </w:rPr>
              <w:t>11</w:t>
            </w:r>
          </w:p>
        </w:tc>
        <w:tc>
          <w:tcPr>
            <w:tcW w:w="40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8.70%</w:t>
            </w:r>
          </w:p>
        </w:tc>
        <w:tc>
          <w:tcPr>
            <w:tcW w:w="401" w:type="pct"/>
            <w:tcBorders>
              <w:top w:val="nil"/>
              <w:left w:val="nil"/>
              <w:bottom w:val="single" w:sz="8" w:space="0" w:color="00A0E9"/>
              <w:right w:val="single" w:sz="8" w:space="0" w:color="00A0E9"/>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118.90%</w:t>
            </w:r>
          </w:p>
        </w:tc>
        <w:tc>
          <w:tcPr>
            <w:tcW w:w="331" w:type="pct"/>
            <w:tcBorders>
              <w:top w:val="nil"/>
              <w:left w:val="nil"/>
              <w:bottom w:val="single" w:sz="8" w:space="0" w:color="00A0E9"/>
              <w:right w:val="nil"/>
            </w:tcBorders>
            <w:shd w:val="clear" w:color="auto" w:fill="auto"/>
            <w:vAlign w:val="center"/>
            <w:hideMark/>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20%</w:t>
            </w:r>
          </w:p>
        </w:tc>
      </w:tr>
      <w:tr w:rsidR="00B85C44" w:rsidRPr="000376F4" w:rsidTr="001A3A81">
        <w:trPr>
          <w:trHeight w:val="285"/>
        </w:trPr>
        <w:tc>
          <w:tcPr>
            <w:tcW w:w="897"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b/>
                <w:color w:val="000000"/>
                <w:sz w:val="15"/>
                <w:szCs w:val="15"/>
              </w:rPr>
            </w:pPr>
            <w:r w:rsidRPr="00B85C44">
              <w:rPr>
                <w:rFonts w:asciiTheme="minorEastAsia" w:eastAsiaTheme="minorEastAsia" w:hAnsiTheme="minorEastAsia" w:hint="eastAsia"/>
                <w:b/>
                <w:color w:val="000000"/>
                <w:sz w:val="15"/>
                <w:szCs w:val="15"/>
              </w:rPr>
              <w:t>有限合伙-</w:t>
            </w:r>
            <w:proofErr w:type="gramStart"/>
            <w:r w:rsidRPr="00B85C44">
              <w:rPr>
                <w:rFonts w:asciiTheme="minorEastAsia" w:eastAsiaTheme="minorEastAsia" w:hAnsiTheme="minorEastAsia" w:hint="eastAsia"/>
                <w:b/>
                <w:color w:val="000000"/>
                <w:sz w:val="15"/>
                <w:szCs w:val="15"/>
              </w:rPr>
              <w:t>淘利趋势</w:t>
            </w:r>
            <w:proofErr w:type="gramEnd"/>
            <w:r w:rsidRPr="00B85C44">
              <w:rPr>
                <w:rFonts w:asciiTheme="minorEastAsia" w:eastAsiaTheme="minorEastAsia" w:hAnsiTheme="minorEastAsia" w:hint="eastAsia"/>
                <w:b/>
                <w:color w:val="000000"/>
                <w:sz w:val="15"/>
                <w:szCs w:val="15"/>
              </w:rPr>
              <w:t>1号</w:t>
            </w:r>
          </w:p>
        </w:tc>
        <w:tc>
          <w:tcPr>
            <w:tcW w:w="39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proofErr w:type="gramStart"/>
            <w:r w:rsidRPr="00B85C44">
              <w:rPr>
                <w:rFonts w:asciiTheme="minorEastAsia" w:eastAsiaTheme="minorEastAsia" w:hAnsiTheme="minorEastAsia" w:hint="eastAsia"/>
                <w:color w:val="000000"/>
                <w:sz w:val="15"/>
                <w:szCs w:val="15"/>
              </w:rPr>
              <w:t>淘利</w:t>
            </w:r>
            <w:proofErr w:type="gramEnd"/>
          </w:p>
        </w:tc>
        <w:tc>
          <w:tcPr>
            <w:tcW w:w="717"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相对价值套利策略</w:t>
            </w:r>
          </w:p>
        </w:tc>
        <w:tc>
          <w:tcPr>
            <w:tcW w:w="26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1.92%</w:t>
            </w:r>
          </w:p>
        </w:tc>
        <w:tc>
          <w:tcPr>
            <w:tcW w:w="423"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5.00%</w:t>
            </w:r>
          </w:p>
        </w:tc>
        <w:tc>
          <w:tcPr>
            <w:tcW w:w="45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62.47%</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rsidP="00BB7429">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2</w:t>
            </w:r>
            <w:r w:rsidR="00BB7429">
              <w:rPr>
                <w:rFonts w:asciiTheme="minorEastAsia" w:eastAsiaTheme="minorEastAsia" w:hAnsiTheme="minorEastAsia" w:hint="eastAsia"/>
                <w:color w:val="000000"/>
                <w:sz w:val="15"/>
                <w:szCs w:val="15"/>
              </w:rPr>
              <w:t>/</w:t>
            </w:r>
            <w:r w:rsidRPr="00B85C44">
              <w:rPr>
                <w:rFonts w:asciiTheme="minorEastAsia" w:eastAsiaTheme="minorEastAsia" w:hAnsiTheme="minorEastAsia" w:hint="eastAsia"/>
                <w:color w:val="000000"/>
                <w:sz w:val="15"/>
                <w:szCs w:val="15"/>
              </w:rPr>
              <w:t>3</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30.35%</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72.31%</w:t>
            </w:r>
          </w:p>
        </w:tc>
        <w:tc>
          <w:tcPr>
            <w:tcW w:w="331" w:type="pct"/>
            <w:tcBorders>
              <w:top w:val="nil"/>
              <w:left w:val="nil"/>
              <w:bottom w:val="single" w:sz="8" w:space="0" w:color="00A0E9"/>
              <w:right w:val="nil"/>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20%</w:t>
            </w:r>
          </w:p>
        </w:tc>
      </w:tr>
      <w:tr w:rsidR="00B85C44" w:rsidRPr="000376F4" w:rsidTr="00A30901">
        <w:trPr>
          <w:trHeight w:val="285"/>
        </w:trPr>
        <w:tc>
          <w:tcPr>
            <w:tcW w:w="897"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b/>
                <w:color w:val="000000"/>
                <w:sz w:val="15"/>
                <w:szCs w:val="15"/>
              </w:rPr>
            </w:pPr>
            <w:r w:rsidRPr="00B85C44">
              <w:rPr>
                <w:rFonts w:asciiTheme="minorEastAsia" w:eastAsiaTheme="minorEastAsia" w:hAnsiTheme="minorEastAsia" w:hint="eastAsia"/>
                <w:b/>
                <w:color w:val="000000"/>
                <w:sz w:val="15"/>
                <w:szCs w:val="15"/>
              </w:rPr>
              <w:t>华宝-艾方多策略对冲套利1期</w:t>
            </w:r>
          </w:p>
        </w:tc>
        <w:tc>
          <w:tcPr>
            <w:tcW w:w="39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艾方</w:t>
            </w:r>
          </w:p>
        </w:tc>
        <w:tc>
          <w:tcPr>
            <w:tcW w:w="717"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相对</w:t>
            </w:r>
            <w:proofErr w:type="gramStart"/>
            <w:r w:rsidRPr="00B85C44">
              <w:rPr>
                <w:rFonts w:asciiTheme="minorEastAsia" w:eastAsiaTheme="minorEastAsia" w:hAnsiTheme="minorEastAsia" w:hint="eastAsia"/>
                <w:color w:val="000000"/>
                <w:sz w:val="15"/>
                <w:szCs w:val="15"/>
              </w:rPr>
              <w:t>价值淘利策略</w:t>
            </w:r>
            <w:proofErr w:type="gramEnd"/>
          </w:p>
        </w:tc>
        <w:tc>
          <w:tcPr>
            <w:tcW w:w="26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中低</w:t>
            </w:r>
          </w:p>
        </w:tc>
        <w:tc>
          <w:tcPr>
            <w:tcW w:w="326"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-0.11%</w:t>
            </w:r>
          </w:p>
        </w:tc>
        <w:tc>
          <w:tcPr>
            <w:tcW w:w="423"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-0.93%</w:t>
            </w:r>
          </w:p>
        </w:tc>
        <w:tc>
          <w:tcPr>
            <w:tcW w:w="45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401" w:type="pct"/>
            <w:tcBorders>
              <w:top w:val="nil"/>
              <w:left w:val="nil"/>
              <w:bottom w:val="single" w:sz="8" w:space="0" w:color="00A0E9"/>
              <w:right w:val="single" w:sz="8" w:space="0" w:color="00A0E9"/>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w:t>
            </w:r>
          </w:p>
        </w:tc>
        <w:tc>
          <w:tcPr>
            <w:tcW w:w="331" w:type="pct"/>
            <w:tcBorders>
              <w:top w:val="nil"/>
              <w:left w:val="nil"/>
              <w:bottom w:val="single" w:sz="8" w:space="0" w:color="00A0E9"/>
              <w:right w:val="nil"/>
            </w:tcBorders>
            <w:shd w:val="clear" w:color="auto" w:fill="auto"/>
            <w:vAlign w:val="center"/>
          </w:tcPr>
          <w:p w:rsidR="00B85C44" w:rsidRPr="00B85C44" w:rsidRDefault="00B85C44">
            <w:pPr>
              <w:jc w:val="center"/>
              <w:rPr>
                <w:rFonts w:asciiTheme="minorEastAsia" w:eastAsiaTheme="minorEastAsia" w:hAnsiTheme="minorEastAsia" w:cs="宋体"/>
                <w:color w:val="000000"/>
                <w:sz w:val="15"/>
                <w:szCs w:val="15"/>
              </w:rPr>
            </w:pPr>
            <w:r w:rsidRPr="00B85C44">
              <w:rPr>
                <w:rFonts w:asciiTheme="minorEastAsia" w:eastAsiaTheme="minorEastAsia" w:hAnsiTheme="minorEastAsia" w:hint="eastAsia"/>
                <w:color w:val="000000"/>
                <w:sz w:val="15"/>
                <w:szCs w:val="15"/>
              </w:rPr>
              <w:t>20%</w:t>
            </w:r>
          </w:p>
        </w:tc>
      </w:tr>
      <w:tr w:rsidR="008763EE" w:rsidRPr="000376F4" w:rsidTr="00A30901">
        <w:trPr>
          <w:trHeight w:val="285"/>
        </w:trPr>
        <w:tc>
          <w:tcPr>
            <w:tcW w:w="5000" w:type="pct"/>
            <w:gridSpan w:val="11"/>
            <w:tcBorders>
              <w:top w:val="single" w:sz="8" w:space="0" w:color="00A0E9"/>
              <w:left w:val="nil"/>
              <w:bottom w:val="single" w:sz="8" w:space="0" w:color="00A0E9"/>
            </w:tcBorders>
            <w:shd w:val="clear" w:color="auto" w:fill="auto"/>
            <w:vAlign w:val="center"/>
          </w:tcPr>
          <w:p w:rsidR="008763EE" w:rsidRPr="008763EE" w:rsidRDefault="008763EE" w:rsidP="000855E4">
            <w:pPr>
              <w:jc w:val="left"/>
              <w:rPr>
                <w:rFonts w:asciiTheme="minorEastAsia" w:eastAsiaTheme="minorEastAsia" w:hAnsiTheme="minorEastAsia"/>
                <w:color w:val="000000"/>
                <w:sz w:val="15"/>
                <w:szCs w:val="15"/>
              </w:rPr>
            </w:pPr>
            <w:r>
              <w:rPr>
                <w:rFonts w:asciiTheme="minorEastAsia" w:eastAsiaTheme="minorEastAsia" w:hAnsiTheme="minorEastAsia" w:hint="eastAsia"/>
                <w:color w:val="000000"/>
                <w:sz w:val="15"/>
                <w:szCs w:val="15"/>
              </w:rPr>
              <w:t>注：业绩相关数据截止201</w:t>
            </w:r>
            <w:r w:rsidR="000855E4">
              <w:rPr>
                <w:rFonts w:asciiTheme="minorEastAsia" w:eastAsiaTheme="minorEastAsia" w:hAnsiTheme="minorEastAsia" w:hint="eastAsia"/>
                <w:color w:val="000000"/>
                <w:sz w:val="15"/>
                <w:szCs w:val="15"/>
              </w:rPr>
              <w:t>6</w:t>
            </w:r>
            <w:r>
              <w:rPr>
                <w:rFonts w:asciiTheme="minorEastAsia" w:eastAsiaTheme="minorEastAsia" w:hAnsiTheme="minorEastAsia" w:hint="eastAsia"/>
                <w:color w:val="000000"/>
                <w:sz w:val="15"/>
                <w:szCs w:val="15"/>
              </w:rPr>
              <w:t>年</w:t>
            </w:r>
            <w:r w:rsidR="000855E4">
              <w:rPr>
                <w:rFonts w:asciiTheme="minorEastAsia" w:eastAsiaTheme="minorEastAsia" w:hAnsiTheme="minorEastAsia" w:hint="eastAsia"/>
                <w:color w:val="000000"/>
                <w:sz w:val="15"/>
                <w:szCs w:val="15"/>
              </w:rPr>
              <w:t>2月</w:t>
            </w:r>
            <w:r>
              <w:rPr>
                <w:rFonts w:asciiTheme="minorEastAsia" w:eastAsiaTheme="minorEastAsia" w:hAnsiTheme="minorEastAsia" w:hint="eastAsia"/>
                <w:color w:val="000000"/>
                <w:sz w:val="15"/>
                <w:szCs w:val="15"/>
              </w:rPr>
              <w:t>，综合评级和风险评价均为201</w:t>
            </w:r>
            <w:r w:rsidR="000855E4">
              <w:rPr>
                <w:rFonts w:asciiTheme="minorEastAsia" w:eastAsiaTheme="minorEastAsia" w:hAnsiTheme="minorEastAsia" w:hint="eastAsia"/>
                <w:color w:val="000000"/>
                <w:sz w:val="15"/>
                <w:szCs w:val="15"/>
              </w:rPr>
              <w:t>5</w:t>
            </w:r>
            <w:r>
              <w:rPr>
                <w:rFonts w:asciiTheme="minorEastAsia" w:eastAsiaTheme="minorEastAsia" w:hAnsiTheme="minorEastAsia" w:hint="eastAsia"/>
                <w:color w:val="000000"/>
                <w:sz w:val="15"/>
                <w:szCs w:val="15"/>
              </w:rPr>
              <w:t>年</w:t>
            </w:r>
            <w:r w:rsidR="00A60C46">
              <w:rPr>
                <w:rFonts w:asciiTheme="minorEastAsia" w:eastAsiaTheme="minorEastAsia" w:hAnsiTheme="minorEastAsia" w:hint="eastAsia"/>
                <w:color w:val="000000"/>
                <w:sz w:val="15"/>
                <w:szCs w:val="15"/>
              </w:rPr>
              <w:t>四</w:t>
            </w:r>
            <w:r>
              <w:rPr>
                <w:rFonts w:asciiTheme="minorEastAsia" w:eastAsiaTheme="minorEastAsia" w:hAnsiTheme="minorEastAsia" w:hint="eastAsia"/>
                <w:color w:val="000000"/>
                <w:sz w:val="15"/>
                <w:szCs w:val="15"/>
              </w:rPr>
              <w:t>季度评价结果。</w:t>
            </w:r>
          </w:p>
        </w:tc>
      </w:tr>
      <w:tr w:rsidR="008763EE" w:rsidRPr="000376F4" w:rsidTr="00EB76E3">
        <w:trPr>
          <w:trHeight w:val="270"/>
        </w:trPr>
        <w:tc>
          <w:tcPr>
            <w:tcW w:w="5000" w:type="pct"/>
            <w:gridSpan w:val="11"/>
            <w:tcBorders>
              <w:top w:val="nil"/>
              <w:left w:val="nil"/>
              <w:bottom w:val="nil"/>
              <w:right w:val="nil"/>
            </w:tcBorders>
            <w:shd w:val="clear" w:color="auto" w:fill="auto"/>
            <w:vAlign w:val="bottom"/>
            <w:hideMark/>
          </w:tcPr>
          <w:p w:rsidR="008763EE" w:rsidRPr="000376F4" w:rsidRDefault="008763EE" w:rsidP="00EB76E3">
            <w:pPr>
              <w:pStyle w:val="FootnoteNoline"/>
              <w:ind w:left="0"/>
              <w:rPr>
                <w:rFonts w:ascii="楷体_GB2312" w:hAnsi="宋体" w:cs="宋体"/>
                <w:szCs w:val="15"/>
              </w:rPr>
            </w:pPr>
            <w:r w:rsidRPr="000376F4">
              <w:rPr>
                <w:rFonts w:hint="eastAsia"/>
              </w:rPr>
              <w:t>来源：国金证券研究所</w:t>
            </w:r>
            <w:r w:rsidRPr="000376F4">
              <w:t xml:space="preserve"> </w:t>
            </w:r>
          </w:p>
        </w:tc>
      </w:tr>
    </w:tbl>
    <w:p w:rsidR="008763EE" w:rsidRPr="008763EE" w:rsidRDefault="008763EE" w:rsidP="00EE7C0D">
      <w:pPr>
        <w:pStyle w:val="a0"/>
        <w:ind w:left="3430"/>
        <w:rPr>
          <w:color w:val="auto"/>
        </w:rPr>
      </w:pPr>
    </w:p>
    <w:p w:rsidR="008763EE" w:rsidRPr="00324559" w:rsidRDefault="008763EE" w:rsidP="00EE7C0D">
      <w:pPr>
        <w:pStyle w:val="a0"/>
        <w:ind w:left="3430"/>
        <w:rPr>
          <w:color w:val="auto"/>
        </w:rPr>
      </w:pPr>
    </w:p>
    <w:p w:rsidR="000E6AE0" w:rsidRDefault="000E6AE0" w:rsidP="008763EE">
      <w:pPr>
        <w:pStyle w:val="a0"/>
        <w:widowControl/>
        <w:rPr>
          <w:color w:val="auto"/>
        </w:rPr>
      </w:pPr>
    </w:p>
    <w:p w:rsidR="0005161F" w:rsidRDefault="00B97697" w:rsidP="00776898">
      <w:pPr>
        <w:pStyle w:val="a0"/>
        <w:pageBreakBefore/>
        <w:ind w:left="0"/>
      </w:pPr>
      <w:r>
        <w:rPr>
          <w:noProof/>
        </w:rPr>
        <w:lastRenderedPageBreak/>
        <w:pict>
          <v:shape id="Text Box 353" o:spid="_x0000_s1026" type="#_x0000_t202" style="position:absolute;left:0;text-align:left;margin-left:-7.05pt;margin-top:77.1pt;width:545.95pt;height:33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3B0B13" w:rsidRDefault="003B0B13"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3B0B13" w:rsidRPr="00EE31AB" w:rsidRDefault="003B0B13"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3B0B13" w:rsidRDefault="003B0B1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3B0B13" w:rsidRDefault="003B0B1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任何担保。且本报告中的资料、意见、预测均反映报告初次公开发布时的判断，在</w:t>
                  </w:r>
                  <w:proofErr w:type="gramStart"/>
                  <w:r>
                    <w:rPr>
                      <w:rFonts w:ascii="楷体_GB2312" w:hAnsi="Tahoma" w:cs="Tahoma" w:hint="eastAsia"/>
                      <w:color w:val="000000"/>
                      <w:sz w:val="21"/>
                      <w:szCs w:val="21"/>
                    </w:rPr>
                    <w:t>不作事</w:t>
                  </w:r>
                  <w:proofErr w:type="gramEnd"/>
                  <w:r>
                    <w:rPr>
                      <w:rFonts w:ascii="楷体_GB2312" w:hAnsi="Tahoma" w:cs="Tahoma" w:hint="eastAsia"/>
                      <w:color w:val="000000"/>
                      <w:sz w:val="21"/>
                      <w:szCs w:val="21"/>
                    </w:rPr>
                    <w:t>先通知的情况下，可能会随时调整。</w:t>
                  </w:r>
                </w:p>
                <w:p w:rsidR="003B0B13" w:rsidRDefault="003B0B1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投资决策的唯一因素。本报告亦</w:t>
                  </w:r>
                  <w:proofErr w:type="gramStart"/>
                  <w:r>
                    <w:rPr>
                      <w:rFonts w:ascii="楷体_GB2312" w:hAnsi="Tahoma" w:cs="Tahoma" w:hint="eastAsia"/>
                      <w:color w:val="000000"/>
                      <w:sz w:val="21"/>
                      <w:szCs w:val="21"/>
                    </w:rPr>
                    <w:t>非作为</w:t>
                  </w:r>
                  <w:proofErr w:type="gramEnd"/>
                  <w:r>
                    <w:rPr>
                      <w:rFonts w:ascii="楷体_GB2312" w:hAnsi="Tahoma" w:cs="Tahoma" w:hint="eastAsia"/>
                      <w:color w:val="000000"/>
                      <w:sz w:val="21"/>
                      <w:szCs w:val="21"/>
                    </w:rPr>
                    <w:t>或被视为出售或购买证券或其他投资标的邀请。</w:t>
                  </w:r>
                </w:p>
                <w:p w:rsidR="003B0B13" w:rsidRDefault="003B0B1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3B0B13" w:rsidRDefault="003B0B1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3B0B13" w:rsidRDefault="003B0B13"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3B0B13" w:rsidRDefault="003B0B13"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3B0B13" w:rsidRDefault="003B0B13" w:rsidP="000E6AE0">
                  <w:pPr>
                    <w:pStyle w:val="a0"/>
                    <w:spacing w:after="60"/>
                    <w:ind w:left="0" w:rightChars="-27" w:right="-49"/>
                    <w:rPr>
                      <w:color w:val="auto"/>
                      <w:szCs w:val="15"/>
                    </w:rPr>
                  </w:pPr>
                </w:p>
                <w:p w:rsidR="003B0B13" w:rsidRDefault="003B0B13" w:rsidP="000E6AE0">
                  <w:pPr>
                    <w:pStyle w:val="a0"/>
                    <w:spacing w:after="60"/>
                    <w:ind w:left="0" w:rightChars="-27" w:right="-49"/>
                    <w:rPr>
                      <w:color w:val="auto"/>
                      <w:szCs w:val="15"/>
                    </w:rPr>
                  </w:pPr>
                </w:p>
                <w:p w:rsidR="003B0B13" w:rsidRPr="000336C0" w:rsidRDefault="003B0B13"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3AC7F8694A5A4ACB911D31684A77082F"/>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8A1136" w:rsidP="004C64E0">
                <w:pPr>
                  <w:spacing w:after="120" w:line="240" w:lineRule="exact"/>
                  <w:rPr>
                    <w:b/>
                  </w:rPr>
                </w:pPr>
                <w:r>
                  <w:rPr>
                    <w:rFonts w:hint="eastAsia"/>
                    <w:b/>
                  </w:rPr>
                  <w:t>上海</w:t>
                </w:r>
              </w:p>
            </w:tc>
            <w:tc>
              <w:tcPr>
                <w:tcW w:w="3625" w:type="dxa"/>
              </w:tcPr>
              <w:p w:rsidR="004C64E0" w:rsidRPr="004C64E0" w:rsidRDefault="008A1136" w:rsidP="004C64E0">
                <w:pPr>
                  <w:spacing w:after="120" w:line="240" w:lineRule="exact"/>
                  <w:rPr>
                    <w:b/>
                  </w:rPr>
                </w:pPr>
                <w:r>
                  <w:rPr>
                    <w:rFonts w:hint="eastAsia"/>
                    <w:b/>
                  </w:rPr>
                  <w:t>北京</w:t>
                </w:r>
              </w:p>
            </w:tc>
            <w:tc>
              <w:tcPr>
                <w:tcW w:w="3625" w:type="dxa"/>
              </w:tcPr>
              <w:p w:rsidR="004C64E0" w:rsidRPr="004C64E0" w:rsidRDefault="008A1136" w:rsidP="004C64E0">
                <w:pPr>
                  <w:spacing w:after="120" w:line="240" w:lineRule="exact"/>
                  <w:rPr>
                    <w:b/>
                  </w:rPr>
                </w:pPr>
                <w:r>
                  <w:rPr>
                    <w:rFonts w:hint="eastAsia"/>
                    <w:b/>
                  </w:rPr>
                  <w:t>深圳</w:t>
                </w:r>
              </w:p>
            </w:tc>
          </w:tr>
          <w:tr w:rsidR="004C64E0">
            <w:tc>
              <w:tcPr>
                <w:tcW w:w="3625" w:type="dxa"/>
              </w:tcPr>
              <w:p w:rsidR="008A1136" w:rsidRDefault="008A1136" w:rsidP="000B01C0">
                <w:pPr>
                  <w:spacing w:after="120" w:line="240" w:lineRule="exact"/>
                </w:pPr>
                <w:r>
                  <w:rPr>
                    <w:rFonts w:hint="eastAsia"/>
                  </w:rPr>
                  <w:t>电话：</w:t>
                </w:r>
                <w:r>
                  <w:rPr>
                    <w:rFonts w:hint="eastAsia"/>
                  </w:rPr>
                  <w:t>021-60753903</w:t>
                </w:r>
              </w:p>
              <w:p w:rsidR="008A1136" w:rsidRDefault="008A1136" w:rsidP="000B01C0">
                <w:pPr>
                  <w:spacing w:after="120" w:line="240" w:lineRule="exact"/>
                </w:pPr>
                <w:r>
                  <w:rPr>
                    <w:rFonts w:hint="eastAsia"/>
                  </w:rPr>
                  <w:t>传真：</w:t>
                </w:r>
                <w:r>
                  <w:rPr>
                    <w:rFonts w:hint="eastAsia"/>
                  </w:rPr>
                  <w:t>021-61038200</w:t>
                </w:r>
              </w:p>
              <w:p w:rsidR="008A1136" w:rsidRDefault="008A1136" w:rsidP="000B01C0">
                <w:pPr>
                  <w:spacing w:after="120" w:line="240" w:lineRule="exact"/>
                </w:pPr>
                <w:r>
                  <w:rPr>
                    <w:rFonts w:hint="eastAsia"/>
                  </w:rPr>
                  <w:t>邮箱：</w:t>
                </w:r>
                <w:r>
                  <w:rPr>
                    <w:rFonts w:hint="eastAsia"/>
                  </w:rPr>
                  <w:t>researchsh@gjzq.com.cn</w:t>
                </w:r>
              </w:p>
              <w:p w:rsidR="008A1136" w:rsidRDefault="008A1136" w:rsidP="000B01C0">
                <w:pPr>
                  <w:spacing w:after="120" w:line="240" w:lineRule="exact"/>
                </w:pPr>
                <w:r>
                  <w:rPr>
                    <w:rFonts w:hint="eastAsia"/>
                  </w:rPr>
                  <w:t>邮编：</w:t>
                </w:r>
                <w:r>
                  <w:rPr>
                    <w:rFonts w:hint="eastAsia"/>
                  </w:rPr>
                  <w:t>201204</w:t>
                </w:r>
              </w:p>
              <w:p w:rsidR="008A1136" w:rsidRDefault="008A1136" w:rsidP="000B01C0">
                <w:pPr>
                  <w:spacing w:after="120" w:line="240" w:lineRule="exact"/>
                </w:pPr>
                <w:r>
                  <w:rPr>
                    <w:rFonts w:hint="eastAsia"/>
                  </w:rPr>
                  <w:t>地址：上海浦东新区芳</w:t>
                </w:r>
                <w:proofErr w:type="gramStart"/>
                <w:r>
                  <w:rPr>
                    <w:rFonts w:hint="eastAsia"/>
                  </w:rPr>
                  <w:t>甸</w:t>
                </w:r>
                <w:proofErr w:type="gramEnd"/>
                <w:r>
                  <w:rPr>
                    <w:rFonts w:hint="eastAsia"/>
                  </w:rPr>
                  <w:t>路</w:t>
                </w:r>
                <w:r>
                  <w:rPr>
                    <w:rFonts w:hint="eastAsia"/>
                  </w:rPr>
                  <w:t>1088</w:t>
                </w:r>
                <w:r>
                  <w:rPr>
                    <w:rFonts w:hint="eastAsia"/>
                  </w:rPr>
                  <w:t>号</w:t>
                </w:r>
              </w:p>
              <w:p w:rsidR="004C64E0" w:rsidRDefault="008A1136"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8A1136" w:rsidRDefault="008A1136" w:rsidP="000B01C0">
                <w:pPr>
                  <w:spacing w:after="120" w:line="240" w:lineRule="exact"/>
                </w:pPr>
                <w:r>
                  <w:rPr>
                    <w:rFonts w:hint="eastAsia"/>
                  </w:rPr>
                  <w:t>电话：</w:t>
                </w:r>
                <w:r>
                  <w:rPr>
                    <w:rFonts w:hint="eastAsia"/>
                  </w:rPr>
                  <w:t>010-66216979</w:t>
                </w:r>
              </w:p>
              <w:p w:rsidR="008A1136" w:rsidRDefault="008A1136" w:rsidP="000B01C0">
                <w:pPr>
                  <w:spacing w:after="120" w:line="240" w:lineRule="exact"/>
                </w:pPr>
                <w:r>
                  <w:rPr>
                    <w:rFonts w:hint="eastAsia"/>
                  </w:rPr>
                  <w:t>传真：</w:t>
                </w:r>
                <w:r>
                  <w:rPr>
                    <w:rFonts w:hint="eastAsia"/>
                  </w:rPr>
                  <w:t>010-66216793</w:t>
                </w:r>
              </w:p>
              <w:p w:rsidR="008A1136" w:rsidRDefault="008A1136" w:rsidP="000B01C0">
                <w:pPr>
                  <w:spacing w:after="120" w:line="240" w:lineRule="exact"/>
                </w:pPr>
                <w:r>
                  <w:rPr>
                    <w:rFonts w:hint="eastAsia"/>
                  </w:rPr>
                  <w:t>邮箱：</w:t>
                </w:r>
                <w:r>
                  <w:rPr>
                    <w:rFonts w:hint="eastAsia"/>
                  </w:rPr>
                  <w:t>researchbj@gjzq.com.cn</w:t>
                </w:r>
              </w:p>
              <w:p w:rsidR="008A1136" w:rsidRDefault="008A1136" w:rsidP="000B01C0">
                <w:pPr>
                  <w:spacing w:after="120" w:line="240" w:lineRule="exact"/>
                </w:pPr>
                <w:r>
                  <w:rPr>
                    <w:rFonts w:hint="eastAsia"/>
                  </w:rPr>
                  <w:t>邮编：</w:t>
                </w:r>
                <w:r>
                  <w:rPr>
                    <w:rFonts w:hint="eastAsia"/>
                  </w:rPr>
                  <w:t>100053</w:t>
                </w:r>
              </w:p>
              <w:p w:rsidR="004C64E0" w:rsidRDefault="008A1136"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8A1136" w:rsidRDefault="008A1136" w:rsidP="000B01C0">
                <w:pPr>
                  <w:spacing w:after="120" w:line="240" w:lineRule="exact"/>
                </w:pPr>
                <w:r>
                  <w:rPr>
                    <w:rFonts w:hint="eastAsia"/>
                  </w:rPr>
                  <w:t>电话：</w:t>
                </w:r>
                <w:r>
                  <w:rPr>
                    <w:rFonts w:hint="eastAsia"/>
                  </w:rPr>
                  <w:t>0755-83831378</w:t>
                </w:r>
              </w:p>
              <w:p w:rsidR="008A1136" w:rsidRDefault="008A1136" w:rsidP="000B01C0">
                <w:pPr>
                  <w:spacing w:after="120" w:line="240" w:lineRule="exact"/>
                </w:pPr>
                <w:r>
                  <w:rPr>
                    <w:rFonts w:hint="eastAsia"/>
                  </w:rPr>
                  <w:t>传真：</w:t>
                </w:r>
                <w:r>
                  <w:rPr>
                    <w:rFonts w:hint="eastAsia"/>
                  </w:rPr>
                  <w:t>0755-83830558</w:t>
                </w:r>
              </w:p>
              <w:p w:rsidR="008A1136" w:rsidRDefault="008A1136" w:rsidP="000B01C0">
                <w:pPr>
                  <w:spacing w:after="120" w:line="240" w:lineRule="exact"/>
                </w:pPr>
                <w:r>
                  <w:rPr>
                    <w:rFonts w:hint="eastAsia"/>
                  </w:rPr>
                  <w:t>邮箱：</w:t>
                </w:r>
                <w:r>
                  <w:rPr>
                    <w:rFonts w:hint="eastAsia"/>
                  </w:rPr>
                  <w:t>researchsz@gjzq.com.cn</w:t>
                </w:r>
              </w:p>
              <w:p w:rsidR="008A1136" w:rsidRDefault="008A1136" w:rsidP="000B01C0">
                <w:pPr>
                  <w:spacing w:after="120" w:line="240" w:lineRule="exact"/>
                </w:pPr>
                <w:r>
                  <w:rPr>
                    <w:rFonts w:hint="eastAsia"/>
                  </w:rPr>
                  <w:t>邮编：</w:t>
                </w:r>
                <w:r>
                  <w:rPr>
                    <w:rFonts w:hint="eastAsia"/>
                  </w:rPr>
                  <w:t>518000</w:t>
                </w:r>
              </w:p>
              <w:p w:rsidR="008A1136" w:rsidRDefault="008A1136"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8A1136"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B97697" w:rsidP="008A1136">
          <w:pPr>
            <w:spacing w:line="14" w:lineRule="exact"/>
          </w:pPr>
        </w:p>
      </w:sdtContent>
    </w:sdt>
    <w:p w:rsidR="005E311D" w:rsidRPr="00ED77B9" w:rsidRDefault="005E311D" w:rsidP="00ED77B9"/>
    <w:sectPr w:rsidR="005E311D" w:rsidRPr="00ED77B9" w:rsidSect="00A87799">
      <w:headerReference w:type="default" r:id="rId11"/>
      <w:footerReference w:type="even" r:id="rId12"/>
      <w:footerReference w:type="default" r:id="rId13"/>
      <w:headerReference w:type="first" r:id="rId14"/>
      <w:footerReference w:type="first" r:id="rId15"/>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97" w:rsidRDefault="00B97697">
      <w:r>
        <w:separator/>
      </w:r>
    </w:p>
  </w:endnote>
  <w:endnote w:type="continuationSeparator" w:id="0">
    <w:p w:rsidR="00B97697" w:rsidRDefault="00B9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13" w:rsidRDefault="003B0B1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0B13" w:rsidRDefault="003B0B1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13" w:rsidRPr="00A30364" w:rsidRDefault="00B97697" w:rsidP="007F6DAF">
    <w:pPr>
      <w:pStyle w:val="a6"/>
      <w:pBdr>
        <w:bottom w:val="none" w:sz="0" w:space="0" w:color="auto"/>
      </w:pBdr>
      <w:rPr>
        <w:rFonts w:ascii="LucidaSans" w:hAnsi="LucidaSans"/>
        <w:b/>
      </w:rPr>
    </w:pPr>
    <w:r>
      <w:rPr>
        <w:noProof/>
      </w:rPr>
      <w:pict>
        <v:line id="Line 34" o:spid="_x0000_s2051"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3B0B13" w:rsidRPr="00A30364">
      <w:rPr>
        <w:rFonts w:ascii="LucidaSans" w:hAnsi="LucidaSans"/>
        <w:b/>
        <w:szCs w:val="21"/>
      </w:rPr>
      <w:t xml:space="preserve">- </w:t>
    </w:r>
    <w:r w:rsidR="003B0B13" w:rsidRPr="003C4E1B">
      <w:rPr>
        <w:b/>
        <w:szCs w:val="21"/>
      </w:rPr>
      <w:fldChar w:fldCharType="begin"/>
    </w:r>
    <w:r w:rsidR="003B0B13" w:rsidRPr="003C4E1B">
      <w:rPr>
        <w:b/>
        <w:szCs w:val="21"/>
      </w:rPr>
      <w:instrText xml:space="preserve"> PAGE </w:instrText>
    </w:r>
    <w:r w:rsidR="003B0B13" w:rsidRPr="003C4E1B">
      <w:rPr>
        <w:b/>
        <w:szCs w:val="21"/>
      </w:rPr>
      <w:fldChar w:fldCharType="separate"/>
    </w:r>
    <w:r w:rsidR="008A5488">
      <w:rPr>
        <w:b/>
        <w:noProof/>
        <w:szCs w:val="21"/>
      </w:rPr>
      <w:t>2</w:t>
    </w:r>
    <w:r w:rsidR="003B0B13" w:rsidRPr="003C4E1B">
      <w:rPr>
        <w:b/>
        <w:szCs w:val="21"/>
      </w:rPr>
      <w:fldChar w:fldCharType="end"/>
    </w:r>
    <w:r w:rsidR="003B0B13" w:rsidRPr="00A30364">
      <w:rPr>
        <w:rFonts w:ascii="LucidaSans" w:hAnsi="LucidaSans"/>
        <w:b/>
        <w:szCs w:val="21"/>
      </w:rPr>
      <w:t xml:space="preserve"> -</w:t>
    </w:r>
  </w:p>
  <w:p w:rsidR="003B0B13" w:rsidRDefault="003B0B13"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13" w:rsidRPr="00A30364" w:rsidRDefault="00B97697" w:rsidP="00A30364">
    <w:pPr>
      <w:pStyle w:val="a4"/>
      <w:tabs>
        <w:tab w:val="center" w:pos="5103"/>
      </w:tabs>
      <w:jc w:val="center"/>
      <w:rPr>
        <w:rFonts w:cs="Arial"/>
        <w:b/>
      </w:rPr>
    </w:pPr>
    <w:r>
      <w:rPr>
        <w:noProof/>
      </w:rPr>
      <w:pict>
        <v:line id="Line 35" o:spid="_x0000_s2050"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49" style="position:absolute;left:0;text-align:left;margin-left:-31.8pt;margin-top:24.65pt;width:596.1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3B0B13" w:rsidRPr="0003281B" w:rsidRDefault="003B0B13" w:rsidP="0003281B"/>
            </w:txbxContent>
          </v:textbox>
        </v:rect>
      </w:pict>
    </w:r>
    <w:r w:rsidR="003B0B13" w:rsidRPr="00A30364">
      <w:rPr>
        <w:rFonts w:cs="Arial"/>
        <w:b/>
        <w:szCs w:val="21"/>
      </w:rPr>
      <w:t xml:space="preserve">- </w:t>
    </w:r>
    <w:r w:rsidR="003B0B13" w:rsidRPr="00A30364">
      <w:rPr>
        <w:rFonts w:cs="Arial"/>
        <w:b/>
        <w:szCs w:val="21"/>
      </w:rPr>
      <w:fldChar w:fldCharType="begin"/>
    </w:r>
    <w:r w:rsidR="003B0B13" w:rsidRPr="00A30364">
      <w:rPr>
        <w:rFonts w:cs="Arial"/>
        <w:b/>
        <w:szCs w:val="21"/>
      </w:rPr>
      <w:instrText xml:space="preserve"> PAGE </w:instrText>
    </w:r>
    <w:r w:rsidR="003B0B13" w:rsidRPr="00A30364">
      <w:rPr>
        <w:rFonts w:cs="Arial"/>
        <w:b/>
        <w:szCs w:val="21"/>
      </w:rPr>
      <w:fldChar w:fldCharType="separate"/>
    </w:r>
    <w:r w:rsidR="008A5488">
      <w:rPr>
        <w:rFonts w:cs="Arial"/>
        <w:b/>
        <w:noProof/>
        <w:szCs w:val="21"/>
      </w:rPr>
      <w:t>1</w:t>
    </w:r>
    <w:r w:rsidR="003B0B13" w:rsidRPr="00A30364">
      <w:rPr>
        <w:rFonts w:cs="Arial"/>
        <w:b/>
        <w:szCs w:val="21"/>
      </w:rPr>
      <w:fldChar w:fldCharType="end"/>
    </w:r>
    <w:r w:rsidR="003B0B13" w:rsidRPr="00A30364">
      <w:rPr>
        <w:rFonts w:cs="Arial"/>
        <w:b/>
        <w:szCs w:val="21"/>
      </w:rPr>
      <w:t xml:space="preserve"> -</w:t>
    </w:r>
  </w:p>
  <w:p w:rsidR="003B0B13" w:rsidRDefault="003B0B13">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97" w:rsidRDefault="00B97697">
      <w:r>
        <w:separator/>
      </w:r>
    </w:p>
  </w:footnote>
  <w:footnote w:type="continuationSeparator" w:id="0">
    <w:p w:rsidR="00B97697" w:rsidRDefault="00B97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13" w:rsidRDefault="00B97697" w:rsidP="00F72878">
    <w:pPr>
      <w:jc w:val="right"/>
    </w:pPr>
    <w:sdt>
      <w:sdtPr>
        <w:alias w:val="报告类型"/>
        <w:tag w:val="BDCONTENTCONTROL_451e08ee-3959-4251-8d5f-f302d5f0f153"/>
        <w:id w:val="631523797"/>
        <w:placeholder>
          <w:docPart w:val="375AEAABF9BA408D9B79927BCA9E344F"/>
        </w:placeholder>
        <w:text/>
      </w:sdtPr>
      <w:sdtEndPr/>
      <w:sdtContent>
        <w:r w:rsidR="008A1136">
          <w:rPr>
            <w:rFonts w:hint="eastAsia"/>
          </w:rPr>
          <w:t>私募基金投资策略报告</w:t>
        </w:r>
      </w:sdtContent>
    </w:sdt>
    <w:r>
      <w:rPr>
        <w:noProof/>
      </w:rPr>
      <w:pict>
        <v:shapetype id="_x0000_t202" coordsize="21600,21600" o:spt="202" path="m,l,21600r21600,l21600,xe">
          <v:stroke joinstyle="miter"/>
          <v:path gradientshapeok="t" o:connecttype="rect"/>
        </v:shapetype>
        <v:shape id="Text Box 18" o:spid="_x0000_s2053" type="#_x0000_t202" style="position:absolute;left:0;text-align:left;margin-left:-16.2pt;margin-top:31.05pt;width:101.45pt;height:29.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3B0B13" w:rsidRPr="00E17DD1" w:rsidRDefault="003B0B13" w:rsidP="005721EB">
                <w:r>
                  <w:rPr>
                    <w:noProof/>
                  </w:rPr>
                  <w:drawing>
                    <wp:inline distT="0" distB="0" distL="0" distR="0" wp14:anchorId="30C810D4" wp14:editId="063A6F4F">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2" style="position:absolute;left:0;text-align:left;z-index:25165619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13" w:rsidRDefault="003B0B13"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1FD72BA6"/>
    <w:multiLevelType w:val="hybridMultilevel"/>
    <w:tmpl w:val="57585046"/>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409000B">
      <w:start w:val="1"/>
      <w:numFmt w:val="bullet"/>
      <w:lvlText w:val=""/>
      <w:lvlJc w:val="left"/>
      <w:pPr>
        <w:tabs>
          <w:tab w:val="num" w:pos="4191"/>
        </w:tabs>
        <w:ind w:left="4191" w:hanging="420"/>
      </w:pPr>
      <w:rPr>
        <w:rFonts w:ascii="Wingdings" w:hAnsi="Wingdings"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11">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6004F02"/>
    <w:multiLevelType w:val="multilevel"/>
    <w:tmpl w:val="3CDE5F16"/>
    <w:numStyleLink w:val="GJStylesContentMark"/>
  </w:abstractNum>
  <w:abstractNum w:abstractNumId="17">
    <w:nsid w:val="41A645CE"/>
    <w:multiLevelType w:val="multilevel"/>
    <w:tmpl w:val="3CDE5F16"/>
    <w:numStyleLink w:val="GJStylesContentMark"/>
  </w:abstractNum>
  <w:abstractNum w:abstractNumId="18">
    <w:nsid w:val="43A01E05"/>
    <w:multiLevelType w:val="multilevel"/>
    <w:tmpl w:val="6B68E90C"/>
    <w:lvl w:ilvl="0">
      <w:start w:val="1"/>
      <w:numFmt w:val="bullet"/>
      <w:lvlText w:val=""/>
      <w:lvlJc w:val="left"/>
      <w:pPr>
        <w:tabs>
          <w:tab w:val="num" w:pos="4329"/>
        </w:tabs>
        <w:ind w:left="3969" w:firstLine="0"/>
      </w:pPr>
      <w:rPr>
        <w:rFonts w:hint="default"/>
        <w:b w:val="0"/>
        <w:i w:val="0"/>
        <w:color w:val="000565"/>
        <w:sz w:val="18"/>
      </w:rPr>
    </w:lvl>
    <w:lvl w:ilvl="1">
      <w:start w:val="1"/>
      <w:numFmt w:val="bullet"/>
      <w:lvlText w:val=""/>
      <w:lvlJc w:val="left"/>
      <w:pPr>
        <w:tabs>
          <w:tab w:val="num" w:pos="4242"/>
        </w:tabs>
        <w:ind w:left="4242" w:hanging="420"/>
      </w:pPr>
      <w:rPr>
        <w:rFonts w:ascii="Wingdings" w:hAnsi="Wingdings" w:hint="default"/>
      </w:rPr>
    </w:lvl>
    <w:lvl w:ilvl="2">
      <w:start w:val="1"/>
      <w:numFmt w:val="bullet"/>
      <w:lvlText w:val=""/>
      <w:lvlJc w:val="left"/>
      <w:pPr>
        <w:tabs>
          <w:tab w:val="num" w:pos="4662"/>
        </w:tabs>
        <w:ind w:left="4662" w:hanging="420"/>
      </w:pPr>
      <w:rPr>
        <w:rFonts w:ascii="Wingdings" w:hAnsi="Wingdings" w:hint="default"/>
      </w:rPr>
    </w:lvl>
    <w:lvl w:ilvl="3">
      <w:start w:val="1"/>
      <w:numFmt w:val="bullet"/>
      <w:lvlText w:val=""/>
      <w:lvlJc w:val="left"/>
      <w:pPr>
        <w:tabs>
          <w:tab w:val="num" w:pos="5082"/>
        </w:tabs>
        <w:ind w:left="5082" w:hanging="420"/>
      </w:pPr>
      <w:rPr>
        <w:rFonts w:ascii="Wingdings" w:hAnsi="Wingdings" w:hint="default"/>
      </w:rPr>
    </w:lvl>
    <w:lvl w:ilvl="4">
      <w:start w:val="1"/>
      <w:numFmt w:val="bullet"/>
      <w:lvlText w:val=""/>
      <w:lvlJc w:val="left"/>
      <w:pPr>
        <w:tabs>
          <w:tab w:val="num" w:pos="3649"/>
        </w:tabs>
        <w:ind w:left="3289" w:firstLine="0"/>
      </w:pPr>
      <w:rPr>
        <w:rFonts w:ascii="Wingdings" w:eastAsia="宋体" w:hAnsi="Wingdings" w:hint="default"/>
        <w:b w:val="0"/>
        <w:i w:val="0"/>
        <w:color w:val="000565"/>
        <w:sz w:val="18"/>
      </w:rPr>
    </w:lvl>
    <w:lvl w:ilvl="5">
      <w:start w:val="1"/>
      <w:numFmt w:val="bullet"/>
      <w:lvlText w:val=""/>
      <w:lvlJc w:val="left"/>
      <w:pPr>
        <w:tabs>
          <w:tab w:val="num" w:pos="4139"/>
        </w:tabs>
        <w:ind w:left="4139" w:hanging="368"/>
      </w:pPr>
      <w:rPr>
        <w:rFonts w:ascii="Wingdings 2" w:eastAsia="楷体_GB2312" w:hAnsi="Wingdings 2" w:hint="default"/>
        <w:b w:val="0"/>
        <w:i w:val="0"/>
        <w:sz w:val="18"/>
      </w:rPr>
    </w:lvl>
    <w:lvl w:ilvl="6">
      <w:start w:val="1"/>
      <w:numFmt w:val="bullet"/>
      <w:lvlText w:val=""/>
      <w:lvlJc w:val="left"/>
      <w:pPr>
        <w:tabs>
          <w:tab w:val="num" w:pos="6342"/>
        </w:tabs>
        <w:ind w:left="6342" w:hanging="420"/>
      </w:pPr>
      <w:rPr>
        <w:rFonts w:ascii="Wingdings" w:hAnsi="Wingdings" w:hint="default"/>
      </w:rPr>
    </w:lvl>
    <w:lvl w:ilvl="7">
      <w:start w:val="1"/>
      <w:numFmt w:val="bullet"/>
      <w:lvlText w:val=""/>
      <w:lvlJc w:val="left"/>
      <w:pPr>
        <w:tabs>
          <w:tab w:val="num" w:pos="6762"/>
        </w:tabs>
        <w:ind w:left="6762" w:hanging="420"/>
      </w:pPr>
      <w:rPr>
        <w:rFonts w:ascii="Wingdings" w:hAnsi="Wingdings" w:hint="default"/>
      </w:rPr>
    </w:lvl>
    <w:lvl w:ilvl="8">
      <w:start w:val="1"/>
      <w:numFmt w:val="bullet"/>
      <w:lvlText w:val=""/>
      <w:lvlJc w:val="left"/>
      <w:pPr>
        <w:tabs>
          <w:tab w:val="num" w:pos="7182"/>
        </w:tabs>
        <w:ind w:left="7182" w:hanging="420"/>
      </w:pPr>
      <w:rPr>
        <w:rFonts w:ascii="Wingdings" w:hAnsi="Wingdings" w:hint="default"/>
      </w:rPr>
    </w:lvl>
  </w:abstractNum>
  <w:abstractNum w:abstractNumId="19">
    <w:nsid w:val="44D96BA6"/>
    <w:multiLevelType w:val="multilevel"/>
    <w:tmpl w:val="1556E7D6"/>
    <w:numStyleLink w:val="GJStylesSummaryContentMark"/>
  </w:abstractNum>
  <w:abstractNum w:abstractNumId="20">
    <w:nsid w:val="44E1352C"/>
    <w:multiLevelType w:val="multilevel"/>
    <w:tmpl w:val="3CDE5F16"/>
    <w:numStyleLink w:val="GJStylesContentMark"/>
  </w:abstractNum>
  <w:abstractNum w:abstractNumId="21">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5">
    <w:nsid w:val="515021FA"/>
    <w:multiLevelType w:val="multilevel"/>
    <w:tmpl w:val="1556E7D6"/>
    <w:numStyleLink w:val="GJStylesSummaryContentMark"/>
  </w:abstractNum>
  <w:abstractNum w:abstractNumId="26">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5DD2D9F"/>
    <w:multiLevelType w:val="multilevel"/>
    <w:tmpl w:val="3CDE5F16"/>
    <w:numStyleLink w:val="GJStylesContentMark"/>
  </w:abstractNum>
  <w:abstractNum w:abstractNumId="28">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9">
    <w:nsid w:val="686369BF"/>
    <w:multiLevelType w:val="multilevel"/>
    <w:tmpl w:val="1556E7D6"/>
    <w:numStyleLink w:val="GJStylesSummaryContentMark"/>
  </w:abstractNum>
  <w:abstractNum w:abstractNumId="30">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72754749"/>
    <w:multiLevelType w:val="multilevel"/>
    <w:tmpl w:val="1556E7D6"/>
    <w:numStyleLink w:val="GJStylesSummaryContentMark"/>
  </w:abstractNum>
  <w:abstractNum w:abstractNumId="32">
    <w:nsid w:val="73777A50"/>
    <w:multiLevelType w:val="multilevel"/>
    <w:tmpl w:val="3CDE5F16"/>
    <w:numStyleLink w:val="GJStylesContentMark"/>
  </w:abstractNum>
  <w:abstractNum w:abstractNumId="33">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C284D5A"/>
    <w:multiLevelType w:val="multilevel"/>
    <w:tmpl w:val="3CDE5F16"/>
    <w:numStyleLink w:val="GJStylesContentMark"/>
  </w:abstractNum>
  <w:abstractNum w:abstractNumId="35">
    <w:nsid w:val="7C8139AA"/>
    <w:multiLevelType w:val="multilevel"/>
    <w:tmpl w:val="3CDE5F16"/>
    <w:numStyleLink w:val="GJStylesContentMark"/>
  </w:abstractNum>
  <w:num w:numId="1">
    <w:abstractNumId w:val="28"/>
  </w:num>
  <w:num w:numId="2">
    <w:abstractNumId w:val="3"/>
  </w:num>
  <w:num w:numId="3">
    <w:abstractNumId w:val="22"/>
  </w:num>
  <w:num w:numId="4">
    <w:abstractNumId w:val="24"/>
  </w:num>
  <w:num w:numId="5">
    <w:abstractNumId w:val="11"/>
  </w:num>
  <w:num w:numId="6">
    <w:abstractNumId w:val="14"/>
  </w:num>
  <w:num w:numId="7">
    <w:abstractNumId w:val="23"/>
  </w:num>
  <w:num w:numId="8">
    <w:abstractNumId w:val="29"/>
  </w:num>
  <w:num w:numId="9">
    <w:abstractNumId w:val="16"/>
  </w:num>
  <w:num w:numId="10">
    <w:abstractNumId w:val="21"/>
  </w:num>
  <w:num w:numId="11">
    <w:abstractNumId w:val="30"/>
  </w:num>
  <w:num w:numId="12">
    <w:abstractNumId w:val="2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5"/>
  </w:num>
  <w:num w:numId="18">
    <w:abstractNumId w:val="19"/>
  </w:num>
  <w:num w:numId="19">
    <w:abstractNumId w:val="31"/>
  </w:num>
  <w:num w:numId="20">
    <w:abstractNumId w:val="12"/>
  </w:num>
  <w:num w:numId="21">
    <w:abstractNumId w:val="17"/>
  </w:num>
  <w:num w:numId="22">
    <w:abstractNumId w:val="0"/>
  </w:num>
  <w:num w:numId="23">
    <w:abstractNumId w:val="20"/>
  </w:num>
  <w:num w:numId="24">
    <w:abstractNumId w:val="9"/>
  </w:num>
  <w:num w:numId="25">
    <w:abstractNumId w:val="1"/>
  </w:num>
  <w:num w:numId="26">
    <w:abstractNumId w:val="7"/>
  </w:num>
  <w:num w:numId="27">
    <w:abstractNumId w:val="27"/>
  </w:num>
  <w:num w:numId="28">
    <w:abstractNumId w:val="4"/>
  </w:num>
  <w:num w:numId="29">
    <w:abstractNumId w:val="32"/>
  </w:num>
  <w:num w:numId="30">
    <w:abstractNumId w:val="34"/>
  </w:num>
  <w:num w:numId="31">
    <w:abstractNumId w:val="35"/>
  </w:num>
  <w:num w:numId="32">
    <w:abstractNumId w:val="33"/>
  </w:num>
  <w:num w:numId="33">
    <w:abstractNumId w:val="6"/>
  </w:num>
  <w:num w:numId="34">
    <w:abstractNumId w:val="15"/>
  </w:num>
  <w:num w:numId="35">
    <w:abstractNumId w:val="13"/>
  </w:num>
  <w:num w:numId="36">
    <w:abstractNumId w:val="18"/>
  </w:num>
  <w:num w:numId="3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E4385"/>
    <w:rsid w:val="000004CC"/>
    <w:rsid w:val="00000AAD"/>
    <w:rsid w:val="00000BF2"/>
    <w:rsid w:val="00002065"/>
    <w:rsid w:val="0000214F"/>
    <w:rsid w:val="00002BE4"/>
    <w:rsid w:val="00003774"/>
    <w:rsid w:val="00004320"/>
    <w:rsid w:val="0000572E"/>
    <w:rsid w:val="00006261"/>
    <w:rsid w:val="00006443"/>
    <w:rsid w:val="000106FC"/>
    <w:rsid w:val="0001140A"/>
    <w:rsid w:val="00013952"/>
    <w:rsid w:val="00013BEC"/>
    <w:rsid w:val="00013EB2"/>
    <w:rsid w:val="0001492B"/>
    <w:rsid w:val="00014B77"/>
    <w:rsid w:val="00014F51"/>
    <w:rsid w:val="0002045A"/>
    <w:rsid w:val="000211E3"/>
    <w:rsid w:val="000219EC"/>
    <w:rsid w:val="00021A32"/>
    <w:rsid w:val="000221E8"/>
    <w:rsid w:val="0002347C"/>
    <w:rsid w:val="00023D3A"/>
    <w:rsid w:val="00024EF8"/>
    <w:rsid w:val="00025035"/>
    <w:rsid w:val="00025049"/>
    <w:rsid w:val="00025C94"/>
    <w:rsid w:val="00026458"/>
    <w:rsid w:val="00030007"/>
    <w:rsid w:val="00031106"/>
    <w:rsid w:val="000319DC"/>
    <w:rsid w:val="00032255"/>
    <w:rsid w:val="0003281B"/>
    <w:rsid w:val="00032EE6"/>
    <w:rsid w:val="00033099"/>
    <w:rsid w:val="000336C0"/>
    <w:rsid w:val="000343B3"/>
    <w:rsid w:val="00034B6F"/>
    <w:rsid w:val="0003527B"/>
    <w:rsid w:val="0003556E"/>
    <w:rsid w:val="000360DB"/>
    <w:rsid w:val="00036149"/>
    <w:rsid w:val="000368BD"/>
    <w:rsid w:val="000374D7"/>
    <w:rsid w:val="000424AC"/>
    <w:rsid w:val="00043630"/>
    <w:rsid w:val="00044C1E"/>
    <w:rsid w:val="00045A13"/>
    <w:rsid w:val="00045BB2"/>
    <w:rsid w:val="00045C10"/>
    <w:rsid w:val="000464EF"/>
    <w:rsid w:val="0005030F"/>
    <w:rsid w:val="00051253"/>
    <w:rsid w:val="0005161F"/>
    <w:rsid w:val="00051AFD"/>
    <w:rsid w:val="00051FD6"/>
    <w:rsid w:val="000528A0"/>
    <w:rsid w:val="000528AB"/>
    <w:rsid w:val="00053C2D"/>
    <w:rsid w:val="00053EAA"/>
    <w:rsid w:val="00054005"/>
    <w:rsid w:val="000576EE"/>
    <w:rsid w:val="00057B9E"/>
    <w:rsid w:val="00057FD2"/>
    <w:rsid w:val="0006128E"/>
    <w:rsid w:val="00061DB1"/>
    <w:rsid w:val="00062041"/>
    <w:rsid w:val="000622E5"/>
    <w:rsid w:val="0006435D"/>
    <w:rsid w:val="000643D0"/>
    <w:rsid w:val="00065851"/>
    <w:rsid w:val="00065A46"/>
    <w:rsid w:val="000675D3"/>
    <w:rsid w:val="0006797D"/>
    <w:rsid w:val="00070838"/>
    <w:rsid w:val="00070B6F"/>
    <w:rsid w:val="00070EA5"/>
    <w:rsid w:val="00070F25"/>
    <w:rsid w:val="000717BA"/>
    <w:rsid w:val="00071EB8"/>
    <w:rsid w:val="000748FA"/>
    <w:rsid w:val="00074B53"/>
    <w:rsid w:val="0007511E"/>
    <w:rsid w:val="0007517F"/>
    <w:rsid w:val="00075F1D"/>
    <w:rsid w:val="000779AA"/>
    <w:rsid w:val="0008071A"/>
    <w:rsid w:val="00080902"/>
    <w:rsid w:val="00080AF3"/>
    <w:rsid w:val="000810F3"/>
    <w:rsid w:val="00082E94"/>
    <w:rsid w:val="00083493"/>
    <w:rsid w:val="0008444C"/>
    <w:rsid w:val="0008554E"/>
    <w:rsid w:val="000855E4"/>
    <w:rsid w:val="000861C0"/>
    <w:rsid w:val="00086923"/>
    <w:rsid w:val="00090567"/>
    <w:rsid w:val="00090CDA"/>
    <w:rsid w:val="00091670"/>
    <w:rsid w:val="000917B7"/>
    <w:rsid w:val="00091CB7"/>
    <w:rsid w:val="00092285"/>
    <w:rsid w:val="0009317A"/>
    <w:rsid w:val="0009398D"/>
    <w:rsid w:val="000939AA"/>
    <w:rsid w:val="000943F5"/>
    <w:rsid w:val="00094710"/>
    <w:rsid w:val="00096DCC"/>
    <w:rsid w:val="00096FFB"/>
    <w:rsid w:val="000972C1"/>
    <w:rsid w:val="000A2255"/>
    <w:rsid w:val="000A2612"/>
    <w:rsid w:val="000A2F24"/>
    <w:rsid w:val="000A31CD"/>
    <w:rsid w:val="000A44D7"/>
    <w:rsid w:val="000A5B27"/>
    <w:rsid w:val="000A6D82"/>
    <w:rsid w:val="000A766E"/>
    <w:rsid w:val="000A7AA6"/>
    <w:rsid w:val="000A7D02"/>
    <w:rsid w:val="000B001B"/>
    <w:rsid w:val="000B01C0"/>
    <w:rsid w:val="000B07ED"/>
    <w:rsid w:val="000B099F"/>
    <w:rsid w:val="000B0E6B"/>
    <w:rsid w:val="000B1C0F"/>
    <w:rsid w:val="000B265D"/>
    <w:rsid w:val="000B4425"/>
    <w:rsid w:val="000B4FA6"/>
    <w:rsid w:val="000B50B1"/>
    <w:rsid w:val="000B539C"/>
    <w:rsid w:val="000B5C96"/>
    <w:rsid w:val="000B78AA"/>
    <w:rsid w:val="000C065B"/>
    <w:rsid w:val="000C0A3A"/>
    <w:rsid w:val="000C1C09"/>
    <w:rsid w:val="000C2404"/>
    <w:rsid w:val="000C2EDE"/>
    <w:rsid w:val="000C3D8E"/>
    <w:rsid w:val="000C484B"/>
    <w:rsid w:val="000C529D"/>
    <w:rsid w:val="000C7CF7"/>
    <w:rsid w:val="000C7D66"/>
    <w:rsid w:val="000C7EB1"/>
    <w:rsid w:val="000D0D17"/>
    <w:rsid w:val="000D1948"/>
    <w:rsid w:val="000D2A99"/>
    <w:rsid w:val="000D3153"/>
    <w:rsid w:val="000D5388"/>
    <w:rsid w:val="000D5698"/>
    <w:rsid w:val="000D612A"/>
    <w:rsid w:val="000D66BF"/>
    <w:rsid w:val="000D6783"/>
    <w:rsid w:val="000D688F"/>
    <w:rsid w:val="000E05CC"/>
    <w:rsid w:val="000E08AC"/>
    <w:rsid w:val="000E12FC"/>
    <w:rsid w:val="000E1C76"/>
    <w:rsid w:val="000E2FF4"/>
    <w:rsid w:val="000E40C9"/>
    <w:rsid w:val="000E55EC"/>
    <w:rsid w:val="000E5C8D"/>
    <w:rsid w:val="000E6203"/>
    <w:rsid w:val="000E6AE0"/>
    <w:rsid w:val="000E7BDD"/>
    <w:rsid w:val="000F03A5"/>
    <w:rsid w:val="000F1CF7"/>
    <w:rsid w:val="000F2102"/>
    <w:rsid w:val="000F2643"/>
    <w:rsid w:val="000F4AB0"/>
    <w:rsid w:val="000F5142"/>
    <w:rsid w:val="000F5713"/>
    <w:rsid w:val="000F61F9"/>
    <w:rsid w:val="000F6CFE"/>
    <w:rsid w:val="000F72BA"/>
    <w:rsid w:val="000F738D"/>
    <w:rsid w:val="000F7EF5"/>
    <w:rsid w:val="001025A9"/>
    <w:rsid w:val="00102ECD"/>
    <w:rsid w:val="00102FCE"/>
    <w:rsid w:val="001064A9"/>
    <w:rsid w:val="0010686C"/>
    <w:rsid w:val="00106ADD"/>
    <w:rsid w:val="00106FF6"/>
    <w:rsid w:val="001070F1"/>
    <w:rsid w:val="001119C0"/>
    <w:rsid w:val="001120DD"/>
    <w:rsid w:val="001128C9"/>
    <w:rsid w:val="00113F7E"/>
    <w:rsid w:val="0011478F"/>
    <w:rsid w:val="001151C1"/>
    <w:rsid w:val="00117039"/>
    <w:rsid w:val="00117DAA"/>
    <w:rsid w:val="001202BD"/>
    <w:rsid w:val="001209B2"/>
    <w:rsid w:val="00120E71"/>
    <w:rsid w:val="00122401"/>
    <w:rsid w:val="00122D86"/>
    <w:rsid w:val="00122D87"/>
    <w:rsid w:val="00123478"/>
    <w:rsid w:val="00123AF2"/>
    <w:rsid w:val="0012507B"/>
    <w:rsid w:val="00125CAD"/>
    <w:rsid w:val="00127D52"/>
    <w:rsid w:val="00130A54"/>
    <w:rsid w:val="00131E05"/>
    <w:rsid w:val="00132E65"/>
    <w:rsid w:val="00132E70"/>
    <w:rsid w:val="00133402"/>
    <w:rsid w:val="00134D37"/>
    <w:rsid w:val="00135011"/>
    <w:rsid w:val="0013548E"/>
    <w:rsid w:val="0013641C"/>
    <w:rsid w:val="001377EB"/>
    <w:rsid w:val="00141C49"/>
    <w:rsid w:val="00141C88"/>
    <w:rsid w:val="0014285A"/>
    <w:rsid w:val="0014388E"/>
    <w:rsid w:val="00145734"/>
    <w:rsid w:val="00146664"/>
    <w:rsid w:val="00146968"/>
    <w:rsid w:val="00147350"/>
    <w:rsid w:val="00150313"/>
    <w:rsid w:val="001503CD"/>
    <w:rsid w:val="00150417"/>
    <w:rsid w:val="0015120D"/>
    <w:rsid w:val="00151AE3"/>
    <w:rsid w:val="00151D5B"/>
    <w:rsid w:val="0015265C"/>
    <w:rsid w:val="00154AED"/>
    <w:rsid w:val="0015543F"/>
    <w:rsid w:val="0015629E"/>
    <w:rsid w:val="00156C54"/>
    <w:rsid w:val="001602B1"/>
    <w:rsid w:val="001607EA"/>
    <w:rsid w:val="0016153B"/>
    <w:rsid w:val="0016156D"/>
    <w:rsid w:val="0016199B"/>
    <w:rsid w:val="00161CE1"/>
    <w:rsid w:val="001623A8"/>
    <w:rsid w:val="00164EE1"/>
    <w:rsid w:val="00165EA0"/>
    <w:rsid w:val="0016782C"/>
    <w:rsid w:val="00167E1A"/>
    <w:rsid w:val="00170C24"/>
    <w:rsid w:val="00176A15"/>
    <w:rsid w:val="00180167"/>
    <w:rsid w:val="00180272"/>
    <w:rsid w:val="00180733"/>
    <w:rsid w:val="001809E2"/>
    <w:rsid w:val="00181A5B"/>
    <w:rsid w:val="001820D1"/>
    <w:rsid w:val="001822D9"/>
    <w:rsid w:val="001829B0"/>
    <w:rsid w:val="001837D4"/>
    <w:rsid w:val="00183D27"/>
    <w:rsid w:val="00185344"/>
    <w:rsid w:val="001864CF"/>
    <w:rsid w:val="001865C6"/>
    <w:rsid w:val="001865FF"/>
    <w:rsid w:val="00186750"/>
    <w:rsid w:val="001872C5"/>
    <w:rsid w:val="001915C7"/>
    <w:rsid w:val="001919CC"/>
    <w:rsid w:val="0019392A"/>
    <w:rsid w:val="00194D9A"/>
    <w:rsid w:val="00194F5F"/>
    <w:rsid w:val="001953A5"/>
    <w:rsid w:val="001A0044"/>
    <w:rsid w:val="001A07F2"/>
    <w:rsid w:val="001A091B"/>
    <w:rsid w:val="001A09FB"/>
    <w:rsid w:val="001A1E48"/>
    <w:rsid w:val="001A247C"/>
    <w:rsid w:val="001A24EA"/>
    <w:rsid w:val="001A2AD4"/>
    <w:rsid w:val="001A2C79"/>
    <w:rsid w:val="001A2EE4"/>
    <w:rsid w:val="001A3994"/>
    <w:rsid w:val="001A3A81"/>
    <w:rsid w:val="001A4819"/>
    <w:rsid w:val="001A67A0"/>
    <w:rsid w:val="001A695D"/>
    <w:rsid w:val="001A6CF8"/>
    <w:rsid w:val="001B07C4"/>
    <w:rsid w:val="001B0A35"/>
    <w:rsid w:val="001B1467"/>
    <w:rsid w:val="001B2725"/>
    <w:rsid w:val="001B29E0"/>
    <w:rsid w:val="001B3C11"/>
    <w:rsid w:val="001B4033"/>
    <w:rsid w:val="001B4237"/>
    <w:rsid w:val="001B47B2"/>
    <w:rsid w:val="001B596F"/>
    <w:rsid w:val="001B5CE8"/>
    <w:rsid w:val="001B6452"/>
    <w:rsid w:val="001B6F65"/>
    <w:rsid w:val="001B7156"/>
    <w:rsid w:val="001C118C"/>
    <w:rsid w:val="001C1C32"/>
    <w:rsid w:val="001C40DD"/>
    <w:rsid w:val="001C463E"/>
    <w:rsid w:val="001C4CE3"/>
    <w:rsid w:val="001C52BA"/>
    <w:rsid w:val="001C5AA3"/>
    <w:rsid w:val="001C5C2B"/>
    <w:rsid w:val="001C7914"/>
    <w:rsid w:val="001D0674"/>
    <w:rsid w:val="001D0A95"/>
    <w:rsid w:val="001D0F58"/>
    <w:rsid w:val="001D1184"/>
    <w:rsid w:val="001D18A3"/>
    <w:rsid w:val="001D24A0"/>
    <w:rsid w:val="001D2F40"/>
    <w:rsid w:val="001D3958"/>
    <w:rsid w:val="001D3DC3"/>
    <w:rsid w:val="001D4A05"/>
    <w:rsid w:val="001D666F"/>
    <w:rsid w:val="001D6F28"/>
    <w:rsid w:val="001D7559"/>
    <w:rsid w:val="001E1FDB"/>
    <w:rsid w:val="001E24A0"/>
    <w:rsid w:val="001E523E"/>
    <w:rsid w:val="001E5CB0"/>
    <w:rsid w:val="001E6529"/>
    <w:rsid w:val="001E72F3"/>
    <w:rsid w:val="001E73AE"/>
    <w:rsid w:val="001E7B3E"/>
    <w:rsid w:val="001F0514"/>
    <w:rsid w:val="001F0F4C"/>
    <w:rsid w:val="001F1AE5"/>
    <w:rsid w:val="001F1EDA"/>
    <w:rsid w:val="001F1EDB"/>
    <w:rsid w:val="001F2D26"/>
    <w:rsid w:val="001F4836"/>
    <w:rsid w:val="001F5094"/>
    <w:rsid w:val="001F591C"/>
    <w:rsid w:val="001F6A39"/>
    <w:rsid w:val="001F6E21"/>
    <w:rsid w:val="001F70AF"/>
    <w:rsid w:val="001F79C4"/>
    <w:rsid w:val="00200D33"/>
    <w:rsid w:val="00201563"/>
    <w:rsid w:val="0020190A"/>
    <w:rsid w:val="00203AB8"/>
    <w:rsid w:val="00204603"/>
    <w:rsid w:val="0020511C"/>
    <w:rsid w:val="00205425"/>
    <w:rsid w:val="00205844"/>
    <w:rsid w:val="00206A8D"/>
    <w:rsid w:val="002071A0"/>
    <w:rsid w:val="0020752D"/>
    <w:rsid w:val="002078CF"/>
    <w:rsid w:val="00211947"/>
    <w:rsid w:val="002128C6"/>
    <w:rsid w:val="00212F4D"/>
    <w:rsid w:val="00213251"/>
    <w:rsid w:val="00213D4E"/>
    <w:rsid w:val="002169DB"/>
    <w:rsid w:val="00216AE2"/>
    <w:rsid w:val="002170D3"/>
    <w:rsid w:val="002201F9"/>
    <w:rsid w:val="00220363"/>
    <w:rsid w:val="00220D09"/>
    <w:rsid w:val="00221333"/>
    <w:rsid w:val="00221606"/>
    <w:rsid w:val="00221B5F"/>
    <w:rsid w:val="0022215E"/>
    <w:rsid w:val="00222FE3"/>
    <w:rsid w:val="00223D21"/>
    <w:rsid w:val="00224810"/>
    <w:rsid w:val="00225C69"/>
    <w:rsid w:val="002267EA"/>
    <w:rsid w:val="0022768D"/>
    <w:rsid w:val="00230996"/>
    <w:rsid w:val="0023347E"/>
    <w:rsid w:val="002339F3"/>
    <w:rsid w:val="00233B04"/>
    <w:rsid w:val="002347F7"/>
    <w:rsid w:val="00234C04"/>
    <w:rsid w:val="002351B5"/>
    <w:rsid w:val="0024027B"/>
    <w:rsid w:val="0024043A"/>
    <w:rsid w:val="002412D0"/>
    <w:rsid w:val="002416F4"/>
    <w:rsid w:val="002426B6"/>
    <w:rsid w:val="00243205"/>
    <w:rsid w:val="0024414C"/>
    <w:rsid w:val="0024447F"/>
    <w:rsid w:val="002444E7"/>
    <w:rsid w:val="00244690"/>
    <w:rsid w:val="0024534E"/>
    <w:rsid w:val="0024569B"/>
    <w:rsid w:val="00246351"/>
    <w:rsid w:val="002463F9"/>
    <w:rsid w:val="0025246E"/>
    <w:rsid w:val="00254613"/>
    <w:rsid w:val="00255EE8"/>
    <w:rsid w:val="00256D10"/>
    <w:rsid w:val="00257C5B"/>
    <w:rsid w:val="00261B2D"/>
    <w:rsid w:val="00261E81"/>
    <w:rsid w:val="00262373"/>
    <w:rsid w:val="00263585"/>
    <w:rsid w:val="00264D37"/>
    <w:rsid w:val="0026576B"/>
    <w:rsid w:val="00267773"/>
    <w:rsid w:val="00270112"/>
    <w:rsid w:val="002711AC"/>
    <w:rsid w:val="0027174A"/>
    <w:rsid w:val="00273AF6"/>
    <w:rsid w:val="00275A0E"/>
    <w:rsid w:val="0027674A"/>
    <w:rsid w:val="00276AED"/>
    <w:rsid w:val="002807D9"/>
    <w:rsid w:val="00280808"/>
    <w:rsid w:val="002838A3"/>
    <w:rsid w:val="00284A26"/>
    <w:rsid w:val="0028534C"/>
    <w:rsid w:val="0029022C"/>
    <w:rsid w:val="00292EB6"/>
    <w:rsid w:val="00294624"/>
    <w:rsid w:val="002951EC"/>
    <w:rsid w:val="00297104"/>
    <w:rsid w:val="002978EA"/>
    <w:rsid w:val="002A1CCE"/>
    <w:rsid w:val="002A1D2C"/>
    <w:rsid w:val="002A24F5"/>
    <w:rsid w:val="002A31AA"/>
    <w:rsid w:val="002A4C29"/>
    <w:rsid w:val="002A5003"/>
    <w:rsid w:val="002A673A"/>
    <w:rsid w:val="002A6F88"/>
    <w:rsid w:val="002A771D"/>
    <w:rsid w:val="002B1398"/>
    <w:rsid w:val="002B204F"/>
    <w:rsid w:val="002B2F1F"/>
    <w:rsid w:val="002B45D1"/>
    <w:rsid w:val="002B487A"/>
    <w:rsid w:val="002B4981"/>
    <w:rsid w:val="002B4CBD"/>
    <w:rsid w:val="002C0205"/>
    <w:rsid w:val="002C0377"/>
    <w:rsid w:val="002C0737"/>
    <w:rsid w:val="002C07DE"/>
    <w:rsid w:val="002C0968"/>
    <w:rsid w:val="002C3CFC"/>
    <w:rsid w:val="002C456B"/>
    <w:rsid w:val="002C4823"/>
    <w:rsid w:val="002C4E0E"/>
    <w:rsid w:val="002C4E8C"/>
    <w:rsid w:val="002C5AE2"/>
    <w:rsid w:val="002C6A7A"/>
    <w:rsid w:val="002C7F97"/>
    <w:rsid w:val="002D0769"/>
    <w:rsid w:val="002D08AF"/>
    <w:rsid w:val="002D14E8"/>
    <w:rsid w:val="002D169B"/>
    <w:rsid w:val="002D2654"/>
    <w:rsid w:val="002D3454"/>
    <w:rsid w:val="002D3741"/>
    <w:rsid w:val="002D4069"/>
    <w:rsid w:val="002D4A35"/>
    <w:rsid w:val="002D53B0"/>
    <w:rsid w:val="002D6785"/>
    <w:rsid w:val="002D78C8"/>
    <w:rsid w:val="002D7D37"/>
    <w:rsid w:val="002E0D03"/>
    <w:rsid w:val="002E10E3"/>
    <w:rsid w:val="002E126A"/>
    <w:rsid w:val="002E1819"/>
    <w:rsid w:val="002E1B35"/>
    <w:rsid w:val="002E264B"/>
    <w:rsid w:val="002E3A83"/>
    <w:rsid w:val="002E3E22"/>
    <w:rsid w:val="002E4285"/>
    <w:rsid w:val="002E4642"/>
    <w:rsid w:val="002E4B3A"/>
    <w:rsid w:val="002E5D74"/>
    <w:rsid w:val="002E61EA"/>
    <w:rsid w:val="002E6511"/>
    <w:rsid w:val="002E75AF"/>
    <w:rsid w:val="002E7A90"/>
    <w:rsid w:val="002E7EC3"/>
    <w:rsid w:val="002E7F3C"/>
    <w:rsid w:val="002F15A1"/>
    <w:rsid w:val="002F25DE"/>
    <w:rsid w:val="002F355F"/>
    <w:rsid w:val="002F4C4A"/>
    <w:rsid w:val="002F4F0D"/>
    <w:rsid w:val="002F576B"/>
    <w:rsid w:val="002F593A"/>
    <w:rsid w:val="002F5AE7"/>
    <w:rsid w:val="002F5BF7"/>
    <w:rsid w:val="002F6E11"/>
    <w:rsid w:val="0030099E"/>
    <w:rsid w:val="00301B04"/>
    <w:rsid w:val="003022AC"/>
    <w:rsid w:val="00302B7E"/>
    <w:rsid w:val="00303B58"/>
    <w:rsid w:val="00303F9D"/>
    <w:rsid w:val="003071B6"/>
    <w:rsid w:val="00307994"/>
    <w:rsid w:val="00311134"/>
    <w:rsid w:val="003127AF"/>
    <w:rsid w:val="0031314D"/>
    <w:rsid w:val="00313166"/>
    <w:rsid w:val="003136D8"/>
    <w:rsid w:val="0031538A"/>
    <w:rsid w:val="00315A4E"/>
    <w:rsid w:val="00317099"/>
    <w:rsid w:val="003170B2"/>
    <w:rsid w:val="00317266"/>
    <w:rsid w:val="0031734F"/>
    <w:rsid w:val="00320A7A"/>
    <w:rsid w:val="00321624"/>
    <w:rsid w:val="003224F1"/>
    <w:rsid w:val="00323C98"/>
    <w:rsid w:val="00323DF0"/>
    <w:rsid w:val="003257B9"/>
    <w:rsid w:val="00327600"/>
    <w:rsid w:val="003277D6"/>
    <w:rsid w:val="00331EF7"/>
    <w:rsid w:val="003326E4"/>
    <w:rsid w:val="00332830"/>
    <w:rsid w:val="00333600"/>
    <w:rsid w:val="003367F5"/>
    <w:rsid w:val="00340097"/>
    <w:rsid w:val="003405DF"/>
    <w:rsid w:val="00340945"/>
    <w:rsid w:val="00341662"/>
    <w:rsid w:val="00341675"/>
    <w:rsid w:val="00341E7C"/>
    <w:rsid w:val="00342B1B"/>
    <w:rsid w:val="00344C85"/>
    <w:rsid w:val="003453BD"/>
    <w:rsid w:val="00345899"/>
    <w:rsid w:val="00346273"/>
    <w:rsid w:val="003477F7"/>
    <w:rsid w:val="00347FF1"/>
    <w:rsid w:val="0035105A"/>
    <w:rsid w:val="00351774"/>
    <w:rsid w:val="00351D32"/>
    <w:rsid w:val="0035208F"/>
    <w:rsid w:val="003551E8"/>
    <w:rsid w:val="00355A8C"/>
    <w:rsid w:val="003565F8"/>
    <w:rsid w:val="00356800"/>
    <w:rsid w:val="0035779A"/>
    <w:rsid w:val="00361C34"/>
    <w:rsid w:val="00362B21"/>
    <w:rsid w:val="00362F90"/>
    <w:rsid w:val="0036471C"/>
    <w:rsid w:val="00364B8D"/>
    <w:rsid w:val="003654EF"/>
    <w:rsid w:val="00365928"/>
    <w:rsid w:val="00366CAE"/>
    <w:rsid w:val="00366D76"/>
    <w:rsid w:val="0036797A"/>
    <w:rsid w:val="00370570"/>
    <w:rsid w:val="003708AB"/>
    <w:rsid w:val="00373BE5"/>
    <w:rsid w:val="00374401"/>
    <w:rsid w:val="00375560"/>
    <w:rsid w:val="003770F6"/>
    <w:rsid w:val="003774D8"/>
    <w:rsid w:val="00377B46"/>
    <w:rsid w:val="00377B96"/>
    <w:rsid w:val="00380602"/>
    <w:rsid w:val="00380A4C"/>
    <w:rsid w:val="0038171D"/>
    <w:rsid w:val="00381A6B"/>
    <w:rsid w:val="003823A5"/>
    <w:rsid w:val="003825A9"/>
    <w:rsid w:val="003836E4"/>
    <w:rsid w:val="0038383A"/>
    <w:rsid w:val="00383ECB"/>
    <w:rsid w:val="00385FE5"/>
    <w:rsid w:val="00390CEC"/>
    <w:rsid w:val="00391640"/>
    <w:rsid w:val="00392C2D"/>
    <w:rsid w:val="00392D30"/>
    <w:rsid w:val="003931D7"/>
    <w:rsid w:val="003936D1"/>
    <w:rsid w:val="00393F0E"/>
    <w:rsid w:val="003940E0"/>
    <w:rsid w:val="0039500E"/>
    <w:rsid w:val="00395734"/>
    <w:rsid w:val="003971E4"/>
    <w:rsid w:val="003A1411"/>
    <w:rsid w:val="003A2F11"/>
    <w:rsid w:val="003A439D"/>
    <w:rsid w:val="003A54F6"/>
    <w:rsid w:val="003A604C"/>
    <w:rsid w:val="003A7A25"/>
    <w:rsid w:val="003B0B13"/>
    <w:rsid w:val="003B0DF7"/>
    <w:rsid w:val="003B1653"/>
    <w:rsid w:val="003B181C"/>
    <w:rsid w:val="003B3F97"/>
    <w:rsid w:val="003B4003"/>
    <w:rsid w:val="003B4093"/>
    <w:rsid w:val="003B4285"/>
    <w:rsid w:val="003B49DA"/>
    <w:rsid w:val="003B66EA"/>
    <w:rsid w:val="003C07FD"/>
    <w:rsid w:val="003C08B7"/>
    <w:rsid w:val="003C100F"/>
    <w:rsid w:val="003C2FFF"/>
    <w:rsid w:val="003C3509"/>
    <w:rsid w:val="003C3975"/>
    <w:rsid w:val="003C3B56"/>
    <w:rsid w:val="003C4E1B"/>
    <w:rsid w:val="003C56FF"/>
    <w:rsid w:val="003C5830"/>
    <w:rsid w:val="003C6AD8"/>
    <w:rsid w:val="003C7744"/>
    <w:rsid w:val="003D04AA"/>
    <w:rsid w:val="003D2CEC"/>
    <w:rsid w:val="003D34BE"/>
    <w:rsid w:val="003D57F4"/>
    <w:rsid w:val="003D637B"/>
    <w:rsid w:val="003D65E7"/>
    <w:rsid w:val="003D6C0B"/>
    <w:rsid w:val="003D6C8E"/>
    <w:rsid w:val="003D7790"/>
    <w:rsid w:val="003D7A94"/>
    <w:rsid w:val="003E0662"/>
    <w:rsid w:val="003E19C5"/>
    <w:rsid w:val="003E1E68"/>
    <w:rsid w:val="003E2CB6"/>
    <w:rsid w:val="003E588D"/>
    <w:rsid w:val="003E60ED"/>
    <w:rsid w:val="003E6BBF"/>
    <w:rsid w:val="003E7A24"/>
    <w:rsid w:val="003E7C2D"/>
    <w:rsid w:val="003F0EAE"/>
    <w:rsid w:val="003F1DFD"/>
    <w:rsid w:val="003F4374"/>
    <w:rsid w:val="003F44DF"/>
    <w:rsid w:val="003F5333"/>
    <w:rsid w:val="003F5FAF"/>
    <w:rsid w:val="003F5FC8"/>
    <w:rsid w:val="003F69AD"/>
    <w:rsid w:val="003F70C5"/>
    <w:rsid w:val="003F75AA"/>
    <w:rsid w:val="00400104"/>
    <w:rsid w:val="004008F6"/>
    <w:rsid w:val="004015CD"/>
    <w:rsid w:val="00401C22"/>
    <w:rsid w:val="00402C6E"/>
    <w:rsid w:val="00404001"/>
    <w:rsid w:val="00404657"/>
    <w:rsid w:val="0040516E"/>
    <w:rsid w:val="0040518D"/>
    <w:rsid w:val="00405E6E"/>
    <w:rsid w:val="00406323"/>
    <w:rsid w:val="00411188"/>
    <w:rsid w:val="00411272"/>
    <w:rsid w:val="00413DF0"/>
    <w:rsid w:val="00414263"/>
    <w:rsid w:val="00414BCA"/>
    <w:rsid w:val="0041633D"/>
    <w:rsid w:val="004168A4"/>
    <w:rsid w:val="004173B9"/>
    <w:rsid w:val="0041785A"/>
    <w:rsid w:val="00417B3C"/>
    <w:rsid w:val="004201B5"/>
    <w:rsid w:val="00420F5D"/>
    <w:rsid w:val="004220C6"/>
    <w:rsid w:val="00422B94"/>
    <w:rsid w:val="00422F9F"/>
    <w:rsid w:val="00426E1C"/>
    <w:rsid w:val="0042700B"/>
    <w:rsid w:val="004279FB"/>
    <w:rsid w:val="004305C0"/>
    <w:rsid w:val="00431896"/>
    <w:rsid w:val="00432354"/>
    <w:rsid w:val="0043239D"/>
    <w:rsid w:val="00433AEA"/>
    <w:rsid w:val="00435C96"/>
    <w:rsid w:val="00436046"/>
    <w:rsid w:val="00440597"/>
    <w:rsid w:val="004406DF"/>
    <w:rsid w:val="00440764"/>
    <w:rsid w:val="00441C53"/>
    <w:rsid w:val="00442449"/>
    <w:rsid w:val="004426FD"/>
    <w:rsid w:val="00442D78"/>
    <w:rsid w:val="00443427"/>
    <w:rsid w:val="004440D3"/>
    <w:rsid w:val="00445E4D"/>
    <w:rsid w:val="00446939"/>
    <w:rsid w:val="00451748"/>
    <w:rsid w:val="004531BA"/>
    <w:rsid w:val="0045536E"/>
    <w:rsid w:val="0045665A"/>
    <w:rsid w:val="00460A1C"/>
    <w:rsid w:val="00460D1B"/>
    <w:rsid w:val="00461F8F"/>
    <w:rsid w:val="00462605"/>
    <w:rsid w:val="0046331E"/>
    <w:rsid w:val="0046471A"/>
    <w:rsid w:val="004652B5"/>
    <w:rsid w:val="00465D01"/>
    <w:rsid w:val="004664E5"/>
    <w:rsid w:val="00466BE1"/>
    <w:rsid w:val="00466EE2"/>
    <w:rsid w:val="00467264"/>
    <w:rsid w:val="00467759"/>
    <w:rsid w:val="00470E0A"/>
    <w:rsid w:val="00471786"/>
    <w:rsid w:val="004720B7"/>
    <w:rsid w:val="004733CD"/>
    <w:rsid w:val="0047395D"/>
    <w:rsid w:val="0047541A"/>
    <w:rsid w:val="0047552D"/>
    <w:rsid w:val="00475F78"/>
    <w:rsid w:val="004763E7"/>
    <w:rsid w:val="00476412"/>
    <w:rsid w:val="00477405"/>
    <w:rsid w:val="00480AD3"/>
    <w:rsid w:val="0048332D"/>
    <w:rsid w:val="00484816"/>
    <w:rsid w:val="00486C8A"/>
    <w:rsid w:val="00487051"/>
    <w:rsid w:val="00487AA2"/>
    <w:rsid w:val="00490982"/>
    <w:rsid w:val="0049143A"/>
    <w:rsid w:val="00491683"/>
    <w:rsid w:val="00491787"/>
    <w:rsid w:val="00492056"/>
    <w:rsid w:val="00492695"/>
    <w:rsid w:val="00496669"/>
    <w:rsid w:val="00497028"/>
    <w:rsid w:val="004A0D0B"/>
    <w:rsid w:val="004A1800"/>
    <w:rsid w:val="004A40A7"/>
    <w:rsid w:val="004A4FC7"/>
    <w:rsid w:val="004A531A"/>
    <w:rsid w:val="004B0178"/>
    <w:rsid w:val="004B0D96"/>
    <w:rsid w:val="004B14CE"/>
    <w:rsid w:val="004B15F5"/>
    <w:rsid w:val="004B27A2"/>
    <w:rsid w:val="004B38CD"/>
    <w:rsid w:val="004B4DD6"/>
    <w:rsid w:val="004B5B71"/>
    <w:rsid w:val="004B5D30"/>
    <w:rsid w:val="004B6C64"/>
    <w:rsid w:val="004B6D3C"/>
    <w:rsid w:val="004C1881"/>
    <w:rsid w:val="004C3757"/>
    <w:rsid w:val="004C39B0"/>
    <w:rsid w:val="004C4283"/>
    <w:rsid w:val="004C48F9"/>
    <w:rsid w:val="004C64E0"/>
    <w:rsid w:val="004D0440"/>
    <w:rsid w:val="004D1494"/>
    <w:rsid w:val="004D2845"/>
    <w:rsid w:val="004D28D0"/>
    <w:rsid w:val="004D3BFA"/>
    <w:rsid w:val="004D4A7D"/>
    <w:rsid w:val="004D5C9F"/>
    <w:rsid w:val="004D76AE"/>
    <w:rsid w:val="004D7D64"/>
    <w:rsid w:val="004D7FB3"/>
    <w:rsid w:val="004E0A1B"/>
    <w:rsid w:val="004E1C83"/>
    <w:rsid w:val="004E2B78"/>
    <w:rsid w:val="004E2C0D"/>
    <w:rsid w:val="004E2E08"/>
    <w:rsid w:val="004E2F6D"/>
    <w:rsid w:val="004E30B3"/>
    <w:rsid w:val="004E3213"/>
    <w:rsid w:val="004E4D0F"/>
    <w:rsid w:val="004E55B6"/>
    <w:rsid w:val="004E61F8"/>
    <w:rsid w:val="004E627E"/>
    <w:rsid w:val="004E6829"/>
    <w:rsid w:val="004E76D0"/>
    <w:rsid w:val="004F03CC"/>
    <w:rsid w:val="004F03F4"/>
    <w:rsid w:val="004F0AB3"/>
    <w:rsid w:val="004F1F98"/>
    <w:rsid w:val="004F2784"/>
    <w:rsid w:val="004F2C98"/>
    <w:rsid w:val="004F30AE"/>
    <w:rsid w:val="004F3338"/>
    <w:rsid w:val="004F3AE7"/>
    <w:rsid w:val="004F3B43"/>
    <w:rsid w:val="004F4FC6"/>
    <w:rsid w:val="004F57FE"/>
    <w:rsid w:val="004F5D04"/>
    <w:rsid w:val="004F77E8"/>
    <w:rsid w:val="004F78EB"/>
    <w:rsid w:val="004F7A41"/>
    <w:rsid w:val="004F7C74"/>
    <w:rsid w:val="005019BF"/>
    <w:rsid w:val="00501C4D"/>
    <w:rsid w:val="00502AD4"/>
    <w:rsid w:val="005040AD"/>
    <w:rsid w:val="00504A6B"/>
    <w:rsid w:val="00505788"/>
    <w:rsid w:val="00507170"/>
    <w:rsid w:val="00510D65"/>
    <w:rsid w:val="00510FF2"/>
    <w:rsid w:val="00511E6C"/>
    <w:rsid w:val="005157E6"/>
    <w:rsid w:val="00515D58"/>
    <w:rsid w:val="005214D7"/>
    <w:rsid w:val="005217AE"/>
    <w:rsid w:val="0052299B"/>
    <w:rsid w:val="00523011"/>
    <w:rsid w:val="005231B8"/>
    <w:rsid w:val="0052493B"/>
    <w:rsid w:val="0052506B"/>
    <w:rsid w:val="00525D02"/>
    <w:rsid w:val="005264A1"/>
    <w:rsid w:val="0052755F"/>
    <w:rsid w:val="00527CB3"/>
    <w:rsid w:val="00530589"/>
    <w:rsid w:val="005316D8"/>
    <w:rsid w:val="00531DDE"/>
    <w:rsid w:val="00532104"/>
    <w:rsid w:val="005324FC"/>
    <w:rsid w:val="005343B5"/>
    <w:rsid w:val="005346A8"/>
    <w:rsid w:val="00535B28"/>
    <w:rsid w:val="005361A7"/>
    <w:rsid w:val="005363E6"/>
    <w:rsid w:val="00536940"/>
    <w:rsid w:val="00536B17"/>
    <w:rsid w:val="005370C7"/>
    <w:rsid w:val="00537116"/>
    <w:rsid w:val="005374FA"/>
    <w:rsid w:val="005379A0"/>
    <w:rsid w:val="0054081F"/>
    <w:rsid w:val="00541002"/>
    <w:rsid w:val="0054218B"/>
    <w:rsid w:val="00542229"/>
    <w:rsid w:val="00544037"/>
    <w:rsid w:val="005446E7"/>
    <w:rsid w:val="00547C3C"/>
    <w:rsid w:val="005519C0"/>
    <w:rsid w:val="005526E7"/>
    <w:rsid w:val="00552C2F"/>
    <w:rsid w:val="00554645"/>
    <w:rsid w:val="00554DE2"/>
    <w:rsid w:val="00554DF0"/>
    <w:rsid w:val="005552A5"/>
    <w:rsid w:val="005553CC"/>
    <w:rsid w:val="00555C07"/>
    <w:rsid w:val="005577B5"/>
    <w:rsid w:val="005605AD"/>
    <w:rsid w:val="0056136E"/>
    <w:rsid w:val="00561E96"/>
    <w:rsid w:val="005631D5"/>
    <w:rsid w:val="00563BB7"/>
    <w:rsid w:val="0056434B"/>
    <w:rsid w:val="00564C16"/>
    <w:rsid w:val="005657EA"/>
    <w:rsid w:val="00567DC4"/>
    <w:rsid w:val="00570976"/>
    <w:rsid w:val="00570B14"/>
    <w:rsid w:val="00570D00"/>
    <w:rsid w:val="005721EB"/>
    <w:rsid w:val="00572FFB"/>
    <w:rsid w:val="00573AE0"/>
    <w:rsid w:val="005740D9"/>
    <w:rsid w:val="005761DD"/>
    <w:rsid w:val="005804C2"/>
    <w:rsid w:val="00580667"/>
    <w:rsid w:val="00580A28"/>
    <w:rsid w:val="00581E5D"/>
    <w:rsid w:val="00581FA9"/>
    <w:rsid w:val="0058200E"/>
    <w:rsid w:val="005820FB"/>
    <w:rsid w:val="00582872"/>
    <w:rsid w:val="00583F50"/>
    <w:rsid w:val="005843E0"/>
    <w:rsid w:val="005854BE"/>
    <w:rsid w:val="00585557"/>
    <w:rsid w:val="00585E73"/>
    <w:rsid w:val="00587714"/>
    <w:rsid w:val="00587C3D"/>
    <w:rsid w:val="00587D60"/>
    <w:rsid w:val="00590348"/>
    <w:rsid w:val="0059131D"/>
    <w:rsid w:val="00592AA9"/>
    <w:rsid w:val="005930C5"/>
    <w:rsid w:val="00594764"/>
    <w:rsid w:val="00594E62"/>
    <w:rsid w:val="00594EEE"/>
    <w:rsid w:val="00595032"/>
    <w:rsid w:val="005973E6"/>
    <w:rsid w:val="005974F7"/>
    <w:rsid w:val="005A03D1"/>
    <w:rsid w:val="005A05BC"/>
    <w:rsid w:val="005A169B"/>
    <w:rsid w:val="005A26BC"/>
    <w:rsid w:val="005A2736"/>
    <w:rsid w:val="005A3939"/>
    <w:rsid w:val="005A39B8"/>
    <w:rsid w:val="005A4369"/>
    <w:rsid w:val="005A4767"/>
    <w:rsid w:val="005A5372"/>
    <w:rsid w:val="005A603C"/>
    <w:rsid w:val="005A66A2"/>
    <w:rsid w:val="005A6A6A"/>
    <w:rsid w:val="005B069B"/>
    <w:rsid w:val="005B247E"/>
    <w:rsid w:val="005B30C9"/>
    <w:rsid w:val="005B55BA"/>
    <w:rsid w:val="005B74D8"/>
    <w:rsid w:val="005C0169"/>
    <w:rsid w:val="005C10DD"/>
    <w:rsid w:val="005C2514"/>
    <w:rsid w:val="005C31C1"/>
    <w:rsid w:val="005C34D7"/>
    <w:rsid w:val="005C3784"/>
    <w:rsid w:val="005C3AD8"/>
    <w:rsid w:val="005C3E72"/>
    <w:rsid w:val="005C466C"/>
    <w:rsid w:val="005C4C98"/>
    <w:rsid w:val="005C56F1"/>
    <w:rsid w:val="005C58A9"/>
    <w:rsid w:val="005C64B3"/>
    <w:rsid w:val="005C6B60"/>
    <w:rsid w:val="005C75E8"/>
    <w:rsid w:val="005C7721"/>
    <w:rsid w:val="005C7A29"/>
    <w:rsid w:val="005D0C7D"/>
    <w:rsid w:val="005D0C99"/>
    <w:rsid w:val="005D19EF"/>
    <w:rsid w:val="005D2398"/>
    <w:rsid w:val="005D3C8E"/>
    <w:rsid w:val="005D3E92"/>
    <w:rsid w:val="005D402F"/>
    <w:rsid w:val="005D636A"/>
    <w:rsid w:val="005D7451"/>
    <w:rsid w:val="005D7926"/>
    <w:rsid w:val="005D7B25"/>
    <w:rsid w:val="005D7B38"/>
    <w:rsid w:val="005E0923"/>
    <w:rsid w:val="005E0E69"/>
    <w:rsid w:val="005E2988"/>
    <w:rsid w:val="005E2B56"/>
    <w:rsid w:val="005E30C3"/>
    <w:rsid w:val="005E311D"/>
    <w:rsid w:val="005E36A8"/>
    <w:rsid w:val="005E3EAC"/>
    <w:rsid w:val="005E477F"/>
    <w:rsid w:val="005E4C41"/>
    <w:rsid w:val="005E54E0"/>
    <w:rsid w:val="005E6F7A"/>
    <w:rsid w:val="005E70CC"/>
    <w:rsid w:val="005E7F08"/>
    <w:rsid w:val="005F0108"/>
    <w:rsid w:val="005F0D29"/>
    <w:rsid w:val="005F2F3B"/>
    <w:rsid w:val="005F30C9"/>
    <w:rsid w:val="005F5478"/>
    <w:rsid w:val="005F59CA"/>
    <w:rsid w:val="005F5AE0"/>
    <w:rsid w:val="005F5BA6"/>
    <w:rsid w:val="005F70BF"/>
    <w:rsid w:val="005F77FF"/>
    <w:rsid w:val="0060216C"/>
    <w:rsid w:val="00602631"/>
    <w:rsid w:val="006034B8"/>
    <w:rsid w:val="00603E5F"/>
    <w:rsid w:val="006041F6"/>
    <w:rsid w:val="0060424D"/>
    <w:rsid w:val="00607327"/>
    <w:rsid w:val="00607BAA"/>
    <w:rsid w:val="00612794"/>
    <w:rsid w:val="006127F6"/>
    <w:rsid w:val="00612DD1"/>
    <w:rsid w:val="00612F8D"/>
    <w:rsid w:val="006140D2"/>
    <w:rsid w:val="00615281"/>
    <w:rsid w:val="00615CB2"/>
    <w:rsid w:val="00616ADA"/>
    <w:rsid w:val="00616BEA"/>
    <w:rsid w:val="00620DE2"/>
    <w:rsid w:val="00621C79"/>
    <w:rsid w:val="00621D58"/>
    <w:rsid w:val="0062330C"/>
    <w:rsid w:val="0062368A"/>
    <w:rsid w:val="006240BD"/>
    <w:rsid w:val="0062489C"/>
    <w:rsid w:val="00624E42"/>
    <w:rsid w:val="00625B07"/>
    <w:rsid w:val="00626256"/>
    <w:rsid w:val="00626BA4"/>
    <w:rsid w:val="00626F55"/>
    <w:rsid w:val="0062762D"/>
    <w:rsid w:val="00631C3D"/>
    <w:rsid w:val="00631EAF"/>
    <w:rsid w:val="00632C31"/>
    <w:rsid w:val="00632EA0"/>
    <w:rsid w:val="0063301B"/>
    <w:rsid w:val="006340C0"/>
    <w:rsid w:val="00635641"/>
    <w:rsid w:val="00635AF8"/>
    <w:rsid w:val="0063650D"/>
    <w:rsid w:val="00637FAA"/>
    <w:rsid w:val="0064126A"/>
    <w:rsid w:val="00641693"/>
    <w:rsid w:val="006449BF"/>
    <w:rsid w:val="00645394"/>
    <w:rsid w:val="006458BA"/>
    <w:rsid w:val="0064599D"/>
    <w:rsid w:val="0064780A"/>
    <w:rsid w:val="00647898"/>
    <w:rsid w:val="00647BD2"/>
    <w:rsid w:val="006505F5"/>
    <w:rsid w:val="00651244"/>
    <w:rsid w:val="00652C9C"/>
    <w:rsid w:val="00655332"/>
    <w:rsid w:val="006555FA"/>
    <w:rsid w:val="00656547"/>
    <w:rsid w:val="0065730A"/>
    <w:rsid w:val="006574A0"/>
    <w:rsid w:val="0065788C"/>
    <w:rsid w:val="006608B9"/>
    <w:rsid w:val="006617A0"/>
    <w:rsid w:val="006632A4"/>
    <w:rsid w:val="00664021"/>
    <w:rsid w:val="00664213"/>
    <w:rsid w:val="006674BF"/>
    <w:rsid w:val="006676E8"/>
    <w:rsid w:val="006679ED"/>
    <w:rsid w:val="006700B1"/>
    <w:rsid w:val="00670247"/>
    <w:rsid w:val="006705A4"/>
    <w:rsid w:val="006705BA"/>
    <w:rsid w:val="006734B1"/>
    <w:rsid w:val="00673A3E"/>
    <w:rsid w:val="00673FE4"/>
    <w:rsid w:val="00674B3E"/>
    <w:rsid w:val="006751CB"/>
    <w:rsid w:val="006762EA"/>
    <w:rsid w:val="00677C98"/>
    <w:rsid w:val="0068056C"/>
    <w:rsid w:val="00680789"/>
    <w:rsid w:val="00681B2E"/>
    <w:rsid w:val="00682218"/>
    <w:rsid w:val="00682AD3"/>
    <w:rsid w:val="00682C2A"/>
    <w:rsid w:val="0068353D"/>
    <w:rsid w:val="006841B6"/>
    <w:rsid w:val="0068469E"/>
    <w:rsid w:val="00685F59"/>
    <w:rsid w:val="00686AC0"/>
    <w:rsid w:val="00686C0A"/>
    <w:rsid w:val="00687BB6"/>
    <w:rsid w:val="00687D39"/>
    <w:rsid w:val="00690713"/>
    <w:rsid w:val="00691224"/>
    <w:rsid w:val="006918AD"/>
    <w:rsid w:val="00692C07"/>
    <w:rsid w:val="00694A61"/>
    <w:rsid w:val="00695547"/>
    <w:rsid w:val="00695766"/>
    <w:rsid w:val="00695970"/>
    <w:rsid w:val="00697D1A"/>
    <w:rsid w:val="00697F39"/>
    <w:rsid w:val="00697FB9"/>
    <w:rsid w:val="006A101D"/>
    <w:rsid w:val="006A19A5"/>
    <w:rsid w:val="006A214A"/>
    <w:rsid w:val="006A3021"/>
    <w:rsid w:val="006A315A"/>
    <w:rsid w:val="006A4CF3"/>
    <w:rsid w:val="006A5A9C"/>
    <w:rsid w:val="006A5F41"/>
    <w:rsid w:val="006A6902"/>
    <w:rsid w:val="006A6A98"/>
    <w:rsid w:val="006B018D"/>
    <w:rsid w:val="006B0416"/>
    <w:rsid w:val="006B0553"/>
    <w:rsid w:val="006B146F"/>
    <w:rsid w:val="006B161B"/>
    <w:rsid w:val="006B1684"/>
    <w:rsid w:val="006B2628"/>
    <w:rsid w:val="006B2CDC"/>
    <w:rsid w:val="006B3A17"/>
    <w:rsid w:val="006B42DB"/>
    <w:rsid w:val="006B4FA4"/>
    <w:rsid w:val="006B65A4"/>
    <w:rsid w:val="006B6AA7"/>
    <w:rsid w:val="006B6E0C"/>
    <w:rsid w:val="006B74A8"/>
    <w:rsid w:val="006B75C5"/>
    <w:rsid w:val="006C1808"/>
    <w:rsid w:val="006C1850"/>
    <w:rsid w:val="006C241F"/>
    <w:rsid w:val="006C248C"/>
    <w:rsid w:val="006C2895"/>
    <w:rsid w:val="006C29C7"/>
    <w:rsid w:val="006C3B58"/>
    <w:rsid w:val="006C3CCD"/>
    <w:rsid w:val="006C5074"/>
    <w:rsid w:val="006C6C4E"/>
    <w:rsid w:val="006C7622"/>
    <w:rsid w:val="006C77E7"/>
    <w:rsid w:val="006C7EB4"/>
    <w:rsid w:val="006D0435"/>
    <w:rsid w:val="006D04AD"/>
    <w:rsid w:val="006D069C"/>
    <w:rsid w:val="006D08C1"/>
    <w:rsid w:val="006D1AF9"/>
    <w:rsid w:val="006D1D1C"/>
    <w:rsid w:val="006D1E53"/>
    <w:rsid w:val="006D2654"/>
    <w:rsid w:val="006D29C9"/>
    <w:rsid w:val="006D493F"/>
    <w:rsid w:val="006D49DA"/>
    <w:rsid w:val="006D4BFD"/>
    <w:rsid w:val="006D5625"/>
    <w:rsid w:val="006D5CDF"/>
    <w:rsid w:val="006D5FB5"/>
    <w:rsid w:val="006D770C"/>
    <w:rsid w:val="006E16E1"/>
    <w:rsid w:val="006E1B4B"/>
    <w:rsid w:val="006E1DA5"/>
    <w:rsid w:val="006E208A"/>
    <w:rsid w:val="006E209C"/>
    <w:rsid w:val="006E331E"/>
    <w:rsid w:val="006E3D11"/>
    <w:rsid w:val="006E40C7"/>
    <w:rsid w:val="006E4121"/>
    <w:rsid w:val="006E432D"/>
    <w:rsid w:val="006E4A68"/>
    <w:rsid w:val="006E516D"/>
    <w:rsid w:val="006E551C"/>
    <w:rsid w:val="006E7425"/>
    <w:rsid w:val="006F074B"/>
    <w:rsid w:val="006F2191"/>
    <w:rsid w:val="006F42F5"/>
    <w:rsid w:val="006F4CB6"/>
    <w:rsid w:val="006F5B97"/>
    <w:rsid w:val="006F6005"/>
    <w:rsid w:val="006F659C"/>
    <w:rsid w:val="006F6FA1"/>
    <w:rsid w:val="006F74CD"/>
    <w:rsid w:val="007007AC"/>
    <w:rsid w:val="0070117D"/>
    <w:rsid w:val="00701FE8"/>
    <w:rsid w:val="00702391"/>
    <w:rsid w:val="00702BA4"/>
    <w:rsid w:val="0070323B"/>
    <w:rsid w:val="0070455D"/>
    <w:rsid w:val="00704CDB"/>
    <w:rsid w:val="00705958"/>
    <w:rsid w:val="00705D4B"/>
    <w:rsid w:val="00711211"/>
    <w:rsid w:val="00711E41"/>
    <w:rsid w:val="007128FE"/>
    <w:rsid w:val="00713304"/>
    <w:rsid w:val="00714AC1"/>
    <w:rsid w:val="00715A81"/>
    <w:rsid w:val="0071687A"/>
    <w:rsid w:val="007172E8"/>
    <w:rsid w:val="007217A1"/>
    <w:rsid w:val="00722B64"/>
    <w:rsid w:val="00722D30"/>
    <w:rsid w:val="00724BC4"/>
    <w:rsid w:val="00725738"/>
    <w:rsid w:val="00726B71"/>
    <w:rsid w:val="00730B1B"/>
    <w:rsid w:val="0073293B"/>
    <w:rsid w:val="007331A2"/>
    <w:rsid w:val="00734073"/>
    <w:rsid w:val="007346D8"/>
    <w:rsid w:val="007348B4"/>
    <w:rsid w:val="00734EDE"/>
    <w:rsid w:val="0073585A"/>
    <w:rsid w:val="00737F27"/>
    <w:rsid w:val="00740AB8"/>
    <w:rsid w:val="00744C7E"/>
    <w:rsid w:val="00744E53"/>
    <w:rsid w:val="007474B2"/>
    <w:rsid w:val="00747684"/>
    <w:rsid w:val="007476DC"/>
    <w:rsid w:val="0075038E"/>
    <w:rsid w:val="007524DA"/>
    <w:rsid w:val="00753A62"/>
    <w:rsid w:val="007545AC"/>
    <w:rsid w:val="0075491B"/>
    <w:rsid w:val="007601FD"/>
    <w:rsid w:val="00760542"/>
    <w:rsid w:val="007605C0"/>
    <w:rsid w:val="00760E29"/>
    <w:rsid w:val="0076228F"/>
    <w:rsid w:val="00762C2C"/>
    <w:rsid w:val="00762F0E"/>
    <w:rsid w:val="00763539"/>
    <w:rsid w:val="00763740"/>
    <w:rsid w:val="00763F69"/>
    <w:rsid w:val="00764360"/>
    <w:rsid w:val="0076629A"/>
    <w:rsid w:val="00767BD1"/>
    <w:rsid w:val="00767F28"/>
    <w:rsid w:val="00770904"/>
    <w:rsid w:val="00773239"/>
    <w:rsid w:val="00773408"/>
    <w:rsid w:val="00775FD2"/>
    <w:rsid w:val="00776739"/>
    <w:rsid w:val="00776898"/>
    <w:rsid w:val="00777222"/>
    <w:rsid w:val="007774CA"/>
    <w:rsid w:val="00777AD0"/>
    <w:rsid w:val="00777E2C"/>
    <w:rsid w:val="00781860"/>
    <w:rsid w:val="007823D1"/>
    <w:rsid w:val="00782BD7"/>
    <w:rsid w:val="00782C5F"/>
    <w:rsid w:val="007830D0"/>
    <w:rsid w:val="00784D23"/>
    <w:rsid w:val="00785EA8"/>
    <w:rsid w:val="00786160"/>
    <w:rsid w:val="007867E9"/>
    <w:rsid w:val="00791DC7"/>
    <w:rsid w:val="007927C5"/>
    <w:rsid w:val="00792DB7"/>
    <w:rsid w:val="00795251"/>
    <w:rsid w:val="0079581C"/>
    <w:rsid w:val="007966C4"/>
    <w:rsid w:val="0079679B"/>
    <w:rsid w:val="00796DB7"/>
    <w:rsid w:val="007A0778"/>
    <w:rsid w:val="007A08F4"/>
    <w:rsid w:val="007A0F8B"/>
    <w:rsid w:val="007A36BB"/>
    <w:rsid w:val="007A38DF"/>
    <w:rsid w:val="007A3B8B"/>
    <w:rsid w:val="007A42F9"/>
    <w:rsid w:val="007A4997"/>
    <w:rsid w:val="007A6317"/>
    <w:rsid w:val="007B2272"/>
    <w:rsid w:val="007B2772"/>
    <w:rsid w:val="007B2943"/>
    <w:rsid w:val="007B33CC"/>
    <w:rsid w:val="007B4897"/>
    <w:rsid w:val="007B4BFD"/>
    <w:rsid w:val="007B4F41"/>
    <w:rsid w:val="007B5733"/>
    <w:rsid w:val="007B5DBE"/>
    <w:rsid w:val="007B7451"/>
    <w:rsid w:val="007B7701"/>
    <w:rsid w:val="007C03B5"/>
    <w:rsid w:val="007C1476"/>
    <w:rsid w:val="007C2313"/>
    <w:rsid w:val="007C43D9"/>
    <w:rsid w:val="007C4C38"/>
    <w:rsid w:val="007C60AD"/>
    <w:rsid w:val="007D0FE7"/>
    <w:rsid w:val="007D1C15"/>
    <w:rsid w:val="007D1CB6"/>
    <w:rsid w:val="007D2023"/>
    <w:rsid w:val="007D3464"/>
    <w:rsid w:val="007D3C1D"/>
    <w:rsid w:val="007D4048"/>
    <w:rsid w:val="007D4315"/>
    <w:rsid w:val="007D44C5"/>
    <w:rsid w:val="007D47CF"/>
    <w:rsid w:val="007D52D8"/>
    <w:rsid w:val="007D6D43"/>
    <w:rsid w:val="007E0E76"/>
    <w:rsid w:val="007E1530"/>
    <w:rsid w:val="007E2D2F"/>
    <w:rsid w:val="007E5FF8"/>
    <w:rsid w:val="007E6A11"/>
    <w:rsid w:val="007E721F"/>
    <w:rsid w:val="007E7584"/>
    <w:rsid w:val="007E7B9C"/>
    <w:rsid w:val="007F0F09"/>
    <w:rsid w:val="007F105E"/>
    <w:rsid w:val="007F139B"/>
    <w:rsid w:val="007F1C7C"/>
    <w:rsid w:val="007F3E0D"/>
    <w:rsid w:val="007F4568"/>
    <w:rsid w:val="007F47E6"/>
    <w:rsid w:val="007F55E1"/>
    <w:rsid w:val="007F6DAF"/>
    <w:rsid w:val="007F7F13"/>
    <w:rsid w:val="00800600"/>
    <w:rsid w:val="00801AEC"/>
    <w:rsid w:val="00802801"/>
    <w:rsid w:val="00803125"/>
    <w:rsid w:val="0080465B"/>
    <w:rsid w:val="008075AB"/>
    <w:rsid w:val="00810034"/>
    <w:rsid w:val="00810135"/>
    <w:rsid w:val="0081098D"/>
    <w:rsid w:val="00810AF3"/>
    <w:rsid w:val="00811195"/>
    <w:rsid w:val="008115BF"/>
    <w:rsid w:val="00811FDF"/>
    <w:rsid w:val="0081271C"/>
    <w:rsid w:val="00813E5F"/>
    <w:rsid w:val="008149F5"/>
    <w:rsid w:val="008161DE"/>
    <w:rsid w:val="008166BC"/>
    <w:rsid w:val="008173F1"/>
    <w:rsid w:val="0082027C"/>
    <w:rsid w:val="008215C5"/>
    <w:rsid w:val="00821BFC"/>
    <w:rsid w:val="00822A22"/>
    <w:rsid w:val="00822FF0"/>
    <w:rsid w:val="00823BFC"/>
    <w:rsid w:val="0082443E"/>
    <w:rsid w:val="00825440"/>
    <w:rsid w:val="008255F7"/>
    <w:rsid w:val="00825E50"/>
    <w:rsid w:val="008277E9"/>
    <w:rsid w:val="00830A03"/>
    <w:rsid w:val="008328BD"/>
    <w:rsid w:val="00832C42"/>
    <w:rsid w:val="00832F33"/>
    <w:rsid w:val="00832FAF"/>
    <w:rsid w:val="008333EC"/>
    <w:rsid w:val="0083429C"/>
    <w:rsid w:val="0083469E"/>
    <w:rsid w:val="00835678"/>
    <w:rsid w:val="00835EBF"/>
    <w:rsid w:val="00837482"/>
    <w:rsid w:val="00837E31"/>
    <w:rsid w:val="00840CC7"/>
    <w:rsid w:val="00841002"/>
    <w:rsid w:val="00841469"/>
    <w:rsid w:val="00844CA4"/>
    <w:rsid w:val="00845E8A"/>
    <w:rsid w:val="00847605"/>
    <w:rsid w:val="00847743"/>
    <w:rsid w:val="00851088"/>
    <w:rsid w:val="00851CC4"/>
    <w:rsid w:val="00851E51"/>
    <w:rsid w:val="00852B22"/>
    <w:rsid w:val="00853065"/>
    <w:rsid w:val="0085663E"/>
    <w:rsid w:val="00856F5F"/>
    <w:rsid w:val="008571C1"/>
    <w:rsid w:val="00860476"/>
    <w:rsid w:val="008613D5"/>
    <w:rsid w:val="00861D1B"/>
    <w:rsid w:val="00861F13"/>
    <w:rsid w:val="00862063"/>
    <w:rsid w:val="008628EF"/>
    <w:rsid w:val="0086531A"/>
    <w:rsid w:val="008658D1"/>
    <w:rsid w:val="008659CB"/>
    <w:rsid w:val="00865BF6"/>
    <w:rsid w:val="008668EF"/>
    <w:rsid w:val="008709DD"/>
    <w:rsid w:val="00870BE1"/>
    <w:rsid w:val="008712CB"/>
    <w:rsid w:val="00872264"/>
    <w:rsid w:val="00872CFF"/>
    <w:rsid w:val="008730C9"/>
    <w:rsid w:val="00874885"/>
    <w:rsid w:val="00874AE9"/>
    <w:rsid w:val="008759B9"/>
    <w:rsid w:val="00875D81"/>
    <w:rsid w:val="00876236"/>
    <w:rsid w:val="008763EE"/>
    <w:rsid w:val="0087660D"/>
    <w:rsid w:val="00876C71"/>
    <w:rsid w:val="00880158"/>
    <w:rsid w:val="00880B26"/>
    <w:rsid w:val="0088135C"/>
    <w:rsid w:val="00881AB1"/>
    <w:rsid w:val="0088240B"/>
    <w:rsid w:val="00882A14"/>
    <w:rsid w:val="008833C2"/>
    <w:rsid w:val="0088353F"/>
    <w:rsid w:val="0088660A"/>
    <w:rsid w:val="00887569"/>
    <w:rsid w:val="00887EF2"/>
    <w:rsid w:val="00890060"/>
    <w:rsid w:val="00890A4F"/>
    <w:rsid w:val="00890FB0"/>
    <w:rsid w:val="00891822"/>
    <w:rsid w:val="00891C07"/>
    <w:rsid w:val="00892B55"/>
    <w:rsid w:val="0089353A"/>
    <w:rsid w:val="00893E2B"/>
    <w:rsid w:val="0089479E"/>
    <w:rsid w:val="00896133"/>
    <w:rsid w:val="008965B6"/>
    <w:rsid w:val="008967A0"/>
    <w:rsid w:val="008A1050"/>
    <w:rsid w:val="008A1136"/>
    <w:rsid w:val="008A166D"/>
    <w:rsid w:val="008A177A"/>
    <w:rsid w:val="008A3DD3"/>
    <w:rsid w:val="008A4FD8"/>
    <w:rsid w:val="008A5083"/>
    <w:rsid w:val="008A5488"/>
    <w:rsid w:val="008A5660"/>
    <w:rsid w:val="008A56B1"/>
    <w:rsid w:val="008A5AD0"/>
    <w:rsid w:val="008A625E"/>
    <w:rsid w:val="008A6B4E"/>
    <w:rsid w:val="008A6C27"/>
    <w:rsid w:val="008A6E22"/>
    <w:rsid w:val="008B55D2"/>
    <w:rsid w:val="008B589E"/>
    <w:rsid w:val="008B630C"/>
    <w:rsid w:val="008B7794"/>
    <w:rsid w:val="008C05B8"/>
    <w:rsid w:val="008C0F60"/>
    <w:rsid w:val="008C2784"/>
    <w:rsid w:val="008C372B"/>
    <w:rsid w:val="008C3894"/>
    <w:rsid w:val="008C5B52"/>
    <w:rsid w:val="008D082C"/>
    <w:rsid w:val="008D1275"/>
    <w:rsid w:val="008D30E0"/>
    <w:rsid w:val="008D3BFE"/>
    <w:rsid w:val="008D4BDD"/>
    <w:rsid w:val="008D5F8D"/>
    <w:rsid w:val="008D618B"/>
    <w:rsid w:val="008D62A0"/>
    <w:rsid w:val="008E0B17"/>
    <w:rsid w:val="008E2902"/>
    <w:rsid w:val="008E32FA"/>
    <w:rsid w:val="008E3508"/>
    <w:rsid w:val="008E48A4"/>
    <w:rsid w:val="008E4AD6"/>
    <w:rsid w:val="008E4CDF"/>
    <w:rsid w:val="008E7493"/>
    <w:rsid w:val="008F0756"/>
    <w:rsid w:val="008F0A0A"/>
    <w:rsid w:val="008F0C45"/>
    <w:rsid w:val="008F10B3"/>
    <w:rsid w:val="008F1154"/>
    <w:rsid w:val="008F2356"/>
    <w:rsid w:val="008F23F4"/>
    <w:rsid w:val="008F3450"/>
    <w:rsid w:val="008F44DD"/>
    <w:rsid w:val="008F4AA8"/>
    <w:rsid w:val="008F4E49"/>
    <w:rsid w:val="008F57FC"/>
    <w:rsid w:val="008F5E08"/>
    <w:rsid w:val="008F6C62"/>
    <w:rsid w:val="00900A1A"/>
    <w:rsid w:val="00901D05"/>
    <w:rsid w:val="00902382"/>
    <w:rsid w:val="00903607"/>
    <w:rsid w:val="009039D3"/>
    <w:rsid w:val="00904163"/>
    <w:rsid w:val="0090542D"/>
    <w:rsid w:val="00905528"/>
    <w:rsid w:val="00905721"/>
    <w:rsid w:val="00906073"/>
    <w:rsid w:val="009079C7"/>
    <w:rsid w:val="009109E1"/>
    <w:rsid w:val="009109F7"/>
    <w:rsid w:val="00910D05"/>
    <w:rsid w:val="009123CE"/>
    <w:rsid w:val="00912485"/>
    <w:rsid w:val="0091261A"/>
    <w:rsid w:val="009140FD"/>
    <w:rsid w:val="009148B4"/>
    <w:rsid w:val="009159A5"/>
    <w:rsid w:val="00920642"/>
    <w:rsid w:val="0092107F"/>
    <w:rsid w:val="00921FFD"/>
    <w:rsid w:val="0092214A"/>
    <w:rsid w:val="00923E17"/>
    <w:rsid w:val="00923FB1"/>
    <w:rsid w:val="0092522B"/>
    <w:rsid w:val="00926613"/>
    <w:rsid w:val="00926B68"/>
    <w:rsid w:val="00926F90"/>
    <w:rsid w:val="009275F7"/>
    <w:rsid w:val="00927E78"/>
    <w:rsid w:val="00930158"/>
    <w:rsid w:val="0093075E"/>
    <w:rsid w:val="009308D9"/>
    <w:rsid w:val="00931A6B"/>
    <w:rsid w:val="00932738"/>
    <w:rsid w:val="00933008"/>
    <w:rsid w:val="009335AD"/>
    <w:rsid w:val="00933643"/>
    <w:rsid w:val="0093436C"/>
    <w:rsid w:val="00934747"/>
    <w:rsid w:val="00934E9C"/>
    <w:rsid w:val="0093541A"/>
    <w:rsid w:val="00935AB0"/>
    <w:rsid w:val="0093710B"/>
    <w:rsid w:val="009373DF"/>
    <w:rsid w:val="0093755B"/>
    <w:rsid w:val="00937948"/>
    <w:rsid w:val="00940623"/>
    <w:rsid w:val="00941835"/>
    <w:rsid w:val="0094185B"/>
    <w:rsid w:val="00941934"/>
    <w:rsid w:val="00942A0F"/>
    <w:rsid w:val="00943DDB"/>
    <w:rsid w:val="0094404B"/>
    <w:rsid w:val="009461CC"/>
    <w:rsid w:val="00947EDC"/>
    <w:rsid w:val="0095025C"/>
    <w:rsid w:val="00950BC2"/>
    <w:rsid w:val="00950ECF"/>
    <w:rsid w:val="0095104E"/>
    <w:rsid w:val="00951CD2"/>
    <w:rsid w:val="00951F8A"/>
    <w:rsid w:val="00954446"/>
    <w:rsid w:val="0095477E"/>
    <w:rsid w:val="009549B5"/>
    <w:rsid w:val="0095520B"/>
    <w:rsid w:val="009556ED"/>
    <w:rsid w:val="00955BDA"/>
    <w:rsid w:val="009562F7"/>
    <w:rsid w:val="009603EE"/>
    <w:rsid w:val="00960EEC"/>
    <w:rsid w:val="00960FDB"/>
    <w:rsid w:val="0096171F"/>
    <w:rsid w:val="00961A8F"/>
    <w:rsid w:val="00962919"/>
    <w:rsid w:val="00962978"/>
    <w:rsid w:val="00962AD2"/>
    <w:rsid w:val="00962B43"/>
    <w:rsid w:val="00962DD9"/>
    <w:rsid w:val="00963793"/>
    <w:rsid w:val="00966BCA"/>
    <w:rsid w:val="009679BD"/>
    <w:rsid w:val="009707C6"/>
    <w:rsid w:val="00971B71"/>
    <w:rsid w:val="00972570"/>
    <w:rsid w:val="00974941"/>
    <w:rsid w:val="0097507B"/>
    <w:rsid w:val="00975BA1"/>
    <w:rsid w:val="00976505"/>
    <w:rsid w:val="00980340"/>
    <w:rsid w:val="00980398"/>
    <w:rsid w:val="00980964"/>
    <w:rsid w:val="009815A4"/>
    <w:rsid w:val="00981CA7"/>
    <w:rsid w:val="00983191"/>
    <w:rsid w:val="00983D6D"/>
    <w:rsid w:val="00984591"/>
    <w:rsid w:val="00985093"/>
    <w:rsid w:val="00987F76"/>
    <w:rsid w:val="00991C46"/>
    <w:rsid w:val="009926D7"/>
    <w:rsid w:val="00993DD3"/>
    <w:rsid w:val="009943B9"/>
    <w:rsid w:val="009945DC"/>
    <w:rsid w:val="0099565D"/>
    <w:rsid w:val="00997A79"/>
    <w:rsid w:val="009A00B8"/>
    <w:rsid w:val="009A2024"/>
    <w:rsid w:val="009A289E"/>
    <w:rsid w:val="009A2B1D"/>
    <w:rsid w:val="009A3954"/>
    <w:rsid w:val="009A3A41"/>
    <w:rsid w:val="009A4148"/>
    <w:rsid w:val="009A464D"/>
    <w:rsid w:val="009A47FD"/>
    <w:rsid w:val="009A48A6"/>
    <w:rsid w:val="009A4CEF"/>
    <w:rsid w:val="009A6C6F"/>
    <w:rsid w:val="009A75DC"/>
    <w:rsid w:val="009A7C65"/>
    <w:rsid w:val="009B0AD5"/>
    <w:rsid w:val="009B0EFC"/>
    <w:rsid w:val="009B162F"/>
    <w:rsid w:val="009B2174"/>
    <w:rsid w:val="009B2BB7"/>
    <w:rsid w:val="009B362F"/>
    <w:rsid w:val="009B7C68"/>
    <w:rsid w:val="009C0521"/>
    <w:rsid w:val="009C0970"/>
    <w:rsid w:val="009C1443"/>
    <w:rsid w:val="009C3A92"/>
    <w:rsid w:val="009C4027"/>
    <w:rsid w:val="009C42C6"/>
    <w:rsid w:val="009C4D15"/>
    <w:rsid w:val="009C4FAD"/>
    <w:rsid w:val="009C503B"/>
    <w:rsid w:val="009C5163"/>
    <w:rsid w:val="009C52CC"/>
    <w:rsid w:val="009C5559"/>
    <w:rsid w:val="009C58A2"/>
    <w:rsid w:val="009C6555"/>
    <w:rsid w:val="009C778D"/>
    <w:rsid w:val="009D02B5"/>
    <w:rsid w:val="009D0FF7"/>
    <w:rsid w:val="009D12EF"/>
    <w:rsid w:val="009D2CEF"/>
    <w:rsid w:val="009D38CF"/>
    <w:rsid w:val="009D3FCD"/>
    <w:rsid w:val="009D6D4E"/>
    <w:rsid w:val="009E270D"/>
    <w:rsid w:val="009E2E84"/>
    <w:rsid w:val="009E4C78"/>
    <w:rsid w:val="009E5884"/>
    <w:rsid w:val="009E5CE9"/>
    <w:rsid w:val="009E659D"/>
    <w:rsid w:val="009F0616"/>
    <w:rsid w:val="009F2337"/>
    <w:rsid w:val="009F27E7"/>
    <w:rsid w:val="009F337F"/>
    <w:rsid w:val="009F417D"/>
    <w:rsid w:val="009F543B"/>
    <w:rsid w:val="009F55C8"/>
    <w:rsid w:val="009F6FB0"/>
    <w:rsid w:val="009F756D"/>
    <w:rsid w:val="009F78EB"/>
    <w:rsid w:val="009F7DBC"/>
    <w:rsid w:val="009F7DD3"/>
    <w:rsid w:val="009F7ECA"/>
    <w:rsid w:val="00A00296"/>
    <w:rsid w:val="00A00AFC"/>
    <w:rsid w:val="00A00CF8"/>
    <w:rsid w:val="00A012B3"/>
    <w:rsid w:val="00A01469"/>
    <w:rsid w:val="00A019AE"/>
    <w:rsid w:val="00A028F3"/>
    <w:rsid w:val="00A02B4F"/>
    <w:rsid w:val="00A02F4D"/>
    <w:rsid w:val="00A033D7"/>
    <w:rsid w:val="00A05AC0"/>
    <w:rsid w:val="00A068F8"/>
    <w:rsid w:val="00A07BC8"/>
    <w:rsid w:val="00A07EB0"/>
    <w:rsid w:val="00A07FA3"/>
    <w:rsid w:val="00A102CE"/>
    <w:rsid w:val="00A12CFE"/>
    <w:rsid w:val="00A13F8E"/>
    <w:rsid w:val="00A145D2"/>
    <w:rsid w:val="00A14F9B"/>
    <w:rsid w:val="00A15896"/>
    <w:rsid w:val="00A16661"/>
    <w:rsid w:val="00A2378D"/>
    <w:rsid w:val="00A23EA1"/>
    <w:rsid w:val="00A23F83"/>
    <w:rsid w:val="00A23FC4"/>
    <w:rsid w:val="00A24489"/>
    <w:rsid w:val="00A2553B"/>
    <w:rsid w:val="00A2586E"/>
    <w:rsid w:val="00A25AC1"/>
    <w:rsid w:val="00A30364"/>
    <w:rsid w:val="00A30901"/>
    <w:rsid w:val="00A30984"/>
    <w:rsid w:val="00A31566"/>
    <w:rsid w:val="00A315DF"/>
    <w:rsid w:val="00A31B31"/>
    <w:rsid w:val="00A323D7"/>
    <w:rsid w:val="00A32549"/>
    <w:rsid w:val="00A3349E"/>
    <w:rsid w:val="00A33A22"/>
    <w:rsid w:val="00A34304"/>
    <w:rsid w:val="00A35FB1"/>
    <w:rsid w:val="00A36146"/>
    <w:rsid w:val="00A36550"/>
    <w:rsid w:val="00A36869"/>
    <w:rsid w:val="00A369C7"/>
    <w:rsid w:val="00A37C50"/>
    <w:rsid w:val="00A4123E"/>
    <w:rsid w:val="00A419A5"/>
    <w:rsid w:val="00A42E32"/>
    <w:rsid w:val="00A44748"/>
    <w:rsid w:val="00A44BEA"/>
    <w:rsid w:val="00A4740E"/>
    <w:rsid w:val="00A477C8"/>
    <w:rsid w:val="00A47C08"/>
    <w:rsid w:val="00A47CAC"/>
    <w:rsid w:val="00A508B5"/>
    <w:rsid w:val="00A508FC"/>
    <w:rsid w:val="00A50B9B"/>
    <w:rsid w:val="00A5166A"/>
    <w:rsid w:val="00A51718"/>
    <w:rsid w:val="00A532CD"/>
    <w:rsid w:val="00A5723E"/>
    <w:rsid w:val="00A57355"/>
    <w:rsid w:val="00A57A7B"/>
    <w:rsid w:val="00A57BE7"/>
    <w:rsid w:val="00A57D4D"/>
    <w:rsid w:val="00A60C46"/>
    <w:rsid w:val="00A61BB7"/>
    <w:rsid w:val="00A61BFD"/>
    <w:rsid w:val="00A61F07"/>
    <w:rsid w:val="00A6208B"/>
    <w:rsid w:val="00A6332F"/>
    <w:rsid w:val="00A64CA3"/>
    <w:rsid w:val="00A64F1A"/>
    <w:rsid w:val="00A664B7"/>
    <w:rsid w:val="00A67D93"/>
    <w:rsid w:val="00A70D1D"/>
    <w:rsid w:val="00A7262D"/>
    <w:rsid w:val="00A73F10"/>
    <w:rsid w:val="00A75115"/>
    <w:rsid w:val="00A7551A"/>
    <w:rsid w:val="00A75A43"/>
    <w:rsid w:val="00A75A5C"/>
    <w:rsid w:val="00A77640"/>
    <w:rsid w:val="00A77CD8"/>
    <w:rsid w:val="00A80AFF"/>
    <w:rsid w:val="00A83296"/>
    <w:rsid w:val="00A85D34"/>
    <w:rsid w:val="00A85E1D"/>
    <w:rsid w:val="00A87799"/>
    <w:rsid w:val="00A90E36"/>
    <w:rsid w:val="00A913FD"/>
    <w:rsid w:val="00A91815"/>
    <w:rsid w:val="00A91B51"/>
    <w:rsid w:val="00A91E54"/>
    <w:rsid w:val="00A91F69"/>
    <w:rsid w:val="00A92F07"/>
    <w:rsid w:val="00A942A6"/>
    <w:rsid w:val="00A95D35"/>
    <w:rsid w:val="00A96592"/>
    <w:rsid w:val="00A970AA"/>
    <w:rsid w:val="00AA1FCB"/>
    <w:rsid w:val="00AA352E"/>
    <w:rsid w:val="00AA3608"/>
    <w:rsid w:val="00AA40E3"/>
    <w:rsid w:val="00AA433A"/>
    <w:rsid w:val="00AA6D58"/>
    <w:rsid w:val="00AA6E77"/>
    <w:rsid w:val="00AA72B1"/>
    <w:rsid w:val="00AA7B90"/>
    <w:rsid w:val="00AA7EE6"/>
    <w:rsid w:val="00AB15B9"/>
    <w:rsid w:val="00AB17B5"/>
    <w:rsid w:val="00AB19DA"/>
    <w:rsid w:val="00AB4DAC"/>
    <w:rsid w:val="00AB5CBD"/>
    <w:rsid w:val="00AB6430"/>
    <w:rsid w:val="00AB7354"/>
    <w:rsid w:val="00AC0181"/>
    <w:rsid w:val="00AC1EDE"/>
    <w:rsid w:val="00AC2283"/>
    <w:rsid w:val="00AC3B1A"/>
    <w:rsid w:val="00AC6120"/>
    <w:rsid w:val="00AC6763"/>
    <w:rsid w:val="00AC697E"/>
    <w:rsid w:val="00AC6FE7"/>
    <w:rsid w:val="00AC71D8"/>
    <w:rsid w:val="00AD0301"/>
    <w:rsid w:val="00AD22F8"/>
    <w:rsid w:val="00AD2696"/>
    <w:rsid w:val="00AD272A"/>
    <w:rsid w:val="00AD297C"/>
    <w:rsid w:val="00AD29BB"/>
    <w:rsid w:val="00AD2A71"/>
    <w:rsid w:val="00AD35F6"/>
    <w:rsid w:val="00AD4EC3"/>
    <w:rsid w:val="00AD5558"/>
    <w:rsid w:val="00AD55F6"/>
    <w:rsid w:val="00AD5990"/>
    <w:rsid w:val="00AD6381"/>
    <w:rsid w:val="00AD6D9A"/>
    <w:rsid w:val="00AE0B37"/>
    <w:rsid w:val="00AE0BE5"/>
    <w:rsid w:val="00AE3A9E"/>
    <w:rsid w:val="00AE3F64"/>
    <w:rsid w:val="00AE476B"/>
    <w:rsid w:val="00AE49ED"/>
    <w:rsid w:val="00AE4A43"/>
    <w:rsid w:val="00AE4B0E"/>
    <w:rsid w:val="00AE55E5"/>
    <w:rsid w:val="00AE6908"/>
    <w:rsid w:val="00AE7573"/>
    <w:rsid w:val="00AF07C5"/>
    <w:rsid w:val="00AF0C31"/>
    <w:rsid w:val="00AF0E8B"/>
    <w:rsid w:val="00AF0F46"/>
    <w:rsid w:val="00AF1034"/>
    <w:rsid w:val="00AF1478"/>
    <w:rsid w:val="00AF1A71"/>
    <w:rsid w:val="00AF3E5C"/>
    <w:rsid w:val="00AF502D"/>
    <w:rsid w:val="00AF5906"/>
    <w:rsid w:val="00AF5B1C"/>
    <w:rsid w:val="00AF6158"/>
    <w:rsid w:val="00AF63BA"/>
    <w:rsid w:val="00AF6816"/>
    <w:rsid w:val="00AF7797"/>
    <w:rsid w:val="00AF7B22"/>
    <w:rsid w:val="00B000AE"/>
    <w:rsid w:val="00B008AE"/>
    <w:rsid w:val="00B0097F"/>
    <w:rsid w:val="00B00D1C"/>
    <w:rsid w:val="00B00F87"/>
    <w:rsid w:val="00B01432"/>
    <w:rsid w:val="00B02A44"/>
    <w:rsid w:val="00B03302"/>
    <w:rsid w:val="00B04095"/>
    <w:rsid w:val="00B0623D"/>
    <w:rsid w:val="00B06E5F"/>
    <w:rsid w:val="00B10465"/>
    <w:rsid w:val="00B11D6E"/>
    <w:rsid w:val="00B122E6"/>
    <w:rsid w:val="00B1325D"/>
    <w:rsid w:val="00B136B8"/>
    <w:rsid w:val="00B144F9"/>
    <w:rsid w:val="00B14E5E"/>
    <w:rsid w:val="00B15D5B"/>
    <w:rsid w:val="00B162F1"/>
    <w:rsid w:val="00B17211"/>
    <w:rsid w:val="00B20A98"/>
    <w:rsid w:val="00B215DE"/>
    <w:rsid w:val="00B21885"/>
    <w:rsid w:val="00B2232D"/>
    <w:rsid w:val="00B2248E"/>
    <w:rsid w:val="00B22631"/>
    <w:rsid w:val="00B2302F"/>
    <w:rsid w:val="00B24D51"/>
    <w:rsid w:val="00B27EA0"/>
    <w:rsid w:val="00B309C5"/>
    <w:rsid w:val="00B30B3C"/>
    <w:rsid w:val="00B30C90"/>
    <w:rsid w:val="00B31600"/>
    <w:rsid w:val="00B31E57"/>
    <w:rsid w:val="00B32585"/>
    <w:rsid w:val="00B32C58"/>
    <w:rsid w:val="00B33F67"/>
    <w:rsid w:val="00B3553F"/>
    <w:rsid w:val="00B35D54"/>
    <w:rsid w:val="00B36BBA"/>
    <w:rsid w:val="00B377EE"/>
    <w:rsid w:val="00B378BB"/>
    <w:rsid w:val="00B41264"/>
    <w:rsid w:val="00B415DC"/>
    <w:rsid w:val="00B4179A"/>
    <w:rsid w:val="00B41954"/>
    <w:rsid w:val="00B41C50"/>
    <w:rsid w:val="00B430E2"/>
    <w:rsid w:val="00B4402C"/>
    <w:rsid w:val="00B443C4"/>
    <w:rsid w:val="00B44459"/>
    <w:rsid w:val="00B447B7"/>
    <w:rsid w:val="00B448AC"/>
    <w:rsid w:val="00B450D7"/>
    <w:rsid w:val="00B45FB4"/>
    <w:rsid w:val="00B460DA"/>
    <w:rsid w:val="00B470F3"/>
    <w:rsid w:val="00B502CC"/>
    <w:rsid w:val="00B50910"/>
    <w:rsid w:val="00B50BA6"/>
    <w:rsid w:val="00B519F1"/>
    <w:rsid w:val="00B51EE0"/>
    <w:rsid w:val="00B536C2"/>
    <w:rsid w:val="00B553D5"/>
    <w:rsid w:val="00B55B90"/>
    <w:rsid w:val="00B55C36"/>
    <w:rsid w:val="00B562FD"/>
    <w:rsid w:val="00B56F70"/>
    <w:rsid w:val="00B576EC"/>
    <w:rsid w:val="00B57793"/>
    <w:rsid w:val="00B60C5A"/>
    <w:rsid w:val="00B612BD"/>
    <w:rsid w:val="00B6136C"/>
    <w:rsid w:val="00B62A05"/>
    <w:rsid w:val="00B62C5D"/>
    <w:rsid w:val="00B62E43"/>
    <w:rsid w:val="00B62EAA"/>
    <w:rsid w:val="00B632AD"/>
    <w:rsid w:val="00B66B66"/>
    <w:rsid w:val="00B66E74"/>
    <w:rsid w:val="00B678CB"/>
    <w:rsid w:val="00B70A2E"/>
    <w:rsid w:val="00B70EDA"/>
    <w:rsid w:val="00B711CA"/>
    <w:rsid w:val="00B7135F"/>
    <w:rsid w:val="00B747B3"/>
    <w:rsid w:val="00B74A46"/>
    <w:rsid w:val="00B76C95"/>
    <w:rsid w:val="00B76CB1"/>
    <w:rsid w:val="00B7730B"/>
    <w:rsid w:val="00B77545"/>
    <w:rsid w:val="00B777C6"/>
    <w:rsid w:val="00B779AE"/>
    <w:rsid w:val="00B80444"/>
    <w:rsid w:val="00B809FF"/>
    <w:rsid w:val="00B80CE3"/>
    <w:rsid w:val="00B8216C"/>
    <w:rsid w:val="00B8224E"/>
    <w:rsid w:val="00B836B3"/>
    <w:rsid w:val="00B84184"/>
    <w:rsid w:val="00B855CA"/>
    <w:rsid w:val="00B858B6"/>
    <w:rsid w:val="00B85C44"/>
    <w:rsid w:val="00B869D0"/>
    <w:rsid w:val="00B87E5D"/>
    <w:rsid w:val="00B92C98"/>
    <w:rsid w:val="00B938A5"/>
    <w:rsid w:val="00B940DD"/>
    <w:rsid w:val="00B94A44"/>
    <w:rsid w:val="00B94F90"/>
    <w:rsid w:val="00B960C7"/>
    <w:rsid w:val="00B97697"/>
    <w:rsid w:val="00BA154C"/>
    <w:rsid w:val="00BA17E6"/>
    <w:rsid w:val="00BA36C7"/>
    <w:rsid w:val="00BA44D7"/>
    <w:rsid w:val="00BA4941"/>
    <w:rsid w:val="00BA5C0B"/>
    <w:rsid w:val="00BA5E24"/>
    <w:rsid w:val="00BA62C7"/>
    <w:rsid w:val="00BA6B17"/>
    <w:rsid w:val="00BA7362"/>
    <w:rsid w:val="00BA7E58"/>
    <w:rsid w:val="00BB0995"/>
    <w:rsid w:val="00BB143E"/>
    <w:rsid w:val="00BB15AD"/>
    <w:rsid w:val="00BB20E6"/>
    <w:rsid w:val="00BB2FC8"/>
    <w:rsid w:val="00BB3FE3"/>
    <w:rsid w:val="00BB4AB6"/>
    <w:rsid w:val="00BB504A"/>
    <w:rsid w:val="00BB547E"/>
    <w:rsid w:val="00BB57B6"/>
    <w:rsid w:val="00BB5C0B"/>
    <w:rsid w:val="00BB7429"/>
    <w:rsid w:val="00BB773D"/>
    <w:rsid w:val="00BB782F"/>
    <w:rsid w:val="00BC17B9"/>
    <w:rsid w:val="00BC193A"/>
    <w:rsid w:val="00BC2789"/>
    <w:rsid w:val="00BC336D"/>
    <w:rsid w:val="00BC40C3"/>
    <w:rsid w:val="00BC4A0E"/>
    <w:rsid w:val="00BC4CAC"/>
    <w:rsid w:val="00BC5610"/>
    <w:rsid w:val="00BC7273"/>
    <w:rsid w:val="00BC7E24"/>
    <w:rsid w:val="00BD07BC"/>
    <w:rsid w:val="00BD102C"/>
    <w:rsid w:val="00BD1541"/>
    <w:rsid w:val="00BD428E"/>
    <w:rsid w:val="00BD4485"/>
    <w:rsid w:val="00BD4986"/>
    <w:rsid w:val="00BD53CF"/>
    <w:rsid w:val="00BD68D0"/>
    <w:rsid w:val="00BD6D8E"/>
    <w:rsid w:val="00BD7271"/>
    <w:rsid w:val="00BD743F"/>
    <w:rsid w:val="00BE0B11"/>
    <w:rsid w:val="00BE0F1F"/>
    <w:rsid w:val="00BE42DA"/>
    <w:rsid w:val="00BE4F14"/>
    <w:rsid w:val="00BE5461"/>
    <w:rsid w:val="00BE6A9C"/>
    <w:rsid w:val="00BE6BF5"/>
    <w:rsid w:val="00BE7640"/>
    <w:rsid w:val="00BF0C60"/>
    <w:rsid w:val="00BF2705"/>
    <w:rsid w:val="00BF2810"/>
    <w:rsid w:val="00BF2AC0"/>
    <w:rsid w:val="00BF4D5B"/>
    <w:rsid w:val="00BF7897"/>
    <w:rsid w:val="00BF7D2B"/>
    <w:rsid w:val="00C00699"/>
    <w:rsid w:val="00C0182C"/>
    <w:rsid w:val="00C01E70"/>
    <w:rsid w:val="00C043CE"/>
    <w:rsid w:val="00C049F1"/>
    <w:rsid w:val="00C058D3"/>
    <w:rsid w:val="00C06C0A"/>
    <w:rsid w:val="00C0737C"/>
    <w:rsid w:val="00C079F8"/>
    <w:rsid w:val="00C07A9F"/>
    <w:rsid w:val="00C10763"/>
    <w:rsid w:val="00C11814"/>
    <w:rsid w:val="00C11CC4"/>
    <w:rsid w:val="00C120BB"/>
    <w:rsid w:val="00C127B3"/>
    <w:rsid w:val="00C130D1"/>
    <w:rsid w:val="00C13461"/>
    <w:rsid w:val="00C13CE2"/>
    <w:rsid w:val="00C1451E"/>
    <w:rsid w:val="00C148C7"/>
    <w:rsid w:val="00C150F4"/>
    <w:rsid w:val="00C153B3"/>
    <w:rsid w:val="00C15488"/>
    <w:rsid w:val="00C15B98"/>
    <w:rsid w:val="00C1688F"/>
    <w:rsid w:val="00C16C65"/>
    <w:rsid w:val="00C16CDF"/>
    <w:rsid w:val="00C176E8"/>
    <w:rsid w:val="00C20B7C"/>
    <w:rsid w:val="00C215E1"/>
    <w:rsid w:val="00C217C1"/>
    <w:rsid w:val="00C22DC8"/>
    <w:rsid w:val="00C23F0E"/>
    <w:rsid w:val="00C26336"/>
    <w:rsid w:val="00C27FE3"/>
    <w:rsid w:val="00C306A7"/>
    <w:rsid w:val="00C311F6"/>
    <w:rsid w:val="00C32FCC"/>
    <w:rsid w:val="00C33337"/>
    <w:rsid w:val="00C358AA"/>
    <w:rsid w:val="00C3629E"/>
    <w:rsid w:val="00C364C7"/>
    <w:rsid w:val="00C370A2"/>
    <w:rsid w:val="00C41052"/>
    <w:rsid w:val="00C417E2"/>
    <w:rsid w:val="00C41A11"/>
    <w:rsid w:val="00C41F6E"/>
    <w:rsid w:val="00C436E4"/>
    <w:rsid w:val="00C4380F"/>
    <w:rsid w:val="00C4401F"/>
    <w:rsid w:val="00C454E3"/>
    <w:rsid w:val="00C45835"/>
    <w:rsid w:val="00C46729"/>
    <w:rsid w:val="00C5062D"/>
    <w:rsid w:val="00C50DAE"/>
    <w:rsid w:val="00C51180"/>
    <w:rsid w:val="00C5382F"/>
    <w:rsid w:val="00C5592D"/>
    <w:rsid w:val="00C55C5C"/>
    <w:rsid w:val="00C56850"/>
    <w:rsid w:val="00C56991"/>
    <w:rsid w:val="00C57498"/>
    <w:rsid w:val="00C60048"/>
    <w:rsid w:val="00C61578"/>
    <w:rsid w:val="00C61ADA"/>
    <w:rsid w:val="00C62F24"/>
    <w:rsid w:val="00C63070"/>
    <w:rsid w:val="00C63440"/>
    <w:rsid w:val="00C63D0E"/>
    <w:rsid w:val="00C6441F"/>
    <w:rsid w:val="00C64EFE"/>
    <w:rsid w:val="00C6515F"/>
    <w:rsid w:val="00C653DA"/>
    <w:rsid w:val="00C65564"/>
    <w:rsid w:val="00C65BB3"/>
    <w:rsid w:val="00C65E97"/>
    <w:rsid w:val="00C666EF"/>
    <w:rsid w:val="00C66935"/>
    <w:rsid w:val="00C67DEC"/>
    <w:rsid w:val="00C70382"/>
    <w:rsid w:val="00C7043F"/>
    <w:rsid w:val="00C70ACB"/>
    <w:rsid w:val="00C71EC4"/>
    <w:rsid w:val="00C7305C"/>
    <w:rsid w:val="00C73873"/>
    <w:rsid w:val="00C75358"/>
    <w:rsid w:val="00C7580B"/>
    <w:rsid w:val="00C7674D"/>
    <w:rsid w:val="00C7795E"/>
    <w:rsid w:val="00C802FD"/>
    <w:rsid w:val="00C809E3"/>
    <w:rsid w:val="00C80C32"/>
    <w:rsid w:val="00C81367"/>
    <w:rsid w:val="00C816B6"/>
    <w:rsid w:val="00C8263D"/>
    <w:rsid w:val="00C82AB1"/>
    <w:rsid w:val="00C8340F"/>
    <w:rsid w:val="00C83C63"/>
    <w:rsid w:val="00C863B4"/>
    <w:rsid w:val="00C8661A"/>
    <w:rsid w:val="00C878FE"/>
    <w:rsid w:val="00C879E5"/>
    <w:rsid w:val="00C905C3"/>
    <w:rsid w:val="00C905CA"/>
    <w:rsid w:val="00C9110E"/>
    <w:rsid w:val="00C91119"/>
    <w:rsid w:val="00C9120D"/>
    <w:rsid w:val="00C92873"/>
    <w:rsid w:val="00C944C3"/>
    <w:rsid w:val="00C958C1"/>
    <w:rsid w:val="00C97655"/>
    <w:rsid w:val="00CA0051"/>
    <w:rsid w:val="00CA12CC"/>
    <w:rsid w:val="00CA241E"/>
    <w:rsid w:val="00CA27E1"/>
    <w:rsid w:val="00CA2A0C"/>
    <w:rsid w:val="00CA2D5D"/>
    <w:rsid w:val="00CA3395"/>
    <w:rsid w:val="00CA35A2"/>
    <w:rsid w:val="00CA5E46"/>
    <w:rsid w:val="00CA6998"/>
    <w:rsid w:val="00CA6D1B"/>
    <w:rsid w:val="00CA6DA2"/>
    <w:rsid w:val="00CB0E1A"/>
    <w:rsid w:val="00CB3A22"/>
    <w:rsid w:val="00CB6B37"/>
    <w:rsid w:val="00CB7ED2"/>
    <w:rsid w:val="00CC01ED"/>
    <w:rsid w:val="00CC0A1A"/>
    <w:rsid w:val="00CC14CC"/>
    <w:rsid w:val="00CC15A1"/>
    <w:rsid w:val="00CC2931"/>
    <w:rsid w:val="00CC2999"/>
    <w:rsid w:val="00CC3C0D"/>
    <w:rsid w:val="00CC4A26"/>
    <w:rsid w:val="00CC567B"/>
    <w:rsid w:val="00CC5AFC"/>
    <w:rsid w:val="00CC68CA"/>
    <w:rsid w:val="00CC70E1"/>
    <w:rsid w:val="00CD01DC"/>
    <w:rsid w:val="00CD0213"/>
    <w:rsid w:val="00CD06F0"/>
    <w:rsid w:val="00CD0A23"/>
    <w:rsid w:val="00CD3691"/>
    <w:rsid w:val="00CD4747"/>
    <w:rsid w:val="00CD493B"/>
    <w:rsid w:val="00CD49A0"/>
    <w:rsid w:val="00CD4C8C"/>
    <w:rsid w:val="00CD77E6"/>
    <w:rsid w:val="00CD78A9"/>
    <w:rsid w:val="00CE0530"/>
    <w:rsid w:val="00CE2665"/>
    <w:rsid w:val="00CE298E"/>
    <w:rsid w:val="00CE367B"/>
    <w:rsid w:val="00CE4EE7"/>
    <w:rsid w:val="00CE6DE4"/>
    <w:rsid w:val="00CE78EA"/>
    <w:rsid w:val="00CF03A8"/>
    <w:rsid w:val="00CF0796"/>
    <w:rsid w:val="00CF258B"/>
    <w:rsid w:val="00CF26ED"/>
    <w:rsid w:val="00CF2E18"/>
    <w:rsid w:val="00CF4008"/>
    <w:rsid w:val="00CF4016"/>
    <w:rsid w:val="00D00469"/>
    <w:rsid w:val="00D01486"/>
    <w:rsid w:val="00D0229A"/>
    <w:rsid w:val="00D025A7"/>
    <w:rsid w:val="00D03E8D"/>
    <w:rsid w:val="00D03EAF"/>
    <w:rsid w:val="00D03F79"/>
    <w:rsid w:val="00D04196"/>
    <w:rsid w:val="00D05580"/>
    <w:rsid w:val="00D06BE7"/>
    <w:rsid w:val="00D06D42"/>
    <w:rsid w:val="00D1027F"/>
    <w:rsid w:val="00D114FC"/>
    <w:rsid w:val="00D12231"/>
    <w:rsid w:val="00D1466A"/>
    <w:rsid w:val="00D14FDE"/>
    <w:rsid w:val="00D15665"/>
    <w:rsid w:val="00D16BA6"/>
    <w:rsid w:val="00D17C3D"/>
    <w:rsid w:val="00D204A6"/>
    <w:rsid w:val="00D2211C"/>
    <w:rsid w:val="00D241B9"/>
    <w:rsid w:val="00D25E30"/>
    <w:rsid w:val="00D25FB7"/>
    <w:rsid w:val="00D27C3A"/>
    <w:rsid w:val="00D27D2B"/>
    <w:rsid w:val="00D27F21"/>
    <w:rsid w:val="00D30ED3"/>
    <w:rsid w:val="00D3249E"/>
    <w:rsid w:val="00D326C6"/>
    <w:rsid w:val="00D34CCB"/>
    <w:rsid w:val="00D35E73"/>
    <w:rsid w:val="00D363F5"/>
    <w:rsid w:val="00D3796F"/>
    <w:rsid w:val="00D4047F"/>
    <w:rsid w:val="00D40EE0"/>
    <w:rsid w:val="00D414BD"/>
    <w:rsid w:val="00D41C33"/>
    <w:rsid w:val="00D41CE5"/>
    <w:rsid w:val="00D432F3"/>
    <w:rsid w:val="00D434FF"/>
    <w:rsid w:val="00D43EEE"/>
    <w:rsid w:val="00D4782C"/>
    <w:rsid w:val="00D51476"/>
    <w:rsid w:val="00D527D5"/>
    <w:rsid w:val="00D541E5"/>
    <w:rsid w:val="00D547D3"/>
    <w:rsid w:val="00D54847"/>
    <w:rsid w:val="00D54A89"/>
    <w:rsid w:val="00D56B3F"/>
    <w:rsid w:val="00D6002D"/>
    <w:rsid w:val="00D60A0A"/>
    <w:rsid w:val="00D61BF6"/>
    <w:rsid w:val="00D62C60"/>
    <w:rsid w:val="00D631A2"/>
    <w:rsid w:val="00D63B65"/>
    <w:rsid w:val="00D6489F"/>
    <w:rsid w:val="00D6603A"/>
    <w:rsid w:val="00D67069"/>
    <w:rsid w:val="00D7090A"/>
    <w:rsid w:val="00D713D9"/>
    <w:rsid w:val="00D72499"/>
    <w:rsid w:val="00D7336E"/>
    <w:rsid w:val="00D73CD6"/>
    <w:rsid w:val="00D7419A"/>
    <w:rsid w:val="00D7479F"/>
    <w:rsid w:val="00D748C5"/>
    <w:rsid w:val="00D75E4D"/>
    <w:rsid w:val="00D76A13"/>
    <w:rsid w:val="00D770A5"/>
    <w:rsid w:val="00D77824"/>
    <w:rsid w:val="00D77A48"/>
    <w:rsid w:val="00D8039A"/>
    <w:rsid w:val="00D803AD"/>
    <w:rsid w:val="00D8043F"/>
    <w:rsid w:val="00D8137F"/>
    <w:rsid w:val="00D81CCE"/>
    <w:rsid w:val="00D81D5E"/>
    <w:rsid w:val="00D826BC"/>
    <w:rsid w:val="00D837E4"/>
    <w:rsid w:val="00D849DB"/>
    <w:rsid w:val="00D85A2A"/>
    <w:rsid w:val="00D8633B"/>
    <w:rsid w:val="00D86733"/>
    <w:rsid w:val="00D8702B"/>
    <w:rsid w:val="00D8709F"/>
    <w:rsid w:val="00D906D1"/>
    <w:rsid w:val="00D9095D"/>
    <w:rsid w:val="00D91695"/>
    <w:rsid w:val="00D9216B"/>
    <w:rsid w:val="00D93B65"/>
    <w:rsid w:val="00D93C00"/>
    <w:rsid w:val="00D94163"/>
    <w:rsid w:val="00D94734"/>
    <w:rsid w:val="00D95CC6"/>
    <w:rsid w:val="00DA0D60"/>
    <w:rsid w:val="00DA128D"/>
    <w:rsid w:val="00DA18D7"/>
    <w:rsid w:val="00DA2611"/>
    <w:rsid w:val="00DA3445"/>
    <w:rsid w:val="00DA4B2A"/>
    <w:rsid w:val="00DA4FC6"/>
    <w:rsid w:val="00DA5D88"/>
    <w:rsid w:val="00DA5EDD"/>
    <w:rsid w:val="00DA67DA"/>
    <w:rsid w:val="00DA754B"/>
    <w:rsid w:val="00DB00E5"/>
    <w:rsid w:val="00DB0427"/>
    <w:rsid w:val="00DB104A"/>
    <w:rsid w:val="00DB197D"/>
    <w:rsid w:val="00DB21FD"/>
    <w:rsid w:val="00DB31B5"/>
    <w:rsid w:val="00DB376F"/>
    <w:rsid w:val="00DB3E55"/>
    <w:rsid w:val="00DB3FDF"/>
    <w:rsid w:val="00DB6127"/>
    <w:rsid w:val="00DB6472"/>
    <w:rsid w:val="00DB6C03"/>
    <w:rsid w:val="00DB796E"/>
    <w:rsid w:val="00DC0877"/>
    <w:rsid w:val="00DC0EB0"/>
    <w:rsid w:val="00DC152E"/>
    <w:rsid w:val="00DC171E"/>
    <w:rsid w:val="00DC2DBF"/>
    <w:rsid w:val="00DC351C"/>
    <w:rsid w:val="00DC40A0"/>
    <w:rsid w:val="00DC44B1"/>
    <w:rsid w:val="00DC553E"/>
    <w:rsid w:val="00DC5C44"/>
    <w:rsid w:val="00DC6965"/>
    <w:rsid w:val="00DC7302"/>
    <w:rsid w:val="00DC74CD"/>
    <w:rsid w:val="00DC78A4"/>
    <w:rsid w:val="00DD386B"/>
    <w:rsid w:val="00DD3D5C"/>
    <w:rsid w:val="00DD4128"/>
    <w:rsid w:val="00DD454D"/>
    <w:rsid w:val="00DD5139"/>
    <w:rsid w:val="00DD578E"/>
    <w:rsid w:val="00DD64E7"/>
    <w:rsid w:val="00DD73D8"/>
    <w:rsid w:val="00DE0F29"/>
    <w:rsid w:val="00DE27B1"/>
    <w:rsid w:val="00DE2A64"/>
    <w:rsid w:val="00DE2E77"/>
    <w:rsid w:val="00DE2F66"/>
    <w:rsid w:val="00DE3439"/>
    <w:rsid w:val="00DE37A4"/>
    <w:rsid w:val="00DE3B39"/>
    <w:rsid w:val="00DE3D08"/>
    <w:rsid w:val="00DE4246"/>
    <w:rsid w:val="00DE48E8"/>
    <w:rsid w:val="00DE4D09"/>
    <w:rsid w:val="00DE6E3A"/>
    <w:rsid w:val="00DE77DD"/>
    <w:rsid w:val="00DF08C2"/>
    <w:rsid w:val="00DF1D5B"/>
    <w:rsid w:val="00DF1D70"/>
    <w:rsid w:val="00DF206C"/>
    <w:rsid w:val="00DF215E"/>
    <w:rsid w:val="00DF32E3"/>
    <w:rsid w:val="00DF3AFC"/>
    <w:rsid w:val="00DF3F7F"/>
    <w:rsid w:val="00DF4163"/>
    <w:rsid w:val="00DF47E8"/>
    <w:rsid w:val="00DF4B51"/>
    <w:rsid w:val="00DF4DEA"/>
    <w:rsid w:val="00DF5D66"/>
    <w:rsid w:val="00DF63DF"/>
    <w:rsid w:val="00DF673B"/>
    <w:rsid w:val="00DF6879"/>
    <w:rsid w:val="00DF6F02"/>
    <w:rsid w:val="00DF70CC"/>
    <w:rsid w:val="00DF7336"/>
    <w:rsid w:val="00DF7782"/>
    <w:rsid w:val="00E00A3D"/>
    <w:rsid w:val="00E00C1F"/>
    <w:rsid w:val="00E0214A"/>
    <w:rsid w:val="00E03080"/>
    <w:rsid w:val="00E0328A"/>
    <w:rsid w:val="00E032E2"/>
    <w:rsid w:val="00E0433C"/>
    <w:rsid w:val="00E0445C"/>
    <w:rsid w:val="00E04B45"/>
    <w:rsid w:val="00E04D1D"/>
    <w:rsid w:val="00E06242"/>
    <w:rsid w:val="00E06BA9"/>
    <w:rsid w:val="00E07986"/>
    <w:rsid w:val="00E10990"/>
    <w:rsid w:val="00E11B50"/>
    <w:rsid w:val="00E152CF"/>
    <w:rsid w:val="00E16296"/>
    <w:rsid w:val="00E1684A"/>
    <w:rsid w:val="00E17DD1"/>
    <w:rsid w:val="00E2030E"/>
    <w:rsid w:val="00E21A6D"/>
    <w:rsid w:val="00E22F31"/>
    <w:rsid w:val="00E23904"/>
    <w:rsid w:val="00E24594"/>
    <w:rsid w:val="00E258A9"/>
    <w:rsid w:val="00E25A4C"/>
    <w:rsid w:val="00E2714E"/>
    <w:rsid w:val="00E27FAA"/>
    <w:rsid w:val="00E30734"/>
    <w:rsid w:val="00E30954"/>
    <w:rsid w:val="00E31FC8"/>
    <w:rsid w:val="00E32056"/>
    <w:rsid w:val="00E32ECB"/>
    <w:rsid w:val="00E33922"/>
    <w:rsid w:val="00E34831"/>
    <w:rsid w:val="00E35654"/>
    <w:rsid w:val="00E363A7"/>
    <w:rsid w:val="00E36AA8"/>
    <w:rsid w:val="00E407E0"/>
    <w:rsid w:val="00E4088A"/>
    <w:rsid w:val="00E40992"/>
    <w:rsid w:val="00E40C81"/>
    <w:rsid w:val="00E43091"/>
    <w:rsid w:val="00E437F1"/>
    <w:rsid w:val="00E44E9A"/>
    <w:rsid w:val="00E452D1"/>
    <w:rsid w:val="00E52A4D"/>
    <w:rsid w:val="00E52ACB"/>
    <w:rsid w:val="00E53C17"/>
    <w:rsid w:val="00E53D30"/>
    <w:rsid w:val="00E53D57"/>
    <w:rsid w:val="00E541E1"/>
    <w:rsid w:val="00E5478B"/>
    <w:rsid w:val="00E5487C"/>
    <w:rsid w:val="00E54B00"/>
    <w:rsid w:val="00E5678A"/>
    <w:rsid w:val="00E56CBE"/>
    <w:rsid w:val="00E56D1E"/>
    <w:rsid w:val="00E573A3"/>
    <w:rsid w:val="00E57F29"/>
    <w:rsid w:val="00E606C1"/>
    <w:rsid w:val="00E61A1E"/>
    <w:rsid w:val="00E61BFD"/>
    <w:rsid w:val="00E62580"/>
    <w:rsid w:val="00E65253"/>
    <w:rsid w:val="00E6739E"/>
    <w:rsid w:val="00E71818"/>
    <w:rsid w:val="00E71C27"/>
    <w:rsid w:val="00E71CC2"/>
    <w:rsid w:val="00E72E1E"/>
    <w:rsid w:val="00E73EF7"/>
    <w:rsid w:val="00E742E7"/>
    <w:rsid w:val="00E74F43"/>
    <w:rsid w:val="00E7550F"/>
    <w:rsid w:val="00E76E54"/>
    <w:rsid w:val="00E80625"/>
    <w:rsid w:val="00E8145C"/>
    <w:rsid w:val="00E8151A"/>
    <w:rsid w:val="00E822A2"/>
    <w:rsid w:val="00E83728"/>
    <w:rsid w:val="00E83CEE"/>
    <w:rsid w:val="00E8464C"/>
    <w:rsid w:val="00E84E98"/>
    <w:rsid w:val="00E866E8"/>
    <w:rsid w:val="00E8719C"/>
    <w:rsid w:val="00E90989"/>
    <w:rsid w:val="00E90C58"/>
    <w:rsid w:val="00E917FA"/>
    <w:rsid w:val="00E92238"/>
    <w:rsid w:val="00E92C74"/>
    <w:rsid w:val="00E930A4"/>
    <w:rsid w:val="00E93A53"/>
    <w:rsid w:val="00E94C5B"/>
    <w:rsid w:val="00E965AE"/>
    <w:rsid w:val="00E967D8"/>
    <w:rsid w:val="00E9690E"/>
    <w:rsid w:val="00E96A51"/>
    <w:rsid w:val="00E96B67"/>
    <w:rsid w:val="00EA035A"/>
    <w:rsid w:val="00EA03EC"/>
    <w:rsid w:val="00EA05A4"/>
    <w:rsid w:val="00EA0E2C"/>
    <w:rsid w:val="00EA1690"/>
    <w:rsid w:val="00EA1C5C"/>
    <w:rsid w:val="00EA26A4"/>
    <w:rsid w:val="00EA29A7"/>
    <w:rsid w:val="00EA47DD"/>
    <w:rsid w:val="00EA572F"/>
    <w:rsid w:val="00EA5C44"/>
    <w:rsid w:val="00EB010E"/>
    <w:rsid w:val="00EB0D39"/>
    <w:rsid w:val="00EB1297"/>
    <w:rsid w:val="00EB1439"/>
    <w:rsid w:val="00EB1BD1"/>
    <w:rsid w:val="00EB2DE2"/>
    <w:rsid w:val="00EB3014"/>
    <w:rsid w:val="00EB347E"/>
    <w:rsid w:val="00EB383B"/>
    <w:rsid w:val="00EB4811"/>
    <w:rsid w:val="00EB50EF"/>
    <w:rsid w:val="00EB510E"/>
    <w:rsid w:val="00EB58BA"/>
    <w:rsid w:val="00EB6B04"/>
    <w:rsid w:val="00EB7534"/>
    <w:rsid w:val="00EB7559"/>
    <w:rsid w:val="00EB76E3"/>
    <w:rsid w:val="00EB7E79"/>
    <w:rsid w:val="00EC13C9"/>
    <w:rsid w:val="00EC39AA"/>
    <w:rsid w:val="00EC4C27"/>
    <w:rsid w:val="00EC58BF"/>
    <w:rsid w:val="00EC7E3D"/>
    <w:rsid w:val="00ED04DF"/>
    <w:rsid w:val="00ED1A05"/>
    <w:rsid w:val="00ED1B3C"/>
    <w:rsid w:val="00ED1E8B"/>
    <w:rsid w:val="00ED2883"/>
    <w:rsid w:val="00ED3516"/>
    <w:rsid w:val="00ED3817"/>
    <w:rsid w:val="00ED3B60"/>
    <w:rsid w:val="00ED3DFF"/>
    <w:rsid w:val="00ED4719"/>
    <w:rsid w:val="00ED4A0F"/>
    <w:rsid w:val="00ED5E78"/>
    <w:rsid w:val="00ED77B9"/>
    <w:rsid w:val="00EE0794"/>
    <w:rsid w:val="00EE177C"/>
    <w:rsid w:val="00EE1A13"/>
    <w:rsid w:val="00EE2193"/>
    <w:rsid w:val="00EE31AB"/>
    <w:rsid w:val="00EE3E9A"/>
    <w:rsid w:val="00EE4385"/>
    <w:rsid w:val="00EE5794"/>
    <w:rsid w:val="00EE57AC"/>
    <w:rsid w:val="00EE7C0D"/>
    <w:rsid w:val="00EF0008"/>
    <w:rsid w:val="00EF081A"/>
    <w:rsid w:val="00EF0F62"/>
    <w:rsid w:val="00EF14CF"/>
    <w:rsid w:val="00EF178F"/>
    <w:rsid w:val="00EF1EE3"/>
    <w:rsid w:val="00EF2286"/>
    <w:rsid w:val="00EF2325"/>
    <w:rsid w:val="00EF2532"/>
    <w:rsid w:val="00EF32ED"/>
    <w:rsid w:val="00EF3436"/>
    <w:rsid w:val="00EF459C"/>
    <w:rsid w:val="00EF4FCA"/>
    <w:rsid w:val="00EF701A"/>
    <w:rsid w:val="00EF773D"/>
    <w:rsid w:val="00EF7A94"/>
    <w:rsid w:val="00F019A5"/>
    <w:rsid w:val="00F01B4B"/>
    <w:rsid w:val="00F01C75"/>
    <w:rsid w:val="00F02543"/>
    <w:rsid w:val="00F02606"/>
    <w:rsid w:val="00F02920"/>
    <w:rsid w:val="00F02CD6"/>
    <w:rsid w:val="00F030FF"/>
    <w:rsid w:val="00F036B0"/>
    <w:rsid w:val="00F03859"/>
    <w:rsid w:val="00F03CB1"/>
    <w:rsid w:val="00F05934"/>
    <w:rsid w:val="00F05BC2"/>
    <w:rsid w:val="00F06055"/>
    <w:rsid w:val="00F075F5"/>
    <w:rsid w:val="00F07F3C"/>
    <w:rsid w:val="00F101B6"/>
    <w:rsid w:val="00F101D2"/>
    <w:rsid w:val="00F11B4B"/>
    <w:rsid w:val="00F138E9"/>
    <w:rsid w:val="00F141BF"/>
    <w:rsid w:val="00F17075"/>
    <w:rsid w:val="00F200D4"/>
    <w:rsid w:val="00F2264E"/>
    <w:rsid w:val="00F22EED"/>
    <w:rsid w:val="00F23B98"/>
    <w:rsid w:val="00F23BE3"/>
    <w:rsid w:val="00F27518"/>
    <w:rsid w:val="00F30157"/>
    <w:rsid w:val="00F30D5F"/>
    <w:rsid w:val="00F32B4B"/>
    <w:rsid w:val="00F34D6A"/>
    <w:rsid w:val="00F34F30"/>
    <w:rsid w:val="00F3625B"/>
    <w:rsid w:val="00F36359"/>
    <w:rsid w:val="00F37CFD"/>
    <w:rsid w:val="00F402B7"/>
    <w:rsid w:val="00F410B3"/>
    <w:rsid w:val="00F418FF"/>
    <w:rsid w:val="00F4258A"/>
    <w:rsid w:val="00F439D9"/>
    <w:rsid w:val="00F43AEC"/>
    <w:rsid w:val="00F4421F"/>
    <w:rsid w:val="00F44303"/>
    <w:rsid w:val="00F44DA7"/>
    <w:rsid w:val="00F4529A"/>
    <w:rsid w:val="00F479F0"/>
    <w:rsid w:val="00F50A50"/>
    <w:rsid w:val="00F50E94"/>
    <w:rsid w:val="00F51782"/>
    <w:rsid w:val="00F53E5B"/>
    <w:rsid w:val="00F53EC1"/>
    <w:rsid w:val="00F551A9"/>
    <w:rsid w:val="00F55262"/>
    <w:rsid w:val="00F60E19"/>
    <w:rsid w:val="00F62A61"/>
    <w:rsid w:val="00F633BF"/>
    <w:rsid w:val="00F63A94"/>
    <w:rsid w:val="00F64C9D"/>
    <w:rsid w:val="00F66AF3"/>
    <w:rsid w:val="00F67611"/>
    <w:rsid w:val="00F700AA"/>
    <w:rsid w:val="00F707F6"/>
    <w:rsid w:val="00F70B30"/>
    <w:rsid w:val="00F70D3A"/>
    <w:rsid w:val="00F70D3B"/>
    <w:rsid w:val="00F72878"/>
    <w:rsid w:val="00F72971"/>
    <w:rsid w:val="00F72FA2"/>
    <w:rsid w:val="00F735F0"/>
    <w:rsid w:val="00F73F87"/>
    <w:rsid w:val="00F7444E"/>
    <w:rsid w:val="00F74FDF"/>
    <w:rsid w:val="00F75689"/>
    <w:rsid w:val="00F7767D"/>
    <w:rsid w:val="00F80C1B"/>
    <w:rsid w:val="00F80F6E"/>
    <w:rsid w:val="00F80F95"/>
    <w:rsid w:val="00F81232"/>
    <w:rsid w:val="00F82C30"/>
    <w:rsid w:val="00F82E4D"/>
    <w:rsid w:val="00F832F8"/>
    <w:rsid w:val="00F84E6C"/>
    <w:rsid w:val="00F84F96"/>
    <w:rsid w:val="00F854AB"/>
    <w:rsid w:val="00F856CC"/>
    <w:rsid w:val="00F86AD7"/>
    <w:rsid w:val="00F876B7"/>
    <w:rsid w:val="00F9044A"/>
    <w:rsid w:val="00F9054F"/>
    <w:rsid w:val="00F911AC"/>
    <w:rsid w:val="00F96DC7"/>
    <w:rsid w:val="00F9774D"/>
    <w:rsid w:val="00F97A03"/>
    <w:rsid w:val="00FA0F5D"/>
    <w:rsid w:val="00FA184D"/>
    <w:rsid w:val="00FA1F69"/>
    <w:rsid w:val="00FA2F76"/>
    <w:rsid w:val="00FA465E"/>
    <w:rsid w:val="00FA534D"/>
    <w:rsid w:val="00FA70F4"/>
    <w:rsid w:val="00FA7E3B"/>
    <w:rsid w:val="00FB0642"/>
    <w:rsid w:val="00FB12F7"/>
    <w:rsid w:val="00FB14D7"/>
    <w:rsid w:val="00FB1B14"/>
    <w:rsid w:val="00FB1C64"/>
    <w:rsid w:val="00FB25E7"/>
    <w:rsid w:val="00FB2B46"/>
    <w:rsid w:val="00FB47B0"/>
    <w:rsid w:val="00FB4A53"/>
    <w:rsid w:val="00FB532C"/>
    <w:rsid w:val="00FB630B"/>
    <w:rsid w:val="00FB680E"/>
    <w:rsid w:val="00FB6A2C"/>
    <w:rsid w:val="00FC0459"/>
    <w:rsid w:val="00FC1D99"/>
    <w:rsid w:val="00FC35CC"/>
    <w:rsid w:val="00FC3C2F"/>
    <w:rsid w:val="00FC4436"/>
    <w:rsid w:val="00FC4938"/>
    <w:rsid w:val="00FC5174"/>
    <w:rsid w:val="00FC5B86"/>
    <w:rsid w:val="00FC5BFD"/>
    <w:rsid w:val="00FC5DC9"/>
    <w:rsid w:val="00FC61FC"/>
    <w:rsid w:val="00FC6C81"/>
    <w:rsid w:val="00FC6E86"/>
    <w:rsid w:val="00FC6FDE"/>
    <w:rsid w:val="00FC709D"/>
    <w:rsid w:val="00FC7516"/>
    <w:rsid w:val="00FD041A"/>
    <w:rsid w:val="00FD15EA"/>
    <w:rsid w:val="00FD2FD7"/>
    <w:rsid w:val="00FD4C97"/>
    <w:rsid w:val="00FD514B"/>
    <w:rsid w:val="00FD68DD"/>
    <w:rsid w:val="00FD739A"/>
    <w:rsid w:val="00FD75EA"/>
    <w:rsid w:val="00FD76A4"/>
    <w:rsid w:val="00FD79AD"/>
    <w:rsid w:val="00FE1369"/>
    <w:rsid w:val="00FE1840"/>
    <w:rsid w:val="00FE3C9D"/>
    <w:rsid w:val="00FE42FE"/>
    <w:rsid w:val="00FE4387"/>
    <w:rsid w:val="00FE4B43"/>
    <w:rsid w:val="00FE6707"/>
    <w:rsid w:val="00FE6B68"/>
    <w:rsid w:val="00FE77C4"/>
    <w:rsid w:val="00FE7E07"/>
    <w:rsid w:val="00FF095C"/>
    <w:rsid w:val="00FF0983"/>
    <w:rsid w:val="00FF2B4F"/>
    <w:rsid w:val="00FF2B89"/>
    <w:rsid w:val="00FF2EB7"/>
    <w:rsid w:val="00FF5432"/>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136"/>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8A1136"/>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8A1136"/>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8A1136"/>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rsid w:val="00BB0995"/>
  </w:style>
  <w:style w:type="paragraph" w:styleId="22">
    <w:name w:val="toc 2"/>
    <w:basedOn w:val="GJStylesMuluContent2"/>
    <w:next w:val="a"/>
    <w:autoRedefine/>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8A113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8A1136"/>
    <w:rPr>
      <w:rFonts w:ascii="Arial" w:eastAsia="楷体_GB2312" w:hAnsi="Arial"/>
      <w:kern w:val="2"/>
      <w:sz w:val="18"/>
      <w:szCs w:val="18"/>
    </w:rPr>
  </w:style>
  <w:style w:type="character" w:customStyle="1" w:styleId="Char0">
    <w:name w:val="页脚 Char"/>
    <w:link w:val="a4"/>
    <w:uiPriority w:val="99"/>
    <w:rsid w:val="008A1136"/>
    <w:rPr>
      <w:rFonts w:ascii="Arial" w:eastAsia="楷体_GB2312" w:hAnsi="Arial"/>
      <w:kern w:val="2"/>
      <w:sz w:val="18"/>
      <w:szCs w:val="18"/>
    </w:rPr>
  </w:style>
  <w:style w:type="paragraph" w:customStyle="1" w:styleId="GJStylesSummaryTitle">
    <w:name w:val="GJ_Styles_Summary_Title"/>
    <w:qFormat/>
    <w:rsid w:val="008A1136"/>
    <w:pPr>
      <w:spacing w:afterLines="50" w:after="50"/>
      <w:jc w:val="both"/>
    </w:pPr>
    <w:rPr>
      <w:rFonts w:ascii="Arial" w:eastAsia="楷体_GB2312" w:hAnsi="Arial"/>
      <w:b/>
      <w:color w:val="000000"/>
      <w:kern w:val="2"/>
      <w:sz w:val="24"/>
      <w:szCs w:val="22"/>
    </w:rPr>
  </w:style>
  <w:style w:type="paragraph" w:customStyle="1" w:styleId="GJStylesSummaryContent">
    <w:name w:val="GJ_Styles_Summary_Content"/>
    <w:qFormat/>
    <w:rsid w:val="008A1136"/>
    <w:pPr>
      <w:numPr>
        <w:numId w:val="13"/>
      </w:numPr>
      <w:spacing w:afterLines="50" w:after="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8A1136"/>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8A1136"/>
    <w:pPr>
      <w:spacing w:afterLines="50" w:after="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8A1136"/>
    <w:pPr>
      <w:numPr>
        <w:numId w:val="6"/>
      </w:numPr>
    </w:pPr>
  </w:style>
  <w:style w:type="paragraph" w:customStyle="1" w:styleId="GJStylesContentFirTitle">
    <w:name w:val="GJ_Styles_Content_FirTitle"/>
    <w:qFormat/>
    <w:rsid w:val="008A1136"/>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8A1136"/>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8A1136"/>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8A1136"/>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8A1136"/>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8A1136"/>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8A1136"/>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8A1136"/>
    <w:pPr>
      <w:numPr>
        <w:numId w:val="7"/>
      </w:numPr>
    </w:pPr>
  </w:style>
  <w:style w:type="paragraph" w:customStyle="1" w:styleId="GJStylesContentFirTitleWide">
    <w:name w:val="GJ_Styles_Content_FirTitle_Wide"/>
    <w:qFormat/>
    <w:rsid w:val="008A1136"/>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8A1136"/>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8A1136"/>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8A1136"/>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8A1136"/>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8A1136"/>
    <w:pPr>
      <w:jc w:val="both"/>
    </w:pPr>
    <w:rPr>
      <w:rFonts w:ascii="Arial" w:eastAsia="楷体_GB2312" w:hAnsi="Arial"/>
      <w:kern w:val="2"/>
      <w:sz w:val="18"/>
      <w:szCs w:val="22"/>
    </w:rPr>
  </w:style>
  <w:style w:type="paragraph" w:customStyle="1" w:styleId="GJReportFirPageAuthorName">
    <w:name w:val="GJ_Report_FirPage_Author_Name"/>
    <w:qFormat/>
    <w:rsid w:val="008A1136"/>
    <w:pPr>
      <w:jc w:val="both"/>
    </w:pPr>
    <w:rPr>
      <w:rFonts w:ascii="Arial" w:eastAsia="楷体_GB2312" w:hAnsi="Arial"/>
      <w:b/>
      <w:kern w:val="2"/>
      <w:sz w:val="21"/>
      <w:szCs w:val="22"/>
    </w:rPr>
  </w:style>
  <w:style w:type="paragraph" w:customStyle="1" w:styleId="GJReportFirPageAuthorEmail">
    <w:name w:val="GJ_Report_FirPage_Author_Email"/>
    <w:qFormat/>
    <w:rsid w:val="008A1136"/>
    <w:pPr>
      <w:jc w:val="both"/>
    </w:pPr>
    <w:rPr>
      <w:rFonts w:ascii="Arial" w:eastAsia="楷体_GB2312" w:hAnsi="Arial"/>
      <w:b/>
      <w:kern w:val="2"/>
      <w:sz w:val="13"/>
      <w:szCs w:val="22"/>
    </w:rPr>
  </w:style>
  <w:style w:type="paragraph" w:customStyle="1" w:styleId="GJStylesTableTitleSuo">
    <w:name w:val="GJ_Styles_Table_Title_Suo"/>
    <w:qFormat/>
    <w:rsid w:val="008A1136"/>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8A1136"/>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8A1136"/>
    <w:pPr>
      <w:numPr>
        <w:numId w:val="10"/>
      </w:numPr>
    </w:pPr>
  </w:style>
  <w:style w:type="table" w:customStyle="1" w:styleId="GJStylesChartInsertSingleCol">
    <w:name w:val="GJ_Styles_Chart_InsertSingleCol"/>
    <w:basedOn w:val="a2"/>
    <w:uiPriority w:val="99"/>
    <w:qFormat/>
    <w:rsid w:val="008A1136"/>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8A1136"/>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8A1136"/>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8A1136"/>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8A1136"/>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8A1136"/>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8A1136"/>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8A1136"/>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8A1136"/>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8A1136"/>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8A1136"/>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8A1136"/>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8A1136"/>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8A1136"/>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8A1136"/>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8A1136"/>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8A1136"/>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8A1136"/>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8A1136"/>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 w:type="paragraph" w:customStyle="1" w:styleId="af3">
    <w:rsid w:val="00EE7C0D"/>
    <w:pPr>
      <w:widowControl w:val="0"/>
      <w:jc w:val="both"/>
    </w:pPr>
    <w:rPr>
      <w:rFonts w:ascii="Arial" w:eastAsia="楷体_GB2312" w:hAnsi="Arial"/>
      <w:kern w:val="2"/>
      <w:sz w:val="18"/>
      <w:szCs w:val="22"/>
    </w:rPr>
  </w:style>
  <w:style w:type="paragraph" w:customStyle="1" w:styleId="23">
    <w:name w:val="正文2黑"/>
    <w:basedOn w:val="a0"/>
    <w:next w:val="a"/>
    <w:rsid w:val="00EE7C0D"/>
    <w:rPr>
      <w:b/>
      <w:lang w:eastAsia="x-none"/>
    </w:rPr>
  </w:style>
  <w:style w:type="paragraph" w:styleId="af4">
    <w:name w:val="Normal (Web)"/>
    <w:basedOn w:val="a"/>
    <w:uiPriority w:val="99"/>
    <w:unhideWhenUsed/>
    <w:rsid w:val="00EE7C0D"/>
    <w:pPr>
      <w:spacing w:before="100" w:beforeAutospacing="1" w:after="100" w:afterAutospacing="1"/>
      <w:jc w:val="left"/>
    </w:pPr>
    <w:rPr>
      <w:rFonts w:ascii="宋体" w:eastAsia="宋体" w:hAnsi="宋体" w:cs="宋体"/>
      <w:sz w:val="24"/>
      <w:szCs w:val="24"/>
    </w:rPr>
  </w:style>
  <w:style w:type="character" w:styleId="af5">
    <w:name w:val="Emphasis"/>
    <w:uiPriority w:val="20"/>
    <w:qFormat/>
    <w:rsid w:val="00EE7C0D"/>
    <w:rPr>
      <w:i w:val="0"/>
      <w:iCs w:val="0"/>
      <w:color w:val="CC0000"/>
    </w:rPr>
  </w:style>
  <w:style w:type="paragraph" w:styleId="af6">
    <w:name w:val="List Paragraph"/>
    <w:basedOn w:val="a"/>
    <w:uiPriority w:val="34"/>
    <w:qFormat/>
    <w:rsid w:val="00A573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6483">
      <w:bodyDiv w:val="1"/>
      <w:marLeft w:val="0"/>
      <w:marRight w:val="0"/>
      <w:marTop w:val="0"/>
      <w:marBottom w:val="0"/>
      <w:divBdr>
        <w:top w:val="none" w:sz="0" w:space="0" w:color="auto"/>
        <w:left w:val="none" w:sz="0" w:space="0" w:color="auto"/>
        <w:bottom w:val="none" w:sz="0" w:space="0" w:color="auto"/>
        <w:right w:val="none" w:sz="0" w:space="0" w:color="auto"/>
      </w:divBdr>
    </w:div>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281C80B90642189926D37E5CDABAE1"/>
        <w:category>
          <w:name w:val="常规"/>
          <w:gallery w:val="placeholder"/>
        </w:category>
        <w:types>
          <w:type w:val="bbPlcHdr"/>
        </w:types>
        <w:behaviors>
          <w:behavior w:val="content"/>
        </w:behaviors>
        <w:guid w:val="{6E7FB1F8-C17C-481C-AD8D-F27FD4BC00A8}"/>
      </w:docPartPr>
      <w:docPartBody>
        <w:p w:rsidR="00BF7B75" w:rsidRDefault="00BC657C">
          <w:pPr>
            <w:pStyle w:val="4B281C80B90642189926D37E5CDABAE1"/>
          </w:pPr>
          <w:r w:rsidRPr="001C4667">
            <w:rPr>
              <w:rStyle w:val="a3"/>
              <w:rFonts w:hint="eastAsia"/>
            </w:rPr>
            <w:t>单击此处输入文字。</w:t>
          </w:r>
        </w:p>
      </w:docPartBody>
    </w:docPart>
    <w:docPart>
      <w:docPartPr>
        <w:name w:val="3AC7F8694A5A4ACB911D31684A77082F"/>
        <w:category>
          <w:name w:val="常规"/>
          <w:gallery w:val="placeholder"/>
        </w:category>
        <w:types>
          <w:type w:val="bbPlcHdr"/>
        </w:types>
        <w:behaviors>
          <w:behavior w:val="content"/>
        </w:behaviors>
        <w:guid w:val="{D1F7C74E-51D1-4766-87CF-9C38B5821DC7}"/>
      </w:docPartPr>
      <w:docPartBody>
        <w:p w:rsidR="00BF7B75" w:rsidRDefault="00BC657C">
          <w:pPr>
            <w:pStyle w:val="3AC7F8694A5A4ACB911D31684A77082F"/>
          </w:pPr>
          <w:r w:rsidRPr="004F02EC">
            <w:rPr>
              <w:rStyle w:val="a3"/>
              <w:rFonts w:hint="eastAsia"/>
            </w:rPr>
            <w:t>单击此处输入文字。</w:t>
          </w:r>
        </w:p>
      </w:docPartBody>
    </w:docPart>
    <w:docPart>
      <w:docPartPr>
        <w:name w:val="375AEAABF9BA408D9B79927BCA9E344F"/>
        <w:category>
          <w:name w:val="常规"/>
          <w:gallery w:val="placeholder"/>
        </w:category>
        <w:types>
          <w:type w:val="bbPlcHdr"/>
        </w:types>
        <w:behaviors>
          <w:behavior w:val="content"/>
        </w:behaviors>
        <w:guid w:val="{A14CD625-4261-4FB1-A32B-3129175D49A1}"/>
      </w:docPartPr>
      <w:docPartBody>
        <w:p w:rsidR="00AA2E79" w:rsidRDefault="002F20E5">
          <w:r w:rsidRPr="00CD32A1">
            <w:rPr>
              <w:rStyle w:val="a3"/>
              <w:rFonts w:hint="eastAsia"/>
            </w:rPr>
            <w:t>报告类型</w:t>
          </w:r>
        </w:p>
      </w:docPartBody>
    </w:docPart>
    <w:docPart>
      <w:docPartPr>
        <w:name w:val="AFE9B3C153714B868DB9765424937AED"/>
        <w:category>
          <w:name w:val="常规"/>
          <w:gallery w:val="placeholder"/>
        </w:category>
        <w:types>
          <w:type w:val="bbPlcHdr"/>
        </w:types>
        <w:behaviors>
          <w:behavior w:val="content"/>
        </w:behaviors>
        <w:guid w:val="{7EE2F34F-5C5C-4503-9F18-395AF8A5D099}"/>
      </w:docPartPr>
      <w:docPartBody>
        <w:p w:rsidR="00AA2E79" w:rsidRDefault="002F20E5">
          <w:r w:rsidRPr="00CD32A1">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55"/>
    <w:rsid w:val="00006E0C"/>
    <w:rsid w:val="00051051"/>
    <w:rsid w:val="000F1A15"/>
    <w:rsid w:val="00103D37"/>
    <w:rsid w:val="00174473"/>
    <w:rsid w:val="00194168"/>
    <w:rsid w:val="002D2099"/>
    <w:rsid w:val="002F20E5"/>
    <w:rsid w:val="00354918"/>
    <w:rsid w:val="004247A8"/>
    <w:rsid w:val="004A01D9"/>
    <w:rsid w:val="004A5B7F"/>
    <w:rsid w:val="004D1409"/>
    <w:rsid w:val="005038CB"/>
    <w:rsid w:val="00596962"/>
    <w:rsid w:val="006727D7"/>
    <w:rsid w:val="006933F0"/>
    <w:rsid w:val="007D36E1"/>
    <w:rsid w:val="00815989"/>
    <w:rsid w:val="00835FB1"/>
    <w:rsid w:val="00874EAA"/>
    <w:rsid w:val="00882148"/>
    <w:rsid w:val="0098661F"/>
    <w:rsid w:val="00987BB5"/>
    <w:rsid w:val="009D2255"/>
    <w:rsid w:val="009E1D03"/>
    <w:rsid w:val="00A1607E"/>
    <w:rsid w:val="00A329D7"/>
    <w:rsid w:val="00AA2DB1"/>
    <w:rsid w:val="00AA2E79"/>
    <w:rsid w:val="00B12D70"/>
    <w:rsid w:val="00BC657C"/>
    <w:rsid w:val="00BF7B75"/>
    <w:rsid w:val="00C06248"/>
    <w:rsid w:val="00C400EB"/>
    <w:rsid w:val="00CA478B"/>
    <w:rsid w:val="00CF5655"/>
    <w:rsid w:val="00CF7F8E"/>
    <w:rsid w:val="00D265A2"/>
    <w:rsid w:val="00D43B20"/>
    <w:rsid w:val="00E548CA"/>
    <w:rsid w:val="00E65BE4"/>
    <w:rsid w:val="00E76920"/>
    <w:rsid w:val="00F24D38"/>
    <w:rsid w:val="00F56B9B"/>
    <w:rsid w:val="00F6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0E5"/>
    <w:rPr>
      <w:color w:val="808080"/>
    </w:rPr>
  </w:style>
  <w:style w:type="paragraph" w:customStyle="1" w:styleId="4B281C80B90642189926D37E5CDABAE1">
    <w:name w:val="4B281C80B90642189926D37E5CDABAE1"/>
    <w:pPr>
      <w:widowControl w:val="0"/>
      <w:jc w:val="both"/>
    </w:pPr>
  </w:style>
  <w:style w:type="paragraph" w:customStyle="1" w:styleId="3AC7F8694A5A4ACB911D31684A77082F">
    <w:name w:val="3AC7F8694A5A4ACB911D31684A77082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0E5"/>
    <w:rPr>
      <w:color w:val="808080"/>
    </w:rPr>
  </w:style>
  <w:style w:type="paragraph" w:customStyle="1" w:styleId="4B281C80B90642189926D37E5CDABAE1">
    <w:name w:val="4B281C80B90642189926D37E5CDABAE1"/>
    <w:pPr>
      <w:widowControl w:val="0"/>
      <w:jc w:val="both"/>
    </w:pPr>
  </w:style>
  <w:style w:type="paragraph" w:customStyle="1" w:styleId="3AC7F8694A5A4ACB911D31684A77082F">
    <w:name w:val="3AC7F8694A5A4ACB911D31684A7708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C5A47-1121-4080-9619-6B7CBC25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4693</TotalTime>
  <Pages>9</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gjzq</dc:creator>
  <cp:keywords>模板</cp:keywords>
  <cp:lastModifiedBy>翁倩岚</cp:lastModifiedBy>
  <cp:revision>1402</cp:revision>
  <cp:lastPrinted>2014-10-10T02:53:00Z</cp:lastPrinted>
  <dcterms:created xsi:type="dcterms:W3CDTF">2015-02-13T01:01:00Z</dcterms:created>
  <dcterms:modified xsi:type="dcterms:W3CDTF">2016-05-03T08:28:00Z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docSaved">
    <vt:lpwstr>true</vt:lpwstr>
  </property>
  <property fmtid="{D5CDD505-2E9C-101B-9397-08002B2CF9AE}" pid="37" name="BD_Doc_Temp_ID">
    <vt:lpwstr>c5c53690-c751-4e3e-80bb-77ca7232a1ae</vt:lpwstr>
  </property>
  <property fmtid="{D5CDD505-2E9C-101B-9397-08002B2CF9AE}" pid="38" name="ReportType1_Value">
    <vt:lpwstr>ff80808147862c3b0147866966f80300</vt:lpwstr>
  </property>
  <property fmtid="{D5CDD505-2E9C-101B-9397-08002B2CF9AE}" pid="39" name="ReportType1_DisplayName">
    <vt:lpwstr>私募基金投资策略报告</vt:lpwstr>
  </property>
  <property fmtid="{D5CDD505-2E9C-101B-9397-08002B2CF9AE}" pid="40" name="ReportDate_Value">
    <vt:lpwstr>2016-04-29</vt:lpwstr>
  </property>
  <property fmtid="{D5CDD505-2E9C-101B-9397-08002B2CF9AE}" pid="41" name="ReportDate_DisplayName">
    <vt:lpwstr>2016年04月29日</vt:lpwstr>
  </property>
  <property fmtid="{D5CDD505-2E9C-101B-9397-08002B2CF9AE}" pid="42" name="StaffID_Value">
    <vt:lpwstr>FF00C761D2557BA0E0430100007FAB3A;</vt:lpwstr>
  </property>
  <property fmtid="{D5CDD505-2E9C-101B-9397-08002B2CF9AE}" pid="43" name="StaffID_DisplayName">
    <vt:lpwstr>张慧-私募产品组;</vt:lpwstr>
  </property>
  <property fmtid="{D5CDD505-2E9C-101B-9397-08002B2CF9AE}" pid="44" name="TemplateID">
    <vt:lpwstr> </vt:lpwstr>
  </property>
  <property fmtid="{D5CDD505-2E9C-101B-9397-08002B2CF9AE}" pid="45" name="BDCONTENTCONTROL_AUTO_SAVE_SubTitle">
    <vt:lpwstr>扰动因素贯穿，防范波动适度积极 </vt:lpwstr>
  </property>
  <property fmtid="{D5CDD505-2E9C-101B-9397-08002B2CF9AE}" pid="46" name="BDCONTENTCONTROL_AUTO_SAVE_Summary">
    <vt:lpwstr>基本结论_x000d_最新公布的经济数据短期内提升了市场信心，但整体复苏的持续性还有待甄别。二季度扰动因素的伴随将使得震荡波动成为大概率事件，短期内在政策的呵护下，投资机会依旧有望延续，只是空间有限。落实到阳光私募基金的投资上，我们建议投资者应继续将防范市场波动作为第一要务，在此基础上适度提高组合的积极性。在机会的把握方面，对于A股市场短期的反弹窗口，可通过股票多头策略适度把握，但不可全面激进；同时搭配管理期货策略，获取期货市场趋势波段机会；对于债券市场，从基本面、资金面和违约情况来看，建议短期回避。在控制波动风险方</vt:lpwstr>
  </property>
  <property fmtid="{D5CDD505-2E9C-101B-9397-08002B2CF9AE}" pid="47" name="BDCONTENTCONTROL_AUTO_SAVE_Summary#2">
    <vt:lpwstr>面，我们主张主动平衡风险，即通过多策略多市场的方式中和不同类型产品之间不同节奏的波动。既关注市场中性策略、相对价值套利策略的防御属性，积累组合的稳健收益，同时又通过搭配股票多头策略、管理期货策略品种，在把握A股市场反弹机会以及期货市场的趋势波动机会的同时，利用多样化手段分散组合总体风险。 _x000d_偏高风险策略私募基金_x000d_股票多头策略：不忘潜在风险，暖风下适度积极。在二季度反弹的窗口期，可考虑适度提高组合中股票多头策略的积极程度，但由于美联储6月份的议息会议、供给侧改革的推进速度、通货膨胀的上升幅度、人民币汇率的稳</vt:lpwstr>
  </property>
  <property fmtid="{D5CDD505-2E9C-101B-9397-08002B2CF9AE}" pid="48" name="BDCONTENTCONTROL_AUTO_SAVE_Summary#3">
    <vt:lpwstr>定程度等等因素，都是整个二季度需要关注的潜在风险所在，因而不可过度激进。考虑到供给侧结构性改革将是今年全年的主基调，因而在私募基金管理人的选择中，应注重灵活选股能力的把握，筛选具有较强选股能力和投资灵活性的品种，布局热点投资机会，具体可关注和聚、源乐晟、世诚、理成、鼎锋、神农等公司旗下的产品。_x000d_管理期货策略：捕捉趋势波段机会，发挥多样化优势。前期整体大宗商品在宏观经济面和供需基本面共同作用下出现了一波明显的反弹，但从持续性上来看，价格的企稳攀升很可能会推动通胀预期的升温，从而压制政策刺激的空间，而且供应量</vt:lpwstr>
  </property>
  <property fmtid="{D5CDD505-2E9C-101B-9397-08002B2CF9AE}" pid="49" name="BDCONTENTCONTROL_AUTO_SAVE_Summary#4">
    <vt:lpwstr>的增加也会使得供需结构发生改变，本轮的价格反弹或将难以持续。不过由于管理期货策略品种把握的是趋势波动的机会，因而对于大宗商品市场当前的趋势向上和未来可能出现的趋势调整，此类品种均有把握机会的可能。加上与其他策略之间较低的相关性，因而可作为一个很好的多样化工具进行配置。具体可关注富善、白石、双隆、元葵旗下产品。_x000d_偏低风险策略私募基金_x000d_市场中性策略、相对价值套利策略：应对震荡波动，增强稳健收益。在扰动因素比较多的二季度，震荡波动将是主要特征，因而对于组合防御性的要求也将始终是第一要务，市场中性策略、相对价值套</vt:lpwstr>
  </property>
  <property fmtid="{D5CDD505-2E9C-101B-9397-08002B2CF9AE}" pid="50" name="BDCONTENTCONTROL_AUTO_SAVE_Summary#5">
    <vt:lpwstr>利策略通过量化手段回避市场波动，追求独立于市场的行情，从投资逻辑上来看，能够很好的实现为组合积累稳健的安全垫收益这一目标。因而在组合中将这两类策略作为配置的基础，能够有效控制整体风险水平，为把握投资机会创造更大的操作空间。具体可关注市场中性策略中的嘉石大岩、宽智、金锝，相对价值套利策略中的淘利、艾方旗下产品。_x000d_固定收益策略：违约事件再发，短期建议回避。经济基本面的企稳总体不利于债市行情的演进，而且在经济状况实现改善、房地产持续火热的状态下，为避免通胀的发生流动性边际收紧的可能性也在加大，再加上近来债市违约</vt:lpwstr>
  </property>
  <property fmtid="{D5CDD505-2E9C-101B-9397-08002B2CF9AE}" pid="51" name="BDCONTENTCONTROL_AUTO_SAVE_Summary#6">
    <vt:lpwstr>事件的再度来袭，因而总体投资机会有限。对于投资固定收益市场的固定收益策略基金，短期可考虑暂时回避。</vt:lpwstr>
  </property>
</Properties>
</file>