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D62" w:rsidRDefault="00390F77" w:rsidP="008A71B6">
      <w:pPr>
        <w:jc w:val="center"/>
        <w:rPr>
          <w:b/>
        </w:rPr>
      </w:pPr>
      <w:r w:rsidRPr="008A71B6">
        <w:rPr>
          <w:rFonts w:hint="eastAsia"/>
          <w:b/>
        </w:rPr>
        <w:t>2015</w:t>
      </w:r>
      <w:r w:rsidR="00150074">
        <w:rPr>
          <w:rFonts w:hint="eastAsia"/>
          <w:b/>
        </w:rPr>
        <w:t>年</w:t>
      </w:r>
      <w:r>
        <w:rPr>
          <w:rFonts w:hint="eastAsia"/>
          <w:b/>
        </w:rPr>
        <w:t>私募基金前</w:t>
      </w:r>
      <w:r>
        <w:rPr>
          <w:rFonts w:hint="eastAsia"/>
          <w:b/>
        </w:rPr>
        <w:t>3</w:t>
      </w:r>
      <w:r>
        <w:rPr>
          <w:rFonts w:hint="eastAsia"/>
          <w:b/>
        </w:rPr>
        <w:t>季度业绩大盘点！（附</w:t>
      </w:r>
      <w:r w:rsidR="008A71B6" w:rsidRPr="008A71B6">
        <w:rPr>
          <w:rFonts w:hint="eastAsia"/>
          <w:b/>
        </w:rPr>
        <w:t>排名</w:t>
      </w:r>
      <w:r>
        <w:rPr>
          <w:rFonts w:hint="eastAsia"/>
          <w:b/>
        </w:rPr>
        <w:t>）</w:t>
      </w:r>
    </w:p>
    <w:p w:rsidR="00CE7565" w:rsidRDefault="00CE7565" w:rsidP="00CE7565">
      <w:pPr>
        <w:jc w:val="left"/>
      </w:pPr>
    </w:p>
    <w:p w:rsidR="00CE7565" w:rsidRDefault="00CE7565" w:rsidP="00CE7565">
      <w:pPr>
        <w:jc w:val="left"/>
      </w:pPr>
    </w:p>
    <w:p w:rsidR="00CE7565" w:rsidRDefault="00102273" w:rsidP="00CE7565">
      <w:pPr>
        <w:jc w:val="left"/>
      </w:pPr>
      <w:r>
        <w:rPr>
          <w:rFonts w:hint="eastAsia"/>
        </w:rPr>
        <w:t>今年以来市场风云变幻</w:t>
      </w:r>
      <w:r>
        <w:rPr>
          <w:rFonts w:hint="eastAsia"/>
        </w:rPr>
        <w:t>,</w:t>
      </w:r>
      <w:r w:rsidRPr="00102273">
        <w:rPr>
          <w:rFonts w:hint="eastAsia"/>
        </w:rPr>
        <w:t xml:space="preserve"> </w:t>
      </w:r>
      <w:r w:rsidR="000E6130">
        <w:rPr>
          <w:rFonts w:hint="eastAsia"/>
        </w:rPr>
        <w:t>投资者也跟着见证着</w:t>
      </w:r>
      <w:r>
        <w:rPr>
          <w:rFonts w:hint="eastAsia"/>
        </w:rPr>
        <w:t>A</w:t>
      </w:r>
      <w:r>
        <w:rPr>
          <w:rFonts w:hint="eastAsia"/>
        </w:rPr>
        <w:t>股市场</w:t>
      </w:r>
      <w:r w:rsidR="000E6130">
        <w:rPr>
          <w:rFonts w:hint="eastAsia"/>
        </w:rPr>
        <w:t>各种奇迹，</w:t>
      </w:r>
      <w:r>
        <w:rPr>
          <w:rFonts w:hint="eastAsia"/>
        </w:rPr>
        <w:t>牛熊博弈的</w:t>
      </w:r>
      <w:r w:rsidR="000E6130">
        <w:rPr>
          <w:rFonts w:hint="eastAsia"/>
        </w:rPr>
        <w:t>场景尤为</w:t>
      </w:r>
      <w:r>
        <w:rPr>
          <w:rFonts w:hint="eastAsia"/>
        </w:rPr>
        <w:t>壮观。</w:t>
      </w:r>
      <w:r w:rsidR="0073713D">
        <w:rPr>
          <w:rFonts w:hint="eastAsia"/>
        </w:rPr>
        <w:t>千股跌停、千股涨停、千股停牌</w:t>
      </w:r>
      <w:r w:rsidR="00F2370E">
        <w:rPr>
          <w:rFonts w:hint="eastAsia"/>
        </w:rPr>
        <w:t>、千股复牌等等</w:t>
      </w:r>
      <w:r w:rsidR="0073713D">
        <w:rPr>
          <w:rFonts w:hint="eastAsia"/>
        </w:rPr>
        <w:t>。相信</w:t>
      </w:r>
      <w:r w:rsidR="00035E82">
        <w:rPr>
          <w:rFonts w:hint="eastAsia"/>
        </w:rPr>
        <w:t>只有经历过才能体会到个中滋味。</w:t>
      </w:r>
      <w:r w:rsidR="008A641F">
        <w:rPr>
          <w:rFonts w:hint="eastAsia"/>
        </w:rPr>
        <w:t>其实，</w:t>
      </w:r>
      <w:r w:rsidR="00035E82">
        <w:rPr>
          <w:rFonts w:hint="eastAsia"/>
        </w:rPr>
        <w:t>今年以来，私募市场表现可圈可点，</w:t>
      </w:r>
      <w:r w:rsidR="008A641F">
        <w:rPr>
          <w:rFonts w:hint="eastAsia"/>
        </w:rPr>
        <w:t>那么，今天就为大家盘点下，今年以来私募基金表现，以飨投资者。</w:t>
      </w:r>
    </w:p>
    <w:p w:rsidR="00CE7565" w:rsidRDefault="00CE7565" w:rsidP="00CE7565">
      <w:pPr>
        <w:jc w:val="left"/>
      </w:pPr>
    </w:p>
    <w:p w:rsidR="00B0101A" w:rsidRDefault="00B0101A" w:rsidP="00B0101A">
      <w:pPr>
        <w:jc w:val="left"/>
      </w:pPr>
      <w:r w:rsidRPr="0064287D">
        <w:rPr>
          <w:rFonts w:hint="eastAsia"/>
          <w:b/>
        </w:rPr>
        <w:t>首先，看市场各指数整体表现情况</w:t>
      </w:r>
      <w:r>
        <w:rPr>
          <w:rFonts w:hint="eastAsia"/>
        </w:rPr>
        <w:t>。从天天跌停到千股涨停，再到千股跌停，相信投资者</w:t>
      </w:r>
      <w:r w:rsidR="00853EF3">
        <w:rPr>
          <w:rFonts w:hint="eastAsia"/>
        </w:rPr>
        <w:t>也都见证过</w:t>
      </w:r>
      <w:r>
        <w:rPr>
          <w:rFonts w:hint="eastAsia"/>
        </w:rPr>
        <w:t>A</w:t>
      </w:r>
      <w:r>
        <w:rPr>
          <w:rFonts w:hint="eastAsia"/>
        </w:rPr>
        <w:t>股如此奇观。直到</w:t>
      </w:r>
      <w:r>
        <w:rPr>
          <w:rFonts w:hint="eastAsia"/>
        </w:rPr>
        <w:t>9</w:t>
      </w:r>
      <w:r>
        <w:rPr>
          <w:rFonts w:hint="eastAsia"/>
        </w:rPr>
        <w:t>月份市场才开始有所起色，</w:t>
      </w:r>
      <w:r w:rsidR="00295F6C">
        <w:rPr>
          <w:rFonts w:hint="eastAsia"/>
        </w:rPr>
        <w:t>但整体呈现震荡盘整的局面。</w:t>
      </w:r>
      <w:r w:rsidR="00AE3113">
        <w:rPr>
          <w:rFonts w:hint="eastAsia"/>
        </w:rPr>
        <w:t>虽然，期间也有诸如新能源、国企、迪斯尼等概念</w:t>
      </w:r>
      <w:r w:rsidR="00295F6C">
        <w:rPr>
          <w:rFonts w:hint="eastAsia"/>
        </w:rPr>
        <w:t>助力，但</w:t>
      </w:r>
      <w:r w:rsidR="001870B6">
        <w:rPr>
          <w:rFonts w:hint="eastAsia"/>
        </w:rPr>
        <w:t>总体来看，</w:t>
      </w:r>
      <w:r w:rsidR="00295F6C">
        <w:rPr>
          <w:rFonts w:hint="eastAsia"/>
        </w:rPr>
        <w:t>前</w:t>
      </w:r>
      <w:r w:rsidR="00295F6C">
        <w:rPr>
          <w:rFonts w:hint="eastAsia"/>
        </w:rPr>
        <w:t>3</w:t>
      </w:r>
      <w:r w:rsidR="00295F6C">
        <w:rPr>
          <w:rFonts w:hint="eastAsia"/>
        </w:rPr>
        <w:t>季度</w:t>
      </w:r>
      <w:r>
        <w:rPr>
          <w:rFonts w:hint="eastAsia"/>
        </w:rPr>
        <w:t>市场整体赚钱效应较弱。</w:t>
      </w:r>
    </w:p>
    <w:p w:rsidR="00B0101A" w:rsidRDefault="00B0101A" w:rsidP="000861C3">
      <w:pPr>
        <w:jc w:val="left"/>
      </w:pPr>
    </w:p>
    <w:p w:rsidR="000861C3" w:rsidRDefault="000861C3" w:rsidP="000861C3">
      <w:pPr>
        <w:jc w:val="left"/>
      </w:pPr>
      <w:r>
        <w:rPr>
          <w:rFonts w:hint="eastAsia"/>
        </w:rPr>
        <w:t>前</w:t>
      </w:r>
      <w:r>
        <w:rPr>
          <w:rFonts w:hint="eastAsia"/>
        </w:rPr>
        <w:t>3</w:t>
      </w:r>
      <w:r>
        <w:rPr>
          <w:rFonts w:hint="eastAsia"/>
        </w:rPr>
        <w:t>季度各主流指数涨跌情况</w:t>
      </w:r>
    </w:p>
    <w:p w:rsidR="00CE7565" w:rsidRDefault="0052124B" w:rsidP="00CE7565">
      <w:pPr>
        <w:jc w:val="left"/>
      </w:pPr>
      <w:r>
        <w:rPr>
          <w:noProof/>
        </w:rPr>
        <w:drawing>
          <wp:inline distT="0" distB="0" distL="0" distR="0">
            <wp:extent cx="5274310" cy="3263265"/>
            <wp:effectExtent l="19050" t="0" r="2540" b="0"/>
            <wp:docPr id="4" name="图片 3" descr="期指交割数据统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期指交割数据统计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71" w:rsidRDefault="004E2171" w:rsidP="004E2171">
      <w:pPr>
        <w:jc w:val="left"/>
      </w:pPr>
    </w:p>
    <w:p w:rsidR="00035498" w:rsidRDefault="009E5CC1" w:rsidP="00035498">
      <w:pPr>
        <w:jc w:val="left"/>
      </w:pPr>
      <w:r w:rsidRPr="0064287D">
        <w:rPr>
          <w:rFonts w:ascii="Times New Roman" w:hAnsi="Times New Roman" w:hint="eastAsia"/>
          <w:b/>
          <w:color w:val="000000"/>
          <w:szCs w:val="21"/>
        </w:rPr>
        <w:t>其次，</w:t>
      </w:r>
      <w:r w:rsidR="00D10686" w:rsidRPr="0064287D">
        <w:rPr>
          <w:rFonts w:ascii="Times New Roman" w:hAnsi="Times New Roman" w:hint="eastAsia"/>
          <w:b/>
          <w:color w:val="000000"/>
          <w:szCs w:val="21"/>
        </w:rPr>
        <w:t>看</w:t>
      </w:r>
      <w:r w:rsidR="00390F77" w:rsidRPr="0064287D">
        <w:rPr>
          <w:rFonts w:ascii="Times New Roman" w:hAnsi="Times New Roman"/>
          <w:b/>
          <w:color w:val="000000"/>
          <w:szCs w:val="21"/>
        </w:rPr>
        <w:t>私募基金市场方面</w:t>
      </w:r>
      <w:r w:rsidR="00035498">
        <w:rPr>
          <w:rFonts w:ascii="Times New Roman" w:hAnsi="Times New Roman" w:hint="eastAsia"/>
          <w:b/>
          <w:color w:val="000000"/>
          <w:szCs w:val="21"/>
        </w:rPr>
        <w:t>，</w:t>
      </w:r>
      <w:r w:rsidR="00035498">
        <w:rPr>
          <w:rFonts w:ascii="Times New Roman" w:hAnsi="Times New Roman" w:hint="eastAsia"/>
          <w:color w:val="000000"/>
          <w:kern w:val="0"/>
          <w:szCs w:val="21"/>
        </w:rPr>
        <w:t>我们看到，今年以来主要受股灾的影响，</w:t>
      </w:r>
      <w:r w:rsidR="00035498" w:rsidRPr="00E755F0">
        <w:rPr>
          <w:rFonts w:ascii="Times New Roman" w:hAnsi="Times New Roman"/>
          <w:color w:val="000000"/>
          <w:kern w:val="0"/>
          <w:szCs w:val="21"/>
        </w:rPr>
        <w:t>市场</w:t>
      </w:r>
      <w:r w:rsidR="00035498" w:rsidRPr="00E755F0">
        <w:rPr>
          <w:rFonts w:ascii="Times New Roman" w:hAnsi="Times New Roman" w:hint="eastAsia"/>
          <w:color w:val="000000"/>
          <w:kern w:val="0"/>
          <w:szCs w:val="21"/>
        </w:rPr>
        <w:t>整体表现</w:t>
      </w:r>
      <w:r w:rsidR="00035498" w:rsidRPr="00E755F0">
        <w:rPr>
          <w:rFonts w:ascii="Times New Roman" w:hAnsi="Times New Roman"/>
          <w:color w:val="000000"/>
          <w:kern w:val="0"/>
          <w:szCs w:val="21"/>
        </w:rPr>
        <w:t>低迷，</w:t>
      </w:r>
      <w:r w:rsidR="00035498">
        <w:rPr>
          <w:rFonts w:ascii="Times New Roman" w:hAnsi="Times New Roman" w:hint="eastAsia"/>
          <w:color w:val="000000"/>
          <w:kern w:val="0"/>
          <w:szCs w:val="21"/>
        </w:rPr>
        <w:t>投资者股票投资收益不佳</w:t>
      </w:r>
      <w:r w:rsidR="00035498" w:rsidRPr="00E755F0">
        <w:rPr>
          <w:rFonts w:ascii="Times New Roman" w:hAnsi="Times New Roman"/>
          <w:color w:val="000000"/>
          <w:kern w:val="0"/>
          <w:szCs w:val="21"/>
        </w:rPr>
        <w:t>。</w:t>
      </w:r>
      <w:r w:rsidR="00035498">
        <w:rPr>
          <w:rFonts w:ascii="Times New Roman" w:hAnsi="Times New Roman" w:hint="eastAsia"/>
          <w:color w:val="000000"/>
          <w:kern w:val="0"/>
          <w:szCs w:val="21"/>
        </w:rPr>
        <w:t>那么，</w:t>
      </w:r>
      <w:r w:rsidR="00035498">
        <w:rPr>
          <w:rFonts w:hint="eastAsia"/>
        </w:rPr>
        <w:t>今年以来，私募基金表现如何呢？</w:t>
      </w:r>
    </w:p>
    <w:p w:rsidR="00C853EC" w:rsidRDefault="00C853EC" w:rsidP="00CE7565">
      <w:pPr>
        <w:jc w:val="left"/>
      </w:pPr>
    </w:p>
    <w:p w:rsidR="00D52D25" w:rsidRPr="00C853EC" w:rsidRDefault="00D52D25" w:rsidP="00CE7565">
      <w:pPr>
        <w:jc w:val="left"/>
      </w:pPr>
    </w:p>
    <w:p w:rsidR="00C853EC" w:rsidRDefault="00634005" w:rsidP="00C853EC">
      <w:pPr>
        <w:rPr>
          <w:rFonts w:ascii="Times New Roman" w:hAnsi="Times New Roman"/>
          <w:b/>
        </w:rPr>
      </w:pPr>
      <w:r>
        <w:rPr>
          <w:rFonts w:ascii="Times New Roman" w:hAnsi="Times New Roman" w:hint="eastAsia"/>
          <w:b/>
        </w:rPr>
        <w:t>前</w:t>
      </w:r>
      <w:r>
        <w:rPr>
          <w:rFonts w:ascii="Times New Roman" w:hAnsi="Times New Roman" w:hint="eastAsia"/>
          <w:b/>
        </w:rPr>
        <w:t>3</w:t>
      </w:r>
      <w:r>
        <w:rPr>
          <w:rFonts w:ascii="Times New Roman" w:hAnsi="Times New Roman" w:hint="eastAsia"/>
          <w:b/>
        </w:rPr>
        <w:t>季度</w:t>
      </w:r>
      <w:r w:rsidR="00C853EC" w:rsidRPr="006A704D">
        <w:rPr>
          <w:rFonts w:ascii="Times New Roman" w:hAnsi="Times New Roman"/>
          <w:b/>
        </w:rPr>
        <w:t>主要策略平均收益</w:t>
      </w:r>
    </w:p>
    <w:p w:rsidR="000F6F73" w:rsidRDefault="000F6F73" w:rsidP="00C853EC">
      <w:pPr>
        <w:rPr>
          <w:rFonts w:ascii="Times New Roman" w:hAnsi="Times New Roman"/>
          <w:b/>
        </w:rPr>
      </w:pPr>
    </w:p>
    <w:p w:rsidR="000F6F73" w:rsidRPr="006A704D" w:rsidRDefault="000F6F73" w:rsidP="00C853EC">
      <w:pPr>
        <w:rPr>
          <w:rFonts w:ascii="Times New Roman" w:hAnsi="Times New Roman"/>
        </w:rPr>
      </w:pPr>
    </w:p>
    <w:p w:rsidR="00E1535A" w:rsidRDefault="0052124B" w:rsidP="00CE7565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3898265"/>
            <wp:effectExtent l="19050" t="0" r="2540" b="0"/>
            <wp:docPr id="5" name="图片 4" descr="平均收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平均收益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8F" w:rsidRPr="0060096C" w:rsidRDefault="0060096C" w:rsidP="00CE7565">
      <w:pPr>
        <w:jc w:val="left"/>
        <w:rPr>
          <w:color w:val="FF0000"/>
        </w:rPr>
      </w:pPr>
      <w:r w:rsidRPr="0060096C">
        <w:rPr>
          <w:rFonts w:hint="eastAsia"/>
          <w:color w:val="FF0000"/>
        </w:rPr>
        <w:t>从上图</w:t>
      </w:r>
      <w:r w:rsidR="002B5D8F" w:rsidRPr="0060096C">
        <w:rPr>
          <w:rFonts w:hint="eastAsia"/>
          <w:color w:val="FF0000"/>
        </w:rPr>
        <w:t>我们看到，今年以来，</w:t>
      </w:r>
      <w:r w:rsidR="00035498">
        <w:rPr>
          <w:rFonts w:hint="eastAsia"/>
          <w:color w:val="FF0000"/>
        </w:rPr>
        <w:t>各</w:t>
      </w:r>
      <w:r w:rsidR="00634005" w:rsidRPr="0060096C">
        <w:rPr>
          <w:rFonts w:hint="eastAsia"/>
          <w:color w:val="FF0000"/>
        </w:rPr>
        <w:t>策略基金</w:t>
      </w:r>
      <w:r w:rsidR="00035498">
        <w:rPr>
          <w:rFonts w:hint="eastAsia"/>
          <w:color w:val="FF0000"/>
        </w:rPr>
        <w:t>均</w:t>
      </w:r>
      <w:r w:rsidR="00856F55">
        <w:rPr>
          <w:rFonts w:hint="eastAsia"/>
          <w:color w:val="FF0000"/>
        </w:rPr>
        <w:t>取得</w:t>
      </w:r>
      <w:r w:rsidR="00634005" w:rsidRPr="0060096C">
        <w:rPr>
          <w:rFonts w:hint="eastAsia"/>
          <w:color w:val="FF0000"/>
        </w:rPr>
        <w:t>正收益，</w:t>
      </w:r>
      <w:r w:rsidR="00035498">
        <w:rPr>
          <w:rFonts w:hint="eastAsia"/>
          <w:color w:val="FF0000"/>
        </w:rPr>
        <w:t>而上证指数前</w:t>
      </w:r>
      <w:r w:rsidR="00035498">
        <w:rPr>
          <w:rFonts w:hint="eastAsia"/>
          <w:color w:val="FF0000"/>
        </w:rPr>
        <w:t>3</w:t>
      </w:r>
      <w:r w:rsidR="00035498">
        <w:rPr>
          <w:rFonts w:hint="eastAsia"/>
          <w:color w:val="FF0000"/>
        </w:rPr>
        <w:t>季度收益率仅为</w:t>
      </w:r>
      <w:r w:rsidR="00035498">
        <w:rPr>
          <w:rFonts w:hint="eastAsia"/>
          <w:color w:val="FF0000"/>
        </w:rPr>
        <w:t>-5.62%</w:t>
      </w:r>
      <w:r w:rsidR="00035498">
        <w:rPr>
          <w:rFonts w:hint="eastAsia"/>
          <w:color w:val="FF0000"/>
        </w:rPr>
        <w:t>，沪深</w:t>
      </w:r>
      <w:r w:rsidR="00035498">
        <w:rPr>
          <w:rFonts w:hint="eastAsia"/>
          <w:color w:val="FF0000"/>
        </w:rPr>
        <w:t>300</w:t>
      </w:r>
      <w:r w:rsidR="008D6DDA">
        <w:rPr>
          <w:rFonts w:hint="eastAsia"/>
          <w:color w:val="FF0000"/>
        </w:rPr>
        <w:t>为</w:t>
      </w:r>
      <w:r w:rsidR="008D6DDA">
        <w:rPr>
          <w:rFonts w:hint="eastAsia"/>
          <w:color w:val="FF0000"/>
        </w:rPr>
        <w:t>-9.36%</w:t>
      </w:r>
      <w:r w:rsidR="008D6DDA">
        <w:rPr>
          <w:rFonts w:hint="eastAsia"/>
          <w:color w:val="FF0000"/>
        </w:rPr>
        <w:t>，各主要策略私募基金</w:t>
      </w:r>
      <w:r w:rsidR="00035498">
        <w:rPr>
          <w:rFonts w:hint="eastAsia"/>
          <w:color w:val="FF0000"/>
        </w:rPr>
        <w:t>妥妥的跑赢大盘</w:t>
      </w:r>
      <w:r w:rsidR="008D6DDA">
        <w:rPr>
          <w:rFonts w:hint="eastAsia"/>
          <w:color w:val="FF0000"/>
        </w:rPr>
        <w:t>及沪深</w:t>
      </w:r>
      <w:r w:rsidR="008D6DDA">
        <w:rPr>
          <w:rFonts w:hint="eastAsia"/>
          <w:color w:val="FF0000"/>
        </w:rPr>
        <w:t>300</w:t>
      </w:r>
      <w:r w:rsidR="008D6DDA">
        <w:rPr>
          <w:rFonts w:hint="eastAsia"/>
          <w:color w:val="FF0000"/>
        </w:rPr>
        <w:t>。</w:t>
      </w:r>
      <w:r w:rsidR="00035498">
        <w:rPr>
          <w:rFonts w:hint="eastAsia"/>
          <w:color w:val="FF0000"/>
        </w:rPr>
        <w:t>其中股票多空策略</w:t>
      </w:r>
      <w:r w:rsidR="002B5D8F" w:rsidRPr="0060096C">
        <w:rPr>
          <w:rFonts w:hint="eastAsia"/>
          <w:color w:val="FF0000"/>
        </w:rPr>
        <w:t>前</w:t>
      </w:r>
      <w:r w:rsidR="002B5D8F" w:rsidRPr="0060096C">
        <w:rPr>
          <w:rFonts w:hint="eastAsia"/>
          <w:color w:val="FF0000"/>
        </w:rPr>
        <w:t>3</w:t>
      </w:r>
      <w:r w:rsidR="002B5D8F" w:rsidRPr="0060096C">
        <w:rPr>
          <w:rFonts w:hint="eastAsia"/>
          <w:color w:val="FF0000"/>
        </w:rPr>
        <w:t>季度</w:t>
      </w:r>
      <w:r w:rsidR="00035498">
        <w:rPr>
          <w:rFonts w:hint="eastAsia"/>
          <w:color w:val="FF0000"/>
        </w:rPr>
        <w:t>表现最好，平均</w:t>
      </w:r>
      <w:r w:rsidR="002B5D8F" w:rsidRPr="0060096C">
        <w:rPr>
          <w:rFonts w:hint="eastAsia"/>
          <w:color w:val="FF0000"/>
        </w:rPr>
        <w:t>收益</w:t>
      </w:r>
      <w:r w:rsidR="00035498">
        <w:rPr>
          <w:rFonts w:hint="eastAsia"/>
          <w:color w:val="FF0000"/>
        </w:rPr>
        <w:t>率高达</w:t>
      </w:r>
      <w:r w:rsidR="00035498">
        <w:rPr>
          <w:rFonts w:hint="eastAsia"/>
          <w:color w:val="FF0000"/>
        </w:rPr>
        <w:t>20.86%</w:t>
      </w:r>
      <w:r w:rsidR="00035498">
        <w:rPr>
          <w:rFonts w:hint="eastAsia"/>
          <w:color w:val="FF0000"/>
        </w:rPr>
        <w:t>，</w:t>
      </w:r>
      <w:r w:rsidR="008D6DDA">
        <w:rPr>
          <w:rFonts w:hint="eastAsia"/>
          <w:color w:val="FF0000"/>
        </w:rPr>
        <w:t>股票市场中性策略表现次之，平均收益率为</w:t>
      </w:r>
      <w:r w:rsidR="008D6DDA">
        <w:rPr>
          <w:rFonts w:hint="eastAsia"/>
          <w:color w:val="FF0000"/>
        </w:rPr>
        <w:t>19.59%</w:t>
      </w:r>
      <w:r w:rsidR="00035498">
        <w:rPr>
          <w:rFonts w:hint="eastAsia"/>
          <w:color w:val="FF0000"/>
        </w:rPr>
        <w:t>，</w:t>
      </w:r>
      <w:r w:rsidR="008D6DDA">
        <w:rPr>
          <w:rFonts w:hint="eastAsia"/>
          <w:color w:val="FF0000"/>
        </w:rPr>
        <w:t>而组合基金今年以来平均</w:t>
      </w:r>
      <w:r w:rsidR="00634005" w:rsidRPr="0060096C">
        <w:rPr>
          <w:rFonts w:hint="eastAsia"/>
          <w:color w:val="FF0000"/>
        </w:rPr>
        <w:t>收益</w:t>
      </w:r>
      <w:r w:rsidR="008D6DDA">
        <w:rPr>
          <w:rFonts w:hint="eastAsia"/>
          <w:color w:val="FF0000"/>
        </w:rPr>
        <w:t>率</w:t>
      </w:r>
      <w:r w:rsidR="00634005" w:rsidRPr="0060096C">
        <w:rPr>
          <w:rFonts w:hint="eastAsia"/>
          <w:color w:val="FF0000"/>
        </w:rPr>
        <w:t>较低</w:t>
      </w:r>
      <w:r w:rsidR="008D6DDA">
        <w:rPr>
          <w:rFonts w:hint="eastAsia"/>
          <w:color w:val="FF0000"/>
        </w:rPr>
        <w:t>，仅为</w:t>
      </w:r>
      <w:r w:rsidR="008D6DDA">
        <w:rPr>
          <w:rFonts w:hint="eastAsia"/>
          <w:color w:val="FF0000"/>
        </w:rPr>
        <w:t>3.42%</w:t>
      </w:r>
      <w:r w:rsidR="00634005" w:rsidRPr="0060096C">
        <w:rPr>
          <w:rFonts w:hint="eastAsia"/>
          <w:color w:val="FF0000"/>
        </w:rPr>
        <w:t>。</w:t>
      </w:r>
    </w:p>
    <w:p w:rsidR="00CE7565" w:rsidRDefault="00CE7565" w:rsidP="00CE7565">
      <w:pPr>
        <w:jc w:val="left"/>
      </w:pPr>
    </w:p>
    <w:p w:rsidR="0064287D" w:rsidRDefault="00634005" w:rsidP="0064287D">
      <w:pPr>
        <w:jc w:val="left"/>
      </w:pPr>
      <w:r>
        <w:rPr>
          <w:rFonts w:hint="eastAsia"/>
        </w:rPr>
        <w:t>具体来看，</w:t>
      </w:r>
      <w:r w:rsidR="00CE7565">
        <w:rPr>
          <w:rFonts w:hint="eastAsia"/>
        </w:rPr>
        <w:t>朝阳永续统计发现，前</w:t>
      </w:r>
      <w:r w:rsidR="00CE7565">
        <w:rPr>
          <w:rFonts w:hint="eastAsia"/>
        </w:rPr>
        <w:t>3</w:t>
      </w:r>
      <w:r w:rsidR="00CE7565">
        <w:rPr>
          <w:rFonts w:hint="eastAsia"/>
        </w:rPr>
        <w:t>季度，虽然经历股市大起大落，基金收益也随着起起伏伏，但是，还是有诸多产品以</w:t>
      </w:r>
      <w:r w:rsidR="00856F55">
        <w:rPr>
          <w:rFonts w:hint="eastAsia"/>
        </w:rPr>
        <w:t>优异的成绩</w:t>
      </w:r>
      <w:r w:rsidR="00CE7565">
        <w:rPr>
          <w:rFonts w:hint="eastAsia"/>
        </w:rPr>
        <w:t>脱颖而出。比如，</w:t>
      </w:r>
      <w:r w:rsidR="00847310">
        <w:rPr>
          <w:rFonts w:hint="eastAsia"/>
        </w:rPr>
        <w:t>股票多头策略</w:t>
      </w:r>
      <w:r w:rsidR="00BB0EB7">
        <w:rPr>
          <w:rFonts w:hint="eastAsia"/>
        </w:rPr>
        <w:t>中</w:t>
      </w:r>
      <w:r w:rsidR="00847310">
        <w:rPr>
          <w:rFonts w:hint="eastAsia"/>
        </w:rPr>
        <w:t>，</w:t>
      </w:r>
      <w:r w:rsidR="000F6F73">
        <w:rPr>
          <w:rFonts w:hint="eastAsia"/>
        </w:rPr>
        <w:t>华银精治管理的</w:t>
      </w:r>
      <w:r w:rsidR="0064287D">
        <w:rPr>
          <w:rFonts w:hint="eastAsia"/>
        </w:rPr>
        <w:t>“</w:t>
      </w:r>
      <w:r w:rsidR="000F6F73">
        <w:rPr>
          <w:rFonts w:hint="eastAsia"/>
        </w:rPr>
        <w:t>华银精选基金</w:t>
      </w:r>
      <w:r w:rsidR="0064287D">
        <w:rPr>
          <w:rFonts w:hint="eastAsia"/>
        </w:rPr>
        <w:t>”</w:t>
      </w:r>
      <w:r w:rsidR="000F6F73">
        <w:rPr>
          <w:rFonts w:hint="eastAsia"/>
        </w:rPr>
        <w:t>以</w:t>
      </w:r>
      <w:r w:rsidR="000F6F73">
        <w:rPr>
          <w:rFonts w:hint="eastAsia"/>
        </w:rPr>
        <w:t>537%</w:t>
      </w:r>
      <w:r w:rsidR="000F6F73">
        <w:rPr>
          <w:rFonts w:hint="eastAsia"/>
        </w:rPr>
        <w:t>的超高收益傲视群雄，而</w:t>
      </w:r>
      <w:r w:rsidR="00CE7565">
        <w:rPr>
          <w:rFonts w:hint="eastAsia"/>
        </w:rPr>
        <w:t>徐翔管理的泽熙不愧为明星私募，</w:t>
      </w:r>
      <w:r w:rsidR="00FF184B">
        <w:rPr>
          <w:rFonts w:hint="eastAsia"/>
        </w:rPr>
        <w:t>旗下</w:t>
      </w:r>
      <w:r w:rsidR="000F6F73">
        <w:rPr>
          <w:rFonts w:hint="eastAsia"/>
        </w:rPr>
        <w:t>多产品</w:t>
      </w:r>
      <w:r w:rsidR="00CE7565">
        <w:rPr>
          <w:rFonts w:hint="eastAsia"/>
        </w:rPr>
        <w:t>频繁上榜，</w:t>
      </w:r>
      <w:r w:rsidR="0064287D">
        <w:rPr>
          <w:rFonts w:hint="eastAsia"/>
        </w:rPr>
        <w:t>“</w:t>
      </w:r>
      <w:r w:rsidR="00CE7565">
        <w:rPr>
          <w:rFonts w:hint="eastAsia"/>
        </w:rPr>
        <w:t>泽熙</w:t>
      </w:r>
      <w:r w:rsidR="00CE7565">
        <w:rPr>
          <w:rFonts w:hint="eastAsia"/>
        </w:rPr>
        <w:t>3</w:t>
      </w:r>
      <w:r w:rsidR="00CE7565">
        <w:rPr>
          <w:rFonts w:hint="eastAsia"/>
        </w:rPr>
        <w:t>期</w:t>
      </w:r>
      <w:r w:rsidR="0064287D">
        <w:rPr>
          <w:rFonts w:hint="eastAsia"/>
        </w:rPr>
        <w:t>”</w:t>
      </w:r>
      <w:r w:rsidR="00FF6D91">
        <w:rPr>
          <w:rFonts w:hint="eastAsia"/>
        </w:rPr>
        <w:t>前</w:t>
      </w:r>
      <w:r w:rsidR="00FF6D91">
        <w:rPr>
          <w:rFonts w:hint="eastAsia"/>
        </w:rPr>
        <w:t>3</w:t>
      </w:r>
      <w:r w:rsidR="00FF6D91">
        <w:rPr>
          <w:rFonts w:hint="eastAsia"/>
        </w:rPr>
        <w:t>季度</w:t>
      </w:r>
      <w:r w:rsidR="00CE7565">
        <w:rPr>
          <w:rFonts w:hint="eastAsia"/>
        </w:rPr>
        <w:t>收益</w:t>
      </w:r>
      <w:r w:rsidR="00FF6D91">
        <w:rPr>
          <w:rFonts w:hint="eastAsia"/>
        </w:rPr>
        <w:t>为</w:t>
      </w:r>
      <w:r w:rsidR="00CE7565">
        <w:rPr>
          <w:rFonts w:hint="eastAsia"/>
        </w:rPr>
        <w:t>362.65%,</w:t>
      </w:r>
      <w:r w:rsidR="000F6F73">
        <w:rPr>
          <w:rFonts w:hint="eastAsia"/>
        </w:rPr>
        <w:t>位列第二名，</w:t>
      </w:r>
      <w:r w:rsidR="0064287D">
        <w:rPr>
          <w:rFonts w:hint="eastAsia"/>
        </w:rPr>
        <w:t>“</w:t>
      </w:r>
      <w:r w:rsidR="000F6F73">
        <w:rPr>
          <w:rFonts w:hint="eastAsia"/>
        </w:rPr>
        <w:t>泽熙</w:t>
      </w:r>
      <w:r w:rsidR="000F6F73">
        <w:rPr>
          <w:rFonts w:hint="eastAsia"/>
        </w:rPr>
        <w:t>1</w:t>
      </w:r>
      <w:r w:rsidR="000F6F73">
        <w:rPr>
          <w:rFonts w:hint="eastAsia"/>
        </w:rPr>
        <w:t>号</w:t>
      </w:r>
      <w:r w:rsidR="0064287D">
        <w:rPr>
          <w:rFonts w:hint="eastAsia"/>
        </w:rPr>
        <w:t>”</w:t>
      </w:r>
      <w:r w:rsidR="000F6F73">
        <w:rPr>
          <w:rFonts w:hint="eastAsia"/>
        </w:rPr>
        <w:t>以</w:t>
      </w:r>
      <w:r w:rsidR="000F6F73">
        <w:rPr>
          <w:rFonts w:hint="eastAsia"/>
        </w:rPr>
        <w:t>302.55%</w:t>
      </w:r>
      <w:r w:rsidR="000F6F73">
        <w:rPr>
          <w:rFonts w:hint="eastAsia"/>
        </w:rPr>
        <w:t>收益率排名第五；</w:t>
      </w:r>
    </w:p>
    <w:p w:rsidR="0064287D" w:rsidRDefault="0064287D" w:rsidP="0064287D">
      <w:pPr>
        <w:jc w:val="left"/>
      </w:pPr>
    </w:p>
    <w:p w:rsidR="00F50BF4" w:rsidRPr="00F50BF4" w:rsidRDefault="0064287D" w:rsidP="0064287D">
      <w:pPr>
        <w:jc w:val="left"/>
        <w:rPr>
          <w:b/>
        </w:rPr>
      </w:pPr>
      <w:r w:rsidRPr="00F50BF4">
        <w:rPr>
          <w:rFonts w:hint="eastAsia"/>
          <w:b/>
        </w:rPr>
        <w:t>另外</w:t>
      </w:r>
      <w:r w:rsidR="000F6F73" w:rsidRPr="00F50BF4">
        <w:rPr>
          <w:rFonts w:hint="eastAsia"/>
          <w:b/>
        </w:rPr>
        <w:t>，在朝阳永续举办的中国私募基金风云榜</w:t>
      </w:r>
      <w:r w:rsidR="00FF6D91" w:rsidRPr="00F50BF4">
        <w:rPr>
          <w:rFonts w:hint="eastAsia"/>
          <w:b/>
        </w:rPr>
        <w:t>中</w:t>
      </w:r>
      <w:r w:rsidRPr="00F50BF4">
        <w:rPr>
          <w:rFonts w:hint="eastAsia"/>
          <w:b/>
        </w:rPr>
        <w:t>被誉为最大黑马的“盈阳</w:t>
      </w:r>
      <w:r w:rsidRPr="00F50BF4">
        <w:rPr>
          <w:rFonts w:hint="eastAsia"/>
          <w:b/>
        </w:rPr>
        <w:t>7</w:t>
      </w:r>
      <w:r w:rsidRPr="00F50BF4">
        <w:rPr>
          <w:rFonts w:hint="eastAsia"/>
          <w:b/>
        </w:rPr>
        <w:t>号”</w:t>
      </w:r>
      <w:r w:rsidR="00FF6D91" w:rsidRPr="00F50BF4">
        <w:rPr>
          <w:rFonts w:hint="eastAsia"/>
          <w:b/>
        </w:rPr>
        <w:t>风光依旧</w:t>
      </w:r>
      <w:r w:rsidRPr="00F50BF4">
        <w:rPr>
          <w:rFonts w:hint="eastAsia"/>
          <w:b/>
        </w:rPr>
        <w:t>，</w:t>
      </w:r>
      <w:r w:rsidR="00CE7565" w:rsidRPr="00F50BF4">
        <w:rPr>
          <w:rFonts w:hint="eastAsia"/>
          <w:b/>
        </w:rPr>
        <w:t>以</w:t>
      </w:r>
      <w:r w:rsidR="00CE7565" w:rsidRPr="00F50BF4">
        <w:rPr>
          <w:rFonts w:hint="eastAsia"/>
          <w:b/>
        </w:rPr>
        <w:t>480.33%</w:t>
      </w:r>
      <w:r w:rsidR="00CE7565" w:rsidRPr="00F50BF4">
        <w:rPr>
          <w:rFonts w:hint="eastAsia"/>
          <w:b/>
        </w:rPr>
        <w:t>成绩在所有产品中排名第四，</w:t>
      </w:r>
      <w:r w:rsidRPr="00F50BF4">
        <w:rPr>
          <w:rFonts w:hint="eastAsia"/>
          <w:b/>
        </w:rPr>
        <w:t>其基金公司为盈阳资产</w:t>
      </w:r>
      <w:r w:rsidR="003C4CC9">
        <w:rPr>
          <w:rFonts w:hint="eastAsia"/>
          <w:b/>
        </w:rPr>
        <w:t>，基金管理人为薄君杰</w:t>
      </w:r>
      <w:r w:rsidRPr="00F50BF4">
        <w:rPr>
          <w:rFonts w:hint="eastAsia"/>
          <w:b/>
        </w:rPr>
        <w:t>；</w:t>
      </w:r>
    </w:p>
    <w:p w:rsidR="00F50BF4" w:rsidRDefault="00F50BF4" w:rsidP="0064287D">
      <w:pPr>
        <w:jc w:val="left"/>
      </w:pPr>
    </w:p>
    <w:p w:rsidR="00F50BF4" w:rsidRDefault="00F50BF4" w:rsidP="0064287D">
      <w:pPr>
        <w:jc w:val="left"/>
      </w:pPr>
    </w:p>
    <w:p w:rsidR="00F50BF4" w:rsidRDefault="0064287D" w:rsidP="00F50BF4">
      <w:pPr>
        <w:jc w:val="left"/>
      </w:pPr>
      <w:r>
        <w:rPr>
          <w:rFonts w:hint="eastAsia"/>
        </w:rPr>
        <w:t>值得一提的是，</w:t>
      </w:r>
      <w:r w:rsidRPr="0064287D">
        <w:rPr>
          <w:rFonts w:ascii="宋体" w:eastAsia="宋体" w:hAnsi="宋体" w:cs="宋体" w:hint="eastAsia"/>
          <w:color w:val="000000"/>
          <w:kern w:val="0"/>
          <w:sz w:val="22"/>
        </w:rPr>
        <w:t>大连富利投资</w:t>
      </w:r>
      <w:r>
        <w:rPr>
          <w:rFonts w:ascii="宋体" w:eastAsia="宋体" w:hAnsi="宋体" w:cs="宋体" w:hint="eastAsia"/>
          <w:color w:val="000000"/>
          <w:kern w:val="0"/>
          <w:sz w:val="22"/>
        </w:rPr>
        <w:t>管理的</w:t>
      </w:r>
      <w:r w:rsidRPr="0064287D">
        <w:rPr>
          <w:rFonts w:ascii="宋体" w:eastAsia="宋体" w:hAnsi="宋体" w:cs="宋体" w:hint="eastAsia"/>
          <w:color w:val="000000"/>
          <w:kern w:val="0"/>
          <w:sz w:val="22"/>
        </w:rPr>
        <w:t>富利步步为盈1号</w:t>
      </w:r>
      <w:r>
        <w:rPr>
          <w:rFonts w:ascii="宋体" w:eastAsia="宋体" w:hAnsi="宋体" w:cs="宋体" w:hint="eastAsia"/>
          <w:color w:val="000000"/>
          <w:kern w:val="0"/>
          <w:sz w:val="22"/>
        </w:rPr>
        <w:t>以209.68%的收益率排名管理期货策略第一</w:t>
      </w:r>
      <w:r w:rsidR="00F50BF4">
        <w:rPr>
          <w:rFonts w:ascii="宋体" w:eastAsia="宋体" w:hAnsi="宋体" w:cs="宋体" w:hint="eastAsia"/>
          <w:color w:val="000000"/>
          <w:kern w:val="0"/>
          <w:sz w:val="22"/>
        </w:rPr>
        <w:t>；</w:t>
      </w:r>
      <w:r w:rsidRPr="0064287D">
        <w:rPr>
          <w:rFonts w:ascii="宋体" w:eastAsia="宋体" w:hAnsi="宋体" w:cs="宋体" w:hint="eastAsia"/>
          <w:color w:val="000000"/>
          <w:kern w:val="0"/>
          <w:sz w:val="22"/>
        </w:rPr>
        <w:t>永安财富</w:t>
      </w:r>
      <w:r>
        <w:rPr>
          <w:rFonts w:ascii="宋体" w:eastAsia="宋体" w:hAnsi="宋体" w:cs="宋体" w:hint="eastAsia"/>
          <w:color w:val="000000"/>
          <w:kern w:val="0"/>
          <w:sz w:val="22"/>
        </w:rPr>
        <w:t>管理的</w:t>
      </w:r>
      <w:r w:rsidRPr="0064287D">
        <w:rPr>
          <w:rFonts w:ascii="宋体" w:eastAsia="宋体" w:hAnsi="宋体" w:cs="宋体" w:hint="eastAsia"/>
          <w:color w:val="000000"/>
          <w:kern w:val="0"/>
          <w:sz w:val="22"/>
        </w:rPr>
        <w:t>永安定增伍号</w:t>
      </w:r>
      <w:r>
        <w:rPr>
          <w:rFonts w:ascii="宋体" w:eastAsia="宋体" w:hAnsi="宋体" w:cs="宋体" w:hint="eastAsia"/>
          <w:color w:val="000000"/>
          <w:kern w:val="0"/>
          <w:sz w:val="22"/>
        </w:rPr>
        <w:t>以291.2%的优异成绩位列定向增发策略</w:t>
      </w:r>
      <w:r w:rsidR="00F50BF4">
        <w:rPr>
          <w:rFonts w:ascii="宋体" w:eastAsia="宋体" w:hAnsi="宋体" w:cs="宋体" w:hint="eastAsia"/>
          <w:color w:val="000000"/>
          <w:kern w:val="0"/>
          <w:sz w:val="22"/>
        </w:rPr>
        <w:t>基金中第一名。</w:t>
      </w:r>
      <w:r w:rsidR="00F50BF4">
        <w:rPr>
          <w:rFonts w:hint="eastAsia"/>
        </w:rPr>
        <w:t>此外，尊嘉资产、宝银创赢、</w:t>
      </w:r>
      <w:r w:rsidR="00F50BF4" w:rsidRPr="0064287D">
        <w:rPr>
          <w:rFonts w:ascii="宋体" w:eastAsia="宋体" w:hAnsi="宋体" w:cs="宋体" w:hint="eastAsia"/>
          <w:color w:val="000000"/>
          <w:kern w:val="0"/>
          <w:sz w:val="22"/>
        </w:rPr>
        <w:t>浙江宽客</w:t>
      </w:r>
      <w:r w:rsidR="00F50BF4">
        <w:rPr>
          <w:rFonts w:ascii="宋体" w:eastAsia="宋体" w:hAnsi="宋体" w:cs="宋体" w:hint="eastAsia"/>
          <w:color w:val="000000"/>
          <w:kern w:val="0"/>
          <w:sz w:val="22"/>
        </w:rPr>
        <w:t>、</w:t>
      </w:r>
      <w:r w:rsidR="00F50BF4">
        <w:rPr>
          <w:rFonts w:hint="eastAsia"/>
        </w:rPr>
        <w:t>富善投资也均有不俗表现。</w:t>
      </w:r>
    </w:p>
    <w:p w:rsidR="00CE7565" w:rsidRPr="00F50BF4" w:rsidRDefault="00CE7565" w:rsidP="0064287D">
      <w:pPr>
        <w:jc w:val="left"/>
      </w:pPr>
    </w:p>
    <w:p w:rsidR="00CE7565" w:rsidRPr="00F50BF4" w:rsidRDefault="00CE7565" w:rsidP="00CE7565">
      <w:pPr>
        <w:jc w:val="left"/>
      </w:pPr>
    </w:p>
    <w:p w:rsidR="00634005" w:rsidRDefault="00634005" w:rsidP="00634005">
      <w:pPr>
        <w:jc w:val="left"/>
        <w:rPr>
          <w:b/>
        </w:rPr>
      </w:pPr>
      <w:r w:rsidRPr="00FF6D91">
        <w:rPr>
          <w:rFonts w:hint="eastAsia"/>
          <w:b/>
        </w:rPr>
        <w:t>为大家更清晰了解各策略基金表现，经过朝阳永续精心整理，</w:t>
      </w:r>
      <w:r w:rsidR="00B527EA" w:rsidRPr="00FF6D91">
        <w:rPr>
          <w:rFonts w:hint="eastAsia"/>
          <w:b/>
        </w:rPr>
        <w:t>把所有基金按地区、策略进行分类</w:t>
      </w:r>
      <w:r w:rsidR="003C4CC9">
        <w:rPr>
          <w:rFonts w:hint="eastAsia"/>
          <w:b/>
        </w:rPr>
        <w:t>统计</w:t>
      </w:r>
      <w:r w:rsidR="00B527EA" w:rsidRPr="00FF6D91">
        <w:rPr>
          <w:rFonts w:hint="eastAsia"/>
          <w:b/>
        </w:rPr>
        <w:t>，按前</w:t>
      </w:r>
      <w:r w:rsidR="00B527EA" w:rsidRPr="00FF6D91">
        <w:rPr>
          <w:rFonts w:hint="eastAsia"/>
          <w:b/>
        </w:rPr>
        <w:t>3</w:t>
      </w:r>
      <w:r w:rsidR="00B527EA" w:rsidRPr="00FF6D91">
        <w:rPr>
          <w:rFonts w:hint="eastAsia"/>
          <w:b/>
        </w:rPr>
        <w:t>季度收益进行排行</w:t>
      </w:r>
      <w:r w:rsidRPr="00FF6D91">
        <w:rPr>
          <w:rFonts w:hint="eastAsia"/>
          <w:b/>
        </w:rPr>
        <w:t>名公布给大家。</w:t>
      </w:r>
    </w:p>
    <w:p w:rsidR="0052124B" w:rsidRDefault="0052124B" w:rsidP="00634005">
      <w:pPr>
        <w:jc w:val="left"/>
        <w:rPr>
          <w:b/>
        </w:rPr>
      </w:pPr>
      <w:r w:rsidRPr="0052124B">
        <w:rPr>
          <w:b/>
          <w:noProof/>
        </w:rPr>
        <w:drawing>
          <wp:inline distT="0" distB="0" distL="0" distR="0">
            <wp:extent cx="5274310" cy="4754880"/>
            <wp:effectExtent l="19050" t="0" r="2540" b="0"/>
            <wp:docPr id="19" name="图片 7" descr="深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深圳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B4" w:rsidRDefault="00B36DB4" w:rsidP="00634005">
      <w:pPr>
        <w:jc w:val="left"/>
        <w:rPr>
          <w:b/>
        </w:rPr>
      </w:pPr>
    </w:p>
    <w:p w:rsidR="00B36DB4" w:rsidRPr="00FF6D91" w:rsidRDefault="00B36DB4" w:rsidP="00634005">
      <w:pPr>
        <w:jc w:val="left"/>
        <w:rPr>
          <w:b/>
        </w:rPr>
      </w:pPr>
    </w:p>
    <w:p w:rsidR="00CE7565" w:rsidRDefault="0052124B" w:rsidP="00CE7565">
      <w:pPr>
        <w:jc w:val="left"/>
      </w:pPr>
      <w:r>
        <w:rPr>
          <w:noProof/>
        </w:rPr>
        <w:drawing>
          <wp:inline distT="0" distB="0" distL="0" distR="0">
            <wp:extent cx="5274310" cy="4754880"/>
            <wp:effectExtent l="19050" t="0" r="2540" b="0"/>
            <wp:docPr id="6" name="图片 5" descr="北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北京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24B" w:rsidRDefault="0052124B" w:rsidP="00CE7565">
      <w:pPr>
        <w:jc w:val="left"/>
      </w:pPr>
      <w:r w:rsidRPr="0052124B">
        <w:rPr>
          <w:noProof/>
        </w:rPr>
        <w:drawing>
          <wp:inline distT="0" distB="0" distL="0" distR="0">
            <wp:extent cx="5274310" cy="4754880"/>
            <wp:effectExtent l="19050" t="0" r="2540" b="0"/>
            <wp:docPr id="20" name="图片 6" descr="上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海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24B" w:rsidRDefault="00CF72D7" w:rsidP="00CE7565">
      <w:pPr>
        <w:jc w:val="left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4754880"/>
            <wp:effectExtent l="19050" t="0" r="2540" b="0"/>
            <wp:docPr id="21" name="图片 20" descr="定向增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定向增发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754880"/>
            <wp:effectExtent l="19050" t="0" r="2540" b="0"/>
            <wp:docPr id="22" name="图片 21" descr="股票多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股票多空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754880"/>
            <wp:effectExtent l="19050" t="0" r="2540" b="0"/>
            <wp:docPr id="23" name="图片 22" descr="股票多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股票多头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754880"/>
            <wp:effectExtent l="19050" t="0" r="2540" b="0"/>
            <wp:docPr id="24" name="图片 23" descr="股票市场中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股票市场中性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754880"/>
            <wp:effectExtent l="19050" t="0" r="2540" b="0"/>
            <wp:docPr id="25" name="图片 24" descr="管理期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管理期货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754880"/>
            <wp:effectExtent l="19050" t="0" r="2540" b="0"/>
            <wp:docPr id="26" name="图片 25" descr="宏观策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宏观策略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754880"/>
            <wp:effectExtent l="19050" t="0" r="2540" b="0"/>
            <wp:docPr id="27" name="图片 26" descr="套利策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套利策略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754880"/>
            <wp:effectExtent l="19050" t="0" r="2540" b="0"/>
            <wp:docPr id="28" name="图片 27" descr="债券基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债券基金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754880"/>
            <wp:effectExtent l="19050" t="0" r="2540" b="0"/>
            <wp:docPr id="29" name="图片 28" descr="组合基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组合基金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2D7" w:rsidRDefault="00CF72D7" w:rsidP="00CE7565">
      <w:pPr>
        <w:jc w:val="left"/>
        <w:rPr>
          <w:noProof/>
        </w:rPr>
      </w:pPr>
    </w:p>
    <w:p w:rsidR="00CF72D7" w:rsidRDefault="00CF72D7" w:rsidP="00CE7565">
      <w:pPr>
        <w:jc w:val="left"/>
        <w:rPr>
          <w:noProof/>
        </w:rPr>
      </w:pPr>
    </w:p>
    <w:p w:rsidR="00CE7565" w:rsidRPr="00FF6D91" w:rsidRDefault="00FF6D91" w:rsidP="00CE7565">
      <w:pPr>
        <w:jc w:val="left"/>
        <w:rPr>
          <w:b/>
        </w:rPr>
      </w:pPr>
      <w:r>
        <w:rPr>
          <w:rFonts w:hint="eastAsia"/>
          <w:b/>
        </w:rPr>
        <w:t>注：以上产品系朝阳永续私募数据库中</w:t>
      </w:r>
      <w:r w:rsidR="003C4CC9">
        <w:rPr>
          <w:rFonts w:hint="eastAsia"/>
          <w:b/>
        </w:rPr>
        <w:t>存续</w:t>
      </w:r>
      <w:r>
        <w:rPr>
          <w:rFonts w:hint="eastAsia"/>
          <w:b/>
        </w:rPr>
        <w:t>的</w:t>
      </w:r>
      <w:r w:rsidR="00E604D5">
        <w:rPr>
          <w:rFonts w:hint="eastAsia"/>
          <w:b/>
        </w:rPr>
        <w:t>，</w:t>
      </w:r>
      <w:r w:rsidR="00CE7565" w:rsidRPr="00FF6D91">
        <w:rPr>
          <w:rFonts w:hint="eastAsia"/>
          <w:b/>
        </w:rPr>
        <w:t>按</w:t>
      </w:r>
      <w:r w:rsidR="00E604D5" w:rsidRPr="00E604D5">
        <w:rPr>
          <w:rFonts w:hint="eastAsia"/>
          <w:b/>
        </w:rPr>
        <w:t>今年以来收益率</w:t>
      </w:r>
      <w:r w:rsidR="00E604D5">
        <w:rPr>
          <w:rFonts w:hint="eastAsia"/>
          <w:b/>
        </w:rPr>
        <w:t>排</w:t>
      </w:r>
      <w:r w:rsidR="00E604D5" w:rsidRPr="00E604D5">
        <w:rPr>
          <w:rFonts w:hint="eastAsia"/>
          <w:b/>
        </w:rPr>
        <w:t>前</w:t>
      </w:r>
      <w:r w:rsidR="00E604D5" w:rsidRPr="00E604D5">
        <w:rPr>
          <w:rFonts w:hint="eastAsia"/>
          <w:b/>
        </w:rPr>
        <w:t>10</w:t>
      </w:r>
      <w:r w:rsidR="00E604D5" w:rsidRPr="00E604D5">
        <w:rPr>
          <w:rFonts w:hint="eastAsia"/>
          <w:b/>
        </w:rPr>
        <w:t>名基金</w:t>
      </w:r>
      <w:r w:rsidR="00E604D5">
        <w:rPr>
          <w:rFonts w:hint="eastAsia"/>
          <w:b/>
        </w:rPr>
        <w:t>，</w:t>
      </w:r>
      <w:r w:rsidR="00CE7565" w:rsidRPr="00FF6D91">
        <w:rPr>
          <w:rFonts w:hint="eastAsia"/>
          <w:b/>
        </w:rPr>
        <w:t>供投资者参考。</w:t>
      </w:r>
    </w:p>
    <w:p w:rsidR="00CE7565" w:rsidRDefault="00CE7565" w:rsidP="00CE7565">
      <w:pPr>
        <w:jc w:val="left"/>
      </w:pPr>
    </w:p>
    <w:p w:rsidR="009704BC" w:rsidRDefault="009704BC" w:rsidP="00CE7565">
      <w:pPr>
        <w:jc w:val="left"/>
      </w:pPr>
    </w:p>
    <w:p w:rsidR="00CE7565" w:rsidRDefault="00FF6D91" w:rsidP="00CE7565">
      <w:pPr>
        <w:jc w:val="left"/>
      </w:pPr>
      <w:r>
        <w:rPr>
          <w:rFonts w:hint="eastAsia"/>
        </w:rPr>
        <w:t>朝阳永续基于自身强大的私募数据库，以及对私募行业的跟踪研究，</w:t>
      </w:r>
      <w:r w:rsidR="00CE7565">
        <w:rPr>
          <w:rFonts w:hint="eastAsia"/>
        </w:rPr>
        <w:t>给出今年以来各策略基金收益排名。相信这些公司整体投研实力较强，基金经理相对稳定、在本轮股灾中风控能力相对较突出，在投资方面具有一定的优势，投资者不妨可以关注。</w:t>
      </w:r>
    </w:p>
    <w:p w:rsidR="009B648B" w:rsidRDefault="009B648B" w:rsidP="00CE7565">
      <w:pPr>
        <w:jc w:val="left"/>
      </w:pPr>
    </w:p>
    <w:p w:rsidR="009B648B" w:rsidRPr="008A71B6" w:rsidRDefault="009B648B" w:rsidP="009B648B">
      <w:pPr>
        <w:jc w:val="left"/>
      </w:pPr>
      <w:r>
        <w:rPr>
          <w:rFonts w:hint="eastAsia"/>
        </w:rPr>
        <w:t>朝阳永续私募数据库几乎能覆盖市场所有产品，能满足大部分投资者需求。如果您想了解更专业、更多卖方研究数据、私募数据，请联系我们！客服热线</w:t>
      </w:r>
      <w:r>
        <w:rPr>
          <w:rFonts w:hint="eastAsia"/>
        </w:rPr>
        <w:t>400-1818-595</w:t>
      </w:r>
      <w:r>
        <w:rPr>
          <w:rFonts w:hint="eastAsia"/>
        </w:rPr>
        <w:t>。</w:t>
      </w:r>
    </w:p>
    <w:p w:rsidR="00CE7565" w:rsidRDefault="00CE7565" w:rsidP="00CE7565">
      <w:pPr>
        <w:jc w:val="left"/>
      </w:pPr>
    </w:p>
    <w:p w:rsidR="00CE7565" w:rsidRDefault="00CE7565" w:rsidP="00CE7565">
      <w:pPr>
        <w:jc w:val="left"/>
      </w:pPr>
    </w:p>
    <w:sectPr w:rsidR="00CE7565" w:rsidSect="00A22D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66E" w:rsidRDefault="00A4766E" w:rsidP="008A71B6">
      <w:r>
        <w:separator/>
      </w:r>
    </w:p>
  </w:endnote>
  <w:endnote w:type="continuationSeparator" w:id="1">
    <w:p w:rsidR="00A4766E" w:rsidRDefault="00A4766E" w:rsidP="008A71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66E" w:rsidRDefault="00A4766E" w:rsidP="008A71B6">
      <w:r>
        <w:separator/>
      </w:r>
    </w:p>
  </w:footnote>
  <w:footnote w:type="continuationSeparator" w:id="1">
    <w:p w:rsidR="00A4766E" w:rsidRDefault="00A4766E" w:rsidP="008A71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71B6"/>
    <w:rsid w:val="00034165"/>
    <w:rsid w:val="00035498"/>
    <w:rsid w:val="00035E82"/>
    <w:rsid w:val="000548AF"/>
    <w:rsid w:val="00074208"/>
    <w:rsid w:val="000861C3"/>
    <w:rsid w:val="000E6130"/>
    <w:rsid w:val="000F6F73"/>
    <w:rsid w:val="00102273"/>
    <w:rsid w:val="00150074"/>
    <w:rsid w:val="001870B6"/>
    <w:rsid w:val="001D7C81"/>
    <w:rsid w:val="001F1E27"/>
    <w:rsid w:val="00245AB8"/>
    <w:rsid w:val="00295F6C"/>
    <w:rsid w:val="002B5D8F"/>
    <w:rsid w:val="002F21D1"/>
    <w:rsid w:val="002F7B05"/>
    <w:rsid w:val="0038414C"/>
    <w:rsid w:val="00390F77"/>
    <w:rsid w:val="003956F4"/>
    <w:rsid w:val="003C4CC9"/>
    <w:rsid w:val="00427E3B"/>
    <w:rsid w:val="00484AA5"/>
    <w:rsid w:val="004C710A"/>
    <w:rsid w:val="004D4112"/>
    <w:rsid w:val="004D64F3"/>
    <w:rsid w:val="004E2171"/>
    <w:rsid w:val="004E49E1"/>
    <w:rsid w:val="0052124B"/>
    <w:rsid w:val="00544914"/>
    <w:rsid w:val="005652AE"/>
    <w:rsid w:val="005665BD"/>
    <w:rsid w:val="0060096C"/>
    <w:rsid w:val="006235DD"/>
    <w:rsid w:val="00634005"/>
    <w:rsid w:val="0064287D"/>
    <w:rsid w:val="0073713D"/>
    <w:rsid w:val="0074058C"/>
    <w:rsid w:val="00755E0D"/>
    <w:rsid w:val="007B4621"/>
    <w:rsid w:val="00847310"/>
    <w:rsid w:val="00853EF3"/>
    <w:rsid w:val="00856F55"/>
    <w:rsid w:val="008857F3"/>
    <w:rsid w:val="008A641F"/>
    <w:rsid w:val="008A71B6"/>
    <w:rsid w:val="008D6DDA"/>
    <w:rsid w:val="008F184F"/>
    <w:rsid w:val="00952CEF"/>
    <w:rsid w:val="00957210"/>
    <w:rsid w:val="009704BC"/>
    <w:rsid w:val="009B1A0D"/>
    <w:rsid w:val="009B648B"/>
    <w:rsid w:val="009E5CC1"/>
    <w:rsid w:val="00A22D62"/>
    <w:rsid w:val="00A4766E"/>
    <w:rsid w:val="00AA61AD"/>
    <w:rsid w:val="00AE3113"/>
    <w:rsid w:val="00AF42C7"/>
    <w:rsid w:val="00B0101A"/>
    <w:rsid w:val="00B36DB4"/>
    <w:rsid w:val="00B527EA"/>
    <w:rsid w:val="00BA0257"/>
    <w:rsid w:val="00BB0EB7"/>
    <w:rsid w:val="00BB4596"/>
    <w:rsid w:val="00BD668B"/>
    <w:rsid w:val="00BE4DAB"/>
    <w:rsid w:val="00C853EC"/>
    <w:rsid w:val="00CC098B"/>
    <w:rsid w:val="00CC6D0F"/>
    <w:rsid w:val="00CE7565"/>
    <w:rsid w:val="00CF72D7"/>
    <w:rsid w:val="00D10686"/>
    <w:rsid w:val="00D52D25"/>
    <w:rsid w:val="00D61615"/>
    <w:rsid w:val="00DE46A9"/>
    <w:rsid w:val="00E0648D"/>
    <w:rsid w:val="00E1535A"/>
    <w:rsid w:val="00E2297F"/>
    <w:rsid w:val="00E44476"/>
    <w:rsid w:val="00E604D5"/>
    <w:rsid w:val="00F2370E"/>
    <w:rsid w:val="00F50BF4"/>
    <w:rsid w:val="00F8229F"/>
    <w:rsid w:val="00F847A5"/>
    <w:rsid w:val="00FF184B"/>
    <w:rsid w:val="00FF6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D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A71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A71B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A71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A71B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21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2171"/>
    <w:rPr>
      <w:sz w:val="18"/>
      <w:szCs w:val="18"/>
    </w:rPr>
  </w:style>
  <w:style w:type="paragraph" w:styleId="a6">
    <w:name w:val="caption"/>
    <w:basedOn w:val="a"/>
    <w:next w:val="a"/>
    <w:qFormat/>
    <w:rsid w:val="004E2171"/>
    <w:rPr>
      <w:rFonts w:ascii="Cambria" w:eastAsia="黑体" w:hAnsi="Cambria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3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wull</dc:creator>
  <cp:lastModifiedBy>zhangbin</cp:lastModifiedBy>
  <cp:revision>2</cp:revision>
  <dcterms:created xsi:type="dcterms:W3CDTF">2015-11-02T02:08:00Z</dcterms:created>
  <dcterms:modified xsi:type="dcterms:W3CDTF">2015-11-02T02:08:00Z</dcterms:modified>
</cp:coreProperties>
</file>