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E3" w:rsidRPr="00B94388" w:rsidRDefault="00007338">
      <w:r w:rsidRPr="00B94388">
        <w:rPr>
          <w:rFonts w:hint="eastAsia"/>
          <w:noProof/>
        </w:rPr>
        <mc:AlternateContent>
          <mc:Choice Requires="wps">
            <w:drawing>
              <wp:anchor distT="0" distB="0" distL="114300" distR="114300" simplePos="0" relativeHeight="251659264" behindDoc="0" locked="0" layoutInCell="1" allowOverlap="1" wp14:anchorId="59465A3A" wp14:editId="7B005136">
                <wp:simplePos x="0" y="0"/>
                <wp:positionH relativeFrom="column">
                  <wp:posOffset>3702050</wp:posOffset>
                </wp:positionH>
                <wp:positionV relativeFrom="paragraph">
                  <wp:posOffset>84455</wp:posOffset>
                </wp:positionV>
                <wp:extent cx="1555750" cy="29718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2C0" w:rsidRPr="00B35679" w:rsidRDefault="00B562C0">
                            <w:pPr>
                              <w:rPr>
                                <w:color w:val="FFFFFF"/>
                                <w:sz w:val="24"/>
                              </w:rPr>
                            </w:pPr>
                            <w:r>
                              <w:rPr>
                                <w:rFonts w:hint="eastAsia"/>
                                <w:color w:val="FFFFFF"/>
                                <w:sz w:val="24"/>
                              </w:rPr>
                              <w:t>2015</w:t>
                            </w:r>
                            <w:r w:rsidRPr="00B35679">
                              <w:rPr>
                                <w:rFonts w:hint="eastAsia"/>
                                <w:color w:val="FFFFFF"/>
                                <w:sz w:val="24"/>
                              </w:rPr>
                              <w:t>年</w:t>
                            </w:r>
                            <w:r>
                              <w:rPr>
                                <w:rFonts w:hint="eastAsia"/>
                                <w:color w:val="FFFFFF"/>
                                <w:sz w:val="24"/>
                              </w:rPr>
                              <w:t>9</w:t>
                            </w:r>
                            <w:r>
                              <w:rPr>
                                <w:rFonts w:hint="eastAsia"/>
                                <w:color w:val="FFFFFF"/>
                                <w:sz w:val="24"/>
                              </w:rPr>
                              <w:t>月</w:t>
                            </w:r>
                            <w:r>
                              <w:rPr>
                                <w:rFonts w:hint="eastAsia"/>
                                <w:color w:val="FFFFFF"/>
                                <w:sz w:val="24"/>
                              </w:rPr>
                              <w:t>16</w:t>
                            </w:r>
                            <w:r>
                              <w:rPr>
                                <w:rFonts w:hint="eastAsia"/>
                                <w:color w:val="FFFFFF"/>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291.5pt;margin-top:6.65pt;width:12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" filled="f" stroked="f">
                <v:textbox>
                  <w:txbxContent>
                    <w:p w:rsidR="00B562C0" w:rsidRPr="00B35679" w:rsidRDefault="00B562C0">
                      <w:pPr>
                        <w:rPr>
                          <w:color w:val="FFFFFF"/>
                          <w:sz w:val="24"/>
                        </w:rPr>
                      </w:pPr>
                      <w:r>
                        <w:rPr>
                          <w:rFonts w:hint="eastAsia"/>
                          <w:color w:val="FFFFFF"/>
                          <w:sz w:val="24"/>
                        </w:rPr>
                        <w:t>2015</w:t>
                      </w:r>
                      <w:r w:rsidRPr="00B35679">
                        <w:rPr>
                          <w:rFonts w:hint="eastAsia"/>
                          <w:color w:val="FFFFFF"/>
                          <w:sz w:val="24"/>
                        </w:rPr>
                        <w:t>年</w:t>
                      </w:r>
                      <w:r>
                        <w:rPr>
                          <w:rFonts w:hint="eastAsia"/>
                          <w:color w:val="FFFFFF"/>
                          <w:sz w:val="24"/>
                        </w:rPr>
                        <w:t>9</w:t>
                      </w:r>
                      <w:r>
                        <w:rPr>
                          <w:rFonts w:hint="eastAsia"/>
                          <w:color w:val="FFFFFF"/>
                          <w:sz w:val="24"/>
                        </w:rPr>
                        <w:t>月</w:t>
                      </w:r>
                      <w:r>
                        <w:rPr>
                          <w:rFonts w:hint="eastAsia"/>
                          <w:color w:val="FFFFFF"/>
                          <w:sz w:val="24"/>
                        </w:rPr>
                        <w:t>16</w:t>
                      </w:r>
                      <w:r>
                        <w:rPr>
                          <w:rFonts w:hint="eastAsia"/>
                          <w:color w:val="FFFFFF"/>
                          <w:sz w:val="24"/>
                        </w:rPr>
                        <w:t>日</w:t>
                      </w:r>
                    </w:p>
                  </w:txbxContent>
                </v:textbox>
              </v:shape>
            </w:pict>
          </mc:Fallback>
        </mc:AlternateContent>
      </w:r>
      <w:r w:rsidRPr="00B94388">
        <w:rPr>
          <w:noProof/>
        </w:rPr>
        <w:drawing>
          <wp:anchor distT="0" distB="0" distL="114300" distR="114300" simplePos="0" relativeHeight="251656192" behindDoc="0" locked="0" layoutInCell="1" allowOverlap="1" wp14:anchorId="56388545" wp14:editId="515D7D42">
            <wp:simplePos x="0" y="0"/>
            <wp:positionH relativeFrom="column">
              <wp:posOffset>-1028700</wp:posOffset>
            </wp:positionH>
            <wp:positionV relativeFrom="paragraph">
              <wp:posOffset>-1104265</wp:posOffset>
            </wp:positionV>
            <wp:extent cx="8216265" cy="1563370"/>
            <wp:effectExtent l="0" t="0" r="0" b="0"/>
            <wp:wrapNone/>
            <wp:docPr id="14" name="图片 14" descr="研究报告版式-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研究报告版式-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265" cy="156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388">
        <w:rPr>
          <w:noProof/>
        </w:rPr>
        <mc:AlternateContent>
          <mc:Choice Requires="wps">
            <w:drawing>
              <wp:anchor distT="0" distB="0" distL="114300" distR="114300" simplePos="0" relativeHeight="251657216" behindDoc="0" locked="0" layoutInCell="1" allowOverlap="1" wp14:anchorId="0A9B3AFA" wp14:editId="00322ED0">
                <wp:simplePos x="0" y="0"/>
                <wp:positionH relativeFrom="column">
                  <wp:posOffset>342900</wp:posOffset>
                </wp:positionH>
                <wp:positionV relativeFrom="paragraph">
                  <wp:posOffset>-574040</wp:posOffset>
                </wp:positionV>
                <wp:extent cx="4572000" cy="720725"/>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2C0" w:rsidRPr="00581784" w:rsidRDefault="00B562C0" w:rsidP="005974E5">
                            <w:pPr>
                              <w:rPr>
                                <w:rFonts w:ascii="黑体" w:eastAsia="黑体"/>
                                <w:color w:val="FFFFFF"/>
                                <w:sz w:val="24"/>
                              </w:rPr>
                            </w:pPr>
                            <w:r w:rsidRPr="00581784">
                              <w:rPr>
                                <w:rFonts w:ascii="黑体" w:eastAsia="黑体" w:hint="eastAsia"/>
                                <w:color w:val="FFFFFF"/>
                                <w:sz w:val="24"/>
                              </w:rPr>
                              <w:t>好买基金研究中心</w:t>
                            </w:r>
                          </w:p>
                          <w:p w:rsidR="00B562C0" w:rsidRPr="00581784" w:rsidRDefault="00B562C0" w:rsidP="005974E5">
                            <w:r>
                              <w:rPr>
                                <w:rFonts w:ascii="黑体" w:eastAsia="黑体" w:hint="eastAsia"/>
                                <w:color w:val="FFFFFF"/>
                                <w:sz w:val="32"/>
                                <w:szCs w:val="32"/>
                              </w:rPr>
                              <w:t>私募</w:t>
                            </w:r>
                            <w:r w:rsidRPr="00581784">
                              <w:rPr>
                                <w:rFonts w:ascii="黑体" w:eastAsia="黑体" w:hint="eastAsia"/>
                                <w:color w:val="FFFFFF"/>
                                <w:sz w:val="32"/>
                                <w:szCs w:val="32"/>
                              </w:rPr>
                              <w:t>基金专题报告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7pt;margin-top:-45.2pt;width:5in;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" filled="f" stroked="f">
                <v:textbox>
                  <w:txbxContent>
                    <w:p w:rsidR="00B562C0" w:rsidRPr="00581784" w:rsidRDefault="00B562C0" w:rsidP="005974E5">
                      <w:pPr>
                        <w:rPr>
                          <w:rFonts w:ascii="黑体" w:eastAsia="黑体"/>
                          <w:color w:val="FFFFFF"/>
                          <w:sz w:val="24"/>
                        </w:rPr>
                      </w:pPr>
                      <w:r w:rsidRPr="00581784">
                        <w:rPr>
                          <w:rFonts w:ascii="黑体" w:eastAsia="黑体" w:hint="eastAsia"/>
                          <w:color w:val="FFFFFF"/>
                          <w:sz w:val="24"/>
                        </w:rPr>
                        <w:t>好买基金研究中心</w:t>
                      </w:r>
                    </w:p>
                    <w:p w:rsidR="00B562C0" w:rsidRPr="00581784" w:rsidRDefault="00B562C0" w:rsidP="005974E5">
                      <w:r>
                        <w:rPr>
                          <w:rFonts w:ascii="黑体" w:eastAsia="黑体" w:hint="eastAsia"/>
                          <w:color w:val="FFFFFF"/>
                          <w:sz w:val="32"/>
                          <w:szCs w:val="32"/>
                        </w:rPr>
                        <w:t>私募</w:t>
                      </w:r>
                      <w:r w:rsidRPr="00581784">
                        <w:rPr>
                          <w:rFonts w:ascii="黑体" w:eastAsia="黑体" w:hint="eastAsia"/>
                          <w:color w:val="FFFFFF"/>
                          <w:sz w:val="32"/>
                          <w:szCs w:val="32"/>
                        </w:rPr>
                        <w:t>基金专题报告</w:t>
                      </w:r>
                    </w:p>
                  </w:txbxContent>
                </v:textbox>
              </v:shape>
            </w:pict>
          </mc:Fallback>
        </mc:AlternateContent>
      </w:r>
    </w:p>
    <w:p w:rsidR="00D32FE3" w:rsidRPr="00B94388" w:rsidRDefault="00D32FE3" w:rsidP="00D32FE3"/>
    <w:p w:rsidR="00215C18" w:rsidRPr="00B94388" w:rsidRDefault="00215C18" w:rsidP="00215C18">
      <w:pPr>
        <w:spacing w:line="360" w:lineRule="auto"/>
        <w:rPr>
          <w:sz w:val="28"/>
          <w:szCs w:val="84"/>
        </w:rPr>
      </w:pPr>
    </w:p>
    <w:p w:rsidR="00701E70" w:rsidRPr="00B94388" w:rsidRDefault="00701E70" w:rsidP="00215C18">
      <w:pPr>
        <w:spacing w:line="360" w:lineRule="auto"/>
        <w:rPr>
          <w:sz w:val="28"/>
          <w:szCs w:val="84"/>
        </w:rPr>
      </w:pPr>
    </w:p>
    <w:p w:rsidR="00FC42F8" w:rsidRPr="00B94388" w:rsidRDefault="00F02D8B" w:rsidP="00215C18">
      <w:pPr>
        <w:spacing w:line="360" w:lineRule="auto"/>
        <w:rPr>
          <w:b/>
          <w:sz w:val="28"/>
          <w:szCs w:val="28"/>
        </w:rPr>
      </w:pPr>
      <w:r w:rsidRPr="00B94388">
        <w:rPr>
          <w:rFonts w:hint="eastAsia"/>
          <w:b/>
          <w:noProof/>
          <w:sz w:val="28"/>
          <w:szCs w:val="28"/>
        </w:rPr>
        <w:t>201</w:t>
      </w:r>
      <w:r w:rsidR="00F81F8F">
        <w:rPr>
          <w:rFonts w:hint="eastAsia"/>
          <w:b/>
          <w:noProof/>
          <w:sz w:val="28"/>
          <w:szCs w:val="28"/>
        </w:rPr>
        <w:t>5</w:t>
      </w:r>
      <w:r w:rsidRPr="00B94388">
        <w:rPr>
          <w:rFonts w:hint="eastAsia"/>
          <w:b/>
          <w:noProof/>
          <w:sz w:val="28"/>
          <w:szCs w:val="28"/>
        </w:rPr>
        <w:t>年</w:t>
      </w:r>
      <w:r w:rsidR="00B562C0">
        <w:rPr>
          <w:rFonts w:hint="eastAsia"/>
          <w:b/>
          <w:noProof/>
          <w:sz w:val="28"/>
          <w:szCs w:val="28"/>
        </w:rPr>
        <w:t>8</w:t>
      </w:r>
      <w:r w:rsidR="006D5EFB" w:rsidRPr="00B94388">
        <w:rPr>
          <w:rFonts w:hint="eastAsia"/>
          <w:b/>
          <w:noProof/>
          <w:sz w:val="28"/>
          <w:szCs w:val="28"/>
        </w:rPr>
        <w:t>月</w:t>
      </w:r>
      <w:r w:rsidR="00F8405A" w:rsidRPr="00B94388">
        <w:rPr>
          <w:rFonts w:hint="eastAsia"/>
          <w:b/>
          <w:noProof/>
          <w:sz w:val="28"/>
          <w:szCs w:val="28"/>
        </w:rPr>
        <w:t>证券投资类阳光私募基金评级报告</w:t>
      </w:r>
    </w:p>
    <w:p w:rsidR="00D32FE3" w:rsidRPr="00B94388" w:rsidRDefault="002D36AB" w:rsidP="00215C18">
      <w:pPr>
        <w:spacing w:line="360" w:lineRule="auto"/>
        <w:rPr>
          <w:sz w:val="28"/>
        </w:rPr>
      </w:pPr>
      <w:r w:rsidRPr="00B94388">
        <w:rPr>
          <w:b/>
          <w:noProof/>
          <w:sz w:val="28"/>
          <w:szCs w:val="28"/>
        </w:rPr>
        <mc:AlternateContent>
          <mc:Choice Requires="wps">
            <w:drawing>
              <wp:anchor distT="0" distB="0" distL="114300" distR="114300" simplePos="0" relativeHeight="251658240" behindDoc="0" locked="0" layoutInCell="1" allowOverlap="1" wp14:anchorId="203A9890" wp14:editId="02FB8C3B">
                <wp:simplePos x="0" y="0"/>
                <wp:positionH relativeFrom="column">
                  <wp:posOffset>4917440</wp:posOffset>
                </wp:positionH>
                <wp:positionV relativeFrom="paragraph">
                  <wp:posOffset>4445</wp:posOffset>
                </wp:positionV>
                <wp:extent cx="1485900" cy="923925"/>
                <wp:effectExtent l="0" t="0" r="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B562C0" w:rsidRPr="003C0A2B" w:rsidRDefault="00B562C0" w:rsidP="00C70060">
                            <w:pPr>
                              <w:spacing w:line="360" w:lineRule="auto"/>
                              <w:rPr>
                                <w:b/>
                                <w:sz w:val="18"/>
                                <w:szCs w:val="18"/>
                              </w:rPr>
                            </w:pPr>
                            <w:r>
                              <w:rPr>
                                <w:rFonts w:hAnsi="宋体" w:hint="eastAsia"/>
                                <w:b/>
                                <w:sz w:val="18"/>
                                <w:szCs w:val="18"/>
                              </w:rPr>
                              <w:t>好买基金研究中心</w:t>
                            </w:r>
                          </w:p>
                          <w:p w:rsidR="00B562C0" w:rsidRPr="00790B89" w:rsidRDefault="00B562C0" w:rsidP="00C70060">
                            <w:pPr>
                              <w:spacing w:line="360" w:lineRule="auto"/>
                              <w:rPr>
                                <w:sz w:val="18"/>
                                <w:szCs w:val="18"/>
                              </w:rPr>
                            </w:pPr>
                            <w:r w:rsidRPr="00790B89">
                              <w:rPr>
                                <w:rFonts w:hAnsi="宋体"/>
                                <w:sz w:val="18"/>
                                <w:szCs w:val="18"/>
                              </w:rPr>
                              <w:t>好买总机：</w:t>
                            </w:r>
                            <w:r w:rsidRPr="00790B89">
                              <w:rPr>
                                <w:sz w:val="18"/>
                                <w:szCs w:val="18"/>
                              </w:rPr>
                              <w:t>021-</w:t>
                            </w:r>
                            <w:r>
                              <w:rPr>
                                <w:rFonts w:hint="eastAsia"/>
                                <w:sz w:val="18"/>
                                <w:szCs w:val="18"/>
                              </w:rPr>
                              <w:t>2061 3611</w:t>
                            </w:r>
                          </w:p>
                          <w:p w:rsidR="00B562C0" w:rsidRPr="00790B89" w:rsidRDefault="00B562C0" w:rsidP="00C70060">
                            <w:pPr>
                              <w:spacing w:line="360" w:lineRule="auto"/>
                              <w:rPr>
                                <w:sz w:val="18"/>
                                <w:szCs w:val="18"/>
                              </w:rPr>
                            </w:pPr>
                            <w:r w:rsidRPr="00790B89">
                              <w:rPr>
                                <w:sz w:val="18"/>
                                <w:szCs w:val="18"/>
                              </w:rPr>
                              <w:t>www.howbuy.com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87.2pt;margin-top:.35pt;width:117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" filled="f" stroked="f" strokecolor="silver">
                <v:textbox>
                  <w:txbxContent>
                    <w:p w:rsidR="00B562C0" w:rsidRPr="003C0A2B" w:rsidRDefault="00B562C0" w:rsidP="00C70060">
                      <w:pPr>
                        <w:spacing w:line="360" w:lineRule="auto"/>
                        <w:rPr>
                          <w:b/>
                          <w:sz w:val="18"/>
                          <w:szCs w:val="18"/>
                        </w:rPr>
                      </w:pPr>
                      <w:r>
                        <w:rPr>
                          <w:rFonts w:hAnsi="宋体" w:hint="eastAsia"/>
                          <w:b/>
                          <w:sz w:val="18"/>
                          <w:szCs w:val="18"/>
                        </w:rPr>
                        <w:t>好买基金研究中心</w:t>
                      </w:r>
                    </w:p>
                    <w:p w:rsidR="00B562C0" w:rsidRPr="00790B89" w:rsidRDefault="00B562C0" w:rsidP="00C70060">
                      <w:pPr>
                        <w:spacing w:line="360" w:lineRule="auto"/>
                        <w:rPr>
                          <w:sz w:val="18"/>
                          <w:szCs w:val="18"/>
                        </w:rPr>
                      </w:pPr>
                      <w:r w:rsidRPr="00790B89">
                        <w:rPr>
                          <w:rFonts w:hAnsi="宋体"/>
                          <w:sz w:val="18"/>
                          <w:szCs w:val="18"/>
                        </w:rPr>
                        <w:t>好买总机：</w:t>
                      </w:r>
                      <w:r w:rsidRPr="00790B89">
                        <w:rPr>
                          <w:sz w:val="18"/>
                          <w:szCs w:val="18"/>
                        </w:rPr>
                        <w:t>021-</w:t>
                      </w:r>
                      <w:r>
                        <w:rPr>
                          <w:rFonts w:hint="eastAsia"/>
                          <w:sz w:val="18"/>
                          <w:szCs w:val="18"/>
                        </w:rPr>
                        <w:t>2061 3611</w:t>
                      </w:r>
                    </w:p>
                    <w:p w:rsidR="00B562C0" w:rsidRPr="00790B89" w:rsidRDefault="00B562C0" w:rsidP="00C70060">
                      <w:pPr>
                        <w:spacing w:line="360" w:lineRule="auto"/>
                        <w:rPr>
                          <w:sz w:val="18"/>
                          <w:szCs w:val="18"/>
                        </w:rPr>
                      </w:pPr>
                      <w:r w:rsidRPr="00790B89">
                        <w:rPr>
                          <w:sz w:val="18"/>
                          <w:szCs w:val="18"/>
                        </w:rPr>
                        <w:t>www.howbuy.com</w:t>
                      </w:r>
                    </w:p>
                  </w:txbxContent>
                </v:textbox>
              </v:shape>
            </w:pict>
          </mc:Fallback>
        </mc:AlternateContent>
      </w:r>
    </w:p>
    <w:p w:rsidR="007C5849" w:rsidRPr="00B94388" w:rsidRDefault="007C5849" w:rsidP="00215C18">
      <w:pPr>
        <w:spacing w:beforeLines="50" w:before="156" w:afterLines="50" w:after="156" w:line="360" w:lineRule="auto"/>
        <w:rPr>
          <w:b/>
          <w:color w:val="D80012"/>
          <w:sz w:val="24"/>
        </w:rPr>
      </w:pPr>
    </w:p>
    <w:p w:rsidR="005C1D46" w:rsidRPr="00B94388" w:rsidRDefault="00B562C0" w:rsidP="00215C18">
      <w:pPr>
        <w:spacing w:beforeLines="50" w:before="156" w:afterLines="50" w:after="156" w:line="360" w:lineRule="auto"/>
        <w:rPr>
          <w:b/>
          <w:color w:val="D80012"/>
          <w:sz w:val="24"/>
        </w:rPr>
      </w:pPr>
      <w:r>
        <w:rPr>
          <w:rFonts w:hint="eastAsia"/>
          <w:b/>
          <w:color w:val="D80012"/>
          <w:sz w:val="24"/>
        </w:rPr>
        <w:t>8</w:t>
      </w:r>
      <w:r w:rsidR="006D5EFB" w:rsidRPr="00B94388">
        <w:rPr>
          <w:rFonts w:hint="eastAsia"/>
          <w:b/>
          <w:color w:val="D80012"/>
          <w:sz w:val="24"/>
        </w:rPr>
        <w:t>月</w:t>
      </w:r>
      <w:r w:rsidR="005C1D46" w:rsidRPr="00B94388">
        <w:rPr>
          <w:rFonts w:hint="eastAsia"/>
          <w:b/>
          <w:color w:val="D80012"/>
          <w:sz w:val="24"/>
        </w:rPr>
        <w:t>评级结果</w:t>
      </w:r>
    </w:p>
    <w:p w:rsidR="00F5551B" w:rsidRPr="00B94388" w:rsidRDefault="00F8405A" w:rsidP="00B562C0">
      <w:pPr>
        <w:numPr>
          <w:ilvl w:val="0"/>
          <w:numId w:val="1"/>
        </w:numPr>
        <w:spacing w:beforeLines="50" w:before="156" w:afterLines="50" w:after="156" w:line="360" w:lineRule="auto"/>
        <w:ind w:rightChars="22" w:right="46"/>
        <w:rPr>
          <w:b/>
          <w:szCs w:val="21"/>
        </w:rPr>
      </w:pPr>
      <w:r w:rsidRPr="00B94388">
        <w:rPr>
          <w:b/>
          <w:szCs w:val="21"/>
        </w:rPr>
        <w:t>一年期评级结果</w:t>
      </w:r>
      <w:r w:rsidR="005C1D46" w:rsidRPr="00B94388">
        <w:rPr>
          <w:rFonts w:hint="eastAsia"/>
          <w:b/>
          <w:szCs w:val="21"/>
        </w:rPr>
        <w:t>：</w:t>
      </w:r>
      <w:r w:rsidRPr="00B94388">
        <w:rPr>
          <w:rFonts w:hAnsi="宋体"/>
          <w:szCs w:val="21"/>
        </w:rPr>
        <w:t>共有</w:t>
      </w:r>
      <w:r w:rsidR="00B94CEE">
        <w:rPr>
          <w:rFonts w:hAnsi="宋体" w:hint="eastAsia"/>
          <w:szCs w:val="21"/>
        </w:rPr>
        <w:t>1</w:t>
      </w:r>
      <w:r w:rsidR="00B562C0">
        <w:rPr>
          <w:rFonts w:hAnsi="宋体" w:hint="eastAsia"/>
          <w:szCs w:val="21"/>
        </w:rPr>
        <w:t>517</w:t>
      </w:r>
      <w:r w:rsidR="00454C17" w:rsidRPr="00B94388">
        <w:rPr>
          <w:rFonts w:hAnsi="宋体" w:hint="eastAsia"/>
          <w:szCs w:val="21"/>
        </w:rPr>
        <w:t>支</w:t>
      </w:r>
      <w:r w:rsidRPr="00B94388">
        <w:rPr>
          <w:rFonts w:hAnsi="宋体"/>
          <w:szCs w:val="21"/>
        </w:rPr>
        <w:t>私募基金参与好买一年期评级，</w:t>
      </w:r>
      <w:r w:rsidR="004907EC">
        <w:rPr>
          <w:rFonts w:hAnsi="宋体" w:hint="eastAsia"/>
          <w:szCs w:val="21"/>
        </w:rPr>
        <w:t>较上月</w:t>
      </w:r>
      <w:r w:rsidR="00B94CEE">
        <w:rPr>
          <w:rFonts w:hAnsi="宋体" w:hint="eastAsia"/>
          <w:szCs w:val="21"/>
        </w:rPr>
        <w:t>增加</w:t>
      </w:r>
      <w:r w:rsidR="00B562C0">
        <w:rPr>
          <w:rFonts w:hAnsi="宋体" w:hint="eastAsia"/>
          <w:szCs w:val="21"/>
        </w:rPr>
        <w:t>70</w:t>
      </w:r>
      <w:r w:rsidR="004907EC">
        <w:rPr>
          <w:rFonts w:hAnsi="宋体" w:hint="eastAsia"/>
          <w:szCs w:val="21"/>
        </w:rPr>
        <w:t>支</w:t>
      </w:r>
      <w:r w:rsidRPr="00B94388">
        <w:rPr>
          <w:rFonts w:hAnsi="宋体" w:hint="eastAsia"/>
          <w:szCs w:val="21"/>
        </w:rPr>
        <w:t>，</w:t>
      </w:r>
      <w:r w:rsidRPr="00B94388">
        <w:rPr>
          <w:rFonts w:hAnsi="宋体"/>
          <w:szCs w:val="21"/>
        </w:rPr>
        <w:t>其中获得</w:t>
      </w:r>
      <w:r w:rsidR="00935046" w:rsidRPr="00B94388">
        <w:rPr>
          <w:rFonts w:hAnsi="宋体"/>
          <w:szCs w:val="21"/>
        </w:rPr>
        <w:t>好买一年期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评级的私募产品</w:t>
      </w:r>
      <w:r w:rsidRPr="00B94388">
        <w:rPr>
          <w:rFonts w:hAnsi="宋体" w:hint="eastAsia"/>
          <w:szCs w:val="21"/>
        </w:rPr>
        <w:t>共</w:t>
      </w:r>
      <w:r w:rsidR="00B94CEE">
        <w:rPr>
          <w:rFonts w:hAnsi="宋体" w:hint="eastAsia"/>
          <w:szCs w:val="21"/>
        </w:rPr>
        <w:t>14</w:t>
      </w:r>
      <w:r w:rsidR="00B562C0">
        <w:rPr>
          <w:rFonts w:hAnsi="宋体" w:hint="eastAsia"/>
          <w:szCs w:val="21"/>
        </w:rPr>
        <w:t>7</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Pr="00B94388">
        <w:rPr>
          <w:rFonts w:hAnsi="宋体" w:hint="eastAsia"/>
          <w:szCs w:val="21"/>
        </w:rPr>
        <w:t>：</w:t>
      </w:r>
      <w:r w:rsidR="00AA0B4E">
        <w:rPr>
          <w:rFonts w:hAnsi="宋体" w:hint="eastAsia"/>
          <w:szCs w:val="21"/>
        </w:rPr>
        <w:t>泽熙</w:t>
      </w:r>
      <w:r w:rsidR="00AA0B4E">
        <w:rPr>
          <w:rFonts w:hAnsi="宋体" w:hint="eastAsia"/>
          <w:szCs w:val="21"/>
        </w:rPr>
        <w:t>3</w:t>
      </w:r>
      <w:r w:rsidR="00AA0B4E">
        <w:rPr>
          <w:rFonts w:hAnsi="宋体" w:hint="eastAsia"/>
          <w:szCs w:val="21"/>
        </w:rPr>
        <w:t>期</w:t>
      </w:r>
      <w:r w:rsidR="004907EC">
        <w:rPr>
          <w:rFonts w:hAnsi="宋体" w:hint="eastAsia"/>
          <w:szCs w:val="21"/>
        </w:rPr>
        <w:t>、</w:t>
      </w:r>
      <w:r w:rsidR="00B562C0">
        <w:rPr>
          <w:rFonts w:hAnsi="宋体" w:hint="eastAsia"/>
          <w:szCs w:val="21"/>
        </w:rPr>
        <w:t>泽泉景渤金融投资</w:t>
      </w:r>
      <w:r w:rsidR="004907EC">
        <w:rPr>
          <w:rFonts w:hAnsi="宋体" w:hint="eastAsia"/>
          <w:szCs w:val="21"/>
        </w:rPr>
        <w:t>、</w:t>
      </w:r>
      <w:r w:rsidR="00B562C0">
        <w:rPr>
          <w:rFonts w:hAnsi="宋体" w:hint="eastAsia"/>
          <w:szCs w:val="21"/>
        </w:rPr>
        <w:t>泽熙</w:t>
      </w:r>
      <w:r w:rsidR="00B562C0">
        <w:rPr>
          <w:rFonts w:hAnsi="宋体" w:hint="eastAsia"/>
          <w:szCs w:val="21"/>
        </w:rPr>
        <w:t>4</w:t>
      </w:r>
      <w:r w:rsidR="00AA0B4E">
        <w:rPr>
          <w:rFonts w:hAnsi="宋体" w:hint="eastAsia"/>
          <w:szCs w:val="21"/>
        </w:rPr>
        <w:t>期</w:t>
      </w:r>
      <w:r w:rsidR="00B94CEE">
        <w:rPr>
          <w:rFonts w:hAnsi="宋体" w:hint="eastAsia"/>
          <w:szCs w:val="21"/>
        </w:rPr>
        <w:t>、</w:t>
      </w:r>
      <w:r w:rsidR="00B562C0" w:rsidRPr="00B562C0">
        <w:rPr>
          <w:rFonts w:hAnsi="宋体" w:hint="eastAsia"/>
          <w:szCs w:val="21"/>
        </w:rPr>
        <w:t>象舆行思源</w:t>
      </w:r>
      <w:r w:rsidR="00B562C0" w:rsidRPr="00B562C0">
        <w:rPr>
          <w:rFonts w:hAnsi="宋体" w:hint="eastAsia"/>
          <w:szCs w:val="21"/>
        </w:rPr>
        <w:t>1</w:t>
      </w:r>
      <w:r w:rsidR="00B562C0" w:rsidRPr="00B562C0">
        <w:rPr>
          <w:rFonts w:hAnsi="宋体" w:hint="eastAsia"/>
          <w:szCs w:val="21"/>
        </w:rPr>
        <w:t>期</w:t>
      </w:r>
      <w:r w:rsidR="00F5551B" w:rsidRPr="00B94388">
        <w:rPr>
          <w:rFonts w:hAnsi="宋体" w:hint="eastAsia"/>
          <w:szCs w:val="21"/>
        </w:rPr>
        <w:t>等。</w:t>
      </w:r>
    </w:p>
    <w:p w:rsidR="00C32602" w:rsidRPr="00B94388" w:rsidRDefault="00F8405A" w:rsidP="00260129">
      <w:pPr>
        <w:numPr>
          <w:ilvl w:val="0"/>
          <w:numId w:val="1"/>
        </w:numPr>
        <w:spacing w:beforeLines="50" w:before="156" w:afterLines="50" w:after="156" w:line="360" w:lineRule="auto"/>
        <w:rPr>
          <w:b/>
          <w:szCs w:val="21"/>
        </w:rPr>
      </w:pPr>
      <w:r w:rsidRPr="00B94388">
        <w:rPr>
          <w:b/>
          <w:szCs w:val="21"/>
        </w:rPr>
        <w:t>两年期评级结果</w:t>
      </w:r>
      <w:r w:rsidR="005C1D46" w:rsidRPr="00B94388">
        <w:rPr>
          <w:rFonts w:hint="eastAsia"/>
          <w:b/>
          <w:szCs w:val="21"/>
        </w:rPr>
        <w:t>：</w:t>
      </w:r>
      <w:r w:rsidRPr="00B94388">
        <w:rPr>
          <w:rFonts w:hAnsi="宋体"/>
          <w:szCs w:val="21"/>
        </w:rPr>
        <w:t>运行满两年且满足评级条件的私募产品共</w:t>
      </w:r>
      <w:r w:rsidR="00B562C0">
        <w:rPr>
          <w:rFonts w:hAnsi="宋体" w:hint="eastAsia"/>
          <w:szCs w:val="21"/>
        </w:rPr>
        <w:t>958</w:t>
      </w:r>
      <w:r w:rsidR="00454C17" w:rsidRPr="00B94388">
        <w:rPr>
          <w:rFonts w:hAnsi="宋体" w:hint="eastAsia"/>
          <w:szCs w:val="21"/>
        </w:rPr>
        <w:t>支</w:t>
      </w:r>
      <w:r w:rsidRPr="00B94388">
        <w:rPr>
          <w:rFonts w:hAnsi="宋体"/>
          <w:szCs w:val="21"/>
        </w:rPr>
        <w:t>，</w:t>
      </w:r>
      <w:r w:rsidRPr="00B94388">
        <w:rPr>
          <w:rFonts w:hAnsi="宋体" w:hint="eastAsia"/>
          <w:szCs w:val="21"/>
        </w:rPr>
        <w:t>较上月</w:t>
      </w:r>
      <w:r w:rsidR="00B94CEE">
        <w:rPr>
          <w:rFonts w:hAnsi="宋体" w:hint="eastAsia"/>
          <w:szCs w:val="21"/>
          <w:lang w:val="en-ZA"/>
        </w:rPr>
        <w:t>增加</w:t>
      </w:r>
      <w:r w:rsidR="00B562C0">
        <w:rPr>
          <w:rFonts w:hAnsi="宋体" w:hint="eastAsia"/>
          <w:szCs w:val="21"/>
          <w:lang w:val="en-ZA"/>
        </w:rPr>
        <w:t>29</w:t>
      </w:r>
      <w:r w:rsidR="00454C17" w:rsidRPr="00B94388">
        <w:rPr>
          <w:rFonts w:hAnsi="宋体" w:hint="eastAsia"/>
          <w:szCs w:val="21"/>
        </w:rPr>
        <w:t>支</w:t>
      </w:r>
      <w:r w:rsidRPr="00B94388">
        <w:rPr>
          <w:rFonts w:hAnsi="宋体" w:hint="eastAsia"/>
          <w:szCs w:val="21"/>
        </w:rPr>
        <w:t>，</w:t>
      </w:r>
      <w:r w:rsidRPr="00B94388">
        <w:rPr>
          <w:rFonts w:hAnsi="宋体"/>
          <w:szCs w:val="21"/>
        </w:rPr>
        <w:t>其中获得好买两年期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562C0">
        <w:rPr>
          <w:rFonts w:hAnsi="宋体" w:hint="eastAsia"/>
          <w:szCs w:val="21"/>
        </w:rPr>
        <w:t>99</w:t>
      </w:r>
      <w:r w:rsidR="00454C17" w:rsidRPr="00B94388">
        <w:rPr>
          <w:rFonts w:hAnsi="宋体" w:hint="eastAsia"/>
          <w:szCs w:val="21"/>
        </w:rPr>
        <w:t>支</w:t>
      </w:r>
      <w:r w:rsidRPr="00B94388">
        <w:rPr>
          <w:rFonts w:hAnsi="宋体" w:hint="eastAsia"/>
          <w:szCs w:val="21"/>
        </w:rPr>
        <w:t>，</w:t>
      </w:r>
      <w:r w:rsidR="00664E91" w:rsidRPr="00B94388">
        <w:rPr>
          <w:rFonts w:hAnsi="宋体"/>
          <w:szCs w:val="21"/>
        </w:rPr>
        <w:t>包括</w:t>
      </w:r>
      <w:r w:rsidR="00664E91" w:rsidRPr="00B94388">
        <w:rPr>
          <w:rFonts w:hAnsi="宋体" w:hint="eastAsia"/>
          <w:szCs w:val="21"/>
        </w:rPr>
        <w:t>：</w:t>
      </w:r>
      <w:r w:rsidR="00AA0B4E">
        <w:rPr>
          <w:rFonts w:hAnsi="宋体" w:hint="eastAsia"/>
          <w:szCs w:val="21"/>
        </w:rPr>
        <w:t>泽熙</w:t>
      </w:r>
      <w:r w:rsidR="00AA0B4E">
        <w:rPr>
          <w:rFonts w:hAnsi="宋体" w:hint="eastAsia"/>
          <w:szCs w:val="21"/>
        </w:rPr>
        <w:t>3</w:t>
      </w:r>
      <w:r w:rsidR="00AA0B4E">
        <w:rPr>
          <w:rFonts w:hAnsi="宋体" w:hint="eastAsia"/>
          <w:szCs w:val="21"/>
        </w:rPr>
        <w:t>期</w:t>
      </w:r>
      <w:r w:rsidR="006E21AE" w:rsidRPr="00C1185B">
        <w:rPr>
          <w:rFonts w:hAnsi="宋体" w:hint="eastAsia"/>
          <w:szCs w:val="21"/>
        </w:rPr>
        <w:t>、</w:t>
      </w:r>
      <w:r w:rsidR="00B94CEE">
        <w:rPr>
          <w:rFonts w:hAnsi="宋体" w:hint="eastAsia"/>
          <w:szCs w:val="21"/>
        </w:rPr>
        <w:t>泽熙</w:t>
      </w:r>
      <w:r w:rsidR="00B94CEE">
        <w:rPr>
          <w:rFonts w:hAnsi="宋体" w:hint="eastAsia"/>
          <w:szCs w:val="21"/>
        </w:rPr>
        <w:t>4</w:t>
      </w:r>
      <w:r w:rsidR="00B94CEE">
        <w:rPr>
          <w:rFonts w:hAnsi="宋体" w:hint="eastAsia"/>
          <w:szCs w:val="21"/>
        </w:rPr>
        <w:t>期、</w:t>
      </w:r>
      <w:r w:rsidR="00AA0B4E">
        <w:rPr>
          <w:rFonts w:hAnsi="宋体" w:hint="eastAsia"/>
          <w:szCs w:val="21"/>
        </w:rPr>
        <w:t>清水源</w:t>
      </w:r>
      <w:r w:rsidR="00AA0B4E">
        <w:rPr>
          <w:rFonts w:hAnsi="宋体" w:hint="eastAsia"/>
          <w:szCs w:val="21"/>
        </w:rPr>
        <w:t>1</w:t>
      </w:r>
      <w:r w:rsidR="00AA0B4E">
        <w:rPr>
          <w:rFonts w:hAnsi="宋体" w:hint="eastAsia"/>
          <w:szCs w:val="21"/>
        </w:rPr>
        <w:t>号</w:t>
      </w:r>
      <w:r w:rsidR="00C1185B" w:rsidRPr="00C1185B">
        <w:rPr>
          <w:rFonts w:hAnsi="宋体" w:hint="eastAsia"/>
          <w:szCs w:val="21"/>
        </w:rPr>
        <w:t>、</w:t>
      </w:r>
      <w:r w:rsidR="00B94CEE">
        <w:rPr>
          <w:rFonts w:hAnsi="宋体" w:hint="eastAsia"/>
          <w:szCs w:val="21"/>
        </w:rPr>
        <w:t>和聚鼎宝</w:t>
      </w:r>
      <w:r w:rsidR="00B94CEE">
        <w:rPr>
          <w:rFonts w:hAnsi="宋体" w:hint="eastAsia"/>
          <w:szCs w:val="21"/>
        </w:rPr>
        <w:t>2</w:t>
      </w:r>
      <w:r w:rsidR="00B94CEE">
        <w:rPr>
          <w:rFonts w:hAnsi="宋体" w:hint="eastAsia"/>
          <w:szCs w:val="21"/>
        </w:rPr>
        <w:t>期</w:t>
      </w:r>
      <w:r w:rsidR="00C32602" w:rsidRPr="00B94388">
        <w:rPr>
          <w:rFonts w:hAnsi="宋体" w:hint="eastAsia"/>
          <w:szCs w:val="21"/>
        </w:rPr>
        <w:t>等。</w:t>
      </w:r>
    </w:p>
    <w:p w:rsidR="0035113C" w:rsidRPr="00B94388" w:rsidRDefault="00631E98" w:rsidP="00B562C0">
      <w:pPr>
        <w:numPr>
          <w:ilvl w:val="0"/>
          <w:numId w:val="1"/>
        </w:numPr>
        <w:spacing w:beforeLines="50" w:before="156" w:afterLines="50" w:after="156" w:line="360" w:lineRule="auto"/>
        <w:rPr>
          <w:b/>
          <w:szCs w:val="21"/>
        </w:rPr>
      </w:pPr>
      <w:r w:rsidRPr="00B94388">
        <w:rPr>
          <w:rFonts w:hint="eastAsia"/>
          <w:b/>
          <w:szCs w:val="21"/>
        </w:rPr>
        <w:t>三</w:t>
      </w:r>
      <w:r w:rsidRPr="00B94388">
        <w:rPr>
          <w:b/>
          <w:szCs w:val="21"/>
        </w:rPr>
        <w:t>年期评级结果</w:t>
      </w:r>
      <w:r w:rsidR="005C1D46" w:rsidRPr="00B94388">
        <w:rPr>
          <w:rFonts w:hint="eastAsia"/>
          <w:b/>
          <w:szCs w:val="21"/>
        </w:rPr>
        <w:t>：</w:t>
      </w:r>
      <w:r w:rsidRPr="00B94388">
        <w:rPr>
          <w:rFonts w:hAnsi="宋体"/>
          <w:szCs w:val="21"/>
        </w:rPr>
        <w:t>运行满</w:t>
      </w:r>
      <w:r w:rsidRPr="00B94388">
        <w:rPr>
          <w:rFonts w:hAnsi="宋体" w:hint="eastAsia"/>
          <w:szCs w:val="21"/>
        </w:rPr>
        <w:t>三</w:t>
      </w:r>
      <w:r w:rsidRPr="00B94388">
        <w:rPr>
          <w:rFonts w:hAnsi="宋体"/>
          <w:szCs w:val="21"/>
        </w:rPr>
        <w:t>年且满足评级条件的私募产品共</w:t>
      </w:r>
      <w:r w:rsidR="009E1220">
        <w:rPr>
          <w:rFonts w:hAnsi="宋体"/>
          <w:szCs w:val="21"/>
        </w:rPr>
        <w:t>7</w:t>
      </w:r>
      <w:r w:rsidR="00B562C0">
        <w:rPr>
          <w:rFonts w:hAnsi="宋体" w:hint="eastAsia"/>
          <w:szCs w:val="21"/>
        </w:rPr>
        <w:t>66</w:t>
      </w:r>
      <w:r w:rsidR="00454C17" w:rsidRPr="00B94388">
        <w:rPr>
          <w:rFonts w:hAnsi="宋体" w:hint="eastAsia"/>
          <w:szCs w:val="21"/>
        </w:rPr>
        <w:t>支</w:t>
      </w:r>
      <w:r w:rsidRPr="00B94388">
        <w:rPr>
          <w:rFonts w:hAnsi="宋体" w:hint="eastAsia"/>
          <w:szCs w:val="21"/>
        </w:rPr>
        <w:t>，</w:t>
      </w:r>
      <w:r w:rsidR="00C26458" w:rsidRPr="00B94388">
        <w:rPr>
          <w:rFonts w:hAnsi="宋体" w:hint="eastAsia"/>
          <w:szCs w:val="21"/>
        </w:rPr>
        <w:t>较上月</w:t>
      </w:r>
      <w:r w:rsidR="00B94CEE">
        <w:rPr>
          <w:rFonts w:hAnsi="宋体" w:hint="eastAsia"/>
          <w:szCs w:val="21"/>
        </w:rPr>
        <w:t>增加</w:t>
      </w:r>
      <w:r w:rsidR="00B562C0">
        <w:rPr>
          <w:rFonts w:hAnsi="宋体" w:hint="eastAsia"/>
          <w:szCs w:val="21"/>
        </w:rPr>
        <w:t>18</w:t>
      </w:r>
      <w:r w:rsidR="00454C17" w:rsidRPr="00B94388">
        <w:rPr>
          <w:rFonts w:hAnsi="宋体" w:hint="eastAsia"/>
          <w:szCs w:val="21"/>
        </w:rPr>
        <w:t>支</w:t>
      </w:r>
      <w:r w:rsidR="00C26458" w:rsidRPr="00B94388">
        <w:rPr>
          <w:rFonts w:hAnsi="宋体" w:hint="eastAsia"/>
          <w:szCs w:val="21"/>
        </w:rPr>
        <w:t>，</w:t>
      </w:r>
      <w:r w:rsidR="00935046" w:rsidRPr="00B94388">
        <w:rPr>
          <w:rFonts w:hAnsi="宋体"/>
          <w:szCs w:val="21"/>
        </w:rPr>
        <w:t>其中获得好买</w:t>
      </w:r>
      <w:r w:rsidR="00935046" w:rsidRPr="00B94388">
        <w:rPr>
          <w:rFonts w:hAnsi="宋体" w:hint="eastAsia"/>
          <w:szCs w:val="21"/>
        </w:rPr>
        <w:t>三</w:t>
      </w:r>
      <w:r w:rsidRPr="00B94388">
        <w:rPr>
          <w:rFonts w:hAnsi="宋体"/>
          <w:szCs w:val="21"/>
        </w:rPr>
        <w:t>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94CEE">
        <w:rPr>
          <w:rFonts w:hAnsi="宋体" w:hint="eastAsia"/>
          <w:szCs w:val="21"/>
        </w:rPr>
        <w:t>7</w:t>
      </w:r>
      <w:r w:rsidR="00B562C0">
        <w:rPr>
          <w:rFonts w:hAnsi="宋体" w:hint="eastAsia"/>
          <w:szCs w:val="21"/>
        </w:rPr>
        <w:t>3</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Pr="00B94388">
        <w:rPr>
          <w:rFonts w:hAnsi="宋体" w:hint="eastAsia"/>
          <w:szCs w:val="21"/>
        </w:rPr>
        <w:t>：</w:t>
      </w:r>
      <w:r w:rsidR="00323B5D">
        <w:rPr>
          <w:rFonts w:hAnsi="宋体" w:hint="eastAsia"/>
          <w:szCs w:val="21"/>
        </w:rPr>
        <w:t>泽熙</w:t>
      </w:r>
      <w:r w:rsidR="00323B5D">
        <w:rPr>
          <w:rFonts w:hAnsi="宋体" w:hint="eastAsia"/>
          <w:szCs w:val="21"/>
        </w:rPr>
        <w:t>3</w:t>
      </w:r>
      <w:r w:rsidR="00323B5D">
        <w:rPr>
          <w:rFonts w:hAnsi="宋体" w:hint="eastAsia"/>
          <w:szCs w:val="21"/>
        </w:rPr>
        <w:t>期</w:t>
      </w:r>
      <w:r w:rsidR="00260129" w:rsidRPr="00260129">
        <w:rPr>
          <w:rFonts w:hAnsi="宋体" w:hint="eastAsia"/>
          <w:szCs w:val="21"/>
        </w:rPr>
        <w:t>、</w:t>
      </w:r>
      <w:r w:rsidR="00B562C0" w:rsidRPr="00B562C0">
        <w:rPr>
          <w:rFonts w:hAnsi="宋体" w:hint="eastAsia"/>
          <w:szCs w:val="21"/>
        </w:rPr>
        <w:t>泽熙</w:t>
      </w:r>
      <w:r w:rsidR="00B562C0" w:rsidRPr="00B562C0">
        <w:rPr>
          <w:rFonts w:hAnsi="宋体" w:hint="eastAsia"/>
          <w:szCs w:val="21"/>
        </w:rPr>
        <w:t>4</w:t>
      </w:r>
      <w:r w:rsidR="00B562C0" w:rsidRPr="00B562C0">
        <w:rPr>
          <w:rFonts w:hAnsi="宋体" w:hint="eastAsia"/>
          <w:szCs w:val="21"/>
        </w:rPr>
        <w:t>期</w:t>
      </w:r>
      <w:r w:rsidR="00B562C0">
        <w:rPr>
          <w:rFonts w:hAnsi="宋体" w:hint="eastAsia"/>
          <w:szCs w:val="21"/>
        </w:rPr>
        <w:t>、</w:t>
      </w:r>
      <w:r w:rsidR="00323B5D">
        <w:rPr>
          <w:rFonts w:hAnsi="宋体" w:hint="eastAsia"/>
          <w:szCs w:val="21"/>
        </w:rPr>
        <w:t>清水源</w:t>
      </w:r>
      <w:r w:rsidR="00323B5D">
        <w:rPr>
          <w:rFonts w:hAnsi="宋体" w:hint="eastAsia"/>
          <w:szCs w:val="21"/>
        </w:rPr>
        <w:t>1</w:t>
      </w:r>
      <w:r w:rsidR="00323B5D">
        <w:rPr>
          <w:rFonts w:hAnsi="宋体" w:hint="eastAsia"/>
          <w:szCs w:val="21"/>
        </w:rPr>
        <w:t>号</w:t>
      </w:r>
      <w:r w:rsidR="00260129" w:rsidRPr="00260129">
        <w:rPr>
          <w:rFonts w:hAnsi="宋体" w:hint="eastAsia"/>
          <w:szCs w:val="21"/>
        </w:rPr>
        <w:t>、</w:t>
      </w:r>
      <w:r w:rsidR="00B562C0" w:rsidRPr="00B562C0">
        <w:rPr>
          <w:rFonts w:hAnsi="宋体" w:hint="eastAsia"/>
          <w:szCs w:val="21"/>
        </w:rPr>
        <w:t>稳健增长</w:t>
      </w:r>
      <w:r w:rsidR="00B562C0" w:rsidRPr="00B562C0">
        <w:rPr>
          <w:rFonts w:hAnsi="宋体" w:hint="eastAsia"/>
          <w:szCs w:val="21"/>
        </w:rPr>
        <w:t>1</w:t>
      </w:r>
      <w:r w:rsidR="00B562C0" w:rsidRPr="00B562C0">
        <w:rPr>
          <w:rFonts w:hAnsi="宋体" w:hint="eastAsia"/>
          <w:szCs w:val="21"/>
        </w:rPr>
        <w:t>号</w:t>
      </w:r>
      <w:r w:rsidR="001C113B">
        <w:rPr>
          <w:rFonts w:hAnsi="宋体" w:hint="eastAsia"/>
          <w:szCs w:val="21"/>
        </w:rPr>
        <w:t>、</w:t>
      </w:r>
      <w:r w:rsidR="00323B5D">
        <w:rPr>
          <w:rFonts w:hAnsi="宋体" w:hint="eastAsia"/>
          <w:szCs w:val="21"/>
        </w:rPr>
        <w:t>鸿逸</w:t>
      </w:r>
      <w:r w:rsidR="00323B5D">
        <w:rPr>
          <w:rFonts w:hAnsi="宋体" w:hint="eastAsia"/>
          <w:szCs w:val="21"/>
        </w:rPr>
        <w:t>1</w:t>
      </w:r>
      <w:r w:rsidR="00323B5D">
        <w:rPr>
          <w:rFonts w:hAnsi="宋体" w:hint="eastAsia"/>
          <w:szCs w:val="21"/>
        </w:rPr>
        <w:t>号</w:t>
      </w:r>
      <w:r w:rsidR="0035113C" w:rsidRPr="00B94388">
        <w:rPr>
          <w:rFonts w:hAnsi="宋体" w:hint="eastAsia"/>
          <w:szCs w:val="21"/>
        </w:rPr>
        <w:t>等。</w:t>
      </w:r>
    </w:p>
    <w:p w:rsidR="009F1791" w:rsidRPr="00B94388" w:rsidRDefault="00631E98" w:rsidP="00B562C0">
      <w:pPr>
        <w:numPr>
          <w:ilvl w:val="0"/>
          <w:numId w:val="1"/>
        </w:numPr>
        <w:spacing w:beforeLines="50" w:before="156" w:afterLines="50" w:after="156" w:line="360" w:lineRule="auto"/>
        <w:rPr>
          <w:b/>
          <w:szCs w:val="21"/>
        </w:rPr>
      </w:pPr>
      <w:r w:rsidRPr="00B94388">
        <w:rPr>
          <w:rFonts w:hint="eastAsia"/>
          <w:b/>
          <w:szCs w:val="21"/>
        </w:rPr>
        <w:t>五</w:t>
      </w:r>
      <w:r w:rsidRPr="00B94388">
        <w:rPr>
          <w:b/>
          <w:szCs w:val="21"/>
        </w:rPr>
        <w:t>年期评级结果</w:t>
      </w:r>
      <w:r w:rsidR="005C1D46" w:rsidRPr="00B94388">
        <w:rPr>
          <w:rFonts w:hint="eastAsia"/>
          <w:b/>
          <w:szCs w:val="21"/>
        </w:rPr>
        <w:t>：</w:t>
      </w:r>
      <w:r w:rsidRPr="00B94388">
        <w:rPr>
          <w:rFonts w:hAnsi="宋体"/>
          <w:szCs w:val="21"/>
        </w:rPr>
        <w:t>运行满</w:t>
      </w:r>
      <w:r w:rsidRPr="00B94388">
        <w:rPr>
          <w:rFonts w:hAnsi="宋体" w:hint="eastAsia"/>
          <w:szCs w:val="21"/>
        </w:rPr>
        <w:t>五</w:t>
      </w:r>
      <w:r w:rsidRPr="00B94388">
        <w:rPr>
          <w:rFonts w:hAnsi="宋体"/>
          <w:szCs w:val="21"/>
        </w:rPr>
        <w:t>年且满足评级条件的私募产品共</w:t>
      </w:r>
      <w:r w:rsidR="00B562C0">
        <w:rPr>
          <w:rFonts w:hAnsi="宋体" w:hint="eastAsia"/>
          <w:szCs w:val="21"/>
        </w:rPr>
        <w:t>385</w:t>
      </w:r>
      <w:r w:rsidR="00454C17" w:rsidRPr="00B94388">
        <w:rPr>
          <w:rFonts w:hAnsi="宋体" w:hint="eastAsia"/>
          <w:szCs w:val="21"/>
        </w:rPr>
        <w:t>支</w:t>
      </w:r>
      <w:r w:rsidR="00935046" w:rsidRPr="00B94388">
        <w:rPr>
          <w:rFonts w:hAnsi="宋体"/>
          <w:szCs w:val="21"/>
        </w:rPr>
        <w:t>，</w:t>
      </w:r>
      <w:r w:rsidR="00C26458" w:rsidRPr="00B94388">
        <w:rPr>
          <w:rFonts w:hAnsi="宋体" w:hint="eastAsia"/>
          <w:szCs w:val="21"/>
        </w:rPr>
        <w:t>较上月</w:t>
      </w:r>
      <w:r w:rsidR="004C0D33" w:rsidRPr="00B94388">
        <w:rPr>
          <w:rFonts w:hAnsi="宋体" w:hint="eastAsia"/>
          <w:szCs w:val="21"/>
        </w:rPr>
        <w:t>增加</w:t>
      </w:r>
      <w:r w:rsidR="00B562C0">
        <w:rPr>
          <w:rFonts w:hAnsi="宋体" w:hint="eastAsia"/>
          <w:szCs w:val="21"/>
        </w:rPr>
        <w:t>43</w:t>
      </w:r>
      <w:r w:rsidR="004C0D33" w:rsidRPr="00B94388">
        <w:rPr>
          <w:rFonts w:hAnsi="宋体" w:hint="eastAsia"/>
          <w:szCs w:val="21"/>
        </w:rPr>
        <w:t>支</w:t>
      </w:r>
      <w:r w:rsidR="00C26458" w:rsidRPr="00B94388">
        <w:rPr>
          <w:rFonts w:hAnsi="宋体" w:hint="eastAsia"/>
          <w:szCs w:val="21"/>
        </w:rPr>
        <w:t>，</w:t>
      </w:r>
      <w:r w:rsidR="00935046" w:rsidRPr="00B94388">
        <w:rPr>
          <w:rFonts w:hAnsi="宋体"/>
          <w:szCs w:val="21"/>
        </w:rPr>
        <w:t>其中获得好买</w:t>
      </w:r>
      <w:r w:rsidR="00935046" w:rsidRPr="00B94388">
        <w:rPr>
          <w:rFonts w:hAnsi="宋体" w:hint="eastAsia"/>
          <w:szCs w:val="21"/>
        </w:rPr>
        <w:t>五</w:t>
      </w:r>
      <w:r w:rsidRPr="00B94388">
        <w:rPr>
          <w:rFonts w:hAnsi="宋体"/>
          <w:szCs w:val="21"/>
        </w:rPr>
        <w:t>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562C0">
        <w:rPr>
          <w:rFonts w:hAnsi="宋体" w:hint="eastAsia"/>
          <w:szCs w:val="21"/>
        </w:rPr>
        <w:t>42</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00323B5D">
        <w:rPr>
          <w:rFonts w:hAnsi="宋体" w:hint="eastAsia"/>
          <w:szCs w:val="21"/>
        </w:rPr>
        <w:t>：泽熙</w:t>
      </w:r>
      <w:r w:rsidR="00323B5D">
        <w:rPr>
          <w:rFonts w:hAnsi="宋体" w:hint="eastAsia"/>
          <w:szCs w:val="21"/>
        </w:rPr>
        <w:t>3</w:t>
      </w:r>
      <w:r w:rsidR="00323B5D">
        <w:rPr>
          <w:rFonts w:hAnsi="宋体" w:hint="eastAsia"/>
          <w:szCs w:val="21"/>
        </w:rPr>
        <w:t>期</w:t>
      </w:r>
      <w:r w:rsidR="00214460">
        <w:rPr>
          <w:rFonts w:hAnsi="宋体" w:hint="eastAsia"/>
          <w:szCs w:val="21"/>
        </w:rPr>
        <w:t>、</w:t>
      </w:r>
      <w:r w:rsidR="00323B5D">
        <w:rPr>
          <w:rFonts w:hAnsi="宋体" w:hint="eastAsia"/>
          <w:szCs w:val="21"/>
        </w:rPr>
        <w:t>恒复趋势</w:t>
      </w:r>
      <w:r w:rsidR="00323B5D">
        <w:rPr>
          <w:rFonts w:hAnsi="宋体" w:hint="eastAsia"/>
          <w:szCs w:val="21"/>
        </w:rPr>
        <w:t>1</w:t>
      </w:r>
      <w:r w:rsidR="00323B5D">
        <w:rPr>
          <w:rFonts w:hAnsi="宋体" w:hint="eastAsia"/>
          <w:szCs w:val="21"/>
        </w:rPr>
        <w:t>号</w:t>
      </w:r>
      <w:r w:rsidR="00214460">
        <w:rPr>
          <w:rFonts w:hAnsi="宋体" w:hint="eastAsia"/>
          <w:szCs w:val="21"/>
        </w:rPr>
        <w:t>、</w:t>
      </w:r>
      <w:r w:rsidR="00B562C0" w:rsidRPr="00B562C0">
        <w:rPr>
          <w:rFonts w:hAnsi="宋体" w:hint="eastAsia"/>
          <w:szCs w:val="21"/>
        </w:rPr>
        <w:t>稳健增长</w:t>
      </w:r>
      <w:r w:rsidR="00B562C0" w:rsidRPr="00B562C0">
        <w:rPr>
          <w:rFonts w:hAnsi="宋体" w:hint="eastAsia"/>
          <w:szCs w:val="21"/>
        </w:rPr>
        <w:t>1</w:t>
      </w:r>
      <w:r w:rsidR="00B562C0" w:rsidRPr="00B562C0">
        <w:rPr>
          <w:rFonts w:hAnsi="宋体" w:hint="eastAsia"/>
          <w:szCs w:val="21"/>
        </w:rPr>
        <w:t>号</w:t>
      </w:r>
      <w:r w:rsidR="00B94CEE">
        <w:rPr>
          <w:rFonts w:hAnsi="宋体" w:hint="eastAsia"/>
          <w:szCs w:val="21"/>
        </w:rPr>
        <w:t>、鑫兰瑞等。</w:t>
      </w:r>
    </w:p>
    <w:p w:rsidR="00E540B9" w:rsidRPr="00F50A6C"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Pr="00C1185B"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6E6E64" w:rsidRDefault="006E6E64"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F8405A" w:rsidRPr="00B94388" w:rsidRDefault="00B75376" w:rsidP="00F8405A">
      <w:pPr>
        <w:spacing w:beforeLines="50" w:before="156" w:afterLines="50" w:after="156" w:line="360" w:lineRule="auto"/>
        <w:rPr>
          <w:b/>
          <w:color w:val="D80012"/>
          <w:sz w:val="24"/>
        </w:rPr>
      </w:pPr>
      <w:r w:rsidRPr="00B94388">
        <w:rPr>
          <w:rFonts w:hAnsi="宋体" w:hint="eastAsia"/>
          <w:b/>
          <w:color w:val="D80012"/>
          <w:sz w:val="24"/>
        </w:rPr>
        <w:lastRenderedPageBreak/>
        <w:t>一</w:t>
      </w:r>
      <w:r w:rsidR="00F8405A" w:rsidRPr="00B94388">
        <w:rPr>
          <w:rFonts w:hAnsi="宋体"/>
          <w:b/>
          <w:color w:val="D80012"/>
          <w:sz w:val="24"/>
        </w:rPr>
        <w:t>、</w:t>
      </w:r>
      <w:r w:rsidR="00F8405A" w:rsidRPr="00B94388">
        <w:rPr>
          <w:rFonts w:hAnsi="宋体" w:hint="eastAsia"/>
          <w:b/>
          <w:color w:val="D80012"/>
          <w:sz w:val="24"/>
        </w:rPr>
        <w:t>好买</w:t>
      </w:r>
      <w:r w:rsidR="00B94CEE">
        <w:rPr>
          <w:rFonts w:hAnsi="宋体" w:hint="eastAsia"/>
          <w:b/>
          <w:color w:val="D80012"/>
          <w:sz w:val="24"/>
        </w:rPr>
        <w:t>7</w:t>
      </w:r>
      <w:r w:rsidR="006D5EFB" w:rsidRPr="00B94388">
        <w:rPr>
          <w:rFonts w:hAnsi="宋体" w:hint="eastAsia"/>
          <w:b/>
          <w:color w:val="D80012"/>
          <w:sz w:val="24"/>
        </w:rPr>
        <w:t>月</w:t>
      </w:r>
      <w:r w:rsidR="00F8405A" w:rsidRPr="00B94388">
        <w:rPr>
          <w:rFonts w:hAnsi="宋体" w:hint="eastAsia"/>
          <w:b/>
          <w:color w:val="D80012"/>
          <w:sz w:val="24"/>
        </w:rPr>
        <w:t>份私募基金一年期评级结果</w:t>
      </w:r>
    </w:p>
    <w:p w:rsidR="00F8405A" w:rsidRPr="00B94388" w:rsidRDefault="00F8405A" w:rsidP="00215C18">
      <w:pPr>
        <w:spacing w:beforeLines="50" w:before="156" w:afterLines="50" w:after="156" w:line="360" w:lineRule="auto"/>
        <w:ind w:rightChars="-13" w:right="-27" w:firstLineChars="200" w:firstLine="420"/>
        <w:rPr>
          <w:rFonts w:hAnsi="宋体"/>
          <w:szCs w:val="21"/>
        </w:rPr>
      </w:pPr>
      <w:r w:rsidRPr="00B94388">
        <w:rPr>
          <w:rFonts w:hAnsi="宋体" w:hint="eastAsia"/>
          <w:szCs w:val="21"/>
        </w:rPr>
        <w:t>截至</w:t>
      </w:r>
      <w:r w:rsidR="00F02D8B" w:rsidRPr="00B94388">
        <w:rPr>
          <w:rFonts w:hAnsi="宋体" w:hint="eastAsia"/>
          <w:szCs w:val="21"/>
        </w:rPr>
        <w:t>201</w:t>
      </w:r>
      <w:r w:rsidR="00E540B9">
        <w:rPr>
          <w:rFonts w:hAnsi="宋体" w:hint="eastAsia"/>
          <w:szCs w:val="21"/>
        </w:rPr>
        <w:t>5</w:t>
      </w:r>
      <w:r w:rsidR="00F02D8B" w:rsidRPr="00B94388">
        <w:rPr>
          <w:rFonts w:hAnsi="宋体" w:hint="eastAsia"/>
          <w:szCs w:val="21"/>
        </w:rPr>
        <w:t>年</w:t>
      </w:r>
      <w:r w:rsidR="00B562C0">
        <w:rPr>
          <w:rFonts w:hAnsi="宋体" w:hint="eastAsia"/>
          <w:szCs w:val="21"/>
        </w:rPr>
        <w:t>9</w:t>
      </w:r>
      <w:r w:rsidR="00DA0EDB" w:rsidRPr="00B94388">
        <w:rPr>
          <w:rFonts w:hAnsi="宋体" w:hint="eastAsia"/>
          <w:szCs w:val="21"/>
        </w:rPr>
        <w:t>月</w:t>
      </w:r>
      <w:r w:rsidR="00C1185B">
        <w:rPr>
          <w:rFonts w:hAnsi="宋体" w:hint="eastAsia"/>
          <w:szCs w:val="21"/>
        </w:rPr>
        <w:t>1</w:t>
      </w:r>
      <w:r w:rsidR="004F6BB0">
        <w:rPr>
          <w:rFonts w:hAnsi="宋体" w:hint="eastAsia"/>
          <w:szCs w:val="21"/>
        </w:rPr>
        <w:t>5</w:t>
      </w:r>
      <w:r w:rsidR="00DA0EDB" w:rsidRPr="00B94388">
        <w:rPr>
          <w:rFonts w:hAnsi="宋体" w:hint="eastAsia"/>
          <w:szCs w:val="21"/>
        </w:rPr>
        <w:t>日</w:t>
      </w:r>
      <w:r w:rsidRPr="00B94388">
        <w:rPr>
          <w:rFonts w:hAnsi="宋体" w:hint="eastAsia"/>
          <w:szCs w:val="21"/>
        </w:rPr>
        <w:t>，运行满一年且符合条件可参与</w:t>
      </w:r>
      <w:r w:rsidR="00B562C0">
        <w:rPr>
          <w:rFonts w:hAnsi="宋体" w:hint="eastAsia"/>
          <w:szCs w:val="21"/>
        </w:rPr>
        <w:t>8</w:t>
      </w:r>
      <w:r w:rsidR="006D5EFB" w:rsidRPr="00B94388">
        <w:rPr>
          <w:rFonts w:hAnsi="宋体" w:hint="eastAsia"/>
          <w:szCs w:val="21"/>
        </w:rPr>
        <w:t>月</w:t>
      </w:r>
      <w:r w:rsidRPr="00B94388">
        <w:rPr>
          <w:rFonts w:hAnsi="宋体" w:hint="eastAsia"/>
          <w:szCs w:val="21"/>
        </w:rPr>
        <w:t>份好买私募基金评级的有</w:t>
      </w:r>
      <w:r w:rsidR="00B562C0">
        <w:rPr>
          <w:rFonts w:hAnsi="宋体" w:hint="eastAsia"/>
          <w:szCs w:val="21"/>
        </w:rPr>
        <w:t>1517</w:t>
      </w:r>
      <w:r w:rsidR="00454C17" w:rsidRPr="00B94388">
        <w:rPr>
          <w:rFonts w:hAnsi="宋体" w:hint="eastAsia"/>
          <w:szCs w:val="21"/>
        </w:rPr>
        <w:t>支</w:t>
      </w:r>
      <w:r w:rsidRPr="00B94388">
        <w:rPr>
          <w:rFonts w:hAnsi="宋体" w:hint="eastAsia"/>
          <w:szCs w:val="21"/>
        </w:rPr>
        <w:t>，占到统计总数的</w:t>
      </w:r>
      <w:r w:rsidR="00B562C0">
        <w:rPr>
          <w:rFonts w:hAnsi="宋体" w:hint="eastAsia"/>
          <w:szCs w:val="21"/>
        </w:rPr>
        <w:t>34.99</w:t>
      </w:r>
      <w:r w:rsidR="00223021" w:rsidRPr="00B94388">
        <w:rPr>
          <w:rFonts w:hAnsi="宋体"/>
          <w:szCs w:val="21"/>
        </w:rPr>
        <w:t>%</w:t>
      </w:r>
      <w:r w:rsidR="00104088" w:rsidRPr="00B94388">
        <w:rPr>
          <w:rFonts w:hAnsi="宋体" w:hint="eastAsia"/>
          <w:szCs w:val="21"/>
        </w:rPr>
        <w:t>。</w:t>
      </w:r>
    </w:p>
    <w:p w:rsidR="00F8405A" w:rsidRPr="00B94388" w:rsidRDefault="00F8405A" w:rsidP="00A74A2E">
      <w:pPr>
        <w:spacing w:beforeLines="50" w:before="156" w:afterLines="50" w:after="156" w:line="360" w:lineRule="auto"/>
        <w:ind w:rightChars="-13" w:right="-27"/>
        <w:rPr>
          <w:rFonts w:hAnsi="宋体"/>
          <w:szCs w:val="21"/>
        </w:rPr>
      </w:pPr>
      <w:r w:rsidRPr="00B94388">
        <w:rPr>
          <w:rFonts w:hAnsi="宋体" w:hint="eastAsia"/>
          <w:szCs w:val="21"/>
        </w:rPr>
        <w:t>（一）</w:t>
      </w:r>
      <w:r w:rsidR="00B562C0">
        <w:rPr>
          <w:rFonts w:hAnsi="宋体" w:hint="eastAsia"/>
          <w:szCs w:val="21"/>
        </w:rPr>
        <w:t>8</w:t>
      </w:r>
      <w:r w:rsidR="006D5EFB" w:rsidRPr="00B94388">
        <w:rPr>
          <w:rFonts w:hAnsi="宋体" w:hint="eastAsia"/>
          <w:szCs w:val="21"/>
        </w:rPr>
        <w:t>月</w:t>
      </w:r>
      <w:r w:rsidRPr="00B94388">
        <w:rPr>
          <w:rFonts w:hAnsi="宋体" w:hint="eastAsia"/>
          <w:szCs w:val="21"/>
        </w:rPr>
        <w:t>份私募业绩统计数据分布</w:t>
      </w:r>
    </w:p>
    <w:p w:rsidR="00F8405A" w:rsidRPr="00B94388" w:rsidRDefault="00F8405A" w:rsidP="00F8405A">
      <w:pPr>
        <w:spacing w:beforeLines="50" w:before="156" w:afterLines="50" w:after="156" w:line="360" w:lineRule="auto"/>
        <w:ind w:rightChars="-13" w:right="-27" w:firstLineChars="200" w:firstLine="420"/>
        <w:rPr>
          <w:rFonts w:hAnsi="宋体"/>
          <w:szCs w:val="21"/>
        </w:rPr>
      </w:pPr>
      <w:r w:rsidRPr="00B94388">
        <w:rPr>
          <w:rFonts w:hAnsi="宋体" w:hint="eastAsia"/>
          <w:szCs w:val="21"/>
        </w:rPr>
        <w:t>下图包括了</w:t>
      </w:r>
      <w:r w:rsidR="00B562C0">
        <w:rPr>
          <w:rFonts w:hAnsi="宋体" w:hint="eastAsia"/>
          <w:szCs w:val="21"/>
        </w:rPr>
        <w:t>1517</w:t>
      </w:r>
      <w:r w:rsidR="00454C17" w:rsidRPr="00B94388">
        <w:rPr>
          <w:rFonts w:hAnsi="宋体" w:hint="eastAsia"/>
          <w:szCs w:val="21"/>
        </w:rPr>
        <w:t>支</w:t>
      </w:r>
      <w:r w:rsidRPr="00B94388">
        <w:rPr>
          <w:rFonts w:hAnsi="宋体" w:hint="eastAsia"/>
          <w:szCs w:val="21"/>
        </w:rPr>
        <w:t>参与一年期评级的私募基金，按照评级指标从左至右排序，图的上半部分和下半部分分别对应了各产品的近一年收益率和年化下行标准差。</w:t>
      </w:r>
    </w:p>
    <w:p w:rsidR="00F8405A" w:rsidRPr="00B94388" w:rsidRDefault="00F8405A" w:rsidP="00DE74CC">
      <w:pPr>
        <w:spacing w:beforeLines="50" w:before="156" w:afterLines="50" w:after="156" w:line="360" w:lineRule="auto"/>
        <w:ind w:rightChars="-13" w:right="-27" w:firstLineChars="200" w:firstLine="420"/>
        <w:rPr>
          <w:rFonts w:hAnsi="宋体"/>
          <w:szCs w:val="21"/>
        </w:rPr>
      </w:pPr>
      <w:r w:rsidRPr="00B94388">
        <w:rPr>
          <w:rFonts w:hAnsi="宋体" w:hint="eastAsia"/>
          <w:szCs w:val="21"/>
        </w:rPr>
        <w:t>从收益上看，纳入统计的</w:t>
      </w:r>
      <w:r w:rsidR="00B562C0">
        <w:rPr>
          <w:rFonts w:hAnsi="宋体" w:hint="eastAsia"/>
          <w:szCs w:val="21"/>
        </w:rPr>
        <w:t>1517</w:t>
      </w:r>
      <w:r w:rsidR="00454C17" w:rsidRPr="00B94388">
        <w:rPr>
          <w:rFonts w:hAnsi="宋体" w:hint="eastAsia"/>
          <w:szCs w:val="21"/>
        </w:rPr>
        <w:t>支</w:t>
      </w:r>
      <w:r w:rsidRPr="00B94388">
        <w:rPr>
          <w:rFonts w:hAnsi="宋体" w:hint="eastAsia"/>
          <w:szCs w:val="21"/>
        </w:rPr>
        <w:t>产品过去</w:t>
      </w:r>
      <w:r w:rsidRPr="00B94388">
        <w:rPr>
          <w:rFonts w:hAnsi="宋体" w:hint="eastAsia"/>
          <w:szCs w:val="21"/>
        </w:rPr>
        <w:t>12</w:t>
      </w:r>
      <w:r w:rsidRPr="00B94388">
        <w:rPr>
          <w:rFonts w:hAnsi="宋体" w:hint="eastAsia"/>
          <w:szCs w:val="21"/>
        </w:rPr>
        <w:t>个月净值平均</w:t>
      </w:r>
      <w:r w:rsidR="00E03EDE" w:rsidRPr="00B94388">
        <w:rPr>
          <w:rFonts w:hAnsi="宋体" w:hint="eastAsia"/>
          <w:szCs w:val="21"/>
          <w:lang w:val="en-ZA"/>
        </w:rPr>
        <w:t>上涨</w:t>
      </w:r>
      <w:r w:rsidR="00B562C0" w:rsidRPr="00B562C0">
        <w:rPr>
          <w:rFonts w:hAnsi="宋体"/>
          <w:szCs w:val="21"/>
          <w:lang w:val="en-ZA"/>
        </w:rPr>
        <w:t>12.23%</w:t>
      </w:r>
      <w:r w:rsidRPr="00B94388">
        <w:rPr>
          <w:rFonts w:hAnsi="宋体" w:hint="eastAsia"/>
          <w:szCs w:val="21"/>
        </w:rPr>
        <w:t>，</w:t>
      </w:r>
      <w:r w:rsidR="001732CC" w:rsidRPr="00B94388">
        <w:rPr>
          <w:rFonts w:hAnsi="宋体" w:hint="eastAsia"/>
          <w:szCs w:val="21"/>
        </w:rPr>
        <w:t>其中</w:t>
      </w:r>
      <w:r w:rsidR="00B562C0" w:rsidRPr="00B562C0">
        <w:rPr>
          <w:rFonts w:hAnsi="宋体"/>
          <w:szCs w:val="21"/>
        </w:rPr>
        <w:t>62.36%</w:t>
      </w:r>
      <w:r w:rsidRPr="00B94388">
        <w:rPr>
          <w:rFonts w:hAnsi="宋体" w:hint="eastAsia"/>
          <w:szCs w:val="21"/>
        </w:rPr>
        <w:t>的产品取得正收益，获得“</w:t>
      </w:r>
      <w:r w:rsidRPr="00B94388">
        <w:rPr>
          <w:rFonts w:hAnsi="宋体" w:hint="eastAsia"/>
          <w:szCs w:val="21"/>
        </w:rPr>
        <w:t>5</w:t>
      </w:r>
      <w:r w:rsidRPr="00B94388">
        <w:rPr>
          <w:rFonts w:hAnsi="宋体" w:hint="eastAsia"/>
          <w:szCs w:val="21"/>
        </w:rPr>
        <w:t>星”评级的</w:t>
      </w:r>
      <w:r w:rsidR="006753DA">
        <w:rPr>
          <w:rFonts w:hAnsi="宋体"/>
          <w:szCs w:val="21"/>
        </w:rPr>
        <w:t>1</w:t>
      </w:r>
      <w:r w:rsidR="00D87C00">
        <w:rPr>
          <w:rFonts w:hAnsi="宋体" w:hint="eastAsia"/>
          <w:szCs w:val="21"/>
        </w:rPr>
        <w:t>4</w:t>
      </w:r>
      <w:r w:rsidR="00B562C0">
        <w:rPr>
          <w:rFonts w:hAnsi="宋体" w:hint="eastAsia"/>
          <w:szCs w:val="21"/>
        </w:rPr>
        <w:t>7</w:t>
      </w:r>
      <w:r w:rsidR="00454C17" w:rsidRPr="00B94388">
        <w:rPr>
          <w:rFonts w:hAnsi="宋体" w:hint="eastAsia"/>
          <w:szCs w:val="21"/>
        </w:rPr>
        <w:t>支</w:t>
      </w:r>
      <w:r w:rsidRPr="00B94388">
        <w:rPr>
          <w:rFonts w:hAnsi="宋体" w:hint="eastAsia"/>
          <w:szCs w:val="21"/>
        </w:rPr>
        <w:t>产品的近</w:t>
      </w:r>
      <w:r w:rsidR="00542743" w:rsidRPr="00B94388">
        <w:rPr>
          <w:rFonts w:hAnsi="宋体" w:hint="eastAsia"/>
          <w:szCs w:val="21"/>
        </w:rPr>
        <w:t>1</w:t>
      </w:r>
      <w:r w:rsidR="00BE2404" w:rsidRPr="00B94388">
        <w:rPr>
          <w:rFonts w:hAnsi="宋体" w:hint="eastAsia"/>
          <w:szCs w:val="21"/>
        </w:rPr>
        <w:t>2</w:t>
      </w:r>
      <w:r w:rsidR="00BE2404" w:rsidRPr="00B94388">
        <w:rPr>
          <w:rFonts w:hAnsi="宋体" w:hint="eastAsia"/>
          <w:szCs w:val="21"/>
        </w:rPr>
        <w:t>个</w:t>
      </w:r>
      <w:r w:rsidR="00542743" w:rsidRPr="00B94388">
        <w:rPr>
          <w:rFonts w:hAnsi="宋体" w:hint="eastAsia"/>
          <w:szCs w:val="21"/>
        </w:rPr>
        <w:t>月</w:t>
      </w:r>
      <w:r w:rsidRPr="00B94388">
        <w:rPr>
          <w:rFonts w:hAnsi="宋体" w:hint="eastAsia"/>
          <w:szCs w:val="21"/>
        </w:rPr>
        <w:t>平均收益为</w:t>
      </w:r>
      <w:r w:rsidR="00B562C0" w:rsidRPr="00B562C0">
        <w:rPr>
          <w:rFonts w:hAnsi="宋体"/>
          <w:szCs w:val="21"/>
        </w:rPr>
        <w:t>52.57%</w:t>
      </w:r>
      <w:r w:rsidRPr="00B94388">
        <w:rPr>
          <w:rFonts w:hAnsi="宋体" w:hint="eastAsia"/>
          <w:szCs w:val="21"/>
        </w:rPr>
        <w:t>，</w:t>
      </w:r>
      <w:r w:rsidR="00C74213" w:rsidRPr="00B94388">
        <w:rPr>
          <w:rFonts w:hAnsi="宋体" w:hint="eastAsia"/>
          <w:szCs w:val="21"/>
        </w:rPr>
        <w:t>而获得“</w:t>
      </w:r>
      <w:r w:rsidR="00C74213" w:rsidRPr="00B94388">
        <w:rPr>
          <w:rFonts w:hAnsi="宋体" w:hint="eastAsia"/>
          <w:szCs w:val="21"/>
        </w:rPr>
        <w:t>4</w:t>
      </w:r>
      <w:r w:rsidR="00C74213" w:rsidRPr="00B94388">
        <w:rPr>
          <w:rFonts w:hAnsi="宋体" w:hint="eastAsia"/>
          <w:szCs w:val="21"/>
        </w:rPr>
        <w:t>星”、“</w:t>
      </w:r>
      <w:r w:rsidR="00C74213" w:rsidRPr="00B94388">
        <w:rPr>
          <w:rFonts w:hAnsi="宋体" w:hint="eastAsia"/>
          <w:szCs w:val="21"/>
        </w:rPr>
        <w:t>3</w:t>
      </w:r>
      <w:r w:rsidR="00C74213" w:rsidRPr="00B94388">
        <w:rPr>
          <w:rFonts w:hAnsi="宋体" w:hint="eastAsia"/>
          <w:szCs w:val="21"/>
        </w:rPr>
        <w:t>星”、“</w:t>
      </w:r>
      <w:r w:rsidR="00C74213" w:rsidRPr="00B94388">
        <w:rPr>
          <w:rFonts w:hAnsi="宋体" w:hint="eastAsia"/>
          <w:szCs w:val="21"/>
        </w:rPr>
        <w:t>2</w:t>
      </w:r>
      <w:r w:rsidR="00C74213" w:rsidRPr="00B94388">
        <w:rPr>
          <w:rFonts w:hAnsi="宋体" w:hint="eastAsia"/>
          <w:szCs w:val="21"/>
        </w:rPr>
        <w:t>星”和“</w:t>
      </w:r>
      <w:r w:rsidR="00C74213" w:rsidRPr="00B94388">
        <w:rPr>
          <w:rFonts w:hAnsi="宋体" w:hint="eastAsia"/>
          <w:szCs w:val="21"/>
        </w:rPr>
        <w:t>1</w:t>
      </w:r>
      <w:r w:rsidR="00C74213" w:rsidRPr="00B94388">
        <w:rPr>
          <w:rFonts w:hAnsi="宋体" w:hint="eastAsia"/>
          <w:szCs w:val="21"/>
        </w:rPr>
        <w:t>星”评价的基金的近</w:t>
      </w:r>
      <w:r w:rsidR="00C74213" w:rsidRPr="00B94388">
        <w:rPr>
          <w:rFonts w:hAnsi="宋体" w:hint="eastAsia"/>
          <w:szCs w:val="21"/>
        </w:rPr>
        <w:t>1</w:t>
      </w:r>
      <w:r w:rsidR="00C74213" w:rsidRPr="00B94388">
        <w:rPr>
          <w:rFonts w:hAnsi="宋体" w:hint="eastAsia"/>
          <w:szCs w:val="21"/>
        </w:rPr>
        <w:t>年平均收益</w:t>
      </w:r>
      <w:r w:rsidR="00101E77" w:rsidRPr="00B94388">
        <w:rPr>
          <w:rFonts w:hAnsi="宋体" w:hint="eastAsia"/>
          <w:szCs w:val="21"/>
        </w:rPr>
        <w:t>依次为</w:t>
      </w:r>
      <w:r w:rsidR="00B562C0" w:rsidRPr="00B562C0">
        <w:rPr>
          <w:rFonts w:hAnsi="宋体"/>
          <w:szCs w:val="21"/>
        </w:rPr>
        <w:t>24.85%</w:t>
      </w:r>
      <w:r w:rsidR="00DE74CC" w:rsidRPr="00B94388">
        <w:rPr>
          <w:rFonts w:hAnsi="宋体" w:hint="eastAsia"/>
          <w:szCs w:val="21"/>
        </w:rPr>
        <w:t>、</w:t>
      </w:r>
      <w:r w:rsidR="00B562C0" w:rsidRPr="00B562C0">
        <w:rPr>
          <w:rFonts w:hAnsi="宋体"/>
          <w:szCs w:val="21"/>
        </w:rPr>
        <w:t>8.42%</w:t>
      </w:r>
      <w:r w:rsidR="00DE74CC" w:rsidRPr="00B94388">
        <w:rPr>
          <w:rFonts w:hAnsi="宋体" w:hint="eastAsia"/>
          <w:szCs w:val="21"/>
        </w:rPr>
        <w:t>、</w:t>
      </w:r>
      <w:r w:rsidR="00B562C0" w:rsidRPr="00B562C0">
        <w:rPr>
          <w:rFonts w:hAnsi="宋体"/>
          <w:szCs w:val="21"/>
        </w:rPr>
        <w:t>-3.68%</w:t>
      </w:r>
      <w:r w:rsidR="00DE74CC" w:rsidRPr="00B94388">
        <w:rPr>
          <w:rFonts w:hAnsi="宋体" w:hint="eastAsia"/>
          <w:szCs w:val="21"/>
        </w:rPr>
        <w:t>和</w:t>
      </w:r>
      <w:r w:rsidR="00B562C0" w:rsidRPr="00B562C0">
        <w:rPr>
          <w:rFonts w:hAnsi="宋体"/>
          <w:szCs w:val="21"/>
        </w:rPr>
        <w:t>-26.75%</w:t>
      </w:r>
      <w:r w:rsidR="006A5C69" w:rsidRPr="00B94388">
        <w:rPr>
          <w:rFonts w:hAnsi="宋体" w:hint="eastAsia"/>
          <w:szCs w:val="21"/>
        </w:rPr>
        <w:t>。</w:t>
      </w:r>
      <w:r w:rsidR="00B562C0">
        <w:rPr>
          <w:rFonts w:hAnsi="宋体" w:hint="eastAsia"/>
          <w:szCs w:val="21"/>
        </w:rPr>
        <w:t>8</w:t>
      </w:r>
      <w:r w:rsidR="006D5EFB" w:rsidRPr="00B94388">
        <w:rPr>
          <w:rFonts w:hAnsi="宋体" w:hint="eastAsia"/>
          <w:szCs w:val="21"/>
        </w:rPr>
        <w:t>月</w:t>
      </w:r>
      <w:r w:rsidR="006D4736" w:rsidRPr="00B94388">
        <w:rPr>
          <w:rFonts w:hAnsi="宋体" w:hint="eastAsia"/>
          <w:szCs w:val="21"/>
        </w:rPr>
        <w:t>份，</w:t>
      </w:r>
      <w:r w:rsidR="00B0094E">
        <w:rPr>
          <w:rFonts w:hAnsi="宋体" w:hint="eastAsia"/>
          <w:szCs w:val="21"/>
        </w:rPr>
        <w:t>泽熙</w:t>
      </w:r>
      <w:r w:rsidR="00B0094E">
        <w:rPr>
          <w:rFonts w:hAnsi="宋体" w:hint="eastAsia"/>
          <w:szCs w:val="21"/>
        </w:rPr>
        <w:t>3</w:t>
      </w:r>
      <w:r w:rsidR="00B0094E">
        <w:rPr>
          <w:rFonts w:hAnsi="宋体" w:hint="eastAsia"/>
          <w:szCs w:val="21"/>
        </w:rPr>
        <w:t>期</w:t>
      </w:r>
      <w:r w:rsidR="008A62E7" w:rsidRPr="00B94388">
        <w:rPr>
          <w:rFonts w:hAnsi="宋体" w:hint="eastAsia"/>
          <w:szCs w:val="21"/>
        </w:rPr>
        <w:t>排名</w:t>
      </w:r>
      <w:r w:rsidR="00653AF7" w:rsidRPr="00B94388">
        <w:rPr>
          <w:rFonts w:hAnsi="宋体" w:hint="eastAsia"/>
          <w:szCs w:val="21"/>
        </w:rPr>
        <w:t>第一</w:t>
      </w:r>
      <w:r w:rsidR="00FC5A9D" w:rsidRPr="00B94388">
        <w:rPr>
          <w:rFonts w:hAnsi="宋体" w:hint="eastAsia"/>
          <w:szCs w:val="21"/>
        </w:rPr>
        <w:t>，其近一年收益率高达</w:t>
      </w:r>
      <w:r w:rsidR="00B562C0" w:rsidRPr="00B562C0">
        <w:rPr>
          <w:rFonts w:hAnsi="宋体"/>
          <w:szCs w:val="21"/>
        </w:rPr>
        <w:t xml:space="preserve">289.63 </w:t>
      </w:r>
      <w:r w:rsidR="006753DA">
        <w:rPr>
          <w:rFonts w:hAnsi="宋体"/>
          <w:szCs w:val="21"/>
        </w:rPr>
        <w:t>%</w:t>
      </w:r>
      <w:r w:rsidR="004E74F4" w:rsidRPr="00B94388">
        <w:rPr>
          <w:rFonts w:hAnsi="宋体" w:hint="eastAsia"/>
          <w:szCs w:val="21"/>
        </w:rPr>
        <w:t>。</w:t>
      </w:r>
      <w:r w:rsidR="00B562C0" w:rsidRPr="00B562C0">
        <w:rPr>
          <w:rFonts w:hAnsi="宋体" w:hint="eastAsia"/>
          <w:szCs w:val="21"/>
        </w:rPr>
        <w:t>泽泉景渤金融投资</w:t>
      </w:r>
      <w:r w:rsidR="00324445">
        <w:rPr>
          <w:rFonts w:hAnsi="宋体" w:hint="eastAsia"/>
          <w:szCs w:val="21"/>
        </w:rPr>
        <w:t>和和</w:t>
      </w:r>
      <w:r w:rsidR="00B562C0" w:rsidRPr="00B562C0">
        <w:rPr>
          <w:rFonts w:hAnsi="宋体" w:hint="eastAsia"/>
          <w:szCs w:val="21"/>
        </w:rPr>
        <w:t>泽熙</w:t>
      </w:r>
      <w:r w:rsidR="00B562C0" w:rsidRPr="00B562C0">
        <w:rPr>
          <w:rFonts w:hAnsi="宋体" w:hint="eastAsia"/>
          <w:szCs w:val="21"/>
        </w:rPr>
        <w:t>4</w:t>
      </w:r>
      <w:r w:rsidR="00B562C0" w:rsidRPr="00B562C0">
        <w:rPr>
          <w:rFonts w:hAnsi="宋体" w:hint="eastAsia"/>
          <w:szCs w:val="21"/>
        </w:rPr>
        <w:t>期</w:t>
      </w:r>
      <w:r w:rsidR="005F5B40" w:rsidRPr="00B94388">
        <w:rPr>
          <w:rFonts w:hAnsi="宋体" w:hint="eastAsia"/>
          <w:szCs w:val="21"/>
        </w:rPr>
        <w:t>位居其后</w:t>
      </w:r>
      <w:r w:rsidR="00C35212" w:rsidRPr="00B94388">
        <w:rPr>
          <w:rFonts w:hAnsi="宋体" w:hint="eastAsia"/>
          <w:szCs w:val="21"/>
        </w:rPr>
        <w:t>，过去十二个月</w:t>
      </w:r>
      <w:r w:rsidR="00D46199" w:rsidRPr="00B94388">
        <w:rPr>
          <w:rFonts w:hAnsi="宋体" w:hint="eastAsia"/>
          <w:szCs w:val="21"/>
        </w:rPr>
        <w:t>分别</w:t>
      </w:r>
      <w:r w:rsidR="00C35212" w:rsidRPr="00B94388">
        <w:rPr>
          <w:rFonts w:hAnsi="宋体" w:hint="eastAsia"/>
          <w:szCs w:val="21"/>
        </w:rPr>
        <w:t>取得了</w:t>
      </w:r>
      <w:r w:rsidR="00B562C0">
        <w:rPr>
          <w:rFonts w:hAnsi="宋体"/>
          <w:szCs w:val="21"/>
        </w:rPr>
        <w:t>206.58</w:t>
      </w:r>
      <w:r w:rsidR="007A4D2A" w:rsidRPr="00B94388">
        <w:rPr>
          <w:rFonts w:hAnsi="宋体" w:hint="eastAsia"/>
          <w:szCs w:val="21"/>
        </w:rPr>
        <w:t>%</w:t>
      </w:r>
      <w:r w:rsidR="002C482F" w:rsidRPr="00B94388">
        <w:rPr>
          <w:rFonts w:hAnsi="宋体" w:hint="eastAsia"/>
          <w:szCs w:val="21"/>
        </w:rPr>
        <w:t>和</w:t>
      </w:r>
      <w:r w:rsidR="00B562C0">
        <w:rPr>
          <w:rFonts w:hAnsi="宋体"/>
          <w:szCs w:val="21"/>
        </w:rPr>
        <w:t>175.61</w:t>
      </w:r>
      <w:r w:rsidR="00F10A04" w:rsidRPr="00B94388">
        <w:rPr>
          <w:rFonts w:hAnsi="宋体" w:hint="eastAsia"/>
          <w:szCs w:val="21"/>
        </w:rPr>
        <w:t>%</w:t>
      </w:r>
      <w:r w:rsidR="00C35212" w:rsidRPr="00B94388">
        <w:rPr>
          <w:rFonts w:hAnsi="宋体" w:hint="eastAsia"/>
          <w:szCs w:val="21"/>
        </w:rPr>
        <w:t>的</w:t>
      </w:r>
      <w:r w:rsidR="009E28D9" w:rsidRPr="00B94388">
        <w:rPr>
          <w:rFonts w:hAnsi="宋体" w:hint="eastAsia"/>
          <w:szCs w:val="21"/>
        </w:rPr>
        <w:t>正</w:t>
      </w:r>
      <w:r w:rsidR="00C35212" w:rsidRPr="00B94388">
        <w:rPr>
          <w:rFonts w:hAnsi="宋体" w:hint="eastAsia"/>
          <w:szCs w:val="21"/>
        </w:rPr>
        <w:t>收益。</w:t>
      </w:r>
    </w:p>
    <w:p w:rsidR="00EC3C01" w:rsidRPr="00B94388" w:rsidRDefault="00F8405A" w:rsidP="00CC1386">
      <w:pPr>
        <w:spacing w:beforeLines="50" w:before="156" w:afterLines="50" w:after="156" w:line="360" w:lineRule="auto"/>
        <w:ind w:rightChars="-13" w:right="-27" w:firstLineChars="202" w:firstLine="424"/>
        <w:rPr>
          <w:rFonts w:hAnsi="宋体"/>
          <w:szCs w:val="21"/>
        </w:rPr>
      </w:pPr>
      <w:r w:rsidRPr="00B94388">
        <w:rPr>
          <w:rFonts w:hAnsi="宋体" w:hint="eastAsia"/>
          <w:szCs w:val="21"/>
        </w:rPr>
        <w:t>从风险指标来看，</w:t>
      </w:r>
      <w:r w:rsidR="00324445">
        <w:rPr>
          <w:rFonts w:hAnsi="宋体" w:hint="eastAsia"/>
          <w:szCs w:val="21"/>
        </w:rPr>
        <w:t>1</w:t>
      </w:r>
      <w:r w:rsidR="00B562C0">
        <w:rPr>
          <w:rFonts w:hAnsi="宋体" w:hint="eastAsia"/>
          <w:szCs w:val="21"/>
        </w:rPr>
        <w:t>517</w:t>
      </w:r>
      <w:r w:rsidR="00454C17" w:rsidRPr="00B94388">
        <w:rPr>
          <w:rFonts w:hAnsi="宋体" w:hint="eastAsia"/>
          <w:szCs w:val="21"/>
        </w:rPr>
        <w:t>支</w:t>
      </w:r>
      <w:r w:rsidRPr="00B94388">
        <w:rPr>
          <w:rFonts w:hAnsi="宋体" w:hint="eastAsia"/>
          <w:szCs w:val="21"/>
        </w:rPr>
        <w:t>产品的平均年化下行波动率为</w:t>
      </w:r>
      <w:r w:rsidR="00560399" w:rsidRPr="00560399">
        <w:rPr>
          <w:rFonts w:hAnsi="宋体"/>
          <w:szCs w:val="21"/>
        </w:rPr>
        <w:t>21.61%</w:t>
      </w:r>
      <w:r w:rsidR="00753A7B" w:rsidRPr="00B94388">
        <w:rPr>
          <w:rFonts w:hAnsi="宋体" w:hint="eastAsia"/>
          <w:szCs w:val="21"/>
        </w:rPr>
        <w:t>，较前期</w:t>
      </w:r>
      <w:r w:rsidR="00F942E3">
        <w:rPr>
          <w:rFonts w:hAnsi="宋体" w:hint="eastAsia"/>
          <w:szCs w:val="21"/>
        </w:rPr>
        <w:t>提高</w:t>
      </w:r>
      <w:r w:rsidR="007F459A" w:rsidRPr="00B94388">
        <w:rPr>
          <w:rFonts w:hAnsi="宋体" w:hint="eastAsia"/>
          <w:szCs w:val="21"/>
        </w:rPr>
        <w:t>了</w:t>
      </w:r>
      <w:r w:rsidR="00560399">
        <w:rPr>
          <w:rFonts w:hAnsi="宋体" w:hint="eastAsia"/>
          <w:szCs w:val="21"/>
        </w:rPr>
        <w:t>2.16</w:t>
      </w:r>
      <w:r w:rsidR="00753A7B" w:rsidRPr="00B94388">
        <w:rPr>
          <w:rFonts w:hAnsi="宋体" w:hint="eastAsia"/>
          <w:szCs w:val="21"/>
        </w:rPr>
        <w:t>个百分点</w:t>
      </w:r>
      <w:r w:rsidR="00E86C2C" w:rsidRPr="00B94388">
        <w:rPr>
          <w:rFonts w:hAnsi="宋体" w:hint="eastAsia"/>
          <w:szCs w:val="21"/>
        </w:rPr>
        <w:t>，</w:t>
      </w:r>
      <w:r w:rsidRPr="00B94388">
        <w:rPr>
          <w:rFonts w:hAnsi="宋体" w:hint="eastAsia"/>
          <w:szCs w:val="21"/>
        </w:rPr>
        <w:t>其中获得“</w:t>
      </w:r>
      <w:r w:rsidRPr="00B94388">
        <w:rPr>
          <w:rFonts w:hAnsi="宋体" w:hint="eastAsia"/>
          <w:szCs w:val="21"/>
        </w:rPr>
        <w:t>5</w:t>
      </w:r>
      <w:r w:rsidRPr="00B94388">
        <w:rPr>
          <w:rFonts w:hAnsi="宋体" w:hint="eastAsia"/>
          <w:szCs w:val="21"/>
        </w:rPr>
        <w:t>星”评级的基金平均下行波动率为</w:t>
      </w:r>
      <w:r w:rsidR="00560399" w:rsidRPr="00560399">
        <w:rPr>
          <w:rFonts w:hAnsi="宋体"/>
          <w:szCs w:val="21"/>
        </w:rPr>
        <w:t>12.03%</w:t>
      </w:r>
      <w:r w:rsidRPr="00B94388">
        <w:rPr>
          <w:rFonts w:hAnsi="宋体" w:hint="eastAsia"/>
          <w:szCs w:val="21"/>
        </w:rPr>
        <w:t>。而获得“</w:t>
      </w:r>
      <w:r w:rsidRPr="00B94388">
        <w:rPr>
          <w:rFonts w:hAnsi="宋体" w:hint="eastAsia"/>
          <w:szCs w:val="21"/>
        </w:rPr>
        <w:t>4</w:t>
      </w:r>
      <w:r w:rsidRPr="00B94388">
        <w:rPr>
          <w:rFonts w:hAnsi="宋体" w:hint="eastAsia"/>
          <w:szCs w:val="21"/>
        </w:rPr>
        <w:t>星”、“</w:t>
      </w:r>
      <w:r w:rsidRPr="00B94388">
        <w:rPr>
          <w:rFonts w:hAnsi="宋体" w:hint="eastAsia"/>
          <w:szCs w:val="21"/>
        </w:rPr>
        <w:t>3</w:t>
      </w:r>
      <w:r w:rsidRPr="00B94388">
        <w:rPr>
          <w:rFonts w:hAnsi="宋体" w:hint="eastAsia"/>
          <w:szCs w:val="21"/>
        </w:rPr>
        <w:t>星”、“</w:t>
      </w:r>
      <w:r w:rsidRPr="00B94388">
        <w:rPr>
          <w:rFonts w:hAnsi="宋体" w:hint="eastAsia"/>
          <w:szCs w:val="21"/>
        </w:rPr>
        <w:t>2</w:t>
      </w:r>
      <w:r w:rsidRPr="00B94388">
        <w:rPr>
          <w:rFonts w:hAnsi="宋体" w:hint="eastAsia"/>
          <w:szCs w:val="21"/>
        </w:rPr>
        <w:t>星”和“</w:t>
      </w:r>
      <w:r w:rsidRPr="00B94388">
        <w:rPr>
          <w:rFonts w:hAnsi="宋体" w:hint="eastAsia"/>
          <w:szCs w:val="21"/>
        </w:rPr>
        <w:t>1</w:t>
      </w:r>
      <w:r w:rsidR="00C74213" w:rsidRPr="00B94388">
        <w:rPr>
          <w:rFonts w:hAnsi="宋体" w:hint="eastAsia"/>
          <w:szCs w:val="21"/>
        </w:rPr>
        <w:t>星”评价的基金的平均下行波动率依次</w:t>
      </w:r>
      <w:r w:rsidRPr="00B94388">
        <w:rPr>
          <w:rFonts w:hAnsi="宋体" w:hint="eastAsia"/>
          <w:szCs w:val="21"/>
        </w:rPr>
        <w:t>为</w:t>
      </w:r>
      <w:r w:rsidR="00560399" w:rsidRPr="00560399">
        <w:rPr>
          <w:rFonts w:hAnsi="宋体"/>
          <w:szCs w:val="21"/>
        </w:rPr>
        <w:t>14.33%</w:t>
      </w:r>
      <w:r w:rsidR="00CC1386" w:rsidRPr="00B94388">
        <w:rPr>
          <w:rFonts w:hAnsi="宋体" w:hint="eastAsia"/>
          <w:szCs w:val="21"/>
        </w:rPr>
        <w:t>、</w:t>
      </w:r>
      <w:r w:rsidR="00560399" w:rsidRPr="00560399">
        <w:rPr>
          <w:rFonts w:hAnsi="宋体"/>
          <w:szCs w:val="21"/>
        </w:rPr>
        <w:t>19.56%</w:t>
      </w:r>
      <w:r w:rsidR="007A4D2A" w:rsidRPr="00B94388">
        <w:rPr>
          <w:rFonts w:hAnsi="宋体" w:hint="eastAsia"/>
          <w:szCs w:val="21"/>
        </w:rPr>
        <w:t>、</w:t>
      </w:r>
      <w:r w:rsidR="00560399" w:rsidRPr="00560399">
        <w:rPr>
          <w:rFonts w:hAnsi="宋体"/>
          <w:szCs w:val="21"/>
        </w:rPr>
        <w:t>26.07%</w:t>
      </w:r>
      <w:r w:rsidR="00CC1386" w:rsidRPr="00B94388">
        <w:rPr>
          <w:rFonts w:hAnsi="宋体" w:hint="eastAsia"/>
          <w:szCs w:val="21"/>
        </w:rPr>
        <w:t>和</w:t>
      </w:r>
      <w:r w:rsidR="00560399" w:rsidRPr="00560399">
        <w:rPr>
          <w:rFonts w:hAnsi="宋体"/>
          <w:szCs w:val="21"/>
        </w:rPr>
        <w:t>42.60%</w:t>
      </w:r>
      <w:r w:rsidR="00055456" w:rsidRPr="00B94388">
        <w:rPr>
          <w:rFonts w:hAnsi="宋体" w:hint="eastAsia"/>
          <w:szCs w:val="21"/>
        </w:rPr>
        <w:t>。</w:t>
      </w:r>
    </w:p>
    <w:tbl>
      <w:tblPr>
        <w:tblW w:w="0" w:type="auto"/>
        <w:tblInd w:w="108" w:type="dxa"/>
        <w:shd w:val="clear" w:color="auto" w:fill="C0C0C0"/>
        <w:tblLook w:val="01E0" w:firstRow="1" w:lastRow="1" w:firstColumn="1" w:lastColumn="1" w:noHBand="0" w:noVBand="0"/>
      </w:tblPr>
      <w:tblGrid>
        <w:gridCol w:w="8361"/>
      </w:tblGrid>
      <w:tr w:rsidR="00F8405A" w:rsidRPr="00B94388" w:rsidTr="00CA749B">
        <w:trPr>
          <w:trHeight w:val="459"/>
        </w:trPr>
        <w:tc>
          <w:tcPr>
            <w:tcW w:w="8361" w:type="dxa"/>
            <w:shd w:val="clear" w:color="auto" w:fill="C0C0C0"/>
            <w:vAlign w:val="center"/>
          </w:tcPr>
          <w:p w:rsidR="00F8405A" w:rsidRPr="00B94388" w:rsidRDefault="00560399" w:rsidP="007A4D2A">
            <w:pPr>
              <w:ind w:rightChars="22" w:right="46"/>
              <w:rPr>
                <w:b/>
              </w:rPr>
            </w:pPr>
            <w:r>
              <w:rPr>
                <w:rFonts w:hint="eastAsia"/>
                <w:b/>
              </w:rPr>
              <w:t>8</w:t>
            </w:r>
            <w:r w:rsidR="006D5EFB" w:rsidRPr="00B94388">
              <w:rPr>
                <w:rFonts w:hint="eastAsia"/>
                <w:b/>
              </w:rPr>
              <w:t>月</w:t>
            </w:r>
            <w:r w:rsidR="00F8405A" w:rsidRPr="00B94388">
              <w:rPr>
                <w:b/>
              </w:rPr>
              <w:t>份私募业绩统计数据</w:t>
            </w:r>
          </w:p>
        </w:tc>
      </w:tr>
    </w:tbl>
    <w:p w:rsidR="00F8405A" w:rsidRPr="00B94388" w:rsidRDefault="00560399" w:rsidP="00F8405A">
      <w:pPr>
        <w:spacing w:line="360" w:lineRule="auto"/>
        <w:ind w:rightChars="22" w:right="46"/>
      </w:pPr>
      <w:r>
        <w:rPr>
          <w:noProof/>
        </w:rPr>
        <w:drawing>
          <wp:inline distT="0" distB="0" distL="0" distR="0" wp14:anchorId="2C1A6B65">
            <wp:extent cx="5029200" cy="3479881"/>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6078" cy="3477721"/>
                    </a:xfrm>
                    <a:prstGeom prst="rect">
                      <a:avLst/>
                    </a:prstGeom>
                    <a:noFill/>
                  </pic:spPr>
                </pic:pic>
              </a:graphicData>
            </a:graphic>
          </wp:inline>
        </w:drawing>
      </w:r>
      <w:r w:rsidR="00F942E3">
        <w:rPr>
          <w:noProof/>
        </w:rPr>
        <w:t xml:space="preserve"> </w:t>
      </w:r>
      <w:r w:rsidR="002F4CB7" w:rsidRPr="00B94388">
        <w:t xml:space="preserve"> </w:t>
      </w:r>
    </w:p>
    <w:p w:rsidR="00FB1211" w:rsidRDefault="00F8405A" w:rsidP="00FB1211">
      <w:pPr>
        <w:spacing w:line="360" w:lineRule="auto"/>
        <w:ind w:rightChars="22" w:right="46"/>
        <w:rPr>
          <w:sz w:val="18"/>
          <w:szCs w:val="18"/>
        </w:rPr>
      </w:pPr>
      <w:r w:rsidRPr="00B94388">
        <w:rPr>
          <w:sz w:val="18"/>
          <w:szCs w:val="18"/>
        </w:rPr>
        <w:lastRenderedPageBreak/>
        <w:t>数据来源：好买基金研究中心</w:t>
      </w:r>
      <w:r w:rsidRPr="00B94388">
        <w:rPr>
          <w:rFonts w:hint="eastAsia"/>
          <w:sz w:val="18"/>
          <w:szCs w:val="18"/>
        </w:rPr>
        <w:t>，净值截止日：</w:t>
      </w:r>
      <w:r w:rsidR="00C1185B">
        <w:rPr>
          <w:rFonts w:hint="eastAsia"/>
          <w:sz w:val="18"/>
          <w:szCs w:val="18"/>
        </w:rPr>
        <w:t>2015-</w:t>
      </w:r>
      <w:r w:rsidR="00560399">
        <w:rPr>
          <w:rFonts w:hint="eastAsia"/>
          <w:sz w:val="18"/>
          <w:szCs w:val="18"/>
        </w:rPr>
        <w:t>9</w:t>
      </w:r>
      <w:r w:rsidR="00401E04">
        <w:rPr>
          <w:rFonts w:hint="eastAsia"/>
          <w:sz w:val="18"/>
          <w:szCs w:val="18"/>
        </w:rPr>
        <w:t>-1</w:t>
      </w:r>
      <w:r w:rsidR="004F6BB0">
        <w:rPr>
          <w:rFonts w:hint="eastAsia"/>
          <w:sz w:val="18"/>
          <w:szCs w:val="18"/>
        </w:rPr>
        <w:t>5</w:t>
      </w:r>
    </w:p>
    <w:p w:rsidR="00F8405A" w:rsidRDefault="00A74A2E" w:rsidP="00FB1211">
      <w:pPr>
        <w:spacing w:line="360" w:lineRule="auto"/>
        <w:ind w:rightChars="22" w:right="46"/>
        <w:rPr>
          <w:rFonts w:hAnsi="宋体" w:hint="eastAsia"/>
          <w:szCs w:val="21"/>
        </w:rPr>
      </w:pPr>
      <w:r w:rsidRPr="00B94388">
        <w:rPr>
          <w:rFonts w:hAnsi="宋体" w:hint="eastAsia"/>
          <w:szCs w:val="21"/>
        </w:rPr>
        <w:t>（</w:t>
      </w:r>
      <w:r w:rsidR="00BD292B" w:rsidRPr="00B94388">
        <w:rPr>
          <w:rFonts w:hAnsi="宋体" w:hint="eastAsia"/>
          <w:szCs w:val="21"/>
          <w:lang w:val="en-ZA"/>
        </w:rPr>
        <w:t>二</w:t>
      </w:r>
      <w:r w:rsidR="00F8405A" w:rsidRPr="00B94388">
        <w:rPr>
          <w:rFonts w:hAnsi="宋体" w:hint="eastAsia"/>
          <w:szCs w:val="21"/>
        </w:rPr>
        <w:t>）好买</w:t>
      </w:r>
      <w:r w:rsidR="00560399">
        <w:rPr>
          <w:rFonts w:hAnsi="宋体" w:hint="eastAsia"/>
          <w:szCs w:val="21"/>
        </w:rPr>
        <w:t>8</w:t>
      </w:r>
      <w:r w:rsidR="006D5EFB" w:rsidRPr="00B94388">
        <w:rPr>
          <w:rFonts w:hAnsi="宋体" w:hint="eastAsia"/>
          <w:szCs w:val="21"/>
        </w:rPr>
        <w:t>月</w:t>
      </w:r>
      <w:r w:rsidR="00F8405A" w:rsidRPr="00B94388">
        <w:rPr>
          <w:rFonts w:hAnsi="宋体" w:hint="eastAsia"/>
          <w:szCs w:val="21"/>
        </w:rPr>
        <w:t>份私募基金一年期评级结果</w:t>
      </w:r>
    </w:p>
    <w:tbl>
      <w:tblPr>
        <w:tblW w:w="10273" w:type="dxa"/>
        <w:tblInd w:w="-34" w:type="dxa"/>
        <w:tblLook w:val="04A0" w:firstRow="1" w:lastRow="0" w:firstColumn="1" w:lastColumn="0" w:noHBand="0" w:noVBand="1"/>
      </w:tblPr>
      <w:tblGrid>
        <w:gridCol w:w="2127"/>
        <w:gridCol w:w="1134"/>
        <w:gridCol w:w="1417"/>
        <w:gridCol w:w="851"/>
        <w:gridCol w:w="850"/>
        <w:gridCol w:w="851"/>
        <w:gridCol w:w="850"/>
        <w:gridCol w:w="993"/>
        <w:gridCol w:w="1200"/>
      </w:tblGrid>
      <w:tr w:rsidR="00560399" w:rsidRPr="00560399" w:rsidTr="00560399">
        <w:trPr>
          <w:trHeight w:val="225"/>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近一年收益率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风险评估</w:t>
            </w:r>
          </w:p>
        </w:tc>
        <w:tc>
          <w:tcPr>
            <w:tcW w:w="2193" w:type="dxa"/>
            <w:gridSpan w:val="2"/>
            <w:tcBorders>
              <w:top w:val="single" w:sz="4" w:space="0" w:color="auto"/>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好买评级</w:t>
            </w:r>
          </w:p>
        </w:tc>
      </w:tr>
      <w:tr w:rsidR="00560399" w:rsidRPr="00560399" w:rsidTr="00560399">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绝对</w:t>
            </w:r>
            <w:r w:rsidRPr="0056039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相对</w:t>
            </w:r>
            <w:r w:rsidRPr="00560399">
              <w:rPr>
                <w:rFonts w:ascii="宋体" w:hAnsi="宋体" w:cs="宋体" w:hint="eastAsia"/>
                <w:color w:val="000000"/>
                <w:kern w:val="0"/>
                <w:sz w:val="18"/>
                <w:szCs w:val="18"/>
              </w:rPr>
              <w:br/>
              <w:t>（%）</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下行标准差</w:t>
            </w:r>
            <w:r w:rsidRPr="0056039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最大月跌幅</w:t>
            </w:r>
            <w:r w:rsidRPr="00560399">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风险调整后收益</w:t>
            </w:r>
            <w:r w:rsidRPr="00560399">
              <w:rPr>
                <w:rFonts w:ascii="宋体" w:hAnsi="宋体" w:cs="宋体" w:hint="eastAsia"/>
                <w:color w:val="000000"/>
                <w:kern w:val="0"/>
                <w:sz w:val="18"/>
                <w:szCs w:val="18"/>
              </w:rPr>
              <w:br/>
              <w:t>（%）</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星级评价</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泽泉景渤金融投资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象舆行思源1期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象舆行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德亚进取1号基金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杭州德亚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天启螣蛇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天启德鑫</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航长红棉1号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航长投资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青岛以太量化基金2号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青岛以太</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丁坚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太平洋红珊瑚3号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安蕴6期B类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泽泉盛辉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私募工场二期度库度量1期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度库资产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91.40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君富至尊9号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80.80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和聚鼎宝2期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中睿合银策略精选1号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融惠优选2期(2号)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鑫兰瑞</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诚盛1期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诚盛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长安少数派5号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少薮派投资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73.18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中山盛翔2号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中山证券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丰岭稳健成长1期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丰岭资本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新思哲</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泽泉涨乐1号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泽泉财富管家1号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中金蓝海中华成长品牌</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中金蓝海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李小勇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67.80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66.16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私募工场丰收1号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磐安资产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66.16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泽泉福虹财富证券投资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泽泉福虹财富</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博道精选5期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裕晋5期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裕晋</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万桦</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倚天雅莉3号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倚天投资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叶飞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泓璞1号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杨飞穹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清水源1号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清水源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浙江思考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鼎诺安蕴8期(普通)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招商智远美丽中国</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兴云圆运动1号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赵忠辉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汇盈17号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泽泉信德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胡杨A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胡杨投资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张凯华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汇信-信诚1号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融新292号西域光华59</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长安信托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杨怀亭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融惠优选2期(3号)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天勤1号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天勤资产管理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瑞元鑫瑞5号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瑞元资本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华夏未来领时对冲1号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华夏未来领时对冲1号尊享B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华夏未来领时对冲1号尊享A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朱雀中欧教育</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兆意1期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兆意投资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清水源优势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清水源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自然道量化1期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上海自然道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时伟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世富壹玖飞跃</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世富成长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华骏海石1号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华骏投资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刘明峰,王鲁松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国投瑞银搏股通金2号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搏股通金2号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昆仑鼎信积极进取1号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横琴昆仑鼎信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方伟宁,刘洁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上海世域投资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鹰影尊享1号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鹰影</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杨炎临,关思齐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朱雀专享1号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私募工场之兴富进取1期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金石3期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私募稳赢2号保盈1号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璞盈投资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积吉胜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招商汇智之喜马拉雅</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大观新兴主题精选1号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大观投资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徐志霖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郝毅,王涛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久富2期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钜融金鳞1号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中海外钜融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梁国栋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源乐晟3期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智博方略2期(续)</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智博方略2号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私募工场华贯波段1号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华贯资产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陈建浪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榕树文明复兴</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榕树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翟敬勇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桃花源共同量子1期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桃花源量子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道谊稳进金融投资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他石一期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他石投资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朱人伟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鑫兰瑞二期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融昌3期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融昌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兆信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中铁中睿合银二期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中睿吉祥管家一期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私募工场曦微成长精选1期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曦微资管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社润基金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社润投资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框特优选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框特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丁斌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前海冰冷睿恒</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何书渊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钧锋</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私募工场金陀罗飞龙2号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金陀罗</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华中锋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尊岳进取2号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保盈量化1号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PinPoint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久富3期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名禹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中卓成长1期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莫小城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超盛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朱雀22期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仙童2期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仙童投资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张晓君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上海大朴资产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巨杉净值线3号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巨杉上海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道谊量化增强1期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山楂树一期基金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山楂树投资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陈静</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映雪霜雪2期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映雪</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新同方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信复创值2号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信复创值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刘宇晨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39.58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正朗成长资产</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易正朗</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惠衍1号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常春藤6期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常春藤资管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蒋煜,程定华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长安投资297号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摩通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梁跃军,王欢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映雪霜雪1期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映雪</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金河新价值成长一期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金贤昌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星石3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国泰君安君享博道精选一期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峻谷一号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峻谷投资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李树伟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展博专注D期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展博专注A期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展博专注B期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展博专注C期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尚道乾坤</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尚道投资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谢柳毅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融惠优选2期(4号)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私募工场第9期恒复恒升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罗委,王涛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朱雀至尊11号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冠俊3号(成长策略3期)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励石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德源安风险缓冲1期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私募工场之水木清扬</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高信百诺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昭时五期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黄力平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巨杉净值线2号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巨杉上海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东源嘉盈3期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东源嘉盈</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金元证券游马地1号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游马地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中融信托-泊通1号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信复创值1号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信复创值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刘宇晨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中融信托-恒驰1号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盈捷九头鸟2期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李少伟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汪奚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懿和1号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懿和轩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吕红军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私募工场三期大闰金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大闰金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嘉谟1号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嘉谟资本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申钢强,张泽宇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风格汇鑫3号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王哲伟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陶鹤,陶鹤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乔雅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汇信-鑫富越2号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安蕴10期(B类)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裕晋</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安蕴10期(A类)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裕晋</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周韬,杨小舟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黄金优选21期1号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光华上智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尚雅至尊8号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展博新兴产业A类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展博新兴产业B类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展博新兴产业C类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展博新兴产业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黄金优选17期5号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黄金优选17期6号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外贸信托东方1号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太和先机策略精选5期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高卫国,孟诚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汇盈9号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汇信-惠正1号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时田丰一期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时田丰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徐国兴,周功宙</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梁跃军,何之渊,李华轮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广发聚盛私募工场应治1期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安信紫星成长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博道精选1期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博道精选A期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外贸信托或然赋利1期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四相1期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四相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何普贵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创海富信1号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创海富信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汇信泓德2号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富腾成长3期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富腾资产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张以杰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方得汇金1号(第03期)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方得资产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私募宝第5期获多利1号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五矿证券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重阳目标尊享A期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天马一期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浦江之星165号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铭深1号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上海铭深</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张志浩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汇信泓德3号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银石5期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银石3号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金蕴66期(联创永泽)</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汇信-泓德7号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世诚投资六号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巨杉净值线1号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巨杉上海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普尔创智</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博道量化对冲1期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莫泰山,何晓彬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汇信-泓德4号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和信成长一号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和信华通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明日之星第5期昀启</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昀启</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友恒</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衍航1号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汇信-中欧瑞博1号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紫金港1号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紫金港资本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光大同享二号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海富通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王哲文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美联融通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志禾对冲01号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志禾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王睿娜,刘耀军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风格汇鑫1号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森瑞独立景气</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森瑞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藏宝图基金1号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共青城新里程</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赖戌播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彩石平衡1号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彩石资产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何红军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鹏石硕1号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鹏石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单鹏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峥战1期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峥战投资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谦石1号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私募工场君洽精选1期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上海君洽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深圳富安达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东源1期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东源嘉盈</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杨凡</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展博精选C号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沣杨锦绣</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沣杨资管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张楠,王志强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冰剑10号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金冬琴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阿米巴成长1号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阿米巴财富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石海荣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新价值10期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东方红-量化2号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睿策量化1期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张宇,黄明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东方红-量化4号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沣杨旺德福</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沣杨资管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张楠,王志强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橙色量化1期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壮志凌云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原生1号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原生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深圳徐星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拾贝投资4号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海宁拾贝投资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拾贝投资2号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海宁拾贝投资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兆金鸿1号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兆金资本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拾贝投资3号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海宁拾贝投资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融惠1号天际线1期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天际线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朱雀新经济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汇信-泓德1号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王征,夏宁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唐征宇,贾健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景泰复利回报5期A型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汇信得3期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汇信得</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天勤2号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天勤资产管理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汇鑫1号(中融)</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锐越财富3号基金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金蕴52期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吴伟志,张海地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和聚华享对冲1期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盈捷九头鸟1期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李少伟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汇信-泓德5号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永泽PIPE1号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永宣创业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鑫扬一期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五矿鑫扬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华西神农复兴</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世富壹玖创新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世富成长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景泰复利回报五期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太和先机策略精选3期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国泰君安君享民晟一号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董温婧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旗隆达尔文科技对冲1期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前海旗隆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代雪峰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晋龙1号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杨达治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东方红-量化3号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恩瑞索1期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恩瑞索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冉华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锐越财富8号基金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鸿蕴1期(通晟)(B型)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通晟资产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高燕声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金蕴50期海润达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海润达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仇天镝</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尚雅稳健阿尔法股票</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常昊,王晨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陆宝点金精选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陆宝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汇信-泓德6号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同瑞汇金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论德1期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曾汉泉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安进1号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大岩资本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汪义平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富舜3期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合德丰泰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凯丝投资成长一期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王建平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亿龙中国亿龙长江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上海涌金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刘红海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神农春生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惠正成长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小马证券投资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曹鸿伟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泽履合伙</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泽履资产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杨军,沈毅亭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中国龙平衡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普尔润丰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枫景</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普尔瑞骐</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汇信景林1号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融惠优选2期(1号)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普尔优骐</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龙旗神农</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龙旗科技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朱笑慷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六禾财富越秀</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中金财富研究部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冠俊5号(成长策略2期)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融惠优选1期3号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投资精英之景林B类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艾家文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展博投资尊享系列之E期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展博投资尊享系列之F期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展博投资尊享系列之A期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展博投资尊享系列之D期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展博投资尊享系列之C期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展博投资尊享系列之B期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泓璞2号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费革胜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飞天1号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汇信-普尔2号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平石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禾木1号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禾木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浦江之星130号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蓝海1号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东航金控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通金4号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通金投资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蒋仲谋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林园1期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私募工场英菲证券</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达任资管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金蕴62期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上善御富风险缓冲2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盛世源稳健增长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盛世源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陶欣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金泉量化成长1期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哲灵</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徐泽林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共青城合一基金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璟恒一期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璟恒</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李志强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海中一号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海中湾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吕强,段成玉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磐信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巨柏1号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巨柏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祝朝安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景林长安投资266号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鼎诺安蕴8期(A型)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上善若水4期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上善若水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汇信-金百合1号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和聚3期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金海8号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富锦6号金中和</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曾军,何滨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汇信-世诚1号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若愚量化阿尔法·拙愚1期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若愚资产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杨典</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乾信中国影响力</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乾信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瑞象Alpha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陈杰明,张林涛,文江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穗富1号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穗富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丰煜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恒德中略2号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星石21期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璟恒二期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璟恒</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量华1号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量华资本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小马1期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兴业银行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璞宸江山一号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东来方元1号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东来方元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上善若水6期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上善若水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德汇成长1期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广东德汇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金福1号钱江1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金海2号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尊岳进取3号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华展金丰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汇信普尔1号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开宝2期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炜博领航证券投资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炜博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邱樟木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惠和</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万利富达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金狮141号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外贸信托光大资产权益类B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稳增2期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盈融达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赢华多策略1期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赢华基金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博观1期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融惠优选3期(1号)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金海3号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嘉泰量化对冲1期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明日之星第1期珩华铸山</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珩华资产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私募工场鼎杉1期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卓磊资产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蓝之舰2期远见</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蓝之舰投资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巫智勇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银信宝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银信宝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铭渡优势成长1号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铭渡资产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上善若水3期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上善若水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恒德中略1期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普尔聚鑫</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昕誉投资基金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昕誉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张凌宇,周挺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创赢9号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宝银创赢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惠正成长证券投资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金蕴55期(季胜)</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季胜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徐小喆</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中海国信红岭量化</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蔡生俭,褚卫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君创富民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广发资产管理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润樽1号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润樽投资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韩柏青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昆仑时代1号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昆仑时代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欧世波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盈峰成长6期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神农飞虎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福建金牛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私募工场第7期格顿1期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格而顿资管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宝银创赢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合心1期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合心资本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房强,鲁正轩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淡水泉尊享C期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淡水泉尊享D期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淡水泉尊享H期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淡水泉尊享I期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淡水泉尊享F期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淡水泉尊享G期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私募工场以恒1号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至璞资管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长安投资280号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宁波磐石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智德持续增长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投资精英之展博A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鼎锋成长一期B号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鼎锋海川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千耀一期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财富(绿宝石)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格林施通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励远1期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励远投资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博润价值成长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锐越财富5号基金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华宝信托宝晟宝鑫2号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秋阳3期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秋阳予梁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邱小兵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润晖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华福兴发精选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华福证券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锐越财富7号基金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汇信-金百合2号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瀚信稳健2期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立华价值3期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立华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星石尊享D期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星石尊享E期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黄金优选12期10号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黄金优选15期1号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国泰君安君享新利一号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多和美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张益凡</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海之源一号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向朝勇,罗志祥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广金成长3期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郭展全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光大同赢五号二期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盈丰康伦1期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鼎泰岩2期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鼎泰岩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锐进12期鼎萨</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锐进12期鼎萨尊享A期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锐进12期鼎萨尊享B期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锐进12期鼎萨尊享C期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锐进12期鼎萨尊享D期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锐进12期鼎萨尊享E期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华润金中和1期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安蕴6期(盈峰成长)A类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黄金优选17期2号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黄金优选17期3号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黄金优选17期1号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冠俊2号(成长策略1期)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成长策略1期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福泉超越01号-第03期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圆融新蓝筹1号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圆融方德投资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冉兰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融惠1号品正理翔1期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私募工场二期裕泉2期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裕泉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金百镕5期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毅扬2期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天象一号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天象道通资产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中国龙稳健5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中国龙价值9</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宝幡稳健回报八期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西南盈佳2号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西南证券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彤源7号B类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詹凌燕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长青藤2期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麦星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摩通成长1号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摩通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创赢5号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宝银创赢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云信私募工场三期第2期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金企鹅投资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上善目标缓冲</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汉和资本1期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汉和资本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罗晓春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旭诚二期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旭诚资产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安进13期壹心1号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灵均投资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道鑫3号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中海信托-海洋之星84号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平安罗素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融惠优选3期(3号)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沃胜5期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邱世梁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绿河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图原1期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图原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吴雄伟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德丰华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旗隆阿尔法对冲科技增强</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前海旗隆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徐馨漫妮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福泉超越01号-第01期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鼎诺尊享B期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鼎诺尊享C期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锐进6期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汇鑫</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银垒成长1号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银垒股权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陈冲</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金狮142号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千华策略1期B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千华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岳爱民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美红一号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富灵</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金蕴70期(鼎萨)</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联合2号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聚富二号(伞形)分组11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杨振邦</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信璞深蓝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盈信瑞峰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张峰,林劲峰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如壹成长一期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如壹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锐越财富1号基金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浚昶1期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浚昶投资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金狮160号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光大金控-泰石瑞丰1号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乾阳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光大金控-泰石瑞丰2号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瀚信价值2期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珺容一期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金海6号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金海1号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菁英时代价值成长1号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君泽利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海西晟乾1号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明达精选A号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赢隆二期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万丰贯升2号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海通利烨</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天乙1期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天乙合资本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彭乃顺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鼎泰岩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琪润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光大金控-泰石瑞丰3号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汇利投资尊享A期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御峰一号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道睿择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资财基金1号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资财股权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智信创富1期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太平洋红珊瑚大消费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金海5号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汇成易岳麓1号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汇成易投资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品正理翔2期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通金3号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通金投资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融惠优选专享1期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锐越财富2号基金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永达2期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增强35号第18期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博鸿成长1号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上海博鸿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曾令波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华鑫鑫财富智享3号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华鑫证券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华夏养老新动力1号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华夏东方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鹏诚二期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鹏诚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郗宁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毅扬1期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柘弓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彩瑞5期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大包巷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中金星石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同威增值3期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赤子之心成长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赤子之心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赵丹阳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久阳5期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久阳润泉资本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胡军程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私募工场量兆中升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赤子之心成长6号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歌斐诺宝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赤子之心成长7号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歌斐诺宝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赤子之心成长8号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歌斐诺宝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广金成长6期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刘壮华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沃胜二期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黄金优选20期1号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金石致远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明曜启明1期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增强62号-第07期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珺容二期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尊富1期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前海尊富资本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西域创新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沃胜1期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华润信托康成亨1期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朱培风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金融战士1号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铀链大盘波段1号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铀链投资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私募工场向日葵1号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深圳和盈</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恒天紫鑫一号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紫鑫</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赵春生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久阳润泉一号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久阳润泉资本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胡军程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光大资产权益类A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民森尊享B期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民森H号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民森尊享E期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民森尊享D期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民森尊享C期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凯顺2014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永达5期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陈绍胜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龙平01号-第13期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睿德投资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鼎诺目标分红1期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金狮161号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富舜2期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万丰稳健成长3期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上海中域投资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神农五福</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得利宝至尊26号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穗富2号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穗富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如壹成长1期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如壹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赤子之心价值</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赤子之心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赵丹阳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明日之星第3期煜融欣蛮1号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煜融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吴欣然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金瀛2期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鼎诺秋实2期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久久益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久久益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长金银信宝2期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明曜启明2期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国泰君安君享新利二号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红岭创投</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懿和二期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懿和轩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彤源7号A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永达3期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李奕,汪国光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福泉超越01号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华夏财富阿尔法1号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华夏财富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程海泳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秋阳1期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秋阳予梁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邱小兵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东兴金选1号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汇信富舜1号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融汇8号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雪球2期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柯铭资产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融惠优选3期(2号)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汇鑫诚通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宝晟1期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汇信-景恒先锋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广东景恒资本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福泉超越01号-第02期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睿星财富1号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睿星投资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昊润1期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昊润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全信达1期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万丰友方避险增值二期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通用汇锦2号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银田1号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天弓3号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行知转折1期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行知创业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邹剑龙</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金蕴30期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东方恒润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张耀东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长江超越理财宝6号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宋奇,鲍晓冰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私募工场之晓星1号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达任资管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森瑞医疗服务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森瑞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太平洋红珊瑚2号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精选二期A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海川5号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泽里和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金狮143号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龙平01号-第14期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增强57号-第04期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明曜1期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天弓2号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蕴泽2号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龙票资管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博纳资产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远见者1期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方德正投</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杨远昌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信投鼎利1号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执耳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广发昭时一期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五矿金田一号一期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五矿证券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广金昂立证券投资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邹雨露</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凯顺2012证券投资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恒天紫鑫二号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紫鑫</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龙平01号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龙赢成长1号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明日之星第2期煜融兔子1号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煜融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环球财富02号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昭时七期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增强57号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吾股丰登1号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红林投资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朴道一期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胡卿瑞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太平洋红珊瑚1号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鑫增长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君盈成长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君盈资产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吴成来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和顺1期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和顺天成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混沌价值一号基金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塔晶价值成长1号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浦江之星168号佳友1号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金贝壳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大君智萌2期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大君智萌投资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凯恩斯,杨永清,陈立锋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融惠5号(1号投资组合)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浦来德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庞剑锋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-26.25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长余1号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长余资本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增强62号-第01期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万永2期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刘振涛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-28.16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联讯价值1号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联讯证券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恒信盈创成长二期基金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恒信盈创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太极1号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毛仁杰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海川2号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-31.61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鼎萨价值成长基金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长余2号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综艺控股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袁波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-33.38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-9.60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红山</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龙平01号-第07期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福亿大中华绝对回报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福亿资产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翟伟荣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海川1号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王海川</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-37.87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海川3号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-42.00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嘉宏1号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亨利达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-41.72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精忠报国1号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梧桐之星资产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-6.21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-47.99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金狮89号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-48.02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-48.39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-6.76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-62.54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-7.72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-82.23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-19.08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-85.12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-21.24 </w:t>
            </w:r>
          </w:p>
        </w:tc>
        <w:tc>
          <w:tcPr>
            <w:tcW w:w="120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bl>
    <w:p w:rsidR="00B16ED0" w:rsidRPr="00B94388" w:rsidRDefault="00F8405A" w:rsidP="00FB1211">
      <w:pPr>
        <w:tabs>
          <w:tab w:val="left" w:pos="7785"/>
        </w:tabs>
        <w:spacing w:afterLines="50" w:after="156" w:line="360" w:lineRule="auto"/>
        <w:ind w:rightChars="66" w:right="139"/>
        <w:rPr>
          <w:sz w:val="18"/>
          <w:szCs w:val="18"/>
        </w:rPr>
      </w:pPr>
      <w:r w:rsidRPr="00B94388">
        <w:rPr>
          <w:sz w:val="18"/>
          <w:szCs w:val="18"/>
        </w:rPr>
        <w:t>数据来源：好买基金研究中心</w:t>
      </w:r>
      <w:r w:rsidRPr="00B94388">
        <w:rPr>
          <w:rFonts w:hint="eastAsia"/>
          <w:sz w:val="18"/>
          <w:szCs w:val="18"/>
        </w:rPr>
        <w:t>，净值截止日：</w:t>
      </w:r>
      <w:r w:rsidR="00C1185B">
        <w:rPr>
          <w:sz w:val="18"/>
          <w:szCs w:val="18"/>
        </w:rPr>
        <w:t>2015-</w:t>
      </w:r>
      <w:r w:rsidR="00560399">
        <w:rPr>
          <w:rFonts w:hint="eastAsia"/>
          <w:sz w:val="18"/>
          <w:szCs w:val="18"/>
        </w:rPr>
        <w:t>9</w:t>
      </w:r>
      <w:r w:rsidR="00586C0C">
        <w:rPr>
          <w:rFonts w:hint="eastAsia"/>
          <w:sz w:val="18"/>
          <w:szCs w:val="18"/>
        </w:rPr>
        <w:t>-1</w:t>
      </w:r>
      <w:r w:rsidR="004F6BB0">
        <w:rPr>
          <w:rFonts w:hint="eastAsia"/>
          <w:sz w:val="18"/>
          <w:szCs w:val="18"/>
        </w:rPr>
        <w:t>5</w:t>
      </w:r>
      <w:r w:rsidRPr="00B94388">
        <w:rPr>
          <w:rFonts w:hint="eastAsia"/>
          <w:sz w:val="18"/>
          <w:szCs w:val="18"/>
        </w:rPr>
        <w:t>，风险调整后收益为月度指标。</w:t>
      </w:r>
    </w:p>
    <w:p w:rsidR="00F8405A" w:rsidRPr="00B94388" w:rsidRDefault="00B75376" w:rsidP="00F8405A">
      <w:pPr>
        <w:spacing w:beforeLines="50" w:before="156" w:afterLines="50" w:after="156" w:line="360" w:lineRule="auto"/>
        <w:rPr>
          <w:b/>
          <w:color w:val="D80012"/>
          <w:sz w:val="24"/>
        </w:rPr>
      </w:pPr>
      <w:r w:rsidRPr="00B94388">
        <w:rPr>
          <w:rFonts w:hAnsi="宋体" w:hint="eastAsia"/>
          <w:b/>
          <w:color w:val="D80012"/>
          <w:sz w:val="24"/>
        </w:rPr>
        <w:t>二</w:t>
      </w:r>
      <w:r w:rsidR="00F8405A" w:rsidRPr="00B94388">
        <w:rPr>
          <w:rFonts w:hAnsi="宋体"/>
          <w:b/>
          <w:color w:val="D80012"/>
          <w:sz w:val="24"/>
        </w:rPr>
        <w:t>、</w:t>
      </w:r>
      <w:r w:rsidR="00F8405A" w:rsidRPr="00B94388">
        <w:rPr>
          <w:rFonts w:hAnsi="宋体" w:hint="eastAsia"/>
          <w:b/>
          <w:color w:val="D80012"/>
          <w:sz w:val="24"/>
        </w:rPr>
        <w:t>好买</w:t>
      </w:r>
      <w:r w:rsidR="00560399">
        <w:rPr>
          <w:rFonts w:hAnsi="宋体" w:hint="eastAsia"/>
          <w:b/>
          <w:color w:val="D80012"/>
          <w:sz w:val="24"/>
        </w:rPr>
        <w:t>8</w:t>
      </w:r>
      <w:r w:rsidR="006D5EFB" w:rsidRPr="00B94388">
        <w:rPr>
          <w:rFonts w:hAnsi="宋体" w:hint="eastAsia"/>
          <w:b/>
          <w:color w:val="D80012"/>
          <w:sz w:val="24"/>
        </w:rPr>
        <w:t>月</w:t>
      </w:r>
      <w:r w:rsidR="00F8405A" w:rsidRPr="00B94388">
        <w:rPr>
          <w:rFonts w:hAnsi="宋体" w:hint="eastAsia"/>
          <w:b/>
          <w:color w:val="D80012"/>
          <w:sz w:val="24"/>
        </w:rPr>
        <w:t>份私募基金两年期评级结果</w:t>
      </w:r>
    </w:p>
    <w:p w:rsidR="00787443" w:rsidRDefault="00F8405A" w:rsidP="00787443">
      <w:pPr>
        <w:spacing w:beforeLines="50" w:before="156" w:afterLines="50" w:after="156" w:line="360" w:lineRule="auto"/>
        <w:ind w:rightChars="-13" w:right="-27" w:firstLineChars="200" w:firstLine="420"/>
        <w:rPr>
          <w:rFonts w:hAnsi="宋体" w:hint="eastAsia"/>
          <w:szCs w:val="21"/>
        </w:rPr>
      </w:pPr>
      <w:r w:rsidRPr="00B94388">
        <w:rPr>
          <w:rFonts w:hAnsi="宋体" w:hint="eastAsia"/>
          <w:szCs w:val="21"/>
        </w:rPr>
        <w:t>本期报告中，好买对</w:t>
      </w:r>
      <w:r w:rsidR="00586C0C">
        <w:rPr>
          <w:rFonts w:hAnsi="宋体" w:hint="eastAsia"/>
          <w:szCs w:val="21"/>
        </w:rPr>
        <w:t>9</w:t>
      </w:r>
      <w:r w:rsidR="00560399">
        <w:rPr>
          <w:rFonts w:hAnsi="宋体" w:hint="eastAsia"/>
          <w:szCs w:val="21"/>
        </w:rPr>
        <w:t>58</w:t>
      </w:r>
      <w:r w:rsidR="00454C17" w:rsidRPr="00B94388">
        <w:rPr>
          <w:rFonts w:hAnsi="宋体" w:hint="eastAsia"/>
          <w:szCs w:val="21"/>
        </w:rPr>
        <w:t>支</w:t>
      </w:r>
      <w:r w:rsidRPr="00B94388">
        <w:rPr>
          <w:rFonts w:hAnsi="宋体" w:hint="eastAsia"/>
          <w:szCs w:val="21"/>
        </w:rPr>
        <w:t>运行满两年且符合数据统计条件的私募基金进行了评级，参与两年期评级的产品占到统计总数的</w:t>
      </w:r>
      <w:r w:rsidR="00560399">
        <w:rPr>
          <w:rFonts w:hAnsi="宋体" w:hint="eastAsia"/>
          <w:szCs w:val="21"/>
        </w:rPr>
        <w:t>22.1</w:t>
      </w:r>
      <w:r w:rsidR="00586C0C">
        <w:rPr>
          <w:rFonts w:hAnsi="宋体" w:hint="eastAsia"/>
          <w:szCs w:val="21"/>
        </w:rPr>
        <w:t>0</w:t>
      </w:r>
      <w:r w:rsidR="00004E0D" w:rsidRPr="00B94388">
        <w:rPr>
          <w:rFonts w:hAnsi="宋体"/>
          <w:szCs w:val="21"/>
        </w:rPr>
        <w:t>%</w:t>
      </w:r>
      <w:r w:rsidRPr="00B94388">
        <w:rPr>
          <w:rFonts w:hAnsi="宋体" w:hint="eastAsia"/>
          <w:szCs w:val="21"/>
        </w:rPr>
        <w:t>，评级相关指标如下：</w:t>
      </w:r>
    </w:p>
    <w:tbl>
      <w:tblPr>
        <w:tblW w:w="10207" w:type="dxa"/>
        <w:tblInd w:w="-34" w:type="dxa"/>
        <w:tblLook w:val="04A0" w:firstRow="1" w:lastRow="0" w:firstColumn="1" w:lastColumn="0" w:noHBand="0" w:noVBand="1"/>
      </w:tblPr>
      <w:tblGrid>
        <w:gridCol w:w="2127"/>
        <w:gridCol w:w="1134"/>
        <w:gridCol w:w="1417"/>
        <w:gridCol w:w="851"/>
        <w:gridCol w:w="850"/>
        <w:gridCol w:w="818"/>
        <w:gridCol w:w="883"/>
        <w:gridCol w:w="993"/>
        <w:gridCol w:w="1134"/>
      </w:tblGrid>
      <w:tr w:rsidR="00560399" w:rsidRPr="00560399" w:rsidTr="00560399">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近两年收益率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好买评级</w:t>
            </w:r>
          </w:p>
        </w:tc>
        <w:bookmarkStart w:id="0" w:name="_GoBack"/>
        <w:bookmarkEnd w:id="0"/>
      </w:tr>
      <w:tr w:rsidR="00560399" w:rsidRPr="00560399" w:rsidTr="00560399">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FF25A4">
            <w:pPr>
              <w:widowControl/>
              <w:jc w:val="center"/>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绝对</w:t>
            </w:r>
            <w:r w:rsidRPr="0056039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相对</w:t>
            </w:r>
            <w:r w:rsidRPr="00560399">
              <w:rPr>
                <w:rFonts w:ascii="宋体" w:hAnsi="宋体" w:cs="宋体" w:hint="eastAsia"/>
                <w:color w:val="000000"/>
                <w:kern w:val="0"/>
                <w:sz w:val="18"/>
                <w:szCs w:val="18"/>
              </w:rPr>
              <w:br/>
              <w:t>（%）</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下行标准差</w:t>
            </w:r>
            <w:r w:rsidRPr="00560399">
              <w:rPr>
                <w:rFonts w:ascii="宋体" w:hAnsi="宋体" w:cs="宋体" w:hint="eastAsia"/>
                <w:color w:val="000000"/>
                <w:kern w:val="0"/>
                <w:sz w:val="18"/>
                <w:szCs w:val="18"/>
              </w:rPr>
              <w:br/>
              <w:t>（%）</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最大月跌幅</w:t>
            </w:r>
            <w:r w:rsidRPr="00560399">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风险调整后收益</w:t>
            </w:r>
            <w:r w:rsidRPr="00560399">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星级评价</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631.63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587.68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和聚鼎宝2期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清水源1号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清水源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诚盛1期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诚盛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鑫兰瑞</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君富至尊9号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桃花源共同量子1期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桃花源量子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汇信-惠正1号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天启螣蛇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天启德鑫</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东源1期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东源嘉盈</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杨凡</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浙江思考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泓璞1号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杨飞穹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新思哲</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名禹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上海大朴资产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凯丝投资成长一期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王建平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金元证券游马地1号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游马地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王哲伟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周韬,杨小舟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冰剑3号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冰剑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陶鹤,陶鹤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森瑞独立景气</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森瑞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德源安风险缓冲1期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惠正成长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多和美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张益凡</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中睿吉祥管家一期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融新292号西域光华59</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银帆5期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天勤1号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天勤资产管理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唐征宇,贾健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中铁中睿合银二期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郝毅,王涛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尚道乾坤</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尚道投资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谢柳毅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鑫兰瑞二期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天马一期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美联融通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惠正成长证券投资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新同方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盈峰成长6期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长安信托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杨怀亭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懿和1号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懿和轩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吕红军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映雪霜雪1期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映雪</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世诚投资六号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映雪霜雪2期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映雪</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梁跃军,王欢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精熙2期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罗委,王涛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展博精选C号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德汇成长1期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广东德汇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钧锋</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高信百诺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朱雀至尊11号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展博专注A期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展博专注B期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景林长安投资266号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榕树文明复兴</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榕树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翟敬勇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朱雀9期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太和先机策略精选3期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博道精选1期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博道精选A期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冠俊5号(成长策略2期)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梁跃军,何之渊,李华轮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亿龙中国亿龙长江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上海涌金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刘红海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鼎锋18期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谦石1号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仙童2期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仙童投资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张晓君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富锦6号金中和</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曾军,何滨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智博方略2号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智博方略2期(续)</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金石致远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超盛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六禾成长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向朝勇,罗志祥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积吉胜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御峰一号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泓璞2号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费革胜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汇鑫1号(中融)</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平石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尚雅至尊8号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汇信-金百合1号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广发资产管理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明达精选A号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保盈量化1号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PinPoint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普尔润丰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六禾财富越秀</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深圳富安达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万利富达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励石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民森F号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普尔瑞骐</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普尔优骐</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智信创富1期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鑫扬一期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五矿鑫扬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成长策略1期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冠俊2号(成长策略1期)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磐信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兆信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星石21期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景泰复利回报5期A型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光华上智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景泰复利回报五期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同瑞汇金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金海2号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金融战士1号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宝银创赢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中国龙平衡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立华价值3期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立华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中国龙稳健5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深圳徐星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飞天1号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尚雅2期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财富(绿宝石)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格林施通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如壹成长一期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如壹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琪润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永泽PIPE1号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永宣创业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原生1号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原生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华西神农复兴</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华展金丰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金泉量化成长1期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哲灵</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徐泽林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华润信托康成亨1期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朱培风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聚富二号(伞形)分组11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杨振邦</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汇信普尔1号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信璞深蓝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乾信中国影响力</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乾信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金狮141号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博观1期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睿策量化1期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张宇,黄明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神农春生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中国龙价值9</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盈信瑞峰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张峰,林劲峰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中金财富研究部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恩瑞索1期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恩瑞索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冉华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蔡生俭,褚卫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王征,夏宁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华鑫鑫财富智享3号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华鑫证券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星石尊享E期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星石尊享D期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赢隆二期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润晖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橙色量化1期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壮志凌云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丰煜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长青藤2期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汇信-泓德1号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泓德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创赢9号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宝银创赢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瑞象Alpha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如壹成长1期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如壹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普尔聚鑫</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枫景</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德丰华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同威增值3期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上善御富风险缓冲2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珺容一期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浦江之星130号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光大同享二号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海富通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王哲文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金蕴30期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东方恒润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张耀东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瀚信经典1期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时田丰一期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时田丰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徐国兴,周功宙</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懿和二期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懿和轩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盛世源稳健增长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盛世源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陶欣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绿河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君创富民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社润基金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社润投资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融惠1号品正理翔1期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银信宝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银信宝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创赢5号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宝银创赢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兴业银行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合德丰泰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智德持续增长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朴石3期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天弓3号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投资精英之展博A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金狮142号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上善若水4期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上善若水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黄金优选15期1号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友恒</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星石B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柘弓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麦星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融惠优选1期3号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同亿富利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福建金牛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东方红-量化2号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民森H号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民森尊享B期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汉和资本1期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汉和资本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罗晓春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联合2号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沃胜1期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圆融新蓝筹1号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圆融方德投资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冉兰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云程泰3期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明曜启明1期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毅扬2期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外贸信托光大资产权益类B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陈杰明,张林涛,文江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穗富1号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穗富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世富壹玖创新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世富成长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平安罗素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万丰稳健成长3期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天弓2号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鹏诚二期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鹏诚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郗宁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金海1号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中金星石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艾家文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华润金中和1期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东方红-量化3号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大包巷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光大同赢五号二期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金瀛2期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鼎泰岩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行知转折1期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行知创业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邹剑龙</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上海中域投资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精选二期A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道睿择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禾木1号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禾木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尊岳进取2号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万永2期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刘振涛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君泽利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彩瑞5期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美红一号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富灵</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鼎诺目标分红1期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毅扬1期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明曜启明2期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量华1号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量华资本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千华策略1期B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千华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岳爱民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神农五福</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乾阳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西域创新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汇利优选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鼎诺秋实2期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昕誉投资基金</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昕誉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张凌宇,周挺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得利宝至尊26号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龙赢成长1号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万丰友方避险增值二期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宋奇,鲍晓冰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金狮89号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金贝壳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广金昂立证券投资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邹雨露</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宝晟1期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鑫增长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红山</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泽里和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海川1号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海川泽福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王海川</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环球财富02号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太极1号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毛仁杰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增强62号-第01期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龙平01号-第07期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FF25A4">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bl>
    <w:p w:rsidR="00454179" w:rsidRPr="00B94388" w:rsidRDefault="00F8405A" w:rsidP="000A4CA1">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C1185B">
        <w:rPr>
          <w:sz w:val="18"/>
          <w:szCs w:val="18"/>
        </w:rPr>
        <w:t>2015-</w:t>
      </w:r>
      <w:r w:rsidR="00560399">
        <w:rPr>
          <w:rFonts w:hint="eastAsia"/>
          <w:sz w:val="18"/>
          <w:szCs w:val="18"/>
        </w:rPr>
        <w:t>9</w:t>
      </w:r>
      <w:r w:rsidR="00586C0C">
        <w:rPr>
          <w:rFonts w:hint="eastAsia"/>
          <w:sz w:val="18"/>
          <w:szCs w:val="18"/>
        </w:rPr>
        <w:t>-1</w:t>
      </w:r>
      <w:r w:rsidR="004F6BB0">
        <w:rPr>
          <w:rFonts w:hint="eastAsia"/>
          <w:sz w:val="18"/>
          <w:szCs w:val="18"/>
        </w:rPr>
        <w:t>5</w:t>
      </w:r>
      <w:r w:rsidRPr="00B94388">
        <w:rPr>
          <w:rFonts w:hint="eastAsia"/>
          <w:sz w:val="18"/>
          <w:szCs w:val="18"/>
        </w:rPr>
        <w:t>，风险调整后收益为月度指标。</w:t>
      </w:r>
    </w:p>
    <w:p w:rsidR="001E0180" w:rsidRPr="00B94388" w:rsidRDefault="00B75376" w:rsidP="001E0180">
      <w:pPr>
        <w:spacing w:beforeLines="50" w:before="156" w:afterLines="50" w:after="156" w:line="360" w:lineRule="auto"/>
        <w:rPr>
          <w:b/>
          <w:color w:val="D80012"/>
          <w:sz w:val="24"/>
        </w:rPr>
      </w:pPr>
      <w:r w:rsidRPr="00B94388">
        <w:rPr>
          <w:rFonts w:hAnsi="宋体" w:hint="eastAsia"/>
          <w:b/>
          <w:color w:val="D80012"/>
          <w:sz w:val="24"/>
        </w:rPr>
        <w:lastRenderedPageBreak/>
        <w:t>三</w:t>
      </w:r>
      <w:r w:rsidR="001E0180" w:rsidRPr="00B94388">
        <w:rPr>
          <w:rFonts w:hAnsi="宋体"/>
          <w:b/>
          <w:color w:val="D80012"/>
          <w:sz w:val="24"/>
        </w:rPr>
        <w:t>、</w:t>
      </w:r>
      <w:r w:rsidR="001E0180" w:rsidRPr="00B94388">
        <w:rPr>
          <w:rFonts w:hAnsi="宋体" w:hint="eastAsia"/>
          <w:b/>
          <w:color w:val="D80012"/>
          <w:sz w:val="24"/>
        </w:rPr>
        <w:t>好买</w:t>
      </w:r>
      <w:r w:rsidR="00560399">
        <w:rPr>
          <w:rFonts w:hAnsi="宋体" w:hint="eastAsia"/>
          <w:b/>
          <w:color w:val="D80012"/>
          <w:sz w:val="24"/>
        </w:rPr>
        <w:t>8</w:t>
      </w:r>
      <w:r w:rsidR="006D5EFB" w:rsidRPr="00B94388">
        <w:rPr>
          <w:rFonts w:hAnsi="宋体" w:hint="eastAsia"/>
          <w:b/>
          <w:color w:val="D80012"/>
          <w:sz w:val="24"/>
        </w:rPr>
        <w:t>月</w:t>
      </w:r>
      <w:r w:rsidR="001E0180" w:rsidRPr="00B94388">
        <w:rPr>
          <w:rFonts w:hAnsi="宋体" w:hint="eastAsia"/>
          <w:b/>
          <w:color w:val="D80012"/>
          <w:sz w:val="24"/>
        </w:rPr>
        <w:t>份私募基金三年期评级结果</w:t>
      </w:r>
    </w:p>
    <w:p w:rsidR="0011379E" w:rsidRDefault="001E0180" w:rsidP="001E0180">
      <w:pPr>
        <w:spacing w:beforeLines="50" w:before="156" w:afterLines="50" w:after="156" w:line="360" w:lineRule="auto"/>
        <w:ind w:rightChars="-13" w:right="-27" w:firstLineChars="200" w:firstLine="420"/>
        <w:rPr>
          <w:rFonts w:hAnsi="宋体"/>
          <w:szCs w:val="21"/>
        </w:rPr>
      </w:pPr>
      <w:r w:rsidRPr="00B94388">
        <w:rPr>
          <w:rFonts w:hAnsi="宋体" w:hint="eastAsia"/>
          <w:szCs w:val="21"/>
        </w:rPr>
        <w:t>本期报告中，好买对</w:t>
      </w:r>
      <w:r w:rsidR="00B7037A">
        <w:rPr>
          <w:rFonts w:hAnsi="宋体"/>
          <w:szCs w:val="21"/>
        </w:rPr>
        <w:t>7</w:t>
      </w:r>
      <w:r w:rsidR="00560399">
        <w:rPr>
          <w:rFonts w:hAnsi="宋体" w:hint="eastAsia"/>
          <w:szCs w:val="21"/>
        </w:rPr>
        <w:t>66</w:t>
      </w:r>
      <w:r w:rsidR="00454C17" w:rsidRPr="00B94388">
        <w:rPr>
          <w:rFonts w:hAnsi="宋体" w:hint="eastAsia"/>
          <w:szCs w:val="21"/>
        </w:rPr>
        <w:t>支</w:t>
      </w:r>
      <w:r w:rsidR="00953675" w:rsidRPr="00B94388">
        <w:rPr>
          <w:rFonts w:hAnsi="宋体" w:hint="eastAsia"/>
          <w:szCs w:val="21"/>
        </w:rPr>
        <w:t>运行满三</w:t>
      </w:r>
      <w:r w:rsidRPr="00B94388">
        <w:rPr>
          <w:rFonts w:hAnsi="宋体" w:hint="eastAsia"/>
          <w:szCs w:val="21"/>
        </w:rPr>
        <w:t>年且符合数据统计条件的私募基金进行了评级，参与三年期评级的产品占到统计总数的</w:t>
      </w:r>
      <w:r w:rsidR="00B7037A">
        <w:rPr>
          <w:rFonts w:hAnsi="宋体"/>
          <w:szCs w:val="21"/>
        </w:rPr>
        <w:t>1</w:t>
      </w:r>
      <w:r w:rsidR="00560399">
        <w:rPr>
          <w:rFonts w:hAnsi="宋体" w:hint="eastAsia"/>
          <w:szCs w:val="21"/>
        </w:rPr>
        <w:t>7.67</w:t>
      </w:r>
      <w:r w:rsidR="00ED098C" w:rsidRPr="00B94388">
        <w:rPr>
          <w:rFonts w:hAnsi="宋体"/>
          <w:szCs w:val="21"/>
        </w:rPr>
        <w:t>%</w:t>
      </w:r>
      <w:r w:rsidRPr="00B94388">
        <w:rPr>
          <w:rFonts w:hAnsi="宋体" w:hint="eastAsia"/>
          <w:szCs w:val="21"/>
        </w:rPr>
        <w:t>，评级相关指标如下：</w:t>
      </w:r>
    </w:p>
    <w:tbl>
      <w:tblPr>
        <w:tblW w:w="10207" w:type="dxa"/>
        <w:tblInd w:w="-34" w:type="dxa"/>
        <w:tblLook w:val="04A0" w:firstRow="1" w:lastRow="0" w:firstColumn="1" w:lastColumn="0" w:noHBand="0" w:noVBand="1"/>
      </w:tblPr>
      <w:tblGrid>
        <w:gridCol w:w="2127"/>
        <w:gridCol w:w="1134"/>
        <w:gridCol w:w="1417"/>
        <w:gridCol w:w="851"/>
        <w:gridCol w:w="850"/>
        <w:gridCol w:w="818"/>
        <w:gridCol w:w="883"/>
        <w:gridCol w:w="993"/>
        <w:gridCol w:w="1134"/>
      </w:tblGrid>
      <w:tr w:rsidR="00560399" w:rsidRPr="00560399" w:rsidTr="00560399">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近三年收益率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好买评级</w:t>
            </w:r>
          </w:p>
        </w:tc>
      </w:tr>
      <w:tr w:rsidR="00560399" w:rsidRPr="00560399" w:rsidTr="00560399">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绝对</w:t>
            </w:r>
            <w:r w:rsidRPr="0056039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相对</w:t>
            </w:r>
            <w:r w:rsidRPr="00560399">
              <w:rPr>
                <w:rFonts w:ascii="宋体" w:hAnsi="宋体" w:cs="宋体" w:hint="eastAsia"/>
                <w:color w:val="000000"/>
                <w:kern w:val="0"/>
                <w:sz w:val="18"/>
                <w:szCs w:val="18"/>
              </w:rPr>
              <w:br/>
              <w:t>（%）</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下行标准差</w:t>
            </w:r>
            <w:r w:rsidRPr="00560399">
              <w:rPr>
                <w:rFonts w:ascii="宋体" w:hAnsi="宋体" w:cs="宋体" w:hint="eastAsia"/>
                <w:color w:val="000000"/>
                <w:kern w:val="0"/>
                <w:sz w:val="18"/>
                <w:szCs w:val="18"/>
              </w:rPr>
              <w:br/>
              <w:t>（%）</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最大月跌幅</w:t>
            </w:r>
            <w:r w:rsidRPr="00560399">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风险调整后收益</w:t>
            </w:r>
            <w:r w:rsidRPr="00560399">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星级评价</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2007.43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1961.97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596.09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550.63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396.42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清水源1号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清水源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天马一期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诚盛1期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诚盛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名禹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鑫兰瑞</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融新292号西域光华59</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君富至尊9号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浙江思考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泰达鼎晟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易鑫安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智诚3期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唐征宇,贾健</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上海大朴资产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中睿吉祥管家一期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御峰一号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中铁中睿合银二期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鑫兰瑞二期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励石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美联融通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长安信托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杨怀亭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多和美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张益凡</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新思哲</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上海中域投资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新价值3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高信百诺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新同方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琪润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丰煜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展博精选C号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展博精选A号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梁跃军,王欢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朱雀至尊11号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郝毅,王涛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六禾财富越秀</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蔡生俭,褚卫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富锦6号金中和</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曾军,何滨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瑞象Alpha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梁跃军,何之渊,李华轮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亿龙中国亿龙长江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上海涌金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刘红海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钧锋</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中国龙进取</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积吉胜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平石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超盛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谦石1号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飞天1号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太和先机资管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聚富二号(伞形)分组11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杨振邦</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磐信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沃胜1期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谦石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罗委,王涛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王征,夏宁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新价值20期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冠俊5号(成长策略2期)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光华上智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华润信托康成亨1期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朱培风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深圳富安达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光大金控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金泉量化成长1期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哲灵</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徐泽林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升阳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金融战士1号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盈峰成长6期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星石21期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信璞深蓝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信璞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深圳徐星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万利富达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智信创富1期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兆信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玖阳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银信宝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银信宝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西域创新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金狮141号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盈信瑞峰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张峰,林劲峰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鸿道3期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成长策略1期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冠俊2号(成长策略1期)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冠俊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尚雅至尊8号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智信创富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润晖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合正普惠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宝银创赢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华展金丰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同瑞汇金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中金财富研究部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华润金中和1期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金狮142号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金瀛2期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凯石3期B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麦星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德丰华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联合2号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长余1号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长余资本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广发资产管理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合德丰泰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深圳长青藤</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普邦恒升</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龙票资管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瀚信稳健2期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平安同威1期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财富(绿宝石)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格林施通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北京鼎萨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禾木1号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禾木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世富壹玖创新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世富成长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绿河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君创富民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得利宝至尊26号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陈杰明,张林涛,文江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道睿择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福建金牛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毅扬2期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智德持续增长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投资精英之展博A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平安罗素</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瀚信价值2期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格雷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同威增值3期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宋奇,鲍晓冰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友恒</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彩瑞5期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金福1号钱江1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泰瓴</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吾股丰登1号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红林投资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鹏诚二期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鹏诚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郗宁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鼎泰岩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大包巷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毅扬1期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毅扬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美红一号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富灵</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精选二期A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柘弓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万丰稳健成长3期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宝晟1期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金狮143号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执耳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金狮89号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中信证券贵宾8号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朴道一期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朴道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胡卿瑞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万丰友方避险增值二期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汇鑫诚通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长金9号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君泽利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千华策略1期B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千华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岳爱民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红山</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东兴金选1号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金贝壳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昊润1期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昊润</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龙赢成长1号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长金2号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乾阳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泽里和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金狮95号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鑫增长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昭时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bl>
    <w:p w:rsidR="00C1185B" w:rsidRPr="00B94388" w:rsidRDefault="001E0180" w:rsidP="001E0180">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B7037A">
        <w:rPr>
          <w:sz w:val="18"/>
          <w:szCs w:val="18"/>
        </w:rPr>
        <w:t>2015-</w:t>
      </w:r>
      <w:r w:rsidR="00560399">
        <w:rPr>
          <w:rFonts w:hint="eastAsia"/>
          <w:sz w:val="18"/>
          <w:szCs w:val="18"/>
        </w:rPr>
        <w:t>9</w:t>
      </w:r>
      <w:r w:rsidR="00C1185B">
        <w:rPr>
          <w:sz w:val="18"/>
          <w:szCs w:val="18"/>
        </w:rPr>
        <w:t>-1</w:t>
      </w:r>
      <w:r w:rsidR="004F6BB0">
        <w:rPr>
          <w:rFonts w:hint="eastAsia"/>
          <w:sz w:val="18"/>
          <w:szCs w:val="18"/>
        </w:rPr>
        <w:t>5</w:t>
      </w:r>
      <w:r w:rsidRPr="00B94388">
        <w:rPr>
          <w:rFonts w:hint="eastAsia"/>
          <w:sz w:val="18"/>
          <w:szCs w:val="18"/>
        </w:rPr>
        <w:t>，风险调整后收益为月度指标。</w:t>
      </w:r>
    </w:p>
    <w:p w:rsidR="001E0180" w:rsidRPr="00B94388" w:rsidRDefault="00B75376" w:rsidP="001E0180">
      <w:pPr>
        <w:spacing w:beforeLines="50" w:before="156" w:afterLines="50" w:after="156" w:line="360" w:lineRule="auto"/>
        <w:rPr>
          <w:b/>
          <w:color w:val="D80012"/>
          <w:sz w:val="24"/>
        </w:rPr>
      </w:pPr>
      <w:r w:rsidRPr="00B94388">
        <w:rPr>
          <w:rFonts w:hAnsi="宋体" w:hint="eastAsia"/>
          <w:b/>
          <w:color w:val="D80012"/>
          <w:sz w:val="24"/>
        </w:rPr>
        <w:t>四</w:t>
      </w:r>
      <w:r w:rsidR="001E0180" w:rsidRPr="00B94388">
        <w:rPr>
          <w:rFonts w:hAnsi="宋体"/>
          <w:b/>
          <w:color w:val="D80012"/>
          <w:sz w:val="24"/>
        </w:rPr>
        <w:t>、</w:t>
      </w:r>
      <w:r w:rsidR="001E0180" w:rsidRPr="00B94388">
        <w:rPr>
          <w:rFonts w:hAnsi="宋体" w:hint="eastAsia"/>
          <w:b/>
          <w:color w:val="D80012"/>
          <w:sz w:val="24"/>
        </w:rPr>
        <w:t>好买</w:t>
      </w:r>
      <w:r w:rsidR="00560399">
        <w:rPr>
          <w:rFonts w:hAnsi="宋体" w:hint="eastAsia"/>
          <w:b/>
          <w:color w:val="D80012"/>
          <w:sz w:val="24"/>
        </w:rPr>
        <w:t>8</w:t>
      </w:r>
      <w:r w:rsidR="006D5EFB" w:rsidRPr="00B94388">
        <w:rPr>
          <w:rFonts w:hAnsi="宋体" w:hint="eastAsia"/>
          <w:b/>
          <w:color w:val="D80012"/>
          <w:sz w:val="24"/>
        </w:rPr>
        <w:t>月</w:t>
      </w:r>
      <w:r w:rsidR="001E0180" w:rsidRPr="00B94388">
        <w:rPr>
          <w:rFonts w:hAnsi="宋体" w:hint="eastAsia"/>
          <w:b/>
          <w:color w:val="D80012"/>
          <w:sz w:val="24"/>
        </w:rPr>
        <w:t>份私募基金五年期评级结果</w:t>
      </w:r>
    </w:p>
    <w:p w:rsidR="00375C76" w:rsidRDefault="001E0180" w:rsidP="001E0180">
      <w:pPr>
        <w:spacing w:beforeLines="50" w:before="156" w:afterLines="50" w:after="156" w:line="360" w:lineRule="auto"/>
        <w:ind w:rightChars="-13" w:right="-27" w:firstLineChars="200" w:firstLine="420"/>
        <w:rPr>
          <w:rFonts w:hAnsi="宋体"/>
          <w:szCs w:val="21"/>
        </w:rPr>
      </w:pPr>
      <w:r w:rsidRPr="00B94388">
        <w:rPr>
          <w:rFonts w:hAnsi="宋体" w:hint="eastAsia"/>
          <w:szCs w:val="21"/>
        </w:rPr>
        <w:t>本期报告中，好买对</w:t>
      </w:r>
      <w:r w:rsidR="00463132">
        <w:rPr>
          <w:rFonts w:hAnsi="宋体" w:hint="eastAsia"/>
          <w:szCs w:val="21"/>
        </w:rPr>
        <w:t>3</w:t>
      </w:r>
      <w:r w:rsidR="00560399">
        <w:rPr>
          <w:rFonts w:hAnsi="宋体" w:hint="eastAsia"/>
          <w:szCs w:val="21"/>
        </w:rPr>
        <w:t>85</w:t>
      </w:r>
      <w:r w:rsidR="00454C17" w:rsidRPr="00B94388">
        <w:rPr>
          <w:rFonts w:hAnsi="宋体" w:hint="eastAsia"/>
          <w:szCs w:val="21"/>
        </w:rPr>
        <w:t>支</w:t>
      </w:r>
      <w:r w:rsidR="00953675" w:rsidRPr="00B94388">
        <w:rPr>
          <w:rFonts w:hAnsi="宋体" w:hint="eastAsia"/>
          <w:szCs w:val="21"/>
        </w:rPr>
        <w:t>运行满五</w:t>
      </w:r>
      <w:r w:rsidRPr="00B94388">
        <w:rPr>
          <w:rFonts w:hAnsi="宋体" w:hint="eastAsia"/>
          <w:szCs w:val="21"/>
        </w:rPr>
        <w:t>年且符合数据统计条件的私募基金进行了评级，参与五年期评级的产品占到统计总数的</w:t>
      </w:r>
      <w:r w:rsidR="00560399">
        <w:rPr>
          <w:rFonts w:hAnsi="宋体" w:hint="eastAsia"/>
          <w:szCs w:val="21"/>
        </w:rPr>
        <w:t>8.88</w:t>
      </w:r>
      <w:r w:rsidR="008A7566" w:rsidRPr="00B94388">
        <w:rPr>
          <w:rFonts w:hAnsi="宋体"/>
          <w:szCs w:val="21"/>
        </w:rPr>
        <w:t>%</w:t>
      </w:r>
      <w:r w:rsidRPr="00B94388">
        <w:rPr>
          <w:rFonts w:hAnsi="宋体" w:hint="eastAsia"/>
          <w:szCs w:val="21"/>
        </w:rPr>
        <w:t>，评级相关指标如下：</w:t>
      </w:r>
      <w:r w:rsidR="009E425E">
        <w:rPr>
          <w:rFonts w:hAnsi="宋体" w:hint="eastAsia"/>
          <w:szCs w:val="21"/>
        </w:rPr>
        <w:tab/>
      </w:r>
    </w:p>
    <w:tbl>
      <w:tblPr>
        <w:tblW w:w="10207" w:type="dxa"/>
        <w:tblInd w:w="-34" w:type="dxa"/>
        <w:tblLook w:val="04A0" w:firstRow="1" w:lastRow="0" w:firstColumn="1" w:lastColumn="0" w:noHBand="0" w:noVBand="1"/>
      </w:tblPr>
      <w:tblGrid>
        <w:gridCol w:w="2127"/>
        <w:gridCol w:w="1134"/>
        <w:gridCol w:w="1417"/>
        <w:gridCol w:w="851"/>
        <w:gridCol w:w="850"/>
        <w:gridCol w:w="818"/>
        <w:gridCol w:w="883"/>
        <w:gridCol w:w="993"/>
        <w:gridCol w:w="1134"/>
      </w:tblGrid>
      <w:tr w:rsidR="00560399" w:rsidRPr="00560399" w:rsidTr="00560399">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sidRPr="00560399">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近五年收益率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好买评级</w:t>
            </w:r>
          </w:p>
        </w:tc>
      </w:tr>
      <w:tr w:rsidR="00560399" w:rsidRPr="00560399" w:rsidTr="00560399">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60399" w:rsidRPr="00560399" w:rsidRDefault="00560399" w:rsidP="00560399">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绝对</w:t>
            </w:r>
            <w:r w:rsidRPr="0056039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相对</w:t>
            </w:r>
            <w:r w:rsidRPr="00560399">
              <w:rPr>
                <w:rFonts w:ascii="宋体" w:hAnsi="宋体" w:cs="宋体" w:hint="eastAsia"/>
                <w:color w:val="000000"/>
                <w:kern w:val="0"/>
                <w:sz w:val="18"/>
                <w:szCs w:val="18"/>
              </w:rPr>
              <w:br/>
              <w:t>（%）</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下行标准差</w:t>
            </w:r>
            <w:r w:rsidRPr="00560399">
              <w:rPr>
                <w:rFonts w:ascii="宋体" w:hAnsi="宋体" w:cs="宋体" w:hint="eastAsia"/>
                <w:color w:val="000000"/>
                <w:kern w:val="0"/>
                <w:sz w:val="18"/>
                <w:szCs w:val="18"/>
              </w:rPr>
              <w:br/>
              <w:t>（%）</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最大月跌幅</w:t>
            </w:r>
            <w:r w:rsidRPr="00560399">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风险调整后收益</w:t>
            </w:r>
            <w:r w:rsidRPr="00560399">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星级评价</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2657.62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2604.96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656.83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34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551.38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498.72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泽熙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恒复</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388.09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335.40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275.25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融新292号西域光华59</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西域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鑫兰瑞</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208.31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浙江思考</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鼎陶朱辉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161.01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157.03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新思哲</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精熙2期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精熙</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德源安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穿石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蔡生俭,褚卫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龙腾1期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美联融通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金源1号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长安信托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杨怀亭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85.38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普尔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中睿吉祥管家一期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鑫兰瑞二期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129.25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深圳富安达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神农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128.47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和聚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丰煜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励石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中铁中睿合银二期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中睿合银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122.40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119.81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49.61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证研</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瑞象Alpha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双赢5期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梁跃军,王欢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淡水泉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归富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117.02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明华信德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-29.97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瑞天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新同方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梁跃军,何之渊,李华轮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58.33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110.38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恒德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上海中域投资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106.95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54.26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106.91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73.19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云程泰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华润信托康成亨1期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康成亨</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朱培风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开宝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49.86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中欧瑞博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民森</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混沌道然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97.75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63.40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96.77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45.18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联合2号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众禄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43.35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金百镕</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源乐晟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94.45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久铭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中国龙精选2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智诚海威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景泰利丰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上善御富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六禾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菁英时代</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银信宝</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银信宝</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安妮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天马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87.30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富锦6号金中和</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曾军,何滨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鸿道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理想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宝银创赢</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84.43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彤源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83.10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81.76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亿龙中国亿龙长江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上海涌金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刘红海</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81.06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博颐精选2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京福</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26.23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78.52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78.41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积吉胜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78.01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77.96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通用技术集团投资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宋奇,鲍晓冰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23.37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75.04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平石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74.64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74.07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73.21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20.56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72.34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万利富达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71.36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71.00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尚雅至尊8号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东方港湾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69.86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青岛赢隆资产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69.14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17.32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68.93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68.71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-29.87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飞天1号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68.57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67.56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明曜精选1期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67.24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67.15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67.11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17.29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66.09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65.30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64.87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64.60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智德持续增长</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合德丰泰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63.73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11.93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63.39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福建金牛</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9.54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62.17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9.48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16.81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明曜</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14.97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60.08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重阳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59.65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59.16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5.97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远策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58.18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双赢(7期)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57.38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56.66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凯石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56.54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20.48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智博方略</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55.33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钧锋</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尚雅11期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明达2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明达</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54.48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10.17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53.70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53.35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52.90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朱雀</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8.17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德丰华</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12.46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世通1期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世通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-35.57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52.22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-20.73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尚雅7期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20.60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-26.17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泰石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51.82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涌峰</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13.77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-15.20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新价值</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51.26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兆信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50.85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-9.68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聚益</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49.55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13.45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汇利</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48.72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润晖</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7.96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-9.30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锐集</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麦星</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15.50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46.63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-6.06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华润金中和1期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金中和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45.97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智德</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44.23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44.11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43.68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-9.00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10.24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43.42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-9.27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绿河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42.69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-10.77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尚雅</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-11.12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40.94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13.66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-12.66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彩瑞</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37.51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36.19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瀚信稳健1期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-15.71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17.12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-27.95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31.79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-20.90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同威增值3期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31.12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-21.53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-13.06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8.42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-23.80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龙票资管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-47.50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22.05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lastRenderedPageBreak/>
              <w:t>柘弓1期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柘弓</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26.61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-26.07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瀚信</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26.30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-25.29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19.23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奕金安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-26.94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万丰稳健成长3期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-28.59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12.13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-17.91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22.57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-30.09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16.70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-30.14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18.74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21.74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-30.95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21.44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-41.98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18.15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-32.82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22.10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-33.62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19.31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鼎诺</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18.51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-34.15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16.99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-35.70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4.76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-36.85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15.83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-58.87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14.36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同威</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15.13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-48.28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-14.15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11.89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-62.82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君丰资本</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-63.36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-35.83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红山</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11.29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-52.13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25.84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京富融源</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10.49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-41.10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17.63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8.21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-44.47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6.10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-57.31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12.86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汇鑫诚通</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0.98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-51.68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22.52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-2.08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万丰友方避险增值二期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万丰友方</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0.32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-52.36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12.39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-16.44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龙赢成长1号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龙赢富泽</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0.04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-52.64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16.26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-30.39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长金</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-2.53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-38.32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19.87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金贝壳</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-5.50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-39.22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22.58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-29.00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-13.20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-64.79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27.00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-18.80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-70.39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26.58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鑫增长</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-24.09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-76.74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28.49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塔晶</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-30.35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-100.55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28.64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r w:rsidR="00560399" w:rsidRPr="00560399" w:rsidTr="0056039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560399" w:rsidRPr="00560399" w:rsidRDefault="00560399" w:rsidP="00560399">
            <w:pPr>
              <w:widowControl/>
              <w:jc w:val="left"/>
              <w:rPr>
                <w:rFonts w:ascii="宋体" w:hAnsi="宋体" w:cs="宋体"/>
                <w:color w:val="000000"/>
                <w:kern w:val="0"/>
                <w:sz w:val="18"/>
                <w:szCs w:val="18"/>
              </w:rPr>
            </w:pPr>
            <w:r w:rsidRPr="00560399">
              <w:rPr>
                <w:rFonts w:ascii="宋体" w:hAnsi="宋体" w:cs="宋体" w:hint="eastAsia"/>
                <w:color w:val="000000"/>
                <w:kern w:val="0"/>
                <w:sz w:val="18"/>
                <w:szCs w:val="18"/>
              </w:rPr>
              <w:t>慧安3号</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慧安</w:t>
            </w:r>
          </w:p>
        </w:tc>
        <w:tc>
          <w:tcPr>
            <w:tcW w:w="1417"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-86.05 </w:t>
            </w:r>
          </w:p>
        </w:tc>
        <w:tc>
          <w:tcPr>
            <w:tcW w:w="850"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-138.73 </w:t>
            </w:r>
          </w:p>
        </w:tc>
        <w:tc>
          <w:tcPr>
            <w:tcW w:w="818"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 xml:space="preserve">-5.21 </w:t>
            </w:r>
          </w:p>
        </w:tc>
        <w:tc>
          <w:tcPr>
            <w:tcW w:w="1134" w:type="dxa"/>
            <w:tcBorders>
              <w:top w:val="nil"/>
              <w:left w:val="nil"/>
              <w:bottom w:val="single" w:sz="4" w:space="0" w:color="auto"/>
              <w:right w:val="single" w:sz="4" w:space="0" w:color="auto"/>
            </w:tcBorders>
            <w:shd w:val="clear" w:color="auto" w:fill="auto"/>
            <w:vAlign w:val="center"/>
            <w:hideMark/>
          </w:tcPr>
          <w:p w:rsidR="00560399" w:rsidRPr="00560399" w:rsidRDefault="00560399" w:rsidP="00560399">
            <w:pPr>
              <w:widowControl/>
              <w:jc w:val="center"/>
              <w:rPr>
                <w:rFonts w:ascii="宋体" w:hAnsi="宋体" w:cs="宋体"/>
                <w:color w:val="000000"/>
                <w:kern w:val="0"/>
                <w:sz w:val="18"/>
                <w:szCs w:val="18"/>
              </w:rPr>
            </w:pPr>
            <w:r w:rsidRPr="00560399">
              <w:rPr>
                <w:rFonts w:ascii="宋体" w:hAnsi="宋体" w:cs="宋体" w:hint="eastAsia"/>
                <w:color w:val="000000"/>
                <w:kern w:val="0"/>
                <w:sz w:val="18"/>
                <w:szCs w:val="18"/>
              </w:rPr>
              <w:t>★</w:t>
            </w:r>
          </w:p>
        </w:tc>
      </w:tr>
    </w:tbl>
    <w:p w:rsidR="00DC7D54" w:rsidRPr="00B94388" w:rsidRDefault="001E0180" w:rsidP="001E0180">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B7037A">
        <w:rPr>
          <w:sz w:val="18"/>
          <w:szCs w:val="18"/>
        </w:rPr>
        <w:t>2015-</w:t>
      </w:r>
      <w:r w:rsidR="00560399">
        <w:rPr>
          <w:rFonts w:hint="eastAsia"/>
          <w:sz w:val="18"/>
          <w:szCs w:val="18"/>
        </w:rPr>
        <w:t>9</w:t>
      </w:r>
      <w:r w:rsidR="00C1185B">
        <w:rPr>
          <w:sz w:val="18"/>
          <w:szCs w:val="18"/>
        </w:rPr>
        <w:t>-1</w:t>
      </w:r>
      <w:r w:rsidR="004F6BB0">
        <w:rPr>
          <w:rFonts w:hint="eastAsia"/>
          <w:sz w:val="18"/>
          <w:szCs w:val="18"/>
        </w:rPr>
        <w:t>5</w:t>
      </w:r>
      <w:r w:rsidRPr="00B94388">
        <w:rPr>
          <w:rFonts w:hint="eastAsia"/>
          <w:sz w:val="18"/>
          <w:szCs w:val="18"/>
        </w:rPr>
        <w:t>，风险调整后收益为月度指标。</w:t>
      </w:r>
    </w:p>
    <w:p w:rsidR="00DC7D54" w:rsidRPr="00B94388" w:rsidRDefault="00DC7D54" w:rsidP="00DC7D54">
      <w:pPr>
        <w:spacing w:beforeLines="50" w:before="156" w:afterLines="50" w:after="156" w:line="360" w:lineRule="auto"/>
        <w:rPr>
          <w:b/>
          <w:color w:val="D80012"/>
          <w:sz w:val="24"/>
        </w:rPr>
      </w:pPr>
      <w:r w:rsidRPr="00B94388">
        <w:rPr>
          <w:rFonts w:hAnsi="宋体" w:hint="eastAsia"/>
          <w:b/>
          <w:color w:val="D80012"/>
          <w:sz w:val="24"/>
        </w:rPr>
        <w:t>附录：好买私募基金评级介绍</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（一）评级目的</w:t>
      </w:r>
    </w:p>
    <w:p w:rsidR="00DC7D54" w:rsidRPr="00B94388" w:rsidRDefault="00DC7D54" w:rsidP="001E0A39">
      <w:pPr>
        <w:spacing w:beforeLines="50" w:before="156" w:afterLines="50" w:after="156" w:line="360" w:lineRule="auto"/>
        <w:ind w:firstLineChars="200" w:firstLine="420"/>
        <w:rPr>
          <w:rFonts w:hAnsi="宋体"/>
          <w:szCs w:val="21"/>
        </w:rPr>
      </w:pPr>
      <w:r w:rsidRPr="00B94388">
        <w:rPr>
          <w:rFonts w:hAnsi="宋体"/>
          <w:szCs w:val="21"/>
        </w:rPr>
        <w:t>好买私募基金评级是以基金过往业绩为基础的定量评价，不包含定性考察及主观判断，旨在为私募投资人揭示各产品过去一段时间的风险收益特征。投资人选择私募基金时，可将该评级结果作为对基金进一步了解的起点，而不是选择依据，最终的投资决策还应结合对私募管理人的公司平台、投研团队、投资理念与风格、风控流程等</w:t>
      </w:r>
      <w:r w:rsidRPr="00B94388">
        <w:rPr>
          <w:rFonts w:hAnsi="宋体"/>
          <w:szCs w:val="21"/>
        </w:rPr>
        <w:lastRenderedPageBreak/>
        <w:t>方面的综合考量。</w:t>
      </w:r>
    </w:p>
    <w:p w:rsidR="00DC7D54" w:rsidRPr="00B94388" w:rsidRDefault="00DC7D54" w:rsidP="001E0A39">
      <w:pPr>
        <w:spacing w:beforeLines="50" w:before="156" w:afterLines="50" w:after="156" w:line="360" w:lineRule="auto"/>
        <w:ind w:firstLineChars="200" w:firstLine="420"/>
        <w:rPr>
          <w:rFonts w:hAnsi="宋体"/>
          <w:szCs w:val="21"/>
        </w:rPr>
      </w:pPr>
      <w:r w:rsidRPr="00B94388">
        <w:rPr>
          <w:rFonts w:hAnsi="宋体"/>
          <w:szCs w:val="21"/>
        </w:rPr>
        <w:t>据好买基金研究中心的不完全统计，截至</w:t>
      </w:r>
      <w:r w:rsidRPr="00B94388">
        <w:rPr>
          <w:rFonts w:hAnsi="宋体"/>
          <w:szCs w:val="21"/>
        </w:rPr>
        <w:t>201</w:t>
      </w:r>
      <w:r w:rsidR="00B7037A">
        <w:rPr>
          <w:rFonts w:hAnsi="宋体" w:hint="eastAsia"/>
          <w:szCs w:val="21"/>
        </w:rPr>
        <w:t>5</w:t>
      </w:r>
      <w:r w:rsidRPr="00B94388">
        <w:rPr>
          <w:rFonts w:hAnsi="宋体"/>
          <w:szCs w:val="21"/>
        </w:rPr>
        <w:t>年</w:t>
      </w:r>
      <w:r w:rsidR="00560399">
        <w:rPr>
          <w:rFonts w:hAnsi="宋体" w:hint="eastAsia"/>
          <w:szCs w:val="21"/>
        </w:rPr>
        <w:t>8</w:t>
      </w:r>
      <w:r w:rsidR="00DA0EDB" w:rsidRPr="00B94388">
        <w:rPr>
          <w:rFonts w:hAnsi="宋体" w:hint="eastAsia"/>
          <w:szCs w:val="21"/>
        </w:rPr>
        <w:t>月</w:t>
      </w:r>
      <w:r w:rsidR="00B7037A">
        <w:rPr>
          <w:rFonts w:hAnsi="宋体" w:hint="eastAsia"/>
          <w:szCs w:val="21"/>
        </w:rPr>
        <w:t>3</w:t>
      </w:r>
      <w:r w:rsidR="004F6BB0">
        <w:rPr>
          <w:rFonts w:hAnsi="宋体" w:hint="eastAsia"/>
          <w:szCs w:val="21"/>
        </w:rPr>
        <w:t>1</w:t>
      </w:r>
      <w:r w:rsidR="00DA0EDB" w:rsidRPr="00B94388">
        <w:rPr>
          <w:rFonts w:hAnsi="宋体" w:hint="eastAsia"/>
          <w:szCs w:val="21"/>
        </w:rPr>
        <w:t>日</w:t>
      </w:r>
      <w:r w:rsidRPr="00B94388">
        <w:rPr>
          <w:rFonts w:hAnsi="宋体"/>
          <w:szCs w:val="21"/>
        </w:rPr>
        <w:t>，</w:t>
      </w:r>
      <w:r w:rsidRPr="00B94388">
        <w:rPr>
          <w:rFonts w:hAnsi="宋体" w:hint="eastAsia"/>
          <w:szCs w:val="21"/>
        </w:rPr>
        <w:t>剔除当前未存续产品，</w:t>
      </w:r>
      <w:r w:rsidRPr="00B94388">
        <w:rPr>
          <w:rFonts w:hAnsi="宋体"/>
          <w:szCs w:val="21"/>
        </w:rPr>
        <w:t>国内通过信托平台发行的</w:t>
      </w:r>
      <w:r w:rsidRPr="00B94388">
        <w:rPr>
          <w:rFonts w:hAnsi="宋体" w:hint="eastAsia"/>
          <w:szCs w:val="21"/>
        </w:rPr>
        <w:t>且尚在存续的</w:t>
      </w:r>
      <w:r w:rsidRPr="00B94388">
        <w:rPr>
          <w:rFonts w:hAnsi="宋体"/>
          <w:szCs w:val="21"/>
        </w:rPr>
        <w:t>证券投资类阳光私募基金已达</w:t>
      </w:r>
      <w:r w:rsidR="00560399">
        <w:rPr>
          <w:rFonts w:hAnsi="宋体" w:hint="eastAsia"/>
          <w:szCs w:val="21"/>
        </w:rPr>
        <w:t>4335</w:t>
      </w:r>
      <w:r w:rsidRPr="00B94388">
        <w:rPr>
          <w:rFonts w:hAnsi="宋体" w:hint="eastAsia"/>
          <w:szCs w:val="21"/>
        </w:rPr>
        <w:t>支，</w:t>
      </w:r>
      <w:r w:rsidRPr="00B94388">
        <w:rPr>
          <w:rFonts w:hAnsi="宋体"/>
          <w:szCs w:val="21"/>
        </w:rPr>
        <w:t>07</w:t>
      </w:r>
      <w:r w:rsidRPr="00B94388">
        <w:rPr>
          <w:rFonts w:hAnsi="宋体"/>
          <w:szCs w:val="21"/>
        </w:rPr>
        <w:t>年之前成立的基金仅</w:t>
      </w:r>
      <w:r w:rsidR="00B7037A">
        <w:rPr>
          <w:rFonts w:hAnsi="宋体"/>
          <w:szCs w:val="21"/>
        </w:rPr>
        <w:t>1</w:t>
      </w:r>
      <w:r w:rsidR="00560399">
        <w:rPr>
          <w:rFonts w:hAnsi="宋体" w:hint="eastAsia"/>
          <w:szCs w:val="21"/>
        </w:rPr>
        <w:t>0</w:t>
      </w:r>
      <w:r w:rsidRPr="00B94388">
        <w:rPr>
          <w:rFonts w:hAnsi="宋体"/>
          <w:szCs w:val="21"/>
        </w:rPr>
        <w:t>支，</w:t>
      </w:r>
      <w:r w:rsidRPr="00B94388">
        <w:rPr>
          <w:rFonts w:hAnsi="宋体"/>
          <w:szCs w:val="21"/>
        </w:rPr>
        <w:t>07</w:t>
      </w:r>
      <w:r w:rsidRPr="00B94388">
        <w:rPr>
          <w:rFonts w:hAnsi="宋体"/>
          <w:szCs w:val="21"/>
        </w:rPr>
        <w:t>、</w:t>
      </w:r>
      <w:r w:rsidRPr="00B94388">
        <w:rPr>
          <w:rFonts w:hAnsi="宋体"/>
          <w:szCs w:val="21"/>
        </w:rPr>
        <w:t>08</w:t>
      </w:r>
      <w:r w:rsidRPr="00B94388">
        <w:rPr>
          <w:rFonts w:hAnsi="宋体"/>
          <w:szCs w:val="21"/>
        </w:rPr>
        <w:t>、</w:t>
      </w:r>
      <w:r w:rsidRPr="00B94388">
        <w:rPr>
          <w:rFonts w:hAnsi="宋体"/>
          <w:szCs w:val="21"/>
        </w:rPr>
        <w:t>09</w:t>
      </w:r>
      <w:r w:rsidRPr="00B94388">
        <w:rPr>
          <w:rFonts w:hAnsi="宋体" w:hint="eastAsia"/>
          <w:szCs w:val="21"/>
        </w:rPr>
        <w:t>、</w:t>
      </w:r>
      <w:r w:rsidRPr="00B94388">
        <w:rPr>
          <w:rFonts w:hAnsi="宋体" w:hint="eastAsia"/>
          <w:szCs w:val="21"/>
        </w:rPr>
        <w:t>10</w:t>
      </w:r>
      <w:r w:rsidRPr="00B94388">
        <w:rPr>
          <w:rFonts w:hAnsi="宋体" w:hint="eastAsia"/>
          <w:szCs w:val="21"/>
        </w:rPr>
        <w:t>、</w:t>
      </w:r>
      <w:r w:rsidRPr="00B94388">
        <w:rPr>
          <w:rFonts w:hAnsi="宋体" w:hint="eastAsia"/>
          <w:szCs w:val="21"/>
        </w:rPr>
        <w:t>11</w:t>
      </w:r>
      <w:r w:rsidRPr="00B94388">
        <w:rPr>
          <w:rFonts w:hAnsi="宋体" w:hint="eastAsia"/>
          <w:szCs w:val="21"/>
        </w:rPr>
        <w:t>、</w:t>
      </w:r>
      <w:r w:rsidRPr="00B94388">
        <w:rPr>
          <w:rFonts w:hAnsi="宋体" w:hint="eastAsia"/>
          <w:szCs w:val="21"/>
        </w:rPr>
        <w:t>12</w:t>
      </w:r>
      <w:r w:rsidRPr="00B94388">
        <w:rPr>
          <w:rFonts w:hAnsi="宋体" w:hint="eastAsia"/>
          <w:szCs w:val="21"/>
        </w:rPr>
        <w:t>、</w:t>
      </w:r>
      <w:r w:rsidRPr="00B94388">
        <w:rPr>
          <w:rFonts w:hAnsi="宋体" w:hint="eastAsia"/>
          <w:szCs w:val="21"/>
        </w:rPr>
        <w:t>13</w:t>
      </w:r>
      <w:r w:rsidR="00B7037A">
        <w:rPr>
          <w:rFonts w:hAnsi="宋体" w:hint="eastAsia"/>
          <w:szCs w:val="21"/>
        </w:rPr>
        <w:t>、</w:t>
      </w:r>
      <w:r w:rsidR="00B7037A">
        <w:rPr>
          <w:rFonts w:hAnsi="宋体" w:hint="eastAsia"/>
          <w:szCs w:val="21"/>
        </w:rPr>
        <w:t>14</w:t>
      </w:r>
      <w:r w:rsidRPr="00B94388">
        <w:rPr>
          <w:rFonts w:hAnsi="宋体"/>
          <w:szCs w:val="21"/>
        </w:rPr>
        <w:t>年</w:t>
      </w:r>
      <w:r w:rsidRPr="00B94388">
        <w:rPr>
          <w:rFonts w:hAnsi="宋体" w:hint="eastAsia"/>
          <w:szCs w:val="21"/>
        </w:rPr>
        <w:t>发行并存续的</w:t>
      </w:r>
      <w:r w:rsidRPr="00B94388">
        <w:rPr>
          <w:rFonts w:hAnsi="宋体"/>
          <w:szCs w:val="21"/>
        </w:rPr>
        <w:t>基金的数量分别为</w:t>
      </w:r>
      <w:r w:rsidR="00455AA8">
        <w:rPr>
          <w:rFonts w:hAnsi="宋体" w:hint="eastAsia"/>
          <w:szCs w:val="21"/>
        </w:rPr>
        <w:t>5</w:t>
      </w:r>
      <w:r w:rsidR="00560399">
        <w:rPr>
          <w:rFonts w:hAnsi="宋体" w:hint="eastAsia"/>
          <w:szCs w:val="21"/>
        </w:rPr>
        <w:t>1</w:t>
      </w:r>
      <w:r w:rsidRPr="00B94388">
        <w:rPr>
          <w:rFonts w:hAnsi="宋体" w:hint="eastAsia"/>
          <w:szCs w:val="21"/>
        </w:rPr>
        <w:t>、</w:t>
      </w:r>
      <w:r w:rsidR="00463132">
        <w:rPr>
          <w:rFonts w:hAnsi="宋体" w:hint="eastAsia"/>
          <w:szCs w:val="21"/>
        </w:rPr>
        <w:t>5</w:t>
      </w:r>
      <w:r w:rsidR="00560399">
        <w:rPr>
          <w:rFonts w:hAnsi="宋体" w:hint="eastAsia"/>
          <w:szCs w:val="21"/>
        </w:rPr>
        <w:t>5</w:t>
      </w:r>
      <w:r w:rsidRPr="00B94388">
        <w:rPr>
          <w:rFonts w:hAnsi="宋体" w:hint="eastAsia"/>
          <w:szCs w:val="21"/>
        </w:rPr>
        <w:t>、</w:t>
      </w:r>
      <w:r w:rsidR="00455AA8">
        <w:rPr>
          <w:rFonts w:hAnsi="宋体" w:hint="eastAsia"/>
          <w:szCs w:val="21"/>
        </w:rPr>
        <w:t>1</w:t>
      </w:r>
      <w:r w:rsidR="00560399">
        <w:rPr>
          <w:rFonts w:hAnsi="宋体" w:hint="eastAsia"/>
          <w:szCs w:val="21"/>
        </w:rPr>
        <w:t>39</w:t>
      </w:r>
      <w:r w:rsidRPr="00B94388">
        <w:rPr>
          <w:rFonts w:hAnsi="宋体" w:hint="eastAsia"/>
          <w:szCs w:val="21"/>
        </w:rPr>
        <w:t>、</w:t>
      </w:r>
      <w:r w:rsidR="00463132">
        <w:rPr>
          <w:rFonts w:hAnsi="宋体" w:hint="eastAsia"/>
          <w:szCs w:val="21"/>
        </w:rPr>
        <w:t>2</w:t>
      </w:r>
      <w:r w:rsidR="00560399">
        <w:rPr>
          <w:rFonts w:hAnsi="宋体" w:hint="eastAsia"/>
          <w:szCs w:val="21"/>
        </w:rPr>
        <w:t>59</w:t>
      </w:r>
      <w:r w:rsidRPr="00B94388">
        <w:rPr>
          <w:rFonts w:hAnsi="宋体" w:hint="eastAsia"/>
          <w:szCs w:val="21"/>
        </w:rPr>
        <w:t>、</w:t>
      </w:r>
      <w:r w:rsidR="00B7037A">
        <w:rPr>
          <w:rFonts w:hAnsi="宋体"/>
          <w:szCs w:val="21"/>
        </w:rPr>
        <w:t>2</w:t>
      </w:r>
      <w:r w:rsidR="00560399">
        <w:rPr>
          <w:rFonts w:hAnsi="宋体" w:hint="eastAsia"/>
          <w:szCs w:val="21"/>
        </w:rPr>
        <w:t>227</w:t>
      </w:r>
      <w:r w:rsidRPr="00B94388">
        <w:rPr>
          <w:rFonts w:hAnsi="宋体" w:hint="eastAsia"/>
          <w:szCs w:val="21"/>
        </w:rPr>
        <w:t>、</w:t>
      </w:r>
      <w:r w:rsidR="00463132">
        <w:rPr>
          <w:rFonts w:hAnsi="宋体" w:hint="eastAsia"/>
          <w:szCs w:val="21"/>
        </w:rPr>
        <w:t>1</w:t>
      </w:r>
      <w:r w:rsidR="00560399">
        <w:rPr>
          <w:rFonts w:hAnsi="宋体" w:hint="eastAsia"/>
          <w:szCs w:val="21"/>
        </w:rPr>
        <w:t>38</w:t>
      </w:r>
      <w:r w:rsidR="00B7037A">
        <w:rPr>
          <w:rFonts w:hAnsi="宋体" w:hint="eastAsia"/>
          <w:szCs w:val="21"/>
        </w:rPr>
        <w:t>、</w:t>
      </w:r>
      <w:r w:rsidR="00560399">
        <w:rPr>
          <w:rFonts w:hAnsi="宋体" w:hint="eastAsia"/>
          <w:szCs w:val="21"/>
        </w:rPr>
        <w:t>459</w:t>
      </w:r>
      <w:r w:rsidR="00B7037A">
        <w:rPr>
          <w:rFonts w:hAnsi="宋体"/>
          <w:szCs w:val="21"/>
        </w:rPr>
        <w:t>和</w:t>
      </w:r>
      <w:r w:rsidR="00560399">
        <w:rPr>
          <w:rFonts w:hAnsi="宋体" w:hint="eastAsia"/>
          <w:szCs w:val="21"/>
        </w:rPr>
        <w:t>1530</w:t>
      </w:r>
      <w:r w:rsidRPr="00B94388">
        <w:rPr>
          <w:rFonts w:hAnsi="宋体"/>
          <w:szCs w:val="21"/>
        </w:rPr>
        <w:t>支。</w:t>
      </w:r>
      <w:r w:rsidR="00B7037A">
        <w:rPr>
          <w:rFonts w:hAnsi="宋体" w:hint="eastAsia"/>
          <w:szCs w:val="21"/>
        </w:rPr>
        <w:t>2015</w:t>
      </w:r>
      <w:r w:rsidRPr="00B94388">
        <w:rPr>
          <w:rFonts w:hAnsi="宋体" w:hint="eastAsia"/>
          <w:szCs w:val="21"/>
        </w:rPr>
        <w:t>年截止至</w:t>
      </w:r>
      <w:r w:rsidR="00455AA8">
        <w:rPr>
          <w:rFonts w:hAnsi="宋体" w:hint="eastAsia"/>
          <w:szCs w:val="21"/>
        </w:rPr>
        <w:t>7</w:t>
      </w:r>
      <w:r w:rsidR="006D5EFB" w:rsidRPr="00B94388">
        <w:rPr>
          <w:rFonts w:hAnsi="宋体" w:hint="eastAsia"/>
          <w:szCs w:val="21"/>
        </w:rPr>
        <w:t>月</w:t>
      </w:r>
      <w:r w:rsidRPr="00B94388">
        <w:rPr>
          <w:rFonts w:hAnsi="宋体" w:hint="eastAsia"/>
          <w:szCs w:val="21"/>
        </w:rPr>
        <w:t>末，共新发</w:t>
      </w:r>
      <w:r w:rsidR="00560399">
        <w:rPr>
          <w:rFonts w:hAnsi="宋体" w:hint="eastAsia"/>
          <w:szCs w:val="21"/>
        </w:rPr>
        <w:t>1467</w:t>
      </w:r>
      <w:r w:rsidRPr="00B94388">
        <w:rPr>
          <w:rFonts w:hAnsi="宋体" w:hint="eastAsia"/>
          <w:szCs w:val="21"/>
        </w:rPr>
        <w:t>支产品。</w:t>
      </w:r>
    </w:p>
    <w:tbl>
      <w:tblPr>
        <w:tblW w:w="0" w:type="auto"/>
        <w:tblInd w:w="108" w:type="dxa"/>
        <w:shd w:val="clear" w:color="auto" w:fill="C0C0C0"/>
        <w:tblLook w:val="01E0" w:firstRow="1" w:lastRow="1" w:firstColumn="1" w:lastColumn="1" w:noHBand="0" w:noVBand="0"/>
      </w:tblPr>
      <w:tblGrid>
        <w:gridCol w:w="8246"/>
      </w:tblGrid>
      <w:tr w:rsidR="00DC7D54" w:rsidRPr="00B94388" w:rsidTr="009078FD">
        <w:trPr>
          <w:trHeight w:val="333"/>
        </w:trPr>
        <w:tc>
          <w:tcPr>
            <w:tcW w:w="8246" w:type="dxa"/>
            <w:shd w:val="clear" w:color="auto" w:fill="C0C0C0"/>
            <w:vAlign w:val="center"/>
          </w:tcPr>
          <w:p w:rsidR="00DC7D54" w:rsidRPr="00B94388" w:rsidRDefault="00DC7D54" w:rsidP="009078FD">
            <w:pPr>
              <w:rPr>
                <w:b/>
              </w:rPr>
            </w:pPr>
            <w:r w:rsidRPr="00B94388">
              <w:rPr>
                <w:b/>
              </w:rPr>
              <w:t>私募产品发行数量统计</w:t>
            </w:r>
          </w:p>
        </w:tc>
      </w:tr>
    </w:tbl>
    <w:p w:rsidR="00292A5F" w:rsidRDefault="00DC7D54" w:rsidP="00292A5F">
      <w:pPr>
        <w:spacing w:line="360" w:lineRule="auto"/>
      </w:pPr>
      <w:r w:rsidRPr="00B94388">
        <w:t xml:space="preserve"> </w:t>
      </w:r>
      <w:r w:rsidR="00560399">
        <w:rPr>
          <w:noProof/>
        </w:rPr>
        <w:drawing>
          <wp:inline distT="0" distB="0" distL="0" distR="0" wp14:anchorId="11B8B64E">
            <wp:extent cx="5236845" cy="2834640"/>
            <wp:effectExtent l="0" t="0" r="190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6845" cy="2834640"/>
                    </a:xfrm>
                    <a:prstGeom prst="rect">
                      <a:avLst/>
                    </a:prstGeom>
                    <a:noFill/>
                  </pic:spPr>
                </pic:pic>
              </a:graphicData>
            </a:graphic>
          </wp:inline>
        </w:drawing>
      </w:r>
    </w:p>
    <w:p w:rsidR="00DC7D54" w:rsidRPr="00292A5F" w:rsidRDefault="00DC7D54" w:rsidP="00292A5F">
      <w:pPr>
        <w:spacing w:line="360" w:lineRule="auto"/>
      </w:pPr>
      <w:r w:rsidRPr="00B94388">
        <w:rPr>
          <w:sz w:val="18"/>
          <w:szCs w:val="18"/>
        </w:rPr>
        <w:t>数据来源：好买基金研究中心</w:t>
      </w:r>
      <w:r w:rsidRPr="00B94388">
        <w:rPr>
          <w:rFonts w:hint="eastAsia"/>
          <w:sz w:val="18"/>
          <w:szCs w:val="18"/>
        </w:rPr>
        <w:t>，数据截止日：</w:t>
      </w:r>
      <w:r w:rsidR="00B7037A">
        <w:rPr>
          <w:rFonts w:hint="eastAsia"/>
          <w:sz w:val="18"/>
          <w:szCs w:val="18"/>
        </w:rPr>
        <w:t>2015-</w:t>
      </w:r>
      <w:r w:rsidR="00560399">
        <w:rPr>
          <w:rFonts w:hint="eastAsia"/>
          <w:sz w:val="18"/>
          <w:szCs w:val="18"/>
        </w:rPr>
        <w:t>9</w:t>
      </w:r>
      <w:r w:rsidR="00C1185B">
        <w:rPr>
          <w:rFonts w:hint="eastAsia"/>
          <w:sz w:val="18"/>
          <w:szCs w:val="18"/>
        </w:rPr>
        <w:t>-1</w:t>
      </w:r>
      <w:r w:rsidR="009E425E">
        <w:rPr>
          <w:rFonts w:hint="eastAsia"/>
          <w:sz w:val="18"/>
          <w:szCs w:val="18"/>
        </w:rPr>
        <w:t>5</w:t>
      </w:r>
    </w:p>
    <w:p w:rsidR="00DC7D54" w:rsidRPr="00B94388" w:rsidRDefault="00DC7D54" w:rsidP="00DC7D54">
      <w:pPr>
        <w:spacing w:line="360" w:lineRule="auto"/>
        <w:ind w:rightChars="22" w:right="46"/>
        <w:rPr>
          <w:sz w:val="18"/>
          <w:szCs w:val="18"/>
        </w:rPr>
      </w:pP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（二）评级对象</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好买私募基金评级的对象：运行满一年的管理型证券投资类阳光私募基金，并剔除统计区间内发生私募管理人更换、私募管理人接受监管部门调查或由于投资行为以外的因素导致基金净值剧烈波动（例如，私募管理人放弃自有信托份额补偿信托计划等）的产品。</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（三）理论基础</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期望效用理论是好买私募基金评级的理论基础，该理论认为对业绩的评价应建立在惩罚风险的基础上，即采用风险调整后收益评价投资绩效，反映在投资决策行为上则表现为</w:t>
      </w:r>
      <w:r w:rsidRPr="00B94388">
        <w:rPr>
          <w:rFonts w:hAnsi="宋体" w:hint="eastAsia"/>
          <w:szCs w:val="21"/>
        </w:rPr>
        <w:t>“</w:t>
      </w:r>
      <w:r w:rsidRPr="00B94388">
        <w:rPr>
          <w:rFonts w:hAnsi="宋体"/>
          <w:szCs w:val="21"/>
        </w:rPr>
        <w:t>比起无法预期的高收益，更倾向于可预见的低收益；愿意放弃一部分预期收益来换取确定性较强的收益</w:t>
      </w:r>
      <w:r w:rsidRPr="00B94388">
        <w:rPr>
          <w:rFonts w:hAnsi="宋体" w:hint="eastAsia"/>
          <w:szCs w:val="21"/>
        </w:rPr>
        <w:t>”</w:t>
      </w:r>
      <w:r w:rsidRPr="00B94388">
        <w:rPr>
          <w:rFonts w:hAnsi="宋体"/>
          <w:szCs w:val="21"/>
        </w:rPr>
        <w:t>。</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因此，好买私募基金评级根据期望效用理论，构造符合私募投资群体风险偏好特征的函数式，使投资人可以</w:t>
      </w:r>
      <w:r w:rsidRPr="00B94388">
        <w:rPr>
          <w:rFonts w:hAnsi="宋体"/>
          <w:szCs w:val="21"/>
        </w:rPr>
        <w:lastRenderedPageBreak/>
        <w:t>通过单一的评价指标来考察基金的运作绩效和投资风格。</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（四）评级思路</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1</w:t>
      </w:r>
      <w:r w:rsidRPr="00B94388">
        <w:rPr>
          <w:rFonts w:hAnsi="宋体" w:hint="eastAsia"/>
          <w:szCs w:val="21"/>
        </w:rPr>
        <w:t>．</w:t>
      </w:r>
      <w:r w:rsidRPr="00B94388">
        <w:rPr>
          <w:rFonts w:hAnsi="宋体"/>
          <w:szCs w:val="21"/>
        </w:rPr>
        <w:t>数据搜集：每月</w:t>
      </w:r>
      <w:r w:rsidRPr="00B94388">
        <w:rPr>
          <w:rFonts w:hAnsi="宋体"/>
          <w:szCs w:val="21"/>
        </w:rPr>
        <w:t>15</w:t>
      </w:r>
      <w:r w:rsidRPr="00B94388">
        <w:rPr>
          <w:rFonts w:hAnsi="宋体"/>
          <w:szCs w:val="21"/>
        </w:rPr>
        <w:t>号截止对上月数据的搜集工作，对周频率公布净值的私募选取离上月月底最近的净值公布日净值；对月频率公布的私募取最新净值公布日净值。数据来源于信托公司公布的私募净值及相关公告。</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2</w:t>
      </w:r>
      <w:r w:rsidRPr="00B94388">
        <w:rPr>
          <w:rFonts w:hAnsi="宋体" w:hint="eastAsia"/>
          <w:szCs w:val="21"/>
        </w:rPr>
        <w:t>．</w:t>
      </w:r>
      <w:r w:rsidRPr="00B94388">
        <w:rPr>
          <w:rFonts w:hAnsi="宋体"/>
          <w:szCs w:val="21"/>
        </w:rPr>
        <w:t>数据整理：将</w:t>
      </w:r>
      <w:r w:rsidRPr="00B94388">
        <w:rPr>
          <w:rFonts w:hAnsi="宋体" w:hint="eastAsia"/>
          <w:szCs w:val="21"/>
        </w:rPr>
        <w:t>净值在</w:t>
      </w:r>
      <w:r w:rsidRPr="00B94388">
        <w:rPr>
          <w:rFonts w:hAnsi="宋体"/>
          <w:szCs w:val="21"/>
        </w:rPr>
        <w:t>上月</w:t>
      </w:r>
      <w:r w:rsidRPr="00B94388">
        <w:rPr>
          <w:rFonts w:hAnsi="宋体"/>
          <w:szCs w:val="21"/>
        </w:rPr>
        <w:t>15</w:t>
      </w:r>
      <w:r w:rsidRPr="00B94388">
        <w:rPr>
          <w:rFonts w:hAnsi="宋体"/>
          <w:szCs w:val="21"/>
        </w:rPr>
        <w:t>号至当月</w:t>
      </w:r>
      <w:r w:rsidRPr="00B94388">
        <w:rPr>
          <w:rFonts w:hAnsi="宋体"/>
          <w:szCs w:val="21"/>
        </w:rPr>
        <w:t>1</w:t>
      </w:r>
      <w:r w:rsidRPr="00B94388">
        <w:rPr>
          <w:rFonts w:hAnsi="宋体" w:hint="eastAsia"/>
          <w:szCs w:val="21"/>
        </w:rPr>
        <w:t>4</w:t>
      </w:r>
      <w:r w:rsidRPr="00B94388">
        <w:rPr>
          <w:rFonts w:hAnsi="宋体"/>
          <w:szCs w:val="21"/>
        </w:rPr>
        <w:t>号之</w:t>
      </w:r>
      <w:r w:rsidRPr="00B94388">
        <w:rPr>
          <w:rFonts w:hAnsi="宋体" w:hint="eastAsia"/>
          <w:szCs w:val="21"/>
        </w:rPr>
        <w:t>间公布的作为</w:t>
      </w:r>
      <w:r w:rsidRPr="00B94388">
        <w:rPr>
          <w:rFonts w:hAnsi="宋体"/>
          <w:szCs w:val="21"/>
        </w:rPr>
        <w:t>上月数据，该区间内发生的基金分红、基金拆分均归属为上月。同时，剔除净值公布不规律或评级期间有净值缺失的产品。</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3</w:t>
      </w:r>
      <w:r w:rsidRPr="00B94388">
        <w:rPr>
          <w:rFonts w:hAnsi="宋体" w:hint="eastAsia"/>
          <w:szCs w:val="21"/>
        </w:rPr>
        <w:t>．</w:t>
      </w:r>
      <w:r w:rsidRPr="00B94388">
        <w:rPr>
          <w:rFonts w:hAnsi="宋体"/>
          <w:szCs w:val="21"/>
        </w:rPr>
        <w:t>指标计算：根据好买私募评级模型，由好买基金评级系统计算出评级区间内月度风险调整收益，并以此作为星级评价的依据。</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4</w:t>
      </w:r>
      <w:r w:rsidRPr="00B94388">
        <w:rPr>
          <w:rFonts w:hAnsi="宋体" w:hint="eastAsia"/>
          <w:szCs w:val="21"/>
        </w:rPr>
        <w:t>．</w:t>
      </w:r>
      <w:r w:rsidRPr="00B94388">
        <w:rPr>
          <w:rFonts w:hAnsi="宋体"/>
          <w:szCs w:val="21"/>
        </w:rPr>
        <w:t>等级划分：将参与评级的私募基金根据评价指标划分五个等级，以正态分布为星级划分原则：将风险调整后收益降序排列，前</w:t>
      </w:r>
      <w:r w:rsidRPr="00B94388">
        <w:rPr>
          <w:rFonts w:hAnsi="宋体"/>
          <w:szCs w:val="21"/>
        </w:rPr>
        <w:t>10%</w:t>
      </w:r>
      <w:r w:rsidRPr="00B94388">
        <w:rPr>
          <w:rFonts w:hAnsi="宋体"/>
          <w:szCs w:val="21"/>
        </w:rPr>
        <w:t>评价为</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，之后的</w:t>
      </w:r>
      <w:r w:rsidRPr="00B94388">
        <w:rPr>
          <w:rFonts w:hAnsi="宋体"/>
          <w:szCs w:val="21"/>
        </w:rPr>
        <w:t>22.5%</w:t>
      </w:r>
      <w:r w:rsidRPr="00B94388">
        <w:rPr>
          <w:rFonts w:hAnsi="宋体"/>
          <w:szCs w:val="21"/>
        </w:rPr>
        <w:t>、</w:t>
      </w:r>
      <w:r w:rsidRPr="00B94388">
        <w:rPr>
          <w:rFonts w:hAnsi="宋体"/>
          <w:szCs w:val="21"/>
        </w:rPr>
        <w:t>35%</w:t>
      </w:r>
      <w:r w:rsidRPr="00B94388">
        <w:rPr>
          <w:rFonts w:hAnsi="宋体"/>
          <w:szCs w:val="21"/>
        </w:rPr>
        <w:t>、</w:t>
      </w:r>
      <w:r w:rsidRPr="00B94388">
        <w:rPr>
          <w:rFonts w:hAnsi="宋体"/>
          <w:szCs w:val="21"/>
        </w:rPr>
        <w:t>22.5%</w:t>
      </w:r>
      <w:r w:rsidRPr="00B94388">
        <w:rPr>
          <w:rFonts w:hAnsi="宋体"/>
          <w:szCs w:val="21"/>
        </w:rPr>
        <w:t>、</w:t>
      </w:r>
      <w:r w:rsidRPr="00B94388">
        <w:rPr>
          <w:rFonts w:hAnsi="宋体"/>
          <w:szCs w:val="21"/>
        </w:rPr>
        <w:t>10%</w:t>
      </w:r>
      <w:r w:rsidRPr="00B94388">
        <w:rPr>
          <w:rFonts w:hAnsi="宋体"/>
          <w:szCs w:val="21"/>
        </w:rPr>
        <w:t>分别评价为</w:t>
      </w:r>
      <w:r w:rsidRPr="00B94388">
        <w:rPr>
          <w:rFonts w:hAnsi="宋体" w:hint="eastAsia"/>
          <w:szCs w:val="21"/>
        </w:rPr>
        <w:t>“</w:t>
      </w:r>
      <w:r w:rsidRPr="00B94388">
        <w:rPr>
          <w:rFonts w:hAnsi="宋体"/>
          <w:szCs w:val="21"/>
        </w:rPr>
        <w:t>4</w:t>
      </w:r>
      <w:r w:rsidRPr="00B94388">
        <w:rPr>
          <w:rFonts w:hAnsi="宋体"/>
          <w:szCs w:val="21"/>
        </w:rPr>
        <w:t>星</w:t>
      </w:r>
      <w:r w:rsidRPr="00B94388">
        <w:rPr>
          <w:rFonts w:hAnsi="宋体" w:hint="eastAsia"/>
          <w:szCs w:val="21"/>
        </w:rPr>
        <w:t>”</w:t>
      </w:r>
      <w:r w:rsidRPr="00B94388">
        <w:rPr>
          <w:rFonts w:hAnsi="宋体"/>
          <w:szCs w:val="21"/>
        </w:rPr>
        <w:t>、</w:t>
      </w:r>
      <w:r w:rsidRPr="00B94388">
        <w:rPr>
          <w:rFonts w:hAnsi="宋体" w:hint="eastAsia"/>
          <w:szCs w:val="21"/>
        </w:rPr>
        <w:t>“</w:t>
      </w:r>
      <w:r w:rsidRPr="00B94388">
        <w:rPr>
          <w:rFonts w:hAnsi="宋体"/>
          <w:szCs w:val="21"/>
        </w:rPr>
        <w:t>3</w:t>
      </w:r>
      <w:r w:rsidRPr="00B94388">
        <w:rPr>
          <w:rFonts w:hAnsi="宋体"/>
          <w:szCs w:val="21"/>
        </w:rPr>
        <w:t>星</w:t>
      </w:r>
      <w:r w:rsidRPr="00B94388">
        <w:rPr>
          <w:rFonts w:hAnsi="宋体" w:hint="eastAsia"/>
          <w:szCs w:val="21"/>
        </w:rPr>
        <w:t>”</w:t>
      </w:r>
      <w:r w:rsidRPr="00B94388">
        <w:rPr>
          <w:rFonts w:hAnsi="宋体"/>
          <w:szCs w:val="21"/>
        </w:rPr>
        <w:t>、</w:t>
      </w:r>
      <w:r w:rsidRPr="00B94388">
        <w:rPr>
          <w:rFonts w:hAnsi="宋体" w:hint="eastAsia"/>
          <w:szCs w:val="21"/>
        </w:rPr>
        <w:t>“</w:t>
      </w:r>
      <w:r w:rsidRPr="00B94388">
        <w:rPr>
          <w:rFonts w:hAnsi="宋体"/>
          <w:szCs w:val="21"/>
        </w:rPr>
        <w:t>2</w:t>
      </w:r>
      <w:r w:rsidRPr="00B94388">
        <w:rPr>
          <w:rFonts w:hAnsi="宋体"/>
          <w:szCs w:val="21"/>
        </w:rPr>
        <w:t>星</w:t>
      </w:r>
      <w:r w:rsidRPr="00B94388">
        <w:rPr>
          <w:rFonts w:hAnsi="宋体" w:hint="eastAsia"/>
          <w:szCs w:val="21"/>
        </w:rPr>
        <w:t>”</w:t>
      </w:r>
      <w:r w:rsidRPr="00B94388">
        <w:rPr>
          <w:rFonts w:hAnsi="宋体"/>
          <w:szCs w:val="21"/>
        </w:rPr>
        <w:t>和</w:t>
      </w:r>
      <w:r w:rsidRPr="00B94388">
        <w:rPr>
          <w:rFonts w:hAnsi="宋体" w:hint="eastAsia"/>
          <w:szCs w:val="21"/>
        </w:rPr>
        <w:t>“</w:t>
      </w:r>
      <w:r w:rsidRPr="00B94388">
        <w:rPr>
          <w:rFonts w:hAnsi="宋体"/>
          <w:szCs w:val="21"/>
        </w:rPr>
        <w:t>1</w:t>
      </w:r>
      <w:r w:rsidRPr="00B94388">
        <w:rPr>
          <w:rFonts w:hAnsi="宋体"/>
          <w:szCs w:val="21"/>
        </w:rPr>
        <w:t>星</w:t>
      </w:r>
      <w:r w:rsidRPr="00B94388">
        <w:rPr>
          <w:rFonts w:hAnsi="宋体" w:hint="eastAsia"/>
          <w:szCs w:val="21"/>
        </w:rPr>
        <w:t>”</w:t>
      </w:r>
      <w:r w:rsidRPr="00B94388">
        <w:rPr>
          <w:rFonts w:hAnsi="宋体"/>
          <w:szCs w:val="21"/>
        </w:rPr>
        <w:t>。高星级评价表示基金在评级期间有较高的风险调整后收益，即在承受单位风险时，为投资人获得了更高的超额收益。</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（五）更新频率</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好买私募基金评级每月中旬公布上月评级结果，以月频率滚动更新。</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（六）评级结果的变化</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基于好买评级的原理和特点，</w:t>
      </w:r>
      <w:r w:rsidRPr="00B94388">
        <w:rPr>
          <w:rFonts w:hAnsi="宋体" w:hint="eastAsia"/>
          <w:szCs w:val="21"/>
        </w:rPr>
        <w:t>同一支基金前后两期</w:t>
      </w:r>
      <w:r w:rsidRPr="00B94388">
        <w:rPr>
          <w:rFonts w:hAnsi="宋体"/>
          <w:szCs w:val="21"/>
        </w:rPr>
        <w:t>评级结果</w:t>
      </w:r>
      <w:r w:rsidRPr="00B94388">
        <w:rPr>
          <w:rFonts w:hAnsi="宋体" w:hint="eastAsia"/>
          <w:szCs w:val="21"/>
        </w:rPr>
        <w:t>可能不同，影响因素</w:t>
      </w:r>
      <w:r w:rsidRPr="00B94388">
        <w:rPr>
          <w:rFonts w:hAnsi="宋体"/>
          <w:szCs w:val="21"/>
        </w:rPr>
        <w:t>主要有以下两个：</w:t>
      </w:r>
    </w:p>
    <w:p w:rsidR="00DC7D54" w:rsidRPr="00B94388" w:rsidRDefault="00DC7D54" w:rsidP="00DC7D54">
      <w:pPr>
        <w:spacing w:beforeLines="50" w:before="156" w:afterLines="50" w:after="156" w:line="360" w:lineRule="auto"/>
        <w:ind w:rightChars="-13" w:right="-27" w:firstLine="420"/>
        <w:rPr>
          <w:rFonts w:hAnsi="宋体"/>
          <w:szCs w:val="21"/>
        </w:rPr>
      </w:pPr>
      <w:r w:rsidRPr="00B94388">
        <w:rPr>
          <w:rFonts w:hAnsi="宋体" w:hint="eastAsia"/>
          <w:szCs w:val="21"/>
        </w:rPr>
        <w:t>1.</w:t>
      </w:r>
      <w:r w:rsidRPr="00B94388">
        <w:rPr>
          <w:rFonts w:hAnsi="宋体"/>
          <w:szCs w:val="21"/>
        </w:rPr>
        <w:t xml:space="preserve"> </w:t>
      </w:r>
      <w:r w:rsidRPr="00B94388">
        <w:rPr>
          <w:rFonts w:hAnsi="宋体"/>
          <w:szCs w:val="21"/>
        </w:rPr>
        <w:t>参与评级</w:t>
      </w:r>
      <w:r w:rsidRPr="00B94388">
        <w:rPr>
          <w:rFonts w:hAnsi="宋体" w:hint="eastAsia"/>
          <w:szCs w:val="21"/>
        </w:rPr>
        <w:t>的</w:t>
      </w:r>
      <w:r w:rsidRPr="00B94388">
        <w:rPr>
          <w:rFonts w:hAnsi="宋体"/>
          <w:szCs w:val="21"/>
        </w:rPr>
        <w:t>基金个数</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由于好买基金评级是根据评级指标的排名分布划分等级的，所以随着时间的推移和参与评级基金个数的增多，即便前后两期某基金评级指标相对排名不变，也可能由于其排名分布的变化</w:t>
      </w:r>
      <w:r w:rsidRPr="00B94388">
        <w:rPr>
          <w:rFonts w:hAnsi="宋体" w:hint="eastAsia"/>
          <w:szCs w:val="21"/>
        </w:rPr>
        <w:t>获得不同的</w:t>
      </w:r>
      <w:r w:rsidRPr="00B94388">
        <w:rPr>
          <w:rFonts w:hAnsi="宋体"/>
          <w:szCs w:val="21"/>
        </w:rPr>
        <w:t>星级评价。</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 xml:space="preserve">2. </w:t>
      </w:r>
      <w:r w:rsidRPr="00B94388">
        <w:rPr>
          <w:rFonts w:hAnsi="宋体"/>
          <w:szCs w:val="21"/>
        </w:rPr>
        <w:t>基金</w:t>
      </w:r>
      <w:r w:rsidRPr="00B94388">
        <w:rPr>
          <w:rFonts w:hAnsi="宋体" w:hint="eastAsia"/>
          <w:szCs w:val="21"/>
        </w:rPr>
        <w:t>的</w:t>
      </w:r>
      <w:r w:rsidRPr="00B94388">
        <w:rPr>
          <w:rFonts w:hAnsi="宋体"/>
          <w:szCs w:val="21"/>
        </w:rPr>
        <w:t>滚动业绩</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由于好买评级是月度滚动更新，每次评级都会剔除一个最远月，加入一个最近月，因此，各基金首尾两个月的风险与收益特征会引起星级评价的波动。因此，投资者在关注好买私募评级时，要动态的分析评价结果</w:t>
      </w:r>
      <w:r w:rsidRPr="00B94388">
        <w:rPr>
          <w:rFonts w:hAnsi="宋体" w:hint="eastAsia"/>
          <w:szCs w:val="21"/>
        </w:rPr>
        <w:t>，在进行横向和纵向对比时，</w:t>
      </w:r>
      <w:r w:rsidRPr="00B94388">
        <w:rPr>
          <w:rFonts w:hAnsi="宋体"/>
          <w:szCs w:val="21"/>
        </w:rPr>
        <w:t>既要考虑基金本身业绩的变化，又要结合参与评级的其它基金同期的表现。</w:t>
      </w:r>
    </w:p>
    <w:p w:rsidR="00DC7D54" w:rsidRPr="00B94388" w:rsidRDefault="00DC7D54" w:rsidP="00DC7D54">
      <w:pPr>
        <w:spacing w:beforeLines="50" w:before="156" w:afterLines="50" w:after="156" w:line="360" w:lineRule="auto"/>
        <w:ind w:rightChars="-13" w:right="-27" w:firstLineChars="200" w:firstLine="420"/>
        <w:rPr>
          <w:rFonts w:hAnsi="宋体"/>
          <w:szCs w:val="21"/>
        </w:rPr>
      </w:pPr>
    </w:p>
    <w:p w:rsidR="00DC7D54" w:rsidRPr="00B94388" w:rsidRDefault="00DC7D54" w:rsidP="001E0180">
      <w:pPr>
        <w:spacing w:afterLines="50" w:after="156" w:line="360" w:lineRule="auto"/>
        <w:ind w:rightChars="-13" w:right="-27"/>
        <w:rPr>
          <w:sz w:val="18"/>
          <w:szCs w:val="18"/>
        </w:rPr>
      </w:pPr>
    </w:p>
    <w:p w:rsidR="00A10BA0" w:rsidRPr="00B94388" w:rsidRDefault="00A10BA0" w:rsidP="000A4CA1">
      <w:pPr>
        <w:spacing w:afterLines="50" w:after="156" w:line="360" w:lineRule="auto"/>
        <w:ind w:rightChars="-13" w:right="-27"/>
        <w:rPr>
          <w:rFonts w:hAnsi="宋体"/>
          <w:szCs w:val="21"/>
        </w:rPr>
      </w:pPr>
      <w:r w:rsidRPr="00B94388">
        <w:rPr>
          <w:rFonts w:hAnsi="宋体"/>
          <w:szCs w:val="21"/>
        </w:rPr>
        <w:br w:type="page"/>
      </w:r>
      <w:r w:rsidRPr="00B94388">
        <w:rPr>
          <w:rFonts w:hAnsi="宋体" w:hint="eastAsia"/>
          <w:b/>
          <w:color w:val="DA0010"/>
          <w:szCs w:val="21"/>
        </w:rPr>
        <w:lastRenderedPageBreak/>
        <w:t>免责条款</w:t>
      </w:r>
    </w:p>
    <w:p w:rsidR="00A10BA0" w:rsidRPr="00B94388" w:rsidRDefault="00A10BA0" w:rsidP="00F46798">
      <w:pPr>
        <w:spacing w:line="360" w:lineRule="auto"/>
        <w:ind w:rightChars="-13" w:right="-27"/>
        <w:rPr>
          <w:rFonts w:hAnsi="宋体"/>
          <w:szCs w:val="21"/>
        </w:rPr>
      </w:pPr>
      <w:r w:rsidRPr="00B94388">
        <w:rPr>
          <w:rFonts w:hAnsi="宋体" w:hint="eastAsia"/>
          <w:szCs w:val="21"/>
        </w:rPr>
        <w:t>本报告中的信息均来源于公开可获得资料，好买基金研究中心力求可靠，但对这些信息的准确性及完整性不做任何保证，获得报告的人士据此</w:t>
      </w:r>
      <w:r w:rsidR="005338E0" w:rsidRPr="00B94388">
        <w:rPr>
          <w:rFonts w:hAnsi="宋体" w:hint="eastAsia"/>
          <w:szCs w:val="21"/>
        </w:rPr>
        <w:t>做出</w:t>
      </w:r>
      <w:r w:rsidRPr="00B94388">
        <w:rPr>
          <w:rFonts w:hAnsi="宋体" w:hint="eastAsia"/>
          <w:szCs w:val="21"/>
        </w:rPr>
        <w:t>投资</w:t>
      </w:r>
      <w:r w:rsidR="005338E0" w:rsidRPr="00B94388">
        <w:rPr>
          <w:rFonts w:hAnsi="宋体" w:hint="eastAsia"/>
          <w:szCs w:val="21"/>
        </w:rPr>
        <w:t>决策</w:t>
      </w:r>
      <w:r w:rsidRPr="00B94388">
        <w:rPr>
          <w:rFonts w:hAnsi="宋体" w:hint="eastAsia"/>
          <w:szCs w:val="21"/>
        </w:rPr>
        <w:t>，</w:t>
      </w:r>
      <w:r w:rsidR="005338E0" w:rsidRPr="00B94388">
        <w:rPr>
          <w:rFonts w:hAnsi="宋体" w:hint="eastAsia"/>
          <w:szCs w:val="21"/>
        </w:rPr>
        <w:t>应自行承担投资</w:t>
      </w:r>
      <w:r w:rsidRPr="00B94388">
        <w:rPr>
          <w:rFonts w:hAnsi="宋体" w:hint="eastAsia"/>
          <w:szCs w:val="21"/>
        </w:rPr>
        <w:t>风险。</w:t>
      </w:r>
      <w:r w:rsidR="000A35B6" w:rsidRPr="00B94388">
        <w:rPr>
          <w:rFonts w:ascii="宋体" w:hAnsi="宋体" w:hint="eastAsia"/>
          <w:szCs w:val="21"/>
        </w:rPr>
        <w:t>本报告</w:t>
      </w:r>
      <w:r w:rsidR="000A35B6" w:rsidRPr="00B94388">
        <w:rPr>
          <w:rFonts w:ascii="宋体" w:hAnsi="宋体"/>
          <w:szCs w:val="21"/>
        </w:rPr>
        <w:t>不对</w:t>
      </w:r>
      <w:r w:rsidR="000A35B6" w:rsidRPr="00B94388">
        <w:rPr>
          <w:rFonts w:ascii="宋体" w:hAnsi="宋体" w:hint="eastAsia"/>
          <w:szCs w:val="21"/>
        </w:rPr>
        <w:t>特定基金</w:t>
      </w:r>
      <w:r w:rsidR="000A35B6" w:rsidRPr="00B94388">
        <w:rPr>
          <w:rFonts w:ascii="宋体" w:hAnsi="宋体"/>
          <w:szCs w:val="21"/>
        </w:rPr>
        <w:t>产品的价值和收益作出实质性判断和保证，亦不表明投资没有风险。</w:t>
      </w:r>
      <w:r w:rsidRPr="00B94388">
        <w:rPr>
          <w:rFonts w:hAnsi="宋体" w:hint="eastAsia"/>
          <w:szCs w:val="21"/>
        </w:rPr>
        <w:t>本报告不构成针对个人的投资建议，也没有考虑个别客户特殊的投资目标、财务状况或需要。客户应考虑本报告中的任何意见或建议是否符合其特定状况。本报告仅向特定客户及伙伴传送，任何引用、转载以及向第三方传播的行为请预先通知好买，并请在引用、转载以及向第三方传播中注明出处。</w:t>
      </w:r>
    </w:p>
    <w:p w:rsidR="00F46798" w:rsidRPr="00B94388" w:rsidRDefault="00F46798" w:rsidP="00F46798">
      <w:pPr>
        <w:spacing w:line="360" w:lineRule="auto"/>
        <w:ind w:rightChars="-13" w:right="-27"/>
        <w:rPr>
          <w:szCs w:val="21"/>
        </w:rPr>
      </w:pPr>
    </w:p>
    <w:p w:rsidR="006A6C54" w:rsidRPr="00B94388" w:rsidRDefault="006A6C54" w:rsidP="00F46798">
      <w:pPr>
        <w:spacing w:line="360" w:lineRule="auto"/>
        <w:ind w:rightChars="-13" w:right="-27"/>
        <w:rPr>
          <w:rFonts w:hAnsi="宋体"/>
          <w:b/>
          <w:color w:val="DA0010"/>
          <w:szCs w:val="21"/>
        </w:rPr>
      </w:pPr>
    </w:p>
    <w:p w:rsidR="00F46798" w:rsidRPr="00B94388" w:rsidRDefault="00F46798" w:rsidP="00F46798">
      <w:pPr>
        <w:spacing w:line="360" w:lineRule="auto"/>
        <w:ind w:rightChars="-13" w:right="-27"/>
        <w:rPr>
          <w:rFonts w:hAnsi="宋体"/>
          <w:b/>
          <w:color w:val="DA0010"/>
          <w:szCs w:val="21"/>
        </w:rPr>
      </w:pPr>
      <w:r w:rsidRPr="00B94388">
        <w:rPr>
          <w:rFonts w:hAnsi="宋体" w:hint="eastAsia"/>
          <w:b/>
          <w:color w:val="DA0010"/>
          <w:szCs w:val="21"/>
        </w:rPr>
        <w:t>好买基金研究中心</w:t>
      </w:r>
    </w:p>
    <w:p w:rsidR="00F46798" w:rsidRPr="00B94388" w:rsidRDefault="001E3D7C" w:rsidP="00F46798">
      <w:pPr>
        <w:spacing w:line="360" w:lineRule="auto"/>
        <w:ind w:rightChars="-13" w:right="-27"/>
        <w:rPr>
          <w:rFonts w:hAnsi="宋体"/>
          <w:szCs w:val="21"/>
        </w:rPr>
      </w:pPr>
      <w:r w:rsidRPr="00B94388">
        <w:rPr>
          <w:rFonts w:hAnsi="宋体" w:hint="eastAsia"/>
          <w:szCs w:val="21"/>
        </w:rPr>
        <w:t>联系</w:t>
      </w:r>
      <w:r w:rsidR="00F46798" w:rsidRPr="00B94388">
        <w:rPr>
          <w:rFonts w:hAnsi="宋体" w:hint="eastAsia"/>
          <w:szCs w:val="21"/>
        </w:rPr>
        <w:t>电话：</w:t>
      </w:r>
      <w:r w:rsidR="00F46798" w:rsidRPr="00B94388">
        <w:rPr>
          <w:rFonts w:hAnsi="宋体" w:hint="eastAsia"/>
          <w:szCs w:val="21"/>
        </w:rPr>
        <w:t xml:space="preserve">(021) </w:t>
      </w:r>
      <w:r w:rsidR="00EC3C2C" w:rsidRPr="00B94388">
        <w:rPr>
          <w:rFonts w:hAnsi="宋体" w:hint="eastAsia"/>
          <w:szCs w:val="21"/>
        </w:rPr>
        <w:t>2061 3</w:t>
      </w:r>
      <w:r w:rsidR="001D5EE3" w:rsidRPr="00B94388">
        <w:rPr>
          <w:rFonts w:hAnsi="宋体" w:hint="eastAsia"/>
          <w:szCs w:val="21"/>
        </w:rPr>
        <w:t>999</w:t>
      </w:r>
    </w:p>
    <w:p w:rsidR="00F46798" w:rsidRPr="00B94388" w:rsidRDefault="001E3D7C" w:rsidP="00F46798">
      <w:pPr>
        <w:spacing w:line="360" w:lineRule="auto"/>
        <w:ind w:rightChars="-13" w:right="-27"/>
        <w:rPr>
          <w:rFonts w:hAnsi="宋体"/>
          <w:szCs w:val="21"/>
        </w:rPr>
      </w:pPr>
      <w:r w:rsidRPr="00B94388">
        <w:rPr>
          <w:rFonts w:hAnsi="宋体" w:hint="eastAsia"/>
          <w:szCs w:val="21"/>
        </w:rPr>
        <w:t>好买基金网</w:t>
      </w:r>
      <w:r w:rsidR="00F46798" w:rsidRPr="00B94388">
        <w:rPr>
          <w:rFonts w:hAnsi="宋体" w:hint="eastAsia"/>
          <w:szCs w:val="21"/>
        </w:rPr>
        <w:t>：</w:t>
      </w:r>
      <w:r w:rsidR="00F46798" w:rsidRPr="00B94388">
        <w:rPr>
          <w:rFonts w:hAnsi="宋体" w:hint="eastAsia"/>
          <w:szCs w:val="21"/>
        </w:rPr>
        <w:t>www.howbuy.com</w:t>
      </w:r>
    </w:p>
    <w:p w:rsidR="00F46798" w:rsidRPr="00F46798" w:rsidRDefault="001E3D7C" w:rsidP="00F46798">
      <w:pPr>
        <w:spacing w:line="360" w:lineRule="auto"/>
        <w:ind w:rightChars="-13" w:right="-27"/>
        <w:rPr>
          <w:szCs w:val="21"/>
        </w:rPr>
      </w:pPr>
      <w:r w:rsidRPr="00B94388">
        <w:rPr>
          <w:rFonts w:hint="eastAsia"/>
          <w:szCs w:val="21"/>
        </w:rPr>
        <w:t>办公</w:t>
      </w:r>
      <w:r w:rsidR="00F46798" w:rsidRPr="00B94388">
        <w:rPr>
          <w:rFonts w:hint="eastAsia"/>
          <w:szCs w:val="21"/>
        </w:rPr>
        <w:t>地址：上海市浦东南路</w:t>
      </w:r>
      <w:r w:rsidR="00F46798" w:rsidRPr="00B94388">
        <w:rPr>
          <w:rFonts w:hint="eastAsia"/>
          <w:szCs w:val="21"/>
        </w:rPr>
        <w:t>1118</w:t>
      </w:r>
      <w:r w:rsidR="00F46798" w:rsidRPr="00B94388">
        <w:rPr>
          <w:rFonts w:hint="eastAsia"/>
          <w:szCs w:val="21"/>
        </w:rPr>
        <w:t>号鄂尔多斯国际大厦</w:t>
      </w:r>
      <w:r w:rsidR="00F46798" w:rsidRPr="00B94388">
        <w:rPr>
          <w:rFonts w:hint="eastAsia"/>
          <w:szCs w:val="21"/>
        </w:rPr>
        <w:t>9</w:t>
      </w:r>
      <w:r w:rsidR="00F46798" w:rsidRPr="00B94388">
        <w:rPr>
          <w:rFonts w:hint="eastAsia"/>
          <w:szCs w:val="21"/>
        </w:rPr>
        <w:t>楼，邮编</w:t>
      </w:r>
      <w:r w:rsidR="00F46798" w:rsidRPr="00B94388">
        <w:rPr>
          <w:rFonts w:hint="eastAsia"/>
          <w:szCs w:val="21"/>
        </w:rPr>
        <w:t>200120</w:t>
      </w:r>
    </w:p>
    <w:sectPr w:rsidR="00F46798" w:rsidRPr="00F46798" w:rsidSect="00042683">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998"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A5" w:rsidRDefault="00E27EA5">
      <w:r>
        <w:separator/>
      </w:r>
    </w:p>
  </w:endnote>
  <w:endnote w:type="continuationSeparator" w:id="0">
    <w:p w:rsidR="00E27EA5" w:rsidRDefault="00E2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楷体简">
    <w:altName w:val="宋体"/>
    <w:charset w:val="86"/>
    <w:family w:val="auto"/>
    <w:pitch w:val="default"/>
    <w:sig w:usb0="00000001"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汉仪大黑简">
    <w:altName w:val="宋体"/>
    <w:charset w:val="86"/>
    <w:family w:val="auto"/>
    <w:pitch w:val="default"/>
    <w:sig w:usb0="00000001" w:usb1="080E0800" w:usb2="00000012"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C0" w:rsidRDefault="00B562C0" w:rsidP="000706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562C0" w:rsidRDefault="00B562C0" w:rsidP="00235E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C0" w:rsidRDefault="00B562C0" w:rsidP="000706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F25A4">
      <w:rPr>
        <w:rStyle w:val="a5"/>
        <w:noProof/>
      </w:rPr>
      <w:t>34</w:t>
    </w:r>
    <w:r>
      <w:rPr>
        <w:rStyle w:val="a5"/>
      </w:rPr>
      <w:fldChar w:fldCharType="end"/>
    </w:r>
  </w:p>
  <w:p w:rsidR="00B562C0" w:rsidRPr="004A6103" w:rsidRDefault="00B562C0" w:rsidP="004A6103">
    <w:pPr>
      <w:pStyle w:val="a4"/>
      <w:jc w:val="both"/>
      <w:rPr>
        <w:rFonts w:ascii="楷体_GB2312" w:eastAsia="楷体_GB2312"/>
        <w:color w:val="7F7F7F"/>
      </w:rPr>
    </w:pPr>
    <w:r w:rsidRPr="00E26416">
      <w:rPr>
        <w:rFonts w:ascii="楷体_GB2312" w:eastAsia="楷体_GB2312"/>
        <w:color w:val="7F7F7F"/>
        <w:sz w:val="4"/>
        <w:szCs w:val="4"/>
      </w:rPr>
      <w:softHyphen/>
    </w:r>
    <w:r w:rsidRPr="00E26416">
      <w:rPr>
        <w:rFonts w:ascii="楷体_GB2312" w:eastAsia="楷体_GB2312" w:hint="eastAsia"/>
        <w:color w:val="7F7F7F"/>
        <w:sz w:val="4"/>
        <w:szCs w:val="4"/>
      </w:rPr>
      <w:softHyphen/>
    </w:r>
    <w:r w:rsidRPr="00E26416">
      <w:rPr>
        <w:rFonts w:ascii="楷体_GB2312" w:eastAsia="楷体_GB2312" w:hint="eastAsia"/>
        <w:color w:val="7F7F7F"/>
        <w:sz w:val="4"/>
        <w:szCs w:val="4"/>
      </w:rPr>
      <w:softHyphen/>
    </w:r>
    <w:r w:rsidRPr="00E26416">
      <w:rPr>
        <w:rFonts w:ascii="楷体_GB2312" w:eastAsia="楷体_GB2312"/>
        <w:color w:val="7F7F7F"/>
      </w:rPr>
      <w:softHyphen/>
    </w:r>
    <w:r w:rsidRPr="00E26416">
      <w:rPr>
        <w:rFonts w:ascii="楷体_GB2312" w:eastAsia="楷体_GB2312" w:hint="eastAsia"/>
        <w:color w:val="7F7F7F"/>
      </w:rPr>
      <w:softHyphen/>
    </w:r>
    <w:r w:rsidRPr="00E26416">
      <w:rPr>
        <w:rFonts w:hint="eastAsia"/>
        <w:color w:val="7F7F7F"/>
        <w:sz w:val="20"/>
        <w:szCs w:val="20"/>
        <w:shd w:val="clear" w:color="auto" w:fill="FFFFFF"/>
      </w:rPr>
      <w:t>更多私募数据欢迎访问：</w:t>
    </w:r>
    <w:r w:rsidRPr="00E26416">
      <w:rPr>
        <w:rFonts w:hint="eastAsia"/>
        <w:color w:val="7F7F7F"/>
        <w:sz w:val="20"/>
        <w:szCs w:val="20"/>
        <w:shd w:val="clear" w:color="auto" w:fill="FFFFFF"/>
      </w:rPr>
      <w:t>simudata.howbuy.com</w:t>
    </w:r>
    <w:r>
      <w:rPr>
        <w:rFonts w:ascii="楷体_GB2312" w:eastAsia="楷体_GB2312" w:hint="eastAsia"/>
        <w:noProof/>
        <w:color w:val="7F7F7F"/>
      </w:rPr>
      <mc:AlternateContent>
        <mc:Choice Requires="wps">
          <w:drawing>
            <wp:anchor distT="0" distB="0" distL="114300" distR="114300" simplePos="0" relativeHeight="251662336" behindDoc="0" locked="0" layoutInCell="1" allowOverlap="1" wp14:anchorId="443074FF" wp14:editId="1205348E">
              <wp:simplePos x="0" y="0"/>
              <wp:positionH relativeFrom="column">
                <wp:posOffset>0</wp:posOffset>
              </wp:positionH>
              <wp:positionV relativeFrom="paragraph">
                <wp:posOffset>-3714115</wp:posOffset>
              </wp:positionV>
              <wp:extent cx="6734175" cy="0"/>
              <wp:effectExtent l="0" t="635"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2.45pt" to="530.25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" stroked="f"/>
          </w:pict>
        </mc:Fallback>
      </mc:AlternateContent>
    </w:r>
    <w:r>
      <w:rPr>
        <w:rFonts w:ascii="楷体_GB2312" w:eastAsia="楷体_GB2312" w:hint="eastAsia"/>
        <w:noProof/>
        <w:color w:val="7F7F7F"/>
      </w:rPr>
      <mc:AlternateContent>
        <mc:Choice Requires="wps">
          <w:drawing>
            <wp:anchor distT="0" distB="0" distL="114300" distR="114300" simplePos="0" relativeHeight="251661312" behindDoc="0" locked="0" layoutInCell="1" allowOverlap="1" wp14:anchorId="6CBDDDDC" wp14:editId="4AF53C8E">
              <wp:simplePos x="0" y="0"/>
              <wp:positionH relativeFrom="column">
                <wp:posOffset>-66675</wp:posOffset>
              </wp:positionH>
              <wp:positionV relativeFrom="paragraph">
                <wp:posOffset>-3714115</wp:posOffset>
              </wp:positionV>
              <wp:extent cx="4800600" cy="198120"/>
              <wp:effectExtent l="0" t="635" r="0" b="127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981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92.45pt" to="372.75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" stroked="f"/>
          </w:pict>
        </mc:Fallback>
      </mc:AlternateContent>
    </w:r>
    <w:r w:rsidRPr="00E26416">
      <w:rPr>
        <w:rFonts w:ascii="楷体_GB2312" w:eastAsia="楷体_GB2312"/>
        <w:color w:val="7F7F7F"/>
      </w:rPr>
      <w:softHyphen/>
    </w:r>
    <w:r>
      <w:rPr>
        <w:rFonts w:hint="eastAsia"/>
        <w:noProof/>
      </w:rPr>
      <w:drawing>
        <wp:anchor distT="0" distB="0" distL="114300" distR="114300" simplePos="0" relativeHeight="251658240" behindDoc="1" locked="0" layoutInCell="1" allowOverlap="1" wp14:anchorId="34BEF938" wp14:editId="1D6BAD7E">
          <wp:simplePos x="0" y="0"/>
          <wp:positionH relativeFrom="column">
            <wp:posOffset>-571500</wp:posOffset>
          </wp:positionH>
          <wp:positionV relativeFrom="paragraph">
            <wp:posOffset>533400</wp:posOffset>
          </wp:positionV>
          <wp:extent cx="7658100" cy="307340"/>
          <wp:effectExtent l="0" t="0" r="0" b="0"/>
          <wp:wrapNone/>
          <wp:docPr id="15" name="图片 15" descr="研究报告版式-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研究报告版式-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307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6EB6D93" wp14:editId="50D78016">
              <wp:simplePos x="0" y="0"/>
              <wp:positionH relativeFrom="column">
                <wp:posOffset>0</wp:posOffset>
              </wp:positionH>
              <wp:positionV relativeFrom="paragraph">
                <wp:posOffset>511175</wp:posOffset>
              </wp:positionV>
              <wp:extent cx="1943100" cy="297180"/>
              <wp:effectExtent l="0" t="0" r="0"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2C0" w:rsidRPr="00AE3F7D" w:rsidRDefault="00B562C0">
                          <w:pPr>
                            <w:rPr>
                              <w:rFonts w:ascii="楷体_GB2312" w:eastAsia="楷体_GB2312"/>
                              <w:color w:val="FFFFFF"/>
                              <w:sz w:val="18"/>
                              <w:szCs w:val="18"/>
                            </w:rPr>
                          </w:pPr>
                          <w:r w:rsidRPr="00AE3F7D">
                            <w:rPr>
                              <w:rFonts w:ascii="楷体_GB2312" w:eastAsia="楷体_GB2312" w:hint="eastAsia"/>
                              <w:color w:val="FFFFFF"/>
                              <w:sz w:val="18"/>
                              <w:szCs w:val="18"/>
                            </w:rPr>
                            <w:t>敬请</w:t>
                          </w:r>
                          <w:r>
                            <w:rPr>
                              <w:rFonts w:ascii="楷体_GB2312" w:eastAsia="楷体_GB2312" w:hint="eastAsia"/>
                              <w:color w:val="FFFFFF"/>
                              <w:sz w:val="18"/>
                              <w:szCs w:val="18"/>
                            </w:rPr>
                            <w:t>参看文末</w:t>
                          </w:r>
                          <w:r w:rsidRPr="00AE3F7D">
                            <w:rPr>
                              <w:rFonts w:ascii="楷体_GB2312" w:eastAsia="楷体_GB2312" w:hint="eastAsia"/>
                              <w:color w:val="FFFFFF"/>
                              <w:sz w:val="18"/>
                              <w:szCs w:val="18"/>
                            </w:rPr>
                            <w:t>免责条款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0;margin-top:40.25pt;width:153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6ztA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" filled="f" stroked="f">
              <v:textbox>
                <w:txbxContent>
                  <w:p w:rsidR="003A1C3C" w:rsidRPr="00AE3F7D" w:rsidRDefault="003A1C3C">
                    <w:pPr>
                      <w:rPr>
                        <w:rFonts w:ascii="楷体_GB2312" w:eastAsia="楷体_GB2312"/>
                        <w:color w:val="FFFFFF"/>
                        <w:sz w:val="18"/>
                        <w:szCs w:val="18"/>
                      </w:rPr>
                    </w:pPr>
                    <w:r w:rsidRPr="00AE3F7D">
                      <w:rPr>
                        <w:rFonts w:ascii="楷体_GB2312" w:eastAsia="楷体_GB2312" w:hint="eastAsia"/>
                        <w:color w:val="FFFFFF"/>
                        <w:sz w:val="18"/>
                        <w:szCs w:val="18"/>
                      </w:rPr>
                      <w:t>敬请</w:t>
                    </w:r>
                    <w:r>
                      <w:rPr>
                        <w:rFonts w:ascii="楷体_GB2312" w:eastAsia="楷体_GB2312" w:hint="eastAsia"/>
                        <w:color w:val="FFFFFF"/>
                        <w:sz w:val="18"/>
                        <w:szCs w:val="18"/>
                      </w:rPr>
                      <w:t>参看文末</w:t>
                    </w:r>
                    <w:r w:rsidRPr="00AE3F7D">
                      <w:rPr>
                        <w:rFonts w:ascii="楷体_GB2312" w:eastAsia="楷体_GB2312" w:hint="eastAsia"/>
                        <w:color w:val="FFFFFF"/>
                        <w:sz w:val="18"/>
                        <w:szCs w:val="18"/>
                      </w:rPr>
                      <w:t>免责条款</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C0" w:rsidRDefault="00B562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A5" w:rsidRDefault="00E27EA5">
      <w:r>
        <w:separator/>
      </w:r>
    </w:p>
  </w:footnote>
  <w:footnote w:type="continuationSeparator" w:id="0">
    <w:p w:rsidR="00E27EA5" w:rsidRDefault="00E27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C0" w:rsidRDefault="00B562C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6" o:spid="_x0000_s2052" type="#_x0000_t136" style="position:absolute;left:0;text-align:left;margin-left:0;margin-top:0;width:599.45pt;height:119.85pt;rotation:315;z-index:-251650048;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C0" w:rsidRDefault="00B562C0" w:rsidP="00830DC8">
    <w:pPr>
      <w:pStyle w:val="a3"/>
      <w:pBdr>
        <w:bottom w:val="none" w:sz="0" w:space="0" w:color="auto"/>
      </w:pBdr>
      <w:jc w:val="right"/>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7" o:spid="_x0000_s2053" type="#_x0000_t136" style="position:absolute;left:0;text-align:left;margin-left:0;margin-top:0;width:599.45pt;height:119.85pt;rotation:315;z-index:-251648000;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r>
      <w:rPr>
        <w:noProof/>
      </w:rPr>
      <w:drawing>
        <wp:anchor distT="0" distB="0" distL="114300" distR="114300" simplePos="0" relativeHeight="251656192" behindDoc="0" locked="0" layoutInCell="1" allowOverlap="1" wp14:anchorId="0189322A" wp14:editId="0756231E">
          <wp:simplePos x="0" y="0"/>
          <wp:positionH relativeFrom="column">
            <wp:posOffset>114300</wp:posOffset>
          </wp:positionH>
          <wp:positionV relativeFrom="paragraph">
            <wp:posOffset>-64770</wp:posOffset>
          </wp:positionV>
          <wp:extent cx="1485900" cy="212725"/>
          <wp:effectExtent l="0" t="0" r="0" b="0"/>
          <wp:wrapNone/>
          <wp:docPr id="11" name="图片 11" descr="无底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无底色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DA3">
      <w:rPr>
        <w:rFonts w:hint="eastAsia"/>
        <w:noProof/>
      </w:rPr>
      <w:t>证券投资类阳光私募基金评级报告</w:t>
    </w:r>
  </w:p>
  <w:p w:rsidR="00B562C0" w:rsidRPr="004479AE" w:rsidRDefault="00B562C0" w:rsidP="004479AE">
    <w:pPr>
      <w:pStyle w:val="a3"/>
      <w:pBdr>
        <w:bottom w:val="none" w:sz="0" w:space="0" w:color="auto"/>
      </w:pBdr>
      <w:ind w:right="1040"/>
      <w:jc w:val="both"/>
      <w:rPr>
        <w:sz w:val="52"/>
        <w:szCs w:val="52"/>
      </w:rPr>
    </w:pPr>
    <w:r>
      <w:rPr>
        <w:noProof/>
        <w:sz w:val="52"/>
        <w:szCs w:val="52"/>
      </w:rPr>
      <mc:AlternateContent>
        <mc:Choice Requires="wps">
          <w:drawing>
            <wp:anchor distT="0" distB="0" distL="114300" distR="114300" simplePos="0" relativeHeight="251657216" behindDoc="0" locked="0" layoutInCell="1" allowOverlap="1" wp14:anchorId="0E8DEFAC" wp14:editId="76305A2F">
              <wp:simplePos x="0" y="0"/>
              <wp:positionH relativeFrom="column">
                <wp:posOffset>0</wp:posOffset>
              </wp:positionH>
              <wp:positionV relativeFrom="paragraph">
                <wp:posOffset>167005</wp:posOffset>
              </wp:positionV>
              <wp:extent cx="6515100" cy="0"/>
              <wp:effectExtent l="9525" t="5080" r="9525" b="1397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9139BF" id="Line 14"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51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" strokecolor="silver" strokeweight=".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C0" w:rsidRDefault="00B562C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5" o:spid="_x0000_s2051" type="#_x0000_t136" style="position:absolute;left:0;text-align:left;margin-left:0;margin-top:0;width:599.45pt;height:119.85pt;rotation:315;z-index:-251652096;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E3695"/>
    <w:multiLevelType w:val="hybridMultilevel"/>
    <w:tmpl w:val="A6940F9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A91608"/>
    <w:multiLevelType w:val="hybridMultilevel"/>
    <w:tmpl w:val="BC70A412"/>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CFF221F"/>
    <w:multiLevelType w:val="hybridMultilevel"/>
    <w:tmpl w:val="D44E7442"/>
    <w:lvl w:ilvl="0" w:tplc="5CB4F7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6"/>
  <w:drawingGridVerticalSpacing w:val="156"/>
  <w:displayHorizontalDrawingGridEvery w:val="0"/>
  <w:displayVerticalDrawingGridEvery w:val="2"/>
  <w:characterSpacingControl w:val="compressPunctuation"/>
  <w:hdrShapeDefaults>
    <o:shapedefaults v:ext="edit" spidmax="2054">
      <o:colormru v:ext="edit" colors="#da0010"/>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CA"/>
    <w:rsid w:val="00002B63"/>
    <w:rsid w:val="00004E0D"/>
    <w:rsid w:val="0000677F"/>
    <w:rsid w:val="00007338"/>
    <w:rsid w:val="0001004F"/>
    <w:rsid w:val="000107DC"/>
    <w:rsid w:val="000107F2"/>
    <w:rsid w:val="00010E85"/>
    <w:rsid w:val="000114CD"/>
    <w:rsid w:val="0001379B"/>
    <w:rsid w:val="00017893"/>
    <w:rsid w:val="000228D6"/>
    <w:rsid w:val="00025461"/>
    <w:rsid w:val="000258F8"/>
    <w:rsid w:val="00030803"/>
    <w:rsid w:val="00031434"/>
    <w:rsid w:val="0003382A"/>
    <w:rsid w:val="000344B3"/>
    <w:rsid w:val="00036167"/>
    <w:rsid w:val="000361DF"/>
    <w:rsid w:val="00036EC3"/>
    <w:rsid w:val="00040814"/>
    <w:rsid w:val="00042683"/>
    <w:rsid w:val="00042DB4"/>
    <w:rsid w:val="000459CF"/>
    <w:rsid w:val="00045DA2"/>
    <w:rsid w:val="000466E5"/>
    <w:rsid w:val="000472B6"/>
    <w:rsid w:val="000517CA"/>
    <w:rsid w:val="00053F59"/>
    <w:rsid w:val="00055456"/>
    <w:rsid w:val="00055853"/>
    <w:rsid w:val="0005738F"/>
    <w:rsid w:val="00064E7D"/>
    <w:rsid w:val="000706C2"/>
    <w:rsid w:val="00073478"/>
    <w:rsid w:val="00073582"/>
    <w:rsid w:val="000741A0"/>
    <w:rsid w:val="0007420A"/>
    <w:rsid w:val="000755F6"/>
    <w:rsid w:val="00076B5C"/>
    <w:rsid w:val="000800C2"/>
    <w:rsid w:val="00080235"/>
    <w:rsid w:val="0008104B"/>
    <w:rsid w:val="00082624"/>
    <w:rsid w:val="00086374"/>
    <w:rsid w:val="000868E0"/>
    <w:rsid w:val="00087BCA"/>
    <w:rsid w:val="000905CA"/>
    <w:rsid w:val="000914D0"/>
    <w:rsid w:val="000919EC"/>
    <w:rsid w:val="00093598"/>
    <w:rsid w:val="00096223"/>
    <w:rsid w:val="00096B75"/>
    <w:rsid w:val="00097D6A"/>
    <w:rsid w:val="00097F58"/>
    <w:rsid w:val="000A0B76"/>
    <w:rsid w:val="000A12DA"/>
    <w:rsid w:val="000A131C"/>
    <w:rsid w:val="000A2F81"/>
    <w:rsid w:val="000A35B6"/>
    <w:rsid w:val="000A4262"/>
    <w:rsid w:val="000A4CA1"/>
    <w:rsid w:val="000A57DC"/>
    <w:rsid w:val="000B01A9"/>
    <w:rsid w:val="000B4E3D"/>
    <w:rsid w:val="000B5419"/>
    <w:rsid w:val="000B6B07"/>
    <w:rsid w:val="000C14A9"/>
    <w:rsid w:val="000C4FFD"/>
    <w:rsid w:val="000C6717"/>
    <w:rsid w:val="000C7A1B"/>
    <w:rsid w:val="000D1AD9"/>
    <w:rsid w:val="000D3136"/>
    <w:rsid w:val="000D6C04"/>
    <w:rsid w:val="000D6D85"/>
    <w:rsid w:val="000F089F"/>
    <w:rsid w:val="000F0C1B"/>
    <w:rsid w:val="000F46DA"/>
    <w:rsid w:val="000F5D58"/>
    <w:rsid w:val="00101E77"/>
    <w:rsid w:val="0010280C"/>
    <w:rsid w:val="00103C6A"/>
    <w:rsid w:val="00104088"/>
    <w:rsid w:val="00105FCF"/>
    <w:rsid w:val="001064BF"/>
    <w:rsid w:val="00107A07"/>
    <w:rsid w:val="0011379E"/>
    <w:rsid w:val="00113D05"/>
    <w:rsid w:val="00114D34"/>
    <w:rsid w:val="001168C9"/>
    <w:rsid w:val="0011773F"/>
    <w:rsid w:val="001179A5"/>
    <w:rsid w:val="00117F93"/>
    <w:rsid w:val="001200AD"/>
    <w:rsid w:val="00120EAA"/>
    <w:rsid w:val="0012157F"/>
    <w:rsid w:val="00122E2C"/>
    <w:rsid w:val="0012339D"/>
    <w:rsid w:val="00125413"/>
    <w:rsid w:val="001274B2"/>
    <w:rsid w:val="00130D96"/>
    <w:rsid w:val="001317DA"/>
    <w:rsid w:val="001319A7"/>
    <w:rsid w:val="00131A6D"/>
    <w:rsid w:val="00132C7A"/>
    <w:rsid w:val="00137BB6"/>
    <w:rsid w:val="00137CAF"/>
    <w:rsid w:val="00141114"/>
    <w:rsid w:val="00142A7A"/>
    <w:rsid w:val="001439FC"/>
    <w:rsid w:val="0014603A"/>
    <w:rsid w:val="001517A4"/>
    <w:rsid w:val="00151812"/>
    <w:rsid w:val="00153BE3"/>
    <w:rsid w:val="00161FA6"/>
    <w:rsid w:val="00165470"/>
    <w:rsid w:val="00165575"/>
    <w:rsid w:val="00165A85"/>
    <w:rsid w:val="00165B87"/>
    <w:rsid w:val="00167097"/>
    <w:rsid w:val="0016770B"/>
    <w:rsid w:val="001700F8"/>
    <w:rsid w:val="00170CB2"/>
    <w:rsid w:val="001732CC"/>
    <w:rsid w:val="00177E28"/>
    <w:rsid w:val="00180271"/>
    <w:rsid w:val="0018068C"/>
    <w:rsid w:val="00180A9C"/>
    <w:rsid w:val="00181613"/>
    <w:rsid w:val="001817D9"/>
    <w:rsid w:val="00181BCA"/>
    <w:rsid w:val="00182C78"/>
    <w:rsid w:val="0018391D"/>
    <w:rsid w:val="00184A6C"/>
    <w:rsid w:val="001855B4"/>
    <w:rsid w:val="001909CB"/>
    <w:rsid w:val="00190CA3"/>
    <w:rsid w:val="00190D39"/>
    <w:rsid w:val="00192D68"/>
    <w:rsid w:val="00194019"/>
    <w:rsid w:val="00194D70"/>
    <w:rsid w:val="00195D72"/>
    <w:rsid w:val="0019659E"/>
    <w:rsid w:val="00197A50"/>
    <w:rsid w:val="00197E94"/>
    <w:rsid w:val="001A0622"/>
    <w:rsid w:val="001A1FB7"/>
    <w:rsid w:val="001A1FF8"/>
    <w:rsid w:val="001A25AC"/>
    <w:rsid w:val="001A4C0F"/>
    <w:rsid w:val="001A55D8"/>
    <w:rsid w:val="001A5B8E"/>
    <w:rsid w:val="001A6B10"/>
    <w:rsid w:val="001A6B48"/>
    <w:rsid w:val="001A6BCA"/>
    <w:rsid w:val="001B2E4F"/>
    <w:rsid w:val="001B4AA2"/>
    <w:rsid w:val="001B7345"/>
    <w:rsid w:val="001B78E7"/>
    <w:rsid w:val="001B7C86"/>
    <w:rsid w:val="001C0988"/>
    <w:rsid w:val="001C113B"/>
    <w:rsid w:val="001C4598"/>
    <w:rsid w:val="001C4E96"/>
    <w:rsid w:val="001C71A1"/>
    <w:rsid w:val="001C741B"/>
    <w:rsid w:val="001C7C19"/>
    <w:rsid w:val="001D0D73"/>
    <w:rsid w:val="001D1331"/>
    <w:rsid w:val="001D2321"/>
    <w:rsid w:val="001D3156"/>
    <w:rsid w:val="001D452D"/>
    <w:rsid w:val="001D5EE3"/>
    <w:rsid w:val="001E0180"/>
    <w:rsid w:val="001E0A39"/>
    <w:rsid w:val="001E11AB"/>
    <w:rsid w:val="001E3D7C"/>
    <w:rsid w:val="001E407B"/>
    <w:rsid w:val="001E4D1C"/>
    <w:rsid w:val="001E583A"/>
    <w:rsid w:val="001E5961"/>
    <w:rsid w:val="001F3BAA"/>
    <w:rsid w:val="001F50BA"/>
    <w:rsid w:val="001F798F"/>
    <w:rsid w:val="002012FB"/>
    <w:rsid w:val="00202D22"/>
    <w:rsid w:val="0020647C"/>
    <w:rsid w:val="00207FA3"/>
    <w:rsid w:val="00211176"/>
    <w:rsid w:val="0021256E"/>
    <w:rsid w:val="00214460"/>
    <w:rsid w:val="002158FA"/>
    <w:rsid w:val="00215C18"/>
    <w:rsid w:val="0021732B"/>
    <w:rsid w:val="00217A2C"/>
    <w:rsid w:val="002203D7"/>
    <w:rsid w:val="00221251"/>
    <w:rsid w:val="00221283"/>
    <w:rsid w:val="00223021"/>
    <w:rsid w:val="00226115"/>
    <w:rsid w:val="002266D5"/>
    <w:rsid w:val="0022773A"/>
    <w:rsid w:val="00230447"/>
    <w:rsid w:val="0023104B"/>
    <w:rsid w:val="00231B8D"/>
    <w:rsid w:val="002322CD"/>
    <w:rsid w:val="00234E89"/>
    <w:rsid w:val="00235E31"/>
    <w:rsid w:val="00235F70"/>
    <w:rsid w:val="00237321"/>
    <w:rsid w:val="002424BC"/>
    <w:rsid w:val="002474B1"/>
    <w:rsid w:val="002503DD"/>
    <w:rsid w:val="00253318"/>
    <w:rsid w:val="00255DD1"/>
    <w:rsid w:val="00257C4A"/>
    <w:rsid w:val="00260129"/>
    <w:rsid w:val="002609DB"/>
    <w:rsid w:val="00262E0A"/>
    <w:rsid w:val="0026606E"/>
    <w:rsid w:val="00267657"/>
    <w:rsid w:val="00270B0D"/>
    <w:rsid w:val="00273A91"/>
    <w:rsid w:val="0027479F"/>
    <w:rsid w:val="00275366"/>
    <w:rsid w:val="00275B17"/>
    <w:rsid w:val="0027671F"/>
    <w:rsid w:val="002767B9"/>
    <w:rsid w:val="00280F02"/>
    <w:rsid w:val="0028639E"/>
    <w:rsid w:val="0028678B"/>
    <w:rsid w:val="00287F19"/>
    <w:rsid w:val="00287FD5"/>
    <w:rsid w:val="0029037F"/>
    <w:rsid w:val="00292076"/>
    <w:rsid w:val="00292A0A"/>
    <w:rsid w:val="00292A5F"/>
    <w:rsid w:val="0029379E"/>
    <w:rsid w:val="00293E03"/>
    <w:rsid w:val="002A07F3"/>
    <w:rsid w:val="002A2D71"/>
    <w:rsid w:val="002A34CD"/>
    <w:rsid w:val="002A629E"/>
    <w:rsid w:val="002A7BFA"/>
    <w:rsid w:val="002B0FC9"/>
    <w:rsid w:val="002B166B"/>
    <w:rsid w:val="002B1862"/>
    <w:rsid w:val="002B6AE0"/>
    <w:rsid w:val="002B74B9"/>
    <w:rsid w:val="002B7CE4"/>
    <w:rsid w:val="002C1F96"/>
    <w:rsid w:val="002C2045"/>
    <w:rsid w:val="002C4184"/>
    <w:rsid w:val="002C482F"/>
    <w:rsid w:val="002C58A4"/>
    <w:rsid w:val="002C5E90"/>
    <w:rsid w:val="002D1100"/>
    <w:rsid w:val="002D1212"/>
    <w:rsid w:val="002D1F8B"/>
    <w:rsid w:val="002D201D"/>
    <w:rsid w:val="002D2E3F"/>
    <w:rsid w:val="002D36AB"/>
    <w:rsid w:val="002E08B3"/>
    <w:rsid w:val="002E2AF7"/>
    <w:rsid w:val="002E446A"/>
    <w:rsid w:val="002F23EE"/>
    <w:rsid w:val="002F4CB7"/>
    <w:rsid w:val="002F607F"/>
    <w:rsid w:val="00301DA3"/>
    <w:rsid w:val="0031035D"/>
    <w:rsid w:val="00310BFF"/>
    <w:rsid w:val="003125D2"/>
    <w:rsid w:val="003139BE"/>
    <w:rsid w:val="00313D77"/>
    <w:rsid w:val="00316A62"/>
    <w:rsid w:val="003179F6"/>
    <w:rsid w:val="00320BC9"/>
    <w:rsid w:val="00322F60"/>
    <w:rsid w:val="00323B5D"/>
    <w:rsid w:val="00323B69"/>
    <w:rsid w:val="00324197"/>
    <w:rsid w:val="00324445"/>
    <w:rsid w:val="00324571"/>
    <w:rsid w:val="003272CA"/>
    <w:rsid w:val="00327647"/>
    <w:rsid w:val="00327C44"/>
    <w:rsid w:val="003317C4"/>
    <w:rsid w:val="00331BA1"/>
    <w:rsid w:val="00332361"/>
    <w:rsid w:val="00333161"/>
    <w:rsid w:val="003342B7"/>
    <w:rsid w:val="0033750D"/>
    <w:rsid w:val="00340015"/>
    <w:rsid w:val="00341183"/>
    <w:rsid w:val="00342D51"/>
    <w:rsid w:val="00344BB7"/>
    <w:rsid w:val="00347866"/>
    <w:rsid w:val="0035113C"/>
    <w:rsid w:val="003512C7"/>
    <w:rsid w:val="00352491"/>
    <w:rsid w:val="00353EB9"/>
    <w:rsid w:val="00353ED8"/>
    <w:rsid w:val="00353F29"/>
    <w:rsid w:val="00361DC4"/>
    <w:rsid w:val="0036311A"/>
    <w:rsid w:val="003650C7"/>
    <w:rsid w:val="00365525"/>
    <w:rsid w:val="003702AE"/>
    <w:rsid w:val="003703EF"/>
    <w:rsid w:val="00370875"/>
    <w:rsid w:val="00370F24"/>
    <w:rsid w:val="00372356"/>
    <w:rsid w:val="00372C3A"/>
    <w:rsid w:val="00372E1C"/>
    <w:rsid w:val="00373D8E"/>
    <w:rsid w:val="0037436C"/>
    <w:rsid w:val="00375C76"/>
    <w:rsid w:val="003805EC"/>
    <w:rsid w:val="00384868"/>
    <w:rsid w:val="0038694C"/>
    <w:rsid w:val="00387D5B"/>
    <w:rsid w:val="003912FA"/>
    <w:rsid w:val="00394030"/>
    <w:rsid w:val="00394963"/>
    <w:rsid w:val="003956F0"/>
    <w:rsid w:val="0039707B"/>
    <w:rsid w:val="003A1C3C"/>
    <w:rsid w:val="003A2C3A"/>
    <w:rsid w:val="003A47A5"/>
    <w:rsid w:val="003A5279"/>
    <w:rsid w:val="003A607A"/>
    <w:rsid w:val="003B0ECD"/>
    <w:rsid w:val="003B12A9"/>
    <w:rsid w:val="003B385B"/>
    <w:rsid w:val="003B3C88"/>
    <w:rsid w:val="003B46C6"/>
    <w:rsid w:val="003B4CF6"/>
    <w:rsid w:val="003B63A9"/>
    <w:rsid w:val="003B6761"/>
    <w:rsid w:val="003B6BE1"/>
    <w:rsid w:val="003C0A2B"/>
    <w:rsid w:val="003C1A10"/>
    <w:rsid w:val="003C1FD8"/>
    <w:rsid w:val="003C2013"/>
    <w:rsid w:val="003C2603"/>
    <w:rsid w:val="003C4CA7"/>
    <w:rsid w:val="003C5CDD"/>
    <w:rsid w:val="003C6091"/>
    <w:rsid w:val="003C6387"/>
    <w:rsid w:val="003C6BB6"/>
    <w:rsid w:val="003C775C"/>
    <w:rsid w:val="003C7880"/>
    <w:rsid w:val="003D2F5C"/>
    <w:rsid w:val="003E1C79"/>
    <w:rsid w:val="003E20A6"/>
    <w:rsid w:val="003E4AC0"/>
    <w:rsid w:val="003E5745"/>
    <w:rsid w:val="003E5BB7"/>
    <w:rsid w:val="003E6606"/>
    <w:rsid w:val="003F0337"/>
    <w:rsid w:val="003F046B"/>
    <w:rsid w:val="003F1924"/>
    <w:rsid w:val="003F1DEC"/>
    <w:rsid w:val="003F40AB"/>
    <w:rsid w:val="003F423C"/>
    <w:rsid w:val="003F5F5C"/>
    <w:rsid w:val="003F70CB"/>
    <w:rsid w:val="00400549"/>
    <w:rsid w:val="0040055A"/>
    <w:rsid w:val="004009A0"/>
    <w:rsid w:val="00400A18"/>
    <w:rsid w:val="0040127D"/>
    <w:rsid w:val="00401B86"/>
    <w:rsid w:val="00401E04"/>
    <w:rsid w:val="0040205C"/>
    <w:rsid w:val="00402734"/>
    <w:rsid w:val="004038C1"/>
    <w:rsid w:val="00403CF0"/>
    <w:rsid w:val="00404B7B"/>
    <w:rsid w:val="00410381"/>
    <w:rsid w:val="00413261"/>
    <w:rsid w:val="00413E68"/>
    <w:rsid w:val="0041432A"/>
    <w:rsid w:val="00414431"/>
    <w:rsid w:val="00415C67"/>
    <w:rsid w:val="004205FC"/>
    <w:rsid w:val="00420796"/>
    <w:rsid w:val="00420A07"/>
    <w:rsid w:val="00420A2B"/>
    <w:rsid w:val="0042107C"/>
    <w:rsid w:val="004223D8"/>
    <w:rsid w:val="00424164"/>
    <w:rsid w:val="004253F5"/>
    <w:rsid w:val="00427ABE"/>
    <w:rsid w:val="004307A0"/>
    <w:rsid w:val="00430DF8"/>
    <w:rsid w:val="0043148F"/>
    <w:rsid w:val="0043279F"/>
    <w:rsid w:val="0044322E"/>
    <w:rsid w:val="00443A96"/>
    <w:rsid w:val="00443D46"/>
    <w:rsid w:val="00444275"/>
    <w:rsid w:val="0044462A"/>
    <w:rsid w:val="004479AE"/>
    <w:rsid w:val="00447E1E"/>
    <w:rsid w:val="004506DC"/>
    <w:rsid w:val="00452CDE"/>
    <w:rsid w:val="00454179"/>
    <w:rsid w:val="00454623"/>
    <w:rsid w:val="0045482C"/>
    <w:rsid w:val="00454C17"/>
    <w:rsid w:val="00455318"/>
    <w:rsid w:val="004557D2"/>
    <w:rsid w:val="004559B0"/>
    <w:rsid w:val="00455AA8"/>
    <w:rsid w:val="004564BA"/>
    <w:rsid w:val="004579BA"/>
    <w:rsid w:val="004613AB"/>
    <w:rsid w:val="00461828"/>
    <w:rsid w:val="00463132"/>
    <w:rsid w:val="00465630"/>
    <w:rsid w:val="00465E34"/>
    <w:rsid w:val="004660B4"/>
    <w:rsid w:val="00470B39"/>
    <w:rsid w:val="004712FA"/>
    <w:rsid w:val="004718C7"/>
    <w:rsid w:val="00472C9D"/>
    <w:rsid w:val="0047307D"/>
    <w:rsid w:val="00473844"/>
    <w:rsid w:val="00474AC8"/>
    <w:rsid w:val="00477A8C"/>
    <w:rsid w:val="0048105B"/>
    <w:rsid w:val="00482617"/>
    <w:rsid w:val="004844EE"/>
    <w:rsid w:val="0048799D"/>
    <w:rsid w:val="004907EC"/>
    <w:rsid w:val="00490E93"/>
    <w:rsid w:val="004927B4"/>
    <w:rsid w:val="00494A63"/>
    <w:rsid w:val="00496939"/>
    <w:rsid w:val="004A0F53"/>
    <w:rsid w:val="004A2EE6"/>
    <w:rsid w:val="004A313B"/>
    <w:rsid w:val="004A6059"/>
    <w:rsid w:val="004A6103"/>
    <w:rsid w:val="004A795A"/>
    <w:rsid w:val="004B0357"/>
    <w:rsid w:val="004B06DB"/>
    <w:rsid w:val="004B0CDF"/>
    <w:rsid w:val="004B5814"/>
    <w:rsid w:val="004B64AD"/>
    <w:rsid w:val="004B6C46"/>
    <w:rsid w:val="004C0D05"/>
    <w:rsid w:val="004C0D33"/>
    <w:rsid w:val="004C11EE"/>
    <w:rsid w:val="004C26D4"/>
    <w:rsid w:val="004C5D2A"/>
    <w:rsid w:val="004C6BB6"/>
    <w:rsid w:val="004D0DD7"/>
    <w:rsid w:val="004D459B"/>
    <w:rsid w:val="004D6FD4"/>
    <w:rsid w:val="004E1CC0"/>
    <w:rsid w:val="004E3434"/>
    <w:rsid w:val="004E43FD"/>
    <w:rsid w:val="004E74F4"/>
    <w:rsid w:val="004E75C2"/>
    <w:rsid w:val="004E7842"/>
    <w:rsid w:val="004F002A"/>
    <w:rsid w:val="004F1844"/>
    <w:rsid w:val="004F30AA"/>
    <w:rsid w:val="004F360B"/>
    <w:rsid w:val="004F3FF5"/>
    <w:rsid w:val="004F48BE"/>
    <w:rsid w:val="004F5F64"/>
    <w:rsid w:val="004F6BB0"/>
    <w:rsid w:val="004F7412"/>
    <w:rsid w:val="00503555"/>
    <w:rsid w:val="00504041"/>
    <w:rsid w:val="0050414B"/>
    <w:rsid w:val="0050474A"/>
    <w:rsid w:val="00512748"/>
    <w:rsid w:val="005134DF"/>
    <w:rsid w:val="00514394"/>
    <w:rsid w:val="0051646C"/>
    <w:rsid w:val="005166DB"/>
    <w:rsid w:val="005243C0"/>
    <w:rsid w:val="00524B9E"/>
    <w:rsid w:val="005253DA"/>
    <w:rsid w:val="0052544D"/>
    <w:rsid w:val="00526891"/>
    <w:rsid w:val="0052722F"/>
    <w:rsid w:val="0053260A"/>
    <w:rsid w:val="005338E0"/>
    <w:rsid w:val="00535C78"/>
    <w:rsid w:val="0053747C"/>
    <w:rsid w:val="005413A9"/>
    <w:rsid w:val="005417FB"/>
    <w:rsid w:val="00542179"/>
    <w:rsid w:val="00542743"/>
    <w:rsid w:val="005441CA"/>
    <w:rsid w:val="00544C25"/>
    <w:rsid w:val="005459CB"/>
    <w:rsid w:val="0054629D"/>
    <w:rsid w:val="005464C4"/>
    <w:rsid w:val="00547C45"/>
    <w:rsid w:val="0055062E"/>
    <w:rsid w:val="005514D1"/>
    <w:rsid w:val="005536B4"/>
    <w:rsid w:val="0055589F"/>
    <w:rsid w:val="00557C5D"/>
    <w:rsid w:val="00560399"/>
    <w:rsid w:val="0056199E"/>
    <w:rsid w:val="00564FB9"/>
    <w:rsid w:val="005658F8"/>
    <w:rsid w:val="005673F4"/>
    <w:rsid w:val="005704C3"/>
    <w:rsid w:val="005730A6"/>
    <w:rsid w:val="005751E8"/>
    <w:rsid w:val="0057549D"/>
    <w:rsid w:val="00577B73"/>
    <w:rsid w:val="00577D1E"/>
    <w:rsid w:val="00585CD3"/>
    <w:rsid w:val="00586C0C"/>
    <w:rsid w:val="00590785"/>
    <w:rsid w:val="00591EB9"/>
    <w:rsid w:val="00592B87"/>
    <w:rsid w:val="00593E82"/>
    <w:rsid w:val="0059622E"/>
    <w:rsid w:val="005974E5"/>
    <w:rsid w:val="005975E2"/>
    <w:rsid w:val="005A02B0"/>
    <w:rsid w:val="005A0A79"/>
    <w:rsid w:val="005A0BC1"/>
    <w:rsid w:val="005A4E90"/>
    <w:rsid w:val="005A5554"/>
    <w:rsid w:val="005B4CB9"/>
    <w:rsid w:val="005B4E8E"/>
    <w:rsid w:val="005B5F5B"/>
    <w:rsid w:val="005B784A"/>
    <w:rsid w:val="005B7C6A"/>
    <w:rsid w:val="005C0E5A"/>
    <w:rsid w:val="005C1AAC"/>
    <w:rsid w:val="005C1D46"/>
    <w:rsid w:val="005C2A22"/>
    <w:rsid w:val="005C3558"/>
    <w:rsid w:val="005C4EC1"/>
    <w:rsid w:val="005C510F"/>
    <w:rsid w:val="005D0318"/>
    <w:rsid w:val="005D5FEA"/>
    <w:rsid w:val="005E2168"/>
    <w:rsid w:val="005E2575"/>
    <w:rsid w:val="005E337F"/>
    <w:rsid w:val="005E3986"/>
    <w:rsid w:val="005E5AA6"/>
    <w:rsid w:val="005E6BB5"/>
    <w:rsid w:val="005E6EAB"/>
    <w:rsid w:val="005E79F6"/>
    <w:rsid w:val="005F28D3"/>
    <w:rsid w:val="005F2F2E"/>
    <w:rsid w:val="005F3731"/>
    <w:rsid w:val="005F54C6"/>
    <w:rsid w:val="005F59F3"/>
    <w:rsid w:val="005F5B40"/>
    <w:rsid w:val="005F5C3E"/>
    <w:rsid w:val="00600D88"/>
    <w:rsid w:val="0060365C"/>
    <w:rsid w:val="006047B6"/>
    <w:rsid w:val="00604838"/>
    <w:rsid w:val="0060557E"/>
    <w:rsid w:val="0061207D"/>
    <w:rsid w:val="00612A73"/>
    <w:rsid w:val="00612CDF"/>
    <w:rsid w:val="00615373"/>
    <w:rsid w:val="00615B5E"/>
    <w:rsid w:val="00616F8D"/>
    <w:rsid w:val="00620BAB"/>
    <w:rsid w:val="00620F9E"/>
    <w:rsid w:val="006245AD"/>
    <w:rsid w:val="00624EBB"/>
    <w:rsid w:val="00624F25"/>
    <w:rsid w:val="006260FA"/>
    <w:rsid w:val="00626E2A"/>
    <w:rsid w:val="00630B4E"/>
    <w:rsid w:val="00630EB4"/>
    <w:rsid w:val="00631E98"/>
    <w:rsid w:val="00632F00"/>
    <w:rsid w:val="00634018"/>
    <w:rsid w:val="00636243"/>
    <w:rsid w:val="00636E5E"/>
    <w:rsid w:val="00637149"/>
    <w:rsid w:val="006373F6"/>
    <w:rsid w:val="00642A08"/>
    <w:rsid w:val="0064363A"/>
    <w:rsid w:val="006447E1"/>
    <w:rsid w:val="00645135"/>
    <w:rsid w:val="0064637E"/>
    <w:rsid w:val="00646457"/>
    <w:rsid w:val="00650E86"/>
    <w:rsid w:val="00651E5C"/>
    <w:rsid w:val="00653AF7"/>
    <w:rsid w:val="00656018"/>
    <w:rsid w:val="00657A58"/>
    <w:rsid w:val="006629FE"/>
    <w:rsid w:val="00662D1A"/>
    <w:rsid w:val="0066406C"/>
    <w:rsid w:val="00664E91"/>
    <w:rsid w:val="0066544A"/>
    <w:rsid w:val="00665CB1"/>
    <w:rsid w:val="0066686F"/>
    <w:rsid w:val="00667025"/>
    <w:rsid w:val="006753DA"/>
    <w:rsid w:val="00675522"/>
    <w:rsid w:val="00676AE6"/>
    <w:rsid w:val="006820EC"/>
    <w:rsid w:val="0068324A"/>
    <w:rsid w:val="006868CB"/>
    <w:rsid w:val="00690DC7"/>
    <w:rsid w:val="0069322E"/>
    <w:rsid w:val="00693A8E"/>
    <w:rsid w:val="0069414B"/>
    <w:rsid w:val="00694B87"/>
    <w:rsid w:val="00697A5B"/>
    <w:rsid w:val="006A0D02"/>
    <w:rsid w:val="006A190A"/>
    <w:rsid w:val="006A454E"/>
    <w:rsid w:val="006A589F"/>
    <w:rsid w:val="006A5C69"/>
    <w:rsid w:val="006A5E05"/>
    <w:rsid w:val="006A6C54"/>
    <w:rsid w:val="006A6FCC"/>
    <w:rsid w:val="006A7066"/>
    <w:rsid w:val="006B2EFA"/>
    <w:rsid w:val="006B5289"/>
    <w:rsid w:val="006B6F1A"/>
    <w:rsid w:val="006B7F5F"/>
    <w:rsid w:val="006C0DD8"/>
    <w:rsid w:val="006C29C4"/>
    <w:rsid w:val="006C31A2"/>
    <w:rsid w:val="006C6324"/>
    <w:rsid w:val="006C6C1C"/>
    <w:rsid w:val="006C776C"/>
    <w:rsid w:val="006D0109"/>
    <w:rsid w:val="006D092A"/>
    <w:rsid w:val="006D11F5"/>
    <w:rsid w:val="006D400C"/>
    <w:rsid w:val="006D4736"/>
    <w:rsid w:val="006D5A54"/>
    <w:rsid w:val="006D5EFB"/>
    <w:rsid w:val="006E00AA"/>
    <w:rsid w:val="006E10BD"/>
    <w:rsid w:val="006E21AE"/>
    <w:rsid w:val="006E384E"/>
    <w:rsid w:val="006E5DE4"/>
    <w:rsid w:val="006E65FB"/>
    <w:rsid w:val="006E6E64"/>
    <w:rsid w:val="006E753D"/>
    <w:rsid w:val="006F0E0F"/>
    <w:rsid w:val="006F293F"/>
    <w:rsid w:val="006F311A"/>
    <w:rsid w:val="006F45E5"/>
    <w:rsid w:val="006F4B82"/>
    <w:rsid w:val="006F6D60"/>
    <w:rsid w:val="006F6EC9"/>
    <w:rsid w:val="007002EB"/>
    <w:rsid w:val="00701950"/>
    <w:rsid w:val="00701E70"/>
    <w:rsid w:val="00702992"/>
    <w:rsid w:val="007046F7"/>
    <w:rsid w:val="007064B2"/>
    <w:rsid w:val="00712BED"/>
    <w:rsid w:val="007154C9"/>
    <w:rsid w:val="0071650C"/>
    <w:rsid w:val="00720A24"/>
    <w:rsid w:val="00720B61"/>
    <w:rsid w:val="00721094"/>
    <w:rsid w:val="00722047"/>
    <w:rsid w:val="007245DC"/>
    <w:rsid w:val="007307DE"/>
    <w:rsid w:val="00730D50"/>
    <w:rsid w:val="00737493"/>
    <w:rsid w:val="007407DD"/>
    <w:rsid w:val="00741711"/>
    <w:rsid w:val="0074365F"/>
    <w:rsid w:val="007438A8"/>
    <w:rsid w:val="0074461B"/>
    <w:rsid w:val="007453F8"/>
    <w:rsid w:val="00745867"/>
    <w:rsid w:val="00746F13"/>
    <w:rsid w:val="00747988"/>
    <w:rsid w:val="007502A6"/>
    <w:rsid w:val="007502D8"/>
    <w:rsid w:val="007506C0"/>
    <w:rsid w:val="00750F0C"/>
    <w:rsid w:val="007511FA"/>
    <w:rsid w:val="00753A7B"/>
    <w:rsid w:val="00756701"/>
    <w:rsid w:val="007576FE"/>
    <w:rsid w:val="00764EDB"/>
    <w:rsid w:val="00764FD7"/>
    <w:rsid w:val="0076702C"/>
    <w:rsid w:val="007677BC"/>
    <w:rsid w:val="00767A5A"/>
    <w:rsid w:val="00767C65"/>
    <w:rsid w:val="00771A08"/>
    <w:rsid w:val="00773978"/>
    <w:rsid w:val="0077438A"/>
    <w:rsid w:val="00775198"/>
    <w:rsid w:val="00777758"/>
    <w:rsid w:val="00780BDF"/>
    <w:rsid w:val="00781676"/>
    <w:rsid w:val="00781C47"/>
    <w:rsid w:val="00782DB2"/>
    <w:rsid w:val="007833D0"/>
    <w:rsid w:val="00786AD5"/>
    <w:rsid w:val="00786BB7"/>
    <w:rsid w:val="00786F9C"/>
    <w:rsid w:val="00787443"/>
    <w:rsid w:val="00790636"/>
    <w:rsid w:val="00790A42"/>
    <w:rsid w:val="00790B89"/>
    <w:rsid w:val="00790E7E"/>
    <w:rsid w:val="00791A36"/>
    <w:rsid w:val="00791AB4"/>
    <w:rsid w:val="00794854"/>
    <w:rsid w:val="00794A60"/>
    <w:rsid w:val="00795FDD"/>
    <w:rsid w:val="00796843"/>
    <w:rsid w:val="00797637"/>
    <w:rsid w:val="007A0695"/>
    <w:rsid w:val="007A2ABC"/>
    <w:rsid w:val="007A32FF"/>
    <w:rsid w:val="007A3F1B"/>
    <w:rsid w:val="007A4D2A"/>
    <w:rsid w:val="007A536E"/>
    <w:rsid w:val="007A56E7"/>
    <w:rsid w:val="007A5A3A"/>
    <w:rsid w:val="007A60A9"/>
    <w:rsid w:val="007A6DB9"/>
    <w:rsid w:val="007A792D"/>
    <w:rsid w:val="007B09E5"/>
    <w:rsid w:val="007B38E7"/>
    <w:rsid w:val="007B39E2"/>
    <w:rsid w:val="007B5C7C"/>
    <w:rsid w:val="007B619C"/>
    <w:rsid w:val="007C1BF0"/>
    <w:rsid w:val="007C201D"/>
    <w:rsid w:val="007C396F"/>
    <w:rsid w:val="007C3B22"/>
    <w:rsid w:val="007C3FE3"/>
    <w:rsid w:val="007C5849"/>
    <w:rsid w:val="007C60CF"/>
    <w:rsid w:val="007C644B"/>
    <w:rsid w:val="007C6C85"/>
    <w:rsid w:val="007D0FA0"/>
    <w:rsid w:val="007D1EEA"/>
    <w:rsid w:val="007D39EA"/>
    <w:rsid w:val="007D4BE9"/>
    <w:rsid w:val="007E016F"/>
    <w:rsid w:val="007E01BA"/>
    <w:rsid w:val="007E0411"/>
    <w:rsid w:val="007E0963"/>
    <w:rsid w:val="007E0B78"/>
    <w:rsid w:val="007E3386"/>
    <w:rsid w:val="007E3675"/>
    <w:rsid w:val="007E46AD"/>
    <w:rsid w:val="007E4846"/>
    <w:rsid w:val="007E4F82"/>
    <w:rsid w:val="007E5700"/>
    <w:rsid w:val="007E7A3F"/>
    <w:rsid w:val="007F459A"/>
    <w:rsid w:val="007F6A76"/>
    <w:rsid w:val="00803E59"/>
    <w:rsid w:val="00806395"/>
    <w:rsid w:val="0080642B"/>
    <w:rsid w:val="00810859"/>
    <w:rsid w:val="0081106D"/>
    <w:rsid w:val="00816C60"/>
    <w:rsid w:val="0081758B"/>
    <w:rsid w:val="00820335"/>
    <w:rsid w:val="008209ED"/>
    <w:rsid w:val="00823857"/>
    <w:rsid w:val="00824987"/>
    <w:rsid w:val="008256BD"/>
    <w:rsid w:val="0082635D"/>
    <w:rsid w:val="00826B01"/>
    <w:rsid w:val="00830DC8"/>
    <w:rsid w:val="00831849"/>
    <w:rsid w:val="008328A7"/>
    <w:rsid w:val="008338C1"/>
    <w:rsid w:val="00835F06"/>
    <w:rsid w:val="00841872"/>
    <w:rsid w:val="00842473"/>
    <w:rsid w:val="008440DF"/>
    <w:rsid w:val="00844812"/>
    <w:rsid w:val="008452C3"/>
    <w:rsid w:val="008506FA"/>
    <w:rsid w:val="0085310E"/>
    <w:rsid w:val="00853265"/>
    <w:rsid w:val="00853C20"/>
    <w:rsid w:val="00854608"/>
    <w:rsid w:val="00854A40"/>
    <w:rsid w:val="00855003"/>
    <w:rsid w:val="00855CD6"/>
    <w:rsid w:val="008575D6"/>
    <w:rsid w:val="00860F34"/>
    <w:rsid w:val="008620C0"/>
    <w:rsid w:val="008627A5"/>
    <w:rsid w:val="00862931"/>
    <w:rsid w:val="008674B5"/>
    <w:rsid w:val="008710E1"/>
    <w:rsid w:val="00871678"/>
    <w:rsid w:val="00871992"/>
    <w:rsid w:val="00873321"/>
    <w:rsid w:val="00873571"/>
    <w:rsid w:val="00873F7C"/>
    <w:rsid w:val="008812FE"/>
    <w:rsid w:val="0088155C"/>
    <w:rsid w:val="0088239C"/>
    <w:rsid w:val="00882E98"/>
    <w:rsid w:val="00883E65"/>
    <w:rsid w:val="00886409"/>
    <w:rsid w:val="0088677B"/>
    <w:rsid w:val="00891D23"/>
    <w:rsid w:val="00892F42"/>
    <w:rsid w:val="00896A20"/>
    <w:rsid w:val="008A0625"/>
    <w:rsid w:val="008A0C00"/>
    <w:rsid w:val="008A17D5"/>
    <w:rsid w:val="008A32F4"/>
    <w:rsid w:val="008A3776"/>
    <w:rsid w:val="008A445A"/>
    <w:rsid w:val="008A6069"/>
    <w:rsid w:val="008A62E7"/>
    <w:rsid w:val="008A7566"/>
    <w:rsid w:val="008B035F"/>
    <w:rsid w:val="008B08D9"/>
    <w:rsid w:val="008B1FB5"/>
    <w:rsid w:val="008B24DB"/>
    <w:rsid w:val="008B3701"/>
    <w:rsid w:val="008B4BB0"/>
    <w:rsid w:val="008B5DC4"/>
    <w:rsid w:val="008B6DB1"/>
    <w:rsid w:val="008B75CF"/>
    <w:rsid w:val="008C00CD"/>
    <w:rsid w:val="008C0505"/>
    <w:rsid w:val="008C0FD4"/>
    <w:rsid w:val="008C5437"/>
    <w:rsid w:val="008C7A44"/>
    <w:rsid w:val="008D4274"/>
    <w:rsid w:val="008D441A"/>
    <w:rsid w:val="008D4426"/>
    <w:rsid w:val="008D46D4"/>
    <w:rsid w:val="008D50F2"/>
    <w:rsid w:val="008D776A"/>
    <w:rsid w:val="008E00E3"/>
    <w:rsid w:val="008E32C5"/>
    <w:rsid w:val="008E3C53"/>
    <w:rsid w:val="008E51DD"/>
    <w:rsid w:val="008E630F"/>
    <w:rsid w:val="008E652B"/>
    <w:rsid w:val="008E6626"/>
    <w:rsid w:val="008E7DCA"/>
    <w:rsid w:val="008E7DFC"/>
    <w:rsid w:val="008F1374"/>
    <w:rsid w:val="008F15BF"/>
    <w:rsid w:val="008F1AD5"/>
    <w:rsid w:val="008F3FE1"/>
    <w:rsid w:val="008F44BF"/>
    <w:rsid w:val="008F51D4"/>
    <w:rsid w:val="008F7159"/>
    <w:rsid w:val="008F720A"/>
    <w:rsid w:val="008F791D"/>
    <w:rsid w:val="00900063"/>
    <w:rsid w:val="0090070C"/>
    <w:rsid w:val="00901874"/>
    <w:rsid w:val="00901A14"/>
    <w:rsid w:val="009029B3"/>
    <w:rsid w:val="00904A25"/>
    <w:rsid w:val="009078FD"/>
    <w:rsid w:val="009101E8"/>
    <w:rsid w:val="009114A6"/>
    <w:rsid w:val="00914726"/>
    <w:rsid w:val="009159F5"/>
    <w:rsid w:val="00916611"/>
    <w:rsid w:val="00917CE7"/>
    <w:rsid w:val="0092065E"/>
    <w:rsid w:val="009235B7"/>
    <w:rsid w:val="0092388A"/>
    <w:rsid w:val="00924A87"/>
    <w:rsid w:val="0092659F"/>
    <w:rsid w:val="00927659"/>
    <w:rsid w:val="0093042F"/>
    <w:rsid w:val="0093171B"/>
    <w:rsid w:val="00932238"/>
    <w:rsid w:val="009324DD"/>
    <w:rsid w:val="00932D87"/>
    <w:rsid w:val="0093446F"/>
    <w:rsid w:val="00935046"/>
    <w:rsid w:val="00936EDB"/>
    <w:rsid w:val="00941496"/>
    <w:rsid w:val="00942515"/>
    <w:rsid w:val="0094262E"/>
    <w:rsid w:val="0094405A"/>
    <w:rsid w:val="009457C2"/>
    <w:rsid w:val="00945AA1"/>
    <w:rsid w:val="00947621"/>
    <w:rsid w:val="009500FB"/>
    <w:rsid w:val="00950175"/>
    <w:rsid w:val="00950F14"/>
    <w:rsid w:val="00953675"/>
    <w:rsid w:val="00955EFC"/>
    <w:rsid w:val="009562F2"/>
    <w:rsid w:val="00960192"/>
    <w:rsid w:val="0096225A"/>
    <w:rsid w:val="00963484"/>
    <w:rsid w:val="00964C54"/>
    <w:rsid w:val="0096533C"/>
    <w:rsid w:val="0096670C"/>
    <w:rsid w:val="009669FE"/>
    <w:rsid w:val="00970914"/>
    <w:rsid w:val="00973D30"/>
    <w:rsid w:val="0097475A"/>
    <w:rsid w:val="00974ACB"/>
    <w:rsid w:val="00975969"/>
    <w:rsid w:val="00975B41"/>
    <w:rsid w:val="00976DC0"/>
    <w:rsid w:val="009837D9"/>
    <w:rsid w:val="0098380B"/>
    <w:rsid w:val="009850BE"/>
    <w:rsid w:val="0098597F"/>
    <w:rsid w:val="0098725C"/>
    <w:rsid w:val="0099326A"/>
    <w:rsid w:val="0099328E"/>
    <w:rsid w:val="00994A2C"/>
    <w:rsid w:val="00994CC7"/>
    <w:rsid w:val="00997060"/>
    <w:rsid w:val="009A0779"/>
    <w:rsid w:val="009A08E2"/>
    <w:rsid w:val="009A3747"/>
    <w:rsid w:val="009A56C8"/>
    <w:rsid w:val="009A6CB7"/>
    <w:rsid w:val="009A6FD3"/>
    <w:rsid w:val="009B104F"/>
    <w:rsid w:val="009B2B2A"/>
    <w:rsid w:val="009B345D"/>
    <w:rsid w:val="009B5C22"/>
    <w:rsid w:val="009C0A88"/>
    <w:rsid w:val="009C76FE"/>
    <w:rsid w:val="009C793D"/>
    <w:rsid w:val="009D1454"/>
    <w:rsid w:val="009D1816"/>
    <w:rsid w:val="009D5A6D"/>
    <w:rsid w:val="009D6A2A"/>
    <w:rsid w:val="009D72B5"/>
    <w:rsid w:val="009E1220"/>
    <w:rsid w:val="009E2573"/>
    <w:rsid w:val="009E28D9"/>
    <w:rsid w:val="009E32CD"/>
    <w:rsid w:val="009E3762"/>
    <w:rsid w:val="009E3E64"/>
    <w:rsid w:val="009E425E"/>
    <w:rsid w:val="009F063F"/>
    <w:rsid w:val="009F1791"/>
    <w:rsid w:val="009F3F11"/>
    <w:rsid w:val="009F42B2"/>
    <w:rsid w:val="009F4A32"/>
    <w:rsid w:val="00A0154A"/>
    <w:rsid w:val="00A02C6A"/>
    <w:rsid w:val="00A03D6D"/>
    <w:rsid w:val="00A04874"/>
    <w:rsid w:val="00A04AC2"/>
    <w:rsid w:val="00A04EC3"/>
    <w:rsid w:val="00A05C2D"/>
    <w:rsid w:val="00A07441"/>
    <w:rsid w:val="00A10BA0"/>
    <w:rsid w:val="00A1349D"/>
    <w:rsid w:val="00A14083"/>
    <w:rsid w:val="00A14D64"/>
    <w:rsid w:val="00A17791"/>
    <w:rsid w:val="00A17A03"/>
    <w:rsid w:val="00A21093"/>
    <w:rsid w:val="00A26108"/>
    <w:rsid w:val="00A27FF5"/>
    <w:rsid w:val="00A31A97"/>
    <w:rsid w:val="00A31E21"/>
    <w:rsid w:val="00A33947"/>
    <w:rsid w:val="00A37D8E"/>
    <w:rsid w:val="00A406A4"/>
    <w:rsid w:val="00A40B1B"/>
    <w:rsid w:val="00A4187F"/>
    <w:rsid w:val="00A50076"/>
    <w:rsid w:val="00A50D94"/>
    <w:rsid w:val="00A5327C"/>
    <w:rsid w:val="00A548DD"/>
    <w:rsid w:val="00A618DF"/>
    <w:rsid w:val="00A64BC7"/>
    <w:rsid w:val="00A6566E"/>
    <w:rsid w:val="00A6710A"/>
    <w:rsid w:val="00A67AC7"/>
    <w:rsid w:val="00A7031C"/>
    <w:rsid w:val="00A7074F"/>
    <w:rsid w:val="00A71194"/>
    <w:rsid w:val="00A74A2E"/>
    <w:rsid w:val="00A74B10"/>
    <w:rsid w:val="00A752D3"/>
    <w:rsid w:val="00A7578B"/>
    <w:rsid w:val="00A757DA"/>
    <w:rsid w:val="00A7617E"/>
    <w:rsid w:val="00A83671"/>
    <w:rsid w:val="00A83744"/>
    <w:rsid w:val="00A853FA"/>
    <w:rsid w:val="00A85969"/>
    <w:rsid w:val="00A85F16"/>
    <w:rsid w:val="00A90539"/>
    <w:rsid w:val="00A90A51"/>
    <w:rsid w:val="00A9374F"/>
    <w:rsid w:val="00A93951"/>
    <w:rsid w:val="00A93DB9"/>
    <w:rsid w:val="00A9472A"/>
    <w:rsid w:val="00A96913"/>
    <w:rsid w:val="00AA0B4E"/>
    <w:rsid w:val="00AA1DB4"/>
    <w:rsid w:val="00AA2845"/>
    <w:rsid w:val="00AA2C7B"/>
    <w:rsid w:val="00AA4475"/>
    <w:rsid w:val="00AA4B10"/>
    <w:rsid w:val="00AB0332"/>
    <w:rsid w:val="00AB0E8F"/>
    <w:rsid w:val="00AB18E6"/>
    <w:rsid w:val="00AB256D"/>
    <w:rsid w:val="00AB5DE7"/>
    <w:rsid w:val="00AC22C7"/>
    <w:rsid w:val="00AC3311"/>
    <w:rsid w:val="00AC4129"/>
    <w:rsid w:val="00AC47D2"/>
    <w:rsid w:val="00AC5164"/>
    <w:rsid w:val="00AC77B7"/>
    <w:rsid w:val="00AC7994"/>
    <w:rsid w:val="00AD0AC7"/>
    <w:rsid w:val="00AD0C9D"/>
    <w:rsid w:val="00AD1223"/>
    <w:rsid w:val="00AD1327"/>
    <w:rsid w:val="00AD1B53"/>
    <w:rsid w:val="00AD38DD"/>
    <w:rsid w:val="00AD40EC"/>
    <w:rsid w:val="00AD46EE"/>
    <w:rsid w:val="00AE0C52"/>
    <w:rsid w:val="00AE3B02"/>
    <w:rsid w:val="00AE3F7D"/>
    <w:rsid w:val="00AE50A7"/>
    <w:rsid w:val="00AE6B9F"/>
    <w:rsid w:val="00AF128E"/>
    <w:rsid w:val="00AF23B2"/>
    <w:rsid w:val="00AF3ACE"/>
    <w:rsid w:val="00AF46FF"/>
    <w:rsid w:val="00AF4F42"/>
    <w:rsid w:val="00AF6CB4"/>
    <w:rsid w:val="00AF76D1"/>
    <w:rsid w:val="00AF7ABE"/>
    <w:rsid w:val="00AF7D4A"/>
    <w:rsid w:val="00B005C4"/>
    <w:rsid w:val="00B0094E"/>
    <w:rsid w:val="00B01FF5"/>
    <w:rsid w:val="00B0276E"/>
    <w:rsid w:val="00B043F9"/>
    <w:rsid w:val="00B04FD7"/>
    <w:rsid w:val="00B10363"/>
    <w:rsid w:val="00B11614"/>
    <w:rsid w:val="00B125DB"/>
    <w:rsid w:val="00B13310"/>
    <w:rsid w:val="00B134DB"/>
    <w:rsid w:val="00B16080"/>
    <w:rsid w:val="00B16134"/>
    <w:rsid w:val="00B1685D"/>
    <w:rsid w:val="00B16ED0"/>
    <w:rsid w:val="00B22107"/>
    <w:rsid w:val="00B22FA6"/>
    <w:rsid w:val="00B231EA"/>
    <w:rsid w:val="00B240BB"/>
    <w:rsid w:val="00B25731"/>
    <w:rsid w:val="00B26083"/>
    <w:rsid w:val="00B27477"/>
    <w:rsid w:val="00B31AC3"/>
    <w:rsid w:val="00B31BD7"/>
    <w:rsid w:val="00B327E5"/>
    <w:rsid w:val="00B35679"/>
    <w:rsid w:val="00B35BFC"/>
    <w:rsid w:val="00B36DA9"/>
    <w:rsid w:val="00B41D79"/>
    <w:rsid w:val="00B470BA"/>
    <w:rsid w:val="00B50ED8"/>
    <w:rsid w:val="00B51DB8"/>
    <w:rsid w:val="00B53353"/>
    <w:rsid w:val="00B54F80"/>
    <w:rsid w:val="00B562C0"/>
    <w:rsid w:val="00B56FC8"/>
    <w:rsid w:val="00B5779E"/>
    <w:rsid w:val="00B601E7"/>
    <w:rsid w:val="00B60237"/>
    <w:rsid w:val="00B67AB9"/>
    <w:rsid w:val="00B67D67"/>
    <w:rsid w:val="00B7037A"/>
    <w:rsid w:val="00B71E18"/>
    <w:rsid w:val="00B725E4"/>
    <w:rsid w:val="00B73133"/>
    <w:rsid w:val="00B736FD"/>
    <w:rsid w:val="00B74855"/>
    <w:rsid w:val="00B75376"/>
    <w:rsid w:val="00B778D7"/>
    <w:rsid w:val="00B8149E"/>
    <w:rsid w:val="00B84874"/>
    <w:rsid w:val="00B8561E"/>
    <w:rsid w:val="00B85ECA"/>
    <w:rsid w:val="00B87E11"/>
    <w:rsid w:val="00B9007B"/>
    <w:rsid w:val="00B93D05"/>
    <w:rsid w:val="00B942CD"/>
    <w:rsid w:val="00B94388"/>
    <w:rsid w:val="00B9454D"/>
    <w:rsid w:val="00B9495B"/>
    <w:rsid w:val="00B94CEE"/>
    <w:rsid w:val="00B966FE"/>
    <w:rsid w:val="00BA0A57"/>
    <w:rsid w:val="00BA72A5"/>
    <w:rsid w:val="00BB0986"/>
    <w:rsid w:val="00BB107B"/>
    <w:rsid w:val="00BB25ED"/>
    <w:rsid w:val="00BB3F90"/>
    <w:rsid w:val="00BB51F5"/>
    <w:rsid w:val="00BB63C5"/>
    <w:rsid w:val="00BB666C"/>
    <w:rsid w:val="00BB73D1"/>
    <w:rsid w:val="00BB7683"/>
    <w:rsid w:val="00BC0644"/>
    <w:rsid w:val="00BC0F2C"/>
    <w:rsid w:val="00BC2D60"/>
    <w:rsid w:val="00BC3651"/>
    <w:rsid w:val="00BC4288"/>
    <w:rsid w:val="00BC4BD5"/>
    <w:rsid w:val="00BC5594"/>
    <w:rsid w:val="00BD252F"/>
    <w:rsid w:val="00BD25A0"/>
    <w:rsid w:val="00BD292B"/>
    <w:rsid w:val="00BD4A4A"/>
    <w:rsid w:val="00BE23B7"/>
    <w:rsid w:val="00BE2404"/>
    <w:rsid w:val="00BE305C"/>
    <w:rsid w:val="00BE3944"/>
    <w:rsid w:val="00BF1622"/>
    <w:rsid w:val="00BF3B0B"/>
    <w:rsid w:val="00BF4503"/>
    <w:rsid w:val="00BF7E2C"/>
    <w:rsid w:val="00C00292"/>
    <w:rsid w:val="00C03587"/>
    <w:rsid w:val="00C03B8F"/>
    <w:rsid w:val="00C054A2"/>
    <w:rsid w:val="00C10B8A"/>
    <w:rsid w:val="00C110E4"/>
    <w:rsid w:val="00C1185B"/>
    <w:rsid w:val="00C133F8"/>
    <w:rsid w:val="00C1348D"/>
    <w:rsid w:val="00C16FD8"/>
    <w:rsid w:val="00C202C9"/>
    <w:rsid w:val="00C21D50"/>
    <w:rsid w:val="00C23EC3"/>
    <w:rsid w:val="00C26458"/>
    <w:rsid w:val="00C27CDA"/>
    <w:rsid w:val="00C32113"/>
    <w:rsid w:val="00C32602"/>
    <w:rsid w:val="00C32991"/>
    <w:rsid w:val="00C33277"/>
    <w:rsid w:val="00C33D10"/>
    <w:rsid w:val="00C34843"/>
    <w:rsid w:val="00C35212"/>
    <w:rsid w:val="00C368F4"/>
    <w:rsid w:val="00C41551"/>
    <w:rsid w:val="00C432D2"/>
    <w:rsid w:val="00C43F84"/>
    <w:rsid w:val="00C44666"/>
    <w:rsid w:val="00C45ED4"/>
    <w:rsid w:val="00C45FF8"/>
    <w:rsid w:val="00C478A7"/>
    <w:rsid w:val="00C47E39"/>
    <w:rsid w:val="00C53DC0"/>
    <w:rsid w:val="00C546E4"/>
    <w:rsid w:val="00C60440"/>
    <w:rsid w:val="00C60BAC"/>
    <w:rsid w:val="00C611D8"/>
    <w:rsid w:val="00C61F5F"/>
    <w:rsid w:val="00C643D6"/>
    <w:rsid w:val="00C6659F"/>
    <w:rsid w:val="00C66F11"/>
    <w:rsid w:val="00C70060"/>
    <w:rsid w:val="00C707A6"/>
    <w:rsid w:val="00C70C33"/>
    <w:rsid w:val="00C70FB8"/>
    <w:rsid w:val="00C74213"/>
    <w:rsid w:val="00C752C0"/>
    <w:rsid w:val="00C77899"/>
    <w:rsid w:val="00C77E72"/>
    <w:rsid w:val="00C77E77"/>
    <w:rsid w:val="00C80AE3"/>
    <w:rsid w:val="00C8186A"/>
    <w:rsid w:val="00C82A6C"/>
    <w:rsid w:val="00C82B10"/>
    <w:rsid w:val="00C836EB"/>
    <w:rsid w:val="00C87B10"/>
    <w:rsid w:val="00C920BA"/>
    <w:rsid w:val="00C92E13"/>
    <w:rsid w:val="00C93415"/>
    <w:rsid w:val="00C93C72"/>
    <w:rsid w:val="00C94327"/>
    <w:rsid w:val="00C94C5A"/>
    <w:rsid w:val="00C94EFF"/>
    <w:rsid w:val="00C97A20"/>
    <w:rsid w:val="00CA0C59"/>
    <w:rsid w:val="00CA2850"/>
    <w:rsid w:val="00CA2BD8"/>
    <w:rsid w:val="00CA40D3"/>
    <w:rsid w:val="00CA61CA"/>
    <w:rsid w:val="00CA749B"/>
    <w:rsid w:val="00CB06EF"/>
    <w:rsid w:val="00CB14AD"/>
    <w:rsid w:val="00CB2528"/>
    <w:rsid w:val="00CB449F"/>
    <w:rsid w:val="00CB49C6"/>
    <w:rsid w:val="00CB5085"/>
    <w:rsid w:val="00CB69CE"/>
    <w:rsid w:val="00CB7622"/>
    <w:rsid w:val="00CB76C7"/>
    <w:rsid w:val="00CC1386"/>
    <w:rsid w:val="00CC23A7"/>
    <w:rsid w:val="00CC379C"/>
    <w:rsid w:val="00CC4B85"/>
    <w:rsid w:val="00CC593A"/>
    <w:rsid w:val="00CC5CD3"/>
    <w:rsid w:val="00CD1174"/>
    <w:rsid w:val="00CD1D21"/>
    <w:rsid w:val="00CD26B8"/>
    <w:rsid w:val="00CD3C63"/>
    <w:rsid w:val="00CD424A"/>
    <w:rsid w:val="00CD45C3"/>
    <w:rsid w:val="00CE1951"/>
    <w:rsid w:val="00CE3303"/>
    <w:rsid w:val="00CE494C"/>
    <w:rsid w:val="00CE4AE4"/>
    <w:rsid w:val="00CE7746"/>
    <w:rsid w:val="00CE7923"/>
    <w:rsid w:val="00CF09C0"/>
    <w:rsid w:val="00CF0A7B"/>
    <w:rsid w:val="00CF2DB6"/>
    <w:rsid w:val="00CF361A"/>
    <w:rsid w:val="00CF3EDF"/>
    <w:rsid w:val="00CF496B"/>
    <w:rsid w:val="00CF593E"/>
    <w:rsid w:val="00D0215C"/>
    <w:rsid w:val="00D049F0"/>
    <w:rsid w:val="00D06304"/>
    <w:rsid w:val="00D0630F"/>
    <w:rsid w:val="00D07F32"/>
    <w:rsid w:val="00D1011D"/>
    <w:rsid w:val="00D13B6B"/>
    <w:rsid w:val="00D143A6"/>
    <w:rsid w:val="00D1500C"/>
    <w:rsid w:val="00D15717"/>
    <w:rsid w:val="00D1664C"/>
    <w:rsid w:val="00D17EC2"/>
    <w:rsid w:val="00D23346"/>
    <w:rsid w:val="00D23FCE"/>
    <w:rsid w:val="00D24D2C"/>
    <w:rsid w:val="00D2609A"/>
    <w:rsid w:val="00D26983"/>
    <w:rsid w:val="00D26A29"/>
    <w:rsid w:val="00D303AF"/>
    <w:rsid w:val="00D307AB"/>
    <w:rsid w:val="00D30D2E"/>
    <w:rsid w:val="00D313EF"/>
    <w:rsid w:val="00D32153"/>
    <w:rsid w:val="00D32FE3"/>
    <w:rsid w:val="00D34963"/>
    <w:rsid w:val="00D3667A"/>
    <w:rsid w:val="00D40A1A"/>
    <w:rsid w:val="00D41AF0"/>
    <w:rsid w:val="00D41BCC"/>
    <w:rsid w:val="00D421E9"/>
    <w:rsid w:val="00D44C92"/>
    <w:rsid w:val="00D44E2F"/>
    <w:rsid w:val="00D46199"/>
    <w:rsid w:val="00D479D5"/>
    <w:rsid w:val="00D50709"/>
    <w:rsid w:val="00D519FF"/>
    <w:rsid w:val="00D538DE"/>
    <w:rsid w:val="00D54FEF"/>
    <w:rsid w:val="00D5544E"/>
    <w:rsid w:val="00D56999"/>
    <w:rsid w:val="00D57C02"/>
    <w:rsid w:val="00D57C76"/>
    <w:rsid w:val="00D57FF3"/>
    <w:rsid w:val="00D64EB2"/>
    <w:rsid w:val="00D67711"/>
    <w:rsid w:val="00D70426"/>
    <w:rsid w:val="00D712D1"/>
    <w:rsid w:val="00D7192B"/>
    <w:rsid w:val="00D74301"/>
    <w:rsid w:val="00D74419"/>
    <w:rsid w:val="00D749F0"/>
    <w:rsid w:val="00D74A24"/>
    <w:rsid w:val="00D7668B"/>
    <w:rsid w:val="00D77DAE"/>
    <w:rsid w:val="00D804AB"/>
    <w:rsid w:val="00D83446"/>
    <w:rsid w:val="00D835F8"/>
    <w:rsid w:val="00D83B27"/>
    <w:rsid w:val="00D84DF3"/>
    <w:rsid w:val="00D851FD"/>
    <w:rsid w:val="00D87A6E"/>
    <w:rsid w:val="00D87C00"/>
    <w:rsid w:val="00D900C0"/>
    <w:rsid w:val="00D90414"/>
    <w:rsid w:val="00D92DA6"/>
    <w:rsid w:val="00D93629"/>
    <w:rsid w:val="00D9484F"/>
    <w:rsid w:val="00D956CC"/>
    <w:rsid w:val="00D95C03"/>
    <w:rsid w:val="00DA0028"/>
    <w:rsid w:val="00DA0EDB"/>
    <w:rsid w:val="00DA1EFB"/>
    <w:rsid w:val="00DA2550"/>
    <w:rsid w:val="00DA40FD"/>
    <w:rsid w:val="00DA61EE"/>
    <w:rsid w:val="00DA682B"/>
    <w:rsid w:val="00DA782F"/>
    <w:rsid w:val="00DB01C1"/>
    <w:rsid w:val="00DB067A"/>
    <w:rsid w:val="00DB10AF"/>
    <w:rsid w:val="00DB3470"/>
    <w:rsid w:val="00DB6677"/>
    <w:rsid w:val="00DC03AC"/>
    <w:rsid w:val="00DC1772"/>
    <w:rsid w:val="00DC2B43"/>
    <w:rsid w:val="00DC39E1"/>
    <w:rsid w:val="00DC53CD"/>
    <w:rsid w:val="00DC7D54"/>
    <w:rsid w:val="00DD2C05"/>
    <w:rsid w:val="00DD3024"/>
    <w:rsid w:val="00DD31BD"/>
    <w:rsid w:val="00DD331A"/>
    <w:rsid w:val="00DD4281"/>
    <w:rsid w:val="00DD6FCA"/>
    <w:rsid w:val="00DD725C"/>
    <w:rsid w:val="00DD7A2D"/>
    <w:rsid w:val="00DE20FD"/>
    <w:rsid w:val="00DE47CC"/>
    <w:rsid w:val="00DE6142"/>
    <w:rsid w:val="00DE7327"/>
    <w:rsid w:val="00DE74CC"/>
    <w:rsid w:val="00DF0814"/>
    <w:rsid w:val="00DF14EB"/>
    <w:rsid w:val="00DF1A7E"/>
    <w:rsid w:val="00DF30A2"/>
    <w:rsid w:val="00DF34FA"/>
    <w:rsid w:val="00E015FB"/>
    <w:rsid w:val="00E03639"/>
    <w:rsid w:val="00E03EDE"/>
    <w:rsid w:val="00E05957"/>
    <w:rsid w:val="00E0697B"/>
    <w:rsid w:val="00E105BA"/>
    <w:rsid w:val="00E1184F"/>
    <w:rsid w:val="00E12640"/>
    <w:rsid w:val="00E138E6"/>
    <w:rsid w:val="00E143AE"/>
    <w:rsid w:val="00E157D8"/>
    <w:rsid w:val="00E15D02"/>
    <w:rsid w:val="00E1720E"/>
    <w:rsid w:val="00E2139A"/>
    <w:rsid w:val="00E220CA"/>
    <w:rsid w:val="00E2232F"/>
    <w:rsid w:val="00E26130"/>
    <w:rsid w:val="00E27EA5"/>
    <w:rsid w:val="00E30470"/>
    <w:rsid w:val="00E330E9"/>
    <w:rsid w:val="00E35BA9"/>
    <w:rsid w:val="00E36377"/>
    <w:rsid w:val="00E411FA"/>
    <w:rsid w:val="00E4363A"/>
    <w:rsid w:val="00E44A98"/>
    <w:rsid w:val="00E456EC"/>
    <w:rsid w:val="00E47E7D"/>
    <w:rsid w:val="00E5192E"/>
    <w:rsid w:val="00E529CD"/>
    <w:rsid w:val="00E540B9"/>
    <w:rsid w:val="00E540CE"/>
    <w:rsid w:val="00E549DF"/>
    <w:rsid w:val="00E551B3"/>
    <w:rsid w:val="00E57FB2"/>
    <w:rsid w:val="00E64AD5"/>
    <w:rsid w:val="00E64B17"/>
    <w:rsid w:val="00E65F6D"/>
    <w:rsid w:val="00E67C30"/>
    <w:rsid w:val="00E70B02"/>
    <w:rsid w:val="00E70DB8"/>
    <w:rsid w:val="00E718B7"/>
    <w:rsid w:val="00E74087"/>
    <w:rsid w:val="00E76033"/>
    <w:rsid w:val="00E76126"/>
    <w:rsid w:val="00E7618E"/>
    <w:rsid w:val="00E81AE1"/>
    <w:rsid w:val="00E8222A"/>
    <w:rsid w:val="00E835F2"/>
    <w:rsid w:val="00E84915"/>
    <w:rsid w:val="00E859BF"/>
    <w:rsid w:val="00E86C2C"/>
    <w:rsid w:val="00E91108"/>
    <w:rsid w:val="00E95586"/>
    <w:rsid w:val="00E97790"/>
    <w:rsid w:val="00EA15F4"/>
    <w:rsid w:val="00EA542E"/>
    <w:rsid w:val="00EB0FF6"/>
    <w:rsid w:val="00EB1F68"/>
    <w:rsid w:val="00EB1FCF"/>
    <w:rsid w:val="00EB21E2"/>
    <w:rsid w:val="00EB51C9"/>
    <w:rsid w:val="00EB6529"/>
    <w:rsid w:val="00EB6ACC"/>
    <w:rsid w:val="00EC1B91"/>
    <w:rsid w:val="00EC2672"/>
    <w:rsid w:val="00EC3297"/>
    <w:rsid w:val="00EC3771"/>
    <w:rsid w:val="00EC3930"/>
    <w:rsid w:val="00EC3C01"/>
    <w:rsid w:val="00EC3C2C"/>
    <w:rsid w:val="00EC3CBA"/>
    <w:rsid w:val="00EC462B"/>
    <w:rsid w:val="00EC71F3"/>
    <w:rsid w:val="00ED098C"/>
    <w:rsid w:val="00ED2AC9"/>
    <w:rsid w:val="00ED329F"/>
    <w:rsid w:val="00ED3532"/>
    <w:rsid w:val="00ED46F1"/>
    <w:rsid w:val="00ED7E31"/>
    <w:rsid w:val="00EE03E3"/>
    <w:rsid w:val="00EE060F"/>
    <w:rsid w:val="00EE0F37"/>
    <w:rsid w:val="00EE252B"/>
    <w:rsid w:val="00EE5AD7"/>
    <w:rsid w:val="00EE6A9F"/>
    <w:rsid w:val="00EE7311"/>
    <w:rsid w:val="00EF33CE"/>
    <w:rsid w:val="00EF56AC"/>
    <w:rsid w:val="00EF5A7C"/>
    <w:rsid w:val="00EF6039"/>
    <w:rsid w:val="00EF7A5D"/>
    <w:rsid w:val="00F0009D"/>
    <w:rsid w:val="00F009E1"/>
    <w:rsid w:val="00F02D8B"/>
    <w:rsid w:val="00F05B21"/>
    <w:rsid w:val="00F05B92"/>
    <w:rsid w:val="00F074B4"/>
    <w:rsid w:val="00F10A04"/>
    <w:rsid w:val="00F1273A"/>
    <w:rsid w:val="00F12AA9"/>
    <w:rsid w:val="00F151FB"/>
    <w:rsid w:val="00F2044B"/>
    <w:rsid w:val="00F2078F"/>
    <w:rsid w:val="00F23EA8"/>
    <w:rsid w:val="00F23EE0"/>
    <w:rsid w:val="00F260E0"/>
    <w:rsid w:val="00F32DF5"/>
    <w:rsid w:val="00F3302A"/>
    <w:rsid w:val="00F33B96"/>
    <w:rsid w:val="00F35771"/>
    <w:rsid w:val="00F35EA1"/>
    <w:rsid w:val="00F37468"/>
    <w:rsid w:val="00F402D3"/>
    <w:rsid w:val="00F46798"/>
    <w:rsid w:val="00F50A6C"/>
    <w:rsid w:val="00F5198B"/>
    <w:rsid w:val="00F51D47"/>
    <w:rsid w:val="00F52CA4"/>
    <w:rsid w:val="00F5551B"/>
    <w:rsid w:val="00F56912"/>
    <w:rsid w:val="00F56B77"/>
    <w:rsid w:val="00F578F9"/>
    <w:rsid w:val="00F61192"/>
    <w:rsid w:val="00F62F91"/>
    <w:rsid w:val="00F637F7"/>
    <w:rsid w:val="00F6445C"/>
    <w:rsid w:val="00F666B9"/>
    <w:rsid w:val="00F66C76"/>
    <w:rsid w:val="00F66E65"/>
    <w:rsid w:val="00F717C3"/>
    <w:rsid w:val="00F719D8"/>
    <w:rsid w:val="00F71C2D"/>
    <w:rsid w:val="00F72EF2"/>
    <w:rsid w:val="00F73628"/>
    <w:rsid w:val="00F73B5B"/>
    <w:rsid w:val="00F74CA3"/>
    <w:rsid w:val="00F756CD"/>
    <w:rsid w:val="00F76D1C"/>
    <w:rsid w:val="00F81F8F"/>
    <w:rsid w:val="00F83B22"/>
    <w:rsid w:val="00F8405A"/>
    <w:rsid w:val="00F901F4"/>
    <w:rsid w:val="00F942E3"/>
    <w:rsid w:val="00F94465"/>
    <w:rsid w:val="00F9490D"/>
    <w:rsid w:val="00F95216"/>
    <w:rsid w:val="00F9529D"/>
    <w:rsid w:val="00F956D0"/>
    <w:rsid w:val="00F97968"/>
    <w:rsid w:val="00FA3C6A"/>
    <w:rsid w:val="00FA482F"/>
    <w:rsid w:val="00FA491B"/>
    <w:rsid w:val="00FA5A83"/>
    <w:rsid w:val="00FA6EB2"/>
    <w:rsid w:val="00FA7DF8"/>
    <w:rsid w:val="00FB0722"/>
    <w:rsid w:val="00FB1211"/>
    <w:rsid w:val="00FB1B6A"/>
    <w:rsid w:val="00FB253A"/>
    <w:rsid w:val="00FB47AF"/>
    <w:rsid w:val="00FB4F99"/>
    <w:rsid w:val="00FB6C35"/>
    <w:rsid w:val="00FB7EF8"/>
    <w:rsid w:val="00FC2916"/>
    <w:rsid w:val="00FC2BD8"/>
    <w:rsid w:val="00FC42F8"/>
    <w:rsid w:val="00FC5A9D"/>
    <w:rsid w:val="00FC5D7D"/>
    <w:rsid w:val="00FC5F13"/>
    <w:rsid w:val="00FD2062"/>
    <w:rsid w:val="00FD610D"/>
    <w:rsid w:val="00FD73D8"/>
    <w:rsid w:val="00FE22B5"/>
    <w:rsid w:val="00FE2F4D"/>
    <w:rsid w:val="00FE6E79"/>
    <w:rsid w:val="00FF011C"/>
    <w:rsid w:val="00FF25A4"/>
    <w:rsid w:val="00FF578C"/>
    <w:rsid w:val="00FF7436"/>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da001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706C2"/>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0706C2"/>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0706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06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7A0695"/>
    <w:pPr>
      <w:tabs>
        <w:tab w:val="center" w:pos="4153"/>
        <w:tab w:val="right" w:pos="8306"/>
      </w:tabs>
      <w:snapToGrid w:val="0"/>
      <w:jc w:val="left"/>
    </w:pPr>
    <w:rPr>
      <w:sz w:val="18"/>
      <w:szCs w:val="18"/>
    </w:rPr>
  </w:style>
  <w:style w:type="character" w:styleId="a5">
    <w:name w:val="page number"/>
    <w:basedOn w:val="a0"/>
    <w:rsid w:val="00443D46"/>
  </w:style>
  <w:style w:type="table" w:styleId="a6">
    <w:name w:val="Table Grid"/>
    <w:aliases w:val="好买"/>
    <w:basedOn w:val="a7"/>
    <w:rsid w:val="0094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op w:val="nil"/>
          <w:left w:val="nil"/>
          <w:bottom w:val="nil"/>
          <w:right w:val="nil"/>
          <w:insideH w:val="nil"/>
          <w:insideV w:val="nil"/>
          <w:tl2br w:val="nil"/>
          <w:tr2bl w:val="nil"/>
        </w:tcBorders>
        <w:shd w:val="clear" w:color="auto" w:fill="C0C0C0"/>
      </w:tcPr>
    </w:tblStylePr>
    <w:tblStylePr w:type="band1Horz">
      <w:rPr>
        <w:color w:val="auto"/>
      </w:rPr>
      <w:tblPr/>
      <w:tcPr>
        <w:tcBorders>
          <w:top w:val="nil"/>
          <w:left w:val="nil"/>
          <w:bottom w:val="nil"/>
          <w:right w:val="nil"/>
          <w:insideH w:val="single" w:sz="4" w:space="0" w:color="auto"/>
          <w:insideV w:val="single" w:sz="4" w:space="0" w:color="auto"/>
          <w:tl2br w:val="nil"/>
          <w:tr2bl w:val="nil"/>
        </w:tcBorders>
        <w:shd w:val="pct5" w:color="000000" w:fill="FFFFFF"/>
      </w:tcPr>
    </w:tblStylePr>
    <w:tblStylePr w:type="band2Horz">
      <w:rPr>
        <w:color w:val="auto"/>
      </w:rPr>
      <w:tblPr/>
      <w:tcPr>
        <w:tcBorders>
          <w:top w:val="nil"/>
          <w:left w:val="nil"/>
          <w:bottom w:val="nil"/>
          <w:right w:val="nil"/>
          <w:insideH w:val="single" w:sz="4" w:space="0" w:color="auto"/>
          <w:insideV w:val="single" w:sz="4" w:space="0" w:color="auto"/>
          <w:tl2br w:val="none" w:sz="0" w:space="0" w:color="auto"/>
          <w:tr2bl w:val="none" w:sz="0" w:space="0" w:color="auto"/>
        </w:tcBorders>
        <w:shd w:val="clear" w:color="auto" w:fill="D9D9D9"/>
      </w:tcPr>
    </w:tblStylePr>
  </w:style>
  <w:style w:type="table" w:styleId="a7">
    <w:name w:val="Table Contemporary"/>
    <w:basedOn w:val="a1"/>
    <w:rsid w:val="00142A7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Grid 8"/>
    <w:basedOn w:val="a1"/>
    <w:rsid w:val="00142A7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8">
    <w:name w:val="Hyperlink"/>
    <w:uiPriority w:val="99"/>
    <w:rsid w:val="00F009E1"/>
    <w:rPr>
      <w:color w:val="0000FF"/>
      <w:u w:val="single"/>
    </w:rPr>
  </w:style>
  <w:style w:type="paragraph" w:styleId="a9">
    <w:name w:val="Balloon Text"/>
    <w:basedOn w:val="a"/>
    <w:semiHidden/>
    <w:rsid w:val="004479AE"/>
    <w:rPr>
      <w:sz w:val="18"/>
      <w:szCs w:val="18"/>
    </w:rPr>
  </w:style>
  <w:style w:type="paragraph" w:styleId="aa">
    <w:name w:val="Body Text"/>
    <w:basedOn w:val="a"/>
    <w:rsid w:val="000706C2"/>
    <w:pPr>
      <w:tabs>
        <w:tab w:val="left" w:pos="3045"/>
      </w:tabs>
      <w:ind w:rightChars="3409" w:right="7159"/>
    </w:pPr>
  </w:style>
  <w:style w:type="paragraph" w:styleId="ab">
    <w:name w:val="Block Text"/>
    <w:basedOn w:val="a"/>
    <w:rsid w:val="000706C2"/>
    <w:pPr>
      <w:ind w:leftChars="1553" w:left="3261" w:rightChars="26" w:right="55" w:firstLine="1"/>
      <w:jc w:val="left"/>
    </w:pPr>
    <w:rPr>
      <w:rFonts w:eastAsia="汉仪大黑简"/>
      <w:color w:val="000000"/>
      <w:sz w:val="18"/>
    </w:rPr>
  </w:style>
  <w:style w:type="character" w:customStyle="1" w:styleId="ac">
    <w:name w:val="已访问的超链接"/>
    <w:uiPriority w:val="99"/>
    <w:rsid w:val="000706C2"/>
    <w:rPr>
      <w:color w:val="800080"/>
      <w:u w:val="single"/>
    </w:rPr>
  </w:style>
  <w:style w:type="paragraph" w:styleId="ad">
    <w:name w:val="Body Text Indent"/>
    <w:basedOn w:val="a"/>
    <w:rsid w:val="000706C2"/>
    <w:pPr>
      <w:ind w:leftChars="1500" w:left="3150"/>
    </w:pPr>
    <w:rPr>
      <w:rFonts w:ascii="汉仪楷体简" w:eastAsia="汉仪楷体简"/>
      <w:color w:val="000000"/>
      <w:kern w:val="0"/>
      <w:sz w:val="18"/>
      <w:szCs w:val="16"/>
    </w:rPr>
  </w:style>
  <w:style w:type="paragraph" w:styleId="20">
    <w:name w:val="Body Text 2"/>
    <w:basedOn w:val="a"/>
    <w:rsid w:val="000706C2"/>
    <w:rPr>
      <w:rFonts w:eastAsia="汉仪楷体简"/>
      <w:kern w:val="0"/>
      <w:sz w:val="18"/>
    </w:rPr>
  </w:style>
  <w:style w:type="paragraph" w:styleId="30">
    <w:name w:val="Body Text 3"/>
    <w:basedOn w:val="a"/>
    <w:rsid w:val="000706C2"/>
    <w:rPr>
      <w:rFonts w:ascii="汉仪楷体简" w:eastAsia="汉仪楷体简"/>
      <w:color w:val="000000"/>
      <w:kern w:val="0"/>
      <w:sz w:val="18"/>
      <w:szCs w:val="16"/>
    </w:rPr>
  </w:style>
  <w:style w:type="paragraph" w:styleId="21">
    <w:name w:val="Body Text Indent 2"/>
    <w:basedOn w:val="a"/>
    <w:rsid w:val="000706C2"/>
    <w:pPr>
      <w:autoSpaceDE w:val="0"/>
      <w:autoSpaceDN w:val="0"/>
      <w:adjustRightInd w:val="0"/>
      <w:ind w:leftChars="1200" w:left="2520" w:firstLineChars="150" w:firstLine="360"/>
      <w:jc w:val="left"/>
    </w:pPr>
    <w:rPr>
      <w:rFonts w:ascii="楷体_GB2312" w:eastAsia="楷体_GB2312"/>
      <w:kern w:val="0"/>
      <w:sz w:val="24"/>
    </w:rPr>
  </w:style>
  <w:style w:type="paragraph" w:styleId="ae">
    <w:name w:val="Normal Indent"/>
    <w:aliases w:val="表正文,正文非缩进"/>
    <w:basedOn w:val="a"/>
    <w:rsid w:val="000706C2"/>
    <w:pPr>
      <w:spacing w:beforeLines="50" w:line="288" w:lineRule="auto"/>
      <w:ind w:leftChars="1199" w:left="1199" w:firstLineChars="200" w:firstLine="200"/>
    </w:pPr>
    <w:rPr>
      <w:rFonts w:eastAsia="楷体_GB2312"/>
      <w:szCs w:val="20"/>
    </w:rPr>
  </w:style>
  <w:style w:type="paragraph" w:styleId="af">
    <w:name w:val="caption"/>
    <w:basedOn w:val="a"/>
    <w:next w:val="a"/>
    <w:qFormat/>
    <w:rsid w:val="000706C2"/>
    <w:pPr>
      <w:spacing w:before="120" w:line="300" w:lineRule="auto"/>
      <w:ind w:leftChars="1200" w:left="2520"/>
      <w:jc w:val="center"/>
    </w:pPr>
    <w:rPr>
      <w:rFonts w:ascii="楷体_GB2312" w:eastAsia="楷体_GB2312" w:hAnsi="Arial" w:cs="Arial"/>
      <w:b/>
      <w:bCs/>
      <w:sz w:val="20"/>
      <w:szCs w:val="20"/>
    </w:rPr>
  </w:style>
  <w:style w:type="paragraph" w:styleId="31">
    <w:name w:val="Body Text Indent 3"/>
    <w:basedOn w:val="a"/>
    <w:rsid w:val="000706C2"/>
    <w:pPr>
      <w:framePr w:hSpace="180" w:wrap="around" w:vAnchor="text" w:hAnchor="text" w:xAlign="right" w:y="1"/>
      <w:spacing w:line="320" w:lineRule="exact"/>
      <w:ind w:leftChars="24" w:left="50" w:firstLineChars="202" w:firstLine="485"/>
      <w:suppressOverlap/>
    </w:pPr>
    <w:rPr>
      <w:rFonts w:ascii="楷体_GB2312" w:eastAsia="楷体_GB2312"/>
      <w:color w:val="000000"/>
      <w:sz w:val="24"/>
    </w:rPr>
  </w:style>
  <w:style w:type="paragraph" w:styleId="af0">
    <w:name w:val="Date"/>
    <w:basedOn w:val="a"/>
    <w:next w:val="a"/>
    <w:rsid w:val="000706C2"/>
    <w:pPr>
      <w:autoSpaceDE w:val="0"/>
      <w:autoSpaceDN w:val="0"/>
      <w:adjustRightInd w:val="0"/>
      <w:textAlignment w:val="baseline"/>
    </w:pPr>
    <w:rPr>
      <w:rFonts w:ascii="宋体"/>
      <w:sz w:val="28"/>
      <w:szCs w:val="20"/>
    </w:rPr>
  </w:style>
  <w:style w:type="character" w:customStyle="1" w:styleId="style12">
    <w:name w:val="style12"/>
    <w:basedOn w:val="a0"/>
    <w:rsid w:val="000706C2"/>
  </w:style>
  <w:style w:type="character" w:styleId="af1">
    <w:name w:val="Strong"/>
    <w:qFormat/>
    <w:rsid w:val="000706C2"/>
    <w:rPr>
      <w:b/>
      <w:bCs/>
    </w:rPr>
  </w:style>
  <w:style w:type="character" w:customStyle="1" w:styleId="style13">
    <w:name w:val="style13"/>
    <w:basedOn w:val="a0"/>
    <w:rsid w:val="000706C2"/>
  </w:style>
  <w:style w:type="paragraph" w:styleId="af2">
    <w:name w:val="Normal (Web)"/>
    <w:basedOn w:val="a"/>
    <w:rsid w:val="000706C2"/>
    <w:pPr>
      <w:widowControl/>
      <w:spacing w:before="100" w:beforeAutospacing="1" w:after="100" w:afterAutospacing="1"/>
      <w:jc w:val="left"/>
    </w:pPr>
    <w:rPr>
      <w:rFonts w:ascii="宋体" w:hAnsi="宋体" w:cs="宋体"/>
      <w:kern w:val="0"/>
      <w:sz w:val="24"/>
    </w:rPr>
  </w:style>
  <w:style w:type="paragraph" w:customStyle="1" w:styleId="CharCharCharCharChar">
    <w:name w:val="Char Char Char Char Char"/>
    <w:basedOn w:val="a"/>
    <w:autoRedefine/>
    <w:rsid w:val="000706C2"/>
    <w:pPr>
      <w:tabs>
        <w:tab w:val="num" w:pos="840"/>
      </w:tabs>
      <w:ind w:left="840" w:hanging="360"/>
    </w:pPr>
    <w:rPr>
      <w:sz w:val="24"/>
    </w:rPr>
  </w:style>
  <w:style w:type="paragraph" w:styleId="z-">
    <w:name w:val="HTML Top of Form"/>
    <w:basedOn w:val="a"/>
    <w:next w:val="a"/>
    <w:hidden/>
    <w:rsid w:val="000706C2"/>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0706C2"/>
    <w:pPr>
      <w:widowControl/>
      <w:pBdr>
        <w:top w:val="single" w:sz="6" w:space="1" w:color="auto"/>
      </w:pBdr>
      <w:jc w:val="center"/>
    </w:pPr>
    <w:rPr>
      <w:rFonts w:ascii="Arial" w:hAnsi="Arial" w:cs="Arial"/>
      <w:vanish/>
      <w:kern w:val="0"/>
      <w:sz w:val="16"/>
      <w:szCs w:val="16"/>
    </w:rPr>
  </w:style>
  <w:style w:type="paragraph" w:styleId="af3">
    <w:name w:val="annotation text"/>
    <w:basedOn w:val="a"/>
    <w:semiHidden/>
    <w:rsid w:val="000706C2"/>
    <w:pPr>
      <w:jc w:val="left"/>
    </w:pPr>
  </w:style>
  <w:style w:type="paragraph" w:styleId="af4">
    <w:name w:val="annotation subject"/>
    <w:basedOn w:val="af3"/>
    <w:next w:val="af3"/>
    <w:semiHidden/>
    <w:rsid w:val="000706C2"/>
    <w:rPr>
      <w:b/>
      <w:bCs/>
    </w:rPr>
  </w:style>
  <w:style w:type="paragraph" w:styleId="af5">
    <w:name w:val="endnote text"/>
    <w:basedOn w:val="a"/>
    <w:semiHidden/>
    <w:rsid w:val="000706C2"/>
    <w:pPr>
      <w:snapToGrid w:val="0"/>
      <w:jc w:val="left"/>
    </w:pPr>
  </w:style>
  <w:style w:type="character" w:styleId="af6">
    <w:name w:val="endnote reference"/>
    <w:semiHidden/>
    <w:rsid w:val="000706C2"/>
    <w:rPr>
      <w:vertAlign w:val="superscript"/>
    </w:rPr>
  </w:style>
  <w:style w:type="character" w:customStyle="1" w:styleId="tt11">
    <w:name w:val="tt11"/>
    <w:basedOn w:val="a0"/>
    <w:rsid w:val="000706C2"/>
  </w:style>
  <w:style w:type="paragraph" w:customStyle="1" w:styleId="Default">
    <w:name w:val="Default"/>
    <w:rsid w:val="000706C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autoRedefine/>
    <w:rsid w:val="000706C2"/>
    <w:pPr>
      <w:tabs>
        <w:tab w:val="num" w:pos="840"/>
      </w:tabs>
      <w:ind w:left="840" w:hanging="360"/>
    </w:pPr>
    <w:rPr>
      <w:sz w:val="24"/>
    </w:rPr>
  </w:style>
  <w:style w:type="paragraph" w:customStyle="1" w:styleId="timesnewromans">
    <w:name w:val="times new romans"/>
    <w:basedOn w:val="a"/>
    <w:rsid w:val="000706C2"/>
    <w:pPr>
      <w:widowControl/>
      <w:jc w:val="left"/>
    </w:pPr>
    <w:rPr>
      <w:rFonts w:ascii="宋体" w:hAnsi="宋体" w:cs="宋体"/>
      <w:color w:val="000000"/>
      <w:kern w:val="0"/>
      <w:szCs w:val="21"/>
    </w:rPr>
  </w:style>
  <w:style w:type="paragraph" w:styleId="af7">
    <w:name w:val="List Paragraph"/>
    <w:basedOn w:val="a"/>
    <w:qFormat/>
    <w:rsid w:val="000706C2"/>
    <w:pPr>
      <w:ind w:firstLineChars="200" w:firstLine="420"/>
    </w:pPr>
  </w:style>
  <w:style w:type="paragraph" w:styleId="af8">
    <w:name w:val="footnote text"/>
    <w:basedOn w:val="a"/>
    <w:link w:val="Char"/>
    <w:rsid w:val="000706C2"/>
    <w:pPr>
      <w:snapToGrid w:val="0"/>
      <w:jc w:val="left"/>
    </w:pPr>
    <w:rPr>
      <w:sz w:val="18"/>
      <w:szCs w:val="18"/>
    </w:rPr>
  </w:style>
  <w:style w:type="character" w:customStyle="1" w:styleId="Char">
    <w:name w:val="脚注文本 Char"/>
    <w:link w:val="af8"/>
    <w:rsid w:val="000706C2"/>
    <w:rPr>
      <w:rFonts w:eastAsia="宋体"/>
      <w:kern w:val="2"/>
      <w:sz w:val="18"/>
      <w:szCs w:val="18"/>
      <w:lang w:val="en-US" w:eastAsia="zh-CN" w:bidi="ar-SA"/>
    </w:rPr>
  </w:style>
  <w:style w:type="character" w:styleId="af9">
    <w:name w:val="footnote reference"/>
    <w:rsid w:val="000706C2"/>
    <w:rPr>
      <w:vertAlign w:val="superscript"/>
    </w:rPr>
  </w:style>
  <w:style w:type="paragraph" w:customStyle="1" w:styleId="CharCharCharCharCharCharCharCharCharCharCharChar1CharCharCharCharCharChar">
    <w:name w:val="Char Char Char Char Char Char Char Char Char Char Char Char1 Char Char Char Char Char Char"/>
    <w:basedOn w:val="a"/>
    <w:autoRedefine/>
    <w:rsid w:val="00FB1B6A"/>
    <w:pPr>
      <w:tabs>
        <w:tab w:val="num" w:pos="840"/>
      </w:tabs>
      <w:ind w:left="840" w:hanging="360"/>
    </w:pPr>
    <w:rPr>
      <w:sz w:val="24"/>
    </w:rPr>
  </w:style>
  <w:style w:type="paragraph" w:styleId="afa">
    <w:name w:val="table of figures"/>
    <w:basedOn w:val="a"/>
    <w:next w:val="a"/>
    <w:rsid w:val="00F8405A"/>
    <w:pPr>
      <w:ind w:leftChars="200" w:left="200" w:hangingChars="200" w:hanging="200"/>
    </w:pPr>
  </w:style>
  <w:style w:type="paragraph" w:customStyle="1" w:styleId="ParaCharCharCharCharCharCharChar">
    <w:name w:val="默认段落字体 Para Char Char Char Char Char Char 字元 Char"/>
    <w:basedOn w:val="a"/>
    <w:autoRedefine/>
    <w:rsid w:val="00F8405A"/>
    <w:pPr>
      <w:tabs>
        <w:tab w:val="num" w:pos="840"/>
      </w:tabs>
      <w:ind w:left="840" w:hanging="360"/>
    </w:pPr>
    <w:rPr>
      <w:sz w:val="24"/>
    </w:rPr>
  </w:style>
  <w:style w:type="character" w:styleId="afb">
    <w:name w:val="annotation reference"/>
    <w:rsid w:val="00F8405A"/>
    <w:rPr>
      <w:sz w:val="21"/>
      <w:szCs w:val="21"/>
    </w:rPr>
  </w:style>
  <w:style w:type="paragraph" w:customStyle="1" w:styleId="10">
    <w:name w:val="样式1"/>
    <w:basedOn w:val="afa"/>
    <w:autoRedefine/>
    <w:rsid w:val="00F8405A"/>
    <w:pPr>
      <w:spacing w:line="360" w:lineRule="auto"/>
      <w:ind w:leftChars="0" w:left="0" w:firstLineChars="0" w:firstLine="0"/>
    </w:pPr>
    <w:rPr>
      <w:bCs/>
      <w:sz w:val="18"/>
      <w:szCs w:val="18"/>
    </w:rPr>
  </w:style>
  <w:style w:type="paragraph" w:styleId="afc">
    <w:name w:val="Subtitle"/>
    <w:basedOn w:val="a"/>
    <w:next w:val="a"/>
    <w:link w:val="Char0"/>
    <w:qFormat/>
    <w:rsid w:val="00F8405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fc"/>
    <w:rsid w:val="00F8405A"/>
    <w:rPr>
      <w:rFonts w:ascii="Cambria" w:hAnsi="Cambria"/>
      <w:b/>
      <w:bCs/>
      <w:kern w:val="28"/>
      <w:sz w:val="32"/>
      <w:szCs w:val="32"/>
    </w:rPr>
  </w:style>
  <w:style w:type="paragraph" w:customStyle="1" w:styleId="CharCharCharChar">
    <w:name w:val="Char Char Char Char"/>
    <w:basedOn w:val="a"/>
    <w:autoRedefine/>
    <w:rsid w:val="00F8405A"/>
    <w:pPr>
      <w:tabs>
        <w:tab w:val="num" w:pos="840"/>
      </w:tabs>
      <w:ind w:left="840" w:hanging="360"/>
    </w:pPr>
    <w:rPr>
      <w:sz w:val="24"/>
    </w:rPr>
  </w:style>
  <w:style w:type="paragraph" w:customStyle="1" w:styleId="CharCharCharCharCharCharChar0">
    <w:name w:val="Char Char Char Char Char Char Char"/>
    <w:basedOn w:val="a"/>
    <w:autoRedefine/>
    <w:rsid w:val="00F8405A"/>
    <w:pPr>
      <w:tabs>
        <w:tab w:val="num" w:pos="840"/>
      </w:tabs>
      <w:ind w:left="840" w:hanging="360"/>
    </w:pPr>
    <w:rPr>
      <w:sz w:val="24"/>
    </w:rPr>
  </w:style>
  <w:style w:type="paragraph" w:customStyle="1" w:styleId="CharChar">
    <w:name w:val="Char Char"/>
    <w:basedOn w:val="a"/>
    <w:autoRedefine/>
    <w:rsid w:val="00F8405A"/>
    <w:pPr>
      <w:tabs>
        <w:tab w:val="num" w:pos="840"/>
      </w:tabs>
      <w:ind w:left="840" w:hanging="360"/>
    </w:pPr>
    <w:rPr>
      <w:sz w:val="24"/>
    </w:rPr>
  </w:style>
  <w:style w:type="paragraph" w:styleId="afd">
    <w:name w:val="Title"/>
    <w:basedOn w:val="a"/>
    <w:next w:val="a"/>
    <w:link w:val="Char1"/>
    <w:qFormat/>
    <w:rsid w:val="00F8405A"/>
    <w:pPr>
      <w:spacing w:before="240" w:after="60"/>
      <w:jc w:val="center"/>
      <w:outlineLvl w:val="0"/>
    </w:pPr>
    <w:rPr>
      <w:rFonts w:ascii="Cambria" w:hAnsi="Cambria"/>
      <w:b/>
      <w:bCs/>
      <w:sz w:val="32"/>
      <w:szCs w:val="32"/>
      <w:lang w:val="x-none" w:eastAsia="x-none"/>
    </w:rPr>
  </w:style>
  <w:style w:type="character" w:customStyle="1" w:styleId="Char1">
    <w:name w:val="标题 Char"/>
    <w:link w:val="afd"/>
    <w:rsid w:val="00F8405A"/>
    <w:rPr>
      <w:rFonts w:ascii="Cambria" w:hAnsi="Cambria"/>
      <w:b/>
      <w:bCs/>
      <w:kern w:val="2"/>
      <w:sz w:val="32"/>
      <w:szCs w:val="32"/>
    </w:rPr>
  </w:style>
  <w:style w:type="paragraph" w:customStyle="1" w:styleId="CharCharCharCharCharCharCharCharCharChar">
    <w:name w:val="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
    <w:name w:val="Char Char Char Char Char Char Char Char Char Char Char Char"/>
    <w:basedOn w:val="a"/>
    <w:autoRedefine/>
    <w:rsid w:val="00F8405A"/>
    <w:pPr>
      <w:tabs>
        <w:tab w:val="num" w:pos="840"/>
      </w:tabs>
      <w:ind w:left="840" w:hanging="360"/>
    </w:pPr>
    <w:rPr>
      <w:sz w:val="24"/>
    </w:rPr>
  </w:style>
  <w:style w:type="paragraph" w:customStyle="1" w:styleId="CharCharCharChar1CharCharCharCharCharChar">
    <w:name w:val="Char Char Char Char1 Char Char Char Char Char Char"/>
    <w:basedOn w:val="a"/>
    <w:autoRedefine/>
    <w:rsid w:val="00F8405A"/>
    <w:pPr>
      <w:tabs>
        <w:tab w:val="num" w:pos="840"/>
      </w:tabs>
      <w:ind w:left="840" w:hanging="360"/>
    </w:pPr>
    <w:rPr>
      <w:sz w:val="24"/>
    </w:rPr>
  </w:style>
  <w:style w:type="paragraph" w:customStyle="1" w:styleId="ParaChar">
    <w:name w:val="默认段落字体 Para Char"/>
    <w:basedOn w:val="a"/>
    <w:rsid w:val="00F8405A"/>
  </w:style>
  <w:style w:type="character" w:styleId="HTML">
    <w:name w:val="HTML Typewriter"/>
    <w:rsid w:val="00F8405A"/>
    <w:rPr>
      <w:rFonts w:ascii="宋体" w:eastAsia="宋体" w:hAnsi="宋体" w:cs="宋体"/>
      <w:sz w:val="24"/>
      <w:szCs w:val="24"/>
    </w:rPr>
  </w:style>
  <w:style w:type="numbering" w:customStyle="1" w:styleId="11">
    <w:name w:val="无列表1"/>
    <w:next w:val="a2"/>
    <w:semiHidden/>
    <w:rsid w:val="00F8405A"/>
  </w:style>
  <w:style w:type="paragraph" w:customStyle="1" w:styleId="font5">
    <w:name w:val="font5"/>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0"/>
      <w:szCs w:val="20"/>
    </w:rPr>
  </w:style>
  <w:style w:type="paragraph" w:customStyle="1" w:styleId="xl25">
    <w:name w:val="xl2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
    <w:name w:val="xl26"/>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27">
    <w:name w:val="xl27"/>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xl28">
    <w:name w:val="xl28"/>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宋体" w:hAnsi="宋体" w:cs="宋体"/>
      <w:kern w:val="0"/>
      <w:sz w:val="20"/>
      <w:szCs w:val="20"/>
    </w:rPr>
  </w:style>
  <w:style w:type="paragraph" w:customStyle="1" w:styleId="xl30">
    <w:name w:val="xl30"/>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31">
    <w:name w:val="xl31"/>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32">
    <w:name w:val="xl32"/>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numbering" w:customStyle="1" w:styleId="22">
    <w:name w:val="无列表2"/>
    <w:next w:val="a2"/>
    <w:semiHidden/>
    <w:rsid w:val="00F8405A"/>
  </w:style>
  <w:style w:type="character" w:customStyle="1" w:styleId="amoonhe">
    <w:name w:val="amoon.he"/>
    <w:semiHidden/>
    <w:rsid w:val="00F8405A"/>
    <w:rPr>
      <w:rFonts w:ascii="宋体" w:eastAsia="宋体"/>
      <w:b w:val="0"/>
      <w:bCs w:val="0"/>
      <w:i w:val="0"/>
      <w:iCs w:val="0"/>
      <w:strike w:val="0"/>
      <w:color w:val="800000"/>
      <w:sz w:val="21"/>
      <w:szCs w:val="21"/>
      <w:u w:val="none"/>
    </w:rPr>
  </w:style>
  <w:style w:type="paragraph" w:customStyle="1" w:styleId="font6">
    <w:name w:val="font6"/>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05A"/>
    <w:pPr>
      <w:widowControl/>
      <w:spacing w:before="100" w:beforeAutospacing="1" w:after="100" w:afterAutospacing="1"/>
      <w:jc w:val="left"/>
    </w:pPr>
    <w:rPr>
      <w:kern w:val="0"/>
      <w:sz w:val="20"/>
      <w:szCs w:val="20"/>
    </w:rPr>
  </w:style>
  <w:style w:type="paragraph" w:customStyle="1" w:styleId="xl33">
    <w:name w:val="xl33"/>
    <w:basedOn w:val="a"/>
    <w:rsid w:val="00F8405A"/>
    <w:pPr>
      <w:widowControl/>
      <w:shd w:val="clear" w:color="auto" w:fill="C0C0C0"/>
      <w:spacing w:before="100" w:beforeAutospacing="1" w:after="100" w:afterAutospacing="1"/>
      <w:jc w:val="center"/>
    </w:pPr>
    <w:rPr>
      <w:rFonts w:ascii="宋体" w:hAnsi="宋体" w:cs="宋体"/>
      <w:kern w:val="0"/>
      <w:sz w:val="20"/>
      <w:szCs w:val="20"/>
    </w:rPr>
  </w:style>
  <w:style w:type="paragraph" w:customStyle="1" w:styleId="xl34">
    <w:name w:val="xl34"/>
    <w:basedOn w:val="a"/>
    <w:rsid w:val="00F8405A"/>
    <w:pPr>
      <w:widowControl/>
      <w:shd w:val="clear" w:color="auto" w:fill="C0C0C0"/>
      <w:spacing w:before="100" w:beforeAutospacing="1" w:after="100" w:afterAutospacing="1"/>
      <w:jc w:val="center"/>
    </w:pPr>
    <w:rPr>
      <w:kern w:val="0"/>
      <w:sz w:val="20"/>
      <w:szCs w:val="20"/>
    </w:rPr>
  </w:style>
  <w:style w:type="paragraph" w:customStyle="1" w:styleId="xl35">
    <w:name w:val="xl3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2">
    <w:name w:val="xl22"/>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
    <w:name w:val="xl23"/>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fundsubjoin">
    <w:name w:val="fundsubjoin"/>
    <w:basedOn w:val="a0"/>
    <w:rsid w:val="00F8405A"/>
  </w:style>
  <w:style w:type="paragraph" w:customStyle="1" w:styleId="CharCharCharCharCharCharCharCharCharCharCharCharCharChar">
    <w:name w:val="Char Char Char Char 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1CharChar">
    <w:name w:val="Char Char Char Char Char Char Char Char Char Char Char Char1 Char Char"/>
    <w:basedOn w:val="a"/>
    <w:autoRedefine/>
    <w:rsid w:val="00F8405A"/>
    <w:pPr>
      <w:tabs>
        <w:tab w:val="num" w:pos="840"/>
      </w:tabs>
      <w:ind w:left="840" w:hanging="360"/>
    </w:pPr>
    <w:rPr>
      <w:sz w:val="24"/>
    </w:rPr>
  </w:style>
  <w:style w:type="paragraph" w:customStyle="1" w:styleId="xl36">
    <w:name w:val="xl36"/>
    <w:basedOn w:val="a"/>
    <w:rsid w:val="00F8405A"/>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7">
    <w:name w:val="xl37"/>
    <w:basedOn w:val="a"/>
    <w:rsid w:val="00F8405A"/>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
    <w:rsid w:val="00F8405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rsid w:val="00F8405A"/>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0">
    <w:name w:val="xl40"/>
    <w:basedOn w:val="a"/>
    <w:rsid w:val="00F8405A"/>
    <w:pPr>
      <w:widowControl/>
      <w:pBdr>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1">
    <w:name w:val="xl41"/>
    <w:basedOn w:val="a"/>
    <w:rsid w:val="00F8405A"/>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2">
    <w:name w:val="xl42"/>
    <w:basedOn w:val="a"/>
    <w:rsid w:val="00F8405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3">
    <w:name w:val="xl43"/>
    <w:basedOn w:val="a"/>
    <w:rsid w:val="00F8405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0">
    <w:name w:val="font0"/>
    <w:basedOn w:val="a"/>
    <w:rsid w:val="00F8405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F8405A"/>
    <w:pPr>
      <w:widowControl/>
      <w:spacing w:before="100" w:beforeAutospacing="1" w:after="100" w:afterAutospacing="1"/>
      <w:jc w:val="left"/>
    </w:pPr>
    <w:rPr>
      <w:rFonts w:ascii="Arial" w:hAnsi="Arial" w:cs="Arial"/>
      <w:kern w:val="0"/>
      <w:sz w:val="20"/>
      <w:szCs w:val="20"/>
    </w:rPr>
  </w:style>
  <w:style w:type="paragraph" w:customStyle="1" w:styleId="xl65">
    <w:name w:val="xl65"/>
    <w:basedOn w:val="a"/>
    <w:rsid w:val="00F8405A"/>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F8405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F8405A"/>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8405A"/>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F8405A"/>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F8405A"/>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F8405A"/>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2">
    <w:name w:val="xl72"/>
    <w:basedOn w:val="a"/>
    <w:rsid w:val="00F8405A"/>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F8405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F8405A"/>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F840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F8405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F8405A"/>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F8405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character" w:styleId="afe">
    <w:name w:val="Emphasis"/>
    <w:qFormat/>
    <w:rsid w:val="00F8405A"/>
    <w:rPr>
      <w:b w:val="0"/>
      <w:bCs w:val="0"/>
      <w:i w:val="0"/>
      <w:iCs w:val="0"/>
      <w:color w:val="CC0033"/>
    </w:rPr>
  </w:style>
  <w:style w:type="paragraph" w:customStyle="1" w:styleId="xl63">
    <w:name w:val="xl63"/>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F8405A"/>
    <w:pPr>
      <w:widowControl/>
      <w:spacing w:before="100" w:beforeAutospacing="1" w:after="100" w:afterAutospacing="1"/>
      <w:jc w:val="left"/>
    </w:pPr>
    <w:rPr>
      <w:rFonts w:ascii="宋体" w:hAnsi="宋体" w:cs="宋体"/>
      <w:kern w:val="0"/>
      <w:sz w:val="18"/>
      <w:szCs w:val="18"/>
    </w:rPr>
  </w:style>
  <w:style w:type="character" w:customStyle="1" w:styleId="cred1">
    <w:name w:val="cred1"/>
    <w:basedOn w:val="a0"/>
    <w:rsid w:val="006E753D"/>
    <w:rPr>
      <w:color w:val="CC0000"/>
    </w:rPr>
  </w:style>
  <w:style w:type="character" w:styleId="aff">
    <w:name w:val="FollowedHyperlink"/>
    <w:basedOn w:val="a0"/>
    <w:uiPriority w:val="99"/>
    <w:semiHidden/>
    <w:unhideWhenUsed/>
    <w:rsid w:val="00CF09C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706C2"/>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0706C2"/>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0706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06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7A0695"/>
    <w:pPr>
      <w:tabs>
        <w:tab w:val="center" w:pos="4153"/>
        <w:tab w:val="right" w:pos="8306"/>
      </w:tabs>
      <w:snapToGrid w:val="0"/>
      <w:jc w:val="left"/>
    </w:pPr>
    <w:rPr>
      <w:sz w:val="18"/>
      <w:szCs w:val="18"/>
    </w:rPr>
  </w:style>
  <w:style w:type="character" w:styleId="a5">
    <w:name w:val="page number"/>
    <w:basedOn w:val="a0"/>
    <w:rsid w:val="00443D46"/>
  </w:style>
  <w:style w:type="table" w:styleId="a6">
    <w:name w:val="Table Grid"/>
    <w:aliases w:val="好买"/>
    <w:basedOn w:val="a7"/>
    <w:rsid w:val="0094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op w:val="nil"/>
          <w:left w:val="nil"/>
          <w:bottom w:val="nil"/>
          <w:right w:val="nil"/>
          <w:insideH w:val="nil"/>
          <w:insideV w:val="nil"/>
          <w:tl2br w:val="nil"/>
          <w:tr2bl w:val="nil"/>
        </w:tcBorders>
        <w:shd w:val="clear" w:color="auto" w:fill="C0C0C0"/>
      </w:tcPr>
    </w:tblStylePr>
    <w:tblStylePr w:type="band1Horz">
      <w:rPr>
        <w:color w:val="auto"/>
      </w:rPr>
      <w:tblPr/>
      <w:tcPr>
        <w:tcBorders>
          <w:top w:val="nil"/>
          <w:left w:val="nil"/>
          <w:bottom w:val="nil"/>
          <w:right w:val="nil"/>
          <w:insideH w:val="single" w:sz="4" w:space="0" w:color="auto"/>
          <w:insideV w:val="single" w:sz="4" w:space="0" w:color="auto"/>
          <w:tl2br w:val="nil"/>
          <w:tr2bl w:val="nil"/>
        </w:tcBorders>
        <w:shd w:val="pct5" w:color="000000" w:fill="FFFFFF"/>
      </w:tcPr>
    </w:tblStylePr>
    <w:tblStylePr w:type="band2Horz">
      <w:rPr>
        <w:color w:val="auto"/>
      </w:rPr>
      <w:tblPr/>
      <w:tcPr>
        <w:tcBorders>
          <w:top w:val="nil"/>
          <w:left w:val="nil"/>
          <w:bottom w:val="nil"/>
          <w:right w:val="nil"/>
          <w:insideH w:val="single" w:sz="4" w:space="0" w:color="auto"/>
          <w:insideV w:val="single" w:sz="4" w:space="0" w:color="auto"/>
          <w:tl2br w:val="none" w:sz="0" w:space="0" w:color="auto"/>
          <w:tr2bl w:val="none" w:sz="0" w:space="0" w:color="auto"/>
        </w:tcBorders>
        <w:shd w:val="clear" w:color="auto" w:fill="D9D9D9"/>
      </w:tcPr>
    </w:tblStylePr>
  </w:style>
  <w:style w:type="table" w:styleId="a7">
    <w:name w:val="Table Contemporary"/>
    <w:basedOn w:val="a1"/>
    <w:rsid w:val="00142A7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Grid 8"/>
    <w:basedOn w:val="a1"/>
    <w:rsid w:val="00142A7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8">
    <w:name w:val="Hyperlink"/>
    <w:uiPriority w:val="99"/>
    <w:rsid w:val="00F009E1"/>
    <w:rPr>
      <w:color w:val="0000FF"/>
      <w:u w:val="single"/>
    </w:rPr>
  </w:style>
  <w:style w:type="paragraph" w:styleId="a9">
    <w:name w:val="Balloon Text"/>
    <w:basedOn w:val="a"/>
    <w:semiHidden/>
    <w:rsid w:val="004479AE"/>
    <w:rPr>
      <w:sz w:val="18"/>
      <w:szCs w:val="18"/>
    </w:rPr>
  </w:style>
  <w:style w:type="paragraph" w:styleId="aa">
    <w:name w:val="Body Text"/>
    <w:basedOn w:val="a"/>
    <w:rsid w:val="000706C2"/>
    <w:pPr>
      <w:tabs>
        <w:tab w:val="left" w:pos="3045"/>
      </w:tabs>
      <w:ind w:rightChars="3409" w:right="7159"/>
    </w:pPr>
  </w:style>
  <w:style w:type="paragraph" w:styleId="ab">
    <w:name w:val="Block Text"/>
    <w:basedOn w:val="a"/>
    <w:rsid w:val="000706C2"/>
    <w:pPr>
      <w:ind w:leftChars="1553" w:left="3261" w:rightChars="26" w:right="55" w:firstLine="1"/>
      <w:jc w:val="left"/>
    </w:pPr>
    <w:rPr>
      <w:rFonts w:eastAsia="汉仪大黑简"/>
      <w:color w:val="000000"/>
      <w:sz w:val="18"/>
    </w:rPr>
  </w:style>
  <w:style w:type="character" w:customStyle="1" w:styleId="ac">
    <w:name w:val="已访问的超链接"/>
    <w:uiPriority w:val="99"/>
    <w:rsid w:val="000706C2"/>
    <w:rPr>
      <w:color w:val="800080"/>
      <w:u w:val="single"/>
    </w:rPr>
  </w:style>
  <w:style w:type="paragraph" w:styleId="ad">
    <w:name w:val="Body Text Indent"/>
    <w:basedOn w:val="a"/>
    <w:rsid w:val="000706C2"/>
    <w:pPr>
      <w:ind w:leftChars="1500" w:left="3150"/>
    </w:pPr>
    <w:rPr>
      <w:rFonts w:ascii="汉仪楷体简" w:eastAsia="汉仪楷体简"/>
      <w:color w:val="000000"/>
      <w:kern w:val="0"/>
      <w:sz w:val="18"/>
      <w:szCs w:val="16"/>
    </w:rPr>
  </w:style>
  <w:style w:type="paragraph" w:styleId="20">
    <w:name w:val="Body Text 2"/>
    <w:basedOn w:val="a"/>
    <w:rsid w:val="000706C2"/>
    <w:rPr>
      <w:rFonts w:eastAsia="汉仪楷体简"/>
      <w:kern w:val="0"/>
      <w:sz w:val="18"/>
    </w:rPr>
  </w:style>
  <w:style w:type="paragraph" w:styleId="30">
    <w:name w:val="Body Text 3"/>
    <w:basedOn w:val="a"/>
    <w:rsid w:val="000706C2"/>
    <w:rPr>
      <w:rFonts w:ascii="汉仪楷体简" w:eastAsia="汉仪楷体简"/>
      <w:color w:val="000000"/>
      <w:kern w:val="0"/>
      <w:sz w:val="18"/>
      <w:szCs w:val="16"/>
    </w:rPr>
  </w:style>
  <w:style w:type="paragraph" w:styleId="21">
    <w:name w:val="Body Text Indent 2"/>
    <w:basedOn w:val="a"/>
    <w:rsid w:val="000706C2"/>
    <w:pPr>
      <w:autoSpaceDE w:val="0"/>
      <w:autoSpaceDN w:val="0"/>
      <w:adjustRightInd w:val="0"/>
      <w:ind w:leftChars="1200" w:left="2520" w:firstLineChars="150" w:firstLine="360"/>
      <w:jc w:val="left"/>
    </w:pPr>
    <w:rPr>
      <w:rFonts w:ascii="楷体_GB2312" w:eastAsia="楷体_GB2312"/>
      <w:kern w:val="0"/>
      <w:sz w:val="24"/>
    </w:rPr>
  </w:style>
  <w:style w:type="paragraph" w:styleId="ae">
    <w:name w:val="Normal Indent"/>
    <w:aliases w:val="表正文,正文非缩进"/>
    <w:basedOn w:val="a"/>
    <w:rsid w:val="000706C2"/>
    <w:pPr>
      <w:spacing w:beforeLines="50" w:line="288" w:lineRule="auto"/>
      <w:ind w:leftChars="1199" w:left="1199" w:firstLineChars="200" w:firstLine="200"/>
    </w:pPr>
    <w:rPr>
      <w:rFonts w:eastAsia="楷体_GB2312"/>
      <w:szCs w:val="20"/>
    </w:rPr>
  </w:style>
  <w:style w:type="paragraph" w:styleId="af">
    <w:name w:val="caption"/>
    <w:basedOn w:val="a"/>
    <w:next w:val="a"/>
    <w:qFormat/>
    <w:rsid w:val="000706C2"/>
    <w:pPr>
      <w:spacing w:before="120" w:line="300" w:lineRule="auto"/>
      <w:ind w:leftChars="1200" w:left="2520"/>
      <w:jc w:val="center"/>
    </w:pPr>
    <w:rPr>
      <w:rFonts w:ascii="楷体_GB2312" w:eastAsia="楷体_GB2312" w:hAnsi="Arial" w:cs="Arial"/>
      <w:b/>
      <w:bCs/>
      <w:sz w:val="20"/>
      <w:szCs w:val="20"/>
    </w:rPr>
  </w:style>
  <w:style w:type="paragraph" w:styleId="31">
    <w:name w:val="Body Text Indent 3"/>
    <w:basedOn w:val="a"/>
    <w:rsid w:val="000706C2"/>
    <w:pPr>
      <w:framePr w:hSpace="180" w:wrap="around" w:vAnchor="text" w:hAnchor="text" w:xAlign="right" w:y="1"/>
      <w:spacing w:line="320" w:lineRule="exact"/>
      <w:ind w:leftChars="24" w:left="50" w:firstLineChars="202" w:firstLine="485"/>
      <w:suppressOverlap/>
    </w:pPr>
    <w:rPr>
      <w:rFonts w:ascii="楷体_GB2312" w:eastAsia="楷体_GB2312"/>
      <w:color w:val="000000"/>
      <w:sz w:val="24"/>
    </w:rPr>
  </w:style>
  <w:style w:type="paragraph" w:styleId="af0">
    <w:name w:val="Date"/>
    <w:basedOn w:val="a"/>
    <w:next w:val="a"/>
    <w:rsid w:val="000706C2"/>
    <w:pPr>
      <w:autoSpaceDE w:val="0"/>
      <w:autoSpaceDN w:val="0"/>
      <w:adjustRightInd w:val="0"/>
      <w:textAlignment w:val="baseline"/>
    </w:pPr>
    <w:rPr>
      <w:rFonts w:ascii="宋体"/>
      <w:sz w:val="28"/>
      <w:szCs w:val="20"/>
    </w:rPr>
  </w:style>
  <w:style w:type="character" w:customStyle="1" w:styleId="style12">
    <w:name w:val="style12"/>
    <w:basedOn w:val="a0"/>
    <w:rsid w:val="000706C2"/>
  </w:style>
  <w:style w:type="character" w:styleId="af1">
    <w:name w:val="Strong"/>
    <w:qFormat/>
    <w:rsid w:val="000706C2"/>
    <w:rPr>
      <w:b/>
      <w:bCs/>
    </w:rPr>
  </w:style>
  <w:style w:type="character" w:customStyle="1" w:styleId="style13">
    <w:name w:val="style13"/>
    <w:basedOn w:val="a0"/>
    <w:rsid w:val="000706C2"/>
  </w:style>
  <w:style w:type="paragraph" w:styleId="af2">
    <w:name w:val="Normal (Web)"/>
    <w:basedOn w:val="a"/>
    <w:rsid w:val="000706C2"/>
    <w:pPr>
      <w:widowControl/>
      <w:spacing w:before="100" w:beforeAutospacing="1" w:after="100" w:afterAutospacing="1"/>
      <w:jc w:val="left"/>
    </w:pPr>
    <w:rPr>
      <w:rFonts w:ascii="宋体" w:hAnsi="宋体" w:cs="宋体"/>
      <w:kern w:val="0"/>
      <w:sz w:val="24"/>
    </w:rPr>
  </w:style>
  <w:style w:type="paragraph" w:customStyle="1" w:styleId="CharCharCharCharChar">
    <w:name w:val="Char Char Char Char Char"/>
    <w:basedOn w:val="a"/>
    <w:autoRedefine/>
    <w:rsid w:val="000706C2"/>
    <w:pPr>
      <w:tabs>
        <w:tab w:val="num" w:pos="840"/>
      </w:tabs>
      <w:ind w:left="840" w:hanging="360"/>
    </w:pPr>
    <w:rPr>
      <w:sz w:val="24"/>
    </w:rPr>
  </w:style>
  <w:style w:type="paragraph" w:styleId="z-">
    <w:name w:val="HTML Top of Form"/>
    <w:basedOn w:val="a"/>
    <w:next w:val="a"/>
    <w:hidden/>
    <w:rsid w:val="000706C2"/>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0706C2"/>
    <w:pPr>
      <w:widowControl/>
      <w:pBdr>
        <w:top w:val="single" w:sz="6" w:space="1" w:color="auto"/>
      </w:pBdr>
      <w:jc w:val="center"/>
    </w:pPr>
    <w:rPr>
      <w:rFonts w:ascii="Arial" w:hAnsi="Arial" w:cs="Arial"/>
      <w:vanish/>
      <w:kern w:val="0"/>
      <w:sz w:val="16"/>
      <w:szCs w:val="16"/>
    </w:rPr>
  </w:style>
  <w:style w:type="paragraph" w:styleId="af3">
    <w:name w:val="annotation text"/>
    <w:basedOn w:val="a"/>
    <w:semiHidden/>
    <w:rsid w:val="000706C2"/>
    <w:pPr>
      <w:jc w:val="left"/>
    </w:pPr>
  </w:style>
  <w:style w:type="paragraph" w:styleId="af4">
    <w:name w:val="annotation subject"/>
    <w:basedOn w:val="af3"/>
    <w:next w:val="af3"/>
    <w:semiHidden/>
    <w:rsid w:val="000706C2"/>
    <w:rPr>
      <w:b/>
      <w:bCs/>
    </w:rPr>
  </w:style>
  <w:style w:type="paragraph" w:styleId="af5">
    <w:name w:val="endnote text"/>
    <w:basedOn w:val="a"/>
    <w:semiHidden/>
    <w:rsid w:val="000706C2"/>
    <w:pPr>
      <w:snapToGrid w:val="0"/>
      <w:jc w:val="left"/>
    </w:pPr>
  </w:style>
  <w:style w:type="character" w:styleId="af6">
    <w:name w:val="endnote reference"/>
    <w:semiHidden/>
    <w:rsid w:val="000706C2"/>
    <w:rPr>
      <w:vertAlign w:val="superscript"/>
    </w:rPr>
  </w:style>
  <w:style w:type="character" w:customStyle="1" w:styleId="tt11">
    <w:name w:val="tt11"/>
    <w:basedOn w:val="a0"/>
    <w:rsid w:val="000706C2"/>
  </w:style>
  <w:style w:type="paragraph" w:customStyle="1" w:styleId="Default">
    <w:name w:val="Default"/>
    <w:rsid w:val="000706C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autoRedefine/>
    <w:rsid w:val="000706C2"/>
    <w:pPr>
      <w:tabs>
        <w:tab w:val="num" w:pos="840"/>
      </w:tabs>
      <w:ind w:left="840" w:hanging="360"/>
    </w:pPr>
    <w:rPr>
      <w:sz w:val="24"/>
    </w:rPr>
  </w:style>
  <w:style w:type="paragraph" w:customStyle="1" w:styleId="timesnewromans">
    <w:name w:val="times new romans"/>
    <w:basedOn w:val="a"/>
    <w:rsid w:val="000706C2"/>
    <w:pPr>
      <w:widowControl/>
      <w:jc w:val="left"/>
    </w:pPr>
    <w:rPr>
      <w:rFonts w:ascii="宋体" w:hAnsi="宋体" w:cs="宋体"/>
      <w:color w:val="000000"/>
      <w:kern w:val="0"/>
      <w:szCs w:val="21"/>
    </w:rPr>
  </w:style>
  <w:style w:type="paragraph" w:styleId="af7">
    <w:name w:val="List Paragraph"/>
    <w:basedOn w:val="a"/>
    <w:qFormat/>
    <w:rsid w:val="000706C2"/>
    <w:pPr>
      <w:ind w:firstLineChars="200" w:firstLine="420"/>
    </w:pPr>
  </w:style>
  <w:style w:type="paragraph" w:styleId="af8">
    <w:name w:val="footnote text"/>
    <w:basedOn w:val="a"/>
    <w:link w:val="Char"/>
    <w:rsid w:val="000706C2"/>
    <w:pPr>
      <w:snapToGrid w:val="0"/>
      <w:jc w:val="left"/>
    </w:pPr>
    <w:rPr>
      <w:sz w:val="18"/>
      <w:szCs w:val="18"/>
    </w:rPr>
  </w:style>
  <w:style w:type="character" w:customStyle="1" w:styleId="Char">
    <w:name w:val="脚注文本 Char"/>
    <w:link w:val="af8"/>
    <w:rsid w:val="000706C2"/>
    <w:rPr>
      <w:rFonts w:eastAsia="宋体"/>
      <w:kern w:val="2"/>
      <w:sz w:val="18"/>
      <w:szCs w:val="18"/>
      <w:lang w:val="en-US" w:eastAsia="zh-CN" w:bidi="ar-SA"/>
    </w:rPr>
  </w:style>
  <w:style w:type="character" w:styleId="af9">
    <w:name w:val="footnote reference"/>
    <w:rsid w:val="000706C2"/>
    <w:rPr>
      <w:vertAlign w:val="superscript"/>
    </w:rPr>
  </w:style>
  <w:style w:type="paragraph" w:customStyle="1" w:styleId="CharCharCharCharCharCharCharCharCharCharCharChar1CharCharCharCharCharChar">
    <w:name w:val="Char Char Char Char Char Char Char Char Char Char Char Char1 Char Char Char Char Char Char"/>
    <w:basedOn w:val="a"/>
    <w:autoRedefine/>
    <w:rsid w:val="00FB1B6A"/>
    <w:pPr>
      <w:tabs>
        <w:tab w:val="num" w:pos="840"/>
      </w:tabs>
      <w:ind w:left="840" w:hanging="360"/>
    </w:pPr>
    <w:rPr>
      <w:sz w:val="24"/>
    </w:rPr>
  </w:style>
  <w:style w:type="paragraph" w:styleId="afa">
    <w:name w:val="table of figures"/>
    <w:basedOn w:val="a"/>
    <w:next w:val="a"/>
    <w:rsid w:val="00F8405A"/>
    <w:pPr>
      <w:ind w:leftChars="200" w:left="200" w:hangingChars="200" w:hanging="200"/>
    </w:pPr>
  </w:style>
  <w:style w:type="paragraph" w:customStyle="1" w:styleId="ParaCharCharCharCharCharCharChar">
    <w:name w:val="默认段落字体 Para Char Char Char Char Char Char 字元 Char"/>
    <w:basedOn w:val="a"/>
    <w:autoRedefine/>
    <w:rsid w:val="00F8405A"/>
    <w:pPr>
      <w:tabs>
        <w:tab w:val="num" w:pos="840"/>
      </w:tabs>
      <w:ind w:left="840" w:hanging="360"/>
    </w:pPr>
    <w:rPr>
      <w:sz w:val="24"/>
    </w:rPr>
  </w:style>
  <w:style w:type="character" w:styleId="afb">
    <w:name w:val="annotation reference"/>
    <w:rsid w:val="00F8405A"/>
    <w:rPr>
      <w:sz w:val="21"/>
      <w:szCs w:val="21"/>
    </w:rPr>
  </w:style>
  <w:style w:type="paragraph" w:customStyle="1" w:styleId="10">
    <w:name w:val="样式1"/>
    <w:basedOn w:val="afa"/>
    <w:autoRedefine/>
    <w:rsid w:val="00F8405A"/>
    <w:pPr>
      <w:spacing w:line="360" w:lineRule="auto"/>
      <w:ind w:leftChars="0" w:left="0" w:firstLineChars="0" w:firstLine="0"/>
    </w:pPr>
    <w:rPr>
      <w:bCs/>
      <w:sz w:val="18"/>
      <w:szCs w:val="18"/>
    </w:rPr>
  </w:style>
  <w:style w:type="paragraph" w:styleId="afc">
    <w:name w:val="Subtitle"/>
    <w:basedOn w:val="a"/>
    <w:next w:val="a"/>
    <w:link w:val="Char0"/>
    <w:qFormat/>
    <w:rsid w:val="00F8405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fc"/>
    <w:rsid w:val="00F8405A"/>
    <w:rPr>
      <w:rFonts w:ascii="Cambria" w:hAnsi="Cambria"/>
      <w:b/>
      <w:bCs/>
      <w:kern w:val="28"/>
      <w:sz w:val="32"/>
      <w:szCs w:val="32"/>
    </w:rPr>
  </w:style>
  <w:style w:type="paragraph" w:customStyle="1" w:styleId="CharCharCharChar">
    <w:name w:val="Char Char Char Char"/>
    <w:basedOn w:val="a"/>
    <w:autoRedefine/>
    <w:rsid w:val="00F8405A"/>
    <w:pPr>
      <w:tabs>
        <w:tab w:val="num" w:pos="840"/>
      </w:tabs>
      <w:ind w:left="840" w:hanging="360"/>
    </w:pPr>
    <w:rPr>
      <w:sz w:val="24"/>
    </w:rPr>
  </w:style>
  <w:style w:type="paragraph" w:customStyle="1" w:styleId="CharCharCharCharCharCharChar0">
    <w:name w:val="Char Char Char Char Char Char Char"/>
    <w:basedOn w:val="a"/>
    <w:autoRedefine/>
    <w:rsid w:val="00F8405A"/>
    <w:pPr>
      <w:tabs>
        <w:tab w:val="num" w:pos="840"/>
      </w:tabs>
      <w:ind w:left="840" w:hanging="360"/>
    </w:pPr>
    <w:rPr>
      <w:sz w:val="24"/>
    </w:rPr>
  </w:style>
  <w:style w:type="paragraph" w:customStyle="1" w:styleId="CharChar">
    <w:name w:val="Char Char"/>
    <w:basedOn w:val="a"/>
    <w:autoRedefine/>
    <w:rsid w:val="00F8405A"/>
    <w:pPr>
      <w:tabs>
        <w:tab w:val="num" w:pos="840"/>
      </w:tabs>
      <w:ind w:left="840" w:hanging="360"/>
    </w:pPr>
    <w:rPr>
      <w:sz w:val="24"/>
    </w:rPr>
  </w:style>
  <w:style w:type="paragraph" w:styleId="afd">
    <w:name w:val="Title"/>
    <w:basedOn w:val="a"/>
    <w:next w:val="a"/>
    <w:link w:val="Char1"/>
    <w:qFormat/>
    <w:rsid w:val="00F8405A"/>
    <w:pPr>
      <w:spacing w:before="240" w:after="60"/>
      <w:jc w:val="center"/>
      <w:outlineLvl w:val="0"/>
    </w:pPr>
    <w:rPr>
      <w:rFonts w:ascii="Cambria" w:hAnsi="Cambria"/>
      <w:b/>
      <w:bCs/>
      <w:sz w:val="32"/>
      <w:szCs w:val="32"/>
      <w:lang w:val="x-none" w:eastAsia="x-none"/>
    </w:rPr>
  </w:style>
  <w:style w:type="character" w:customStyle="1" w:styleId="Char1">
    <w:name w:val="标题 Char"/>
    <w:link w:val="afd"/>
    <w:rsid w:val="00F8405A"/>
    <w:rPr>
      <w:rFonts w:ascii="Cambria" w:hAnsi="Cambria"/>
      <w:b/>
      <w:bCs/>
      <w:kern w:val="2"/>
      <w:sz w:val="32"/>
      <w:szCs w:val="32"/>
    </w:rPr>
  </w:style>
  <w:style w:type="paragraph" w:customStyle="1" w:styleId="CharCharCharCharCharCharCharCharCharChar">
    <w:name w:val="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
    <w:name w:val="Char Char Char Char Char Char Char Char Char Char Char Char"/>
    <w:basedOn w:val="a"/>
    <w:autoRedefine/>
    <w:rsid w:val="00F8405A"/>
    <w:pPr>
      <w:tabs>
        <w:tab w:val="num" w:pos="840"/>
      </w:tabs>
      <w:ind w:left="840" w:hanging="360"/>
    </w:pPr>
    <w:rPr>
      <w:sz w:val="24"/>
    </w:rPr>
  </w:style>
  <w:style w:type="paragraph" w:customStyle="1" w:styleId="CharCharCharChar1CharCharCharCharCharChar">
    <w:name w:val="Char Char Char Char1 Char Char Char Char Char Char"/>
    <w:basedOn w:val="a"/>
    <w:autoRedefine/>
    <w:rsid w:val="00F8405A"/>
    <w:pPr>
      <w:tabs>
        <w:tab w:val="num" w:pos="840"/>
      </w:tabs>
      <w:ind w:left="840" w:hanging="360"/>
    </w:pPr>
    <w:rPr>
      <w:sz w:val="24"/>
    </w:rPr>
  </w:style>
  <w:style w:type="paragraph" w:customStyle="1" w:styleId="ParaChar">
    <w:name w:val="默认段落字体 Para Char"/>
    <w:basedOn w:val="a"/>
    <w:rsid w:val="00F8405A"/>
  </w:style>
  <w:style w:type="character" w:styleId="HTML">
    <w:name w:val="HTML Typewriter"/>
    <w:rsid w:val="00F8405A"/>
    <w:rPr>
      <w:rFonts w:ascii="宋体" w:eastAsia="宋体" w:hAnsi="宋体" w:cs="宋体"/>
      <w:sz w:val="24"/>
      <w:szCs w:val="24"/>
    </w:rPr>
  </w:style>
  <w:style w:type="numbering" w:customStyle="1" w:styleId="11">
    <w:name w:val="无列表1"/>
    <w:next w:val="a2"/>
    <w:semiHidden/>
    <w:rsid w:val="00F8405A"/>
  </w:style>
  <w:style w:type="paragraph" w:customStyle="1" w:styleId="font5">
    <w:name w:val="font5"/>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0"/>
      <w:szCs w:val="20"/>
    </w:rPr>
  </w:style>
  <w:style w:type="paragraph" w:customStyle="1" w:styleId="xl25">
    <w:name w:val="xl2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
    <w:name w:val="xl26"/>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27">
    <w:name w:val="xl27"/>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xl28">
    <w:name w:val="xl28"/>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宋体" w:hAnsi="宋体" w:cs="宋体"/>
      <w:kern w:val="0"/>
      <w:sz w:val="20"/>
      <w:szCs w:val="20"/>
    </w:rPr>
  </w:style>
  <w:style w:type="paragraph" w:customStyle="1" w:styleId="xl30">
    <w:name w:val="xl30"/>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31">
    <w:name w:val="xl31"/>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32">
    <w:name w:val="xl32"/>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numbering" w:customStyle="1" w:styleId="22">
    <w:name w:val="无列表2"/>
    <w:next w:val="a2"/>
    <w:semiHidden/>
    <w:rsid w:val="00F8405A"/>
  </w:style>
  <w:style w:type="character" w:customStyle="1" w:styleId="amoonhe">
    <w:name w:val="amoon.he"/>
    <w:semiHidden/>
    <w:rsid w:val="00F8405A"/>
    <w:rPr>
      <w:rFonts w:ascii="宋体" w:eastAsia="宋体"/>
      <w:b w:val="0"/>
      <w:bCs w:val="0"/>
      <w:i w:val="0"/>
      <w:iCs w:val="0"/>
      <w:strike w:val="0"/>
      <w:color w:val="800000"/>
      <w:sz w:val="21"/>
      <w:szCs w:val="21"/>
      <w:u w:val="none"/>
    </w:rPr>
  </w:style>
  <w:style w:type="paragraph" w:customStyle="1" w:styleId="font6">
    <w:name w:val="font6"/>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05A"/>
    <w:pPr>
      <w:widowControl/>
      <w:spacing w:before="100" w:beforeAutospacing="1" w:after="100" w:afterAutospacing="1"/>
      <w:jc w:val="left"/>
    </w:pPr>
    <w:rPr>
      <w:kern w:val="0"/>
      <w:sz w:val="20"/>
      <w:szCs w:val="20"/>
    </w:rPr>
  </w:style>
  <w:style w:type="paragraph" w:customStyle="1" w:styleId="xl33">
    <w:name w:val="xl33"/>
    <w:basedOn w:val="a"/>
    <w:rsid w:val="00F8405A"/>
    <w:pPr>
      <w:widowControl/>
      <w:shd w:val="clear" w:color="auto" w:fill="C0C0C0"/>
      <w:spacing w:before="100" w:beforeAutospacing="1" w:after="100" w:afterAutospacing="1"/>
      <w:jc w:val="center"/>
    </w:pPr>
    <w:rPr>
      <w:rFonts w:ascii="宋体" w:hAnsi="宋体" w:cs="宋体"/>
      <w:kern w:val="0"/>
      <w:sz w:val="20"/>
      <w:szCs w:val="20"/>
    </w:rPr>
  </w:style>
  <w:style w:type="paragraph" w:customStyle="1" w:styleId="xl34">
    <w:name w:val="xl34"/>
    <w:basedOn w:val="a"/>
    <w:rsid w:val="00F8405A"/>
    <w:pPr>
      <w:widowControl/>
      <w:shd w:val="clear" w:color="auto" w:fill="C0C0C0"/>
      <w:spacing w:before="100" w:beforeAutospacing="1" w:after="100" w:afterAutospacing="1"/>
      <w:jc w:val="center"/>
    </w:pPr>
    <w:rPr>
      <w:kern w:val="0"/>
      <w:sz w:val="20"/>
      <w:szCs w:val="20"/>
    </w:rPr>
  </w:style>
  <w:style w:type="paragraph" w:customStyle="1" w:styleId="xl35">
    <w:name w:val="xl3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2">
    <w:name w:val="xl22"/>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
    <w:name w:val="xl23"/>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fundsubjoin">
    <w:name w:val="fundsubjoin"/>
    <w:basedOn w:val="a0"/>
    <w:rsid w:val="00F8405A"/>
  </w:style>
  <w:style w:type="paragraph" w:customStyle="1" w:styleId="CharCharCharCharCharCharCharCharCharCharCharCharCharChar">
    <w:name w:val="Char Char Char Char 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1CharChar">
    <w:name w:val="Char Char Char Char Char Char Char Char Char Char Char Char1 Char Char"/>
    <w:basedOn w:val="a"/>
    <w:autoRedefine/>
    <w:rsid w:val="00F8405A"/>
    <w:pPr>
      <w:tabs>
        <w:tab w:val="num" w:pos="840"/>
      </w:tabs>
      <w:ind w:left="840" w:hanging="360"/>
    </w:pPr>
    <w:rPr>
      <w:sz w:val="24"/>
    </w:rPr>
  </w:style>
  <w:style w:type="paragraph" w:customStyle="1" w:styleId="xl36">
    <w:name w:val="xl36"/>
    <w:basedOn w:val="a"/>
    <w:rsid w:val="00F8405A"/>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7">
    <w:name w:val="xl37"/>
    <w:basedOn w:val="a"/>
    <w:rsid w:val="00F8405A"/>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
    <w:rsid w:val="00F8405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rsid w:val="00F8405A"/>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0">
    <w:name w:val="xl40"/>
    <w:basedOn w:val="a"/>
    <w:rsid w:val="00F8405A"/>
    <w:pPr>
      <w:widowControl/>
      <w:pBdr>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1">
    <w:name w:val="xl41"/>
    <w:basedOn w:val="a"/>
    <w:rsid w:val="00F8405A"/>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2">
    <w:name w:val="xl42"/>
    <w:basedOn w:val="a"/>
    <w:rsid w:val="00F8405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3">
    <w:name w:val="xl43"/>
    <w:basedOn w:val="a"/>
    <w:rsid w:val="00F8405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0">
    <w:name w:val="font0"/>
    <w:basedOn w:val="a"/>
    <w:rsid w:val="00F8405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F8405A"/>
    <w:pPr>
      <w:widowControl/>
      <w:spacing w:before="100" w:beforeAutospacing="1" w:after="100" w:afterAutospacing="1"/>
      <w:jc w:val="left"/>
    </w:pPr>
    <w:rPr>
      <w:rFonts w:ascii="Arial" w:hAnsi="Arial" w:cs="Arial"/>
      <w:kern w:val="0"/>
      <w:sz w:val="20"/>
      <w:szCs w:val="20"/>
    </w:rPr>
  </w:style>
  <w:style w:type="paragraph" w:customStyle="1" w:styleId="xl65">
    <w:name w:val="xl65"/>
    <w:basedOn w:val="a"/>
    <w:rsid w:val="00F8405A"/>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F8405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F8405A"/>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8405A"/>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F8405A"/>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F8405A"/>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F8405A"/>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2">
    <w:name w:val="xl72"/>
    <w:basedOn w:val="a"/>
    <w:rsid w:val="00F8405A"/>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F8405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F8405A"/>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F840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F8405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F8405A"/>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F8405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character" w:styleId="afe">
    <w:name w:val="Emphasis"/>
    <w:qFormat/>
    <w:rsid w:val="00F8405A"/>
    <w:rPr>
      <w:b w:val="0"/>
      <w:bCs w:val="0"/>
      <w:i w:val="0"/>
      <w:iCs w:val="0"/>
      <w:color w:val="CC0033"/>
    </w:rPr>
  </w:style>
  <w:style w:type="paragraph" w:customStyle="1" w:styleId="xl63">
    <w:name w:val="xl63"/>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F8405A"/>
    <w:pPr>
      <w:widowControl/>
      <w:spacing w:before="100" w:beforeAutospacing="1" w:after="100" w:afterAutospacing="1"/>
      <w:jc w:val="left"/>
    </w:pPr>
    <w:rPr>
      <w:rFonts w:ascii="宋体" w:hAnsi="宋体" w:cs="宋体"/>
      <w:kern w:val="0"/>
      <w:sz w:val="18"/>
      <w:szCs w:val="18"/>
    </w:rPr>
  </w:style>
  <w:style w:type="character" w:customStyle="1" w:styleId="cred1">
    <w:name w:val="cred1"/>
    <w:basedOn w:val="a0"/>
    <w:rsid w:val="006E753D"/>
    <w:rPr>
      <w:color w:val="CC0000"/>
    </w:rPr>
  </w:style>
  <w:style w:type="character" w:styleId="aff">
    <w:name w:val="FollowedHyperlink"/>
    <w:basedOn w:val="a0"/>
    <w:uiPriority w:val="99"/>
    <w:semiHidden/>
    <w:unhideWhenUsed/>
    <w:rsid w:val="00CF09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681">
      <w:bodyDiv w:val="1"/>
      <w:marLeft w:val="0"/>
      <w:marRight w:val="0"/>
      <w:marTop w:val="0"/>
      <w:marBottom w:val="0"/>
      <w:divBdr>
        <w:top w:val="none" w:sz="0" w:space="0" w:color="auto"/>
        <w:left w:val="none" w:sz="0" w:space="0" w:color="auto"/>
        <w:bottom w:val="none" w:sz="0" w:space="0" w:color="auto"/>
        <w:right w:val="none" w:sz="0" w:space="0" w:color="auto"/>
      </w:divBdr>
    </w:div>
    <w:div w:id="19549766">
      <w:bodyDiv w:val="1"/>
      <w:marLeft w:val="0"/>
      <w:marRight w:val="0"/>
      <w:marTop w:val="0"/>
      <w:marBottom w:val="0"/>
      <w:divBdr>
        <w:top w:val="none" w:sz="0" w:space="0" w:color="auto"/>
        <w:left w:val="none" w:sz="0" w:space="0" w:color="auto"/>
        <w:bottom w:val="none" w:sz="0" w:space="0" w:color="auto"/>
        <w:right w:val="none" w:sz="0" w:space="0" w:color="auto"/>
      </w:divBdr>
    </w:div>
    <w:div w:id="23606367">
      <w:bodyDiv w:val="1"/>
      <w:marLeft w:val="0"/>
      <w:marRight w:val="0"/>
      <w:marTop w:val="0"/>
      <w:marBottom w:val="0"/>
      <w:divBdr>
        <w:top w:val="none" w:sz="0" w:space="0" w:color="auto"/>
        <w:left w:val="none" w:sz="0" w:space="0" w:color="auto"/>
        <w:bottom w:val="none" w:sz="0" w:space="0" w:color="auto"/>
        <w:right w:val="none" w:sz="0" w:space="0" w:color="auto"/>
      </w:divBdr>
    </w:div>
    <w:div w:id="35862473">
      <w:bodyDiv w:val="1"/>
      <w:marLeft w:val="0"/>
      <w:marRight w:val="0"/>
      <w:marTop w:val="0"/>
      <w:marBottom w:val="0"/>
      <w:divBdr>
        <w:top w:val="none" w:sz="0" w:space="0" w:color="auto"/>
        <w:left w:val="none" w:sz="0" w:space="0" w:color="auto"/>
        <w:bottom w:val="none" w:sz="0" w:space="0" w:color="auto"/>
        <w:right w:val="none" w:sz="0" w:space="0" w:color="auto"/>
      </w:divBdr>
    </w:div>
    <w:div w:id="38674365">
      <w:bodyDiv w:val="1"/>
      <w:marLeft w:val="0"/>
      <w:marRight w:val="0"/>
      <w:marTop w:val="0"/>
      <w:marBottom w:val="0"/>
      <w:divBdr>
        <w:top w:val="none" w:sz="0" w:space="0" w:color="auto"/>
        <w:left w:val="none" w:sz="0" w:space="0" w:color="auto"/>
        <w:bottom w:val="none" w:sz="0" w:space="0" w:color="auto"/>
        <w:right w:val="none" w:sz="0" w:space="0" w:color="auto"/>
      </w:divBdr>
    </w:div>
    <w:div w:id="44843225">
      <w:bodyDiv w:val="1"/>
      <w:marLeft w:val="0"/>
      <w:marRight w:val="0"/>
      <w:marTop w:val="0"/>
      <w:marBottom w:val="0"/>
      <w:divBdr>
        <w:top w:val="none" w:sz="0" w:space="0" w:color="auto"/>
        <w:left w:val="none" w:sz="0" w:space="0" w:color="auto"/>
        <w:bottom w:val="none" w:sz="0" w:space="0" w:color="auto"/>
        <w:right w:val="none" w:sz="0" w:space="0" w:color="auto"/>
      </w:divBdr>
    </w:div>
    <w:div w:id="60369714">
      <w:bodyDiv w:val="1"/>
      <w:marLeft w:val="0"/>
      <w:marRight w:val="0"/>
      <w:marTop w:val="0"/>
      <w:marBottom w:val="0"/>
      <w:divBdr>
        <w:top w:val="none" w:sz="0" w:space="0" w:color="auto"/>
        <w:left w:val="none" w:sz="0" w:space="0" w:color="auto"/>
        <w:bottom w:val="none" w:sz="0" w:space="0" w:color="auto"/>
        <w:right w:val="none" w:sz="0" w:space="0" w:color="auto"/>
      </w:divBdr>
    </w:div>
    <w:div w:id="63257123">
      <w:bodyDiv w:val="1"/>
      <w:marLeft w:val="0"/>
      <w:marRight w:val="0"/>
      <w:marTop w:val="0"/>
      <w:marBottom w:val="0"/>
      <w:divBdr>
        <w:top w:val="none" w:sz="0" w:space="0" w:color="auto"/>
        <w:left w:val="none" w:sz="0" w:space="0" w:color="auto"/>
        <w:bottom w:val="none" w:sz="0" w:space="0" w:color="auto"/>
        <w:right w:val="none" w:sz="0" w:space="0" w:color="auto"/>
      </w:divBdr>
      <w:divsChild>
        <w:div w:id="2025862545">
          <w:marLeft w:val="0"/>
          <w:marRight w:val="0"/>
          <w:marTop w:val="0"/>
          <w:marBottom w:val="0"/>
          <w:divBdr>
            <w:top w:val="none" w:sz="0" w:space="0" w:color="auto"/>
            <w:left w:val="none" w:sz="0" w:space="0" w:color="auto"/>
            <w:bottom w:val="none" w:sz="0" w:space="0" w:color="auto"/>
            <w:right w:val="none" w:sz="0" w:space="0" w:color="auto"/>
          </w:divBdr>
        </w:div>
        <w:div w:id="496306407">
          <w:marLeft w:val="0"/>
          <w:marRight w:val="0"/>
          <w:marTop w:val="0"/>
          <w:marBottom w:val="0"/>
          <w:divBdr>
            <w:top w:val="none" w:sz="0" w:space="0" w:color="auto"/>
            <w:left w:val="none" w:sz="0" w:space="0" w:color="auto"/>
            <w:bottom w:val="none" w:sz="0" w:space="0" w:color="auto"/>
            <w:right w:val="none" w:sz="0" w:space="0" w:color="auto"/>
          </w:divBdr>
        </w:div>
      </w:divsChild>
    </w:div>
    <w:div w:id="92433299">
      <w:bodyDiv w:val="1"/>
      <w:marLeft w:val="0"/>
      <w:marRight w:val="0"/>
      <w:marTop w:val="0"/>
      <w:marBottom w:val="0"/>
      <w:divBdr>
        <w:top w:val="none" w:sz="0" w:space="0" w:color="auto"/>
        <w:left w:val="none" w:sz="0" w:space="0" w:color="auto"/>
        <w:bottom w:val="none" w:sz="0" w:space="0" w:color="auto"/>
        <w:right w:val="none" w:sz="0" w:space="0" w:color="auto"/>
      </w:divBdr>
    </w:div>
    <w:div w:id="140271034">
      <w:bodyDiv w:val="1"/>
      <w:marLeft w:val="0"/>
      <w:marRight w:val="0"/>
      <w:marTop w:val="0"/>
      <w:marBottom w:val="0"/>
      <w:divBdr>
        <w:top w:val="none" w:sz="0" w:space="0" w:color="auto"/>
        <w:left w:val="none" w:sz="0" w:space="0" w:color="auto"/>
        <w:bottom w:val="none" w:sz="0" w:space="0" w:color="auto"/>
        <w:right w:val="none" w:sz="0" w:space="0" w:color="auto"/>
      </w:divBdr>
    </w:div>
    <w:div w:id="145587581">
      <w:bodyDiv w:val="1"/>
      <w:marLeft w:val="0"/>
      <w:marRight w:val="0"/>
      <w:marTop w:val="0"/>
      <w:marBottom w:val="0"/>
      <w:divBdr>
        <w:top w:val="none" w:sz="0" w:space="0" w:color="auto"/>
        <w:left w:val="none" w:sz="0" w:space="0" w:color="auto"/>
        <w:bottom w:val="none" w:sz="0" w:space="0" w:color="auto"/>
        <w:right w:val="none" w:sz="0" w:space="0" w:color="auto"/>
      </w:divBdr>
    </w:div>
    <w:div w:id="189880088">
      <w:bodyDiv w:val="1"/>
      <w:marLeft w:val="0"/>
      <w:marRight w:val="0"/>
      <w:marTop w:val="0"/>
      <w:marBottom w:val="0"/>
      <w:divBdr>
        <w:top w:val="none" w:sz="0" w:space="0" w:color="auto"/>
        <w:left w:val="none" w:sz="0" w:space="0" w:color="auto"/>
        <w:bottom w:val="none" w:sz="0" w:space="0" w:color="auto"/>
        <w:right w:val="none" w:sz="0" w:space="0" w:color="auto"/>
      </w:divBdr>
    </w:div>
    <w:div w:id="191118169">
      <w:bodyDiv w:val="1"/>
      <w:marLeft w:val="0"/>
      <w:marRight w:val="0"/>
      <w:marTop w:val="0"/>
      <w:marBottom w:val="0"/>
      <w:divBdr>
        <w:top w:val="none" w:sz="0" w:space="0" w:color="auto"/>
        <w:left w:val="none" w:sz="0" w:space="0" w:color="auto"/>
        <w:bottom w:val="none" w:sz="0" w:space="0" w:color="auto"/>
        <w:right w:val="none" w:sz="0" w:space="0" w:color="auto"/>
      </w:divBdr>
    </w:div>
    <w:div w:id="224876156">
      <w:bodyDiv w:val="1"/>
      <w:marLeft w:val="0"/>
      <w:marRight w:val="0"/>
      <w:marTop w:val="0"/>
      <w:marBottom w:val="0"/>
      <w:divBdr>
        <w:top w:val="none" w:sz="0" w:space="0" w:color="auto"/>
        <w:left w:val="none" w:sz="0" w:space="0" w:color="auto"/>
        <w:bottom w:val="none" w:sz="0" w:space="0" w:color="auto"/>
        <w:right w:val="none" w:sz="0" w:space="0" w:color="auto"/>
      </w:divBdr>
    </w:div>
    <w:div w:id="258489446">
      <w:bodyDiv w:val="1"/>
      <w:marLeft w:val="0"/>
      <w:marRight w:val="0"/>
      <w:marTop w:val="0"/>
      <w:marBottom w:val="0"/>
      <w:divBdr>
        <w:top w:val="none" w:sz="0" w:space="0" w:color="auto"/>
        <w:left w:val="none" w:sz="0" w:space="0" w:color="auto"/>
        <w:bottom w:val="none" w:sz="0" w:space="0" w:color="auto"/>
        <w:right w:val="none" w:sz="0" w:space="0" w:color="auto"/>
      </w:divBdr>
    </w:div>
    <w:div w:id="260339358">
      <w:bodyDiv w:val="1"/>
      <w:marLeft w:val="0"/>
      <w:marRight w:val="0"/>
      <w:marTop w:val="0"/>
      <w:marBottom w:val="0"/>
      <w:divBdr>
        <w:top w:val="none" w:sz="0" w:space="0" w:color="auto"/>
        <w:left w:val="none" w:sz="0" w:space="0" w:color="auto"/>
        <w:bottom w:val="none" w:sz="0" w:space="0" w:color="auto"/>
        <w:right w:val="none" w:sz="0" w:space="0" w:color="auto"/>
      </w:divBdr>
    </w:div>
    <w:div w:id="271018626">
      <w:bodyDiv w:val="1"/>
      <w:marLeft w:val="0"/>
      <w:marRight w:val="0"/>
      <w:marTop w:val="0"/>
      <w:marBottom w:val="0"/>
      <w:divBdr>
        <w:top w:val="none" w:sz="0" w:space="0" w:color="auto"/>
        <w:left w:val="none" w:sz="0" w:space="0" w:color="auto"/>
        <w:bottom w:val="none" w:sz="0" w:space="0" w:color="auto"/>
        <w:right w:val="none" w:sz="0" w:space="0" w:color="auto"/>
      </w:divBdr>
    </w:div>
    <w:div w:id="298849042">
      <w:bodyDiv w:val="1"/>
      <w:marLeft w:val="0"/>
      <w:marRight w:val="0"/>
      <w:marTop w:val="0"/>
      <w:marBottom w:val="0"/>
      <w:divBdr>
        <w:top w:val="none" w:sz="0" w:space="0" w:color="auto"/>
        <w:left w:val="none" w:sz="0" w:space="0" w:color="auto"/>
        <w:bottom w:val="none" w:sz="0" w:space="0" w:color="auto"/>
        <w:right w:val="none" w:sz="0" w:space="0" w:color="auto"/>
      </w:divBdr>
    </w:div>
    <w:div w:id="305429263">
      <w:bodyDiv w:val="1"/>
      <w:marLeft w:val="0"/>
      <w:marRight w:val="0"/>
      <w:marTop w:val="0"/>
      <w:marBottom w:val="0"/>
      <w:divBdr>
        <w:top w:val="none" w:sz="0" w:space="0" w:color="auto"/>
        <w:left w:val="none" w:sz="0" w:space="0" w:color="auto"/>
        <w:bottom w:val="none" w:sz="0" w:space="0" w:color="auto"/>
        <w:right w:val="none" w:sz="0" w:space="0" w:color="auto"/>
      </w:divBdr>
    </w:div>
    <w:div w:id="319191570">
      <w:bodyDiv w:val="1"/>
      <w:marLeft w:val="0"/>
      <w:marRight w:val="0"/>
      <w:marTop w:val="0"/>
      <w:marBottom w:val="0"/>
      <w:divBdr>
        <w:top w:val="none" w:sz="0" w:space="0" w:color="auto"/>
        <w:left w:val="none" w:sz="0" w:space="0" w:color="auto"/>
        <w:bottom w:val="none" w:sz="0" w:space="0" w:color="auto"/>
        <w:right w:val="none" w:sz="0" w:space="0" w:color="auto"/>
      </w:divBdr>
    </w:div>
    <w:div w:id="322514056">
      <w:bodyDiv w:val="1"/>
      <w:marLeft w:val="0"/>
      <w:marRight w:val="0"/>
      <w:marTop w:val="0"/>
      <w:marBottom w:val="0"/>
      <w:divBdr>
        <w:top w:val="none" w:sz="0" w:space="0" w:color="auto"/>
        <w:left w:val="none" w:sz="0" w:space="0" w:color="auto"/>
        <w:bottom w:val="none" w:sz="0" w:space="0" w:color="auto"/>
        <w:right w:val="none" w:sz="0" w:space="0" w:color="auto"/>
      </w:divBdr>
    </w:div>
    <w:div w:id="330526104">
      <w:bodyDiv w:val="1"/>
      <w:marLeft w:val="0"/>
      <w:marRight w:val="0"/>
      <w:marTop w:val="0"/>
      <w:marBottom w:val="0"/>
      <w:divBdr>
        <w:top w:val="none" w:sz="0" w:space="0" w:color="auto"/>
        <w:left w:val="none" w:sz="0" w:space="0" w:color="auto"/>
        <w:bottom w:val="none" w:sz="0" w:space="0" w:color="auto"/>
        <w:right w:val="none" w:sz="0" w:space="0" w:color="auto"/>
      </w:divBdr>
    </w:div>
    <w:div w:id="333797730">
      <w:bodyDiv w:val="1"/>
      <w:marLeft w:val="0"/>
      <w:marRight w:val="0"/>
      <w:marTop w:val="0"/>
      <w:marBottom w:val="0"/>
      <w:divBdr>
        <w:top w:val="none" w:sz="0" w:space="0" w:color="auto"/>
        <w:left w:val="none" w:sz="0" w:space="0" w:color="auto"/>
        <w:bottom w:val="none" w:sz="0" w:space="0" w:color="auto"/>
        <w:right w:val="none" w:sz="0" w:space="0" w:color="auto"/>
      </w:divBdr>
    </w:div>
    <w:div w:id="336151564">
      <w:bodyDiv w:val="1"/>
      <w:marLeft w:val="0"/>
      <w:marRight w:val="0"/>
      <w:marTop w:val="0"/>
      <w:marBottom w:val="0"/>
      <w:divBdr>
        <w:top w:val="none" w:sz="0" w:space="0" w:color="auto"/>
        <w:left w:val="none" w:sz="0" w:space="0" w:color="auto"/>
        <w:bottom w:val="none" w:sz="0" w:space="0" w:color="auto"/>
        <w:right w:val="none" w:sz="0" w:space="0" w:color="auto"/>
      </w:divBdr>
    </w:div>
    <w:div w:id="338852347">
      <w:bodyDiv w:val="1"/>
      <w:marLeft w:val="0"/>
      <w:marRight w:val="0"/>
      <w:marTop w:val="0"/>
      <w:marBottom w:val="0"/>
      <w:divBdr>
        <w:top w:val="none" w:sz="0" w:space="0" w:color="auto"/>
        <w:left w:val="none" w:sz="0" w:space="0" w:color="auto"/>
        <w:bottom w:val="none" w:sz="0" w:space="0" w:color="auto"/>
        <w:right w:val="none" w:sz="0" w:space="0" w:color="auto"/>
      </w:divBdr>
    </w:div>
    <w:div w:id="353461779">
      <w:bodyDiv w:val="1"/>
      <w:marLeft w:val="0"/>
      <w:marRight w:val="0"/>
      <w:marTop w:val="0"/>
      <w:marBottom w:val="0"/>
      <w:divBdr>
        <w:top w:val="none" w:sz="0" w:space="0" w:color="auto"/>
        <w:left w:val="none" w:sz="0" w:space="0" w:color="auto"/>
        <w:bottom w:val="none" w:sz="0" w:space="0" w:color="auto"/>
        <w:right w:val="none" w:sz="0" w:space="0" w:color="auto"/>
      </w:divBdr>
    </w:div>
    <w:div w:id="382407015">
      <w:bodyDiv w:val="1"/>
      <w:marLeft w:val="0"/>
      <w:marRight w:val="0"/>
      <w:marTop w:val="0"/>
      <w:marBottom w:val="0"/>
      <w:divBdr>
        <w:top w:val="none" w:sz="0" w:space="0" w:color="auto"/>
        <w:left w:val="none" w:sz="0" w:space="0" w:color="auto"/>
        <w:bottom w:val="none" w:sz="0" w:space="0" w:color="auto"/>
        <w:right w:val="none" w:sz="0" w:space="0" w:color="auto"/>
      </w:divBdr>
    </w:div>
    <w:div w:id="383916469">
      <w:bodyDiv w:val="1"/>
      <w:marLeft w:val="0"/>
      <w:marRight w:val="0"/>
      <w:marTop w:val="0"/>
      <w:marBottom w:val="0"/>
      <w:divBdr>
        <w:top w:val="none" w:sz="0" w:space="0" w:color="auto"/>
        <w:left w:val="none" w:sz="0" w:space="0" w:color="auto"/>
        <w:bottom w:val="none" w:sz="0" w:space="0" w:color="auto"/>
        <w:right w:val="none" w:sz="0" w:space="0" w:color="auto"/>
      </w:divBdr>
    </w:div>
    <w:div w:id="398479026">
      <w:bodyDiv w:val="1"/>
      <w:marLeft w:val="0"/>
      <w:marRight w:val="0"/>
      <w:marTop w:val="0"/>
      <w:marBottom w:val="0"/>
      <w:divBdr>
        <w:top w:val="none" w:sz="0" w:space="0" w:color="auto"/>
        <w:left w:val="none" w:sz="0" w:space="0" w:color="auto"/>
        <w:bottom w:val="none" w:sz="0" w:space="0" w:color="auto"/>
        <w:right w:val="none" w:sz="0" w:space="0" w:color="auto"/>
      </w:divBdr>
    </w:div>
    <w:div w:id="401292368">
      <w:bodyDiv w:val="1"/>
      <w:marLeft w:val="0"/>
      <w:marRight w:val="0"/>
      <w:marTop w:val="0"/>
      <w:marBottom w:val="0"/>
      <w:divBdr>
        <w:top w:val="none" w:sz="0" w:space="0" w:color="auto"/>
        <w:left w:val="none" w:sz="0" w:space="0" w:color="auto"/>
        <w:bottom w:val="none" w:sz="0" w:space="0" w:color="auto"/>
        <w:right w:val="none" w:sz="0" w:space="0" w:color="auto"/>
      </w:divBdr>
    </w:div>
    <w:div w:id="418529708">
      <w:bodyDiv w:val="1"/>
      <w:marLeft w:val="0"/>
      <w:marRight w:val="0"/>
      <w:marTop w:val="0"/>
      <w:marBottom w:val="0"/>
      <w:divBdr>
        <w:top w:val="none" w:sz="0" w:space="0" w:color="auto"/>
        <w:left w:val="none" w:sz="0" w:space="0" w:color="auto"/>
        <w:bottom w:val="none" w:sz="0" w:space="0" w:color="auto"/>
        <w:right w:val="none" w:sz="0" w:space="0" w:color="auto"/>
      </w:divBdr>
    </w:div>
    <w:div w:id="421338595">
      <w:bodyDiv w:val="1"/>
      <w:marLeft w:val="0"/>
      <w:marRight w:val="0"/>
      <w:marTop w:val="0"/>
      <w:marBottom w:val="0"/>
      <w:divBdr>
        <w:top w:val="none" w:sz="0" w:space="0" w:color="auto"/>
        <w:left w:val="none" w:sz="0" w:space="0" w:color="auto"/>
        <w:bottom w:val="none" w:sz="0" w:space="0" w:color="auto"/>
        <w:right w:val="none" w:sz="0" w:space="0" w:color="auto"/>
      </w:divBdr>
    </w:div>
    <w:div w:id="423721434">
      <w:bodyDiv w:val="1"/>
      <w:marLeft w:val="0"/>
      <w:marRight w:val="0"/>
      <w:marTop w:val="0"/>
      <w:marBottom w:val="0"/>
      <w:divBdr>
        <w:top w:val="none" w:sz="0" w:space="0" w:color="auto"/>
        <w:left w:val="none" w:sz="0" w:space="0" w:color="auto"/>
        <w:bottom w:val="none" w:sz="0" w:space="0" w:color="auto"/>
        <w:right w:val="none" w:sz="0" w:space="0" w:color="auto"/>
      </w:divBdr>
    </w:div>
    <w:div w:id="427387262">
      <w:bodyDiv w:val="1"/>
      <w:marLeft w:val="0"/>
      <w:marRight w:val="0"/>
      <w:marTop w:val="0"/>
      <w:marBottom w:val="0"/>
      <w:divBdr>
        <w:top w:val="none" w:sz="0" w:space="0" w:color="auto"/>
        <w:left w:val="none" w:sz="0" w:space="0" w:color="auto"/>
        <w:bottom w:val="none" w:sz="0" w:space="0" w:color="auto"/>
        <w:right w:val="none" w:sz="0" w:space="0" w:color="auto"/>
      </w:divBdr>
    </w:div>
    <w:div w:id="448355567">
      <w:bodyDiv w:val="1"/>
      <w:marLeft w:val="0"/>
      <w:marRight w:val="0"/>
      <w:marTop w:val="0"/>
      <w:marBottom w:val="0"/>
      <w:divBdr>
        <w:top w:val="none" w:sz="0" w:space="0" w:color="auto"/>
        <w:left w:val="none" w:sz="0" w:space="0" w:color="auto"/>
        <w:bottom w:val="none" w:sz="0" w:space="0" w:color="auto"/>
        <w:right w:val="none" w:sz="0" w:space="0" w:color="auto"/>
      </w:divBdr>
    </w:div>
    <w:div w:id="449907010">
      <w:bodyDiv w:val="1"/>
      <w:marLeft w:val="0"/>
      <w:marRight w:val="0"/>
      <w:marTop w:val="0"/>
      <w:marBottom w:val="0"/>
      <w:divBdr>
        <w:top w:val="none" w:sz="0" w:space="0" w:color="auto"/>
        <w:left w:val="none" w:sz="0" w:space="0" w:color="auto"/>
        <w:bottom w:val="none" w:sz="0" w:space="0" w:color="auto"/>
        <w:right w:val="none" w:sz="0" w:space="0" w:color="auto"/>
      </w:divBdr>
    </w:div>
    <w:div w:id="458230037">
      <w:bodyDiv w:val="1"/>
      <w:marLeft w:val="0"/>
      <w:marRight w:val="0"/>
      <w:marTop w:val="0"/>
      <w:marBottom w:val="0"/>
      <w:divBdr>
        <w:top w:val="none" w:sz="0" w:space="0" w:color="auto"/>
        <w:left w:val="none" w:sz="0" w:space="0" w:color="auto"/>
        <w:bottom w:val="none" w:sz="0" w:space="0" w:color="auto"/>
        <w:right w:val="none" w:sz="0" w:space="0" w:color="auto"/>
      </w:divBdr>
    </w:div>
    <w:div w:id="458765284">
      <w:bodyDiv w:val="1"/>
      <w:marLeft w:val="0"/>
      <w:marRight w:val="0"/>
      <w:marTop w:val="0"/>
      <w:marBottom w:val="0"/>
      <w:divBdr>
        <w:top w:val="none" w:sz="0" w:space="0" w:color="auto"/>
        <w:left w:val="none" w:sz="0" w:space="0" w:color="auto"/>
        <w:bottom w:val="none" w:sz="0" w:space="0" w:color="auto"/>
        <w:right w:val="none" w:sz="0" w:space="0" w:color="auto"/>
      </w:divBdr>
    </w:div>
    <w:div w:id="462771805">
      <w:bodyDiv w:val="1"/>
      <w:marLeft w:val="0"/>
      <w:marRight w:val="0"/>
      <w:marTop w:val="0"/>
      <w:marBottom w:val="0"/>
      <w:divBdr>
        <w:top w:val="none" w:sz="0" w:space="0" w:color="auto"/>
        <w:left w:val="none" w:sz="0" w:space="0" w:color="auto"/>
        <w:bottom w:val="none" w:sz="0" w:space="0" w:color="auto"/>
        <w:right w:val="none" w:sz="0" w:space="0" w:color="auto"/>
      </w:divBdr>
    </w:div>
    <w:div w:id="474101802">
      <w:bodyDiv w:val="1"/>
      <w:marLeft w:val="0"/>
      <w:marRight w:val="0"/>
      <w:marTop w:val="0"/>
      <w:marBottom w:val="0"/>
      <w:divBdr>
        <w:top w:val="none" w:sz="0" w:space="0" w:color="auto"/>
        <w:left w:val="none" w:sz="0" w:space="0" w:color="auto"/>
        <w:bottom w:val="none" w:sz="0" w:space="0" w:color="auto"/>
        <w:right w:val="none" w:sz="0" w:space="0" w:color="auto"/>
      </w:divBdr>
    </w:div>
    <w:div w:id="477192758">
      <w:bodyDiv w:val="1"/>
      <w:marLeft w:val="0"/>
      <w:marRight w:val="0"/>
      <w:marTop w:val="0"/>
      <w:marBottom w:val="0"/>
      <w:divBdr>
        <w:top w:val="none" w:sz="0" w:space="0" w:color="auto"/>
        <w:left w:val="none" w:sz="0" w:space="0" w:color="auto"/>
        <w:bottom w:val="none" w:sz="0" w:space="0" w:color="auto"/>
        <w:right w:val="none" w:sz="0" w:space="0" w:color="auto"/>
      </w:divBdr>
    </w:div>
    <w:div w:id="478153999">
      <w:bodyDiv w:val="1"/>
      <w:marLeft w:val="0"/>
      <w:marRight w:val="0"/>
      <w:marTop w:val="0"/>
      <w:marBottom w:val="0"/>
      <w:divBdr>
        <w:top w:val="none" w:sz="0" w:space="0" w:color="auto"/>
        <w:left w:val="none" w:sz="0" w:space="0" w:color="auto"/>
        <w:bottom w:val="none" w:sz="0" w:space="0" w:color="auto"/>
        <w:right w:val="none" w:sz="0" w:space="0" w:color="auto"/>
      </w:divBdr>
    </w:div>
    <w:div w:id="485711349">
      <w:bodyDiv w:val="1"/>
      <w:marLeft w:val="0"/>
      <w:marRight w:val="0"/>
      <w:marTop w:val="0"/>
      <w:marBottom w:val="0"/>
      <w:divBdr>
        <w:top w:val="none" w:sz="0" w:space="0" w:color="auto"/>
        <w:left w:val="none" w:sz="0" w:space="0" w:color="auto"/>
        <w:bottom w:val="none" w:sz="0" w:space="0" w:color="auto"/>
        <w:right w:val="none" w:sz="0" w:space="0" w:color="auto"/>
      </w:divBdr>
    </w:div>
    <w:div w:id="492645192">
      <w:bodyDiv w:val="1"/>
      <w:marLeft w:val="0"/>
      <w:marRight w:val="0"/>
      <w:marTop w:val="0"/>
      <w:marBottom w:val="0"/>
      <w:divBdr>
        <w:top w:val="none" w:sz="0" w:space="0" w:color="auto"/>
        <w:left w:val="none" w:sz="0" w:space="0" w:color="auto"/>
        <w:bottom w:val="none" w:sz="0" w:space="0" w:color="auto"/>
        <w:right w:val="none" w:sz="0" w:space="0" w:color="auto"/>
      </w:divBdr>
    </w:div>
    <w:div w:id="516240423">
      <w:bodyDiv w:val="1"/>
      <w:marLeft w:val="0"/>
      <w:marRight w:val="0"/>
      <w:marTop w:val="0"/>
      <w:marBottom w:val="0"/>
      <w:divBdr>
        <w:top w:val="none" w:sz="0" w:space="0" w:color="auto"/>
        <w:left w:val="none" w:sz="0" w:space="0" w:color="auto"/>
        <w:bottom w:val="none" w:sz="0" w:space="0" w:color="auto"/>
        <w:right w:val="none" w:sz="0" w:space="0" w:color="auto"/>
      </w:divBdr>
    </w:div>
    <w:div w:id="546455318">
      <w:bodyDiv w:val="1"/>
      <w:marLeft w:val="0"/>
      <w:marRight w:val="0"/>
      <w:marTop w:val="0"/>
      <w:marBottom w:val="0"/>
      <w:divBdr>
        <w:top w:val="none" w:sz="0" w:space="0" w:color="auto"/>
        <w:left w:val="none" w:sz="0" w:space="0" w:color="auto"/>
        <w:bottom w:val="none" w:sz="0" w:space="0" w:color="auto"/>
        <w:right w:val="none" w:sz="0" w:space="0" w:color="auto"/>
      </w:divBdr>
    </w:div>
    <w:div w:id="553933541">
      <w:bodyDiv w:val="1"/>
      <w:marLeft w:val="0"/>
      <w:marRight w:val="0"/>
      <w:marTop w:val="0"/>
      <w:marBottom w:val="0"/>
      <w:divBdr>
        <w:top w:val="none" w:sz="0" w:space="0" w:color="auto"/>
        <w:left w:val="none" w:sz="0" w:space="0" w:color="auto"/>
        <w:bottom w:val="none" w:sz="0" w:space="0" w:color="auto"/>
        <w:right w:val="none" w:sz="0" w:space="0" w:color="auto"/>
      </w:divBdr>
    </w:div>
    <w:div w:id="554203213">
      <w:bodyDiv w:val="1"/>
      <w:marLeft w:val="0"/>
      <w:marRight w:val="0"/>
      <w:marTop w:val="0"/>
      <w:marBottom w:val="0"/>
      <w:divBdr>
        <w:top w:val="none" w:sz="0" w:space="0" w:color="auto"/>
        <w:left w:val="none" w:sz="0" w:space="0" w:color="auto"/>
        <w:bottom w:val="none" w:sz="0" w:space="0" w:color="auto"/>
        <w:right w:val="none" w:sz="0" w:space="0" w:color="auto"/>
      </w:divBdr>
    </w:div>
    <w:div w:id="559286272">
      <w:bodyDiv w:val="1"/>
      <w:marLeft w:val="0"/>
      <w:marRight w:val="0"/>
      <w:marTop w:val="0"/>
      <w:marBottom w:val="0"/>
      <w:divBdr>
        <w:top w:val="none" w:sz="0" w:space="0" w:color="auto"/>
        <w:left w:val="none" w:sz="0" w:space="0" w:color="auto"/>
        <w:bottom w:val="none" w:sz="0" w:space="0" w:color="auto"/>
        <w:right w:val="none" w:sz="0" w:space="0" w:color="auto"/>
      </w:divBdr>
    </w:div>
    <w:div w:id="569385471">
      <w:bodyDiv w:val="1"/>
      <w:marLeft w:val="0"/>
      <w:marRight w:val="0"/>
      <w:marTop w:val="0"/>
      <w:marBottom w:val="0"/>
      <w:divBdr>
        <w:top w:val="none" w:sz="0" w:space="0" w:color="auto"/>
        <w:left w:val="none" w:sz="0" w:space="0" w:color="auto"/>
        <w:bottom w:val="none" w:sz="0" w:space="0" w:color="auto"/>
        <w:right w:val="none" w:sz="0" w:space="0" w:color="auto"/>
      </w:divBdr>
    </w:div>
    <w:div w:id="569927641">
      <w:bodyDiv w:val="1"/>
      <w:marLeft w:val="0"/>
      <w:marRight w:val="0"/>
      <w:marTop w:val="0"/>
      <w:marBottom w:val="0"/>
      <w:divBdr>
        <w:top w:val="none" w:sz="0" w:space="0" w:color="auto"/>
        <w:left w:val="none" w:sz="0" w:space="0" w:color="auto"/>
        <w:bottom w:val="none" w:sz="0" w:space="0" w:color="auto"/>
        <w:right w:val="none" w:sz="0" w:space="0" w:color="auto"/>
      </w:divBdr>
    </w:div>
    <w:div w:id="570580270">
      <w:bodyDiv w:val="1"/>
      <w:marLeft w:val="0"/>
      <w:marRight w:val="0"/>
      <w:marTop w:val="0"/>
      <w:marBottom w:val="0"/>
      <w:divBdr>
        <w:top w:val="none" w:sz="0" w:space="0" w:color="auto"/>
        <w:left w:val="none" w:sz="0" w:space="0" w:color="auto"/>
        <w:bottom w:val="none" w:sz="0" w:space="0" w:color="auto"/>
        <w:right w:val="none" w:sz="0" w:space="0" w:color="auto"/>
      </w:divBdr>
    </w:div>
    <w:div w:id="572548631">
      <w:bodyDiv w:val="1"/>
      <w:marLeft w:val="0"/>
      <w:marRight w:val="0"/>
      <w:marTop w:val="0"/>
      <w:marBottom w:val="0"/>
      <w:divBdr>
        <w:top w:val="none" w:sz="0" w:space="0" w:color="auto"/>
        <w:left w:val="none" w:sz="0" w:space="0" w:color="auto"/>
        <w:bottom w:val="none" w:sz="0" w:space="0" w:color="auto"/>
        <w:right w:val="none" w:sz="0" w:space="0" w:color="auto"/>
      </w:divBdr>
    </w:div>
    <w:div w:id="576021097">
      <w:bodyDiv w:val="1"/>
      <w:marLeft w:val="0"/>
      <w:marRight w:val="0"/>
      <w:marTop w:val="0"/>
      <w:marBottom w:val="0"/>
      <w:divBdr>
        <w:top w:val="none" w:sz="0" w:space="0" w:color="auto"/>
        <w:left w:val="none" w:sz="0" w:space="0" w:color="auto"/>
        <w:bottom w:val="none" w:sz="0" w:space="0" w:color="auto"/>
        <w:right w:val="none" w:sz="0" w:space="0" w:color="auto"/>
      </w:divBdr>
    </w:div>
    <w:div w:id="576476779">
      <w:bodyDiv w:val="1"/>
      <w:marLeft w:val="0"/>
      <w:marRight w:val="0"/>
      <w:marTop w:val="0"/>
      <w:marBottom w:val="0"/>
      <w:divBdr>
        <w:top w:val="none" w:sz="0" w:space="0" w:color="auto"/>
        <w:left w:val="none" w:sz="0" w:space="0" w:color="auto"/>
        <w:bottom w:val="none" w:sz="0" w:space="0" w:color="auto"/>
        <w:right w:val="none" w:sz="0" w:space="0" w:color="auto"/>
      </w:divBdr>
    </w:div>
    <w:div w:id="579409348">
      <w:bodyDiv w:val="1"/>
      <w:marLeft w:val="0"/>
      <w:marRight w:val="0"/>
      <w:marTop w:val="0"/>
      <w:marBottom w:val="0"/>
      <w:divBdr>
        <w:top w:val="none" w:sz="0" w:space="0" w:color="auto"/>
        <w:left w:val="none" w:sz="0" w:space="0" w:color="auto"/>
        <w:bottom w:val="none" w:sz="0" w:space="0" w:color="auto"/>
        <w:right w:val="none" w:sz="0" w:space="0" w:color="auto"/>
      </w:divBdr>
    </w:div>
    <w:div w:id="591471061">
      <w:bodyDiv w:val="1"/>
      <w:marLeft w:val="0"/>
      <w:marRight w:val="0"/>
      <w:marTop w:val="0"/>
      <w:marBottom w:val="0"/>
      <w:divBdr>
        <w:top w:val="none" w:sz="0" w:space="0" w:color="auto"/>
        <w:left w:val="none" w:sz="0" w:space="0" w:color="auto"/>
        <w:bottom w:val="none" w:sz="0" w:space="0" w:color="auto"/>
        <w:right w:val="none" w:sz="0" w:space="0" w:color="auto"/>
      </w:divBdr>
    </w:div>
    <w:div w:id="595677495">
      <w:bodyDiv w:val="1"/>
      <w:marLeft w:val="0"/>
      <w:marRight w:val="0"/>
      <w:marTop w:val="0"/>
      <w:marBottom w:val="0"/>
      <w:divBdr>
        <w:top w:val="none" w:sz="0" w:space="0" w:color="auto"/>
        <w:left w:val="none" w:sz="0" w:space="0" w:color="auto"/>
        <w:bottom w:val="none" w:sz="0" w:space="0" w:color="auto"/>
        <w:right w:val="none" w:sz="0" w:space="0" w:color="auto"/>
      </w:divBdr>
    </w:div>
    <w:div w:id="602609745">
      <w:bodyDiv w:val="1"/>
      <w:marLeft w:val="0"/>
      <w:marRight w:val="0"/>
      <w:marTop w:val="0"/>
      <w:marBottom w:val="0"/>
      <w:divBdr>
        <w:top w:val="none" w:sz="0" w:space="0" w:color="auto"/>
        <w:left w:val="none" w:sz="0" w:space="0" w:color="auto"/>
        <w:bottom w:val="none" w:sz="0" w:space="0" w:color="auto"/>
        <w:right w:val="none" w:sz="0" w:space="0" w:color="auto"/>
      </w:divBdr>
    </w:div>
    <w:div w:id="611324848">
      <w:bodyDiv w:val="1"/>
      <w:marLeft w:val="0"/>
      <w:marRight w:val="0"/>
      <w:marTop w:val="0"/>
      <w:marBottom w:val="0"/>
      <w:divBdr>
        <w:top w:val="none" w:sz="0" w:space="0" w:color="auto"/>
        <w:left w:val="none" w:sz="0" w:space="0" w:color="auto"/>
        <w:bottom w:val="none" w:sz="0" w:space="0" w:color="auto"/>
        <w:right w:val="none" w:sz="0" w:space="0" w:color="auto"/>
      </w:divBdr>
    </w:div>
    <w:div w:id="613097277">
      <w:bodyDiv w:val="1"/>
      <w:marLeft w:val="0"/>
      <w:marRight w:val="0"/>
      <w:marTop w:val="0"/>
      <w:marBottom w:val="0"/>
      <w:divBdr>
        <w:top w:val="none" w:sz="0" w:space="0" w:color="auto"/>
        <w:left w:val="none" w:sz="0" w:space="0" w:color="auto"/>
        <w:bottom w:val="none" w:sz="0" w:space="0" w:color="auto"/>
        <w:right w:val="none" w:sz="0" w:space="0" w:color="auto"/>
      </w:divBdr>
    </w:div>
    <w:div w:id="616987606">
      <w:bodyDiv w:val="1"/>
      <w:marLeft w:val="0"/>
      <w:marRight w:val="0"/>
      <w:marTop w:val="0"/>
      <w:marBottom w:val="0"/>
      <w:divBdr>
        <w:top w:val="none" w:sz="0" w:space="0" w:color="auto"/>
        <w:left w:val="none" w:sz="0" w:space="0" w:color="auto"/>
        <w:bottom w:val="none" w:sz="0" w:space="0" w:color="auto"/>
        <w:right w:val="none" w:sz="0" w:space="0" w:color="auto"/>
      </w:divBdr>
    </w:div>
    <w:div w:id="617685306">
      <w:bodyDiv w:val="1"/>
      <w:marLeft w:val="0"/>
      <w:marRight w:val="0"/>
      <w:marTop w:val="0"/>
      <w:marBottom w:val="0"/>
      <w:divBdr>
        <w:top w:val="none" w:sz="0" w:space="0" w:color="auto"/>
        <w:left w:val="none" w:sz="0" w:space="0" w:color="auto"/>
        <w:bottom w:val="none" w:sz="0" w:space="0" w:color="auto"/>
        <w:right w:val="none" w:sz="0" w:space="0" w:color="auto"/>
      </w:divBdr>
    </w:div>
    <w:div w:id="634722790">
      <w:bodyDiv w:val="1"/>
      <w:marLeft w:val="0"/>
      <w:marRight w:val="0"/>
      <w:marTop w:val="0"/>
      <w:marBottom w:val="0"/>
      <w:divBdr>
        <w:top w:val="none" w:sz="0" w:space="0" w:color="auto"/>
        <w:left w:val="none" w:sz="0" w:space="0" w:color="auto"/>
        <w:bottom w:val="none" w:sz="0" w:space="0" w:color="auto"/>
        <w:right w:val="none" w:sz="0" w:space="0" w:color="auto"/>
      </w:divBdr>
    </w:div>
    <w:div w:id="655843804">
      <w:bodyDiv w:val="1"/>
      <w:marLeft w:val="0"/>
      <w:marRight w:val="0"/>
      <w:marTop w:val="0"/>
      <w:marBottom w:val="0"/>
      <w:divBdr>
        <w:top w:val="none" w:sz="0" w:space="0" w:color="auto"/>
        <w:left w:val="none" w:sz="0" w:space="0" w:color="auto"/>
        <w:bottom w:val="none" w:sz="0" w:space="0" w:color="auto"/>
        <w:right w:val="none" w:sz="0" w:space="0" w:color="auto"/>
      </w:divBdr>
    </w:div>
    <w:div w:id="658997005">
      <w:bodyDiv w:val="1"/>
      <w:marLeft w:val="0"/>
      <w:marRight w:val="0"/>
      <w:marTop w:val="0"/>
      <w:marBottom w:val="0"/>
      <w:divBdr>
        <w:top w:val="none" w:sz="0" w:space="0" w:color="auto"/>
        <w:left w:val="none" w:sz="0" w:space="0" w:color="auto"/>
        <w:bottom w:val="none" w:sz="0" w:space="0" w:color="auto"/>
        <w:right w:val="none" w:sz="0" w:space="0" w:color="auto"/>
      </w:divBdr>
    </w:div>
    <w:div w:id="667758071">
      <w:bodyDiv w:val="1"/>
      <w:marLeft w:val="0"/>
      <w:marRight w:val="0"/>
      <w:marTop w:val="0"/>
      <w:marBottom w:val="0"/>
      <w:divBdr>
        <w:top w:val="none" w:sz="0" w:space="0" w:color="auto"/>
        <w:left w:val="none" w:sz="0" w:space="0" w:color="auto"/>
        <w:bottom w:val="none" w:sz="0" w:space="0" w:color="auto"/>
        <w:right w:val="none" w:sz="0" w:space="0" w:color="auto"/>
      </w:divBdr>
    </w:div>
    <w:div w:id="668558936">
      <w:bodyDiv w:val="1"/>
      <w:marLeft w:val="0"/>
      <w:marRight w:val="0"/>
      <w:marTop w:val="0"/>
      <w:marBottom w:val="0"/>
      <w:divBdr>
        <w:top w:val="none" w:sz="0" w:space="0" w:color="auto"/>
        <w:left w:val="none" w:sz="0" w:space="0" w:color="auto"/>
        <w:bottom w:val="none" w:sz="0" w:space="0" w:color="auto"/>
        <w:right w:val="none" w:sz="0" w:space="0" w:color="auto"/>
      </w:divBdr>
    </w:div>
    <w:div w:id="673189468">
      <w:bodyDiv w:val="1"/>
      <w:marLeft w:val="0"/>
      <w:marRight w:val="0"/>
      <w:marTop w:val="0"/>
      <w:marBottom w:val="0"/>
      <w:divBdr>
        <w:top w:val="none" w:sz="0" w:space="0" w:color="auto"/>
        <w:left w:val="none" w:sz="0" w:space="0" w:color="auto"/>
        <w:bottom w:val="none" w:sz="0" w:space="0" w:color="auto"/>
        <w:right w:val="none" w:sz="0" w:space="0" w:color="auto"/>
      </w:divBdr>
    </w:div>
    <w:div w:id="678850739">
      <w:bodyDiv w:val="1"/>
      <w:marLeft w:val="0"/>
      <w:marRight w:val="0"/>
      <w:marTop w:val="0"/>
      <w:marBottom w:val="0"/>
      <w:divBdr>
        <w:top w:val="none" w:sz="0" w:space="0" w:color="auto"/>
        <w:left w:val="none" w:sz="0" w:space="0" w:color="auto"/>
        <w:bottom w:val="none" w:sz="0" w:space="0" w:color="auto"/>
        <w:right w:val="none" w:sz="0" w:space="0" w:color="auto"/>
      </w:divBdr>
    </w:div>
    <w:div w:id="681471678">
      <w:bodyDiv w:val="1"/>
      <w:marLeft w:val="0"/>
      <w:marRight w:val="0"/>
      <w:marTop w:val="0"/>
      <w:marBottom w:val="0"/>
      <w:divBdr>
        <w:top w:val="none" w:sz="0" w:space="0" w:color="auto"/>
        <w:left w:val="none" w:sz="0" w:space="0" w:color="auto"/>
        <w:bottom w:val="none" w:sz="0" w:space="0" w:color="auto"/>
        <w:right w:val="none" w:sz="0" w:space="0" w:color="auto"/>
      </w:divBdr>
    </w:div>
    <w:div w:id="688291508">
      <w:bodyDiv w:val="1"/>
      <w:marLeft w:val="0"/>
      <w:marRight w:val="0"/>
      <w:marTop w:val="0"/>
      <w:marBottom w:val="0"/>
      <w:divBdr>
        <w:top w:val="none" w:sz="0" w:space="0" w:color="auto"/>
        <w:left w:val="none" w:sz="0" w:space="0" w:color="auto"/>
        <w:bottom w:val="none" w:sz="0" w:space="0" w:color="auto"/>
        <w:right w:val="none" w:sz="0" w:space="0" w:color="auto"/>
      </w:divBdr>
    </w:div>
    <w:div w:id="693579854">
      <w:bodyDiv w:val="1"/>
      <w:marLeft w:val="0"/>
      <w:marRight w:val="0"/>
      <w:marTop w:val="0"/>
      <w:marBottom w:val="0"/>
      <w:divBdr>
        <w:top w:val="none" w:sz="0" w:space="0" w:color="auto"/>
        <w:left w:val="none" w:sz="0" w:space="0" w:color="auto"/>
        <w:bottom w:val="none" w:sz="0" w:space="0" w:color="auto"/>
        <w:right w:val="none" w:sz="0" w:space="0" w:color="auto"/>
      </w:divBdr>
    </w:div>
    <w:div w:id="695814283">
      <w:bodyDiv w:val="1"/>
      <w:marLeft w:val="0"/>
      <w:marRight w:val="0"/>
      <w:marTop w:val="0"/>
      <w:marBottom w:val="0"/>
      <w:divBdr>
        <w:top w:val="none" w:sz="0" w:space="0" w:color="auto"/>
        <w:left w:val="none" w:sz="0" w:space="0" w:color="auto"/>
        <w:bottom w:val="none" w:sz="0" w:space="0" w:color="auto"/>
        <w:right w:val="none" w:sz="0" w:space="0" w:color="auto"/>
      </w:divBdr>
    </w:div>
    <w:div w:id="704450518">
      <w:bodyDiv w:val="1"/>
      <w:marLeft w:val="0"/>
      <w:marRight w:val="0"/>
      <w:marTop w:val="0"/>
      <w:marBottom w:val="0"/>
      <w:divBdr>
        <w:top w:val="none" w:sz="0" w:space="0" w:color="auto"/>
        <w:left w:val="none" w:sz="0" w:space="0" w:color="auto"/>
        <w:bottom w:val="none" w:sz="0" w:space="0" w:color="auto"/>
        <w:right w:val="none" w:sz="0" w:space="0" w:color="auto"/>
      </w:divBdr>
    </w:div>
    <w:div w:id="705643850">
      <w:bodyDiv w:val="1"/>
      <w:marLeft w:val="0"/>
      <w:marRight w:val="0"/>
      <w:marTop w:val="0"/>
      <w:marBottom w:val="0"/>
      <w:divBdr>
        <w:top w:val="none" w:sz="0" w:space="0" w:color="auto"/>
        <w:left w:val="none" w:sz="0" w:space="0" w:color="auto"/>
        <w:bottom w:val="none" w:sz="0" w:space="0" w:color="auto"/>
        <w:right w:val="none" w:sz="0" w:space="0" w:color="auto"/>
      </w:divBdr>
    </w:div>
    <w:div w:id="760835482">
      <w:bodyDiv w:val="1"/>
      <w:marLeft w:val="0"/>
      <w:marRight w:val="0"/>
      <w:marTop w:val="0"/>
      <w:marBottom w:val="0"/>
      <w:divBdr>
        <w:top w:val="none" w:sz="0" w:space="0" w:color="auto"/>
        <w:left w:val="none" w:sz="0" w:space="0" w:color="auto"/>
        <w:bottom w:val="none" w:sz="0" w:space="0" w:color="auto"/>
        <w:right w:val="none" w:sz="0" w:space="0" w:color="auto"/>
      </w:divBdr>
    </w:div>
    <w:div w:id="768236069">
      <w:bodyDiv w:val="1"/>
      <w:marLeft w:val="0"/>
      <w:marRight w:val="0"/>
      <w:marTop w:val="0"/>
      <w:marBottom w:val="0"/>
      <w:divBdr>
        <w:top w:val="none" w:sz="0" w:space="0" w:color="auto"/>
        <w:left w:val="none" w:sz="0" w:space="0" w:color="auto"/>
        <w:bottom w:val="none" w:sz="0" w:space="0" w:color="auto"/>
        <w:right w:val="none" w:sz="0" w:space="0" w:color="auto"/>
      </w:divBdr>
    </w:div>
    <w:div w:id="769088787">
      <w:bodyDiv w:val="1"/>
      <w:marLeft w:val="0"/>
      <w:marRight w:val="0"/>
      <w:marTop w:val="0"/>
      <w:marBottom w:val="0"/>
      <w:divBdr>
        <w:top w:val="none" w:sz="0" w:space="0" w:color="auto"/>
        <w:left w:val="none" w:sz="0" w:space="0" w:color="auto"/>
        <w:bottom w:val="none" w:sz="0" w:space="0" w:color="auto"/>
        <w:right w:val="none" w:sz="0" w:space="0" w:color="auto"/>
      </w:divBdr>
    </w:div>
    <w:div w:id="779035061">
      <w:bodyDiv w:val="1"/>
      <w:marLeft w:val="0"/>
      <w:marRight w:val="0"/>
      <w:marTop w:val="0"/>
      <w:marBottom w:val="0"/>
      <w:divBdr>
        <w:top w:val="none" w:sz="0" w:space="0" w:color="auto"/>
        <w:left w:val="none" w:sz="0" w:space="0" w:color="auto"/>
        <w:bottom w:val="none" w:sz="0" w:space="0" w:color="auto"/>
        <w:right w:val="none" w:sz="0" w:space="0" w:color="auto"/>
      </w:divBdr>
      <w:divsChild>
        <w:div w:id="586964223">
          <w:marLeft w:val="0"/>
          <w:marRight w:val="0"/>
          <w:marTop w:val="0"/>
          <w:marBottom w:val="0"/>
          <w:divBdr>
            <w:top w:val="none" w:sz="0" w:space="0" w:color="auto"/>
            <w:left w:val="none" w:sz="0" w:space="0" w:color="auto"/>
            <w:bottom w:val="none" w:sz="0" w:space="0" w:color="auto"/>
            <w:right w:val="none" w:sz="0" w:space="0" w:color="auto"/>
          </w:divBdr>
        </w:div>
        <w:div w:id="930628662">
          <w:marLeft w:val="0"/>
          <w:marRight w:val="0"/>
          <w:marTop w:val="0"/>
          <w:marBottom w:val="0"/>
          <w:divBdr>
            <w:top w:val="none" w:sz="0" w:space="0" w:color="auto"/>
            <w:left w:val="none" w:sz="0" w:space="0" w:color="auto"/>
            <w:bottom w:val="none" w:sz="0" w:space="0" w:color="auto"/>
            <w:right w:val="none" w:sz="0" w:space="0" w:color="auto"/>
          </w:divBdr>
        </w:div>
        <w:div w:id="1720744717">
          <w:marLeft w:val="0"/>
          <w:marRight w:val="0"/>
          <w:marTop w:val="0"/>
          <w:marBottom w:val="0"/>
          <w:divBdr>
            <w:top w:val="none" w:sz="0" w:space="0" w:color="auto"/>
            <w:left w:val="none" w:sz="0" w:space="0" w:color="auto"/>
            <w:bottom w:val="none" w:sz="0" w:space="0" w:color="auto"/>
            <w:right w:val="none" w:sz="0" w:space="0" w:color="auto"/>
          </w:divBdr>
        </w:div>
        <w:div w:id="1060984160">
          <w:marLeft w:val="0"/>
          <w:marRight w:val="0"/>
          <w:marTop w:val="0"/>
          <w:marBottom w:val="0"/>
          <w:divBdr>
            <w:top w:val="none" w:sz="0" w:space="0" w:color="auto"/>
            <w:left w:val="none" w:sz="0" w:space="0" w:color="auto"/>
            <w:bottom w:val="none" w:sz="0" w:space="0" w:color="auto"/>
            <w:right w:val="none" w:sz="0" w:space="0" w:color="auto"/>
          </w:divBdr>
        </w:div>
        <w:div w:id="1967656282">
          <w:marLeft w:val="0"/>
          <w:marRight w:val="0"/>
          <w:marTop w:val="0"/>
          <w:marBottom w:val="0"/>
          <w:divBdr>
            <w:top w:val="none" w:sz="0" w:space="0" w:color="auto"/>
            <w:left w:val="none" w:sz="0" w:space="0" w:color="auto"/>
            <w:bottom w:val="none" w:sz="0" w:space="0" w:color="auto"/>
            <w:right w:val="none" w:sz="0" w:space="0" w:color="auto"/>
          </w:divBdr>
        </w:div>
      </w:divsChild>
    </w:div>
    <w:div w:id="781993843">
      <w:bodyDiv w:val="1"/>
      <w:marLeft w:val="0"/>
      <w:marRight w:val="0"/>
      <w:marTop w:val="0"/>
      <w:marBottom w:val="0"/>
      <w:divBdr>
        <w:top w:val="none" w:sz="0" w:space="0" w:color="auto"/>
        <w:left w:val="none" w:sz="0" w:space="0" w:color="auto"/>
        <w:bottom w:val="none" w:sz="0" w:space="0" w:color="auto"/>
        <w:right w:val="none" w:sz="0" w:space="0" w:color="auto"/>
      </w:divBdr>
    </w:div>
    <w:div w:id="797143168">
      <w:bodyDiv w:val="1"/>
      <w:marLeft w:val="0"/>
      <w:marRight w:val="0"/>
      <w:marTop w:val="0"/>
      <w:marBottom w:val="0"/>
      <w:divBdr>
        <w:top w:val="none" w:sz="0" w:space="0" w:color="auto"/>
        <w:left w:val="none" w:sz="0" w:space="0" w:color="auto"/>
        <w:bottom w:val="none" w:sz="0" w:space="0" w:color="auto"/>
        <w:right w:val="none" w:sz="0" w:space="0" w:color="auto"/>
      </w:divBdr>
    </w:div>
    <w:div w:id="797184770">
      <w:bodyDiv w:val="1"/>
      <w:marLeft w:val="0"/>
      <w:marRight w:val="0"/>
      <w:marTop w:val="0"/>
      <w:marBottom w:val="0"/>
      <w:divBdr>
        <w:top w:val="none" w:sz="0" w:space="0" w:color="auto"/>
        <w:left w:val="none" w:sz="0" w:space="0" w:color="auto"/>
        <w:bottom w:val="none" w:sz="0" w:space="0" w:color="auto"/>
        <w:right w:val="none" w:sz="0" w:space="0" w:color="auto"/>
      </w:divBdr>
    </w:div>
    <w:div w:id="842470776">
      <w:bodyDiv w:val="1"/>
      <w:marLeft w:val="0"/>
      <w:marRight w:val="0"/>
      <w:marTop w:val="0"/>
      <w:marBottom w:val="0"/>
      <w:divBdr>
        <w:top w:val="none" w:sz="0" w:space="0" w:color="auto"/>
        <w:left w:val="none" w:sz="0" w:space="0" w:color="auto"/>
        <w:bottom w:val="none" w:sz="0" w:space="0" w:color="auto"/>
        <w:right w:val="none" w:sz="0" w:space="0" w:color="auto"/>
      </w:divBdr>
    </w:div>
    <w:div w:id="881136634">
      <w:bodyDiv w:val="1"/>
      <w:marLeft w:val="0"/>
      <w:marRight w:val="0"/>
      <w:marTop w:val="0"/>
      <w:marBottom w:val="0"/>
      <w:divBdr>
        <w:top w:val="none" w:sz="0" w:space="0" w:color="auto"/>
        <w:left w:val="none" w:sz="0" w:space="0" w:color="auto"/>
        <w:bottom w:val="none" w:sz="0" w:space="0" w:color="auto"/>
        <w:right w:val="none" w:sz="0" w:space="0" w:color="auto"/>
      </w:divBdr>
    </w:div>
    <w:div w:id="887226451">
      <w:bodyDiv w:val="1"/>
      <w:marLeft w:val="0"/>
      <w:marRight w:val="0"/>
      <w:marTop w:val="0"/>
      <w:marBottom w:val="0"/>
      <w:divBdr>
        <w:top w:val="none" w:sz="0" w:space="0" w:color="auto"/>
        <w:left w:val="none" w:sz="0" w:space="0" w:color="auto"/>
        <w:bottom w:val="none" w:sz="0" w:space="0" w:color="auto"/>
        <w:right w:val="none" w:sz="0" w:space="0" w:color="auto"/>
      </w:divBdr>
    </w:div>
    <w:div w:id="893587876">
      <w:bodyDiv w:val="1"/>
      <w:marLeft w:val="0"/>
      <w:marRight w:val="0"/>
      <w:marTop w:val="0"/>
      <w:marBottom w:val="0"/>
      <w:divBdr>
        <w:top w:val="none" w:sz="0" w:space="0" w:color="auto"/>
        <w:left w:val="none" w:sz="0" w:space="0" w:color="auto"/>
        <w:bottom w:val="none" w:sz="0" w:space="0" w:color="auto"/>
        <w:right w:val="none" w:sz="0" w:space="0" w:color="auto"/>
      </w:divBdr>
    </w:div>
    <w:div w:id="898438772">
      <w:bodyDiv w:val="1"/>
      <w:marLeft w:val="0"/>
      <w:marRight w:val="0"/>
      <w:marTop w:val="0"/>
      <w:marBottom w:val="0"/>
      <w:divBdr>
        <w:top w:val="none" w:sz="0" w:space="0" w:color="auto"/>
        <w:left w:val="none" w:sz="0" w:space="0" w:color="auto"/>
        <w:bottom w:val="none" w:sz="0" w:space="0" w:color="auto"/>
        <w:right w:val="none" w:sz="0" w:space="0" w:color="auto"/>
      </w:divBdr>
    </w:div>
    <w:div w:id="898829286">
      <w:bodyDiv w:val="1"/>
      <w:marLeft w:val="0"/>
      <w:marRight w:val="0"/>
      <w:marTop w:val="0"/>
      <w:marBottom w:val="0"/>
      <w:divBdr>
        <w:top w:val="none" w:sz="0" w:space="0" w:color="auto"/>
        <w:left w:val="none" w:sz="0" w:space="0" w:color="auto"/>
        <w:bottom w:val="none" w:sz="0" w:space="0" w:color="auto"/>
        <w:right w:val="none" w:sz="0" w:space="0" w:color="auto"/>
      </w:divBdr>
    </w:div>
    <w:div w:id="928389223">
      <w:bodyDiv w:val="1"/>
      <w:marLeft w:val="0"/>
      <w:marRight w:val="0"/>
      <w:marTop w:val="0"/>
      <w:marBottom w:val="0"/>
      <w:divBdr>
        <w:top w:val="none" w:sz="0" w:space="0" w:color="auto"/>
        <w:left w:val="none" w:sz="0" w:space="0" w:color="auto"/>
        <w:bottom w:val="none" w:sz="0" w:space="0" w:color="auto"/>
        <w:right w:val="none" w:sz="0" w:space="0" w:color="auto"/>
      </w:divBdr>
    </w:div>
    <w:div w:id="964965447">
      <w:bodyDiv w:val="1"/>
      <w:marLeft w:val="0"/>
      <w:marRight w:val="0"/>
      <w:marTop w:val="0"/>
      <w:marBottom w:val="0"/>
      <w:divBdr>
        <w:top w:val="none" w:sz="0" w:space="0" w:color="auto"/>
        <w:left w:val="none" w:sz="0" w:space="0" w:color="auto"/>
        <w:bottom w:val="none" w:sz="0" w:space="0" w:color="auto"/>
        <w:right w:val="none" w:sz="0" w:space="0" w:color="auto"/>
      </w:divBdr>
    </w:div>
    <w:div w:id="977344999">
      <w:bodyDiv w:val="1"/>
      <w:marLeft w:val="0"/>
      <w:marRight w:val="0"/>
      <w:marTop w:val="0"/>
      <w:marBottom w:val="0"/>
      <w:divBdr>
        <w:top w:val="none" w:sz="0" w:space="0" w:color="auto"/>
        <w:left w:val="none" w:sz="0" w:space="0" w:color="auto"/>
        <w:bottom w:val="none" w:sz="0" w:space="0" w:color="auto"/>
        <w:right w:val="none" w:sz="0" w:space="0" w:color="auto"/>
      </w:divBdr>
    </w:div>
    <w:div w:id="982268297">
      <w:bodyDiv w:val="1"/>
      <w:marLeft w:val="0"/>
      <w:marRight w:val="0"/>
      <w:marTop w:val="0"/>
      <w:marBottom w:val="0"/>
      <w:divBdr>
        <w:top w:val="none" w:sz="0" w:space="0" w:color="auto"/>
        <w:left w:val="none" w:sz="0" w:space="0" w:color="auto"/>
        <w:bottom w:val="none" w:sz="0" w:space="0" w:color="auto"/>
        <w:right w:val="none" w:sz="0" w:space="0" w:color="auto"/>
      </w:divBdr>
    </w:div>
    <w:div w:id="989331891">
      <w:bodyDiv w:val="1"/>
      <w:marLeft w:val="0"/>
      <w:marRight w:val="0"/>
      <w:marTop w:val="0"/>
      <w:marBottom w:val="0"/>
      <w:divBdr>
        <w:top w:val="none" w:sz="0" w:space="0" w:color="auto"/>
        <w:left w:val="none" w:sz="0" w:space="0" w:color="auto"/>
        <w:bottom w:val="none" w:sz="0" w:space="0" w:color="auto"/>
        <w:right w:val="none" w:sz="0" w:space="0" w:color="auto"/>
      </w:divBdr>
    </w:div>
    <w:div w:id="990671279">
      <w:bodyDiv w:val="1"/>
      <w:marLeft w:val="0"/>
      <w:marRight w:val="0"/>
      <w:marTop w:val="0"/>
      <w:marBottom w:val="0"/>
      <w:divBdr>
        <w:top w:val="none" w:sz="0" w:space="0" w:color="auto"/>
        <w:left w:val="none" w:sz="0" w:space="0" w:color="auto"/>
        <w:bottom w:val="none" w:sz="0" w:space="0" w:color="auto"/>
        <w:right w:val="none" w:sz="0" w:space="0" w:color="auto"/>
      </w:divBdr>
    </w:div>
    <w:div w:id="993483549">
      <w:bodyDiv w:val="1"/>
      <w:marLeft w:val="0"/>
      <w:marRight w:val="0"/>
      <w:marTop w:val="0"/>
      <w:marBottom w:val="0"/>
      <w:divBdr>
        <w:top w:val="none" w:sz="0" w:space="0" w:color="auto"/>
        <w:left w:val="none" w:sz="0" w:space="0" w:color="auto"/>
        <w:bottom w:val="none" w:sz="0" w:space="0" w:color="auto"/>
        <w:right w:val="none" w:sz="0" w:space="0" w:color="auto"/>
      </w:divBdr>
    </w:div>
    <w:div w:id="1002582543">
      <w:bodyDiv w:val="1"/>
      <w:marLeft w:val="0"/>
      <w:marRight w:val="0"/>
      <w:marTop w:val="0"/>
      <w:marBottom w:val="0"/>
      <w:divBdr>
        <w:top w:val="none" w:sz="0" w:space="0" w:color="auto"/>
        <w:left w:val="none" w:sz="0" w:space="0" w:color="auto"/>
        <w:bottom w:val="none" w:sz="0" w:space="0" w:color="auto"/>
        <w:right w:val="none" w:sz="0" w:space="0" w:color="auto"/>
      </w:divBdr>
    </w:div>
    <w:div w:id="1011645798">
      <w:bodyDiv w:val="1"/>
      <w:marLeft w:val="0"/>
      <w:marRight w:val="0"/>
      <w:marTop w:val="0"/>
      <w:marBottom w:val="0"/>
      <w:divBdr>
        <w:top w:val="none" w:sz="0" w:space="0" w:color="auto"/>
        <w:left w:val="none" w:sz="0" w:space="0" w:color="auto"/>
        <w:bottom w:val="none" w:sz="0" w:space="0" w:color="auto"/>
        <w:right w:val="none" w:sz="0" w:space="0" w:color="auto"/>
      </w:divBdr>
    </w:div>
    <w:div w:id="1034038400">
      <w:bodyDiv w:val="1"/>
      <w:marLeft w:val="0"/>
      <w:marRight w:val="0"/>
      <w:marTop w:val="0"/>
      <w:marBottom w:val="0"/>
      <w:divBdr>
        <w:top w:val="none" w:sz="0" w:space="0" w:color="auto"/>
        <w:left w:val="none" w:sz="0" w:space="0" w:color="auto"/>
        <w:bottom w:val="none" w:sz="0" w:space="0" w:color="auto"/>
        <w:right w:val="none" w:sz="0" w:space="0" w:color="auto"/>
      </w:divBdr>
    </w:div>
    <w:div w:id="1036854626">
      <w:bodyDiv w:val="1"/>
      <w:marLeft w:val="0"/>
      <w:marRight w:val="0"/>
      <w:marTop w:val="0"/>
      <w:marBottom w:val="0"/>
      <w:divBdr>
        <w:top w:val="none" w:sz="0" w:space="0" w:color="auto"/>
        <w:left w:val="none" w:sz="0" w:space="0" w:color="auto"/>
        <w:bottom w:val="none" w:sz="0" w:space="0" w:color="auto"/>
        <w:right w:val="none" w:sz="0" w:space="0" w:color="auto"/>
      </w:divBdr>
    </w:div>
    <w:div w:id="1062408482">
      <w:bodyDiv w:val="1"/>
      <w:marLeft w:val="0"/>
      <w:marRight w:val="0"/>
      <w:marTop w:val="0"/>
      <w:marBottom w:val="0"/>
      <w:divBdr>
        <w:top w:val="none" w:sz="0" w:space="0" w:color="auto"/>
        <w:left w:val="none" w:sz="0" w:space="0" w:color="auto"/>
        <w:bottom w:val="none" w:sz="0" w:space="0" w:color="auto"/>
        <w:right w:val="none" w:sz="0" w:space="0" w:color="auto"/>
      </w:divBdr>
    </w:div>
    <w:div w:id="1073511132">
      <w:bodyDiv w:val="1"/>
      <w:marLeft w:val="0"/>
      <w:marRight w:val="0"/>
      <w:marTop w:val="0"/>
      <w:marBottom w:val="0"/>
      <w:divBdr>
        <w:top w:val="none" w:sz="0" w:space="0" w:color="auto"/>
        <w:left w:val="none" w:sz="0" w:space="0" w:color="auto"/>
        <w:bottom w:val="none" w:sz="0" w:space="0" w:color="auto"/>
        <w:right w:val="none" w:sz="0" w:space="0" w:color="auto"/>
      </w:divBdr>
    </w:div>
    <w:div w:id="1081564964">
      <w:bodyDiv w:val="1"/>
      <w:marLeft w:val="0"/>
      <w:marRight w:val="0"/>
      <w:marTop w:val="0"/>
      <w:marBottom w:val="0"/>
      <w:divBdr>
        <w:top w:val="none" w:sz="0" w:space="0" w:color="auto"/>
        <w:left w:val="none" w:sz="0" w:space="0" w:color="auto"/>
        <w:bottom w:val="none" w:sz="0" w:space="0" w:color="auto"/>
        <w:right w:val="none" w:sz="0" w:space="0" w:color="auto"/>
      </w:divBdr>
    </w:div>
    <w:div w:id="1098449379">
      <w:bodyDiv w:val="1"/>
      <w:marLeft w:val="0"/>
      <w:marRight w:val="0"/>
      <w:marTop w:val="0"/>
      <w:marBottom w:val="0"/>
      <w:divBdr>
        <w:top w:val="none" w:sz="0" w:space="0" w:color="auto"/>
        <w:left w:val="none" w:sz="0" w:space="0" w:color="auto"/>
        <w:bottom w:val="none" w:sz="0" w:space="0" w:color="auto"/>
        <w:right w:val="none" w:sz="0" w:space="0" w:color="auto"/>
      </w:divBdr>
    </w:div>
    <w:div w:id="1107429522">
      <w:bodyDiv w:val="1"/>
      <w:marLeft w:val="0"/>
      <w:marRight w:val="0"/>
      <w:marTop w:val="0"/>
      <w:marBottom w:val="0"/>
      <w:divBdr>
        <w:top w:val="none" w:sz="0" w:space="0" w:color="auto"/>
        <w:left w:val="none" w:sz="0" w:space="0" w:color="auto"/>
        <w:bottom w:val="none" w:sz="0" w:space="0" w:color="auto"/>
        <w:right w:val="none" w:sz="0" w:space="0" w:color="auto"/>
      </w:divBdr>
    </w:div>
    <w:div w:id="1136292622">
      <w:bodyDiv w:val="1"/>
      <w:marLeft w:val="0"/>
      <w:marRight w:val="0"/>
      <w:marTop w:val="0"/>
      <w:marBottom w:val="0"/>
      <w:divBdr>
        <w:top w:val="none" w:sz="0" w:space="0" w:color="auto"/>
        <w:left w:val="none" w:sz="0" w:space="0" w:color="auto"/>
        <w:bottom w:val="none" w:sz="0" w:space="0" w:color="auto"/>
        <w:right w:val="none" w:sz="0" w:space="0" w:color="auto"/>
      </w:divBdr>
    </w:div>
    <w:div w:id="1151020334">
      <w:bodyDiv w:val="1"/>
      <w:marLeft w:val="0"/>
      <w:marRight w:val="0"/>
      <w:marTop w:val="0"/>
      <w:marBottom w:val="0"/>
      <w:divBdr>
        <w:top w:val="none" w:sz="0" w:space="0" w:color="auto"/>
        <w:left w:val="none" w:sz="0" w:space="0" w:color="auto"/>
        <w:bottom w:val="none" w:sz="0" w:space="0" w:color="auto"/>
        <w:right w:val="none" w:sz="0" w:space="0" w:color="auto"/>
      </w:divBdr>
    </w:div>
    <w:div w:id="1168714255">
      <w:bodyDiv w:val="1"/>
      <w:marLeft w:val="0"/>
      <w:marRight w:val="0"/>
      <w:marTop w:val="0"/>
      <w:marBottom w:val="0"/>
      <w:divBdr>
        <w:top w:val="none" w:sz="0" w:space="0" w:color="auto"/>
        <w:left w:val="none" w:sz="0" w:space="0" w:color="auto"/>
        <w:bottom w:val="none" w:sz="0" w:space="0" w:color="auto"/>
        <w:right w:val="none" w:sz="0" w:space="0" w:color="auto"/>
      </w:divBdr>
    </w:div>
    <w:div w:id="1186822689">
      <w:bodyDiv w:val="1"/>
      <w:marLeft w:val="0"/>
      <w:marRight w:val="0"/>
      <w:marTop w:val="0"/>
      <w:marBottom w:val="0"/>
      <w:divBdr>
        <w:top w:val="none" w:sz="0" w:space="0" w:color="auto"/>
        <w:left w:val="none" w:sz="0" w:space="0" w:color="auto"/>
        <w:bottom w:val="none" w:sz="0" w:space="0" w:color="auto"/>
        <w:right w:val="none" w:sz="0" w:space="0" w:color="auto"/>
      </w:divBdr>
    </w:div>
    <w:div w:id="1189953768">
      <w:bodyDiv w:val="1"/>
      <w:marLeft w:val="0"/>
      <w:marRight w:val="0"/>
      <w:marTop w:val="0"/>
      <w:marBottom w:val="0"/>
      <w:divBdr>
        <w:top w:val="none" w:sz="0" w:space="0" w:color="auto"/>
        <w:left w:val="none" w:sz="0" w:space="0" w:color="auto"/>
        <w:bottom w:val="none" w:sz="0" w:space="0" w:color="auto"/>
        <w:right w:val="none" w:sz="0" w:space="0" w:color="auto"/>
      </w:divBdr>
    </w:div>
    <w:div w:id="1201941655">
      <w:bodyDiv w:val="1"/>
      <w:marLeft w:val="0"/>
      <w:marRight w:val="0"/>
      <w:marTop w:val="0"/>
      <w:marBottom w:val="0"/>
      <w:divBdr>
        <w:top w:val="none" w:sz="0" w:space="0" w:color="auto"/>
        <w:left w:val="none" w:sz="0" w:space="0" w:color="auto"/>
        <w:bottom w:val="none" w:sz="0" w:space="0" w:color="auto"/>
        <w:right w:val="none" w:sz="0" w:space="0" w:color="auto"/>
      </w:divBdr>
    </w:div>
    <w:div w:id="1209799776">
      <w:bodyDiv w:val="1"/>
      <w:marLeft w:val="0"/>
      <w:marRight w:val="0"/>
      <w:marTop w:val="0"/>
      <w:marBottom w:val="0"/>
      <w:divBdr>
        <w:top w:val="none" w:sz="0" w:space="0" w:color="auto"/>
        <w:left w:val="none" w:sz="0" w:space="0" w:color="auto"/>
        <w:bottom w:val="none" w:sz="0" w:space="0" w:color="auto"/>
        <w:right w:val="none" w:sz="0" w:space="0" w:color="auto"/>
      </w:divBdr>
    </w:div>
    <w:div w:id="1250046991">
      <w:bodyDiv w:val="1"/>
      <w:marLeft w:val="0"/>
      <w:marRight w:val="0"/>
      <w:marTop w:val="0"/>
      <w:marBottom w:val="0"/>
      <w:divBdr>
        <w:top w:val="none" w:sz="0" w:space="0" w:color="auto"/>
        <w:left w:val="none" w:sz="0" w:space="0" w:color="auto"/>
        <w:bottom w:val="none" w:sz="0" w:space="0" w:color="auto"/>
        <w:right w:val="none" w:sz="0" w:space="0" w:color="auto"/>
      </w:divBdr>
    </w:div>
    <w:div w:id="1257910265">
      <w:bodyDiv w:val="1"/>
      <w:marLeft w:val="0"/>
      <w:marRight w:val="0"/>
      <w:marTop w:val="0"/>
      <w:marBottom w:val="0"/>
      <w:divBdr>
        <w:top w:val="none" w:sz="0" w:space="0" w:color="auto"/>
        <w:left w:val="none" w:sz="0" w:space="0" w:color="auto"/>
        <w:bottom w:val="none" w:sz="0" w:space="0" w:color="auto"/>
        <w:right w:val="none" w:sz="0" w:space="0" w:color="auto"/>
      </w:divBdr>
    </w:div>
    <w:div w:id="1264799598">
      <w:bodyDiv w:val="1"/>
      <w:marLeft w:val="0"/>
      <w:marRight w:val="0"/>
      <w:marTop w:val="0"/>
      <w:marBottom w:val="0"/>
      <w:divBdr>
        <w:top w:val="none" w:sz="0" w:space="0" w:color="auto"/>
        <w:left w:val="none" w:sz="0" w:space="0" w:color="auto"/>
        <w:bottom w:val="none" w:sz="0" w:space="0" w:color="auto"/>
        <w:right w:val="none" w:sz="0" w:space="0" w:color="auto"/>
      </w:divBdr>
    </w:div>
    <w:div w:id="1266814092">
      <w:bodyDiv w:val="1"/>
      <w:marLeft w:val="0"/>
      <w:marRight w:val="0"/>
      <w:marTop w:val="0"/>
      <w:marBottom w:val="0"/>
      <w:divBdr>
        <w:top w:val="none" w:sz="0" w:space="0" w:color="auto"/>
        <w:left w:val="none" w:sz="0" w:space="0" w:color="auto"/>
        <w:bottom w:val="none" w:sz="0" w:space="0" w:color="auto"/>
        <w:right w:val="none" w:sz="0" w:space="0" w:color="auto"/>
      </w:divBdr>
    </w:div>
    <w:div w:id="1288391079">
      <w:bodyDiv w:val="1"/>
      <w:marLeft w:val="0"/>
      <w:marRight w:val="0"/>
      <w:marTop w:val="0"/>
      <w:marBottom w:val="0"/>
      <w:divBdr>
        <w:top w:val="none" w:sz="0" w:space="0" w:color="auto"/>
        <w:left w:val="none" w:sz="0" w:space="0" w:color="auto"/>
        <w:bottom w:val="none" w:sz="0" w:space="0" w:color="auto"/>
        <w:right w:val="none" w:sz="0" w:space="0" w:color="auto"/>
      </w:divBdr>
    </w:div>
    <w:div w:id="1308437350">
      <w:bodyDiv w:val="1"/>
      <w:marLeft w:val="0"/>
      <w:marRight w:val="0"/>
      <w:marTop w:val="0"/>
      <w:marBottom w:val="0"/>
      <w:divBdr>
        <w:top w:val="none" w:sz="0" w:space="0" w:color="auto"/>
        <w:left w:val="none" w:sz="0" w:space="0" w:color="auto"/>
        <w:bottom w:val="none" w:sz="0" w:space="0" w:color="auto"/>
        <w:right w:val="none" w:sz="0" w:space="0" w:color="auto"/>
      </w:divBdr>
    </w:div>
    <w:div w:id="1313488740">
      <w:bodyDiv w:val="1"/>
      <w:marLeft w:val="0"/>
      <w:marRight w:val="0"/>
      <w:marTop w:val="0"/>
      <w:marBottom w:val="0"/>
      <w:divBdr>
        <w:top w:val="none" w:sz="0" w:space="0" w:color="auto"/>
        <w:left w:val="none" w:sz="0" w:space="0" w:color="auto"/>
        <w:bottom w:val="none" w:sz="0" w:space="0" w:color="auto"/>
        <w:right w:val="none" w:sz="0" w:space="0" w:color="auto"/>
      </w:divBdr>
    </w:div>
    <w:div w:id="1314017977">
      <w:bodyDiv w:val="1"/>
      <w:marLeft w:val="0"/>
      <w:marRight w:val="0"/>
      <w:marTop w:val="0"/>
      <w:marBottom w:val="0"/>
      <w:divBdr>
        <w:top w:val="none" w:sz="0" w:space="0" w:color="auto"/>
        <w:left w:val="none" w:sz="0" w:space="0" w:color="auto"/>
        <w:bottom w:val="none" w:sz="0" w:space="0" w:color="auto"/>
        <w:right w:val="none" w:sz="0" w:space="0" w:color="auto"/>
      </w:divBdr>
    </w:div>
    <w:div w:id="1323122256">
      <w:bodyDiv w:val="1"/>
      <w:marLeft w:val="0"/>
      <w:marRight w:val="0"/>
      <w:marTop w:val="0"/>
      <w:marBottom w:val="0"/>
      <w:divBdr>
        <w:top w:val="none" w:sz="0" w:space="0" w:color="auto"/>
        <w:left w:val="none" w:sz="0" w:space="0" w:color="auto"/>
        <w:bottom w:val="none" w:sz="0" w:space="0" w:color="auto"/>
        <w:right w:val="none" w:sz="0" w:space="0" w:color="auto"/>
      </w:divBdr>
    </w:div>
    <w:div w:id="1324090843">
      <w:bodyDiv w:val="1"/>
      <w:marLeft w:val="0"/>
      <w:marRight w:val="0"/>
      <w:marTop w:val="0"/>
      <w:marBottom w:val="0"/>
      <w:divBdr>
        <w:top w:val="none" w:sz="0" w:space="0" w:color="auto"/>
        <w:left w:val="none" w:sz="0" w:space="0" w:color="auto"/>
        <w:bottom w:val="none" w:sz="0" w:space="0" w:color="auto"/>
        <w:right w:val="none" w:sz="0" w:space="0" w:color="auto"/>
      </w:divBdr>
    </w:div>
    <w:div w:id="1328441550">
      <w:bodyDiv w:val="1"/>
      <w:marLeft w:val="0"/>
      <w:marRight w:val="0"/>
      <w:marTop w:val="0"/>
      <w:marBottom w:val="0"/>
      <w:divBdr>
        <w:top w:val="none" w:sz="0" w:space="0" w:color="auto"/>
        <w:left w:val="none" w:sz="0" w:space="0" w:color="auto"/>
        <w:bottom w:val="none" w:sz="0" w:space="0" w:color="auto"/>
        <w:right w:val="none" w:sz="0" w:space="0" w:color="auto"/>
      </w:divBdr>
    </w:div>
    <w:div w:id="1394423799">
      <w:bodyDiv w:val="1"/>
      <w:marLeft w:val="0"/>
      <w:marRight w:val="0"/>
      <w:marTop w:val="0"/>
      <w:marBottom w:val="0"/>
      <w:divBdr>
        <w:top w:val="none" w:sz="0" w:space="0" w:color="auto"/>
        <w:left w:val="none" w:sz="0" w:space="0" w:color="auto"/>
        <w:bottom w:val="none" w:sz="0" w:space="0" w:color="auto"/>
        <w:right w:val="none" w:sz="0" w:space="0" w:color="auto"/>
      </w:divBdr>
    </w:div>
    <w:div w:id="1398627552">
      <w:bodyDiv w:val="1"/>
      <w:marLeft w:val="0"/>
      <w:marRight w:val="0"/>
      <w:marTop w:val="0"/>
      <w:marBottom w:val="0"/>
      <w:divBdr>
        <w:top w:val="none" w:sz="0" w:space="0" w:color="auto"/>
        <w:left w:val="none" w:sz="0" w:space="0" w:color="auto"/>
        <w:bottom w:val="none" w:sz="0" w:space="0" w:color="auto"/>
        <w:right w:val="none" w:sz="0" w:space="0" w:color="auto"/>
      </w:divBdr>
    </w:div>
    <w:div w:id="1421102540">
      <w:bodyDiv w:val="1"/>
      <w:marLeft w:val="0"/>
      <w:marRight w:val="0"/>
      <w:marTop w:val="0"/>
      <w:marBottom w:val="0"/>
      <w:divBdr>
        <w:top w:val="none" w:sz="0" w:space="0" w:color="auto"/>
        <w:left w:val="none" w:sz="0" w:space="0" w:color="auto"/>
        <w:bottom w:val="none" w:sz="0" w:space="0" w:color="auto"/>
        <w:right w:val="none" w:sz="0" w:space="0" w:color="auto"/>
      </w:divBdr>
    </w:div>
    <w:div w:id="1429346974">
      <w:bodyDiv w:val="1"/>
      <w:marLeft w:val="0"/>
      <w:marRight w:val="0"/>
      <w:marTop w:val="0"/>
      <w:marBottom w:val="0"/>
      <w:divBdr>
        <w:top w:val="none" w:sz="0" w:space="0" w:color="auto"/>
        <w:left w:val="none" w:sz="0" w:space="0" w:color="auto"/>
        <w:bottom w:val="none" w:sz="0" w:space="0" w:color="auto"/>
        <w:right w:val="none" w:sz="0" w:space="0" w:color="auto"/>
      </w:divBdr>
    </w:div>
    <w:div w:id="1429961027">
      <w:bodyDiv w:val="1"/>
      <w:marLeft w:val="0"/>
      <w:marRight w:val="0"/>
      <w:marTop w:val="0"/>
      <w:marBottom w:val="0"/>
      <w:divBdr>
        <w:top w:val="none" w:sz="0" w:space="0" w:color="auto"/>
        <w:left w:val="none" w:sz="0" w:space="0" w:color="auto"/>
        <w:bottom w:val="none" w:sz="0" w:space="0" w:color="auto"/>
        <w:right w:val="none" w:sz="0" w:space="0" w:color="auto"/>
      </w:divBdr>
    </w:div>
    <w:div w:id="1430814077">
      <w:bodyDiv w:val="1"/>
      <w:marLeft w:val="0"/>
      <w:marRight w:val="0"/>
      <w:marTop w:val="0"/>
      <w:marBottom w:val="0"/>
      <w:divBdr>
        <w:top w:val="none" w:sz="0" w:space="0" w:color="auto"/>
        <w:left w:val="none" w:sz="0" w:space="0" w:color="auto"/>
        <w:bottom w:val="none" w:sz="0" w:space="0" w:color="auto"/>
        <w:right w:val="none" w:sz="0" w:space="0" w:color="auto"/>
      </w:divBdr>
    </w:div>
    <w:div w:id="1433629237">
      <w:bodyDiv w:val="1"/>
      <w:marLeft w:val="0"/>
      <w:marRight w:val="0"/>
      <w:marTop w:val="0"/>
      <w:marBottom w:val="0"/>
      <w:divBdr>
        <w:top w:val="none" w:sz="0" w:space="0" w:color="auto"/>
        <w:left w:val="none" w:sz="0" w:space="0" w:color="auto"/>
        <w:bottom w:val="none" w:sz="0" w:space="0" w:color="auto"/>
        <w:right w:val="none" w:sz="0" w:space="0" w:color="auto"/>
      </w:divBdr>
    </w:div>
    <w:div w:id="1435859141">
      <w:bodyDiv w:val="1"/>
      <w:marLeft w:val="0"/>
      <w:marRight w:val="0"/>
      <w:marTop w:val="0"/>
      <w:marBottom w:val="0"/>
      <w:divBdr>
        <w:top w:val="none" w:sz="0" w:space="0" w:color="auto"/>
        <w:left w:val="none" w:sz="0" w:space="0" w:color="auto"/>
        <w:bottom w:val="none" w:sz="0" w:space="0" w:color="auto"/>
        <w:right w:val="none" w:sz="0" w:space="0" w:color="auto"/>
      </w:divBdr>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48889545">
      <w:bodyDiv w:val="1"/>
      <w:marLeft w:val="0"/>
      <w:marRight w:val="0"/>
      <w:marTop w:val="0"/>
      <w:marBottom w:val="0"/>
      <w:divBdr>
        <w:top w:val="none" w:sz="0" w:space="0" w:color="auto"/>
        <w:left w:val="none" w:sz="0" w:space="0" w:color="auto"/>
        <w:bottom w:val="none" w:sz="0" w:space="0" w:color="auto"/>
        <w:right w:val="none" w:sz="0" w:space="0" w:color="auto"/>
      </w:divBdr>
    </w:div>
    <w:div w:id="1461221612">
      <w:bodyDiv w:val="1"/>
      <w:marLeft w:val="0"/>
      <w:marRight w:val="0"/>
      <w:marTop w:val="0"/>
      <w:marBottom w:val="0"/>
      <w:divBdr>
        <w:top w:val="none" w:sz="0" w:space="0" w:color="auto"/>
        <w:left w:val="none" w:sz="0" w:space="0" w:color="auto"/>
        <w:bottom w:val="none" w:sz="0" w:space="0" w:color="auto"/>
        <w:right w:val="none" w:sz="0" w:space="0" w:color="auto"/>
      </w:divBdr>
    </w:div>
    <w:div w:id="1478910369">
      <w:bodyDiv w:val="1"/>
      <w:marLeft w:val="0"/>
      <w:marRight w:val="0"/>
      <w:marTop w:val="0"/>
      <w:marBottom w:val="0"/>
      <w:divBdr>
        <w:top w:val="none" w:sz="0" w:space="0" w:color="auto"/>
        <w:left w:val="none" w:sz="0" w:space="0" w:color="auto"/>
        <w:bottom w:val="none" w:sz="0" w:space="0" w:color="auto"/>
        <w:right w:val="none" w:sz="0" w:space="0" w:color="auto"/>
      </w:divBdr>
    </w:div>
    <w:div w:id="1482818394">
      <w:bodyDiv w:val="1"/>
      <w:marLeft w:val="0"/>
      <w:marRight w:val="0"/>
      <w:marTop w:val="0"/>
      <w:marBottom w:val="0"/>
      <w:divBdr>
        <w:top w:val="none" w:sz="0" w:space="0" w:color="auto"/>
        <w:left w:val="none" w:sz="0" w:space="0" w:color="auto"/>
        <w:bottom w:val="none" w:sz="0" w:space="0" w:color="auto"/>
        <w:right w:val="none" w:sz="0" w:space="0" w:color="auto"/>
      </w:divBdr>
    </w:div>
    <w:div w:id="1483355018">
      <w:bodyDiv w:val="1"/>
      <w:marLeft w:val="0"/>
      <w:marRight w:val="0"/>
      <w:marTop w:val="0"/>
      <w:marBottom w:val="0"/>
      <w:divBdr>
        <w:top w:val="none" w:sz="0" w:space="0" w:color="auto"/>
        <w:left w:val="none" w:sz="0" w:space="0" w:color="auto"/>
        <w:bottom w:val="none" w:sz="0" w:space="0" w:color="auto"/>
        <w:right w:val="none" w:sz="0" w:space="0" w:color="auto"/>
      </w:divBdr>
    </w:div>
    <w:div w:id="1490368483">
      <w:bodyDiv w:val="1"/>
      <w:marLeft w:val="0"/>
      <w:marRight w:val="0"/>
      <w:marTop w:val="0"/>
      <w:marBottom w:val="0"/>
      <w:divBdr>
        <w:top w:val="none" w:sz="0" w:space="0" w:color="auto"/>
        <w:left w:val="none" w:sz="0" w:space="0" w:color="auto"/>
        <w:bottom w:val="none" w:sz="0" w:space="0" w:color="auto"/>
        <w:right w:val="none" w:sz="0" w:space="0" w:color="auto"/>
      </w:divBdr>
    </w:div>
    <w:div w:id="1492331431">
      <w:bodyDiv w:val="1"/>
      <w:marLeft w:val="0"/>
      <w:marRight w:val="0"/>
      <w:marTop w:val="0"/>
      <w:marBottom w:val="0"/>
      <w:divBdr>
        <w:top w:val="none" w:sz="0" w:space="0" w:color="auto"/>
        <w:left w:val="none" w:sz="0" w:space="0" w:color="auto"/>
        <w:bottom w:val="none" w:sz="0" w:space="0" w:color="auto"/>
        <w:right w:val="none" w:sz="0" w:space="0" w:color="auto"/>
      </w:divBdr>
    </w:div>
    <w:div w:id="1525435917">
      <w:bodyDiv w:val="1"/>
      <w:marLeft w:val="0"/>
      <w:marRight w:val="0"/>
      <w:marTop w:val="0"/>
      <w:marBottom w:val="0"/>
      <w:divBdr>
        <w:top w:val="none" w:sz="0" w:space="0" w:color="auto"/>
        <w:left w:val="none" w:sz="0" w:space="0" w:color="auto"/>
        <w:bottom w:val="none" w:sz="0" w:space="0" w:color="auto"/>
        <w:right w:val="none" w:sz="0" w:space="0" w:color="auto"/>
      </w:divBdr>
    </w:div>
    <w:div w:id="1547570899">
      <w:bodyDiv w:val="1"/>
      <w:marLeft w:val="0"/>
      <w:marRight w:val="0"/>
      <w:marTop w:val="0"/>
      <w:marBottom w:val="0"/>
      <w:divBdr>
        <w:top w:val="none" w:sz="0" w:space="0" w:color="auto"/>
        <w:left w:val="none" w:sz="0" w:space="0" w:color="auto"/>
        <w:bottom w:val="none" w:sz="0" w:space="0" w:color="auto"/>
        <w:right w:val="none" w:sz="0" w:space="0" w:color="auto"/>
      </w:divBdr>
    </w:div>
    <w:div w:id="1565722186">
      <w:bodyDiv w:val="1"/>
      <w:marLeft w:val="0"/>
      <w:marRight w:val="0"/>
      <w:marTop w:val="0"/>
      <w:marBottom w:val="0"/>
      <w:divBdr>
        <w:top w:val="none" w:sz="0" w:space="0" w:color="auto"/>
        <w:left w:val="none" w:sz="0" w:space="0" w:color="auto"/>
        <w:bottom w:val="none" w:sz="0" w:space="0" w:color="auto"/>
        <w:right w:val="none" w:sz="0" w:space="0" w:color="auto"/>
      </w:divBdr>
    </w:div>
    <w:div w:id="1595287820">
      <w:bodyDiv w:val="1"/>
      <w:marLeft w:val="0"/>
      <w:marRight w:val="0"/>
      <w:marTop w:val="0"/>
      <w:marBottom w:val="0"/>
      <w:divBdr>
        <w:top w:val="none" w:sz="0" w:space="0" w:color="auto"/>
        <w:left w:val="none" w:sz="0" w:space="0" w:color="auto"/>
        <w:bottom w:val="none" w:sz="0" w:space="0" w:color="auto"/>
        <w:right w:val="none" w:sz="0" w:space="0" w:color="auto"/>
      </w:divBdr>
    </w:div>
    <w:div w:id="1604074736">
      <w:bodyDiv w:val="1"/>
      <w:marLeft w:val="0"/>
      <w:marRight w:val="0"/>
      <w:marTop w:val="0"/>
      <w:marBottom w:val="0"/>
      <w:divBdr>
        <w:top w:val="none" w:sz="0" w:space="0" w:color="auto"/>
        <w:left w:val="none" w:sz="0" w:space="0" w:color="auto"/>
        <w:bottom w:val="none" w:sz="0" w:space="0" w:color="auto"/>
        <w:right w:val="none" w:sz="0" w:space="0" w:color="auto"/>
      </w:divBdr>
    </w:div>
    <w:div w:id="1627393470">
      <w:bodyDiv w:val="1"/>
      <w:marLeft w:val="0"/>
      <w:marRight w:val="0"/>
      <w:marTop w:val="0"/>
      <w:marBottom w:val="0"/>
      <w:divBdr>
        <w:top w:val="none" w:sz="0" w:space="0" w:color="auto"/>
        <w:left w:val="none" w:sz="0" w:space="0" w:color="auto"/>
        <w:bottom w:val="none" w:sz="0" w:space="0" w:color="auto"/>
        <w:right w:val="none" w:sz="0" w:space="0" w:color="auto"/>
      </w:divBdr>
    </w:div>
    <w:div w:id="1644121769">
      <w:bodyDiv w:val="1"/>
      <w:marLeft w:val="0"/>
      <w:marRight w:val="0"/>
      <w:marTop w:val="0"/>
      <w:marBottom w:val="0"/>
      <w:divBdr>
        <w:top w:val="none" w:sz="0" w:space="0" w:color="auto"/>
        <w:left w:val="none" w:sz="0" w:space="0" w:color="auto"/>
        <w:bottom w:val="none" w:sz="0" w:space="0" w:color="auto"/>
        <w:right w:val="none" w:sz="0" w:space="0" w:color="auto"/>
      </w:divBdr>
    </w:div>
    <w:div w:id="1699239758">
      <w:bodyDiv w:val="1"/>
      <w:marLeft w:val="0"/>
      <w:marRight w:val="0"/>
      <w:marTop w:val="0"/>
      <w:marBottom w:val="0"/>
      <w:divBdr>
        <w:top w:val="none" w:sz="0" w:space="0" w:color="auto"/>
        <w:left w:val="none" w:sz="0" w:space="0" w:color="auto"/>
        <w:bottom w:val="none" w:sz="0" w:space="0" w:color="auto"/>
        <w:right w:val="none" w:sz="0" w:space="0" w:color="auto"/>
      </w:divBdr>
    </w:div>
    <w:div w:id="1704133115">
      <w:bodyDiv w:val="1"/>
      <w:marLeft w:val="0"/>
      <w:marRight w:val="0"/>
      <w:marTop w:val="0"/>
      <w:marBottom w:val="0"/>
      <w:divBdr>
        <w:top w:val="none" w:sz="0" w:space="0" w:color="auto"/>
        <w:left w:val="none" w:sz="0" w:space="0" w:color="auto"/>
        <w:bottom w:val="none" w:sz="0" w:space="0" w:color="auto"/>
        <w:right w:val="none" w:sz="0" w:space="0" w:color="auto"/>
      </w:divBdr>
    </w:div>
    <w:div w:id="1716393179">
      <w:bodyDiv w:val="1"/>
      <w:marLeft w:val="0"/>
      <w:marRight w:val="0"/>
      <w:marTop w:val="0"/>
      <w:marBottom w:val="0"/>
      <w:divBdr>
        <w:top w:val="none" w:sz="0" w:space="0" w:color="auto"/>
        <w:left w:val="none" w:sz="0" w:space="0" w:color="auto"/>
        <w:bottom w:val="none" w:sz="0" w:space="0" w:color="auto"/>
        <w:right w:val="none" w:sz="0" w:space="0" w:color="auto"/>
      </w:divBdr>
    </w:div>
    <w:div w:id="1722510497">
      <w:bodyDiv w:val="1"/>
      <w:marLeft w:val="0"/>
      <w:marRight w:val="0"/>
      <w:marTop w:val="0"/>
      <w:marBottom w:val="0"/>
      <w:divBdr>
        <w:top w:val="none" w:sz="0" w:space="0" w:color="auto"/>
        <w:left w:val="none" w:sz="0" w:space="0" w:color="auto"/>
        <w:bottom w:val="none" w:sz="0" w:space="0" w:color="auto"/>
        <w:right w:val="none" w:sz="0" w:space="0" w:color="auto"/>
      </w:divBdr>
    </w:div>
    <w:div w:id="1726248914">
      <w:bodyDiv w:val="1"/>
      <w:marLeft w:val="0"/>
      <w:marRight w:val="0"/>
      <w:marTop w:val="0"/>
      <w:marBottom w:val="0"/>
      <w:divBdr>
        <w:top w:val="none" w:sz="0" w:space="0" w:color="auto"/>
        <w:left w:val="none" w:sz="0" w:space="0" w:color="auto"/>
        <w:bottom w:val="none" w:sz="0" w:space="0" w:color="auto"/>
        <w:right w:val="none" w:sz="0" w:space="0" w:color="auto"/>
      </w:divBdr>
    </w:div>
    <w:div w:id="1728843755">
      <w:bodyDiv w:val="1"/>
      <w:marLeft w:val="0"/>
      <w:marRight w:val="0"/>
      <w:marTop w:val="0"/>
      <w:marBottom w:val="0"/>
      <w:divBdr>
        <w:top w:val="none" w:sz="0" w:space="0" w:color="auto"/>
        <w:left w:val="none" w:sz="0" w:space="0" w:color="auto"/>
        <w:bottom w:val="none" w:sz="0" w:space="0" w:color="auto"/>
        <w:right w:val="none" w:sz="0" w:space="0" w:color="auto"/>
      </w:divBdr>
    </w:div>
    <w:div w:id="1749111451">
      <w:bodyDiv w:val="1"/>
      <w:marLeft w:val="0"/>
      <w:marRight w:val="0"/>
      <w:marTop w:val="0"/>
      <w:marBottom w:val="0"/>
      <w:divBdr>
        <w:top w:val="none" w:sz="0" w:space="0" w:color="auto"/>
        <w:left w:val="none" w:sz="0" w:space="0" w:color="auto"/>
        <w:bottom w:val="none" w:sz="0" w:space="0" w:color="auto"/>
        <w:right w:val="none" w:sz="0" w:space="0" w:color="auto"/>
      </w:divBdr>
    </w:div>
    <w:div w:id="1759018821">
      <w:bodyDiv w:val="1"/>
      <w:marLeft w:val="0"/>
      <w:marRight w:val="0"/>
      <w:marTop w:val="0"/>
      <w:marBottom w:val="0"/>
      <w:divBdr>
        <w:top w:val="none" w:sz="0" w:space="0" w:color="auto"/>
        <w:left w:val="none" w:sz="0" w:space="0" w:color="auto"/>
        <w:bottom w:val="none" w:sz="0" w:space="0" w:color="auto"/>
        <w:right w:val="none" w:sz="0" w:space="0" w:color="auto"/>
      </w:divBdr>
    </w:div>
    <w:div w:id="1796098148">
      <w:bodyDiv w:val="1"/>
      <w:marLeft w:val="0"/>
      <w:marRight w:val="0"/>
      <w:marTop w:val="0"/>
      <w:marBottom w:val="0"/>
      <w:divBdr>
        <w:top w:val="none" w:sz="0" w:space="0" w:color="auto"/>
        <w:left w:val="none" w:sz="0" w:space="0" w:color="auto"/>
        <w:bottom w:val="none" w:sz="0" w:space="0" w:color="auto"/>
        <w:right w:val="none" w:sz="0" w:space="0" w:color="auto"/>
      </w:divBdr>
    </w:div>
    <w:div w:id="1841847858">
      <w:bodyDiv w:val="1"/>
      <w:marLeft w:val="0"/>
      <w:marRight w:val="0"/>
      <w:marTop w:val="0"/>
      <w:marBottom w:val="0"/>
      <w:divBdr>
        <w:top w:val="none" w:sz="0" w:space="0" w:color="auto"/>
        <w:left w:val="none" w:sz="0" w:space="0" w:color="auto"/>
        <w:bottom w:val="none" w:sz="0" w:space="0" w:color="auto"/>
        <w:right w:val="none" w:sz="0" w:space="0" w:color="auto"/>
      </w:divBdr>
    </w:div>
    <w:div w:id="1842502801">
      <w:bodyDiv w:val="1"/>
      <w:marLeft w:val="0"/>
      <w:marRight w:val="0"/>
      <w:marTop w:val="0"/>
      <w:marBottom w:val="0"/>
      <w:divBdr>
        <w:top w:val="none" w:sz="0" w:space="0" w:color="auto"/>
        <w:left w:val="none" w:sz="0" w:space="0" w:color="auto"/>
        <w:bottom w:val="none" w:sz="0" w:space="0" w:color="auto"/>
        <w:right w:val="none" w:sz="0" w:space="0" w:color="auto"/>
      </w:divBdr>
    </w:div>
    <w:div w:id="1844665323">
      <w:bodyDiv w:val="1"/>
      <w:marLeft w:val="0"/>
      <w:marRight w:val="0"/>
      <w:marTop w:val="0"/>
      <w:marBottom w:val="0"/>
      <w:divBdr>
        <w:top w:val="none" w:sz="0" w:space="0" w:color="auto"/>
        <w:left w:val="none" w:sz="0" w:space="0" w:color="auto"/>
        <w:bottom w:val="none" w:sz="0" w:space="0" w:color="auto"/>
        <w:right w:val="none" w:sz="0" w:space="0" w:color="auto"/>
      </w:divBdr>
    </w:div>
    <w:div w:id="1869176860">
      <w:bodyDiv w:val="1"/>
      <w:marLeft w:val="0"/>
      <w:marRight w:val="0"/>
      <w:marTop w:val="0"/>
      <w:marBottom w:val="0"/>
      <w:divBdr>
        <w:top w:val="none" w:sz="0" w:space="0" w:color="auto"/>
        <w:left w:val="none" w:sz="0" w:space="0" w:color="auto"/>
        <w:bottom w:val="none" w:sz="0" w:space="0" w:color="auto"/>
        <w:right w:val="none" w:sz="0" w:space="0" w:color="auto"/>
      </w:divBdr>
    </w:div>
    <w:div w:id="1872722531">
      <w:bodyDiv w:val="1"/>
      <w:marLeft w:val="0"/>
      <w:marRight w:val="0"/>
      <w:marTop w:val="0"/>
      <w:marBottom w:val="0"/>
      <w:divBdr>
        <w:top w:val="none" w:sz="0" w:space="0" w:color="auto"/>
        <w:left w:val="none" w:sz="0" w:space="0" w:color="auto"/>
        <w:bottom w:val="none" w:sz="0" w:space="0" w:color="auto"/>
        <w:right w:val="none" w:sz="0" w:space="0" w:color="auto"/>
      </w:divBdr>
    </w:div>
    <w:div w:id="1878664778">
      <w:bodyDiv w:val="1"/>
      <w:marLeft w:val="0"/>
      <w:marRight w:val="0"/>
      <w:marTop w:val="0"/>
      <w:marBottom w:val="0"/>
      <w:divBdr>
        <w:top w:val="none" w:sz="0" w:space="0" w:color="auto"/>
        <w:left w:val="none" w:sz="0" w:space="0" w:color="auto"/>
        <w:bottom w:val="none" w:sz="0" w:space="0" w:color="auto"/>
        <w:right w:val="none" w:sz="0" w:space="0" w:color="auto"/>
      </w:divBdr>
    </w:div>
    <w:div w:id="1888031241">
      <w:bodyDiv w:val="1"/>
      <w:marLeft w:val="0"/>
      <w:marRight w:val="0"/>
      <w:marTop w:val="0"/>
      <w:marBottom w:val="0"/>
      <w:divBdr>
        <w:top w:val="none" w:sz="0" w:space="0" w:color="auto"/>
        <w:left w:val="none" w:sz="0" w:space="0" w:color="auto"/>
        <w:bottom w:val="none" w:sz="0" w:space="0" w:color="auto"/>
        <w:right w:val="none" w:sz="0" w:space="0" w:color="auto"/>
      </w:divBdr>
    </w:div>
    <w:div w:id="1912544243">
      <w:bodyDiv w:val="1"/>
      <w:marLeft w:val="0"/>
      <w:marRight w:val="0"/>
      <w:marTop w:val="0"/>
      <w:marBottom w:val="0"/>
      <w:divBdr>
        <w:top w:val="none" w:sz="0" w:space="0" w:color="auto"/>
        <w:left w:val="none" w:sz="0" w:space="0" w:color="auto"/>
        <w:bottom w:val="none" w:sz="0" w:space="0" w:color="auto"/>
        <w:right w:val="none" w:sz="0" w:space="0" w:color="auto"/>
      </w:divBdr>
    </w:div>
    <w:div w:id="1939175827">
      <w:bodyDiv w:val="1"/>
      <w:marLeft w:val="0"/>
      <w:marRight w:val="0"/>
      <w:marTop w:val="0"/>
      <w:marBottom w:val="0"/>
      <w:divBdr>
        <w:top w:val="none" w:sz="0" w:space="0" w:color="auto"/>
        <w:left w:val="none" w:sz="0" w:space="0" w:color="auto"/>
        <w:bottom w:val="none" w:sz="0" w:space="0" w:color="auto"/>
        <w:right w:val="none" w:sz="0" w:space="0" w:color="auto"/>
      </w:divBdr>
    </w:div>
    <w:div w:id="1951012757">
      <w:bodyDiv w:val="1"/>
      <w:marLeft w:val="0"/>
      <w:marRight w:val="0"/>
      <w:marTop w:val="0"/>
      <w:marBottom w:val="0"/>
      <w:divBdr>
        <w:top w:val="none" w:sz="0" w:space="0" w:color="auto"/>
        <w:left w:val="none" w:sz="0" w:space="0" w:color="auto"/>
        <w:bottom w:val="none" w:sz="0" w:space="0" w:color="auto"/>
        <w:right w:val="none" w:sz="0" w:space="0" w:color="auto"/>
      </w:divBdr>
    </w:div>
    <w:div w:id="1951475360">
      <w:bodyDiv w:val="1"/>
      <w:marLeft w:val="0"/>
      <w:marRight w:val="0"/>
      <w:marTop w:val="0"/>
      <w:marBottom w:val="0"/>
      <w:divBdr>
        <w:top w:val="none" w:sz="0" w:space="0" w:color="auto"/>
        <w:left w:val="none" w:sz="0" w:space="0" w:color="auto"/>
        <w:bottom w:val="none" w:sz="0" w:space="0" w:color="auto"/>
        <w:right w:val="none" w:sz="0" w:space="0" w:color="auto"/>
      </w:divBdr>
    </w:div>
    <w:div w:id="1956599386">
      <w:bodyDiv w:val="1"/>
      <w:marLeft w:val="0"/>
      <w:marRight w:val="0"/>
      <w:marTop w:val="0"/>
      <w:marBottom w:val="0"/>
      <w:divBdr>
        <w:top w:val="none" w:sz="0" w:space="0" w:color="auto"/>
        <w:left w:val="none" w:sz="0" w:space="0" w:color="auto"/>
        <w:bottom w:val="none" w:sz="0" w:space="0" w:color="auto"/>
        <w:right w:val="none" w:sz="0" w:space="0" w:color="auto"/>
      </w:divBdr>
    </w:div>
    <w:div w:id="1960258179">
      <w:bodyDiv w:val="1"/>
      <w:marLeft w:val="0"/>
      <w:marRight w:val="0"/>
      <w:marTop w:val="0"/>
      <w:marBottom w:val="0"/>
      <w:divBdr>
        <w:top w:val="none" w:sz="0" w:space="0" w:color="auto"/>
        <w:left w:val="none" w:sz="0" w:space="0" w:color="auto"/>
        <w:bottom w:val="none" w:sz="0" w:space="0" w:color="auto"/>
        <w:right w:val="none" w:sz="0" w:space="0" w:color="auto"/>
      </w:divBdr>
    </w:div>
    <w:div w:id="1965575313">
      <w:bodyDiv w:val="1"/>
      <w:marLeft w:val="0"/>
      <w:marRight w:val="0"/>
      <w:marTop w:val="0"/>
      <w:marBottom w:val="0"/>
      <w:divBdr>
        <w:top w:val="none" w:sz="0" w:space="0" w:color="auto"/>
        <w:left w:val="none" w:sz="0" w:space="0" w:color="auto"/>
        <w:bottom w:val="none" w:sz="0" w:space="0" w:color="auto"/>
        <w:right w:val="none" w:sz="0" w:space="0" w:color="auto"/>
      </w:divBdr>
    </w:div>
    <w:div w:id="1992176608">
      <w:bodyDiv w:val="1"/>
      <w:marLeft w:val="0"/>
      <w:marRight w:val="0"/>
      <w:marTop w:val="0"/>
      <w:marBottom w:val="0"/>
      <w:divBdr>
        <w:top w:val="none" w:sz="0" w:space="0" w:color="auto"/>
        <w:left w:val="none" w:sz="0" w:space="0" w:color="auto"/>
        <w:bottom w:val="none" w:sz="0" w:space="0" w:color="auto"/>
        <w:right w:val="none" w:sz="0" w:space="0" w:color="auto"/>
      </w:divBdr>
    </w:div>
    <w:div w:id="1999576151">
      <w:bodyDiv w:val="1"/>
      <w:marLeft w:val="0"/>
      <w:marRight w:val="0"/>
      <w:marTop w:val="0"/>
      <w:marBottom w:val="0"/>
      <w:divBdr>
        <w:top w:val="none" w:sz="0" w:space="0" w:color="auto"/>
        <w:left w:val="none" w:sz="0" w:space="0" w:color="auto"/>
        <w:bottom w:val="none" w:sz="0" w:space="0" w:color="auto"/>
        <w:right w:val="none" w:sz="0" w:space="0" w:color="auto"/>
      </w:divBdr>
    </w:div>
    <w:div w:id="2011519092">
      <w:bodyDiv w:val="1"/>
      <w:marLeft w:val="0"/>
      <w:marRight w:val="0"/>
      <w:marTop w:val="0"/>
      <w:marBottom w:val="0"/>
      <w:divBdr>
        <w:top w:val="none" w:sz="0" w:space="0" w:color="auto"/>
        <w:left w:val="none" w:sz="0" w:space="0" w:color="auto"/>
        <w:bottom w:val="none" w:sz="0" w:space="0" w:color="auto"/>
        <w:right w:val="none" w:sz="0" w:space="0" w:color="auto"/>
      </w:divBdr>
    </w:div>
    <w:div w:id="2012096323">
      <w:bodyDiv w:val="1"/>
      <w:marLeft w:val="0"/>
      <w:marRight w:val="0"/>
      <w:marTop w:val="0"/>
      <w:marBottom w:val="0"/>
      <w:divBdr>
        <w:top w:val="none" w:sz="0" w:space="0" w:color="auto"/>
        <w:left w:val="none" w:sz="0" w:space="0" w:color="auto"/>
        <w:bottom w:val="none" w:sz="0" w:space="0" w:color="auto"/>
        <w:right w:val="none" w:sz="0" w:space="0" w:color="auto"/>
      </w:divBdr>
    </w:div>
    <w:div w:id="2022705856">
      <w:bodyDiv w:val="1"/>
      <w:marLeft w:val="0"/>
      <w:marRight w:val="0"/>
      <w:marTop w:val="0"/>
      <w:marBottom w:val="0"/>
      <w:divBdr>
        <w:top w:val="none" w:sz="0" w:space="0" w:color="auto"/>
        <w:left w:val="none" w:sz="0" w:space="0" w:color="auto"/>
        <w:bottom w:val="none" w:sz="0" w:space="0" w:color="auto"/>
        <w:right w:val="none" w:sz="0" w:space="0" w:color="auto"/>
      </w:divBdr>
    </w:div>
    <w:div w:id="2045328197">
      <w:bodyDiv w:val="1"/>
      <w:marLeft w:val="0"/>
      <w:marRight w:val="0"/>
      <w:marTop w:val="0"/>
      <w:marBottom w:val="0"/>
      <w:divBdr>
        <w:top w:val="none" w:sz="0" w:space="0" w:color="auto"/>
        <w:left w:val="none" w:sz="0" w:space="0" w:color="auto"/>
        <w:bottom w:val="none" w:sz="0" w:space="0" w:color="auto"/>
        <w:right w:val="none" w:sz="0" w:space="0" w:color="auto"/>
      </w:divBdr>
    </w:div>
    <w:div w:id="2061246578">
      <w:bodyDiv w:val="1"/>
      <w:marLeft w:val="0"/>
      <w:marRight w:val="0"/>
      <w:marTop w:val="0"/>
      <w:marBottom w:val="0"/>
      <w:divBdr>
        <w:top w:val="none" w:sz="0" w:space="0" w:color="auto"/>
        <w:left w:val="none" w:sz="0" w:space="0" w:color="auto"/>
        <w:bottom w:val="none" w:sz="0" w:space="0" w:color="auto"/>
        <w:right w:val="none" w:sz="0" w:space="0" w:color="auto"/>
      </w:divBdr>
    </w:div>
    <w:div w:id="2102095946">
      <w:bodyDiv w:val="1"/>
      <w:marLeft w:val="0"/>
      <w:marRight w:val="0"/>
      <w:marTop w:val="0"/>
      <w:marBottom w:val="0"/>
      <w:divBdr>
        <w:top w:val="none" w:sz="0" w:space="0" w:color="auto"/>
        <w:left w:val="none" w:sz="0" w:space="0" w:color="auto"/>
        <w:bottom w:val="none" w:sz="0" w:space="0" w:color="auto"/>
        <w:right w:val="none" w:sz="0" w:space="0" w:color="auto"/>
      </w:divBdr>
    </w:div>
    <w:div w:id="2108185245">
      <w:bodyDiv w:val="1"/>
      <w:marLeft w:val="0"/>
      <w:marRight w:val="0"/>
      <w:marTop w:val="0"/>
      <w:marBottom w:val="0"/>
      <w:divBdr>
        <w:top w:val="none" w:sz="0" w:space="0" w:color="auto"/>
        <w:left w:val="none" w:sz="0" w:space="0" w:color="auto"/>
        <w:bottom w:val="none" w:sz="0" w:space="0" w:color="auto"/>
        <w:right w:val="none" w:sz="0" w:space="0" w:color="auto"/>
      </w:divBdr>
    </w:div>
    <w:div w:id="2112166313">
      <w:bodyDiv w:val="1"/>
      <w:marLeft w:val="0"/>
      <w:marRight w:val="0"/>
      <w:marTop w:val="0"/>
      <w:marBottom w:val="0"/>
      <w:divBdr>
        <w:top w:val="none" w:sz="0" w:space="0" w:color="auto"/>
        <w:left w:val="none" w:sz="0" w:space="0" w:color="auto"/>
        <w:bottom w:val="none" w:sz="0" w:space="0" w:color="auto"/>
        <w:right w:val="none" w:sz="0" w:space="0" w:color="auto"/>
      </w:divBdr>
    </w:div>
    <w:div w:id="21139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274614-1115-4110-BF1B-FED3FB7E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87</Pages>
  <Words>26586</Words>
  <Characters>151546</Characters>
  <Application>Microsoft Office Word</Application>
  <DocSecurity>0</DocSecurity>
  <Lines>1262</Lines>
  <Paragraphs>355</Paragraphs>
  <ScaleCrop>false</ScaleCrop>
  <Company>HUAAN</Company>
  <LinksUpToDate>false</LinksUpToDate>
  <CharactersWithSpaces>177777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qi.jin</dc:creator>
  <cp:lastModifiedBy>高飞</cp:lastModifiedBy>
  <cp:revision>5</cp:revision>
  <cp:lastPrinted>2011-09-09T01:43:00Z</cp:lastPrinted>
  <dcterms:created xsi:type="dcterms:W3CDTF">2015-09-16T11:40:00Z</dcterms:created>
  <dcterms:modified xsi:type="dcterms:W3CDTF">2015-09-16T12:11:00Z</dcterms:modified>
</cp:coreProperties>
</file>