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D53" w:rsidRDefault="00755D53">
      <w:r>
        <w:pict>
          <v:rect id="Text Box 22" o:spid="_x0000_s1030" style="position:absolute;left:0;text-align:left;margin-left:306pt;margin-top:6.65pt;width:116.45pt;height:23.4pt;z-index:3" o:preferrelative="t" filled="f" stroked="f">
            <v:textbox>
              <w:txbxContent>
                <w:p w:rsidR="00755D53" w:rsidRDefault="00763426">
                  <w:pPr>
                    <w:rPr>
                      <w:color w:val="FFFFFF"/>
                      <w:sz w:val="24"/>
                    </w:rPr>
                  </w:pPr>
                  <w:r>
                    <w:rPr>
                      <w:rFonts w:hint="eastAsia"/>
                      <w:color w:val="FFFFFF"/>
                      <w:sz w:val="24"/>
                    </w:rPr>
                    <w:t>2015</w:t>
                  </w:r>
                  <w:r>
                    <w:rPr>
                      <w:rFonts w:hint="eastAsia"/>
                      <w:color w:val="FFFFFF"/>
                      <w:sz w:val="24"/>
                    </w:rPr>
                    <w:t>年</w:t>
                  </w:r>
                  <w:r>
                    <w:rPr>
                      <w:color w:val="FFFFFF"/>
                      <w:sz w:val="24"/>
                    </w:rPr>
                    <w:t>2</w:t>
                  </w:r>
                  <w:r>
                    <w:rPr>
                      <w:rFonts w:hint="eastAsia"/>
                      <w:color w:val="FFFFFF"/>
                      <w:sz w:val="24"/>
                    </w:rPr>
                    <w:t>月</w:t>
                  </w:r>
                  <w:r>
                    <w:rPr>
                      <w:color w:val="FFFFFF"/>
                      <w:sz w:val="24"/>
                    </w:rPr>
                    <w:t>10</w:t>
                  </w:r>
                  <w:r>
                    <w:rPr>
                      <w:rFonts w:hint="eastAsia"/>
                      <w:color w:val="FFFFFF"/>
                      <w:sz w:val="24"/>
                    </w:rPr>
                    <w:t>日</w:t>
                  </w:r>
                </w:p>
              </w:txbxContent>
            </v:textbox>
          </v:rec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style="position:absolute;left:0;text-align:left;margin-left:-81pt;margin-top:-86.95pt;width:646.95pt;height:123.1pt;z-index:1">
            <v:imagedata r:id="rId8" o:title=""/>
          </v:shape>
        </w:pict>
      </w:r>
      <w:r>
        <w:pict>
          <v:rect id="Text Box 16" o:spid="_x0000_s1032" style="position:absolute;left:0;text-align:left;margin-left:27pt;margin-top:-45.2pt;width:5in;height:56.75pt;z-index:2" o:preferrelative="t" filled="f" stroked="f">
            <v:textbox>
              <w:txbxContent>
                <w:p w:rsidR="00755D53" w:rsidRDefault="00763426">
                  <w:pPr>
                    <w:rPr>
                      <w:rFonts w:ascii="黑体" w:eastAsia="黑体"/>
                      <w:color w:val="FFFFFF"/>
                      <w:sz w:val="24"/>
                    </w:rPr>
                  </w:pPr>
                  <w:r>
                    <w:rPr>
                      <w:rFonts w:ascii="黑体" w:eastAsia="黑体" w:hint="eastAsia"/>
                      <w:color w:val="FFFFFF"/>
                      <w:sz w:val="24"/>
                    </w:rPr>
                    <w:t>好买基金研究中心</w:t>
                  </w:r>
                </w:p>
                <w:p w:rsidR="00755D53" w:rsidRDefault="00763426">
                  <w:r>
                    <w:rPr>
                      <w:rFonts w:ascii="黑体" w:eastAsia="黑体" w:hint="eastAsia"/>
                      <w:color w:val="FFFFFF"/>
                      <w:sz w:val="32"/>
                      <w:szCs w:val="32"/>
                    </w:rPr>
                    <w:t>私募基金月报</w:t>
                  </w:r>
                </w:p>
              </w:txbxContent>
            </v:textbox>
          </v:rect>
        </w:pict>
      </w:r>
    </w:p>
    <w:p w:rsidR="00755D53" w:rsidRDefault="00755D53" w:rsidP="00AF2341">
      <w:pPr>
        <w:spacing w:beforeLines="50" w:afterLines="50"/>
        <w:rPr>
          <w:szCs w:val="28"/>
        </w:rPr>
      </w:pPr>
    </w:p>
    <w:p w:rsidR="00755D53" w:rsidRDefault="00755D53" w:rsidP="00AF2341">
      <w:pPr>
        <w:spacing w:beforeLines="50" w:afterLines="50"/>
        <w:rPr>
          <w:szCs w:val="28"/>
        </w:rPr>
      </w:pPr>
    </w:p>
    <w:p w:rsidR="00755D53" w:rsidRDefault="00755D53" w:rsidP="00AF2341">
      <w:pPr>
        <w:spacing w:beforeLines="50" w:afterLines="50" w:line="360" w:lineRule="auto"/>
        <w:rPr>
          <w:b/>
          <w:sz w:val="28"/>
          <w:szCs w:val="28"/>
        </w:rPr>
      </w:pPr>
      <w:r w:rsidRPr="00755D53">
        <w:pict>
          <v:rect id="文本框 2" o:spid="_x0000_s1033" style="position:absolute;left:0;text-align:left;margin-left:351.8pt;margin-top:6.95pt;width:170.25pt;height:619.5pt;z-index:4" o:preferrelative="t" filled="f" stroked="f">
            <v:textbox>
              <w:txbxContent>
                <w:p w:rsidR="00755D53" w:rsidRDefault="00755D53">
                  <w:pPr>
                    <w:spacing w:line="360" w:lineRule="auto"/>
                    <w:rPr>
                      <w:b/>
                      <w:sz w:val="18"/>
                      <w:szCs w:val="18"/>
                    </w:rPr>
                  </w:pPr>
                </w:p>
                <w:p w:rsidR="00755D53" w:rsidRDefault="00763426">
                  <w:pPr>
                    <w:pBdr>
                      <w:bottom w:val="single" w:sz="6" w:space="1" w:color="auto"/>
                    </w:pBdr>
                    <w:spacing w:line="360" w:lineRule="auto"/>
                    <w:rPr>
                      <w:sz w:val="18"/>
                      <w:szCs w:val="18"/>
                    </w:rPr>
                  </w:pPr>
                  <w:r>
                    <w:rPr>
                      <w:rFonts w:hint="eastAsia"/>
                      <w:b/>
                      <w:sz w:val="18"/>
                      <w:szCs w:val="18"/>
                    </w:rPr>
                    <w:t>好买基金研究中心</w:t>
                  </w:r>
                </w:p>
                <w:p w:rsidR="00755D53" w:rsidRDefault="00763426">
                  <w:pPr>
                    <w:spacing w:line="360" w:lineRule="auto"/>
                    <w:rPr>
                      <w:sz w:val="18"/>
                      <w:szCs w:val="18"/>
                    </w:rPr>
                  </w:pPr>
                  <w:r>
                    <w:rPr>
                      <w:rFonts w:hAnsi="宋体"/>
                      <w:sz w:val="18"/>
                      <w:szCs w:val="18"/>
                    </w:rPr>
                    <w:t>好买总机：</w:t>
                  </w:r>
                  <w:r>
                    <w:rPr>
                      <w:sz w:val="18"/>
                      <w:szCs w:val="18"/>
                    </w:rPr>
                    <w:t>021-</w:t>
                  </w:r>
                  <w:r>
                    <w:rPr>
                      <w:rFonts w:hint="eastAsia"/>
                      <w:sz w:val="18"/>
                      <w:szCs w:val="18"/>
                    </w:rPr>
                    <w:t>2061 3999</w:t>
                  </w:r>
                </w:p>
                <w:p w:rsidR="00755D53" w:rsidRDefault="00763426">
                  <w:pPr>
                    <w:spacing w:line="360" w:lineRule="auto"/>
                    <w:rPr>
                      <w:sz w:val="18"/>
                      <w:szCs w:val="18"/>
                    </w:rPr>
                  </w:pPr>
                  <w:r>
                    <w:rPr>
                      <w:rFonts w:hint="eastAsia"/>
                      <w:sz w:val="18"/>
                      <w:szCs w:val="18"/>
                    </w:rPr>
                    <w:t>好买网站：</w:t>
                  </w:r>
                  <w:r>
                    <w:rPr>
                      <w:sz w:val="18"/>
                      <w:szCs w:val="18"/>
                    </w:rPr>
                    <w:t>www.howbuy.com</w:t>
                  </w:r>
                </w:p>
                <w:p w:rsidR="00755D53" w:rsidRDefault="00755D53">
                  <w:pPr>
                    <w:spacing w:line="360" w:lineRule="auto"/>
                    <w:rPr>
                      <w:sz w:val="18"/>
                      <w:szCs w:val="18"/>
                    </w:rPr>
                  </w:pPr>
                </w:p>
                <w:p w:rsidR="00755D53" w:rsidRDefault="00755D53">
                  <w:pPr>
                    <w:spacing w:line="360" w:lineRule="auto"/>
                    <w:rPr>
                      <w:sz w:val="18"/>
                      <w:szCs w:val="18"/>
                    </w:rPr>
                  </w:pPr>
                </w:p>
                <w:p w:rsidR="00755D53" w:rsidRDefault="00755D53">
                  <w:pPr>
                    <w:spacing w:line="360" w:lineRule="auto"/>
                    <w:rPr>
                      <w:sz w:val="18"/>
                      <w:szCs w:val="18"/>
                    </w:rPr>
                  </w:pPr>
                </w:p>
                <w:p w:rsidR="00755D53" w:rsidRDefault="00755D53">
                  <w:pPr>
                    <w:spacing w:line="360" w:lineRule="auto"/>
                    <w:rPr>
                      <w:sz w:val="18"/>
                      <w:szCs w:val="18"/>
                    </w:rPr>
                  </w:pPr>
                </w:p>
                <w:p w:rsidR="00755D53" w:rsidRDefault="00755D53">
                  <w:pPr>
                    <w:spacing w:line="360" w:lineRule="auto"/>
                    <w:rPr>
                      <w:sz w:val="18"/>
                      <w:szCs w:val="18"/>
                    </w:rPr>
                  </w:pPr>
                </w:p>
                <w:p w:rsidR="00755D53" w:rsidRDefault="00755D53">
                  <w:pPr>
                    <w:spacing w:line="360" w:lineRule="auto"/>
                    <w:rPr>
                      <w:sz w:val="18"/>
                      <w:szCs w:val="18"/>
                    </w:rPr>
                  </w:pPr>
                </w:p>
                <w:p w:rsidR="00755D53" w:rsidRDefault="00755D53">
                  <w:pPr>
                    <w:spacing w:line="360" w:lineRule="auto"/>
                    <w:rPr>
                      <w:sz w:val="18"/>
                      <w:szCs w:val="18"/>
                    </w:rPr>
                  </w:pPr>
                </w:p>
                <w:p w:rsidR="00755D53" w:rsidRDefault="00763426">
                  <w:pPr>
                    <w:pBdr>
                      <w:bottom w:val="single" w:sz="6" w:space="1" w:color="auto"/>
                    </w:pBdr>
                    <w:spacing w:line="360" w:lineRule="auto"/>
                    <w:rPr>
                      <w:b/>
                      <w:sz w:val="18"/>
                      <w:szCs w:val="18"/>
                    </w:rPr>
                  </w:pPr>
                  <w:r>
                    <w:rPr>
                      <w:rFonts w:hint="eastAsia"/>
                      <w:b/>
                      <w:sz w:val="18"/>
                      <w:szCs w:val="18"/>
                    </w:rPr>
                    <w:t>相关报告</w:t>
                  </w:r>
                </w:p>
                <w:p w:rsidR="00755D53" w:rsidRDefault="00763426">
                  <w:pPr>
                    <w:spacing w:line="360" w:lineRule="auto"/>
                    <w:rPr>
                      <w:sz w:val="18"/>
                      <w:szCs w:val="18"/>
                    </w:rPr>
                  </w:pPr>
                  <w:r>
                    <w:rPr>
                      <w:rFonts w:hint="eastAsia"/>
                      <w:sz w:val="18"/>
                      <w:szCs w:val="18"/>
                    </w:rPr>
                    <w:t>牛市行情深化，市场中性策略跌幅扩大</w:t>
                  </w:r>
                </w:p>
                <w:p w:rsidR="00755D53" w:rsidRDefault="00763426">
                  <w:pPr>
                    <w:spacing w:line="360" w:lineRule="auto"/>
                    <w:rPr>
                      <w:sz w:val="18"/>
                      <w:szCs w:val="18"/>
                    </w:rPr>
                  </w:pPr>
                  <w:r>
                    <w:rPr>
                      <w:rFonts w:hint="eastAsia"/>
                      <w:sz w:val="18"/>
                      <w:szCs w:val="18"/>
                    </w:rPr>
                    <w:t>——</w:t>
                  </w:r>
                  <w:r>
                    <w:rPr>
                      <w:rFonts w:hint="eastAsia"/>
                      <w:sz w:val="18"/>
                      <w:szCs w:val="18"/>
                    </w:rPr>
                    <w:t>2014</w:t>
                  </w:r>
                  <w:r>
                    <w:rPr>
                      <w:rFonts w:hint="eastAsia"/>
                      <w:sz w:val="18"/>
                      <w:szCs w:val="18"/>
                    </w:rPr>
                    <w:t>年</w:t>
                  </w:r>
                  <w:r>
                    <w:rPr>
                      <w:rFonts w:hint="eastAsia"/>
                      <w:sz w:val="18"/>
                      <w:szCs w:val="18"/>
                    </w:rPr>
                    <w:t>12</w:t>
                  </w:r>
                  <w:r>
                    <w:rPr>
                      <w:rFonts w:hint="eastAsia"/>
                      <w:sz w:val="18"/>
                      <w:szCs w:val="18"/>
                    </w:rPr>
                    <w:t>月阳光私募基金月报</w:t>
                  </w:r>
                </w:p>
                <w:p w:rsidR="00755D53" w:rsidRDefault="00763426">
                  <w:pPr>
                    <w:spacing w:line="360" w:lineRule="auto"/>
                    <w:rPr>
                      <w:sz w:val="18"/>
                      <w:szCs w:val="18"/>
                    </w:rPr>
                  </w:pPr>
                  <w:r>
                    <w:rPr>
                      <w:rFonts w:hint="eastAsia"/>
                      <w:sz w:val="18"/>
                      <w:szCs w:val="18"/>
                    </w:rPr>
                    <w:t>牛市行情展开，管理期货型杠杆好处凸显——</w:t>
                  </w:r>
                  <w:r>
                    <w:rPr>
                      <w:rFonts w:hint="eastAsia"/>
                      <w:sz w:val="18"/>
                      <w:szCs w:val="18"/>
                    </w:rPr>
                    <w:t>2014</w:t>
                  </w:r>
                  <w:r>
                    <w:rPr>
                      <w:rFonts w:hint="eastAsia"/>
                      <w:sz w:val="18"/>
                      <w:szCs w:val="18"/>
                    </w:rPr>
                    <w:t>年</w:t>
                  </w:r>
                  <w:r>
                    <w:rPr>
                      <w:rFonts w:hint="eastAsia"/>
                      <w:sz w:val="18"/>
                      <w:szCs w:val="18"/>
                    </w:rPr>
                    <w:t>11</w:t>
                  </w:r>
                  <w:r>
                    <w:rPr>
                      <w:rFonts w:hint="eastAsia"/>
                      <w:sz w:val="18"/>
                      <w:szCs w:val="18"/>
                    </w:rPr>
                    <w:t>月阳光私募基金月报</w:t>
                  </w:r>
                </w:p>
                <w:p w:rsidR="00755D53" w:rsidRDefault="00763426">
                  <w:pPr>
                    <w:spacing w:line="360" w:lineRule="auto"/>
                    <w:rPr>
                      <w:sz w:val="18"/>
                      <w:szCs w:val="18"/>
                    </w:rPr>
                  </w:pPr>
                  <w:r>
                    <w:rPr>
                      <w:rFonts w:hint="eastAsia"/>
                      <w:sz w:val="18"/>
                      <w:szCs w:val="18"/>
                    </w:rPr>
                    <w:t>风格转换，私募整体业绩平淡——</w:t>
                  </w:r>
                  <w:r>
                    <w:rPr>
                      <w:rFonts w:hint="eastAsia"/>
                      <w:sz w:val="18"/>
                      <w:szCs w:val="18"/>
                    </w:rPr>
                    <w:t>2014</w:t>
                  </w:r>
                  <w:r>
                    <w:rPr>
                      <w:rFonts w:hint="eastAsia"/>
                      <w:sz w:val="18"/>
                      <w:szCs w:val="18"/>
                    </w:rPr>
                    <w:t>年</w:t>
                  </w:r>
                  <w:r>
                    <w:rPr>
                      <w:rFonts w:hint="eastAsia"/>
                      <w:sz w:val="18"/>
                      <w:szCs w:val="18"/>
                    </w:rPr>
                    <w:t>10</w:t>
                  </w:r>
                  <w:r>
                    <w:rPr>
                      <w:rFonts w:hint="eastAsia"/>
                      <w:sz w:val="18"/>
                      <w:szCs w:val="18"/>
                    </w:rPr>
                    <w:t>月阳光私募基金月报</w:t>
                  </w:r>
                </w:p>
                <w:p w:rsidR="00755D53" w:rsidRDefault="00763426">
                  <w:pPr>
                    <w:spacing w:line="360" w:lineRule="auto"/>
                    <w:rPr>
                      <w:sz w:val="18"/>
                      <w:szCs w:val="18"/>
                    </w:rPr>
                  </w:pPr>
                  <w:r>
                    <w:rPr>
                      <w:rFonts w:hint="eastAsia"/>
                      <w:sz w:val="18"/>
                      <w:szCs w:val="18"/>
                    </w:rPr>
                    <w:t>股票涨商品跌，各类私募业绩普涨——</w:t>
                  </w:r>
                  <w:r>
                    <w:rPr>
                      <w:rFonts w:hint="eastAsia"/>
                      <w:sz w:val="18"/>
                      <w:szCs w:val="18"/>
                    </w:rPr>
                    <w:t>2014</w:t>
                  </w:r>
                  <w:r>
                    <w:rPr>
                      <w:rFonts w:hint="eastAsia"/>
                      <w:sz w:val="18"/>
                      <w:szCs w:val="18"/>
                    </w:rPr>
                    <w:t>年</w:t>
                  </w:r>
                  <w:r>
                    <w:rPr>
                      <w:rFonts w:hint="eastAsia"/>
                      <w:sz w:val="18"/>
                      <w:szCs w:val="18"/>
                    </w:rPr>
                    <w:t>9</w:t>
                  </w:r>
                  <w:r>
                    <w:rPr>
                      <w:rFonts w:hint="eastAsia"/>
                      <w:sz w:val="18"/>
                      <w:szCs w:val="18"/>
                    </w:rPr>
                    <w:t>月阳光私募基金月报</w:t>
                  </w:r>
                </w:p>
                <w:p w:rsidR="00755D53" w:rsidRDefault="00763426">
                  <w:pPr>
                    <w:spacing w:line="360" w:lineRule="auto"/>
                    <w:rPr>
                      <w:sz w:val="18"/>
                      <w:szCs w:val="18"/>
                    </w:rPr>
                  </w:pPr>
                  <w:r>
                    <w:rPr>
                      <w:rFonts w:hint="eastAsia"/>
                      <w:sz w:val="18"/>
                      <w:szCs w:val="18"/>
                    </w:rPr>
                    <w:t>小荷才露尖尖角，拿稳别动——</w:t>
                  </w:r>
                  <w:r>
                    <w:rPr>
                      <w:rFonts w:hint="eastAsia"/>
                      <w:sz w:val="18"/>
                      <w:szCs w:val="18"/>
                    </w:rPr>
                    <w:t>2014</w:t>
                  </w:r>
                  <w:r>
                    <w:rPr>
                      <w:rFonts w:hint="eastAsia"/>
                      <w:sz w:val="18"/>
                      <w:szCs w:val="18"/>
                    </w:rPr>
                    <w:t>年</w:t>
                  </w:r>
                  <w:r>
                    <w:rPr>
                      <w:rFonts w:hint="eastAsia"/>
                      <w:sz w:val="18"/>
                      <w:szCs w:val="18"/>
                    </w:rPr>
                    <w:t>8</w:t>
                  </w:r>
                  <w:r>
                    <w:rPr>
                      <w:rFonts w:hint="eastAsia"/>
                      <w:sz w:val="18"/>
                      <w:szCs w:val="18"/>
                    </w:rPr>
                    <w:t>月阳光私募基金月报</w:t>
                  </w:r>
                </w:p>
                <w:p w:rsidR="00755D53" w:rsidRDefault="00755D53"/>
              </w:txbxContent>
            </v:textbox>
          </v:rect>
        </w:pict>
      </w:r>
      <w:r w:rsidR="00763426">
        <w:rPr>
          <w:rFonts w:hint="eastAsia"/>
          <w:b/>
          <w:sz w:val="28"/>
          <w:szCs w:val="28"/>
        </w:rPr>
        <w:t>牛市节奏放缓，市场中性策略绝地反击</w:t>
      </w:r>
    </w:p>
    <w:p w:rsidR="00755D53" w:rsidRDefault="00763426" w:rsidP="00AF2341">
      <w:pPr>
        <w:spacing w:beforeLines="50" w:afterLines="50" w:line="360" w:lineRule="auto"/>
        <w:ind w:left="1260" w:firstLine="420"/>
        <w:rPr>
          <w:szCs w:val="21"/>
        </w:rPr>
      </w:pPr>
      <w:r>
        <w:rPr>
          <w:szCs w:val="21"/>
        </w:rPr>
        <w:t>——</w:t>
      </w:r>
      <w:r>
        <w:rPr>
          <w:rFonts w:hint="eastAsia"/>
          <w:szCs w:val="21"/>
        </w:rPr>
        <w:t>2015</w:t>
      </w:r>
      <w:r>
        <w:rPr>
          <w:rFonts w:hint="eastAsia"/>
          <w:szCs w:val="21"/>
        </w:rPr>
        <w:t>年</w:t>
      </w:r>
      <w:r>
        <w:rPr>
          <w:rFonts w:hint="eastAsia"/>
          <w:szCs w:val="21"/>
        </w:rPr>
        <w:t>1</w:t>
      </w:r>
      <w:r>
        <w:rPr>
          <w:rFonts w:hint="eastAsia"/>
          <w:szCs w:val="21"/>
        </w:rPr>
        <w:t>月阳光私募基金月报</w:t>
      </w:r>
    </w:p>
    <w:p w:rsidR="00755D53" w:rsidRDefault="00755D53" w:rsidP="00AF2341">
      <w:pPr>
        <w:spacing w:beforeLines="50" w:afterLines="50" w:line="360" w:lineRule="auto"/>
        <w:rPr>
          <w:sz w:val="24"/>
        </w:rPr>
      </w:pPr>
    </w:p>
    <w:p w:rsidR="00755D53" w:rsidRDefault="00763426" w:rsidP="00AF2341">
      <w:pPr>
        <w:numPr>
          <w:ilvl w:val="0"/>
          <w:numId w:val="1"/>
        </w:numPr>
        <w:spacing w:beforeLines="50" w:afterLines="50" w:line="360" w:lineRule="auto"/>
        <w:ind w:rightChars="1686" w:right="3541"/>
        <w:rPr>
          <w:szCs w:val="18"/>
        </w:rPr>
      </w:pPr>
      <w:r>
        <w:rPr>
          <w:rFonts w:hint="eastAsia"/>
          <w:szCs w:val="18"/>
        </w:rPr>
        <w:t>1</w:t>
      </w:r>
      <w:r>
        <w:rPr>
          <w:rFonts w:hint="eastAsia"/>
          <w:szCs w:val="18"/>
        </w:rPr>
        <w:t>月由于多项政策“黑天鹅”降临，大盘大幅震荡，并在最后一周迅速下跌，回吐此前全部涨幅。创业板和中小板由于几乎未受政策影响，继续保持上涨态势，其中</w:t>
      </w:r>
      <w:r>
        <w:rPr>
          <w:rFonts w:hint="eastAsia"/>
          <w:szCs w:val="18"/>
        </w:rPr>
        <w:t>创业板还创出历史新高。在这一市场格局下，计算机和传媒等创业板权重行业领涨，此前表现抢眼的非银金融、银行和建筑下跌较多。</w:t>
      </w:r>
    </w:p>
    <w:p w:rsidR="00755D53" w:rsidRDefault="00763426" w:rsidP="00AF2341">
      <w:pPr>
        <w:numPr>
          <w:ilvl w:val="0"/>
          <w:numId w:val="1"/>
        </w:numPr>
        <w:spacing w:beforeLines="50" w:afterLines="50" w:line="360" w:lineRule="auto"/>
        <w:ind w:rightChars="1686" w:right="3541"/>
        <w:rPr>
          <w:szCs w:val="18"/>
        </w:rPr>
      </w:pPr>
      <w:r>
        <w:rPr>
          <w:rFonts w:hint="eastAsia"/>
          <w:b/>
          <w:szCs w:val="18"/>
        </w:rPr>
        <w:t>股票型私募：</w:t>
      </w:r>
      <w:r>
        <w:rPr>
          <w:rFonts w:hint="eastAsia"/>
          <w:szCs w:val="21"/>
        </w:rPr>
        <w:t>在</w:t>
      </w:r>
      <w:r>
        <w:rPr>
          <w:rFonts w:hint="eastAsia"/>
          <w:szCs w:val="21"/>
        </w:rPr>
        <w:t>大小盘</w:t>
      </w:r>
      <w:r>
        <w:rPr>
          <w:rFonts w:hint="eastAsia"/>
          <w:szCs w:val="21"/>
        </w:rPr>
        <w:t>风格</w:t>
      </w:r>
      <w:r>
        <w:rPr>
          <w:rFonts w:hint="eastAsia"/>
          <w:szCs w:val="21"/>
        </w:rPr>
        <w:t>再度切换的情况</w:t>
      </w:r>
      <w:r>
        <w:rPr>
          <w:rFonts w:hint="eastAsia"/>
          <w:szCs w:val="21"/>
        </w:rPr>
        <w:t>下，</w:t>
      </w:r>
      <w:r>
        <w:rPr>
          <w:rFonts w:hint="eastAsia"/>
          <w:szCs w:val="18"/>
        </w:rPr>
        <w:t>去年</w:t>
      </w:r>
      <w:r>
        <w:rPr>
          <w:rFonts w:hint="eastAsia"/>
          <w:szCs w:val="18"/>
        </w:rPr>
        <w:t>12</w:t>
      </w:r>
      <w:r>
        <w:rPr>
          <w:rFonts w:hint="eastAsia"/>
          <w:szCs w:val="18"/>
        </w:rPr>
        <w:t>月份有不错表现的价值派私募</w:t>
      </w:r>
      <w:r>
        <w:rPr>
          <w:rFonts w:hint="eastAsia"/>
          <w:szCs w:val="18"/>
        </w:rPr>
        <w:t>有所亏损</w:t>
      </w:r>
      <w:r>
        <w:rPr>
          <w:rFonts w:hint="eastAsia"/>
          <w:szCs w:val="18"/>
        </w:rPr>
        <w:t>，例如信璞和中国龙旗下个别基金近一月跌幅超</w:t>
      </w:r>
      <w:r>
        <w:rPr>
          <w:rFonts w:hint="eastAsia"/>
          <w:szCs w:val="18"/>
        </w:rPr>
        <w:t>10%</w:t>
      </w:r>
      <w:r>
        <w:rPr>
          <w:rFonts w:hint="eastAsia"/>
          <w:szCs w:val="18"/>
        </w:rPr>
        <w:t>。而</w:t>
      </w:r>
      <w:r>
        <w:rPr>
          <w:rFonts w:hint="eastAsia"/>
          <w:b/>
          <w:bCs/>
          <w:szCs w:val="18"/>
        </w:rPr>
        <w:t>操作灵活、重仓中小盘成长股的私募基金在</w:t>
      </w:r>
      <w:r>
        <w:rPr>
          <w:rFonts w:hint="eastAsia"/>
          <w:b/>
          <w:bCs/>
          <w:szCs w:val="18"/>
        </w:rPr>
        <w:t>1</w:t>
      </w:r>
      <w:r>
        <w:rPr>
          <w:rFonts w:hint="eastAsia"/>
          <w:b/>
          <w:bCs/>
          <w:szCs w:val="18"/>
        </w:rPr>
        <w:t>月有不错收获</w:t>
      </w:r>
      <w:r>
        <w:rPr>
          <w:rFonts w:hint="eastAsia"/>
          <w:szCs w:val="18"/>
        </w:rPr>
        <w:t>。和公募基金类似，私募基金整体上来看仍然偏向于成长股以及中小盘板块，因此</w:t>
      </w:r>
      <w:r>
        <w:rPr>
          <w:rFonts w:hint="eastAsia"/>
          <w:b/>
          <w:bCs/>
          <w:szCs w:val="18"/>
        </w:rPr>
        <w:t>股票型策略平均仍保持了不错的上涨态势</w:t>
      </w:r>
      <w:r>
        <w:rPr>
          <w:rFonts w:hint="eastAsia"/>
          <w:szCs w:val="18"/>
        </w:rPr>
        <w:t>。</w:t>
      </w:r>
    </w:p>
    <w:p w:rsidR="00755D53" w:rsidRDefault="00763426" w:rsidP="00AF2341">
      <w:pPr>
        <w:numPr>
          <w:ilvl w:val="0"/>
          <w:numId w:val="1"/>
        </w:numPr>
        <w:spacing w:beforeLines="50" w:afterLines="50" w:line="360" w:lineRule="auto"/>
        <w:ind w:rightChars="1686" w:right="3541"/>
      </w:pPr>
      <w:r>
        <w:rPr>
          <w:rFonts w:hint="eastAsia"/>
          <w:b/>
          <w:szCs w:val="18"/>
        </w:rPr>
        <w:t>市场中性型私募：</w:t>
      </w:r>
      <w:r>
        <w:rPr>
          <w:rFonts w:hint="eastAsia"/>
          <w:b/>
          <w:bCs/>
          <w:szCs w:val="21"/>
        </w:rPr>
        <w:t>2015</w:t>
      </w:r>
      <w:r>
        <w:rPr>
          <w:rFonts w:hint="eastAsia"/>
          <w:b/>
          <w:bCs/>
          <w:szCs w:val="21"/>
        </w:rPr>
        <w:t>年开年首月可谓市场中性策略绝地反击的一月，策略平均涨幅约为</w:t>
      </w:r>
      <w:r>
        <w:rPr>
          <w:rFonts w:hint="eastAsia"/>
          <w:b/>
          <w:bCs/>
          <w:szCs w:val="21"/>
        </w:rPr>
        <w:t>3%</w:t>
      </w:r>
      <w:r>
        <w:rPr>
          <w:rFonts w:hint="eastAsia"/>
          <w:b/>
          <w:bCs/>
          <w:szCs w:val="21"/>
        </w:rPr>
        <w:t>。</w:t>
      </w:r>
      <w:r>
        <w:rPr>
          <w:rFonts w:hint="eastAsia"/>
          <w:szCs w:val="21"/>
        </w:rPr>
        <w:t>然而，由于去年</w:t>
      </w:r>
      <w:r>
        <w:rPr>
          <w:rFonts w:hint="eastAsia"/>
          <w:szCs w:val="21"/>
        </w:rPr>
        <w:t>12</w:t>
      </w:r>
      <w:r>
        <w:rPr>
          <w:rFonts w:hint="eastAsia"/>
          <w:szCs w:val="21"/>
        </w:rPr>
        <w:t>月份大盘股暴涨对于这类产品造成了较大冲击，很多市场中性基金虽然在一月份有不错的表现，净值也只是刚回到面值。此外，个别成立较晚并在</w:t>
      </w:r>
      <w:r>
        <w:rPr>
          <w:rFonts w:hint="eastAsia"/>
          <w:szCs w:val="21"/>
        </w:rPr>
        <w:t>12</w:t>
      </w:r>
      <w:r>
        <w:rPr>
          <w:rFonts w:hint="eastAsia"/>
          <w:szCs w:val="21"/>
        </w:rPr>
        <w:t>月遭受重创的对冲基金目前的净值仍停留在面值以下。分析</w:t>
      </w:r>
      <w:r>
        <w:rPr>
          <w:rFonts w:hint="eastAsia"/>
          <w:szCs w:val="21"/>
        </w:rPr>
        <w:t>1</w:t>
      </w:r>
      <w:r>
        <w:rPr>
          <w:rFonts w:hint="eastAsia"/>
          <w:szCs w:val="21"/>
        </w:rPr>
        <w:t>月份</w:t>
      </w:r>
      <w:r>
        <w:rPr>
          <w:rFonts w:hint="eastAsia"/>
          <w:szCs w:val="21"/>
        </w:rPr>
        <w:t>市场中性策略的表现，市值因子的贡献估计仍是主要因素。大盘股暴跌，小盘股超涨，市场风格呈现再次切换之势。此外，</w:t>
      </w:r>
      <w:r>
        <w:rPr>
          <w:rFonts w:hint="eastAsia"/>
          <w:b/>
          <w:bCs/>
          <w:szCs w:val="21"/>
        </w:rPr>
        <w:t>基差的变动也给对冲基金贡献不少</w:t>
      </w:r>
      <w:r>
        <w:rPr>
          <w:rFonts w:hint="eastAsia"/>
          <w:szCs w:val="21"/>
        </w:rPr>
        <w:t>。</w:t>
      </w:r>
    </w:p>
    <w:p w:rsidR="00755D53" w:rsidRDefault="00755D53" w:rsidP="00AF2341">
      <w:pPr>
        <w:spacing w:beforeLines="50" w:afterLines="50" w:line="360" w:lineRule="auto"/>
        <w:ind w:rightChars="1686" w:right="3541"/>
      </w:pPr>
    </w:p>
    <w:p w:rsidR="00755D53" w:rsidRDefault="00763426" w:rsidP="00AF2341">
      <w:pPr>
        <w:numPr>
          <w:ilvl w:val="0"/>
          <w:numId w:val="2"/>
        </w:numPr>
        <w:spacing w:beforeLines="50" w:afterLines="50" w:line="360" w:lineRule="auto"/>
        <w:rPr>
          <w:b/>
          <w:bCs/>
          <w:color w:val="FF0000"/>
          <w:sz w:val="24"/>
        </w:rPr>
      </w:pPr>
      <w:r>
        <w:rPr>
          <w:b/>
          <w:color w:val="D80012"/>
          <w:sz w:val="24"/>
        </w:rPr>
        <w:br w:type="page"/>
      </w:r>
      <w:r>
        <w:rPr>
          <w:rFonts w:hint="eastAsia"/>
          <w:b/>
          <w:color w:val="D80012"/>
          <w:sz w:val="24"/>
        </w:rPr>
        <w:lastRenderedPageBreak/>
        <w:t>牛市节奏放缓，大盘陷入调整</w:t>
      </w:r>
    </w:p>
    <w:p w:rsidR="00755D53" w:rsidRDefault="00763426">
      <w:pPr>
        <w:widowControl/>
        <w:spacing w:before="156" w:after="156" w:line="360" w:lineRule="auto"/>
        <w:ind w:firstLine="420"/>
        <w:rPr>
          <w:szCs w:val="18"/>
        </w:rPr>
      </w:pPr>
      <w:r>
        <w:rPr>
          <w:rFonts w:hint="eastAsia"/>
          <w:szCs w:val="18"/>
        </w:rPr>
        <w:t>1</w:t>
      </w:r>
      <w:r>
        <w:rPr>
          <w:rFonts w:hint="eastAsia"/>
          <w:szCs w:val="18"/>
        </w:rPr>
        <w:t>月由于多项政策“黑天鹅”降临，大盘大幅震荡，并在最后一周迅速下跌，回吐此前全部涨幅，至月末达到</w:t>
      </w:r>
      <w:r>
        <w:rPr>
          <w:rFonts w:hint="eastAsia"/>
          <w:szCs w:val="18"/>
        </w:rPr>
        <w:t>3210.36</w:t>
      </w:r>
      <w:r>
        <w:rPr>
          <w:rFonts w:hint="eastAsia"/>
          <w:szCs w:val="18"/>
        </w:rPr>
        <w:t>点，全月下跌</w:t>
      </w:r>
      <w:r>
        <w:rPr>
          <w:rFonts w:hint="eastAsia"/>
          <w:szCs w:val="18"/>
        </w:rPr>
        <w:t>0.75%</w:t>
      </w:r>
      <w:r>
        <w:rPr>
          <w:rFonts w:hint="eastAsia"/>
          <w:szCs w:val="18"/>
        </w:rPr>
        <w:t>。创业板和中小板由于几乎未受政策影响，继续保持上涨态势，其中创业板还创出历史新高。在这一市场格局下，计算机和传媒等创业板权重行业领涨，此前表现抢眼的非银金融、银行和建筑下跌较多。由于此前大盘涨势过于迅猛，大多数基金尚未调仓完毕，重心仍在中小盘个股之中，故此类基金大幅跑赢指数型基金。</w:t>
      </w:r>
    </w:p>
    <w:tbl>
      <w:tblPr>
        <w:tblW w:w="7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1"/>
      </w:tblGrid>
      <w:tr w:rsidR="00755D53">
        <w:trPr>
          <w:trHeight w:val="284"/>
        </w:trPr>
        <w:tc>
          <w:tcPr>
            <w:tcW w:w="7191" w:type="dxa"/>
            <w:tcBorders>
              <w:top w:val="nil"/>
              <w:left w:val="nil"/>
              <w:bottom w:val="nil"/>
              <w:right w:val="nil"/>
              <w:tl2br w:val="nil"/>
              <w:tr2bl w:val="nil"/>
            </w:tcBorders>
            <w:shd w:val="clear" w:color="auto" w:fill="C0C0C0"/>
            <w:vAlign w:val="center"/>
          </w:tcPr>
          <w:p w:rsidR="00755D53" w:rsidRDefault="00763426">
            <w:pPr>
              <w:rPr>
                <w:b/>
                <w:bCs/>
                <w:szCs w:val="21"/>
              </w:rPr>
            </w:pPr>
            <w:r>
              <w:rPr>
                <w:b/>
                <w:bCs/>
                <w:szCs w:val="21"/>
              </w:rPr>
              <w:t>行业涨跌情况</w:t>
            </w:r>
          </w:p>
        </w:tc>
      </w:tr>
    </w:tbl>
    <w:p w:rsidR="00755D53" w:rsidRDefault="00755D53">
      <w:pPr>
        <w:rPr>
          <w:sz w:val="18"/>
          <w:szCs w:val="18"/>
        </w:rPr>
      </w:pPr>
      <w:r>
        <w:pict>
          <v:shape id="图片 6" o:spid="_x0000_i1025" type="#_x0000_t75" style="width:355pt;height:232.3pt">
            <v:imagedata r:id="rId9" o:title=""/>
          </v:shape>
        </w:pict>
      </w:r>
    </w:p>
    <w:p w:rsidR="00755D53" w:rsidRDefault="00763426">
      <w:pPr>
        <w:rPr>
          <w:sz w:val="18"/>
          <w:szCs w:val="18"/>
        </w:rPr>
      </w:pPr>
      <w:r>
        <w:rPr>
          <w:sz w:val="18"/>
          <w:szCs w:val="18"/>
        </w:rPr>
        <w:t>数据来源：好买基金研究中心</w:t>
      </w:r>
      <w:r>
        <w:rPr>
          <w:rFonts w:hint="eastAsia"/>
          <w:sz w:val="18"/>
          <w:szCs w:val="18"/>
        </w:rPr>
        <w:t>，</w:t>
      </w:r>
      <w:r>
        <w:rPr>
          <w:sz w:val="18"/>
          <w:szCs w:val="18"/>
        </w:rPr>
        <w:t>截至</w:t>
      </w:r>
      <w:r>
        <w:rPr>
          <w:sz w:val="18"/>
          <w:szCs w:val="18"/>
        </w:rPr>
        <w:t>2015</w:t>
      </w:r>
      <w:r>
        <w:rPr>
          <w:sz w:val="18"/>
          <w:szCs w:val="18"/>
        </w:rPr>
        <w:t>年</w:t>
      </w:r>
      <w:r>
        <w:rPr>
          <w:sz w:val="18"/>
          <w:szCs w:val="18"/>
        </w:rPr>
        <w:t>1</w:t>
      </w:r>
      <w:r>
        <w:rPr>
          <w:sz w:val="18"/>
          <w:szCs w:val="18"/>
        </w:rPr>
        <w:t>月</w:t>
      </w:r>
      <w:r>
        <w:rPr>
          <w:sz w:val="18"/>
          <w:szCs w:val="18"/>
        </w:rPr>
        <w:t>3</w:t>
      </w:r>
      <w:r>
        <w:rPr>
          <w:rFonts w:hint="eastAsia"/>
          <w:sz w:val="18"/>
          <w:szCs w:val="18"/>
        </w:rPr>
        <w:t>1</w:t>
      </w:r>
      <w:r>
        <w:rPr>
          <w:sz w:val="18"/>
          <w:szCs w:val="18"/>
        </w:rPr>
        <w:t>日</w:t>
      </w:r>
    </w:p>
    <w:p w:rsidR="00755D53" w:rsidRDefault="00755D53">
      <w:pPr>
        <w:widowControl/>
        <w:spacing w:before="156" w:after="156" w:line="360" w:lineRule="auto"/>
        <w:ind w:firstLine="420"/>
        <w:rPr>
          <w:kern w:val="0"/>
          <w:sz w:val="18"/>
          <w:szCs w:val="18"/>
        </w:rPr>
      </w:pPr>
    </w:p>
    <w:p w:rsidR="00755D53" w:rsidRDefault="00763426" w:rsidP="00AF2341">
      <w:pPr>
        <w:numPr>
          <w:ilvl w:val="0"/>
          <w:numId w:val="2"/>
        </w:numPr>
        <w:spacing w:beforeLines="50" w:afterLines="50" w:line="360" w:lineRule="auto"/>
        <w:rPr>
          <w:b/>
          <w:color w:val="D80012"/>
          <w:sz w:val="24"/>
        </w:rPr>
      </w:pPr>
      <w:r>
        <w:rPr>
          <w:rFonts w:hint="eastAsia"/>
          <w:b/>
          <w:color w:val="D80012"/>
          <w:sz w:val="24"/>
        </w:rPr>
        <w:t>对冲基金</w:t>
      </w:r>
      <w:r>
        <w:rPr>
          <w:rFonts w:hint="eastAsia"/>
          <w:b/>
          <w:color w:val="D80012"/>
          <w:sz w:val="24"/>
        </w:rPr>
        <w:t>逆袭，</w:t>
      </w:r>
      <w:r>
        <w:rPr>
          <w:rFonts w:hint="eastAsia"/>
          <w:b/>
          <w:color w:val="D80012"/>
          <w:sz w:val="24"/>
        </w:rPr>
        <w:t>期货私募表现平淡</w:t>
      </w:r>
      <w:bookmarkStart w:id="0" w:name="_GoBack"/>
      <w:bookmarkEnd w:id="0"/>
    </w:p>
    <w:p w:rsidR="00755D53" w:rsidRDefault="00763426" w:rsidP="00AF2341">
      <w:pPr>
        <w:spacing w:beforeLines="50" w:afterLines="50" w:line="360" w:lineRule="auto"/>
        <w:ind w:firstLineChars="200" w:firstLine="420"/>
        <w:rPr>
          <w:szCs w:val="21"/>
        </w:rPr>
      </w:pPr>
      <w:r>
        <w:rPr>
          <w:rFonts w:hint="eastAsia"/>
          <w:szCs w:val="21"/>
        </w:rPr>
        <w:t>2015</w:t>
      </w:r>
      <w:r>
        <w:rPr>
          <w:rFonts w:hint="eastAsia"/>
          <w:szCs w:val="21"/>
        </w:rPr>
        <w:t>年</w:t>
      </w:r>
      <w:r>
        <w:rPr>
          <w:rFonts w:hint="eastAsia"/>
          <w:szCs w:val="21"/>
        </w:rPr>
        <w:t>1</w:t>
      </w:r>
      <w:r>
        <w:rPr>
          <w:rFonts w:hint="eastAsia"/>
          <w:szCs w:val="21"/>
        </w:rPr>
        <w:t>月大盘开始转冷，结束了连续</w:t>
      </w:r>
      <w:r>
        <w:rPr>
          <w:rFonts w:hint="eastAsia"/>
          <w:szCs w:val="21"/>
        </w:rPr>
        <w:t>8</w:t>
      </w:r>
      <w:r>
        <w:rPr>
          <w:rFonts w:hint="eastAsia"/>
          <w:szCs w:val="21"/>
        </w:rPr>
        <w:t>个月的上涨，当月上证综指下跌</w:t>
      </w:r>
      <w:r>
        <w:rPr>
          <w:rFonts w:hint="eastAsia"/>
          <w:szCs w:val="21"/>
        </w:rPr>
        <w:t>0.75%</w:t>
      </w:r>
      <w:r>
        <w:rPr>
          <w:rFonts w:hint="eastAsia"/>
          <w:szCs w:val="21"/>
        </w:rPr>
        <w:t>，沪深</w:t>
      </w:r>
      <w:r>
        <w:rPr>
          <w:rFonts w:hint="eastAsia"/>
          <w:szCs w:val="21"/>
        </w:rPr>
        <w:t>300</w:t>
      </w:r>
      <w:r>
        <w:rPr>
          <w:rFonts w:hint="eastAsia"/>
          <w:szCs w:val="21"/>
        </w:rPr>
        <w:t>下跌</w:t>
      </w:r>
      <w:r>
        <w:rPr>
          <w:rFonts w:hint="eastAsia"/>
          <w:szCs w:val="21"/>
        </w:rPr>
        <w:t>2.81%</w:t>
      </w:r>
      <w:r>
        <w:rPr>
          <w:rFonts w:hint="eastAsia"/>
          <w:szCs w:val="21"/>
        </w:rPr>
        <w:t>，然而中小板和创业板却有不俗的表现，</w:t>
      </w:r>
      <w:r>
        <w:rPr>
          <w:rFonts w:hint="eastAsia"/>
          <w:szCs w:val="21"/>
        </w:rPr>
        <w:t>1</w:t>
      </w:r>
      <w:r>
        <w:rPr>
          <w:rFonts w:hint="eastAsia"/>
          <w:szCs w:val="21"/>
        </w:rPr>
        <w:t>月份分别上涨</w:t>
      </w:r>
      <w:r>
        <w:rPr>
          <w:rFonts w:hint="eastAsia"/>
          <w:szCs w:val="21"/>
        </w:rPr>
        <w:t>10.72%</w:t>
      </w:r>
      <w:r>
        <w:rPr>
          <w:rFonts w:hint="eastAsia"/>
          <w:szCs w:val="21"/>
        </w:rPr>
        <w:t>和</w:t>
      </w:r>
      <w:r>
        <w:rPr>
          <w:rFonts w:hint="eastAsia"/>
          <w:szCs w:val="21"/>
        </w:rPr>
        <w:t>14.19%</w:t>
      </w:r>
      <w:r>
        <w:rPr>
          <w:rFonts w:hint="eastAsia"/>
          <w:szCs w:val="21"/>
        </w:rPr>
        <w:t>。受此影响，普通股票型私募平均收益相比上个月低了</w:t>
      </w:r>
      <w:r>
        <w:rPr>
          <w:rFonts w:hint="eastAsia"/>
          <w:szCs w:val="21"/>
        </w:rPr>
        <w:t>0.62%</w:t>
      </w:r>
      <w:r>
        <w:rPr>
          <w:rFonts w:hint="eastAsia"/>
          <w:szCs w:val="21"/>
        </w:rPr>
        <w:t>，为</w:t>
      </w:r>
      <w:r>
        <w:rPr>
          <w:rFonts w:hint="eastAsia"/>
          <w:szCs w:val="21"/>
        </w:rPr>
        <w:t>2.68%</w:t>
      </w:r>
      <w:r>
        <w:rPr>
          <w:rFonts w:hint="eastAsia"/>
          <w:szCs w:val="21"/>
        </w:rPr>
        <w:t>，正收益主要来自于中小盘股票；市场中性型和多空仓型私募在市场整体走弱的行情下开始出现反弹，</w:t>
      </w:r>
      <w:r>
        <w:rPr>
          <w:rFonts w:hint="eastAsia"/>
          <w:szCs w:val="21"/>
        </w:rPr>
        <w:t>1</w:t>
      </w:r>
      <w:r>
        <w:rPr>
          <w:rFonts w:hint="eastAsia"/>
          <w:szCs w:val="21"/>
        </w:rPr>
        <w:t>月份分别取得了</w:t>
      </w:r>
      <w:r>
        <w:rPr>
          <w:rFonts w:hint="eastAsia"/>
          <w:szCs w:val="21"/>
        </w:rPr>
        <w:t>3.12%</w:t>
      </w:r>
      <w:r>
        <w:rPr>
          <w:rFonts w:hint="eastAsia"/>
          <w:szCs w:val="21"/>
        </w:rPr>
        <w:t>和</w:t>
      </w:r>
      <w:r>
        <w:rPr>
          <w:rFonts w:hint="eastAsia"/>
          <w:szCs w:val="21"/>
        </w:rPr>
        <w:t>4.63%</w:t>
      </w:r>
      <w:r>
        <w:rPr>
          <w:rFonts w:hint="eastAsia"/>
          <w:szCs w:val="21"/>
        </w:rPr>
        <w:t>的收益，相比上月分别增加</w:t>
      </w:r>
      <w:r>
        <w:rPr>
          <w:rFonts w:hint="eastAsia"/>
          <w:szCs w:val="21"/>
        </w:rPr>
        <w:t>8.58%</w:t>
      </w:r>
      <w:r>
        <w:rPr>
          <w:rFonts w:hint="eastAsia"/>
          <w:szCs w:val="21"/>
        </w:rPr>
        <w:t>和</w:t>
      </w:r>
      <w:r>
        <w:rPr>
          <w:rFonts w:hint="eastAsia"/>
          <w:szCs w:val="21"/>
        </w:rPr>
        <w:t>5.04%</w:t>
      </w:r>
      <w:r>
        <w:rPr>
          <w:rFonts w:hint="eastAsia"/>
          <w:szCs w:val="21"/>
        </w:rPr>
        <w:t>，主要原因是这两类私募在股指期货部位都保有空头头寸，市场走弱时对收益</w:t>
      </w:r>
      <w:r>
        <w:rPr>
          <w:rFonts w:hint="eastAsia"/>
          <w:szCs w:val="21"/>
        </w:rPr>
        <w:t>率产生正贡献；定增市场依然保持火热，但热度开始减弱，</w:t>
      </w:r>
      <w:r>
        <w:rPr>
          <w:rFonts w:hint="eastAsia"/>
          <w:szCs w:val="21"/>
        </w:rPr>
        <w:t>2015</w:t>
      </w:r>
      <w:r>
        <w:rPr>
          <w:rFonts w:hint="eastAsia"/>
          <w:szCs w:val="21"/>
        </w:rPr>
        <w:t>年</w:t>
      </w:r>
      <w:r>
        <w:rPr>
          <w:rFonts w:hint="eastAsia"/>
          <w:szCs w:val="21"/>
        </w:rPr>
        <w:t>1</w:t>
      </w:r>
      <w:r>
        <w:rPr>
          <w:rFonts w:hint="eastAsia"/>
          <w:szCs w:val="21"/>
        </w:rPr>
        <w:t>月份定增型私募平均收益为</w:t>
      </w:r>
      <w:r>
        <w:rPr>
          <w:rFonts w:hint="eastAsia"/>
          <w:szCs w:val="21"/>
        </w:rPr>
        <w:t>3.57%</w:t>
      </w:r>
      <w:r>
        <w:rPr>
          <w:rFonts w:hint="eastAsia"/>
          <w:szCs w:val="21"/>
        </w:rPr>
        <w:t>，较上月低了</w:t>
      </w:r>
      <w:r>
        <w:rPr>
          <w:rFonts w:hint="eastAsia"/>
          <w:szCs w:val="21"/>
        </w:rPr>
        <w:t>2.63%</w:t>
      </w:r>
      <w:r>
        <w:rPr>
          <w:rFonts w:hint="eastAsia"/>
          <w:szCs w:val="21"/>
        </w:rPr>
        <w:t>。</w:t>
      </w:r>
    </w:p>
    <w:p w:rsidR="00755D53" w:rsidRDefault="00763426" w:rsidP="00AF2341">
      <w:pPr>
        <w:spacing w:beforeLines="50" w:afterLines="50" w:line="360" w:lineRule="auto"/>
        <w:ind w:firstLineChars="200" w:firstLine="420"/>
        <w:rPr>
          <w:szCs w:val="21"/>
        </w:rPr>
      </w:pPr>
      <w:r>
        <w:rPr>
          <w:rFonts w:hint="eastAsia"/>
          <w:szCs w:val="21"/>
        </w:rPr>
        <w:t>今年以来原油价格走势依然牵动整个大宗商品市场的神经。石油工人罢工使得原油期价在</w:t>
      </w:r>
      <w:r>
        <w:rPr>
          <w:rFonts w:hint="eastAsia"/>
          <w:szCs w:val="21"/>
        </w:rPr>
        <w:t>1</w:t>
      </w:r>
      <w:r>
        <w:rPr>
          <w:rFonts w:hint="eastAsia"/>
          <w:szCs w:val="21"/>
        </w:rPr>
        <w:t>月末暴涨，而美国原油库存增长超预期带来的暴跌又使多头的努力付之一炬。多空交织的原油市场也影响着国内期市。以</w:t>
      </w:r>
      <w:r>
        <w:rPr>
          <w:rFonts w:hint="eastAsia"/>
          <w:szCs w:val="21"/>
        </w:rPr>
        <w:t>PTA</w:t>
      </w:r>
      <w:r>
        <w:rPr>
          <w:rFonts w:hint="eastAsia"/>
          <w:szCs w:val="21"/>
        </w:rPr>
        <w:t>、</w:t>
      </w:r>
      <w:r>
        <w:rPr>
          <w:rFonts w:hint="eastAsia"/>
          <w:szCs w:val="21"/>
        </w:rPr>
        <w:lastRenderedPageBreak/>
        <w:t>塑料、甲醇为代表的下游品种不再延续此前流畅的下跌趋势，在今年以来进入底部盘整的态势。黑色产业链、有色及贵金属板块在</w:t>
      </w:r>
      <w:r>
        <w:rPr>
          <w:rFonts w:hint="eastAsia"/>
          <w:szCs w:val="21"/>
        </w:rPr>
        <w:t>2015</w:t>
      </w:r>
      <w:r>
        <w:rPr>
          <w:rFonts w:hint="eastAsia"/>
          <w:szCs w:val="21"/>
        </w:rPr>
        <w:t>年初至今或反复筑底，或冲高回落，整个商品市场波动性呈下降态势。而金融期货</w:t>
      </w:r>
      <w:r>
        <w:rPr>
          <w:rFonts w:hint="eastAsia"/>
          <w:szCs w:val="21"/>
        </w:rPr>
        <w:t>市场也不容乐观，曾经为期货私募带来巨大收益的股指在</w:t>
      </w:r>
      <w:r>
        <w:rPr>
          <w:rFonts w:hint="eastAsia"/>
          <w:szCs w:val="21"/>
        </w:rPr>
        <w:t>2015</w:t>
      </w:r>
      <w:r>
        <w:rPr>
          <w:rFonts w:hint="eastAsia"/>
          <w:szCs w:val="21"/>
        </w:rPr>
        <w:t>年以来也进入震荡行情。期市整体波动性的下降给期货私募的操作增加了难度。受此影响，管理期货型私募在</w:t>
      </w:r>
      <w:r>
        <w:rPr>
          <w:rFonts w:hint="eastAsia"/>
          <w:szCs w:val="21"/>
        </w:rPr>
        <w:t>1</w:t>
      </w:r>
      <w:r>
        <w:rPr>
          <w:rFonts w:hint="eastAsia"/>
          <w:szCs w:val="21"/>
        </w:rPr>
        <w:t>月份的平均收益为</w:t>
      </w:r>
      <w:r>
        <w:rPr>
          <w:rFonts w:hint="eastAsia"/>
          <w:szCs w:val="21"/>
        </w:rPr>
        <w:t>0.24%</w:t>
      </w:r>
      <w:r>
        <w:rPr>
          <w:rFonts w:hint="eastAsia"/>
          <w:szCs w:val="21"/>
        </w:rPr>
        <w:t>，相较上月大幅减少</w:t>
      </w:r>
      <w:r>
        <w:rPr>
          <w:rFonts w:hint="eastAsia"/>
          <w:szCs w:val="21"/>
        </w:rPr>
        <w:t>3.94%</w:t>
      </w:r>
      <w:r>
        <w:rPr>
          <w:rFonts w:hint="eastAsia"/>
          <w:szCs w:val="21"/>
        </w:rPr>
        <w:t>；宏观策略型私募在</w:t>
      </w:r>
      <w:r>
        <w:rPr>
          <w:rFonts w:hint="eastAsia"/>
          <w:szCs w:val="21"/>
        </w:rPr>
        <w:t>1</w:t>
      </w:r>
      <w:r>
        <w:rPr>
          <w:rFonts w:hint="eastAsia"/>
          <w:szCs w:val="21"/>
        </w:rPr>
        <w:t>月份的平均收益为</w:t>
      </w:r>
      <w:r>
        <w:rPr>
          <w:rFonts w:hint="eastAsia"/>
          <w:szCs w:val="21"/>
        </w:rPr>
        <w:t>0.94%</w:t>
      </w:r>
      <w:r>
        <w:rPr>
          <w:rFonts w:hint="eastAsia"/>
          <w:szCs w:val="21"/>
        </w:rPr>
        <w:t>，较上月减少</w:t>
      </w:r>
      <w:r>
        <w:rPr>
          <w:rFonts w:hint="eastAsia"/>
          <w:szCs w:val="21"/>
        </w:rPr>
        <w:t>5.68%</w:t>
      </w:r>
      <w:r>
        <w:rPr>
          <w:rFonts w:hint="eastAsia"/>
          <w:szCs w:val="21"/>
        </w:rPr>
        <w:t>。</w:t>
      </w:r>
    </w:p>
    <w:tbl>
      <w:tblPr>
        <w:tblW w:w="7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1"/>
      </w:tblGrid>
      <w:tr w:rsidR="00755D53">
        <w:trPr>
          <w:trHeight w:val="284"/>
        </w:trPr>
        <w:tc>
          <w:tcPr>
            <w:tcW w:w="7191" w:type="dxa"/>
            <w:tcBorders>
              <w:top w:val="nil"/>
              <w:left w:val="nil"/>
              <w:bottom w:val="nil"/>
              <w:right w:val="nil"/>
            </w:tcBorders>
            <w:shd w:val="clear" w:color="auto" w:fill="C0C0C0"/>
            <w:vAlign w:val="center"/>
          </w:tcPr>
          <w:p w:rsidR="00755D53" w:rsidRDefault="00763426">
            <w:pPr>
              <w:rPr>
                <w:b/>
                <w:bCs/>
                <w:szCs w:val="21"/>
              </w:rPr>
            </w:pPr>
            <w:r>
              <w:rPr>
                <w:rFonts w:hint="eastAsia"/>
                <w:b/>
                <w:bCs/>
                <w:szCs w:val="21"/>
              </w:rPr>
              <w:t>各类型私募月度平均收益率</w:t>
            </w:r>
            <w:r>
              <w:rPr>
                <w:b/>
                <w:bCs/>
                <w:szCs w:val="21"/>
              </w:rPr>
              <w:t>情况</w:t>
            </w:r>
          </w:p>
        </w:tc>
      </w:tr>
    </w:tbl>
    <w:p w:rsidR="00755D53" w:rsidRDefault="00755D53">
      <w:pPr>
        <w:rPr>
          <w:sz w:val="18"/>
          <w:szCs w:val="18"/>
        </w:rPr>
      </w:pPr>
      <w:r>
        <w:pict>
          <v:shape id="图片 12" o:spid="_x0000_i1026" type="#_x0000_t75" style="width:364.4pt;height:241.05pt">
            <v:imagedata r:id="rId10" o:title=""/>
          </v:shape>
        </w:pict>
      </w:r>
    </w:p>
    <w:p w:rsidR="00755D53" w:rsidRDefault="00763426">
      <w:pPr>
        <w:rPr>
          <w:sz w:val="18"/>
          <w:szCs w:val="18"/>
        </w:rPr>
      </w:pPr>
      <w:r>
        <w:rPr>
          <w:sz w:val="18"/>
          <w:szCs w:val="18"/>
        </w:rPr>
        <w:t>数据来源：好买基金研究中心</w:t>
      </w:r>
      <w:r>
        <w:rPr>
          <w:rFonts w:hint="eastAsia"/>
          <w:sz w:val="18"/>
          <w:szCs w:val="18"/>
        </w:rPr>
        <w:t>，</w:t>
      </w:r>
      <w:r>
        <w:rPr>
          <w:sz w:val="18"/>
          <w:szCs w:val="18"/>
        </w:rPr>
        <w:t>截至</w:t>
      </w:r>
      <w:r>
        <w:rPr>
          <w:sz w:val="18"/>
          <w:szCs w:val="18"/>
        </w:rPr>
        <w:t>201</w:t>
      </w:r>
      <w:r>
        <w:rPr>
          <w:rFonts w:hint="eastAsia"/>
          <w:sz w:val="18"/>
          <w:szCs w:val="18"/>
        </w:rPr>
        <w:t>5</w:t>
      </w:r>
      <w:r>
        <w:rPr>
          <w:sz w:val="18"/>
          <w:szCs w:val="18"/>
        </w:rPr>
        <w:t>年</w:t>
      </w:r>
      <w:r>
        <w:rPr>
          <w:rFonts w:hint="eastAsia"/>
          <w:sz w:val="18"/>
          <w:szCs w:val="18"/>
        </w:rPr>
        <w:t>2</w:t>
      </w:r>
      <w:r>
        <w:rPr>
          <w:sz w:val="18"/>
          <w:szCs w:val="18"/>
        </w:rPr>
        <w:t>月</w:t>
      </w:r>
      <w:r>
        <w:rPr>
          <w:rFonts w:hint="eastAsia"/>
          <w:sz w:val="18"/>
          <w:szCs w:val="18"/>
        </w:rPr>
        <w:t>6</w:t>
      </w:r>
      <w:r>
        <w:rPr>
          <w:sz w:val="18"/>
          <w:szCs w:val="18"/>
        </w:rPr>
        <w:t>日</w:t>
      </w:r>
    </w:p>
    <w:p w:rsidR="00755D53" w:rsidRDefault="00755D53">
      <w:pPr>
        <w:widowControl/>
        <w:rPr>
          <w:szCs w:val="21"/>
        </w:rPr>
      </w:pPr>
    </w:p>
    <w:p w:rsidR="00755D53" w:rsidRDefault="00763426" w:rsidP="00AF2341">
      <w:pPr>
        <w:numPr>
          <w:ilvl w:val="0"/>
          <w:numId w:val="2"/>
        </w:numPr>
        <w:spacing w:beforeLines="50" w:afterLines="50" w:line="360" w:lineRule="auto"/>
        <w:rPr>
          <w:b/>
          <w:color w:val="D80012"/>
          <w:sz w:val="24"/>
        </w:rPr>
      </w:pPr>
      <w:r>
        <w:rPr>
          <w:rFonts w:hint="eastAsia"/>
          <w:b/>
          <w:color w:val="D80012"/>
          <w:sz w:val="24"/>
        </w:rPr>
        <w:t>股票型私募——</w:t>
      </w:r>
      <w:r>
        <w:rPr>
          <w:rFonts w:hint="eastAsia"/>
          <w:b/>
          <w:color w:val="D80012"/>
          <w:sz w:val="24"/>
        </w:rPr>
        <w:t>策略整体保持上涨</w:t>
      </w:r>
    </w:p>
    <w:p w:rsidR="00755D53" w:rsidRDefault="00763426" w:rsidP="00AF2341">
      <w:pPr>
        <w:spacing w:beforeLines="50" w:afterLines="50" w:line="360" w:lineRule="auto"/>
        <w:ind w:firstLineChars="200" w:firstLine="420"/>
        <w:rPr>
          <w:color w:val="FF0000"/>
          <w:szCs w:val="21"/>
        </w:rPr>
      </w:pPr>
      <w:r>
        <w:rPr>
          <w:rFonts w:hint="eastAsia"/>
          <w:szCs w:val="21"/>
        </w:rPr>
        <w:t>好买数据显示，今年</w:t>
      </w:r>
      <w:r>
        <w:rPr>
          <w:rFonts w:hint="eastAsia"/>
          <w:szCs w:val="21"/>
        </w:rPr>
        <w:t>1</w:t>
      </w:r>
      <w:r>
        <w:rPr>
          <w:rFonts w:hint="eastAsia"/>
          <w:szCs w:val="21"/>
        </w:rPr>
        <w:t>月期间</w:t>
      </w:r>
      <w:r>
        <w:rPr>
          <w:rFonts w:hint="eastAsia"/>
          <w:szCs w:val="21"/>
        </w:rPr>
        <w:t>2692</w:t>
      </w:r>
      <w:r>
        <w:rPr>
          <w:rFonts w:hint="eastAsia"/>
          <w:szCs w:val="21"/>
        </w:rPr>
        <w:t>只普通股票型私募基金中有</w:t>
      </w:r>
      <w:r>
        <w:rPr>
          <w:rFonts w:hint="eastAsia"/>
          <w:szCs w:val="21"/>
        </w:rPr>
        <w:t>1893</w:t>
      </w:r>
      <w:r>
        <w:rPr>
          <w:rFonts w:hint="eastAsia"/>
          <w:szCs w:val="21"/>
        </w:rPr>
        <w:t>只是上涨的，占比</w:t>
      </w:r>
      <w:r>
        <w:rPr>
          <w:rFonts w:hint="eastAsia"/>
          <w:szCs w:val="21"/>
        </w:rPr>
        <w:t>70%</w:t>
      </w:r>
      <w:r>
        <w:rPr>
          <w:rFonts w:hint="eastAsia"/>
          <w:szCs w:val="21"/>
        </w:rPr>
        <w:t>，平均涨幅为</w:t>
      </w:r>
      <w:r>
        <w:rPr>
          <w:rFonts w:hint="eastAsia"/>
          <w:szCs w:val="21"/>
        </w:rPr>
        <w:t>5.51%</w:t>
      </w:r>
      <w:r>
        <w:rPr>
          <w:rFonts w:hint="eastAsia"/>
          <w:szCs w:val="21"/>
        </w:rPr>
        <w:t>。</w:t>
      </w:r>
      <w:r>
        <w:rPr>
          <w:rFonts w:hint="eastAsia"/>
          <w:szCs w:val="21"/>
        </w:rPr>
        <w:t>1</w:t>
      </w:r>
      <w:r>
        <w:rPr>
          <w:rFonts w:hint="eastAsia"/>
          <w:szCs w:val="21"/>
        </w:rPr>
        <w:t>月市场热点由大盘蓝筹转向中小盘股票，领涨品种是计算机、传媒、电子、轻工制造以及家用电器等行业，均为传统中小盘行业，而此前超涨的大盘蓝筹行业如银行、非银金融、钢铁、建筑等，在</w:t>
      </w:r>
      <w:r>
        <w:rPr>
          <w:rFonts w:hint="eastAsia"/>
          <w:szCs w:val="21"/>
        </w:rPr>
        <w:t>1</w:t>
      </w:r>
      <w:r>
        <w:rPr>
          <w:rFonts w:hint="eastAsia"/>
          <w:szCs w:val="21"/>
        </w:rPr>
        <w:t>月却领跌。</w:t>
      </w:r>
      <w:r>
        <w:rPr>
          <w:rFonts w:hint="eastAsia"/>
          <w:szCs w:val="21"/>
        </w:rPr>
        <w:t>因此，在去年</w:t>
      </w:r>
      <w:r>
        <w:rPr>
          <w:rFonts w:hint="eastAsia"/>
          <w:szCs w:val="21"/>
        </w:rPr>
        <w:t>12</w:t>
      </w:r>
      <w:r>
        <w:rPr>
          <w:rFonts w:hint="eastAsia"/>
          <w:szCs w:val="21"/>
        </w:rPr>
        <w:t>月份有不错表现的价值派私募</w:t>
      </w:r>
      <w:r>
        <w:rPr>
          <w:rFonts w:hint="eastAsia"/>
          <w:szCs w:val="18"/>
        </w:rPr>
        <w:t>有所亏损</w:t>
      </w:r>
      <w:r>
        <w:rPr>
          <w:rFonts w:hint="eastAsia"/>
          <w:szCs w:val="21"/>
        </w:rPr>
        <w:t>，例如信璞和中国龙旗下个别基金近一月跌幅超</w:t>
      </w:r>
      <w:r>
        <w:rPr>
          <w:rFonts w:hint="eastAsia"/>
          <w:szCs w:val="21"/>
        </w:rPr>
        <w:t>10%</w:t>
      </w:r>
      <w:r>
        <w:rPr>
          <w:rFonts w:hint="eastAsia"/>
          <w:szCs w:val="21"/>
        </w:rPr>
        <w:t>。</w:t>
      </w:r>
      <w:r>
        <w:rPr>
          <w:rFonts w:hint="eastAsia"/>
          <w:szCs w:val="21"/>
        </w:rPr>
        <w:t>而</w:t>
      </w:r>
      <w:r>
        <w:rPr>
          <w:rFonts w:hint="eastAsia"/>
          <w:szCs w:val="21"/>
        </w:rPr>
        <w:t>操作灵活、重仓中小盘成长股的私募</w:t>
      </w:r>
      <w:r>
        <w:rPr>
          <w:rFonts w:hint="eastAsia"/>
          <w:szCs w:val="21"/>
        </w:rPr>
        <w:t>基金在</w:t>
      </w:r>
      <w:r>
        <w:rPr>
          <w:rFonts w:hint="eastAsia"/>
          <w:szCs w:val="21"/>
        </w:rPr>
        <w:t>1</w:t>
      </w:r>
      <w:r>
        <w:rPr>
          <w:rFonts w:hint="eastAsia"/>
          <w:szCs w:val="21"/>
        </w:rPr>
        <w:t>月有不错收获</w:t>
      </w:r>
      <w:r>
        <w:rPr>
          <w:rFonts w:hint="eastAsia"/>
          <w:szCs w:val="21"/>
        </w:rPr>
        <w:t>。</w:t>
      </w:r>
      <w:r>
        <w:rPr>
          <w:rFonts w:hint="eastAsia"/>
          <w:szCs w:val="21"/>
        </w:rPr>
        <w:t>和公募基金类似，私募基金整体上来看仍然偏向于成长股以及中小</w:t>
      </w:r>
      <w:r>
        <w:rPr>
          <w:rFonts w:hint="eastAsia"/>
          <w:szCs w:val="21"/>
        </w:rPr>
        <w:t>盘板块，因此</w:t>
      </w:r>
      <w:r>
        <w:rPr>
          <w:rFonts w:hint="eastAsia"/>
          <w:b/>
          <w:bCs/>
          <w:szCs w:val="21"/>
        </w:rPr>
        <w:t>股票型策略平均仍保持了不错的上涨态势</w:t>
      </w:r>
      <w:r>
        <w:rPr>
          <w:rFonts w:hint="eastAsia"/>
          <w:szCs w:val="21"/>
        </w:rPr>
        <w:t>。</w:t>
      </w:r>
    </w:p>
    <w:p w:rsidR="00755D53" w:rsidRDefault="00763426">
      <w:pPr>
        <w:widowControl/>
        <w:spacing w:before="156" w:after="156" w:line="360" w:lineRule="auto"/>
        <w:ind w:firstLine="420"/>
        <w:rPr>
          <w:rFonts w:ascii="宋体" w:hAnsi="宋体"/>
          <w:kern w:val="0"/>
          <w:szCs w:val="21"/>
        </w:rPr>
      </w:pPr>
      <w:r>
        <w:rPr>
          <w:kern w:val="0"/>
          <w:szCs w:val="21"/>
        </w:rPr>
        <w:t>截至</w:t>
      </w:r>
      <w:r>
        <w:rPr>
          <w:kern w:val="0"/>
          <w:szCs w:val="21"/>
        </w:rPr>
        <w:t>201</w:t>
      </w:r>
      <w:r>
        <w:rPr>
          <w:rFonts w:hint="eastAsia"/>
          <w:kern w:val="0"/>
          <w:szCs w:val="21"/>
        </w:rPr>
        <w:t>5</w:t>
      </w:r>
      <w:r>
        <w:rPr>
          <w:kern w:val="0"/>
          <w:szCs w:val="21"/>
        </w:rPr>
        <w:t>年</w:t>
      </w:r>
      <w:r>
        <w:rPr>
          <w:kern w:val="0"/>
          <w:szCs w:val="21"/>
        </w:rPr>
        <w:t>2</w:t>
      </w:r>
      <w:r>
        <w:rPr>
          <w:kern w:val="0"/>
          <w:szCs w:val="21"/>
        </w:rPr>
        <w:t>月</w:t>
      </w:r>
      <w:r>
        <w:rPr>
          <w:rFonts w:hint="eastAsia"/>
          <w:kern w:val="0"/>
          <w:szCs w:val="21"/>
        </w:rPr>
        <w:t>6</w:t>
      </w:r>
      <w:r>
        <w:rPr>
          <w:kern w:val="0"/>
          <w:szCs w:val="21"/>
        </w:rPr>
        <w:t>日，好买基金研究中心对能够取得</w:t>
      </w:r>
      <w:r>
        <w:rPr>
          <w:kern w:val="0"/>
          <w:szCs w:val="21"/>
        </w:rPr>
        <w:t>2015</w:t>
      </w:r>
      <w:r>
        <w:rPr>
          <w:kern w:val="0"/>
          <w:szCs w:val="21"/>
        </w:rPr>
        <w:t>年</w:t>
      </w:r>
      <w:r>
        <w:rPr>
          <w:rFonts w:hint="eastAsia"/>
          <w:kern w:val="0"/>
          <w:szCs w:val="21"/>
        </w:rPr>
        <w:t>1</w:t>
      </w:r>
      <w:r>
        <w:rPr>
          <w:kern w:val="0"/>
          <w:szCs w:val="21"/>
        </w:rPr>
        <w:t>月收益率数据的</w:t>
      </w:r>
      <w:r>
        <w:rPr>
          <w:rFonts w:ascii="宋体" w:hAnsi="宋体" w:hint="eastAsia"/>
          <w:kern w:val="0"/>
          <w:szCs w:val="21"/>
        </w:rPr>
        <w:t>普通股票型</w:t>
      </w:r>
      <w:r>
        <w:rPr>
          <w:kern w:val="0"/>
          <w:szCs w:val="21"/>
        </w:rPr>
        <w:t>私募基金进行了统计。</w:t>
      </w:r>
      <w:r>
        <w:rPr>
          <w:rFonts w:hint="eastAsia"/>
          <w:kern w:val="0"/>
          <w:szCs w:val="21"/>
        </w:rPr>
        <w:t>1</w:t>
      </w:r>
      <w:r>
        <w:rPr>
          <w:kern w:val="0"/>
          <w:szCs w:val="21"/>
        </w:rPr>
        <w:t>月普通股票型私募基金平均收益</w:t>
      </w:r>
      <w:r>
        <w:rPr>
          <w:rFonts w:hint="eastAsia"/>
          <w:kern w:val="0"/>
          <w:szCs w:val="21"/>
        </w:rPr>
        <w:t>率</w:t>
      </w:r>
      <w:r>
        <w:rPr>
          <w:rFonts w:ascii="宋体" w:hAnsi="宋体" w:hint="eastAsia"/>
          <w:kern w:val="0"/>
          <w:szCs w:val="21"/>
        </w:rPr>
        <w:t>为</w:t>
      </w:r>
      <w:r>
        <w:rPr>
          <w:rFonts w:hint="eastAsia"/>
          <w:kern w:val="0"/>
          <w:szCs w:val="21"/>
        </w:rPr>
        <w:t>2.72</w:t>
      </w:r>
      <w:r>
        <w:rPr>
          <w:kern w:val="0"/>
          <w:szCs w:val="21"/>
        </w:rPr>
        <w:t>%</w:t>
      </w:r>
      <w:r>
        <w:rPr>
          <w:rFonts w:ascii="宋体" w:hAnsi="宋体"/>
          <w:kern w:val="0"/>
          <w:szCs w:val="21"/>
        </w:rPr>
        <w:t>，相较大盘上涨，但表现不如公募股票型基金</w:t>
      </w:r>
      <w:r>
        <w:rPr>
          <w:rFonts w:hint="eastAsia"/>
          <w:kern w:val="0"/>
          <w:szCs w:val="21"/>
        </w:rPr>
        <w:t>；</w:t>
      </w:r>
      <w:r>
        <w:rPr>
          <w:rFonts w:ascii="宋体" w:hAnsi="宋体" w:hint="eastAsia"/>
          <w:kern w:val="0"/>
          <w:szCs w:val="21"/>
        </w:rPr>
        <w:t>近</w:t>
      </w:r>
      <w:r>
        <w:rPr>
          <w:rFonts w:hint="eastAsia"/>
          <w:kern w:val="0"/>
          <w:szCs w:val="21"/>
        </w:rPr>
        <w:t>6</w:t>
      </w:r>
      <w:r>
        <w:rPr>
          <w:rFonts w:ascii="宋体" w:hAnsi="宋体" w:hint="eastAsia"/>
          <w:kern w:val="0"/>
          <w:szCs w:val="21"/>
        </w:rPr>
        <w:t>个月的平均收益为</w:t>
      </w:r>
      <w:r>
        <w:rPr>
          <w:rFonts w:hint="eastAsia"/>
          <w:kern w:val="0"/>
          <w:szCs w:val="21"/>
        </w:rPr>
        <w:t>24.06%</w:t>
      </w:r>
      <w:r>
        <w:rPr>
          <w:rFonts w:ascii="宋体" w:hAnsi="宋体" w:hint="eastAsia"/>
          <w:kern w:val="0"/>
          <w:szCs w:val="21"/>
        </w:rPr>
        <w:t>，跑输沪深</w:t>
      </w:r>
      <w:r>
        <w:rPr>
          <w:rFonts w:hint="eastAsia"/>
          <w:kern w:val="0"/>
          <w:szCs w:val="21"/>
        </w:rPr>
        <w:t>300</w:t>
      </w:r>
      <w:r>
        <w:rPr>
          <w:rFonts w:ascii="宋体" w:hAnsi="宋体" w:hint="eastAsia"/>
          <w:kern w:val="0"/>
          <w:szCs w:val="21"/>
        </w:rPr>
        <w:t>指数和公募股票型基金，</w:t>
      </w:r>
      <w:r>
        <w:rPr>
          <w:rFonts w:hint="eastAsia"/>
          <w:b/>
          <w:kern w:val="0"/>
          <w:szCs w:val="21"/>
        </w:rPr>
        <w:t>然而</w:t>
      </w:r>
      <w:r>
        <w:rPr>
          <w:b/>
          <w:kern w:val="0"/>
          <w:szCs w:val="21"/>
        </w:rPr>
        <w:t>在近</w:t>
      </w:r>
      <w:r>
        <w:rPr>
          <w:rFonts w:hint="eastAsia"/>
          <w:b/>
          <w:kern w:val="0"/>
          <w:szCs w:val="21"/>
        </w:rPr>
        <w:t>2</w:t>
      </w:r>
      <w:r>
        <w:rPr>
          <w:b/>
          <w:kern w:val="0"/>
          <w:szCs w:val="21"/>
        </w:rPr>
        <w:t>年的考察周期中，普通股票型私募基金仍好于公募股票型基金和沪深</w:t>
      </w:r>
      <w:r>
        <w:rPr>
          <w:b/>
          <w:kern w:val="0"/>
          <w:szCs w:val="21"/>
        </w:rPr>
        <w:t>300</w:t>
      </w:r>
      <w:r>
        <w:rPr>
          <w:b/>
          <w:kern w:val="0"/>
          <w:szCs w:val="21"/>
        </w:rPr>
        <w:t>指</w:t>
      </w:r>
      <w:r>
        <w:rPr>
          <w:rFonts w:ascii="宋体" w:hAnsi="宋体" w:hint="eastAsia"/>
          <w:b/>
          <w:kern w:val="0"/>
          <w:szCs w:val="21"/>
        </w:rPr>
        <w:t>数</w:t>
      </w:r>
      <w:r>
        <w:rPr>
          <w:rFonts w:ascii="宋体" w:hAnsi="宋体" w:hint="eastAsia"/>
          <w:kern w:val="0"/>
          <w:szCs w:val="21"/>
        </w:rPr>
        <w:t>。</w:t>
      </w:r>
    </w:p>
    <w:tbl>
      <w:tblPr>
        <w:tblW w:w="7707" w:type="dxa"/>
        <w:tblInd w:w="108" w:type="dxa"/>
        <w:tblLayout w:type="fixed"/>
        <w:tblLook w:val="04A0"/>
      </w:tblPr>
      <w:tblGrid>
        <w:gridCol w:w="7707"/>
      </w:tblGrid>
      <w:tr w:rsidR="00755D53">
        <w:trPr>
          <w:trHeight w:val="273"/>
        </w:trPr>
        <w:tc>
          <w:tcPr>
            <w:tcW w:w="7707" w:type="dxa"/>
            <w:shd w:val="clear" w:color="auto" w:fill="C0C0C0"/>
            <w:vAlign w:val="center"/>
          </w:tcPr>
          <w:p w:rsidR="00755D53" w:rsidRDefault="00763426">
            <w:pPr>
              <w:widowControl/>
              <w:rPr>
                <w:b/>
                <w:bCs/>
                <w:kern w:val="0"/>
                <w:szCs w:val="21"/>
              </w:rPr>
            </w:pPr>
            <w:r>
              <w:rPr>
                <w:b/>
                <w:bCs/>
                <w:kern w:val="0"/>
                <w:szCs w:val="21"/>
              </w:rPr>
              <w:lastRenderedPageBreak/>
              <w:t>公、私募基金各阶段收益比较</w:t>
            </w:r>
          </w:p>
        </w:tc>
      </w:tr>
    </w:tbl>
    <w:p w:rsidR="00755D53" w:rsidRDefault="00755D53">
      <w:pPr>
        <w:widowControl/>
        <w:rPr>
          <w:kern w:val="0"/>
          <w:szCs w:val="21"/>
        </w:rPr>
      </w:pPr>
      <w:r>
        <w:pict>
          <v:shape id="图片 27" o:spid="_x0000_i1027" type="#_x0000_t75" style="width:386.9pt;height:255.45pt">
            <v:imagedata r:id="rId11" o:title=""/>
          </v:shape>
        </w:pict>
      </w:r>
    </w:p>
    <w:p w:rsidR="00755D53" w:rsidRDefault="00763426">
      <w:pPr>
        <w:widowControl/>
        <w:rPr>
          <w:rFonts w:ascii="宋体" w:hAnsi="宋体"/>
          <w:kern w:val="0"/>
          <w:sz w:val="18"/>
          <w:szCs w:val="18"/>
        </w:rPr>
      </w:pPr>
      <w:r>
        <w:rPr>
          <w:kern w:val="0"/>
          <w:sz w:val="18"/>
          <w:szCs w:val="18"/>
        </w:rPr>
        <w:t>数据来源：好买基金研究中心</w:t>
      </w:r>
      <w:r>
        <w:rPr>
          <w:rFonts w:ascii="宋体" w:hAnsi="宋体" w:hint="eastAsia"/>
          <w:kern w:val="0"/>
          <w:sz w:val="18"/>
          <w:szCs w:val="18"/>
        </w:rPr>
        <w:t>，</w:t>
      </w:r>
      <w:r>
        <w:rPr>
          <w:kern w:val="0"/>
          <w:sz w:val="18"/>
          <w:szCs w:val="18"/>
        </w:rPr>
        <w:t>私募数据搜集截止至</w:t>
      </w:r>
      <w:r>
        <w:rPr>
          <w:kern w:val="0"/>
          <w:sz w:val="18"/>
          <w:szCs w:val="18"/>
        </w:rPr>
        <w:t>201</w:t>
      </w:r>
      <w:r>
        <w:rPr>
          <w:rFonts w:hint="eastAsia"/>
          <w:kern w:val="0"/>
          <w:sz w:val="18"/>
          <w:szCs w:val="18"/>
        </w:rPr>
        <w:t>5</w:t>
      </w:r>
      <w:r>
        <w:rPr>
          <w:rFonts w:ascii="宋体" w:hAnsi="宋体"/>
          <w:kern w:val="0"/>
          <w:sz w:val="18"/>
          <w:szCs w:val="18"/>
        </w:rPr>
        <w:t>年</w:t>
      </w:r>
      <w:r>
        <w:rPr>
          <w:rFonts w:hint="eastAsia"/>
          <w:kern w:val="0"/>
          <w:sz w:val="18"/>
          <w:szCs w:val="18"/>
        </w:rPr>
        <w:t>2</w:t>
      </w:r>
      <w:r>
        <w:rPr>
          <w:rFonts w:ascii="宋体" w:hAnsi="宋体" w:hint="eastAsia"/>
          <w:kern w:val="0"/>
          <w:sz w:val="18"/>
          <w:szCs w:val="18"/>
        </w:rPr>
        <w:t>月</w:t>
      </w:r>
      <w:r>
        <w:rPr>
          <w:rFonts w:hint="eastAsia"/>
          <w:kern w:val="0"/>
          <w:sz w:val="18"/>
          <w:szCs w:val="18"/>
        </w:rPr>
        <w:t>6</w:t>
      </w:r>
      <w:r>
        <w:rPr>
          <w:rFonts w:ascii="宋体" w:hAnsi="宋体" w:hint="eastAsia"/>
          <w:kern w:val="0"/>
          <w:sz w:val="18"/>
          <w:szCs w:val="18"/>
        </w:rPr>
        <w:t>日</w:t>
      </w:r>
      <w:r>
        <w:rPr>
          <w:kern w:val="0"/>
          <w:sz w:val="18"/>
          <w:szCs w:val="18"/>
        </w:rPr>
        <w:t>。公募</w:t>
      </w:r>
      <w:r>
        <w:rPr>
          <w:rFonts w:ascii="宋体" w:hAnsi="宋体" w:hint="eastAsia"/>
          <w:kern w:val="0"/>
          <w:sz w:val="18"/>
          <w:szCs w:val="18"/>
        </w:rPr>
        <w:t>股票</w:t>
      </w:r>
      <w:r>
        <w:rPr>
          <w:kern w:val="0"/>
          <w:sz w:val="18"/>
          <w:szCs w:val="18"/>
        </w:rPr>
        <w:t>型基金数据及沪深</w:t>
      </w:r>
      <w:r>
        <w:rPr>
          <w:kern w:val="0"/>
          <w:sz w:val="18"/>
          <w:szCs w:val="18"/>
        </w:rPr>
        <w:t>300</w:t>
      </w:r>
      <w:r>
        <w:rPr>
          <w:rFonts w:ascii="宋体" w:hAnsi="宋体"/>
          <w:kern w:val="0"/>
          <w:sz w:val="18"/>
          <w:szCs w:val="18"/>
        </w:rPr>
        <w:t>数据均截止至</w:t>
      </w:r>
      <w:r>
        <w:rPr>
          <w:kern w:val="0"/>
          <w:sz w:val="18"/>
          <w:szCs w:val="18"/>
        </w:rPr>
        <w:t>201</w:t>
      </w:r>
      <w:r>
        <w:rPr>
          <w:rFonts w:ascii="宋体" w:hAnsi="宋体" w:hint="eastAsia"/>
          <w:kern w:val="0"/>
          <w:sz w:val="18"/>
          <w:szCs w:val="18"/>
        </w:rPr>
        <w:t>5</w:t>
      </w:r>
      <w:r>
        <w:rPr>
          <w:kern w:val="0"/>
          <w:sz w:val="18"/>
          <w:szCs w:val="18"/>
        </w:rPr>
        <w:t>年</w:t>
      </w:r>
      <w:r>
        <w:rPr>
          <w:rFonts w:hint="eastAsia"/>
          <w:kern w:val="0"/>
          <w:sz w:val="18"/>
          <w:szCs w:val="18"/>
        </w:rPr>
        <w:t>1</w:t>
      </w:r>
      <w:r>
        <w:rPr>
          <w:rFonts w:ascii="宋体" w:hAnsi="宋体" w:hint="eastAsia"/>
          <w:kern w:val="0"/>
          <w:sz w:val="18"/>
          <w:szCs w:val="18"/>
        </w:rPr>
        <w:t>月</w:t>
      </w:r>
      <w:r>
        <w:rPr>
          <w:rFonts w:hint="eastAsia"/>
          <w:kern w:val="0"/>
          <w:sz w:val="18"/>
          <w:szCs w:val="18"/>
        </w:rPr>
        <w:t>31</w:t>
      </w:r>
      <w:r>
        <w:rPr>
          <w:rFonts w:ascii="宋体" w:hAnsi="宋体" w:hint="eastAsia"/>
          <w:kern w:val="0"/>
          <w:sz w:val="18"/>
          <w:szCs w:val="18"/>
        </w:rPr>
        <w:t>日</w:t>
      </w:r>
      <w:r>
        <w:rPr>
          <w:kern w:val="0"/>
          <w:sz w:val="18"/>
          <w:szCs w:val="18"/>
        </w:rPr>
        <w:t>。私募各阶段收益率统计区间尽量匹配自然月度，但不能完全消除私募产品净值公布日期不同的影响，故私募各阶段的平均收益率为粗略统计，与公募</w:t>
      </w:r>
      <w:r>
        <w:rPr>
          <w:rFonts w:ascii="宋体" w:hAnsi="宋体" w:hint="eastAsia"/>
          <w:kern w:val="0"/>
          <w:sz w:val="18"/>
          <w:szCs w:val="18"/>
        </w:rPr>
        <w:t>股票</w:t>
      </w:r>
      <w:r>
        <w:rPr>
          <w:kern w:val="0"/>
          <w:sz w:val="18"/>
          <w:szCs w:val="18"/>
        </w:rPr>
        <w:t>型基金及沪深</w:t>
      </w:r>
      <w:r>
        <w:rPr>
          <w:kern w:val="0"/>
          <w:sz w:val="18"/>
          <w:szCs w:val="18"/>
        </w:rPr>
        <w:t>300</w:t>
      </w:r>
      <w:r>
        <w:rPr>
          <w:rFonts w:ascii="宋体" w:hAnsi="宋体"/>
          <w:kern w:val="0"/>
          <w:sz w:val="18"/>
          <w:szCs w:val="18"/>
        </w:rPr>
        <w:t>指数的比较仅供参考。</w:t>
      </w:r>
    </w:p>
    <w:p w:rsidR="00755D53" w:rsidRDefault="00755D53">
      <w:pPr>
        <w:widowControl/>
        <w:rPr>
          <w:kern w:val="0"/>
          <w:sz w:val="18"/>
          <w:szCs w:val="18"/>
        </w:rPr>
      </w:pPr>
    </w:p>
    <w:p w:rsidR="00755D53" w:rsidRDefault="00755D53">
      <w:pPr>
        <w:widowControl/>
        <w:rPr>
          <w:kern w:val="0"/>
          <w:sz w:val="18"/>
          <w:szCs w:val="18"/>
        </w:rPr>
      </w:pPr>
    </w:p>
    <w:p w:rsidR="00755D53" w:rsidRDefault="00763426" w:rsidP="00AF2341">
      <w:pPr>
        <w:spacing w:beforeLines="50" w:afterLines="50" w:line="360" w:lineRule="auto"/>
        <w:ind w:firstLineChars="200" w:firstLine="420"/>
        <w:rPr>
          <w:color w:val="FF0000"/>
          <w:szCs w:val="21"/>
        </w:rPr>
      </w:pPr>
      <w:r>
        <w:rPr>
          <w:rFonts w:hint="eastAsia"/>
          <w:szCs w:val="21"/>
        </w:rPr>
        <w:t>从私募与公募</w:t>
      </w:r>
      <w:r>
        <w:rPr>
          <w:rFonts w:hint="eastAsia"/>
          <w:szCs w:val="21"/>
        </w:rPr>
        <w:t>1</w:t>
      </w:r>
      <w:r>
        <w:rPr>
          <w:rFonts w:hint="eastAsia"/>
          <w:szCs w:val="21"/>
        </w:rPr>
        <w:t>月的月度收益分布比较来看，第一，私募业绩差异度保持较高水平，</w:t>
      </w:r>
      <w:r>
        <w:rPr>
          <w:rFonts w:hint="eastAsia"/>
          <w:szCs w:val="21"/>
        </w:rPr>
        <w:t>1</w:t>
      </w:r>
      <w:r>
        <w:rPr>
          <w:rFonts w:hint="eastAsia"/>
          <w:szCs w:val="21"/>
        </w:rPr>
        <w:t>月普通股票型私募收益率的第</w:t>
      </w:r>
      <w:r>
        <w:rPr>
          <w:rFonts w:hint="eastAsia"/>
          <w:szCs w:val="21"/>
        </w:rPr>
        <w:t>1</w:t>
      </w:r>
      <w:r>
        <w:rPr>
          <w:rFonts w:hint="eastAsia"/>
          <w:szCs w:val="21"/>
        </w:rPr>
        <w:t>名和最后</w:t>
      </w:r>
      <w:r>
        <w:rPr>
          <w:rFonts w:hint="eastAsia"/>
          <w:szCs w:val="21"/>
        </w:rPr>
        <w:t>1</w:t>
      </w:r>
      <w:r>
        <w:rPr>
          <w:rFonts w:hint="eastAsia"/>
          <w:szCs w:val="21"/>
        </w:rPr>
        <w:t>名的差距为</w:t>
      </w:r>
      <w:r>
        <w:rPr>
          <w:rFonts w:hint="eastAsia"/>
          <w:szCs w:val="21"/>
        </w:rPr>
        <w:t>131</w:t>
      </w:r>
      <w:r>
        <w:rPr>
          <w:rFonts w:hint="eastAsia"/>
          <w:szCs w:val="21"/>
        </w:rPr>
        <w:t>个百分点，远高于公募股混型的</w:t>
      </w:r>
      <w:r>
        <w:rPr>
          <w:rFonts w:hint="eastAsia"/>
          <w:szCs w:val="21"/>
        </w:rPr>
        <w:t>41</w:t>
      </w:r>
      <w:r>
        <w:rPr>
          <w:rFonts w:hint="eastAsia"/>
          <w:szCs w:val="21"/>
        </w:rPr>
        <w:t>个百分点；第二，公募和私募</w:t>
      </w:r>
      <w:r>
        <w:rPr>
          <w:rFonts w:hint="eastAsia"/>
          <w:szCs w:val="21"/>
        </w:rPr>
        <w:t>1</w:t>
      </w:r>
      <w:r>
        <w:rPr>
          <w:rFonts w:hint="eastAsia"/>
          <w:szCs w:val="21"/>
        </w:rPr>
        <w:t>月的收益率均集中在</w:t>
      </w:r>
      <w:r>
        <w:rPr>
          <w:rFonts w:hint="eastAsia"/>
          <w:szCs w:val="21"/>
        </w:rPr>
        <w:t>-1%~7%</w:t>
      </w:r>
      <w:r>
        <w:rPr>
          <w:rFonts w:hint="eastAsia"/>
          <w:szCs w:val="21"/>
        </w:rPr>
        <w:t>之间，相比上月匹配程度更高，表明公私募业绩分化程度有所降低</w:t>
      </w:r>
      <w:r>
        <w:rPr>
          <w:rFonts w:hint="eastAsia"/>
          <w:szCs w:val="21"/>
        </w:rPr>
        <w:t>；</w:t>
      </w:r>
      <w:r>
        <w:rPr>
          <w:szCs w:val="21"/>
        </w:rPr>
        <w:t xml:space="preserve"> </w:t>
      </w:r>
      <w:r>
        <w:rPr>
          <w:szCs w:val="21"/>
        </w:rPr>
        <w:t>第三，私募股票型基金在高收益端（</w:t>
      </w:r>
      <w:r>
        <w:rPr>
          <w:rFonts w:hint="eastAsia"/>
          <w:szCs w:val="21"/>
        </w:rPr>
        <w:t>&gt;15%</w:t>
      </w:r>
      <w:r>
        <w:rPr>
          <w:rFonts w:hint="eastAsia"/>
          <w:szCs w:val="21"/>
        </w:rPr>
        <w:t>）</w:t>
      </w:r>
      <w:r>
        <w:rPr>
          <w:szCs w:val="21"/>
        </w:rPr>
        <w:t>和低收益端</w:t>
      </w:r>
      <w:r>
        <w:rPr>
          <w:rFonts w:hint="eastAsia"/>
          <w:szCs w:val="21"/>
        </w:rPr>
        <w:t>（</w:t>
      </w:r>
      <w:r>
        <w:rPr>
          <w:rFonts w:hint="eastAsia"/>
          <w:szCs w:val="21"/>
        </w:rPr>
        <w:t>&lt;-3%</w:t>
      </w:r>
      <w:r>
        <w:rPr>
          <w:rFonts w:hint="eastAsia"/>
          <w:szCs w:val="21"/>
        </w:rPr>
        <w:t>）</w:t>
      </w:r>
      <w:r>
        <w:rPr>
          <w:szCs w:val="21"/>
        </w:rPr>
        <w:t>占比均略高于公募型，然而在中收益端（</w:t>
      </w:r>
      <w:r>
        <w:rPr>
          <w:szCs w:val="21"/>
        </w:rPr>
        <w:t>2%~15%</w:t>
      </w:r>
      <w:r>
        <w:rPr>
          <w:szCs w:val="21"/>
        </w:rPr>
        <w:t>）占比却低于公募型</w:t>
      </w:r>
      <w:r>
        <w:rPr>
          <w:rFonts w:hint="eastAsia"/>
          <w:szCs w:val="21"/>
        </w:rPr>
        <w:t>，说明私募股票型基金</w:t>
      </w:r>
      <w:r>
        <w:rPr>
          <w:rFonts w:hint="eastAsia"/>
          <w:szCs w:val="21"/>
        </w:rPr>
        <w:t>1</w:t>
      </w:r>
      <w:r>
        <w:rPr>
          <w:rFonts w:hint="eastAsia"/>
          <w:szCs w:val="21"/>
        </w:rPr>
        <w:t>月的收益波动性高于公募型。</w:t>
      </w:r>
    </w:p>
    <w:tbl>
      <w:tblPr>
        <w:tblW w:w="7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1"/>
      </w:tblGrid>
      <w:tr w:rsidR="00755D53">
        <w:trPr>
          <w:trHeight w:val="284"/>
        </w:trPr>
        <w:tc>
          <w:tcPr>
            <w:tcW w:w="7191" w:type="dxa"/>
            <w:tcBorders>
              <w:top w:val="nil"/>
              <w:left w:val="nil"/>
              <w:bottom w:val="nil"/>
              <w:right w:val="nil"/>
            </w:tcBorders>
            <w:shd w:val="clear" w:color="auto" w:fill="C0C0C0"/>
            <w:vAlign w:val="center"/>
          </w:tcPr>
          <w:p w:rsidR="00755D53" w:rsidRDefault="00763426">
            <w:pPr>
              <w:rPr>
                <w:b/>
                <w:bCs/>
                <w:szCs w:val="21"/>
              </w:rPr>
            </w:pPr>
            <w:r>
              <w:rPr>
                <w:rFonts w:hint="eastAsia"/>
                <w:b/>
                <w:bCs/>
                <w:szCs w:val="21"/>
              </w:rPr>
              <w:t>私募普通股票型与公募股混型基金的月度收益率分布图</w:t>
            </w:r>
          </w:p>
        </w:tc>
      </w:tr>
    </w:tbl>
    <w:p w:rsidR="00755D53" w:rsidRDefault="00755D53">
      <w:pPr>
        <w:rPr>
          <w:sz w:val="18"/>
          <w:szCs w:val="18"/>
        </w:rPr>
      </w:pPr>
      <w:r>
        <w:lastRenderedPageBreak/>
        <w:pict>
          <v:shape id="图片 1" o:spid="_x0000_i1028" type="#_x0000_t75" style="width:356.25pt;height:231.05pt">
            <v:imagedata r:id="rId12" o:title=""/>
          </v:shape>
        </w:pict>
      </w:r>
    </w:p>
    <w:p w:rsidR="00755D53" w:rsidRDefault="00763426">
      <w:pPr>
        <w:rPr>
          <w:sz w:val="18"/>
          <w:szCs w:val="18"/>
        </w:rPr>
      </w:pPr>
      <w:r>
        <w:rPr>
          <w:sz w:val="18"/>
          <w:szCs w:val="18"/>
        </w:rPr>
        <w:t>数据来源：好买基金研究中心</w:t>
      </w:r>
      <w:r>
        <w:rPr>
          <w:rFonts w:hint="eastAsia"/>
          <w:sz w:val="18"/>
          <w:szCs w:val="18"/>
        </w:rPr>
        <w:t>，</w:t>
      </w:r>
      <w:r>
        <w:rPr>
          <w:sz w:val="18"/>
          <w:szCs w:val="18"/>
        </w:rPr>
        <w:t>截至</w:t>
      </w:r>
      <w:r>
        <w:rPr>
          <w:sz w:val="18"/>
          <w:szCs w:val="18"/>
        </w:rPr>
        <w:t>201</w:t>
      </w:r>
      <w:r>
        <w:rPr>
          <w:rFonts w:hint="eastAsia"/>
          <w:sz w:val="18"/>
          <w:szCs w:val="18"/>
        </w:rPr>
        <w:t>5</w:t>
      </w:r>
      <w:r>
        <w:rPr>
          <w:sz w:val="18"/>
          <w:szCs w:val="18"/>
        </w:rPr>
        <w:t>年</w:t>
      </w:r>
      <w:r>
        <w:rPr>
          <w:rFonts w:hint="eastAsia"/>
          <w:sz w:val="18"/>
          <w:szCs w:val="18"/>
        </w:rPr>
        <w:t>2</w:t>
      </w:r>
      <w:r>
        <w:rPr>
          <w:sz w:val="18"/>
          <w:szCs w:val="18"/>
        </w:rPr>
        <w:t>月</w:t>
      </w:r>
      <w:r>
        <w:rPr>
          <w:rFonts w:hint="eastAsia"/>
          <w:sz w:val="18"/>
          <w:szCs w:val="18"/>
        </w:rPr>
        <w:t>6</w:t>
      </w:r>
      <w:r>
        <w:rPr>
          <w:sz w:val="18"/>
          <w:szCs w:val="18"/>
        </w:rPr>
        <w:t>日</w:t>
      </w:r>
    </w:p>
    <w:p w:rsidR="00755D53" w:rsidRDefault="00755D53">
      <w:pPr>
        <w:rPr>
          <w:sz w:val="18"/>
          <w:szCs w:val="18"/>
        </w:rPr>
      </w:pPr>
    </w:p>
    <w:p w:rsidR="00755D53" w:rsidRDefault="00755D53">
      <w:pPr>
        <w:rPr>
          <w:sz w:val="18"/>
          <w:szCs w:val="18"/>
        </w:rPr>
      </w:pPr>
    </w:p>
    <w:tbl>
      <w:tblPr>
        <w:tblW w:w="10221" w:type="dxa"/>
        <w:tblInd w:w="93" w:type="dxa"/>
        <w:tblLayout w:type="fixed"/>
        <w:tblLook w:val="04A0"/>
      </w:tblPr>
      <w:tblGrid>
        <w:gridCol w:w="2283"/>
        <w:gridCol w:w="1276"/>
        <w:gridCol w:w="1276"/>
        <w:gridCol w:w="1134"/>
        <w:gridCol w:w="992"/>
        <w:gridCol w:w="992"/>
        <w:gridCol w:w="993"/>
        <w:gridCol w:w="1275"/>
      </w:tblGrid>
      <w:tr w:rsidR="00755D53">
        <w:trPr>
          <w:trHeight w:val="270"/>
        </w:trPr>
        <w:tc>
          <w:tcPr>
            <w:tcW w:w="10221" w:type="dxa"/>
            <w:gridSpan w:val="8"/>
            <w:tcBorders>
              <w:top w:val="single" w:sz="4" w:space="0" w:color="000000"/>
              <w:left w:val="single" w:sz="4" w:space="0" w:color="000000"/>
              <w:bottom w:val="single" w:sz="4" w:space="0" w:color="000000"/>
              <w:right w:val="single" w:sz="4" w:space="0" w:color="000000"/>
            </w:tcBorders>
            <w:shd w:val="clear" w:color="auto" w:fill="E0E0E0"/>
            <w:vAlign w:val="center"/>
          </w:tcPr>
          <w:p w:rsidR="00755D53" w:rsidRDefault="00763426">
            <w:pPr>
              <w:widowControl/>
              <w:jc w:val="left"/>
              <w:rPr>
                <w:b/>
                <w:bCs/>
                <w:kern w:val="0"/>
                <w:szCs w:val="21"/>
              </w:rPr>
            </w:pPr>
            <w:r>
              <w:rPr>
                <w:b/>
                <w:bCs/>
                <w:kern w:val="0"/>
                <w:szCs w:val="21"/>
              </w:rPr>
              <w:t>近</w:t>
            </w:r>
            <w:r>
              <w:rPr>
                <w:b/>
                <w:bCs/>
                <w:kern w:val="0"/>
                <w:szCs w:val="21"/>
              </w:rPr>
              <w:t>1</w:t>
            </w:r>
            <w:r>
              <w:rPr>
                <w:rFonts w:ascii="宋体" w:hAnsi="宋体"/>
                <w:b/>
                <w:bCs/>
                <w:kern w:val="0"/>
                <w:szCs w:val="21"/>
              </w:rPr>
              <w:t>月收益率排名前</w:t>
            </w:r>
            <w:r>
              <w:rPr>
                <w:b/>
                <w:bCs/>
                <w:kern w:val="0"/>
                <w:szCs w:val="21"/>
              </w:rPr>
              <w:t>10</w:t>
            </w:r>
            <w:r>
              <w:rPr>
                <w:rFonts w:ascii="宋体" w:hAnsi="宋体"/>
                <w:b/>
                <w:bCs/>
                <w:kern w:val="0"/>
                <w:szCs w:val="21"/>
              </w:rPr>
              <w:t>位的</w:t>
            </w:r>
            <w:r>
              <w:rPr>
                <w:rFonts w:ascii="宋体" w:hAnsi="宋体" w:hint="eastAsia"/>
                <w:b/>
                <w:bCs/>
                <w:kern w:val="0"/>
                <w:szCs w:val="21"/>
              </w:rPr>
              <w:t>股票型</w:t>
            </w:r>
            <w:r>
              <w:rPr>
                <w:b/>
                <w:bCs/>
                <w:kern w:val="0"/>
                <w:szCs w:val="21"/>
              </w:rPr>
              <w:t>私募基金产品</w:t>
            </w:r>
          </w:p>
        </w:tc>
      </w:tr>
      <w:tr w:rsidR="00755D53">
        <w:trPr>
          <w:trHeight w:val="270"/>
        </w:trPr>
        <w:tc>
          <w:tcPr>
            <w:tcW w:w="2283" w:type="dxa"/>
            <w:tcBorders>
              <w:top w:val="nil"/>
              <w:left w:val="single" w:sz="4" w:space="0" w:color="000000"/>
              <w:bottom w:val="single" w:sz="4" w:space="0" w:color="000000"/>
              <w:right w:val="single" w:sz="4" w:space="0" w:color="000000"/>
            </w:tcBorders>
            <w:vAlign w:val="center"/>
          </w:tcPr>
          <w:p w:rsidR="00755D53" w:rsidRDefault="00763426">
            <w:pPr>
              <w:widowControl/>
              <w:jc w:val="left"/>
              <w:rPr>
                <w:b/>
                <w:kern w:val="0"/>
                <w:sz w:val="18"/>
                <w:szCs w:val="18"/>
              </w:rPr>
            </w:pPr>
            <w:r>
              <w:rPr>
                <w:b/>
                <w:kern w:val="0"/>
                <w:sz w:val="18"/>
                <w:szCs w:val="18"/>
              </w:rPr>
              <w:t>产品名称</w:t>
            </w:r>
          </w:p>
        </w:tc>
        <w:tc>
          <w:tcPr>
            <w:tcW w:w="1276"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投资顾问</w:t>
            </w:r>
          </w:p>
        </w:tc>
        <w:tc>
          <w:tcPr>
            <w:tcW w:w="1276"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基金经理</w:t>
            </w:r>
          </w:p>
        </w:tc>
        <w:tc>
          <w:tcPr>
            <w:tcW w:w="1134"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受托人</w:t>
            </w:r>
          </w:p>
        </w:tc>
        <w:tc>
          <w:tcPr>
            <w:tcW w:w="992"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成立日期</w:t>
            </w:r>
          </w:p>
        </w:tc>
        <w:tc>
          <w:tcPr>
            <w:tcW w:w="992"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净值日期</w:t>
            </w:r>
          </w:p>
        </w:tc>
        <w:tc>
          <w:tcPr>
            <w:tcW w:w="993"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最新净值</w:t>
            </w:r>
          </w:p>
        </w:tc>
        <w:tc>
          <w:tcPr>
            <w:tcW w:w="1275"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近</w:t>
            </w:r>
            <w:r>
              <w:rPr>
                <w:b/>
                <w:kern w:val="0"/>
                <w:sz w:val="18"/>
                <w:szCs w:val="18"/>
              </w:rPr>
              <w:t>1</w:t>
            </w:r>
            <w:r>
              <w:rPr>
                <w:b/>
                <w:kern w:val="0"/>
                <w:sz w:val="18"/>
                <w:szCs w:val="18"/>
              </w:rPr>
              <w:t>月收益率</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西域光华</w:t>
            </w:r>
            <w:r>
              <w:rPr>
                <w:rFonts w:hint="eastAsia"/>
                <w:kern w:val="0"/>
                <w:sz w:val="18"/>
                <w:szCs w:val="18"/>
              </w:rPr>
              <w:t>59</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西域</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周水江</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中融信托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20100830</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1.0359</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75.39%</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和聚鼎宝</w:t>
            </w:r>
            <w:r>
              <w:rPr>
                <w:rFonts w:hint="eastAsia"/>
                <w:kern w:val="0"/>
                <w:sz w:val="18"/>
                <w:szCs w:val="18"/>
              </w:rPr>
              <w:t>2</w:t>
            </w:r>
            <w:r>
              <w:rPr>
                <w:rFonts w:hint="eastAsia"/>
                <w:kern w:val="0"/>
                <w:sz w:val="18"/>
                <w:szCs w:val="18"/>
              </w:rPr>
              <w:t>期</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和聚</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李泽刚</w:t>
            </w:r>
            <w:r>
              <w:rPr>
                <w:rFonts w:hint="eastAsia"/>
                <w:kern w:val="0"/>
                <w:sz w:val="18"/>
                <w:szCs w:val="18"/>
              </w:rPr>
              <w:t>,</w:t>
            </w:r>
            <w:r>
              <w:rPr>
                <w:rFonts w:hint="eastAsia"/>
                <w:kern w:val="0"/>
                <w:sz w:val="18"/>
                <w:szCs w:val="18"/>
              </w:rPr>
              <w:t>于军</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中信信托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20130814</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207.44</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43.57%</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混沌价值一号</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混沌道然</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王歆</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混沌道然</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20140722</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2.5085</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32.34%</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湘军彭大帅</w:t>
            </w:r>
            <w:r>
              <w:rPr>
                <w:rFonts w:hint="eastAsia"/>
                <w:kern w:val="0"/>
                <w:sz w:val="18"/>
                <w:szCs w:val="18"/>
              </w:rPr>
              <w:t>2</w:t>
            </w:r>
            <w:r>
              <w:rPr>
                <w:rFonts w:hint="eastAsia"/>
                <w:kern w:val="0"/>
                <w:sz w:val="18"/>
                <w:szCs w:val="18"/>
              </w:rPr>
              <w:t>号</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大帅资产</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彭树祥</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湖南信托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20140603</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1.539</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29.95%</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君盈成长</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君盈资产</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吴成来</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兴业信托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20140611</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1.7866</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24.83%</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森瑞独立景气</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森瑞</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林存</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云南信托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20130819</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1.633</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23.44%</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菁英时代成长</w:t>
            </w:r>
            <w:r>
              <w:rPr>
                <w:rFonts w:hint="eastAsia"/>
                <w:kern w:val="0"/>
                <w:sz w:val="18"/>
                <w:szCs w:val="18"/>
              </w:rPr>
              <w:t>3</w:t>
            </w:r>
            <w:r>
              <w:rPr>
                <w:rFonts w:hint="eastAsia"/>
                <w:kern w:val="0"/>
                <w:sz w:val="18"/>
                <w:szCs w:val="18"/>
              </w:rPr>
              <w:t>号</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菁英时代</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陈宏超</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兴业信托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20100812</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134.2427</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22.46%</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私募工场金陀罗飞龙</w:t>
            </w:r>
            <w:r>
              <w:rPr>
                <w:rFonts w:hint="eastAsia"/>
                <w:kern w:val="0"/>
                <w:sz w:val="18"/>
                <w:szCs w:val="18"/>
              </w:rPr>
              <w:t>2</w:t>
            </w:r>
            <w:r>
              <w:rPr>
                <w:rFonts w:hint="eastAsia"/>
                <w:kern w:val="0"/>
                <w:sz w:val="18"/>
                <w:szCs w:val="18"/>
              </w:rPr>
              <w:t>号</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金陀罗</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华中锋</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云南信托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20140626</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1.2056</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21.99%</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证研一期</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证研</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宋晓辉</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山东信托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20090703</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20150126</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1.3586</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21.64%</w:t>
            </w:r>
          </w:p>
        </w:tc>
      </w:tr>
      <w:tr w:rsidR="00755D53">
        <w:trPr>
          <w:trHeight w:val="270"/>
        </w:trPr>
        <w:tc>
          <w:tcPr>
            <w:tcW w:w="2283"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富锦</w:t>
            </w:r>
            <w:r>
              <w:rPr>
                <w:rFonts w:hint="eastAsia"/>
                <w:kern w:val="0"/>
                <w:sz w:val="18"/>
                <w:szCs w:val="18"/>
              </w:rPr>
              <w:t>6</w:t>
            </w:r>
            <w:r>
              <w:rPr>
                <w:rFonts w:hint="eastAsia"/>
                <w:kern w:val="0"/>
                <w:sz w:val="18"/>
                <w:szCs w:val="18"/>
              </w:rPr>
              <w:t>号金中和</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金中和</w:t>
            </w:r>
          </w:p>
        </w:tc>
        <w:tc>
          <w:tcPr>
            <w:tcW w:w="1276"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曾军</w:t>
            </w:r>
            <w:r>
              <w:rPr>
                <w:rFonts w:hint="eastAsia"/>
                <w:kern w:val="0"/>
                <w:sz w:val="18"/>
                <w:szCs w:val="18"/>
              </w:rPr>
              <w:t>,</w:t>
            </w:r>
            <w:r>
              <w:rPr>
                <w:rFonts w:hint="eastAsia"/>
                <w:kern w:val="0"/>
                <w:sz w:val="18"/>
                <w:szCs w:val="18"/>
              </w:rPr>
              <w:t>何滨</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外贸信托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20100830</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1.1798</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21.54%</w:t>
            </w:r>
          </w:p>
        </w:tc>
      </w:tr>
    </w:tbl>
    <w:p w:rsidR="00755D53" w:rsidRDefault="00763426" w:rsidP="00AF2341">
      <w:pPr>
        <w:spacing w:beforeLines="50" w:afterLines="50" w:line="360" w:lineRule="auto"/>
        <w:ind w:firstLineChars="200" w:firstLine="420"/>
        <w:rPr>
          <w:szCs w:val="21"/>
        </w:rPr>
      </w:pPr>
      <w:r>
        <w:rPr>
          <w:rFonts w:hint="eastAsia"/>
          <w:szCs w:val="21"/>
        </w:rPr>
        <w:t>上海混沌道然资产管理有限公司</w:t>
      </w:r>
      <w:r>
        <w:rPr>
          <w:rFonts w:hint="eastAsia"/>
          <w:szCs w:val="21"/>
        </w:rPr>
        <w:t>隶属于上海混沌投资（集团），主要负责证券类别的投资。混沌价值一号采取股票和期货相结合的混合策略，其在股票投资上理念偏向价值投资，依靠选股和长期持股来获取收益。期货头寸仍然由葛卫东率队管理，投资策略灵活，并且在近期市场的变化中把握准了节拍，获取了可观的回报。</w:t>
      </w:r>
    </w:p>
    <w:tbl>
      <w:tblPr>
        <w:tblW w:w="10221" w:type="dxa"/>
        <w:tblInd w:w="93" w:type="dxa"/>
        <w:tblLayout w:type="fixed"/>
        <w:tblLook w:val="04A0"/>
      </w:tblPr>
      <w:tblGrid>
        <w:gridCol w:w="1716"/>
        <w:gridCol w:w="1418"/>
        <w:gridCol w:w="1701"/>
        <w:gridCol w:w="1134"/>
        <w:gridCol w:w="992"/>
        <w:gridCol w:w="992"/>
        <w:gridCol w:w="993"/>
        <w:gridCol w:w="1275"/>
      </w:tblGrid>
      <w:tr w:rsidR="00755D53">
        <w:trPr>
          <w:trHeight w:val="270"/>
        </w:trPr>
        <w:tc>
          <w:tcPr>
            <w:tcW w:w="10221" w:type="dxa"/>
            <w:gridSpan w:val="8"/>
            <w:tcBorders>
              <w:top w:val="single" w:sz="4" w:space="0" w:color="000000"/>
              <w:left w:val="single" w:sz="4" w:space="0" w:color="000000"/>
              <w:bottom w:val="single" w:sz="4" w:space="0" w:color="000000"/>
              <w:right w:val="single" w:sz="4" w:space="0" w:color="000000"/>
            </w:tcBorders>
            <w:shd w:val="clear" w:color="auto" w:fill="E0E0E0"/>
            <w:vAlign w:val="center"/>
          </w:tcPr>
          <w:p w:rsidR="00755D53" w:rsidRDefault="00763426">
            <w:pPr>
              <w:widowControl/>
              <w:jc w:val="left"/>
              <w:rPr>
                <w:b/>
                <w:bCs/>
                <w:kern w:val="0"/>
                <w:szCs w:val="21"/>
              </w:rPr>
            </w:pPr>
            <w:r>
              <w:rPr>
                <w:rFonts w:ascii="宋体" w:hAnsi="宋体" w:hint="eastAsia"/>
                <w:b/>
                <w:bCs/>
                <w:kern w:val="0"/>
                <w:szCs w:val="21"/>
              </w:rPr>
              <w:t>近</w:t>
            </w:r>
            <w:r>
              <w:rPr>
                <w:rFonts w:hint="eastAsia"/>
                <w:b/>
                <w:bCs/>
                <w:kern w:val="0"/>
                <w:szCs w:val="21"/>
              </w:rPr>
              <w:t>1</w:t>
            </w:r>
            <w:r>
              <w:rPr>
                <w:rFonts w:ascii="宋体" w:hAnsi="宋体" w:hint="eastAsia"/>
                <w:b/>
                <w:bCs/>
                <w:kern w:val="0"/>
                <w:szCs w:val="21"/>
              </w:rPr>
              <w:t>年</w:t>
            </w:r>
            <w:r>
              <w:rPr>
                <w:b/>
                <w:bCs/>
                <w:kern w:val="0"/>
                <w:szCs w:val="21"/>
              </w:rPr>
              <w:t>排名前</w:t>
            </w:r>
            <w:r>
              <w:rPr>
                <w:b/>
                <w:bCs/>
                <w:kern w:val="0"/>
                <w:szCs w:val="21"/>
              </w:rPr>
              <w:t>10</w:t>
            </w:r>
            <w:r>
              <w:rPr>
                <w:rFonts w:ascii="宋体" w:hAnsi="宋体"/>
                <w:b/>
                <w:bCs/>
                <w:kern w:val="0"/>
                <w:szCs w:val="21"/>
              </w:rPr>
              <w:t>位的</w:t>
            </w:r>
            <w:r>
              <w:rPr>
                <w:rFonts w:ascii="宋体" w:hAnsi="宋体" w:hint="eastAsia"/>
                <w:b/>
                <w:bCs/>
                <w:kern w:val="0"/>
                <w:szCs w:val="21"/>
              </w:rPr>
              <w:t>股票型</w:t>
            </w:r>
            <w:r>
              <w:rPr>
                <w:b/>
                <w:bCs/>
                <w:kern w:val="0"/>
                <w:szCs w:val="21"/>
              </w:rPr>
              <w:t>私募基金产品</w:t>
            </w:r>
          </w:p>
        </w:tc>
      </w:tr>
      <w:tr w:rsidR="00755D53">
        <w:trPr>
          <w:trHeight w:val="270"/>
        </w:trPr>
        <w:tc>
          <w:tcPr>
            <w:tcW w:w="1716" w:type="dxa"/>
            <w:tcBorders>
              <w:top w:val="nil"/>
              <w:left w:val="single" w:sz="4" w:space="0" w:color="000000"/>
              <w:bottom w:val="single" w:sz="4" w:space="0" w:color="000000"/>
              <w:right w:val="single" w:sz="4" w:space="0" w:color="000000"/>
            </w:tcBorders>
            <w:vAlign w:val="center"/>
          </w:tcPr>
          <w:p w:rsidR="00755D53" w:rsidRDefault="00763426">
            <w:pPr>
              <w:widowControl/>
              <w:jc w:val="left"/>
              <w:rPr>
                <w:b/>
                <w:kern w:val="0"/>
                <w:sz w:val="18"/>
                <w:szCs w:val="18"/>
              </w:rPr>
            </w:pPr>
            <w:r>
              <w:rPr>
                <w:b/>
                <w:kern w:val="0"/>
                <w:sz w:val="18"/>
                <w:szCs w:val="18"/>
              </w:rPr>
              <w:t>产品名称</w:t>
            </w:r>
          </w:p>
        </w:tc>
        <w:tc>
          <w:tcPr>
            <w:tcW w:w="1418"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投资顾问</w:t>
            </w:r>
          </w:p>
        </w:tc>
        <w:tc>
          <w:tcPr>
            <w:tcW w:w="1701"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基金经理</w:t>
            </w:r>
          </w:p>
        </w:tc>
        <w:tc>
          <w:tcPr>
            <w:tcW w:w="1134"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受托人</w:t>
            </w:r>
          </w:p>
        </w:tc>
        <w:tc>
          <w:tcPr>
            <w:tcW w:w="992"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成立日期</w:t>
            </w:r>
          </w:p>
        </w:tc>
        <w:tc>
          <w:tcPr>
            <w:tcW w:w="992"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净值日期</w:t>
            </w:r>
          </w:p>
        </w:tc>
        <w:tc>
          <w:tcPr>
            <w:tcW w:w="993"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最新净值</w:t>
            </w:r>
          </w:p>
        </w:tc>
        <w:tc>
          <w:tcPr>
            <w:tcW w:w="1275"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rFonts w:ascii="宋体" w:hAnsi="宋体" w:hint="eastAsia"/>
                <w:b/>
                <w:kern w:val="0"/>
                <w:sz w:val="18"/>
                <w:szCs w:val="18"/>
              </w:rPr>
              <w:t>近</w:t>
            </w:r>
            <w:r>
              <w:rPr>
                <w:rFonts w:hint="eastAsia"/>
                <w:b/>
                <w:kern w:val="0"/>
                <w:sz w:val="18"/>
                <w:szCs w:val="18"/>
              </w:rPr>
              <w:t>1</w:t>
            </w:r>
            <w:r>
              <w:rPr>
                <w:rFonts w:ascii="宋体" w:hAnsi="宋体" w:hint="eastAsia"/>
                <w:b/>
                <w:kern w:val="0"/>
                <w:sz w:val="18"/>
                <w:szCs w:val="18"/>
              </w:rPr>
              <w:t>年</w:t>
            </w:r>
            <w:r>
              <w:rPr>
                <w:b/>
                <w:kern w:val="0"/>
                <w:sz w:val="18"/>
                <w:szCs w:val="18"/>
              </w:rPr>
              <w:t>收益率</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滚雪球</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滚雪球</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林军</w:t>
            </w:r>
            <w:r>
              <w:rPr>
                <w:rFonts w:hint="eastAsia"/>
                <w:kern w:val="0"/>
                <w:sz w:val="18"/>
                <w:szCs w:val="18"/>
              </w:rPr>
              <w:t>,</w:t>
            </w:r>
            <w:r>
              <w:rPr>
                <w:rFonts w:hint="eastAsia"/>
                <w:kern w:val="0"/>
                <w:sz w:val="18"/>
                <w:szCs w:val="18"/>
              </w:rPr>
              <w:t>林涛</w:t>
            </w:r>
            <w:r>
              <w:rPr>
                <w:rFonts w:hint="eastAsia"/>
                <w:kern w:val="0"/>
                <w:sz w:val="18"/>
                <w:szCs w:val="18"/>
              </w:rPr>
              <w:t>,</w:t>
            </w:r>
            <w:r>
              <w:rPr>
                <w:rFonts w:hint="eastAsia"/>
                <w:kern w:val="0"/>
                <w:sz w:val="18"/>
                <w:szCs w:val="18"/>
              </w:rPr>
              <w:t>林波</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重庆信托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20130131</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20150123</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3.3971</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348.82%</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泽熙</w:t>
            </w:r>
            <w:r>
              <w:rPr>
                <w:rFonts w:hint="eastAsia"/>
                <w:kern w:val="0"/>
                <w:sz w:val="18"/>
                <w:szCs w:val="18"/>
              </w:rPr>
              <w:t>3</w:t>
            </w:r>
            <w:r>
              <w:rPr>
                <w:rFonts w:hint="eastAsia"/>
                <w:kern w:val="0"/>
                <w:sz w:val="18"/>
                <w:szCs w:val="18"/>
              </w:rPr>
              <w:t>期</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泽熙</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徐翔</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山东信托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20100707</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0.9697</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201.80%</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泽熙</w:t>
            </w:r>
            <w:r>
              <w:rPr>
                <w:rFonts w:hint="eastAsia"/>
                <w:kern w:val="0"/>
                <w:sz w:val="18"/>
                <w:szCs w:val="18"/>
              </w:rPr>
              <w:t>1</w:t>
            </w:r>
            <w:r>
              <w:rPr>
                <w:rFonts w:hint="eastAsia"/>
                <w:kern w:val="0"/>
                <w:sz w:val="18"/>
                <w:szCs w:val="18"/>
              </w:rPr>
              <w:t>期</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泽熙</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徐翔</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华润信托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20100305</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1.2593</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173.72%</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清水源</w:t>
            </w:r>
            <w:r>
              <w:rPr>
                <w:rFonts w:hint="eastAsia"/>
                <w:kern w:val="0"/>
                <w:sz w:val="18"/>
                <w:szCs w:val="18"/>
              </w:rPr>
              <w:t>1</w:t>
            </w:r>
            <w:r>
              <w:rPr>
                <w:rFonts w:hint="eastAsia"/>
                <w:kern w:val="0"/>
                <w:sz w:val="18"/>
                <w:szCs w:val="18"/>
              </w:rPr>
              <w:t>号</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清水源</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张小川</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兴业信托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20111123</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4.1353</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152.44%</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蕴泽</w:t>
            </w:r>
            <w:r>
              <w:rPr>
                <w:rFonts w:hint="eastAsia"/>
                <w:kern w:val="0"/>
                <w:sz w:val="18"/>
                <w:szCs w:val="18"/>
              </w:rPr>
              <w:t>1</w:t>
            </w:r>
            <w:r>
              <w:rPr>
                <w:rFonts w:hint="eastAsia"/>
                <w:kern w:val="0"/>
                <w:sz w:val="18"/>
                <w:szCs w:val="18"/>
              </w:rPr>
              <w:t>号</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西藏信托</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王晶</w:t>
            </w:r>
            <w:r>
              <w:rPr>
                <w:rFonts w:hint="eastAsia"/>
                <w:kern w:val="0"/>
                <w:sz w:val="18"/>
                <w:szCs w:val="18"/>
              </w:rPr>
              <w:t xml:space="preserve"> </w:t>
            </w:r>
            <w:r>
              <w:rPr>
                <w:rFonts w:hint="eastAsia"/>
                <w:kern w:val="0"/>
                <w:sz w:val="18"/>
                <w:szCs w:val="18"/>
              </w:rPr>
              <w:t>陶骜</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西藏信托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20110106</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2.0469</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117.89%</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和聚鼎宝</w:t>
            </w:r>
            <w:r>
              <w:rPr>
                <w:rFonts w:hint="eastAsia"/>
                <w:kern w:val="0"/>
                <w:sz w:val="18"/>
                <w:szCs w:val="18"/>
              </w:rPr>
              <w:t>2</w:t>
            </w:r>
            <w:r>
              <w:rPr>
                <w:rFonts w:hint="eastAsia"/>
                <w:kern w:val="0"/>
                <w:sz w:val="18"/>
                <w:szCs w:val="18"/>
              </w:rPr>
              <w:t>期</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和聚</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李泽刚</w:t>
            </w:r>
            <w:r>
              <w:rPr>
                <w:rFonts w:hint="eastAsia"/>
                <w:kern w:val="0"/>
                <w:sz w:val="18"/>
                <w:szCs w:val="18"/>
              </w:rPr>
              <w:t>,</w:t>
            </w:r>
            <w:r>
              <w:rPr>
                <w:rFonts w:hint="eastAsia"/>
                <w:kern w:val="0"/>
                <w:sz w:val="18"/>
                <w:szCs w:val="18"/>
              </w:rPr>
              <w:t>于军</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中信信托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20130814</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207.44</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112.93%</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lastRenderedPageBreak/>
              <w:t>证大稳健增长</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证大</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姜榕</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华宝信托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20080606</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1.5152</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110.74%</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海中湾</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海中湾</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吕强</w:t>
            </w:r>
            <w:r>
              <w:rPr>
                <w:rFonts w:hint="eastAsia"/>
                <w:kern w:val="0"/>
                <w:sz w:val="18"/>
                <w:szCs w:val="18"/>
              </w:rPr>
              <w:t>,</w:t>
            </w:r>
            <w:r>
              <w:rPr>
                <w:rFonts w:hint="eastAsia"/>
                <w:kern w:val="0"/>
                <w:sz w:val="18"/>
                <w:szCs w:val="18"/>
              </w:rPr>
              <w:t>段成玉</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陕国投</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20131219</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1.0573</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110.66%</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天乙</w:t>
            </w:r>
            <w:r>
              <w:rPr>
                <w:rFonts w:hint="eastAsia"/>
                <w:kern w:val="0"/>
                <w:sz w:val="18"/>
                <w:szCs w:val="18"/>
              </w:rPr>
              <w:t>1</w:t>
            </w:r>
            <w:r>
              <w:rPr>
                <w:rFonts w:hint="eastAsia"/>
                <w:kern w:val="0"/>
                <w:sz w:val="18"/>
                <w:szCs w:val="18"/>
              </w:rPr>
              <w:t>期</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北京天乙合</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彭乃顺</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山东信托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20131120</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20150120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106.44%</w:t>
            </w:r>
          </w:p>
        </w:tc>
      </w:tr>
      <w:tr w:rsidR="00755D53">
        <w:trPr>
          <w:trHeight w:val="270"/>
        </w:trPr>
        <w:tc>
          <w:tcPr>
            <w:tcW w:w="1716" w:type="dxa"/>
            <w:tcBorders>
              <w:top w:val="nil"/>
              <w:left w:val="single" w:sz="4" w:space="0" w:color="000000"/>
              <w:bottom w:val="single" w:sz="4" w:space="0" w:color="000000"/>
              <w:right w:val="single" w:sz="4" w:space="0" w:color="000000"/>
            </w:tcBorders>
          </w:tcPr>
          <w:p w:rsidR="00755D53" w:rsidRDefault="00763426">
            <w:pPr>
              <w:widowControl/>
              <w:jc w:val="left"/>
              <w:rPr>
                <w:kern w:val="0"/>
                <w:sz w:val="18"/>
                <w:szCs w:val="18"/>
              </w:rPr>
            </w:pPr>
            <w:r>
              <w:rPr>
                <w:rFonts w:hint="eastAsia"/>
                <w:kern w:val="0"/>
                <w:sz w:val="18"/>
                <w:szCs w:val="18"/>
              </w:rPr>
              <w:t>东源</w:t>
            </w:r>
            <w:r>
              <w:rPr>
                <w:rFonts w:hint="eastAsia"/>
                <w:kern w:val="0"/>
                <w:sz w:val="18"/>
                <w:szCs w:val="18"/>
              </w:rPr>
              <w:t>1</w:t>
            </w:r>
            <w:r>
              <w:rPr>
                <w:rFonts w:hint="eastAsia"/>
                <w:kern w:val="0"/>
                <w:sz w:val="18"/>
                <w:szCs w:val="18"/>
              </w:rPr>
              <w:t>期</w:t>
            </w:r>
          </w:p>
        </w:tc>
        <w:tc>
          <w:tcPr>
            <w:tcW w:w="1418"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东源嘉盈</w:t>
            </w:r>
          </w:p>
        </w:tc>
        <w:tc>
          <w:tcPr>
            <w:tcW w:w="1701"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杨凡</w:t>
            </w:r>
          </w:p>
        </w:tc>
        <w:tc>
          <w:tcPr>
            <w:tcW w:w="1134"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华润信托</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20110909</w:t>
            </w:r>
          </w:p>
        </w:tc>
        <w:tc>
          <w:tcPr>
            <w:tcW w:w="992"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172.23</w:t>
            </w:r>
          </w:p>
        </w:tc>
        <w:tc>
          <w:tcPr>
            <w:tcW w:w="1275" w:type="dxa"/>
            <w:tcBorders>
              <w:top w:val="nil"/>
              <w:left w:val="nil"/>
              <w:bottom w:val="single" w:sz="4" w:space="0" w:color="000000"/>
              <w:right w:val="single" w:sz="4" w:space="0" w:color="000000"/>
            </w:tcBorders>
          </w:tcPr>
          <w:p w:rsidR="00755D53" w:rsidRDefault="00763426">
            <w:pPr>
              <w:widowControl/>
              <w:jc w:val="center"/>
              <w:rPr>
                <w:kern w:val="0"/>
                <w:sz w:val="18"/>
                <w:szCs w:val="18"/>
              </w:rPr>
            </w:pPr>
            <w:r>
              <w:rPr>
                <w:rFonts w:hint="eastAsia"/>
                <w:kern w:val="0"/>
                <w:sz w:val="18"/>
                <w:szCs w:val="18"/>
              </w:rPr>
              <w:t>105.18%</w:t>
            </w:r>
          </w:p>
        </w:tc>
      </w:tr>
    </w:tbl>
    <w:p w:rsidR="00755D53" w:rsidRDefault="00755D53" w:rsidP="00AF2341">
      <w:pPr>
        <w:spacing w:beforeLines="50" w:afterLines="50" w:line="360" w:lineRule="auto"/>
        <w:ind w:firstLineChars="200" w:firstLine="482"/>
        <w:rPr>
          <w:b/>
          <w:color w:val="D80012"/>
          <w:sz w:val="24"/>
        </w:rPr>
      </w:pPr>
    </w:p>
    <w:p w:rsidR="00755D53" w:rsidRDefault="00763426" w:rsidP="00AF2341">
      <w:pPr>
        <w:numPr>
          <w:ilvl w:val="0"/>
          <w:numId w:val="2"/>
        </w:numPr>
        <w:spacing w:beforeLines="50" w:afterLines="50" w:line="360" w:lineRule="auto"/>
        <w:rPr>
          <w:b/>
          <w:color w:val="D80012"/>
          <w:sz w:val="24"/>
        </w:rPr>
      </w:pPr>
      <w:r>
        <w:rPr>
          <w:rFonts w:hint="eastAsia"/>
          <w:b/>
          <w:color w:val="D80012"/>
          <w:sz w:val="24"/>
        </w:rPr>
        <w:t>市场中性型私募——绝地反击，收复失地</w:t>
      </w:r>
    </w:p>
    <w:p w:rsidR="00755D53" w:rsidRDefault="00763426" w:rsidP="00AF2341">
      <w:pPr>
        <w:spacing w:beforeLines="50" w:afterLines="50" w:line="360" w:lineRule="auto"/>
        <w:ind w:firstLineChars="200" w:firstLine="420"/>
        <w:rPr>
          <w:szCs w:val="21"/>
        </w:rPr>
      </w:pPr>
      <w:r>
        <w:rPr>
          <w:rFonts w:hint="eastAsia"/>
          <w:szCs w:val="21"/>
        </w:rPr>
        <w:t>2015</w:t>
      </w:r>
      <w:r>
        <w:rPr>
          <w:rFonts w:hint="eastAsia"/>
          <w:szCs w:val="21"/>
        </w:rPr>
        <w:t>年开年首月可谓市场中性策略绝地反击的一月，策略平均涨幅约为</w:t>
      </w:r>
      <w:r>
        <w:rPr>
          <w:rFonts w:hint="eastAsia"/>
          <w:szCs w:val="21"/>
        </w:rPr>
        <w:t>3%</w:t>
      </w:r>
      <w:r>
        <w:rPr>
          <w:rFonts w:hint="eastAsia"/>
          <w:szCs w:val="21"/>
        </w:rPr>
        <w:t>。其中，拥有较大管理规模和较多产品只数的朱雀阿尔法系列产品平均涨幅约为</w:t>
      </w:r>
      <w:r>
        <w:rPr>
          <w:rFonts w:hint="eastAsia"/>
          <w:szCs w:val="21"/>
        </w:rPr>
        <w:t>5%</w:t>
      </w:r>
      <w:r>
        <w:rPr>
          <w:rFonts w:hint="eastAsia"/>
          <w:szCs w:val="21"/>
        </w:rPr>
        <w:t>，为此策略类别贡献不少。此外，龙旗、大岩和国金这几家知名机构旗下的对冲产品涨幅也都在</w:t>
      </w:r>
      <w:r>
        <w:rPr>
          <w:rFonts w:hint="eastAsia"/>
          <w:szCs w:val="21"/>
        </w:rPr>
        <w:t>3%</w:t>
      </w:r>
      <w:r>
        <w:rPr>
          <w:rFonts w:hint="eastAsia"/>
          <w:szCs w:val="21"/>
        </w:rPr>
        <w:t>以上。然而，由于去年</w:t>
      </w:r>
      <w:r>
        <w:rPr>
          <w:rFonts w:hint="eastAsia"/>
          <w:szCs w:val="21"/>
        </w:rPr>
        <w:t>12</w:t>
      </w:r>
      <w:r>
        <w:rPr>
          <w:rFonts w:hint="eastAsia"/>
          <w:szCs w:val="21"/>
        </w:rPr>
        <w:t>月份大盘股暴涨对于这类产品造成了较大冲击，很多市场中性基金虽然在一月份有不错的表现，净值也只是刚回到面值。此外，个别成立较晚并在</w:t>
      </w:r>
      <w:r>
        <w:rPr>
          <w:rFonts w:hint="eastAsia"/>
          <w:szCs w:val="21"/>
        </w:rPr>
        <w:t>12</w:t>
      </w:r>
      <w:r>
        <w:rPr>
          <w:rFonts w:hint="eastAsia"/>
          <w:szCs w:val="21"/>
        </w:rPr>
        <w:t>月遭受重创的对冲基金目前的净值仍停留在面值以下。</w:t>
      </w:r>
    </w:p>
    <w:p w:rsidR="00755D53" w:rsidRDefault="00763426" w:rsidP="00AF2341">
      <w:pPr>
        <w:spacing w:beforeLines="50" w:afterLines="50" w:line="360" w:lineRule="auto"/>
        <w:ind w:firstLineChars="200" w:firstLine="420"/>
        <w:rPr>
          <w:szCs w:val="21"/>
        </w:rPr>
      </w:pPr>
      <w:r>
        <w:rPr>
          <w:rFonts w:hint="eastAsia"/>
          <w:szCs w:val="21"/>
        </w:rPr>
        <w:t>分析</w:t>
      </w:r>
      <w:r>
        <w:rPr>
          <w:rFonts w:hint="eastAsia"/>
          <w:szCs w:val="21"/>
        </w:rPr>
        <w:t>1</w:t>
      </w:r>
      <w:r>
        <w:rPr>
          <w:rFonts w:hint="eastAsia"/>
          <w:szCs w:val="21"/>
        </w:rPr>
        <w:t>月份市场中性策略的表现，市值因子的贡献估计仍是主要因素。</w:t>
      </w:r>
      <w:r>
        <w:rPr>
          <w:rFonts w:hint="eastAsia"/>
          <w:szCs w:val="21"/>
        </w:rPr>
        <w:t>1</w:t>
      </w:r>
      <w:r>
        <w:rPr>
          <w:rFonts w:hint="eastAsia"/>
          <w:szCs w:val="21"/>
        </w:rPr>
        <w:t>月份，中证</w:t>
      </w:r>
      <w:r>
        <w:rPr>
          <w:rFonts w:hint="eastAsia"/>
          <w:szCs w:val="21"/>
        </w:rPr>
        <w:t>100</w:t>
      </w:r>
      <w:r>
        <w:rPr>
          <w:rFonts w:hint="eastAsia"/>
          <w:szCs w:val="21"/>
        </w:rPr>
        <w:t>下跌</w:t>
      </w:r>
      <w:r>
        <w:rPr>
          <w:rFonts w:hint="eastAsia"/>
          <w:szCs w:val="21"/>
        </w:rPr>
        <w:t>5.50%</w:t>
      </w:r>
      <w:r>
        <w:rPr>
          <w:rFonts w:hint="eastAsia"/>
          <w:szCs w:val="21"/>
        </w:rPr>
        <w:t>，中证</w:t>
      </w:r>
      <w:r>
        <w:rPr>
          <w:rFonts w:hint="eastAsia"/>
          <w:szCs w:val="21"/>
        </w:rPr>
        <w:t>500</w:t>
      </w:r>
      <w:r>
        <w:rPr>
          <w:rFonts w:hint="eastAsia"/>
          <w:szCs w:val="21"/>
        </w:rPr>
        <w:t>上涨</w:t>
      </w:r>
      <w:r>
        <w:rPr>
          <w:rFonts w:hint="eastAsia"/>
          <w:szCs w:val="21"/>
        </w:rPr>
        <w:t>5.82%</w:t>
      </w:r>
      <w:r>
        <w:rPr>
          <w:rFonts w:hint="eastAsia"/>
          <w:szCs w:val="21"/>
        </w:rPr>
        <w:t>。大盘股暴跌，小盘股超涨，市场风格呈现再次切换之势。此外，基差的变动也给对冲基金贡献不少。</w:t>
      </w:r>
      <w:r>
        <w:rPr>
          <w:rFonts w:hint="eastAsia"/>
          <w:szCs w:val="21"/>
        </w:rPr>
        <w:t>12</w:t>
      </w:r>
      <w:r>
        <w:rPr>
          <w:rFonts w:hint="eastAsia"/>
          <w:szCs w:val="21"/>
        </w:rPr>
        <w:t>月份沪深</w:t>
      </w:r>
      <w:r>
        <w:rPr>
          <w:rFonts w:hint="eastAsia"/>
          <w:szCs w:val="21"/>
        </w:rPr>
        <w:t>300</w:t>
      </w:r>
      <w:r>
        <w:rPr>
          <w:rFonts w:hint="eastAsia"/>
          <w:szCs w:val="21"/>
        </w:rPr>
        <w:t>的大涨使得期货合约基差大幅扩大，最高时期盘中基差超过百点。而随着市场的回落，基差也在</w:t>
      </w:r>
      <w:r>
        <w:rPr>
          <w:rFonts w:hint="eastAsia"/>
          <w:szCs w:val="21"/>
        </w:rPr>
        <w:t>1</w:t>
      </w:r>
      <w:r>
        <w:rPr>
          <w:rFonts w:hint="eastAsia"/>
          <w:szCs w:val="21"/>
        </w:rPr>
        <w:t>月份大幅回落，仅基差回落对市场中性产生的贡献就高达</w:t>
      </w:r>
      <w:r>
        <w:rPr>
          <w:rFonts w:hint="eastAsia"/>
          <w:szCs w:val="21"/>
        </w:rPr>
        <w:t>1.8%</w:t>
      </w:r>
      <w:r>
        <w:rPr>
          <w:rFonts w:hint="eastAsia"/>
          <w:szCs w:val="21"/>
        </w:rPr>
        <w:t>。无可否认，过去单一靠沪深</w:t>
      </w:r>
      <w:r>
        <w:rPr>
          <w:rFonts w:hint="eastAsia"/>
          <w:szCs w:val="21"/>
        </w:rPr>
        <w:t>300</w:t>
      </w:r>
      <w:r>
        <w:rPr>
          <w:rFonts w:hint="eastAsia"/>
          <w:szCs w:val="21"/>
        </w:rPr>
        <w:t>股指期货来进行对冲的策略问题多多。市场中性策略要想达到更好的绝对收益效果，除了策略的不断研发和改进，还需要融券、股票期权等更为丰富的对冲手段。</w:t>
      </w:r>
    </w:p>
    <w:tbl>
      <w:tblPr>
        <w:tblW w:w="10221" w:type="dxa"/>
        <w:tblInd w:w="93" w:type="dxa"/>
        <w:tblLayout w:type="fixed"/>
        <w:tblLook w:val="04A0"/>
      </w:tblPr>
      <w:tblGrid>
        <w:gridCol w:w="2454"/>
        <w:gridCol w:w="1134"/>
        <w:gridCol w:w="1134"/>
        <w:gridCol w:w="1134"/>
        <w:gridCol w:w="992"/>
        <w:gridCol w:w="992"/>
        <w:gridCol w:w="993"/>
        <w:gridCol w:w="1388"/>
      </w:tblGrid>
      <w:tr w:rsidR="00755D53">
        <w:trPr>
          <w:trHeight w:val="270"/>
        </w:trPr>
        <w:tc>
          <w:tcPr>
            <w:tcW w:w="10221" w:type="dxa"/>
            <w:gridSpan w:val="8"/>
            <w:tcBorders>
              <w:top w:val="single" w:sz="4" w:space="0" w:color="000000"/>
              <w:left w:val="single" w:sz="4" w:space="0" w:color="000000"/>
              <w:bottom w:val="single" w:sz="4" w:space="0" w:color="000000"/>
              <w:right w:val="single" w:sz="4" w:space="0" w:color="000000"/>
            </w:tcBorders>
            <w:shd w:val="clear" w:color="auto" w:fill="E0E0E0"/>
            <w:vAlign w:val="center"/>
          </w:tcPr>
          <w:p w:rsidR="00755D53" w:rsidRDefault="00763426">
            <w:pPr>
              <w:widowControl/>
              <w:jc w:val="left"/>
              <w:rPr>
                <w:b/>
                <w:bCs/>
                <w:kern w:val="0"/>
                <w:szCs w:val="21"/>
              </w:rPr>
            </w:pPr>
            <w:r>
              <w:rPr>
                <w:b/>
                <w:bCs/>
                <w:kern w:val="0"/>
                <w:szCs w:val="21"/>
              </w:rPr>
              <w:t>近</w:t>
            </w:r>
            <w:r>
              <w:rPr>
                <w:b/>
                <w:bCs/>
                <w:kern w:val="0"/>
                <w:szCs w:val="21"/>
              </w:rPr>
              <w:t>1</w:t>
            </w:r>
            <w:r>
              <w:rPr>
                <w:rFonts w:ascii="宋体" w:hAnsi="宋体"/>
                <w:b/>
                <w:bCs/>
                <w:kern w:val="0"/>
                <w:szCs w:val="21"/>
              </w:rPr>
              <w:t>月收益率排名前</w:t>
            </w:r>
            <w:r>
              <w:rPr>
                <w:b/>
                <w:bCs/>
                <w:kern w:val="0"/>
                <w:szCs w:val="21"/>
              </w:rPr>
              <w:t>10</w:t>
            </w:r>
            <w:r>
              <w:rPr>
                <w:rFonts w:ascii="宋体" w:hAnsi="宋体"/>
                <w:b/>
                <w:bCs/>
                <w:kern w:val="0"/>
                <w:szCs w:val="21"/>
              </w:rPr>
              <w:t>位的</w:t>
            </w:r>
            <w:r>
              <w:rPr>
                <w:rFonts w:ascii="宋体" w:hAnsi="宋体" w:hint="eastAsia"/>
                <w:b/>
                <w:bCs/>
                <w:kern w:val="0"/>
                <w:szCs w:val="21"/>
              </w:rPr>
              <w:t>市场中性型</w:t>
            </w:r>
            <w:r>
              <w:rPr>
                <w:b/>
                <w:bCs/>
                <w:kern w:val="0"/>
                <w:szCs w:val="21"/>
              </w:rPr>
              <w:t>私募基金产品</w:t>
            </w:r>
          </w:p>
        </w:tc>
      </w:tr>
      <w:tr w:rsidR="00755D53">
        <w:trPr>
          <w:trHeight w:val="270"/>
        </w:trPr>
        <w:tc>
          <w:tcPr>
            <w:tcW w:w="2454" w:type="dxa"/>
            <w:tcBorders>
              <w:top w:val="nil"/>
              <w:left w:val="single" w:sz="4" w:space="0" w:color="000000"/>
              <w:bottom w:val="single" w:sz="4" w:space="0" w:color="000000"/>
              <w:right w:val="single" w:sz="4" w:space="0" w:color="000000"/>
            </w:tcBorders>
            <w:vAlign w:val="center"/>
          </w:tcPr>
          <w:p w:rsidR="00755D53" w:rsidRDefault="00763426">
            <w:pPr>
              <w:widowControl/>
              <w:jc w:val="left"/>
              <w:rPr>
                <w:b/>
                <w:kern w:val="0"/>
                <w:sz w:val="18"/>
                <w:szCs w:val="18"/>
              </w:rPr>
            </w:pPr>
            <w:r>
              <w:rPr>
                <w:b/>
                <w:kern w:val="0"/>
                <w:sz w:val="18"/>
                <w:szCs w:val="18"/>
              </w:rPr>
              <w:t>产品名称</w:t>
            </w:r>
          </w:p>
        </w:tc>
        <w:tc>
          <w:tcPr>
            <w:tcW w:w="1134"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投资顾问</w:t>
            </w:r>
          </w:p>
        </w:tc>
        <w:tc>
          <w:tcPr>
            <w:tcW w:w="1134"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基金经理</w:t>
            </w:r>
          </w:p>
        </w:tc>
        <w:tc>
          <w:tcPr>
            <w:tcW w:w="1134"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受托人</w:t>
            </w:r>
          </w:p>
        </w:tc>
        <w:tc>
          <w:tcPr>
            <w:tcW w:w="992"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成立日期</w:t>
            </w:r>
          </w:p>
        </w:tc>
        <w:tc>
          <w:tcPr>
            <w:tcW w:w="992"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净值日期</w:t>
            </w:r>
          </w:p>
        </w:tc>
        <w:tc>
          <w:tcPr>
            <w:tcW w:w="993"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最新净值</w:t>
            </w:r>
          </w:p>
        </w:tc>
        <w:tc>
          <w:tcPr>
            <w:tcW w:w="1388" w:type="dxa"/>
            <w:tcBorders>
              <w:top w:val="nil"/>
              <w:left w:val="nil"/>
              <w:bottom w:val="single" w:sz="4" w:space="0" w:color="000000"/>
              <w:right w:val="single" w:sz="4" w:space="0" w:color="000000"/>
            </w:tcBorders>
            <w:vAlign w:val="center"/>
          </w:tcPr>
          <w:p w:rsidR="00755D53" w:rsidRDefault="00763426">
            <w:pPr>
              <w:widowControl/>
              <w:jc w:val="center"/>
              <w:rPr>
                <w:b/>
                <w:kern w:val="0"/>
                <w:sz w:val="18"/>
                <w:szCs w:val="18"/>
              </w:rPr>
            </w:pPr>
            <w:r>
              <w:rPr>
                <w:b/>
                <w:kern w:val="0"/>
                <w:sz w:val="18"/>
                <w:szCs w:val="18"/>
              </w:rPr>
              <w:t>近</w:t>
            </w:r>
            <w:r>
              <w:rPr>
                <w:b/>
                <w:kern w:val="0"/>
                <w:sz w:val="18"/>
                <w:szCs w:val="18"/>
              </w:rPr>
              <w:t>1</w:t>
            </w:r>
            <w:r>
              <w:rPr>
                <w:b/>
                <w:kern w:val="0"/>
                <w:sz w:val="18"/>
                <w:szCs w:val="18"/>
              </w:rPr>
              <w:t>月收益率</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长安喜世润天恒盈</w:t>
            </w:r>
            <w:r>
              <w:rPr>
                <w:rFonts w:hint="eastAsia"/>
                <w:kern w:val="0"/>
                <w:sz w:val="18"/>
                <w:szCs w:val="18"/>
              </w:rPr>
              <w:t>5</w:t>
            </w:r>
            <w:r>
              <w:rPr>
                <w:rFonts w:hint="eastAsia"/>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喜世润投资</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关歆</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长安基金</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20141212</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1.111</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9.14%</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长安喜世润盈喜</w:t>
            </w:r>
            <w:r>
              <w:rPr>
                <w:rFonts w:hint="eastAsia"/>
                <w:kern w:val="0"/>
                <w:sz w:val="18"/>
                <w:szCs w:val="18"/>
              </w:rPr>
              <w:t>1</w:t>
            </w:r>
            <w:r>
              <w:rPr>
                <w:rFonts w:hint="eastAsia"/>
                <w:kern w:val="0"/>
                <w:sz w:val="18"/>
                <w:szCs w:val="18"/>
              </w:rPr>
              <w:t>号</w:t>
            </w:r>
            <w:r>
              <w:rPr>
                <w:rFonts w:hint="eastAsia"/>
                <w:kern w:val="0"/>
                <w:sz w:val="18"/>
                <w:szCs w:val="18"/>
              </w:rPr>
              <w:t>(</w:t>
            </w:r>
            <w:r>
              <w:rPr>
                <w:rFonts w:hint="eastAsia"/>
                <w:kern w:val="0"/>
                <w:sz w:val="18"/>
                <w:szCs w:val="18"/>
              </w:rPr>
              <w:t>展期</w:t>
            </w:r>
            <w:r>
              <w:rPr>
                <w:rFonts w:hint="eastAsia"/>
                <w:kern w:val="0"/>
                <w:sz w:val="18"/>
                <w:szCs w:val="18"/>
              </w:rPr>
              <w:t>)</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喜世润投资</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关歆</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长安基金</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20141108</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1.077</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8.79%</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长安喜世润天恒盈</w:t>
            </w:r>
            <w:r>
              <w:rPr>
                <w:rFonts w:hint="eastAsia"/>
                <w:kern w:val="0"/>
                <w:sz w:val="18"/>
                <w:szCs w:val="18"/>
              </w:rPr>
              <w:t>3</w:t>
            </w:r>
            <w:r>
              <w:rPr>
                <w:rFonts w:hint="eastAsia"/>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喜世润投资</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关歆</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长安基金</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20140804</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1.291</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8.76%</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尊嘉</w:t>
            </w:r>
            <w:r>
              <w:rPr>
                <w:rFonts w:hint="eastAsia"/>
                <w:kern w:val="0"/>
                <w:sz w:val="18"/>
                <w:szCs w:val="18"/>
              </w:rPr>
              <w:t>ALPHA1</w:t>
            </w:r>
            <w:r>
              <w:rPr>
                <w:rFonts w:hint="eastAsia"/>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尊嘉资产</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宋炳山</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外贸信托</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20130107</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1.0637</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7.57%</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泓信泓利量化对冲</w:t>
            </w:r>
            <w:r>
              <w:rPr>
                <w:rFonts w:hint="eastAsia"/>
                <w:kern w:val="0"/>
                <w:sz w:val="18"/>
                <w:szCs w:val="18"/>
              </w:rPr>
              <w:t>1</w:t>
            </w:r>
            <w:r>
              <w:rPr>
                <w:rFonts w:hint="eastAsia"/>
                <w:kern w:val="0"/>
                <w:sz w:val="18"/>
                <w:szCs w:val="18"/>
              </w:rPr>
              <w:t>期</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泓信</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尹克</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外贸信托</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20141218</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1.0706</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6.61%</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朱雀阿尔法</w:t>
            </w:r>
            <w:r>
              <w:rPr>
                <w:rFonts w:hint="eastAsia"/>
                <w:kern w:val="0"/>
                <w:sz w:val="18"/>
                <w:szCs w:val="18"/>
              </w:rPr>
              <w:t>8</w:t>
            </w:r>
            <w:r>
              <w:rPr>
                <w:rFonts w:hint="eastAsia"/>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朱雀</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李华轮</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国联安基金</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20130923</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1.078</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6.52%</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朱雀阿尔法</w:t>
            </w:r>
            <w:r>
              <w:rPr>
                <w:rFonts w:hint="eastAsia"/>
                <w:kern w:val="0"/>
                <w:sz w:val="18"/>
                <w:szCs w:val="18"/>
              </w:rPr>
              <w:t>7</w:t>
            </w:r>
            <w:r>
              <w:rPr>
                <w:rFonts w:hint="eastAsia"/>
                <w:kern w:val="0"/>
                <w:sz w:val="18"/>
                <w:szCs w:val="18"/>
              </w:rPr>
              <w:t>号专项</w:t>
            </w:r>
            <w:r>
              <w:rPr>
                <w:rFonts w:hint="eastAsia"/>
                <w:kern w:val="0"/>
                <w:sz w:val="18"/>
                <w:szCs w:val="18"/>
              </w:rPr>
              <w:t>1</w:t>
            </w:r>
            <w:r>
              <w:rPr>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朱雀</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李华轮</w:t>
            </w:r>
            <w:r>
              <w:rPr>
                <w:rFonts w:hint="eastAsia"/>
                <w:kern w:val="0"/>
                <w:sz w:val="18"/>
                <w:szCs w:val="18"/>
              </w:rPr>
              <w:t>,</w:t>
            </w:r>
            <w:r>
              <w:rPr>
                <w:rFonts w:hint="eastAsia"/>
                <w:kern w:val="0"/>
                <w:sz w:val="18"/>
                <w:szCs w:val="18"/>
              </w:rPr>
              <w:t>梁跃军</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兴业信托</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20130912</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1.0516</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5.98%</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朱雀阿尔法</w:t>
            </w:r>
            <w:r>
              <w:rPr>
                <w:rFonts w:hint="eastAsia"/>
                <w:kern w:val="0"/>
                <w:sz w:val="18"/>
                <w:szCs w:val="18"/>
              </w:rPr>
              <w:t>7</w:t>
            </w:r>
            <w:r>
              <w:rPr>
                <w:rFonts w:hint="eastAsia"/>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朱雀</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梁跃军</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兴业信托</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20130913</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1.0517</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5.98%</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知几合伙量化对冲</w:t>
            </w:r>
            <w:r>
              <w:rPr>
                <w:rFonts w:hint="eastAsia"/>
                <w:kern w:val="0"/>
                <w:sz w:val="18"/>
                <w:szCs w:val="18"/>
              </w:rPr>
              <w:t>01</w:t>
            </w:r>
            <w:r>
              <w:rPr>
                <w:rFonts w:hint="eastAsia"/>
                <w:kern w:val="0"/>
                <w:sz w:val="18"/>
                <w:szCs w:val="18"/>
              </w:rPr>
              <w:t>期</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知几投资</w:t>
            </w:r>
          </w:p>
        </w:tc>
        <w:tc>
          <w:tcPr>
            <w:tcW w:w="1134" w:type="dxa"/>
            <w:tcBorders>
              <w:top w:val="nil"/>
              <w:left w:val="nil"/>
              <w:bottom w:val="single" w:sz="4" w:space="0" w:color="000000"/>
              <w:right w:val="single" w:sz="4" w:space="0" w:color="000000"/>
            </w:tcBorders>
          </w:tcPr>
          <w:p w:rsidR="00755D53" w:rsidRDefault="00755D53">
            <w:pPr>
              <w:jc w:val="center"/>
              <w:rPr>
                <w:kern w:val="0"/>
                <w:sz w:val="18"/>
                <w:szCs w:val="18"/>
              </w:rPr>
            </w:pP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中融信托</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20130808</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20150130</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1.2596</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5.76%</w:t>
            </w:r>
          </w:p>
        </w:tc>
      </w:tr>
      <w:tr w:rsidR="00755D53">
        <w:trPr>
          <w:trHeight w:val="270"/>
        </w:trPr>
        <w:tc>
          <w:tcPr>
            <w:tcW w:w="2454" w:type="dxa"/>
            <w:tcBorders>
              <w:top w:val="nil"/>
              <w:left w:val="single" w:sz="4" w:space="0" w:color="000000"/>
              <w:bottom w:val="single" w:sz="4" w:space="0" w:color="000000"/>
              <w:right w:val="single" w:sz="4" w:space="0" w:color="000000"/>
            </w:tcBorders>
          </w:tcPr>
          <w:p w:rsidR="00755D53" w:rsidRDefault="00763426">
            <w:pPr>
              <w:jc w:val="left"/>
              <w:rPr>
                <w:kern w:val="0"/>
                <w:sz w:val="18"/>
                <w:szCs w:val="18"/>
              </w:rPr>
            </w:pPr>
            <w:r>
              <w:rPr>
                <w:rFonts w:hint="eastAsia"/>
                <w:kern w:val="0"/>
                <w:sz w:val="18"/>
                <w:szCs w:val="18"/>
              </w:rPr>
              <w:t>海通海量阿尔法</w:t>
            </w:r>
            <w:r>
              <w:rPr>
                <w:rFonts w:hint="eastAsia"/>
                <w:kern w:val="0"/>
                <w:sz w:val="18"/>
                <w:szCs w:val="18"/>
              </w:rPr>
              <w:t>1</w:t>
            </w:r>
            <w:r>
              <w:rPr>
                <w:rFonts w:hint="eastAsia"/>
                <w:kern w:val="0"/>
                <w:sz w:val="18"/>
                <w:szCs w:val="18"/>
              </w:rPr>
              <w:t>号</w:t>
            </w: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海通证券</w:t>
            </w:r>
          </w:p>
        </w:tc>
        <w:tc>
          <w:tcPr>
            <w:tcW w:w="1134" w:type="dxa"/>
            <w:tcBorders>
              <w:top w:val="nil"/>
              <w:left w:val="nil"/>
              <w:bottom w:val="single" w:sz="4" w:space="0" w:color="000000"/>
              <w:right w:val="single" w:sz="4" w:space="0" w:color="000000"/>
            </w:tcBorders>
          </w:tcPr>
          <w:p w:rsidR="00755D53" w:rsidRDefault="00755D53">
            <w:pPr>
              <w:jc w:val="center"/>
              <w:rPr>
                <w:kern w:val="0"/>
                <w:sz w:val="18"/>
                <w:szCs w:val="18"/>
              </w:rPr>
            </w:pPr>
          </w:p>
        </w:tc>
        <w:tc>
          <w:tcPr>
            <w:tcW w:w="1134"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海通资管</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20120927</w:t>
            </w:r>
          </w:p>
        </w:tc>
        <w:tc>
          <w:tcPr>
            <w:tcW w:w="992"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20150205</w:t>
            </w:r>
          </w:p>
        </w:tc>
        <w:tc>
          <w:tcPr>
            <w:tcW w:w="993"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1.1083</w:t>
            </w:r>
          </w:p>
        </w:tc>
        <w:tc>
          <w:tcPr>
            <w:tcW w:w="1388" w:type="dxa"/>
            <w:tcBorders>
              <w:top w:val="nil"/>
              <w:left w:val="nil"/>
              <w:bottom w:val="single" w:sz="4" w:space="0" w:color="000000"/>
              <w:right w:val="single" w:sz="4" w:space="0" w:color="000000"/>
            </w:tcBorders>
          </w:tcPr>
          <w:p w:rsidR="00755D53" w:rsidRDefault="00763426">
            <w:pPr>
              <w:jc w:val="center"/>
              <w:rPr>
                <w:kern w:val="0"/>
                <w:sz w:val="18"/>
                <w:szCs w:val="18"/>
              </w:rPr>
            </w:pPr>
            <w:r>
              <w:rPr>
                <w:rFonts w:hint="eastAsia"/>
                <w:kern w:val="0"/>
                <w:sz w:val="18"/>
                <w:szCs w:val="18"/>
              </w:rPr>
              <w:t>5.70%</w:t>
            </w:r>
          </w:p>
        </w:tc>
      </w:tr>
    </w:tbl>
    <w:p w:rsidR="00755D53" w:rsidRDefault="00755D53">
      <w:pPr>
        <w:pStyle w:val="af0"/>
        <w:spacing w:before="50" w:after="50" w:line="360" w:lineRule="auto"/>
        <w:rPr>
          <w:rFonts w:ascii="Times New Roman" w:cs="Times New Roman"/>
          <w:sz w:val="21"/>
          <w:szCs w:val="21"/>
        </w:rPr>
      </w:pPr>
    </w:p>
    <w:p w:rsidR="00755D53" w:rsidRDefault="00763426" w:rsidP="00AF2341">
      <w:pPr>
        <w:autoSpaceDN w:val="0"/>
        <w:spacing w:beforeLines="50" w:afterLines="50" w:line="360" w:lineRule="auto"/>
      </w:pPr>
      <w:r>
        <w:rPr>
          <w:b/>
          <w:color w:val="DA0010"/>
          <w:szCs w:val="21"/>
        </w:rPr>
        <w:br w:type="page"/>
      </w:r>
      <w:r>
        <w:rPr>
          <w:b/>
          <w:color w:val="DA0010"/>
          <w:szCs w:val="21"/>
        </w:rPr>
        <w:lastRenderedPageBreak/>
        <w:t>免责条款：</w:t>
      </w:r>
    </w:p>
    <w:p w:rsidR="00755D53" w:rsidRDefault="00763426">
      <w:pPr>
        <w:spacing w:line="360" w:lineRule="auto"/>
        <w:ind w:rightChars="-13" w:right="-27"/>
        <w:rPr>
          <w:szCs w:val="21"/>
        </w:rPr>
      </w:pPr>
      <w:r>
        <w:rPr>
          <w:szCs w:val="21"/>
        </w:rPr>
        <w:t>本报告中的信息均来源于公开可获得资料，好买基金研究中心力求可靠，但对这些信息的准确性及完整性不做任何保证，获得报告的人士据此做出投资决策，应自行承担投资风险。本报告不对特定基金产品的价值和收益作出实质性判断和保证，亦不表明投资没有风险。本报告不构成针对个人的投资建议，也没有考虑个别客户特殊的投资目标、财务状况或需要。客户应考虑本报告中的任何意见或建议是否符合其特定状况。本报告仅向特定客户及伙伴传送，任何引用、转载以及向第三方传播的行为请预先通知好买，并请在引用、转载以及向第三方传播中注明出处。</w:t>
      </w:r>
    </w:p>
    <w:p w:rsidR="00755D53" w:rsidRDefault="00755D53">
      <w:pPr>
        <w:spacing w:line="360" w:lineRule="auto"/>
        <w:ind w:rightChars="-13" w:right="-27"/>
        <w:rPr>
          <w:szCs w:val="21"/>
        </w:rPr>
      </w:pPr>
    </w:p>
    <w:p w:rsidR="00755D53" w:rsidRDefault="00755D53">
      <w:pPr>
        <w:spacing w:line="360" w:lineRule="auto"/>
        <w:ind w:rightChars="-13" w:right="-27"/>
        <w:rPr>
          <w:b/>
          <w:color w:val="DA0010"/>
          <w:szCs w:val="21"/>
        </w:rPr>
      </w:pPr>
    </w:p>
    <w:p w:rsidR="00755D53" w:rsidRDefault="00755D53">
      <w:pPr>
        <w:spacing w:line="360" w:lineRule="auto"/>
        <w:ind w:rightChars="-13" w:right="-27"/>
        <w:rPr>
          <w:szCs w:val="21"/>
        </w:rPr>
      </w:pPr>
    </w:p>
    <w:sectPr w:rsidR="00755D53" w:rsidSect="00755D53">
      <w:headerReference w:type="default" r:id="rId13"/>
      <w:footerReference w:type="even" r:id="rId14"/>
      <w:footerReference w:type="default" r:id="rId15"/>
      <w:pgSz w:w="11906" w:h="16838"/>
      <w:pgMar w:top="567" w:right="851" w:bottom="998" w:left="85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426" w:rsidRDefault="00763426" w:rsidP="00755D53">
      <w:r>
        <w:separator/>
      </w:r>
    </w:p>
  </w:endnote>
  <w:endnote w:type="continuationSeparator" w:id="0">
    <w:p w:rsidR="00763426" w:rsidRDefault="00763426" w:rsidP="00755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汉仪楷体简">
    <w:altName w:val="宋体"/>
    <w:charset w:val="86"/>
    <w:family w:val="auto"/>
    <w:pitch w:val="default"/>
    <w:sig w:usb0="00000001"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汉仪大黑简">
    <w:altName w:val="宋体"/>
    <w:charset w:val="86"/>
    <w:family w:val="auto"/>
    <w:pitch w:val="default"/>
    <w:sig w:usb0="00000001" w:usb1="080E0800" w:usb2="00000012" w:usb3="00000000" w:csb0="00040000" w:csb1="00000000"/>
  </w:font>
  <w:font w:name="ˎ̥">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53" w:rsidRDefault="00755D53">
    <w:pPr>
      <w:pStyle w:val="ad"/>
      <w:framePr w:wrap="around" w:vAnchor="text" w:hAnchor="margin" w:xAlign="right" w:y="1"/>
      <w:rPr>
        <w:rStyle w:val="af3"/>
      </w:rPr>
    </w:pPr>
    <w:r>
      <w:fldChar w:fldCharType="begin"/>
    </w:r>
    <w:r w:rsidR="00763426">
      <w:rPr>
        <w:rStyle w:val="af3"/>
      </w:rPr>
      <w:instrText xml:space="preserve">PAGE  </w:instrText>
    </w:r>
    <w:r>
      <w:fldChar w:fldCharType="end"/>
    </w:r>
  </w:p>
  <w:p w:rsidR="00755D53" w:rsidRDefault="00755D53">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53" w:rsidRDefault="00755D53">
    <w:pPr>
      <w:pStyle w:val="ad"/>
      <w:framePr w:wrap="around" w:vAnchor="text" w:hAnchor="margin" w:xAlign="right" w:y="1"/>
      <w:rPr>
        <w:rStyle w:val="af3"/>
      </w:rPr>
    </w:pPr>
    <w:r>
      <w:fldChar w:fldCharType="begin"/>
    </w:r>
    <w:r w:rsidR="00763426">
      <w:rPr>
        <w:rStyle w:val="af3"/>
      </w:rPr>
      <w:instrText xml:space="preserve">PAGE  </w:instrText>
    </w:r>
    <w:r>
      <w:fldChar w:fldCharType="separate"/>
    </w:r>
    <w:r w:rsidR="00AF2341">
      <w:rPr>
        <w:rStyle w:val="af3"/>
        <w:noProof/>
      </w:rPr>
      <w:t>7</w:t>
    </w:r>
    <w:r>
      <w:fldChar w:fldCharType="end"/>
    </w:r>
  </w:p>
  <w:p w:rsidR="00755D53" w:rsidRDefault="00755D53">
    <w:pPr>
      <w:pStyle w:val="ad"/>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0" type="#_x0000_t75" style="position:absolute;margin-left:-45pt;margin-top:42pt;width:603pt;height:24.2pt;z-index:-3">
          <v:imagedata r:id="rId1" o:title=""/>
        </v:shape>
      </w:pict>
    </w:r>
    <w:r>
      <w:pict>
        <v:rect id="Text Box 18" o:spid="_x0000_s2049" style="position:absolute;margin-left:0;margin-top:40.25pt;width:153pt;height:23.4pt;z-index:3" o:preferrelative="t" filled="f" stroked="f">
          <v:textbox>
            <w:txbxContent>
              <w:p w:rsidR="00755D53" w:rsidRDefault="00763426">
                <w:pPr>
                  <w:rPr>
                    <w:rFonts w:ascii="楷体_GB2312" w:eastAsia="楷体_GB2312"/>
                    <w:color w:val="FFFFFF"/>
                    <w:sz w:val="18"/>
                    <w:szCs w:val="18"/>
                  </w:rPr>
                </w:pPr>
                <w:r>
                  <w:rPr>
                    <w:rFonts w:ascii="楷体_GB2312" w:eastAsia="楷体_GB2312" w:hint="eastAsia"/>
                    <w:color w:val="FFFFFF"/>
                    <w:sz w:val="18"/>
                    <w:szCs w:val="18"/>
                  </w:rPr>
                  <w:t>敬请参看文末免责条款</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426" w:rsidRDefault="00763426" w:rsidP="00755D53">
      <w:r>
        <w:separator/>
      </w:r>
    </w:p>
  </w:footnote>
  <w:footnote w:type="continuationSeparator" w:id="0">
    <w:p w:rsidR="00763426" w:rsidRDefault="00763426" w:rsidP="00755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53" w:rsidRDefault="00755D53">
    <w:pPr>
      <w:pStyle w:val="ae"/>
      <w:pBdr>
        <w:bottom w:val="none" w:sz="0" w:space="0" w:color="auto"/>
      </w:pBdr>
      <w:ind w:right="140"/>
      <w:jc w:val="right"/>
    </w:pPr>
    <w:r w:rsidRPr="00755D53">
      <w:rPr>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52" type="#_x0000_t75" style="position:absolute;left:0;text-align:left;margin-left:0;margin-top:-6.4pt;width:117pt;height:16.75pt;z-index:4">
          <v:imagedata r:id="rId1" o:title=""/>
        </v:shape>
      </w:pict>
    </w:r>
    <w:r w:rsidR="00763426">
      <w:rPr>
        <w:rFonts w:hint="eastAsia"/>
      </w:rPr>
      <w:t>私募基金月报</w:t>
    </w:r>
  </w:p>
  <w:p w:rsidR="00755D53" w:rsidRDefault="00755D53">
    <w:pPr>
      <w:pStyle w:val="ae"/>
      <w:pBdr>
        <w:bottom w:val="none" w:sz="0" w:space="0" w:color="auto"/>
      </w:pBdr>
      <w:ind w:right="-56"/>
      <w:jc w:val="right"/>
      <w:rPr>
        <w:sz w:val="52"/>
        <w:szCs w:val="52"/>
      </w:rPr>
    </w:pPr>
    <w:r>
      <w:rPr>
        <w:sz w:val="52"/>
        <w:szCs w:val="52"/>
      </w:rPr>
      <w:pict>
        <v:line id="Line 14" o:spid="_x0000_s2051" style="position:absolute;left:0;text-align:left;flip:y;z-index:1" from="0,5.35pt" to="513pt,5.4pt" o:preferrelative="t" strokecolor="silver" strokeweight=".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913EB"/>
    <w:multiLevelType w:val="multilevel"/>
    <w:tmpl w:val="3A6913EB"/>
    <w:lvl w:ilvl="0">
      <w:start w:val="1"/>
      <w:numFmt w:val="japaneseCounting"/>
      <w:lvlText w:val="%1、"/>
      <w:lvlJc w:val="left"/>
      <w:pPr>
        <w:ind w:left="510" w:hanging="51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31865BC"/>
    <w:multiLevelType w:val="multilevel"/>
    <w:tmpl w:val="631865B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D5B"/>
    <w:rsid w:val="0000471E"/>
    <w:rsid w:val="000109B4"/>
    <w:rsid w:val="00011864"/>
    <w:rsid w:val="00026A6D"/>
    <w:rsid w:val="00027626"/>
    <w:rsid w:val="00040568"/>
    <w:rsid w:val="00041A99"/>
    <w:rsid w:val="00045C86"/>
    <w:rsid w:val="0005151B"/>
    <w:rsid w:val="000553E6"/>
    <w:rsid w:val="00056996"/>
    <w:rsid w:val="00072771"/>
    <w:rsid w:val="00083376"/>
    <w:rsid w:val="00090871"/>
    <w:rsid w:val="000919F3"/>
    <w:rsid w:val="000942CE"/>
    <w:rsid w:val="000A121F"/>
    <w:rsid w:val="000A4E9F"/>
    <w:rsid w:val="000A4FBF"/>
    <w:rsid w:val="000B0B0D"/>
    <w:rsid w:val="000B3146"/>
    <w:rsid w:val="000C1280"/>
    <w:rsid w:val="000C4B1D"/>
    <w:rsid w:val="000C66C4"/>
    <w:rsid w:val="000D0705"/>
    <w:rsid w:val="000D3B76"/>
    <w:rsid w:val="000D4496"/>
    <w:rsid w:val="000D5800"/>
    <w:rsid w:val="000E6851"/>
    <w:rsid w:val="000E7E5F"/>
    <w:rsid w:val="000F2DCC"/>
    <w:rsid w:val="000F70A0"/>
    <w:rsid w:val="00100096"/>
    <w:rsid w:val="001001C4"/>
    <w:rsid w:val="00100470"/>
    <w:rsid w:val="0010124B"/>
    <w:rsid w:val="00103CCF"/>
    <w:rsid w:val="001065FF"/>
    <w:rsid w:val="00111888"/>
    <w:rsid w:val="00114FB6"/>
    <w:rsid w:val="001225C6"/>
    <w:rsid w:val="0013604F"/>
    <w:rsid w:val="001366A4"/>
    <w:rsid w:val="00141CA2"/>
    <w:rsid w:val="0014749D"/>
    <w:rsid w:val="00157834"/>
    <w:rsid w:val="00163F9D"/>
    <w:rsid w:val="00166359"/>
    <w:rsid w:val="00172A27"/>
    <w:rsid w:val="00172AEE"/>
    <w:rsid w:val="00182B2A"/>
    <w:rsid w:val="0019172D"/>
    <w:rsid w:val="00193B09"/>
    <w:rsid w:val="001A58AF"/>
    <w:rsid w:val="001B2E2B"/>
    <w:rsid w:val="001B77CB"/>
    <w:rsid w:val="001C0029"/>
    <w:rsid w:val="001C121C"/>
    <w:rsid w:val="001C7C5C"/>
    <w:rsid w:val="001D2A2E"/>
    <w:rsid w:val="001E2536"/>
    <w:rsid w:val="001E72DB"/>
    <w:rsid w:val="001F0982"/>
    <w:rsid w:val="001F11B3"/>
    <w:rsid w:val="001F2059"/>
    <w:rsid w:val="002025A1"/>
    <w:rsid w:val="00211966"/>
    <w:rsid w:val="00214A18"/>
    <w:rsid w:val="00217210"/>
    <w:rsid w:val="00221B46"/>
    <w:rsid w:val="00223C48"/>
    <w:rsid w:val="002243CD"/>
    <w:rsid w:val="00225F2D"/>
    <w:rsid w:val="00231C5D"/>
    <w:rsid w:val="0023204A"/>
    <w:rsid w:val="00236DB2"/>
    <w:rsid w:val="00245648"/>
    <w:rsid w:val="00246524"/>
    <w:rsid w:val="0025701B"/>
    <w:rsid w:val="0025785B"/>
    <w:rsid w:val="0025793D"/>
    <w:rsid w:val="00260B89"/>
    <w:rsid w:val="00267D14"/>
    <w:rsid w:val="002703F2"/>
    <w:rsid w:val="00275B5A"/>
    <w:rsid w:val="00275F65"/>
    <w:rsid w:val="00277954"/>
    <w:rsid w:val="00284C85"/>
    <w:rsid w:val="002858AA"/>
    <w:rsid w:val="00286144"/>
    <w:rsid w:val="00291FC1"/>
    <w:rsid w:val="00293337"/>
    <w:rsid w:val="00296FF7"/>
    <w:rsid w:val="002A4722"/>
    <w:rsid w:val="002A6AB0"/>
    <w:rsid w:val="002B087E"/>
    <w:rsid w:val="002C18D5"/>
    <w:rsid w:val="002C29D3"/>
    <w:rsid w:val="002C488A"/>
    <w:rsid w:val="002C4C92"/>
    <w:rsid w:val="002C721D"/>
    <w:rsid w:val="002C761C"/>
    <w:rsid w:val="002D364B"/>
    <w:rsid w:val="002D41CC"/>
    <w:rsid w:val="002F035E"/>
    <w:rsid w:val="002F7A43"/>
    <w:rsid w:val="002F7AB2"/>
    <w:rsid w:val="00315864"/>
    <w:rsid w:val="00323200"/>
    <w:rsid w:val="003268B9"/>
    <w:rsid w:val="00330914"/>
    <w:rsid w:val="00364C0D"/>
    <w:rsid w:val="003A00EE"/>
    <w:rsid w:val="003A305E"/>
    <w:rsid w:val="003C08DE"/>
    <w:rsid w:val="003C4596"/>
    <w:rsid w:val="003C743F"/>
    <w:rsid w:val="003D53CC"/>
    <w:rsid w:val="003D5559"/>
    <w:rsid w:val="003E05EC"/>
    <w:rsid w:val="003E512D"/>
    <w:rsid w:val="003E6E7C"/>
    <w:rsid w:val="003F4798"/>
    <w:rsid w:val="00402885"/>
    <w:rsid w:val="00412AF1"/>
    <w:rsid w:val="00420CB6"/>
    <w:rsid w:val="00426A53"/>
    <w:rsid w:val="00427BFD"/>
    <w:rsid w:val="00430EFA"/>
    <w:rsid w:val="004407AD"/>
    <w:rsid w:val="00440DD9"/>
    <w:rsid w:val="00473373"/>
    <w:rsid w:val="00480729"/>
    <w:rsid w:val="004952C2"/>
    <w:rsid w:val="00495A3D"/>
    <w:rsid w:val="004B0201"/>
    <w:rsid w:val="004B04E3"/>
    <w:rsid w:val="004B1894"/>
    <w:rsid w:val="004B53D8"/>
    <w:rsid w:val="004C30C1"/>
    <w:rsid w:val="004E3F44"/>
    <w:rsid w:val="00503F23"/>
    <w:rsid w:val="00506270"/>
    <w:rsid w:val="005121D2"/>
    <w:rsid w:val="00516806"/>
    <w:rsid w:val="00527AA7"/>
    <w:rsid w:val="005352AF"/>
    <w:rsid w:val="005359A6"/>
    <w:rsid w:val="005361AE"/>
    <w:rsid w:val="005401E9"/>
    <w:rsid w:val="005421DC"/>
    <w:rsid w:val="00544DB9"/>
    <w:rsid w:val="00545E7C"/>
    <w:rsid w:val="00550053"/>
    <w:rsid w:val="005536D4"/>
    <w:rsid w:val="005548A6"/>
    <w:rsid w:val="00556FA2"/>
    <w:rsid w:val="00557FF0"/>
    <w:rsid w:val="00576084"/>
    <w:rsid w:val="00582D8E"/>
    <w:rsid w:val="00585C87"/>
    <w:rsid w:val="005A1371"/>
    <w:rsid w:val="005A2ED0"/>
    <w:rsid w:val="005C6FC4"/>
    <w:rsid w:val="005D45C6"/>
    <w:rsid w:val="005D675B"/>
    <w:rsid w:val="005E6615"/>
    <w:rsid w:val="005F33EE"/>
    <w:rsid w:val="00601444"/>
    <w:rsid w:val="00603BFB"/>
    <w:rsid w:val="00604FDF"/>
    <w:rsid w:val="006126B4"/>
    <w:rsid w:val="0061485B"/>
    <w:rsid w:val="00623E81"/>
    <w:rsid w:val="0062685D"/>
    <w:rsid w:val="00627FBF"/>
    <w:rsid w:val="00631F92"/>
    <w:rsid w:val="00643D54"/>
    <w:rsid w:val="0064573E"/>
    <w:rsid w:val="00655F0D"/>
    <w:rsid w:val="006666D5"/>
    <w:rsid w:val="00673B1F"/>
    <w:rsid w:val="00674747"/>
    <w:rsid w:val="0068084B"/>
    <w:rsid w:val="00681C37"/>
    <w:rsid w:val="00693D1A"/>
    <w:rsid w:val="00694001"/>
    <w:rsid w:val="00694B15"/>
    <w:rsid w:val="006962B7"/>
    <w:rsid w:val="006A3583"/>
    <w:rsid w:val="006A78DB"/>
    <w:rsid w:val="006B05D2"/>
    <w:rsid w:val="006B39F3"/>
    <w:rsid w:val="006C7834"/>
    <w:rsid w:val="006E2214"/>
    <w:rsid w:val="006E6066"/>
    <w:rsid w:val="006F243E"/>
    <w:rsid w:val="00701C23"/>
    <w:rsid w:val="00716BD8"/>
    <w:rsid w:val="00725CA0"/>
    <w:rsid w:val="00730F94"/>
    <w:rsid w:val="0074132A"/>
    <w:rsid w:val="00741D41"/>
    <w:rsid w:val="00743229"/>
    <w:rsid w:val="00745D8C"/>
    <w:rsid w:val="00755D53"/>
    <w:rsid w:val="00763426"/>
    <w:rsid w:val="007759B4"/>
    <w:rsid w:val="00776148"/>
    <w:rsid w:val="00792AD9"/>
    <w:rsid w:val="0079599B"/>
    <w:rsid w:val="0079664C"/>
    <w:rsid w:val="007A117C"/>
    <w:rsid w:val="007C62F4"/>
    <w:rsid w:val="007D47F5"/>
    <w:rsid w:val="007F5C7F"/>
    <w:rsid w:val="007F780A"/>
    <w:rsid w:val="00801AB3"/>
    <w:rsid w:val="00805B16"/>
    <w:rsid w:val="00817CD1"/>
    <w:rsid w:val="00820F75"/>
    <w:rsid w:val="0082162F"/>
    <w:rsid w:val="0082679E"/>
    <w:rsid w:val="008277A1"/>
    <w:rsid w:val="008417E4"/>
    <w:rsid w:val="008459FE"/>
    <w:rsid w:val="008606C0"/>
    <w:rsid w:val="00862A3E"/>
    <w:rsid w:val="008753B4"/>
    <w:rsid w:val="00876EEF"/>
    <w:rsid w:val="0088300B"/>
    <w:rsid w:val="008847B1"/>
    <w:rsid w:val="00884A17"/>
    <w:rsid w:val="00884C8A"/>
    <w:rsid w:val="00885273"/>
    <w:rsid w:val="0089767C"/>
    <w:rsid w:val="008A3769"/>
    <w:rsid w:val="008B3ECD"/>
    <w:rsid w:val="008C2069"/>
    <w:rsid w:val="008C23C5"/>
    <w:rsid w:val="008C4746"/>
    <w:rsid w:val="008C745D"/>
    <w:rsid w:val="008D03BB"/>
    <w:rsid w:val="008D751F"/>
    <w:rsid w:val="008E4633"/>
    <w:rsid w:val="008E7ADB"/>
    <w:rsid w:val="008F697F"/>
    <w:rsid w:val="008F75B2"/>
    <w:rsid w:val="009013C2"/>
    <w:rsid w:val="0090604E"/>
    <w:rsid w:val="00913BDB"/>
    <w:rsid w:val="0092608E"/>
    <w:rsid w:val="00931B4C"/>
    <w:rsid w:val="00931F44"/>
    <w:rsid w:val="00943182"/>
    <w:rsid w:val="0094349E"/>
    <w:rsid w:val="00946B60"/>
    <w:rsid w:val="0096081A"/>
    <w:rsid w:val="00962270"/>
    <w:rsid w:val="00964D78"/>
    <w:rsid w:val="00966490"/>
    <w:rsid w:val="00977824"/>
    <w:rsid w:val="00987B78"/>
    <w:rsid w:val="00990D59"/>
    <w:rsid w:val="009929BC"/>
    <w:rsid w:val="00993857"/>
    <w:rsid w:val="009A7048"/>
    <w:rsid w:val="009B6E82"/>
    <w:rsid w:val="009B7241"/>
    <w:rsid w:val="009C1638"/>
    <w:rsid w:val="009C5040"/>
    <w:rsid w:val="009C52E5"/>
    <w:rsid w:val="009D5539"/>
    <w:rsid w:val="009E6FAC"/>
    <w:rsid w:val="009E7037"/>
    <w:rsid w:val="00A04E92"/>
    <w:rsid w:val="00A0507B"/>
    <w:rsid w:val="00A07F4D"/>
    <w:rsid w:val="00A21AC0"/>
    <w:rsid w:val="00A22971"/>
    <w:rsid w:val="00A31CAF"/>
    <w:rsid w:val="00A35EE4"/>
    <w:rsid w:val="00A36BFE"/>
    <w:rsid w:val="00A43FCE"/>
    <w:rsid w:val="00A45505"/>
    <w:rsid w:val="00A4634B"/>
    <w:rsid w:val="00A46F52"/>
    <w:rsid w:val="00A5372E"/>
    <w:rsid w:val="00A5397A"/>
    <w:rsid w:val="00A645ED"/>
    <w:rsid w:val="00A65B61"/>
    <w:rsid w:val="00A74997"/>
    <w:rsid w:val="00A82936"/>
    <w:rsid w:val="00A84905"/>
    <w:rsid w:val="00AA200C"/>
    <w:rsid w:val="00AA735A"/>
    <w:rsid w:val="00AB5412"/>
    <w:rsid w:val="00AB7957"/>
    <w:rsid w:val="00AD02BA"/>
    <w:rsid w:val="00AD19EA"/>
    <w:rsid w:val="00AD3C1D"/>
    <w:rsid w:val="00AD4E7A"/>
    <w:rsid w:val="00AD6382"/>
    <w:rsid w:val="00AE1D55"/>
    <w:rsid w:val="00AE35F3"/>
    <w:rsid w:val="00AF2341"/>
    <w:rsid w:val="00AF48FA"/>
    <w:rsid w:val="00B001DA"/>
    <w:rsid w:val="00B04B63"/>
    <w:rsid w:val="00B05C32"/>
    <w:rsid w:val="00B111EE"/>
    <w:rsid w:val="00B14F9E"/>
    <w:rsid w:val="00B17939"/>
    <w:rsid w:val="00B20C9A"/>
    <w:rsid w:val="00B21DC6"/>
    <w:rsid w:val="00B263F7"/>
    <w:rsid w:val="00B32472"/>
    <w:rsid w:val="00B617A4"/>
    <w:rsid w:val="00B66194"/>
    <w:rsid w:val="00B71C7D"/>
    <w:rsid w:val="00B74D43"/>
    <w:rsid w:val="00B75F46"/>
    <w:rsid w:val="00B764E7"/>
    <w:rsid w:val="00B812F6"/>
    <w:rsid w:val="00B84D28"/>
    <w:rsid w:val="00B90461"/>
    <w:rsid w:val="00BA1994"/>
    <w:rsid w:val="00BA37A4"/>
    <w:rsid w:val="00BB2AA9"/>
    <w:rsid w:val="00BC731A"/>
    <w:rsid w:val="00BC746A"/>
    <w:rsid w:val="00BD0898"/>
    <w:rsid w:val="00BD2DC8"/>
    <w:rsid w:val="00BE2C72"/>
    <w:rsid w:val="00BF5D52"/>
    <w:rsid w:val="00BF6176"/>
    <w:rsid w:val="00BF71F1"/>
    <w:rsid w:val="00C04218"/>
    <w:rsid w:val="00C05CAA"/>
    <w:rsid w:val="00C10B36"/>
    <w:rsid w:val="00C1633A"/>
    <w:rsid w:val="00C20D3C"/>
    <w:rsid w:val="00C238B6"/>
    <w:rsid w:val="00C31B4C"/>
    <w:rsid w:val="00C32266"/>
    <w:rsid w:val="00C5647C"/>
    <w:rsid w:val="00C64EC7"/>
    <w:rsid w:val="00C701D0"/>
    <w:rsid w:val="00C71E7E"/>
    <w:rsid w:val="00C805FB"/>
    <w:rsid w:val="00C8063A"/>
    <w:rsid w:val="00C81248"/>
    <w:rsid w:val="00C82719"/>
    <w:rsid w:val="00CA63DD"/>
    <w:rsid w:val="00CB3607"/>
    <w:rsid w:val="00CC1500"/>
    <w:rsid w:val="00CD07BB"/>
    <w:rsid w:val="00CD1C3B"/>
    <w:rsid w:val="00CE03C2"/>
    <w:rsid w:val="00CE276D"/>
    <w:rsid w:val="00CE4D34"/>
    <w:rsid w:val="00CE58C3"/>
    <w:rsid w:val="00D037E3"/>
    <w:rsid w:val="00D0757A"/>
    <w:rsid w:val="00D13EF6"/>
    <w:rsid w:val="00D32DE2"/>
    <w:rsid w:val="00D345B4"/>
    <w:rsid w:val="00D35C40"/>
    <w:rsid w:val="00D379CF"/>
    <w:rsid w:val="00D452AC"/>
    <w:rsid w:val="00D63174"/>
    <w:rsid w:val="00D672F5"/>
    <w:rsid w:val="00D74C1B"/>
    <w:rsid w:val="00D76012"/>
    <w:rsid w:val="00D771C2"/>
    <w:rsid w:val="00D802E0"/>
    <w:rsid w:val="00D83413"/>
    <w:rsid w:val="00D85910"/>
    <w:rsid w:val="00D95710"/>
    <w:rsid w:val="00DA27CB"/>
    <w:rsid w:val="00DA2AC3"/>
    <w:rsid w:val="00DA352B"/>
    <w:rsid w:val="00DA49D6"/>
    <w:rsid w:val="00DB35B8"/>
    <w:rsid w:val="00DB3B87"/>
    <w:rsid w:val="00DC2E06"/>
    <w:rsid w:val="00DC7652"/>
    <w:rsid w:val="00DF01C4"/>
    <w:rsid w:val="00DF4FF9"/>
    <w:rsid w:val="00E050FC"/>
    <w:rsid w:val="00E10D78"/>
    <w:rsid w:val="00E14945"/>
    <w:rsid w:val="00E160D8"/>
    <w:rsid w:val="00E2124F"/>
    <w:rsid w:val="00E22024"/>
    <w:rsid w:val="00E25F40"/>
    <w:rsid w:val="00E35ACE"/>
    <w:rsid w:val="00E64D02"/>
    <w:rsid w:val="00E727C1"/>
    <w:rsid w:val="00E76CE9"/>
    <w:rsid w:val="00E90C59"/>
    <w:rsid w:val="00E94094"/>
    <w:rsid w:val="00E95963"/>
    <w:rsid w:val="00E97290"/>
    <w:rsid w:val="00E97564"/>
    <w:rsid w:val="00EA499B"/>
    <w:rsid w:val="00EB1F4D"/>
    <w:rsid w:val="00EC170E"/>
    <w:rsid w:val="00ED4601"/>
    <w:rsid w:val="00EE212B"/>
    <w:rsid w:val="00EE4DD3"/>
    <w:rsid w:val="00EE5AB6"/>
    <w:rsid w:val="00EF0BEC"/>
    <w:rsid w:val="00EF22F4"/>
    <w:rsid w:val="00EF4124"/>
    <w:rsid w:val="00F01997"/>
    <w:rsid w:val="00F15BF7"/>
    <w:rsid w:val="00F43B6D"/>
    <w:rsid w:val="00F50E54"/>
    <w:rsid w:val="00F56690"/>
    <w:rsid w:val="00F56E43"/>
    <w:rsid w:val="00F64CC7"/>
    <w:rsid w:val="00F67A25"/>
    <w:rsid w:val="00F72928"/>
    <w:rsid w:val="00F737DF"/>
    <w:rsid w:val="00F808F8"/>
    <w:rsid w:val="00F818D4"/>
    <w:rsid w:val="00F84830"/>
    <w:rsid w:val="00F96A6A"/>
    <w:rsid w:val="00FB429A"/>
    <w:rsid w:val="00FB5416"/>
    <w:rsid w:val="00FB5C36"/>
    <w:rsid w:val="00FD2DDD"/>
    <w:rsid w:val="00FE199B"/>
    <w:rsid w:val="00FE3B55"/>
    <w:rsid w:val="00FE58F3"/>
    <w:rsid w:val="00FE63E3"/>
    <w:rsid w:val="00FF4A86"/>
    <w:rsid w:val="00FF66CB"/>
    <w:rsid w:val="071D3CB8"/>
    <w:rsid w:val="14A04D63"/>
    <w:rsid w:val="16B953D3"/>
    <w:rsid w:val="25A228CE"/>
    <w:rsid w:val="27DD184A"/>
    <w:rsid w:val="288F0997"/>
    <w:rsid w:val="2A8B2D5C"/>
    <w:rsid w:val="2E3F536B"/>
    <w:rsid w:val="39910700"/>
    <w:rsid w:val="41084A3F"/>
    <w:rsid w:val="4A205F2C"/>
    <w:rsid w:val="53BC416F"/>
    <w:rsid w:val="610F6C4A"/>
    <w:rsid w:val="61FF3FD4"/>
    <w:rsid w:val="685427BA"/>
    <w:rsid w:val="73763CFB"/>
    <w:rsid w:val="749F02E6"/>
    <w:rsid w:val="7BC80C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qFormat="1"/>
    <w:lsdException w:name="endnote reference" w:semiHidden="1"/>
    <w:lsdException w:name="endnote text" w:semiHidden="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5D53"/>
    <w:pPr>
      <w:widowControl w:val="0"/>
      <w:jc w:val="both"/>
    </w:pPr>
    <w:rPr>
      <w:kern w:val="2"/>
      <w:sz w:val="21"/>
      <w:szCs w:val="24"/>
    </w:rPr>
  </w:style>
  <w:style w:type="paragraph" w:styleId="1">
    <w:name w:val="heading 1"/>
    <w:basedOn w:val="a"/>
    <w:next w:val="a"/>
    <w:qFormat/>
    <w:rsid w:val="00755D53"/>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755D53"/>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755D5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755D53"/>
    <w:rPr>
      <w:b/>
      <w:bCs/>
    </w:rPr>
  </w:style>
  <w:style w:type="paragraph" w:styleId="a4">
    <w:name w:val="annotation text"/>
    <w:basedOn w:val="a"/>
    <w:semiHidden/>
    <w:rsid w:val="00755D53"/>
    <w:pPr>
      <w:jc w:val="left"/>
    </w:pPr>
  </w:style>
  <w:style w:type="paragraph" w:styleId="a5">
    <w:name w:val="Normal Indent"/>
    <w:basedOn w:val="a"/>
    <w:rsid w:val="00755D53"/>
    <w:pPr>
      <w:spacing w:beforeLines="50" w:line="288" w:lineRule="auto"/>
      <w:ind w:leftChars="1199" w:left="1199" w:firstLineChars="200" w:firstLine="200"/>
    </w:pPr>
    <w:rPr>
      <w:rFonts w:eastAsia="楷体_GB2312"/>
      <w:szCs w:val="20"/>
    </w:rPr>
  </w:style>
  <w:style w:type="paragraph" w:styleId="a6">
    <w:name w:val="caption"/>
    <w:basedOn w:val="a"/>
    <w:next w:val="a"/>
    <w:qFormat/>
    <w:rsid w:val="00755D53"/>
    <w:pPr>
      <w:spacing w:before="120" w:line="300" w:lineRule="auto"/>
      <w:ind w:leftChars="1200" w:left="2520"/>
      <w:jc w:val="center"/>
    </w:pPr>
    <w:rPr>
      <w:rFonts w:ascii="楷体_GB2312" w:eastAsia="楷体_GB2312" w:hAnsi="Arial" w:cs="Arial"/>
      <w:b/>
      <w:bCs/>
      <w:sz w:val="20"/>
      <w:szCs w:val="20"/>
    </w:rPr>
  </w:style>
  <w:style w:type="paragraph" w:styleId="30">
    <w:name w:val="Body Text 3"/>
    <w:basedOn w:val="a"/>
    <w:rsid w:val="00755D53"/>
    <w:rPr>
      <w:rFonts w:ascii="汉仪楷体简" w:eastAsia="汉仪楷体简"/>
      <w:color w:val="000000"/>
      <w:kern w:val="0"/>
      <w:sz w:val="18"/>
      <w:szCs w:val="16"/>
    </w:rPr>
  </w:style>
  <w:style w:type="paragraph" w:styleId="a7">
    <w:name w:val="Body Text"/>
    <w:basedOn w:val="a"/>
    <w:rsid w:val="00755D53"/>
    <w:pPr>
      <w:tabs>
        <w:tab w:val="left" w:pos="3045"/>
      </w:tabs>
      <w:ind w:rightChars="3409" w:right="7159"/>
    </w:pPr>
  </w:style>
  <w:style w:type="paragraph" w:styleId="a8">
    <w:name w:val="Body Text Indent"/>
    <w:basedOn w:val="a"/>
    <w:rsid w:val="00755D53"/>
    <w:pPr>
      <w:ind w:leftChars="1500" w:left="3150"/>
    </w:pPr>
    <w:rPr>
      <w:rFonts w:ascii="汉仪楷体简" w:eastAsia="汉仪楷体简"/>
      <w:color w:val="000000"/>
      <w:kern w:val="0"/>
      <w:sz w:val="18"/>
      <w:szCs w:val="16"/>
    </w:rPr>
  </w:style>
  <w:style w:type="paragraph" w:styleId="a9">
    <w:name w:val="Block Text"/>
    <w:basedOn w:val="a"/>
    <w:rsid w:val="00755D53"/>
    <w:pPr>
      <w:ind w:leftChars="1553" w:left="3261" w:rightChars="26" w:right="55" w:firstLine="1"/>
      <w:jc w:val="left"/>
    </w:pPr>
    <w:rPr>
      <w:rFonts w:eastAsia="汉仪大黑简"/>
      <w:color w:val="000000"/>
      <w:sz w:val="18"/>
    </w:rPr>
  </w:style>
  <w:style w:type="paragraph" w:styleId="aa">
    <w:name w:val="Date"/>
    <w:basedOn w:val="a"/>
    <w:next w:val="a"/>
    <w:rsid w:val="00755D53"/>
    <w:pPr>
      <w:autoSpaceDE w:val="0"/>
      <w:autoSpaceDN w:val="0"/>
      <w:adjustRightInd w:val="0"/>
      <w:textAlignment w:val="baseline"/>
    </w:pPr>
    <w:rPr>
      <w:rFonts w:ascii="宋体"/>
      <w:sz w:val="28"/>
      <w:szCs w:val="20"/>
    </w:rPr>
  </w:style>
  <w:style w:type="paragraph" w:styleId="20">
    <w:name w:val="Body Text Indent 2"/>
    <w:basedOn w:val="a"/>
    <w:rsid w:val="00755D53"/>
    <w:pPr>
      <w:autoSpaceDE w:val="0"/>
      <w:autoSpaceDN w:val="0"/>
      <w:adjustRightInd w:val="0"/>
      <w:ind w:leftChars="1200" w:left="2520" w:firstLineChars="150" w:firstLine="360"/>
      <w:jc w:val="left"/>
    </w:pPr>
    <w:rPr>
      <w:rFonts w:ascii="楷体_GB2312" w:eastAsia="楷体_GB2312"/>
      <w:kern w:val="0"/>
      <w:sz w:val="24"/>
    </w:rPr>
  </w:style>
  <w:style w:type="paragraph" w:styleId="ab">
    <w:name w:val="endnote text"/>
    <w:basedOn w:val="a"/>
    <w:semiHidden/>
    <w:rsid w:val="00755D53"/>
    <w:pPr>
      <w:snapToGrid w:val="0"/>
      <w:jc w:val="left"/>
    </w:pPr>
  </w:style>
  <w:style w:type="paragraph" w:styleId="ac">
    <w:name w:val="Balloon Text"/>
    <w:basedOn w:val="a"/>
    <w:semiHidden/>
    <w:rsid w:val="00755D53"/>
    <w:rPr>
      <w:sz w:val="18"/>
      <w:szCs w:val="18"/>
    </w:rPr>
  </w:style>
  <w:style w:type="paragraph" w:styleId="ad">
    <w:name w:val="footer"/>
    <w:basedOn w:val="a"/>
    <w:rsid w:val="00755D53"/>
    <w:pPr>
      <w:tabs>
        <w:tab w:val="center" w:pos="4153"/>
        <w:tab w:val="right" w:pos="8306"/>
      </w:tabs>
      <w:snapToGrid w:val="0"/>
      <w:jc w:val="left"/>
    </w:pPr>
    <w:rPr>
      <w:sz w:val="18"/>
      <w:szCs w:val="18"/>
    </w:rPr>
  </w:style>
  <w:style w:type="paragraph" w:styleId="ae">
    <w:name w:val="header"/>
    <w:basedOn w:val="a"/>
    <w:rsid w:val="00755D53"/>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Char"/>
    <w:rsid w:val="00755D53"/>
    <w:pPr>
      <w:snapToGrid w:val="0"/>
      <w:jc w:val="left"/>
    </w:pPr>
    <w:rPr>
      <w:sz w:val="18"/>
      <w:szCs w:val="18"/>
    </w:rPr>
  </w:style>
  <w:style w:type="paragraph" w:styleId="31">
    <w:name w:val="Body Text Indent 3"/>
    <w:basedOn w:val="a"/>
    <w:rsid w:val="00755D53"/>
    <w:pPr>
      <w:framePr w:hSpace="180" w:wrap="around" w:vAnchor="text" w:hAnchor="text" w:xAlign="right" w:y="1"/>
      <w:spacing w:line="320" w:lineRule="exact"/>
      <w:ind w:leftChars="24" w:left="50" w:firstLineChars="202" w:firstLine="485"/>
    </w:pPr>
    <w:rPr>
      <w:rFonts w:ascii="楷体_GB2312" w:eastAsia="楷体_GB2312"/>
      <w:color w:val="000000"/>
      <w:sz w:val="24"/>
    </w:rPr>
  </w:style>
  <w:style w:type="paragraph" w:styleId="21">
    <w:name w:val="Body Text 2"/>
    <w:basedOn w:val="a"/>
    <w:rsid w:val="00755D53"/>
    <w:rPr>
      <w:rFonts w:eastAsia="汉仪楷体简"/>
      <w:kern w:val="0"/>
      <w:sz w:val="18"/>
    </w:rPr>
  </w:style>
  <w:style w:type="paragraph" w:styleId="af0">
    <w:name w:val="Normal (Web)"/>
    <w:basedOn w:val="a"/>
    <w:uiPriority w:val="99"/>
    <w:rsid w:val="00755D53"/>
    <w:pPr>
      <w:widowControl/>
      <w:spacing w:before="100" w:beforeAutospacing="1" w:after="100" w:afterAutospacing="1"/>
      <w:jc w:val="left"/>
    </w:pPr>
    <w:rPr>
      <w:rFonts w:ascii="宋体" w:hAnsi="宋体" w:cs="宋体"/>
      <w:kern w:val="0"/>
      <w:sz w:val="24"/>
    </w:rPr>
  </w:style>
  <w:style w:type="character" w:styleId="af1">
    <w:name w:val="Strong"/>
    <w:uiPriority w:val="22"/>
    <w:qFormat/>
    <w:rsid w:val="00755D53"/>
    <w:rPr>
      <w:b/>
      <w:bCs/>
    </w:rPr>
  </w:style>
  <w:style w:type="character" w:styleId="af2">
    <w:name w:val="endnote reference"/>
    <w:semiHidden/>
    <w:rsid w:val="00755D53"/>
    <w:rPr>
      <w:vertAlign w:val="superscript"/>
    </w:rPr>
  </w:style>
  <w:style w:type="character" w:styleId="af3">
    <w:name w:val="page number"/>
    <w:basedOn w:val="a0"/>
    <w:rsid w:val="00755D53"/>
  </w:style>
  <w:style w:type="character" w:styleId="af4">
    <w:name w:val="FollowedHyperlink"/>
    <w:rsid w:val="00755D53"/>
    <w:rPr>
      <w:color w:val="800080"/>
      <w:u w:val="single"/>
    </w:rPr>
  </w:style>
  <w:style w:type="character" w:styleId="af5">
    <w:name w:val="Hyperlink"/>
    <w:rsid w:val="00755D53"/>
    <w:rPr>
      <w:color w:val="0000FF"/>
      <w:u w:val="single"/>
    </w:rPr>
  </w:style>
  <w:style w:type="character" w:styleId="af6">
    <w:name w:val="annotation reference"/>
    <w:rsid w:val="00755D53"/>
    <w:rPr>
      <w:sz w:val="21"/>
      <w:szCs w:val="21"/>
    </w:rPr>
  </w:style>
  <w:style w:type="character" w:styleId="af7">
    <w:name w:val="footnote reference"/>
    <w:rsid w:val="00755D53"/>
    <w:rPr>
      <w:vertAlign w:val="superscript"/>
    </w:rPr>
  </w:style>
  <w:style w:type="paragraph" w:customStyle="1" w:styleId="message">
    <w:name w:val="message"/>
    <w:basedOn w:val="a"/>
    <w:rsid w:val="00755D53"/>
    <w:pPr>
      <w:widowControl/>
      <w:spacing w:before="100" w:beforeAutospacing="1" w:after="100" w:afterAutospacing="1"/>
      <w:jc w:val="left"/>
    </w:pPr>
    <w:rPr>
      <w:rFonts w:ascii="宋体" w:hAnsi="宋体" w:cs="宋体"/>
      <w:kern w:val="0"/>
      <w:sz w:val="24"/>
    </w:rPr>
  </w:style>
  <w:style w:type="paragraph" w:customStyle="1" w:styleId="bodytextmn">
    <w:name w:val="bodytextmn"/>
    <w:basedOn w:val="a"/>
    <w:rsid w:val="00755D53"/>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1CharCharCharCharCharChar">
    <w:name w:val="Char Char Char Char Char Char Char Char Char Char Char Char1 Char Char Char Char Char Char"/>
    <w:basedOn w:val="a"/>
    <w:rsid w:val="00755D53"/>
    <w:pPr>
      <w:tabs>
        <w:tab w:val="left" w:pos="840"/>
      </w:tabs>
      <w:ind w:left="840" w:hanging="360"/>
    </w:pPr>
    <w:rPr>
      <w:sz w:val="24"/>
    </w:rPr>
  </w:style>
  <w:style w:type="paragraph" w:customStyle="1" w:styleId="timesnewromans">
    <w:name w:val="times new romans"/>
    <w:basedOn w:val="a"/>
    <w:rsid w:val="00755D53"/>
    <w:pPr>
      <w:widowControl/>
      <w:jc w:val="left"/>
    </w:pPr>
    <w:rPr>
      <w:rFonts w:ascii="宋体" w:hAnsi="宋体" w:cs="宋体"/>
      <w:color w:val="000000"/>
      <w:kern w:val="0"/>
      <w:szCs w:val="21"/>
    </w:rPr>
  </w:style>
  <w:style w:type="paragraph" w:customStyle="1" w:styleId="CharCharCharCharChar">
    <w:name w:val="Char Char Char Char Char"/>
    <w:basedOn w:val="a"/>
    <w:rsid w:val="00755D53"/>
    <w:pPr>
      <w:tabs>
        <w:tab w:val="left" w:pos="840"/>
      </w:tabs>
      <w:ind w:left="840" w:hanging="360"/>
    </w:pPr>
    <w:rPr>
      <w:sz w:val="24"/>
    </w:rPr>
  </w:style>
  <w:style w:type="paragraph" w:customStyle="1" w:styleId="z-1">
    <w:name w:val="z-窗体底端1"/>
    <w:basedOn w:val="a"/>
    <w:next w:val="a"/>
    <w:rsid w:val="00755D53"/>
    <w:pPr>
      <w:widowControl/>
      <w:pBdr>
        <w:top w:val="single" w:sz="6" w:space="1" w:color="auto"/>
      </w:pBdr>
      <w:jc w:val="center"/>
    </w:pPr>
    <w:rPr>
      <w:rFonts w:ascii="Arial" w:hAnsi="Arial" w:cs="Arial"/>
      <w:vanish/>
      <w:kern w:val="0"/>
      <w:sz w:val="16"/>
      <w:szCs w:val="16"/>
    </w:rPr>
  </w:style>
  <w:style w:type="paragraph" w:customStyle="1" w:styleId="10">
    <w:name w:val="列出段落1"/>
    <w:basedOn w:val="a"/>
    <w:uiPriority w:val="34"/>
    <w:qFormat/>
    <w:rsid w:val="00755D53"/>
    <w:pPr>
      <w:ind w:firstLineChars="200" w:firstLine="420"/>
    </w:pPr>
  </w:style>
  <w:style w:type="paragraph" w:customStyle="1" w:styleId="Default">
    <w:name w:val="Default"/>
    <w:rsid w:val="00755D53"/>
    <w:pPr>
      <w:widowControl w:val="0"/>
      <w:autoSpaceDE w:val="0"/>
      <w:autoSpaceDN w:val="0"/>
      <w:adjustRightInd w:val="0"/>
    </w:pPr>
    <w:rPr>
      <w:rFonts w:ascii="宋体" w:cs="宋体"/>
      <w:color w:val="000000"/>
      <w:sz w:val="24"/>
      <w:szCs w:val="24"/>
    </w:rPr>
  </w:style>
  <w:style w:type="paragraph" w:customStyle="1" w:styleId="p0">
    <w:name w:val="p0"/>
    <w:basedOn w:val="a"/>
    <w:rsid w:val="00755D53"/>
    <w:pPr>
      <w:widowControl/>
    </w:pPr>
    <w:rPr>
      <w:kern w:val="0"/>
      <w:szCs w:val="21"/>
    </w:rPr>
  </w:style>
  <w:style w:type="paragraph" w:customStyle="1" w:styleId="CharCharCharCharCharCharChar">
    <w:name w:val="Char Char Char Char Char Char Char"/>
    <w:basedOn w:val="a"/>
    <w:rsid w:val="00755D53"/>
    <w:pPr>
      <w:tabs>
        <w:tab w:val="left" w:pos="840"/>
      </w:tabs>
      <w:ind w:left="840" w:hanging="360"/>
    </w:pPr>
    <w:rPr>
      <w:sz w:val="24"/>
    </w:rPr>
  </w:style>
  <w:style w:type="paragraph" w:customStyle="1" w:styleId="z-10">
    <w:name w:val="z-窗体顶端1"/>
    <w:basedOn w:val="a"/>
    <w:next w:val="a"/>
    <w:rsid w:val="00755D53"/>
    <w:pPr>
      <w:widowControl/>
      <w:pBdr>
        <w:bottom w:val="single" w:sz="6" w:space="1" w:color="auto"/>
      </w:pBdr>
      <w:jc w:val="center"/>
    </w:pPr>
    <w:rPr>
      <w:rFonts w:ascii="Arial" w:hAnsi="Arial" w:cs="Arial"/>
      <w:vanish/>
      <w:kern w:val="0"/>
      <w:sz w:val="16"/>
      <w:szCs w:val="16"/>
    </w:rPr>
  </w:style>
  <w:style w:type="character" w:customStyle="1" w:styleId="tt11">
    <w:name w:val="tt11"/>
    <w:basedOn w:val="a0"/>
    <w:rsid w:val="00755D53"/>
  </w:style>
  <w:style w:type="character" w:customStyle="1" w:styleId="apple-style-span">
    <w:name w:val="apple-style-span"/>
    <w:basedOn w:val="a0"/>
    <w:rsid w:val="00755D53"/>
  </w:style>
  <w:style w:type="character" w:customStyle="1" w:styleId="style12">
    <w:name w:val="style12"/>
    <w:basedOn w:val="a0"/>
    <w:rsid w:val="00755D53"/>
  </w:style>
  <w:style w:type="character" w:customStyle="1" w:styleId="Char">
    <w:name w:val="脚注文本 Char"/>
    <w:link w:val="af"/>
    <w:rsid w:val="00755D53"/>
    <w:rPr>
      <w:rFonts w:eastAsia="宋体"/>
      <w:kern w:val="2"/>
      <w:sz w:val="18"/>
      <w:szCs w:val="18"/>
      <w:lang w:val="en-US" w:eastAsia="zh-CN" w:bidi="ar-SA"/>
    </w:rPr>
  </w:style>
  <w:style w:type="character" w:customStyle="1" w:styleId="style13">
    <w:name w:val="style13"/>
    <w:basedOn w:val="a0"/>
    <w:rsid w:val="00755D53"/>
  </w:style>
  <w:style w:type="character" w:customStyle="1" w:styleId="txtcontent11">
    <w:name w:val="txtcontent11"/>
    <w:rsid w:val="00755D53"/>
    <w:rPr>
      <w:rFonts w:ascii="ˎ̥" w:hAnsi="ˎ̥" w:hint="default"/>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771</Words>
  <Characters>4401</Characters>
  <Application>Microsoft Office Word</Application>
  <DocSecurity>0</DocSecurity>
  <Lines>36</Lines>
  <Paragraphs>10</Paragraphs>
  <ScaleCrop>false</ScaleCrop>
  <Company>HUAAN</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qi.jin</dc:creator>
  <cp:lastModifiedBy>guoshaolian</cp:lastModifiedBy>
  <cp:revision>1</cp:revision>
  <cp:lastPrinted>2011-09-09T01:43:00Z</cp:lastPrinted>
  <dcterms:created xsi:type="dcterms:W3CDTF">2015-02-10T02:36:00Z</dcterms:created>
  <dcterms:modified xsi:type="dcterms:W3CDTF">2015-02-11T05:59:00Z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