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Default ContentType="image/png" Extension="png"/>
  <Override ContentType="image/x-emf" PartName="/word/media/image4.emf"/>
  <Override ContentType="image/x-emf" PartName="/word/media/image5.emf"/>
  <Override ContentType="image/x-emf" PartName="/word/media/image6.emf"/>
  <Override ContentType="image/x-emf" PartName="/word/media/image7.e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Times New Roman" w:hAnsi="Times New Roman" w:eastAsia="宋体" w:cs="Times New Roman"/>
          <w:kern w:val="2"/>
          <w:sz w:val="21"/>
          <w:szCs w:val="24"/>
          <w:lang w:val="en-US" w:eastAsia="zh-CN" w:bidi="ar-SA"/>
        </w:rPr>
        <w:pict>
          <v:shape id="Text Box 22" o:spid="_x0000_s1030" type="#_x0000_t202" style="position:absolute;left:0;margin-left:294.2pt;margin-top:-5.45pt;height:23.4pt;width:116.25pt;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w:txbxContent>
                <w:p>
                  <w:pPr>
                    <w:rPr>
                      <w:color w:val="FFFFFF"/>
                      <w:sz w:val="24"/>
                    </w:rPr>
                  </w:pPr>
                  <w:r>
                    <w:rPr>
                      <w:rFonts w:hint="eastAsia"/>
                      <w:color w:val="FFFFFF"/>
                      <w:sz w:val="24"/>
                    </w:rPr>
                    <w:t>2014年5月9日</w:t>
                  </w:r>
                </w:p>
              </w:txbxContent>
            </v:textbox>
          </v:shape>
        </w:pict>
      </w:r>
      <w:r>
        <w:rPr>
          <w:rFonts w:ascii="Times New Roman" w:hAnsi="Times New Roman" w:eastAsia="宋体" w:cs="Times New Roman"/>
          <w:kern w:val="2"/>
          <w:sz w:val="21"/>
          <w:szCs w:val="24"/>
          <w:lang w:val="en-US" w:eastAsia="zh-CN" w:bidi="ar-SA"/>
        </w:rPr>
        <w:pict>
          <v:shape id="图片 14" o:spid="_x0000_s1031" type="#_x0000_t75" style="position:absolute;left:0;margin-left:-81pt;margin-top:-86.95pt;height:123.1pt;width:646.95pt;rotation:0f;z-index:251658240;" o:ole="f" fillcolor="#FFFFFF" filled="f" o:preferrelative="t" stroked="f" coordorigin="0,0" coordsize="21600,21600">
            <v:fill on="f" color2="#FFFFFF" focus="0%"/>
            <v:imagedata gain="65536f" blacklevel="0f" gamma="0" o:title="" r:id="rId8"/>
            <o:lock v:ext="edit" position="f" selection="f" grouping="f" rotation="f" cropping="f" text="f" aspectratio="t"/>
          </v:shape>
        </w:pict>
      </w:r>
      <w:r>
        <w:rPr>
          <w:rFonts w:ascii="Times New Roman" w:hAnsi="Times New Roman" w:eastAsia="宋体" w:cs="Times New Roman"/>
          <w:kern w:val="2"/>
          <w:sz w:val="21"/>
          <w:szCs w:val="24"/>
          <w:lang w:val="en-US" w:eastAsia="zh-CN" w:bidi="ar-SA"/>
        </w:rPr>
        <w:pict>
          <v:shape id="Text Box 16" o:spid="_x0000_s1032" type="#_x0000_t202" style="position:absolute;left:0;margin-left:27pt;margin-top:-45.2pt;height:56.75pt;width:360pt;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w:txbxContent>
                <w:p>
                  <w:pPr>
                    <w:rPr>
                      <w:rFonts w:ascii="黑体" w:eastAsia="黑体"/>
                      <w:color w:val="FFFFFF"/>
                      <w:sz w:val="24"/>
                    </w:rPr>
                  </w:pPr>
                  <w:r>
                    <w:rPr>
                      <w:rFonts w:hint="eastAsia" w:ascii="黑体" w:eastAsia="黑体"/>
                      <w:color w:val="FFFFFF"/>
                      <w:sz w:val="24"/>
                    </w:rPr>
                    <w:t>好买基金研究中心</w:t>
                  </w:r>
                </w:p>
                <w:p>
                  <w:r>
                    <w:rPr>
                      <w:rFonts w:hint="eastAsia" w:ascii="黑体" w:eastAsia="黑体"/>
                      <w:color w:val="FFFFFF"/>
                      <w:sz w:val="32"/>
                      <w:szCs w:val="32"/>
                    </w:rPr>
                    <w:t>私募基金月报</w:t>
                  </w:r>
                </w:p>
              </w:txbxContent>
            </v:textbox>
          </v:shape>
        </w:pict>
      </w:r>
    </w:p>
    <w:p/>
    <w:p>
      <w:pPr>
        <w:spacing w:beforeLines="50" w:afterLines="50" w:line="360" w:lineRule="auto"/>
        <w:rPr>
          <w:sz w:val="24"/>
        </w:rPr>
      </w:pPr>
    </w:p>
    <w:p>
      <w:pPr>
        <w:spacing w:beforeLines="50" w:afterLines="50" w:line="360" w:lineRule="auto"/>
        <w:rPr>
          <w:b/>
          <w:sz w:val="28"/>
          <w:szCs w:val="28"/>
        </w:rPr>
      </w:pPr>
      <w:bookmarkStart w:id="0" w:name="_GoBack"/>
      <w:r>
        <w:rPr>
          <w:rFonts w:hint="eastAsia"/>
          <w:b/>
          <w:sz w:val="28"/>
          <w:szCs w:val="28"/>
        </w:rPr>
        <w:t>2000点上下，私募转向中性乐观</w:t>
      </w:r>
      <w:bookmarkEnd w:id="0"/>
    </w:p>
    <w:p>
      <w:pPr>
        <w:spacing w:beforeLines="50" w:afterLines="50" w:line="360" w:lineRule="auto"/>
        <w:ind w:left="1260" w:firstLine="420"/>
        <w:rPr>
          <w:szCs w:val="21"/>
        </w:rPr>
      </w:pPr>
      <w:r>
        <w:rPr>
          <w:szCs w:val="21"/>
        </w:rPr>
        <w:t>——201</w:t>
      </w:r>
      <w:r>
        <w:rPr>
          <w:rFonts w:hint="eastAsia"/>
          <w:szCs w:val="21"/>
        </w:rPr>
        <w:t>4</w:t>
      </w:r>
      <w:r>
        <w:rPr>
          <w:szCs w:val="21"/>
        </w:rPr>
        <w:t>年</w:t>
      </w:r>
      <w:r>
        <w:rPr>
          <w:rFonts w:hint="eastAsia"/>
          <w:szCs w:val="21"/>
        </w:rPr>
        <w:t>4月</w:t>
      </w:r>
      <w:r>
        <w:rPr>
          <w:szCs w:val="21"/>
        </w:rPr>
        <w:t>阳光私募基金月报</w:t>
      </w:r>
    </w:p>
    <w:p>
      <w:pPr>
        <w:spacing w:line="360" w:lineRule="auto"/>
        <w:rPr>
          <w:kern w:val="0"/>
          <w:szCs w:val="21"/>
        </w:rPr>
      </w:pPr>
    </w:p>
    <w:p>
      <w:pPr>
        <w:spacing w:line="360" w:lineRule="auto"/>
        <w:rPr>
          <w:b/>
          <w:color w:val="FF0000"/>
          <w:kern w:val="0"/>
          <w:sz w:val="24"/>
        </w:rPr>
      </w:pPr>
      <w:r>
        <w:rPr>
          <w:b/>
          <w:color w:val="FF0000"/>
          <w:kern w:val="0"/>
          <w:sz w:val="24"/>
        </w:rPr>
        <w:t>摘要</w:t>
      </w:r>
    </w:p>
    <w:p>
      <w:pPr>
        <w:spacing w:line="360" w:lineRule="auto"/>
        <w:rPr>
          <w:b/>
          <w:sz w:val="24"/>
        </w:rPr>
      </w:pPr>
    </w:p>
    <w:p>
      <w:pPr>
        <w:spacing w:line="360" w:lineRule="auto"/>
        <w:ind w:right="46" w:rightChars="22"/>
        <w:rPr>
          <w:b/>
          <w:szCs w:val="21"/>
        </w:rPr>
      </w:pPr>
      <w:r>
        <w:rPr>
          <w:rFonts w:hint="eastAsia"/>
          <w:b/>
          <w:szCs w:val="21"/>
        </w:rPr>
        <w:t>4月</w:t>
      </w:r>
      <w:r>
        <w:rPr>
          <w:b/>
          <w:szCs w:val="21"/>
        </w:rPr>
        <w:t>私募业绩评析</w:t>
      </w:r>
    </w:p>
    <w:p>
      <w:pPr>
        <w:numPr>
          <w:ilvl w:val="0"/>
          <w:numId w:val="1"/>
        </w:numPr>
        <w:spacing w:line="360" w:lineRule="auto"/>
        <w:rPr>
          <w:szCs w:val="21"/>
        </w:rPr>
      </w:pPr>
      <w:r>
        <w:rPr>
          <w:rFonts w:hint="eastAsia"/>
          <w:szCs w:val="21"/>
        </w:rPr>
        <w:t>4月，沪深两市涨跌互现。上证综指收于</w:t>
      </w:r>
      <w:r>
        <w:rPr>
          <w:szCs w:val="21"/>
        </w:rPr>
        <w:t>2026.36</w:t>
      </w:r>
      <w:r>
        <w:rPr>
          <w:rFonts w:hint="eastAsia"/>
          <w:szCs w:val="21"/>
        </w:rPr>
        <w:t>点，下跌</w:t>
      </w:r>
      <w:r>
        <w:rPr>
          <w:szCs w:val="21"/>
        </w:rPr>
        <w:t>6.95</w:t>
      </w:r>
      <w:r>
        <w:rPr>
          <w:rFonts w:hint="eastAsia"/>
          <w:szCs w:val="21"/>
        </w:rPr>
        <w:t>点，跌幅为</w:t>
      </w:r>
      <w:r>
        <w:rPr>
          <w:szCs w:val="21"/>
        </w:rPr>
        <w:t>0.34%</w:t>
      </w:r>
      <w:r>
        <w:rPr>
          <w:rFonts w:hint="eastAsia"/>
          <w:szCs w:val="21"/>
        </w:rPr>
        <w:t>；深证成指收于</w:t>
      </w:r>
      <w:r>
        <w:rPr>
          <w:szCs w:val="21"/>
        </w:rPr>
        <w:t>7312.86</w:t>
      </w:r>
      <w:r>
        <w:rPr>
          <w:rFonts w:hint="eastAsia"/>
          <w:szCs w:val="21"/>
        </w:rPr>
        <w:t>点，上涨</w:t>
      </w:r>
      <w:r>
        <w:rPr>
          <w:szCs w:val="21"/>
        </w:rPr>
        <w:t>123.28</w:t>
      </w:r>
      <w:r>
        <w:rPr>
          <w:rFonts w:hint="eastAsia"/>
          <w:szCs w:val="21"/>
        </w:rPr>
        <w:t>点，涨幅为</w:t>
      </w:r>
      <w:r>
        <w:rPr>
          <w:szCs w:val="21"/>
        </w:rPr>
        <w:t>1.71%</w:t>
      </w:r>
      <w:r>
        <w:rPr>
          <w:rFonts w:hint="eastAsia"/>
          <w:szCs w:val="21"/>
        </w:rPr>
        <w:t>。</w:t>
      </w:r>
    </w:p>
    <w:p>
      <w:pPr>
        <w:numPr>
          <w:ilvl w:val="0"/>
          <w:numId w:val="1"/>
        </w:numPr>
        <w:spacing w:beforeLines="50" w:afterLines="50" w:line="360" w:lineRule="auto"/>
        <w:rPr>
          <w:kern w:val="0"/>
          <w:szCs w:val="21"/>
        </w:rPr>
      </w:pPr>
      <w:r>
        <w:rPr>
          <w:rFonts w:hint="eastAsia"/>
          <w:kern w:val="0"/>
          <w:szCs w:val="21"/>
        </w:rPr>
        <w:t>普通股票型</w:t>
      </w:r>
      <w:r>
        <w:rPr>
          <w:kern w:val="0"/>
          <w:szCs w:val="21"/>
        </w:rPr>
        <w:t>私募</w:t>
      </w:r>
      <w:r>
        <w:rPr>
          <w:rFonts w:hint="eastAsia"/>
          <w:kern w:val="0"/>
          <w:szCs w:val="21"/>
        </w:rPr>
        <w:t>近3个月的平均收益跑赢公募股票型基金，但跑输沪深300指数；近6月、近12月和近2年的各考察周期中，普通股票型</w:t>
      </w:r>
      <w:r>
        <w:rPr>
          <w:kern w:val="0"/>
          <w:szCs w:val="21"/>
        </w:rPr>
        <w:t>私募</w:t>
      </w:r>
      <w:r>
        <w:rPr>
          <w:rFonts w:hint="eastAsia"/>
          <w:kern w:val="0"/>
          <w:szCs w:val="21"/>
        </w:rPr>
        <w:t>均好于沪深300指数和公募股票型基金。</w:t>
      </w:r>
    </w:p>
    <w:p>
      <w:pPr>
        <w:spacing w:line="360" w:lineRule="auto"/>
        <w:rPr>
          <w:szCs w:val="21"/>
        </w:rPr>
      </w:pPr>
    </w:p>
    <w:p>
      <w:pPr>
        <w:spacing w:line="360" w:lineRule="auto"/>
        <w:ind w:right="46" w:rightChars="22"/>
        <w:rPr>
          <w:b/>
          <w:szCs w:val="21"/>
        </w:rPr>
      </w:pPr>
      <w:r>
        <w:rPr>
          <w:rFonts w:hint="eastAsia"/>
          <w:b/>
          <w:szCs w:val="21"/>
        </w:rPr>
        <w:t>4月</w:t>
      </w:r>
      <w:r>
        <w:rPr>
          <w:b/>
          <w:szCs w:val="21"/>
        </w:rPr>
        <w:t>私募行业动态</w:t>
      </w:r>
    </w:p>
    <w:p>
      <w:pPr>
        <w:numPr>
          <w:ilvl w:val="0"/>
          <w:numId w:val="1"/>
        </w:numPr>
        <w:spacing w:line="360" w:lineRule="auto"/>
      </w:pPr>
      <w:r>
        <w:rPr>
          <w:rFonts w:hint="eastAsia"/>
          <w:b/>
        </w:rPr>
        <w:t>私募泽熙风格转换大比例持股获得话语权：</w:t>
      </w:r>
      <w:r>
        <w:rPr>
          <w:rFonts w:hint="eastAsia"/>
        </w:rPr>
        <w:t>泽熙投资自去年以来投资风格有所变化，由低调风格转为主动出击，通过大比例持股获得对上市公司更大的话语权。</w:t>
      </w:r>
    </w:p>
    <w:p>
      <w:pPr>
        <w:numPr>
          <w:ilvl w:val="0"/>
          <w:numId w:val="1"/>
        </w:numPr>
        <w:spacing w:line="360" w:lineRule="auto"/>
        <w:jc w:val="left"/>
        <w:rPr>
          <w:b/>
        </w:rPr>
      </w:pPr>
      <w:r>
        <w:rPr>
          <w:rFonts w:hint="eastAsia"/>
          <w:b/>
        </w:rPr>
        <w:t>1.2亿私募兑付迷局基金与房企陷信任危机：</w:t>
      </w:r>
      <w:r>
        <w:rPr>
          <w:rFonts w:hint="eastAsia"/>
        </w:rPr>
        <w:t>手握深圳市中心东门黄金地段的房产，但“港澳8号”1.2亿元的私募定向基金却深陷兑付泥潭。日前，深圳中裕财富投资公司(下称“中裕财富”)召开新闻发布会，称其专为港丰大厦项目募集资金而设立的、推广名为“港澳8号”、额度为1.2亿元的地产私募基金，目前仅收回2900余万元。</w:t>
      </w:r>
    </w:p>
    <w:p>
      <w:pPr>
        <w:spacing w:line="360" w:lineRule="auto"/>
        <w:ind w:right="46" w:rightChars="22"/>
        <w:rPr>
          <w:b/>
          <w:szCs w:val="21"/>
        </w:rPr>
      </w:pPr>
    </w:p>
    <w:p>
      <w:pPr>
        <w:spacing w:line="360" w:lineRule="auto"/>
        <w:ind w:right="46" w:rightChars="22"/>
        <w:rPr>
          <w:b/>
          <w:szCs w:val="21"/>
        </w:rPr>
      </w:pPr>
      <w:r>
        <w:rPr>
          <w:rFonts w:hint="eastAsia"/>
          <w:b/>
          <w:szCs w:val="21"/>
        </w:rPr>
        <w:t>4月</w:t>
      </w:r>
      <w:r>
        <w:rPr>
          <w:b/>
          <w:szCs w:val="21"/>
        </w:rPr>
        <w:t>私募投资动态</w:t>
      </w:r>
    </w:p>
    <w:p>
      <w:pPr>
        <w:widowControl/>
        <w:spacing w:beforeLines="50" w:afterLines="50" w:line="360" w:lineRule="auto"/>
        <w:ind w:firstLine="420" w:firstLineChars="200"/>
        <w:jc w:val="left"/>
        <w:rPr>
          <w:kern w:val="0"/>
          <w:szCs w:val="21"/>
        </w:rPr>
      </w:pPr>
      <w:r>
        <w:rPr>
          <w:rFonts w:hint="eastAsia"/>
          <w:kern w:val="0"/>
          <w:szCs w:val="21"/>
        </w:rPr>
        <w:t>从私募基金的持仓来看，4月私募基金公司的股票平均仓位小幅上升，平均仓位从上月的67.50</w:t>
      </w:r>
      <w:r>
        <w:rPr>
          <w:kern w:val="0"/>
          <w:szCs w:val="21"/>
        </w:rPr>
        <w:t>%</w:t>
      </w:r>
      <w:r>
        <w:rPr>
          <w:rFonts w:hint="eastAsia"/>
          <w:kern w:val="0"/>
          <w:szCs w:val="21"/>
        </w:rPr>
        <w:t>上升至本月的</w:t>
      </w:r>
      <w:r>
        <w:rPr>
          <w:kern w:val="0"/>
          <w:szCs w:val="21"/>
        </w:rPr>
        <w:t>6</w:t>
      </w:r>
      <w:r>
        <w:rPr>
          <w:rFonts w:hint="eastAsia"/>
          <w:kern w:val="0"/>
          <w:szCs w:val="21"/>
        </w:rPr>
        <w:t>8.00</w:t>
      </w:r>
      <w:r>
        <w:rPr>
          <w:kern w:val="0"/>
          <w:szCs w:val="21"/>
        </w:rPr>
        <w:t>%</w:t>
      </w:r>
      <w:r>
        <w:rPr>
          <w:rFonts w:hint="eastAsia"/>
          <w:kern w:val="0"/>
          <w:szCs w:val="21"/>
        </w:rPr>
        <w:t>，上升了0.50</w:t>
      </w:r>
      <w:r>
        <w:rPr>
          <w:kern w:val="0"/>
          <w:szCs w:val="21"/>
        </w:rPr>
        <w:t>%</w:t>
      </w:r>
      <w:r>
        <w:rPr>
          <w:rFonts w:hint="eastAsia"/>
          <w:kern w:val="0"/>
          <w:szCs w:val="21"/>
        </w:rPr>
        <w:t>。其中，仓位在七成以上的私募占比为50.00</w:t>
      </w:r>
      <w:r>
        <w:rPr>
          <w:kern w:val="0"/>
          <w:szCs w:val="21"/>
        </w:rPr>
        <w:t>%</w:t>
      </w:r>
      <w:r>
        <w:rPr>
          <w:rFonts w:hint="eastAsia"/>
          <w:kern w:val="0"/>
          <w:szCs w:val="21"/>
        </w:rPr>
        <w:t>，和上月相持平；仓位介于三至七成的私募占比50</w:t>
      </w:r>
      <w:r>
        <w:rPr>
          <w:kern w:val="0"/>
          <w:szCs w:val="21"/>
        </w:rPr>
        <w:t>%</w:t>
      </w:r>
      <w:r>
        <w:rPr>
          <w:rFonts w:hint="eastAsia"/>
          <w:kern w:val="0"/>
          <w:szCs w:val="21"/>
        </w:rPr>
        <w:t>，较上月上涨</w:t>
      </w:r>
      <w:r>
        <w:rPr>
          <w:kern w:val="0"/>
          <w:szCs w:val="21"/>
        </w:rPr>
        <w:t>8.33%</w:t>
      </w:r>
      <w:r>
        <w:rPr>
          <w:rFonts w:hint="eastAsia"/>
          <w:kern w:val="0"/>
          <w:szCs w:val="21"/>
        </w:rPr>
        <w:t>；受调研私募中,仓位低于三成的占比为0。</w:t>
      </w:r>
    </w:p>
    <w:p>
      <w:pPr>
        <w:widowControl/>
        <w:spacing w:beforeLines="50" w:afterLines="50" w:line="360" w:lineRule="auto"/>
        <w:jc w:val="left"/>
        <w:rPr>
          <w:b/>
          <w:color w:val="FF0000"/>
          <w:kern w:val="0"/>
          <w:sz w:val="24"/>
        </w:rPr>
      </w:pPr>
      <w:r>
        <w:rPr>
          <w:kern w:val="0"/>
          <w:szCs w:val="21"/>
        </w:rPr>
        <w:br w:type="page"/>
      </w:r>
      <w:r>
        <w:rPr>
          <w:b/>
          <w:color w:val="FF0000"/>
          <w:kern w:val="0"/>
          <w:sz w:val="24"/>
        </w:rPr>
        <w:t>一、</w:t>
      </w:r>
      <w:r>
        <w:rPr>
          <w:rFonts w:hint="eastAsia"/>
          <w:b/>
          <w:color w:val="FF0000"/>
          <w:kern w:val="0"/>
          <w:sz w:val="24"/>
        </w:rPr>
        <w:t>4月沪深两市涨跌互现</w:t>
      </w:r>
      <w:r>
        <w:rPr>
          <w:b/>
          <w:color w:val="FF0000"/>
          <w:kern w:val="0"/>
          <w:sz w:val="24"/>
        </w:rPr>
        <w:t>，</w:t>
      </w:r>
      <w:r>
        <w:rPr>
          <w:rFonts w:hint="eastAsia"/>
          <w:b/>
          <w:color w:val="FF0000"/>
          <w:kern w:val="0"/>
          <w:sz w:val="24"/>
        </w:rPr>
        <w:t>私募单月跑输指数、跑赢公募</w:t>
      </w:r>
    </w:p>
    <w:p>
      <w:pPr>
        <w:spacing w:beforeLines="50" w:afterLines="50" w:line="360" w:lineRule="auto"/>
        <w:ind w:firstLine="420" w:firstLineChars="200"/>
        <w:rPr>
          <w:szCs w:val="21"/>
        </w:rPr>
      </w:pPr>
      <w:r>
        <w:rPr>
          <w:szCs w:val="21"/>
        </w:rPr>
        <w:t>4</w:t>
      </w:r>
      <w:r>
        <w:rPr>
          <w:rFonts w:hint="eastAsia"/>
          <w:szCs w:val="21"/>
        </w:rPr>
        <w:t>月，沪深两市涨跌互现。上证综指收于</w:t>
      </w:r>
      <w:r>
        <w:rPr>
          <w:szCs w:val="21"/>
        </w:rPr>
        <w:t>2026.36</w:t>
      </w:r>
      <w:r>
        <w:rPr>
          <w:rFonts w:hint="eastAsia"/>
          <w:szCs w:val="21"/>
        </w:rPr>
        <w:t>点，下跌</w:t>
      </w:r>
      <w:r>
        <w:rPr>
          <w:szCs w:val="21"/>
        </w:rPr>
        <w:t>6.95</w:t>
      </w:r>
      <w:r>
        <w:rPr>
          <w:rFonts w:hint="eastAsia"/>
          <w:szCs w:val="21"/>
        </w:rPr>
        <w:t>点，跌幅为</w:t>
      </w:r>
      <w:r>
        <w:rPr>
          <w:szCs w:val="21"/>
        </w:rPr>
        <w:t>0.34%</w:t>
      </w:r>
      <w:r>
        <w:rPr>
          <w:rFonts w:hint="eastAsia"/>
          <w:szCs w:val="21"/>
        </w:rPr>
        <w:t>；深证成指收于</w:t>
      </w:r>
      <w:r>
        <w:rPr>
          <w:szCs w:val="21"/>
        </w:rPr>
        <w:t>7312.86</w:t>
      </w:r>
      <w:r>
        <w:rPr>
          <w:rFonts w:hint="eastAsia"/>
          <w:szCs w:val="21"/>
        </w:rPr>
        <w:t>点，上涨</w:t>
      </w:r>
      <w:r>
        <w:rPr>
          <w:szCs w:val="21"/>
        </w:rPr>
        <w:t>123.28</w:t>
      </w:r>
      <w:r>
        <w:rPr>
          <w:rFonts w:hint="eastAsia"/>
          <w:szCs w:val="21"/>
        </w:rPr>
        <w:t>点，涨幅为</w:t>
      </w:r>
      <w:r>
        <w:rPr>
          <w:szCs w:val="21"/>
        </w:rPr>
        <w:t>1.71%</w:t>
      </w:r>
      <w:r>
        <w:rPr>
          <w:rFonts w:hint="eastAsia"/>
          <w:szCs w:val="21"/>
        </w:rPr>
        <w:t>。沪深</w:t>
      </w:r>
      <w:r>
        <w:rPr>
          <w:szCs w:val="21"/>
        </w:rPr>
        <w:t>300</w:t>
      </w:r>
      <w:r>
        <w:rPr>
          <w:rFonts w:hint="eastAsia"/>
          <w:szCs w:val="21"/>
        </w:rPr>
        <w:t>指数收于</w:t>
      </w:r>
      <w:r>
        <w:rPr>
          <w:szCs w:val="21"/>
        </w:rPr>
        <w:t>2158.66</w:t>
      </w:r>
      <w:r>
        <w:rPr>
          <w:rFonts w:hint="eastAsia"/>
          <w:szCs w:val="21"/>
        </w:rPr>
        <w:t>点，上涨</w:t>
      </w:r>
      <w:r>
        <w:rPr>
          <w:szCs w:val="21"/>
        </w:rPr>
        <w:t>12.35</w:t>
      </w:r>
      <w:r>
        <w:rPr>
          <w:rFonts w:hint="eastAsia"/>
          <w:szCs w:val="21"/>
        </w:rPr>
        <w:t>点，涨幅为</w:t>
      </w:r>
      <w:r>
        <w:rPr>
          <w:szCs w:val="21"/>
        </w:rPr>
        <w:t>0.58%</w:t>
      </w:r>
      <w:r>
        <w:rPr>
          <w:rFonts w:hint="eastAsia"/>
          <w:szCs w:val="21"/>
        </w:rPr>
        <w:t>；创业板指数</w:t>
      </w:r>
      <w:r>
        <w:rPr>
          <w:szCs w:val="21"/>
        </w:rPr>
        <w:t>1267.62</w:t>
      </w:r>
      <w:r>
        <w:rPr>
          <w:rFonts w:hint="eastAsia"/>
          <w:szCs w:val="21"/>
        </w:rPr>
        <w:t>点，下跌</w:t>
      </w:r>
      <w:r>
        <w:rPr>
          <w:szCs w:val="21"/>
        </w:rPr>
        <w:t>21.51</w:t>
      </w:r>
      <w:r>
        <w:rPr>
          <w:rFonts w:hint="eastAsia"/>
          <w:szCs w:val="21"/>
        </w:rPr>
        <w:t>点，跌幅为</w:t>
      </w:r>
      <w:r>
        <w:rPr>
          <w:szCs w:val="21"/>
        </w:rPr>
        <w:t>1.67%</w:t>
      </w:r>
      <w:r>
        <w:rPr>
          <w:rFonts w:hint="eastAsia"/>
          <w:szCs w:val="21"/>
        </w:rPr>
        <w:t>。上月，</w:t>
      </w:r>
      <w:r>
        <w:rPr>
          <w:szCs w:val="21"/>
        </w:rPr>
        <w:t>28</w:t>
      </w:r>
      <w:r>
        <w:rPr>
          <w:rFonts w:hint="eastAsia"/>
          <w:szCs w:val="21"/>
        </w:rPr>
        <w:t>个申万一级行业中有</w:t>
      </w:r>
      <w:r>
        <w:rPr>
          <w:szCs w:val="21"/>
        </w:rPr>
        <w:t>9</w:t>
      </w:r>
      <w:r>
        <w:rPr>
          <w:rFonts w:hint="eastAsia"/>
          <w:szCs w:val="21"/>
        </w:rPr>
        <w:t>个行业上涨。其中，非银金融、汽车和银行表现居前，涨幅分别为</w:t>
      </w:r>
      <w:r>
        <w:rPr>
          <w:szCs w:val="21"/>
        </w:rPr>
        <w:t>3.48%</w:t>
      </w:r>
      <w:r>
        <w:rPr>
          <w:rFonts w:hint="eastAsia"/>
          <w:szCs w:val="21"/>
        </w:rPr>
        <w:t>、</w:t>
      </w:r>
      <w:r>
        <w:rPr>
          <w:szCs w:val="21"/>
        </w:rPr>
        <w:t>1.75%</w:t>
      </w:r>
      <w:r>
        <w:rPr>
          <w:rFonts w:hint="eastAsia"/>
          <w:szCs w:val="21"/>
        </w:rPr>
        <w:t>和</w:t>
      </w:r>
      <w:r>
        <w:rPr>
          <w:szCs w:val="21"/>
        </w:rPr>
        <w:t>1.66%</w:t>
      </w:r>
      <w:r>
        <w:rPr>
          <w:rFonts w:hint="eastAsia"/>
          <w:szCs w:val="21"/>
        </w:rPr>
        <w:t>，化工、机械设备和电气设备表现居后，跌幅分别为</w:t>
      </w:r>
      <w:r>
        <w:rPr>
          <w:szCs w:val="21"/>
        </w:rPr>
        <w:t>3.75%</w:t>
      </w:r>
      <w:r>
        <w:rPr>
          <w:rFonts w:hint="eastAsia"/>
          <w:szCs w:val="21"/>
        </w:rPr>
        <w:t>、</w:t>
      </w:r>
      <w:r>
        <w:rPr>
          <w:szCs w:val="21"/>
        </w:rPr>
        <w:t>3.36%</w:t>
      </w:r>
      <w:r>
        <w:rPr>
          <w:rFonts w:hint="eastAsia"/>
          <w:szCs w:val="21"/>
        </w:rPr>
        <w:t>和</w:t>
      </w:r>
      <w:r>
        <w:rPr>
          <w:szCs w:val="21"/>
        </w:rPr>
        <w:t>3.30%</w:t>
      </w:r>
      <w:r>
        <w:rPr>
          <w:rFonts w:hint="eastAsia"/>
          <w:szCs w:val="21"/>
        </w:rPr>
        <w:t>。</w:t>
      </w:r>
    </w:p>
    <w:tbl>
      <w:tblPr>
        <w:tblW w:w="7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98" w:hRule="atLeast"/>
        </w:trPr>
        <w:tc>
          <w:tcPr>
            <w:tcW w:w="7247" w:type="dxa"/>
            <w:tcBorders>
              <w:top w:val="nil"/>
              <w:left w:val="nil"/>
              <w:bottom w:val="nil"/>
              <w:right w:val="nil"/>
              <w:tl2br w:val="nil"/>
              <w:tr2bl w:val="nil"/>
            </w:tcBorders>
            <w:shd w:val="clear" w:color="auto" w:fill="C0C0C0"/>
            <w:vAlign w:val="top"/>
          </w:tcPr>
          <w:p>
            <w:pPr>
              <w:rPr>
                <w:b/>
                <w:bCs/>
                <w:szCs w:val="21"/>
              </w:rPr>
            </w:pPr>
            <w:r>
              <w:rPr>
                <w:rFonts w:hint="eastAsia"/>
                <w:b/>
                <w:szCs w:val="21"/>
              </w:rPr>
              <w:t>4月申万</w:t>
            </w:r>
            <w:r>
              <w:rPr>
                <w:b/>
                <w:szCs w:val="21"/>
              </w:rPr>
              <w:t>一级行业指数涨跌幅</w:t>
            </w:r>
          </w:p>
        </w:tc>
      </w:tr>
    </w:tbl>
    <w:p>
      <w:pPr>
        <w:rPr>
          <w:sz w:val="18"/>
          <w:szCs w:val="18"/>
        </w:rPr>
      </w:pPr>
      <w:r>
        <w:rPr>
          <w:rFonts w:ascii="Times New Roman" w:hAnsi="Times New Roman" w:eastAsia="宋体" w:cs="Times New Roman"/>
          <w:kern w:val="2"/>
          <w:sz w:val="21"/>
          <w:szCs w:val="24"/>
          <w:lang w:val="en-US" w:eastAsia="zh-CN" w:bidi="ar-SA"/>
        </w:rPr>
        <w:pict>
          <v:shape id="图片框 1032" o:spid="_x0000_s1033" type="#_x0000_t75" style="height:232.5pt;width:354.75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p>
    <w:p>
      <w:pPr>
        <w:rPr>
          <w:sz w:val="18"/>
          <w:szCs w:val="18"/>
        </w:rPr>
      </w:pPr>
      <w:r>
        <w:rPr>
          <w:sz w:val="18"/>
          <w:szCs w:val="18"/>
        </w:rPr>
        <w:t>数据来源：</w:t>
      </w:r>
      <w:r>
        <w:rPr>
          <w:rFonts w:hint="eastAsia"/>
          <w:sz w:val="18"/>
          <w:szCs w:val="18"/>
        </w:rPr>
        <w:t>Wind、</w:t>
      </w:r>
      <w:r>
        <w:rPr>
          <w:sz w:val="18"/>
          <w:szCs w:val="18"/>
        </w:rPr>
        <w:t>好买基金研究中心截至201</w:t>
      </w:r>
      <w:r>
        <w:rPr>
          <w:rFonts w:hint="eastAsia"/>
          <w:sz w:val="18"/>
          <w:szCs w:val="18"/>
        </w:rPr>
        <w:t>4</w:t>
      </w:r>
      <w:r>
        <w:rPr>
          <w:sz w:val="18"/>
          <w:szCs w:val="18"/>
        </w:rPr>
        <w:t>年</w:t>
      </w:r>
      <w:r>
        <w:rPr>
          <w:rFonts w:hint="eastAsia"/>
          <w:sz w:val="18"/>
          <w:szCs w:val="18"/>
        </w:rPr>
        <w:t>4月30日</w:t>
      </w:r>
    </w:p>
    <w:p>
      <w:pPr>
        <w:rPr>
          <w:sz w:val="18"/>
          <w:szCs w:val="18"/>
        </w:rPr>
      </w:pPr>
    </w:p>
    <w:p>
      <w:pPr>
        <w:spacing w:beforeLines="50" w:afterLines="50" w:line="360" w:lineRule="auto"/>
        <w:ind w:firstLine="437"/>
      </w:pPr>
      <w:r>
        <w:t>从</w:t>
      </w:r>
      <w:r>
        <w:rPr>
          <w:rFonts w:hint="eastAsia"/>
        </w:rPr>
        <w:t>2014年的</w:t>
      </w:r>
      <w:r>
        <w:t>市场</w:t>
      </w:r>
      <w:r>
        <w:rPr>
          <w:rFonts w:hint="eastAsia"/>
        </w:rPr>
        <w:t>总体</w:t>
      </w:r>
      <w:r>
        <w:t>走势看，</w:t>
      </w:r>
      <w:r>
        <w:rPr>
          <w:rFonts w:hint="eastAsia"/>
        </w:rPr>
        <w:t>沪深300指数的表现明显弱于</w:t>
      </w:r>
      <w:r>
        <w:t>中小板</w:t>
      </w:r>
      <w:r>
        <w:rPr>
          <w:rFonts w:hint="eastAsia"/>
        </w:rPr>
        <w:t>指数和</w:t>
      </w:r>
      <w:r>
        <w:t>创业板指数</w:t>
      </w:r>
      <w:r>
        <w:rPr>
          <w:rFonts w:hint="eastAsia"/>
        </w:rPr>
        <w:t>，但差距有所缩小</w:t>
      </w:r>
      <w:r>
        <w:t>。</w:t>
      </w:r>
      <w:r>
        <w:rPr>
          <w:rFonts w:hint="eastAsia"/>
        </w:rPr>
        <w:t>截止4月30日，</w:t>
      </w:r>
      <w:r>
        <w:t>沪深300指数</w:t>
      </w:r>
      <w:r>
        <w:rPr>
          <w:rFonts w:hint="eastAsia"/>
        </w:rPr>
        <w:t>今年以来的</w:t>
      </w:r>
      <w:r>
        <w:t>收益率</w:t>
      </w:r>
      <w:r>
        <w:rPr>
          <w:rFonts w:hint="eastAsia"/>
        </w:rPr>
        <w:t>为</w:t>
      </w:r>
      <w:r>
        <w:t>-7.</w:t>
      </w:r>
      <w:r>
        <w:rPr>
          <w:rFonts w:hint="eastAsia"/>
        </w:rPr>
        <w:t>35%</w:t>
      </w:r>
      <w:r>
        <w:t>，而中小板指数和创业板指数</w:t>
      </w:r>
      <w:r>
        <w:rPr>
          <w:rFonts w:hint="eastAsia"/>
        </w:rPr>
        <w:t>涨跌幅</w:t>
      </w:r>
      <w:r>
        <w:t>分别为-</w:t>
      </w:r>
      <w:r>
        <w:rPr>
          <w:rFonts w:hint="eastAsia"/>
        </w:rPr>
        <w:t>2</w:t>
      </w:r>
      <w:r>
        <w:t>.</w:t>
      </w:r>
      <w:r>
        <w:rPr>
          <w:rFonts w:hint="eastAsia"/>
        </w:rPr>
        <w:t>10</w:t>
      </w:r>
      <w:r>
        <w:t>%和</w:t>
      </w:r>
      <w:r>
        <w:rPr>
          <w:rFonts w:hint="eastAsia"/>
        </w:rPr>
        <w:t>1</w:t>
      </w:r>
      <w:r>
        <w:t>.</w:t>
      </w:r>
      <w:r>
        <w:rPr>
          <w:rFonts w:hint="eastAsia"/>
        </w:rPr>
        <w:t>90</w:t>
      </w:r>
      <w:r>
        <w:t>%。</w:t>
      </w:r>
    </w:p>
    <w:p>
      <w:pPr>
        <w:spacing w:beforeLines="50" w:afterLines="50" w:line="360" w:lineRule="auto"/>
        <w:ind w:firstLine="437"/>
        <w:rPr>
          <w:szCs w:val="21"/>
        </w:rPr>
      </w:pPr>
      <w:r>
        <w:rPr>
          <w:rFonts w:hint="eastAsia"/>
        </w:rPr>
        <w:t>从</w:t>
      </w:r>
      <w:r>
        <w:t>行业指数表现</w:t>
      </w:r>
      <w:r>
        <w:rPr>
          <w:rFonts w:hint="eastAsia"/>
        </w:rPr>
        <w:t>来看</w:t>
      </w:r>
      <w:r>
        <w:t>，</w:t>
      </w:r>
      <w:r>
        <w:rPr>
          <w:rFonts w:hint="eastAsia"/>
          <w:szCs w:val="21"/>
        </w:rPr>
        <w:t>休闲服务、综合和通信表现居前，涨幅分别为6.50%、4.87%和3.50%，采掘、农林牧渔和国防军工表现居后，跌幅分别为13.87%、13.67%、9.95%。</w:t>
      </w:r>
    </w:p>
    <w:p>
      <w:pPr>
        <w:spacing w:beforeLines="50" w:afterLines="50" w:line="360" w:lineRule="auto"/>
        <w:ind w:firstLine="437"/>
        <w:rPr>
          <w:szCs w:val="21"/>
        </w:rPr>
      </w:pPr>
    </w:p>
    <w:p>
      <w:pPr>
        <w:spacing w:beforeLines="50" w:afterLines="50" w:line="360" w:lineRule="auto"/>
        <w:ind w:firstLine="437"/>
        <w:rPr>
          <w:szCs w:val="21"/>
        </w:rPr>
      </w:pPr>
    </w:p>
    <w:p>
      <w:pPr>
        <w:spacing w:beforeLines="50" w:afterLines="50" w:line="360" w:lineRule="auto"/>
        <w:ind w:firstLine="437"/>
        <w:rPr>
          <w:szCs w:val="21"/>
        </w:rPr>
      </w:pPr>
    </w:p>
    <w:p>
      <w:pPr>
        <w:spacing w:beforeLines="50" w:afterLines="50" w:line="360" w:lineRule="auto"/>
        <w:ind w:firstLine="437"/>
        <w:rPr>
          <w:szCs w:val="21"/>
        </w:rPr>
      </w:pPr>
    </w:p>
    <w:tbl>
      <w:tblPr>
        <w:tblW w:w="711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0C0C0"/>
        <w:tblLayout w:type="fixed"/>
        <w:tblCellMar>
          <w:left w:w="108" w:type="dxa"/>
          <w:right w:w="108" w:type="dxa"/>
        </w:tblCellMar>
      </w:tblPr>
      <w:tblGrid>
        <w:gridCol w:w="7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0C0C0"/>
          <w:tblLayout w:type="fixed"/>
          <w:tblCellMar>
            <w:left w:w="108" w:type="dxa"/>
            <w:right w:w="108" w:type="dxa"/>
          </w:tblCellMar>
        </w:tblPrEx>
        <w:trPr>
          <w:trHeight w:val="169" w:hRule="atLeast"/>
        </w:trPr>
        <w:tc>
          <w:tcPr>
            <w:tcW w:w="7110" w:type="dxa"/>
            <w:shd w:val="clear" w:color="auto" w:fill="C0C0C0"/>
            <w:vAlign w:val="center"/>
          </w:tcPr>
          <w:p>
            <w:pPr>
              <w:rPr>
                <w:b/>
                <w:szCs w:val="21"/>
              </w:rPr>
            </w:pPr>
            <w:r>
              <w:rPr>
                <w:rFonts w:hint="eastAsia"/>
                <w:b/>
                <w:szCs w:val="21"/>
              </w:rPr>
              <w:t>2014</w:t>
            </w:r>
            <w:r>
              <w:rPr>
                <w:b/>
                <w:szCs w:val="21"/>
              </w:rPr>
              <w:t>年</w:t>
            </w:r>
            <w:r>
              <w:rPr>
                <w:rFonts w:hint="eastAsia"/>
                <w:b/>
                <w:szCs w:val="21"/>
              </w:rPr>
              <w:t>申万</w:t>
            </w:r>
            <w:r>
              <w:rPr>
                <w:b/>
                <w:szCs w:val="21"/>
              </w:rPr>
              <w:t>一级行业指数涨跌幅</w:t>
            </w:r>
          </w:p>
        </w:tc>
      </w:tr>
    </w:tbl>
    <w:p>
      <w:r>
        <w:rPr>
          <w:rFonts w:ascii="Times New Roman" w:hAnsi="Times New Roman" w:eastAsia="宋体" w:cs="Times New Roman"/>
          <w:kern w:val="2"/>
          <w:sz w:val="21"/>
          <w:szCs w:val="24"/>
          <w:lang w:val="en-US" w:eastAsia="zh-CN" w:bidi="ar-SA"/>
        </w:rPr>
        <w:pict>
          <v:shape id="图片框 1033" o:spid="_x0000_s1034" type="#_x0000_t75" style="height:232.5pt;width:354.75pt;rotation:0f;" o:ole="f"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w:pict>
      </w:r>
    </w:p>
    <w:p>
      <w:pPr>
        <w:rPr>
          <w:sz w:val="18"/>
          <w:szCs w:val="18"/>
        </w:rPr>
      </w:pPr>
      <w:r>
        <w:rPr>
          <w:sz w:val="18"/>
          <w:szCs w:val="18"/>
        </w:rPr>
        <w:t>数据来源：</w:t>
      </w:r>
      <w:r>
        <w:rPr>
          <w:rFonts w:hint="eastAsia"/>
          <w:sz w:val="18"/>
          <w:szCs w:val="18"/>
        </w:rPr>
        <w:t>Wind、</w:t>
      </w:r>
      <w:r>
        <w:rPr>
          <w:sz w:val="18"/>
          <w:szCs w:val="18"/>
        </w:rPr>
        <w:t>好买基金研究中心截至201</w:t>
      </w:r>
      <w:r>
        <w:rPr>
          <w:rFonts w:hint="eastAsia"/>
          <w:sz w:val="18"/>
          <w:szCs w:val="18"/>
        </w:rPr>
        <w:t>4</w:t>
      </w:r>
      <w:r>
        <w:rPr>
          <w:sz w:val="18"/>
          <w:szCs w:val="18"/>
        </w:rPr>
        <w:t>年</w:t>
      </w:r>
      <w:r>
        <w:rPr>
          <w:rFonts w:hint="eastAsia"/>
          <w:sz w:val="18"/>
          <w:szCs w:val="18"/>
        </w:rPr>
        <w:t>4月30日</w:t>
      </w:r>
    </w:p>
    <w:p>
      <w:pPr>
        <w:rPr>
          <w:sz w:val="18"/>
          <w:szCs w:val="18"/>
        </w:rPr>
      </w:pPr>
    </w:p>
    <w:p>
      <w:pPr>
        <w:spacing w:beforeLines="50" w:afterLines="50" w:line="360" w:lineRule="auto"/>
        <w:ind w:firstLine="420" w:firstLineChars="200"/>
        <w:rPr>
          <w:kern w:val="0"/>
          <w:szCs w:val="21"/>
        </w:rPr>
      </w:pPr>
      <w:r>
        <w:rPr>
          <w:kern w:val="0"/>
          <w:szCs w:val="21"/>
        </w:rPr>
        <w:t>截至</w:t>
      </w:r>
      <w:r>
        <w:rPr>
          <w:rFonts w:hint="eastAsia"/>
          <w:kern w:val="0"/>
          <w:szCs w:val="21"/>
        </w:rPr>
        <w:t>2014年5月9日</w:t>
      </w:r>
      <w:r>
        <w:rPr>
          <w:kern w:val="0"/>
          <w:szCs w:val="21"/>
        </w:rPr>
        <w:t>，好买基金研究中心对能够取得</w:t>
      </w:r>
      <w:r>
        <w:rPr>
          <w:rFonts w:hint="eastAsia"/>
          <w:kern w:val="0"/>
          <w:szCs w:val="21"/>
        </w:rPr>
        <w:t>4月</w:t>
      </w:r>
      <w:r>
        <w:rPr>
          <w:kern w:val="0"/>
          <w:szCs w:val="21"/>
        </w:rPr>
        <w:t>收益率数据的</w:t>
      </w:r>
      <w:r>
        <w:rPr>
          <w:rFonts w:hint="eastAsia"/>
          <w:kern w:val="0"/>
          <w:szCs w:val="21"/>
        </w:rPr>
        <w:t>1221支普通股票型</w:t>
      </w:r>
      <w:r>
        <w:rPr>
          <w:kern w:val="0"/>
          <w:szCs w:val="21"/>
        </w:rPr>
        <w:t>私募基金进行了统计。</w:t>
      </w:r>
      <w:r>
        <w:rPr>
          <w:rFonts w:hint="eastAsia"/>
          <w:kern w:val="0"/>
          <w:szCs w:val="21"/>
        </w:rPr>
        <w:t>4月普通股票型</w:t>
      </w:r>
      <w:r>
        <w:rPr>
          <w:kern w:val="0"/>
          <w:szCs w:val="21"/>
        </w:rPr>
        <w:t>私募基金平均收益</w:t>
      </w:r>
      <w:r>
        <w:rPr>
          <w:rFonts w:hint="eastAsia"/>
          <w:kern w:val="0"/>
          <w:szCs w:val="21"/>
        </w:rPr>
        <w:t>为-0.41</w:t>
      </w:r>
      <w:r>
        <w:rPr>
          <w:kern w:val="0"/>
          <w:szCs w:val="21"/>
        </w:rPr>
        <w:t>%，单月跑</w:t>
      </w:r>
      <w:r>
        <w:rPr>
          <w:rFonts w:hint="eastAsia"/>
          <w:kern w:val="0"/>
          <w:szCs w:val="21"/>
        </w:rPr>
        <w:t>输</w:t>
      </w:r>
      <w:r>
        <w:rPr>
          <w:kern w:val="0"/>
          <w:szCs w:val="21"/>
        </w:rPr>
        <w:t>沪深300指数</w:t>
      </w:r>
      <w:r>
        <w:rPr>
          <w:rFonts w:hint="eastAsia"/>
          <w:kern w:val="0"/>
          <w:szCs w:val="21"/>
        </w:rPr>
        <w:t>，跑赢公募股票型基金</w:t>
      </w:r>
      <w:r>
        <w:rPr>
          <w:kern w:val="0"/>
          <w:szCs w:val="21"/>
        </w:rPr>
        <w:t>。</w:t>
      </w:r>
      <w:r>
        <w:rPr>
          <w:rFonts w:hint="eastAsia"/>
          <w:kern w:val="0"/>
          <w:szCs w:val="21"/>
        </w:rPr>
        <w:t>普通股票型</w:t>
      </w:r>
      <w:r>
        <w:rPr>
          <w:kern w:val="0"/>
          <w:szCs w:val="21"/>
        </w:rPr>
        <w:t>私募</w:t>
      </w:r>
      <w:r>
        <w:rPr>
          <w:rFonts w:hint="eastAsia"/>
          <w:kern w:val="0"/>
          <w:szCs w:val="21"/>
        </w:rPr>
        <w:t>近3个月的平均收益跑赢公募股票型基金，但跑输沪深300指数。普通股票型</w:t>
      </w:r>
      <w:r>
        <w:rPr>
          <w:kern w:val="0"/>
          <w:szCs w:val="21"/>
        </w:rPr>
        <w:t>私募</w:t>
      </w:r>
      <w:r>
        <w:rPr>
          <w:rFonts w:hint="eastAsia"/>
          <w:kern w:val="0"/>
          <w:szCs w:val="21"/>
        </w:rPr>
        <w:t>在近6月、近12月和近2年的各考察周期中，均好于沪深300指数和公募股票型基金。</w:t>
      </w:r>
    </w:p>
    <w:tbl>
      <w:tblPr>
        <w:tblW w:w="7707"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0C0C0"/>
        <w:tblLayout w:type="fixed"/>
        <w:tblCellMar>
          <w:left w:w="108" w:type="dxa"/>
          <w:right w:w="108" w:type="dxa"/>
        </w:tblCellMar>
      </w:tblPr>
      <w:tblGrid>
        <w:gridCol w:w="7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0C0C0"/>
          <w:tblLayout w:type="fixed"/>
          <w:tblCellMar>
            <w:left w:w="108" w:type="dxa"/>
            <w:right w:w="108" w:type="dxa"/>
          </w:tblCellMar>
        </w:tblPrEx>
        <w:trPr>
          <w:trHeight w:val="273" w:hRule="atLeast"/>
        </w:trPr>
        <w:tc>
          <w:tcPr>
            <w:tcW w:w="7707" w:type="dxa"/>
            <w:shd w:val="clear" w:color="auto" w:fill="C0C0C0"/>
            <w:vAlign w:val="center"/>
          </w:tcPr>
          <w:p>
            <w:pPr>
              <w:rPr>
                <w:b/>
                <w:szCs w:val="21"/>
              </w:rPr>
            </w:pPr>
            <w:r>
              <w:rPr>
                <w:b/>
                <w:szCs w:val="21"/>
              </w:rPr>
              <w:t>公、私募基金各阶段收益比较</w:t>
            </w:r>
          </w:p>
        </w:tc>
      </w:tr>
    </w:tbl>
    <w:p>
      <w:r>
        <w:rPr>
          <w:rFonts w:ascii="Times New Roman" w:hAnsi="Times New Roman" w:eastAsia="宋体" w:cs="Times New Roman"/>
          <w:kern w:val="2"/>
          <w:sz w:val="21"/>
          <w:szCs w:val="24"/>
          <w:lang w:val="en-US" w:eastAsia="zh-CN" w:bidi="ar-SA"/>
        </w:rPr>
        <w:pict>
          <v:shape id="图片框 1034" o:spid="_x0000_s1035" type="#_x0000_t75" style="height:213.75pt;width:387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p>
    <w:p>
      <w:pPr>
        <w:rPr>
          <w:sz w:val="18"/>
          <w:szCs w:val="18"/>
        </w:rPr>
      </w:pPr>
      <w:r>
        <w:rPr>
          <w:sz w:val="18"/>
          <w:szCs w:val="18"/>
        </w:rPr>
        <w:t>数据来源：好买基金研究中心</w:t>
      </w:r>
      <w:r>
        <w:rPr>
          <w:rFonts w:hint="eastAsia"/>
          <w:sz w:val="18"/>
          <w:szCs w:val="18"/>
        </w:rPr>
        <w:t>，</w:t>
      </w:r>
      <w:r>
        <w:rPr>
          <w:sz w:val="18"/>
          <w:szCs w:val="18"/>
        </w:rPr>
        <w:t>私募数据搜集截止至2014年</w:t>
      </w:r>
      <w:r>
        <w:rPr>
          <w:rFonts w:hint="eastAsia"/>
          <w:sz w:val="18"/>
          <w:szCs w:val="18"/>
        </w:rPr>
        <w:t>5月9日</w:t>
      </w:r>
      <w:r>
        <w:rPr>
          <w:sz w:val="18"/>
          <w:szCs w:val="18"/>
        </w:rPr>
        <w:t>。公募</w:t>
      </w:r>
      <w:r>
        <w:rPr>
          <w:rFonts w:hint="eastAsia"/>
          <w:sz w:val="18"/>
          <w:szCs w:val="18"/>
        </w:rPr>
        <w:t>股票</w:t>
      </w:r>
      <w:r>
        <w:rPr>
          <w:sz w:val="18"/>
          <w:szCs w:val="18"/>
        </w:rPr>
        <w:t>型基金数据及沪深300数据均截止至201</w:t>
      </w:r>
      <w:r>
        <w:rPr>
          <w:rFonts w:hint="eastAsia"/>
          <w:sz w:val="18"/>
          <w:szCs w:val="18"/>
        </w:rPr>
        <w:t>4</w:t>
      </w:r>
      <w:r>
        <w:rPr>
          <w:sz w:val="18"/>
          <w:szCs w:val="18"/>
        </w:rPr>
        <w:t>年</w:t>
      </w:r>
      <w:r>
        <w:rPr>
          <w:rFonts w:hint="eastAsia"/>
          <w:sz w:val="18"/>
          <w:szCs w:val="18"/>
        </w:rPr>
        <w:t>4月30日</w:t>
      </w:r>
      <w:r>
        <w:rPr>
          <w:sz w:val="18"/>
          <w:szCs w:val="18"/>
        </w:rPr>
        <w:t>。私募各阶段收益率统计区间尽量匹配自然月度，但不能完全消除私募产品净值公布日期不同的影响，故私募各阶段的平均收益率为粗略统计，与公募</w:t>
      </w:r>
      <w:r>
        <w:rPr>
          <w:rFonts w:hint="eastAsia"/>
          <w:sz w:val="18"/>
          <w:szCs w:val="18"/>
        </w:rPr>
        <w:t>股票</w:t>
      </w:r>
      <w:r>
        <w:rPr>
          <w:sz w:val="18"/>
          <w:szCs w:val="18"/>
        </w:rPr>
        <w:t>型基金及沪深300指数的比较仅供参考。</w:t>
      </w:r>
    </w:p>
    <w:p>
      <w:pPr>
        <w:spacing w:beforeLines="50" w:afterLines="50" w:line="360" w:lineRule="auto"/>
        <w:ind w:firstLine="420"/>
        <w:rPr>
          <w:szCs w:val="21"/>
        </w:rPr>
      </w:pPr>
      <w:r>
        <w:rPr>
          <w:szCs w:val="21"/>
        </w:rPr>
        <w:t>好买基金研究中心对</w:t>
      </w:r>
      <w:r>
        <w:rPr>
          <w:rFonts w:hint="eastAsia"/>
          <w:szCs w:val="21"/>
        </w:rPr>
        <w:t>普通股票型</w:t>
      </w:r>
      <w:r>
        <w:rPr>
          <w:szCs w:val="21"/>
        </w:rPr>
        <w:t>私募基金的收益率分布情况进行了统计，直方图显示，</w:t>
      </w:r>
      <w:r>
        <w:rPr>
          <w:rFonts w:hint="eastAsia"/>
          <w:szCs w:val="21"/>
        </w:rPr>
        <w:t>4月</w:t>
      </w:r>
      <w:r>
        <w:rPr>
          <w:szCs w:val="21"/>
        </w:rPr>
        <w:t>私募基金收益率分布的特点是：</w:t>
      </w:r>
      <w:r>
        <w:rPr>
          <w:rFonts w:hint="eastAsia"/>
          <w:szCs w:val="21"/>
        </w:rPr>
        <w:t>偏度为</w:t>
      </w:r>
      <w:r>
        <w:rPr>
          <w:szCs w:val="21"/>
        </w:rPr>
        <w:t>0.</w:t>
      </w:r>
      <w:r>
        <w:rPr>
          <w:rFonts w:hint="eastAsia"/>
          <w:szCs w:val="21"/>
        </w:rPr>
        <w:t>79，表明以平均值为中心的不对称部分的分布趋向正值；峰值集中在0%，极差较上期略微减少0.9%。</w:t>
      </w:r>
    </w:p>
    <w:tbl>
      <w:tblPr>
        <w:tblW w:w="723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0C0C0"/>
        <w:tblLayout w:type="fixed"/>
        <w:tblCellMar>
          <w:left w:w="108" w:type="dxa"/>
          <w:right w:w="108" w:type="dxa"/>
        </w:tblCellMar>
      </w:tblPr>
      <w:tblGrid>
        <w:gridCol w:w="7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0C0C0"/>
          <w:tblLayout w:type="fixed"/>
          <w:tblCellMar>
            <w:left w:w="108" w:type="dxa"/>
            <w:right w:w="108" w:type="dxa"/>
          </w:tblCellMar>
        </w:tblPrEx>
        <w:trPr>
          <w:trHeight w:val="273" w:hRule="atLeast"/>
        </w:trPr>
        <w:tc>
          <w:tcPr>
            <w:tcW w:w="7230" w:type="dxa"/>
            <w:shd w:val="clear" w:color="auto" w:fill="C0C0C0"/>
            <w:vAlign w:val="center"/>
          </w:tcPr>
          <w:p>
            <w:pPr>
              <w:rPr>
                <w:b/>
                <w:szCs w:val="21"/>
              </w:rPr>
            </w:pPr>
            <w:r>
              <w:rPr>
                <w:b/>
                <w:szCs w:val="21"/>
              </w:rPr>
              <w:t>近1个月私募基金收益率分布</w:t>
            </w:r>
          </w:p>
        </w:tc>
      </w:tr>
    </w:tbl>
    <w:p>
      <w:r>
        <w:rPr>
          <w:rFonts w:ascii="Times New Roman" w:hAnsi="Times New Roman" w:eastAsia="宋体" w:cs="Times New Roman"/>
          <w:kern w:val="2"/>
          <w:sz w:val="21"/>
          <w:szCs w:val="24"/>
          <w:lang w:val="en-US" w:eastAsia="zh-CN" w:bidi="ar-SA"/>
        </w:rPr>
        <w:pict>
          <v:shape id="图片框 1035" o:spid="_x0000_s1036" type="#_x0000_t75" style="height:216pt;width:360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p>
    <w:p>
      <w:pPr>
        <w:rPr>
          <w:sz w:val="18"/>
          <w:szCs w:val="18"/>
        </w:rPr>
      </w:pPr>
      <w:r>
        <w:rPr>
          <w:sz w:val="18"/>
          <w:szCs w:val="18"/>
        </w:rPr>
        <w:t>数据来源：好买基金研究中心，私募数据搜集截止至2014年</w:t>
      </w:r>
      <w:r>
        <w:rPr>
          <w:rFonts w:hint="eastAsia"/>
          <w:sz w:val="18"/>
          <w:szCs w:val="18"/>
        </w:rPr>
        <w:t>5月9日</w:t>
      </w:r>
    </w:p>
    <w:p>
      <w:pPr>
        <w:spacing w:beforeLines="50" w:afterLines="50" w:line="360" w:lineRule="auto"/>
        <w:ind w:firstLine="420" w:firstLineChars="200"/>
        <w:rPr>
          <w:rFonts w:ascii="宋体" w:hAnsi="宋体"/>
        </w:rPr>
      </w:pPr>
      <w:r>
        <w:rPr>
          <w:rFonts w:hint="eastAsia" w:ascii="宋体" w:hAnsi="宋体"/>
        </w:rPr>
        <w:t>今年以来，新价值成长1期的业绩较为突出，主要得益于基金经理对低估值二线蓝筹的布局，特别是在消费股上。新价值的投资风格仍属于偏激进型--配高弹性个股、左侧交易；思路还是寻找有故事有弹性的重组概念。投资上更多是依赖罗伟广个人的判断。新任基金经理均是通过内部挖掘，相信投研思路仍是延续以往的“投资基因”。经历了过去几年的业绩下挫和流动性危机后，新价值的管理规模已经大幅缩减。罗伟广对投资进行了一定的改进，如兼顾配置，适度分散。以往个股过度集中的情况会有一定的改善。另外，在一些个股的操作上也会适当做一些波段，锁定既有收益。这些改变将对平滑净值波动有积极的作用。</w:t>
      </w:r>
    </w:p>
    <w:tbl>
      <w:tblPr>
        <w:tblW w:w="85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656"/>
        <w:gridCol w:w="936"/>
        <w:gridCol w:w="936"/>
        <w:gridCol w:w="936"/>
        <w:gridCol w:w="936"/>
        <w:gridCol w:w="936"/>
        <w:gridCol w:w="936"/>
        <w:gridCol w:w="1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8568" w:type="dxa"/>
            <w:gridSpan w:val="8"/>
            <w:tcBorders>
              <w:top w:val="single" w:color="auto" w:sz="4" w:space="0"/>
              <w:left w:val="single" w:color="auto" w:sz="4" w:space="0"/>
              <w:bottom w:val="single" w:color="auto" w:sz="4" w:space="0"/>
              <w:right w:val="single" w:color="auto" w:sz="4" w:space="0"/>
            </w:tcBorders>
            <w:shd w:val="pct25" w:color="auto" w:fill="auto"/>
            <w:vAlign w:val="center"/>
          </w:tcPr>
          <w:p>
            <w:pPr>
              <w:widowControl/>
              <w:jc w:val="left"/>
              <w:rPr>
                <w:b/>
                <w:kern w:val="0"/>
                <w:szCs w:val="21"/>
              </w:rPr>
            </w:pPr>
            <w:r>
              <w:rPr>
                <w:b/>
                <w:kern w:val="0"/>
                <w:szCs w:val="21"/>
              </w:rPr>
              <w:t>近1月收益率排名前10位的私募基金产品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56"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Ansi="宋体"/>
                <w:kern w:val="0"/>
                <w:sz w:val="18"/>
                <w:szCs w:val="18"/>
              </w:rPr>
              <w:t>产品名称</w:t>
            </w:r>
          </w:p>
        </w:tc>
        <w:tc>
          <w:tcPr>
            <w:tcW w:w="936" w:type="dxa"/>
            <w:tcBorders>
              <w:top w:val="nil"/>
              <w:left w:val="nil"/>
              <w:bottom w:val="single" w:color="auto" w:sz="4" w:space="0"/>
              <w:right w:val="single" w:color="auto" w:sz="4" w:space="0"/>
            </w:tcBorders>
            <w:vAlign w:val="center"/>
          </w:tcPr>
          <w:p>
            <w:pPr>
              <w:widowControl/>
              <w:jc w:val="center"/>
              <w:rPr>
                <w:kern w:val="0"/>
                <w:sz w:val="18"/>
                <w:szCs w:val="18"/>
              </w:rPr>
            </w:pPr>
            <w:r>
              <w:rPr>
                <w:rFonts w:hAnsi="宋体"/>
                <w:kern w:val="0"/>
                <w:sz w:val="18"/>
                <w:szCs w:val="18"/>
              </w:rPr>
              <w:t>投资顾问</w:t>
            </w:r>
          </w:p>
        </w:tc>
        <w:tc>
          <w:tcPr>
            <w:tcW w:w="936" w:type="dxa"/>
            <w:tcBorders>
              <w:top w:val="nil"/>
              <w:left w:val="nil"/>
              <w:bottom w:val="single" w:color="auto" w:sz="4" w:space="0"/>
              <w:right w:val="single" w:color="auto" w:sz="4" w:space="0"/>
            </w:tcBorders>
            <w:vAlign w:val="center"/>
          </w:tcPr>
          <w:p>
            <w:pPr>
              <w:widowControl/>
              <w:jc w:val="center"/>
              <w:rPr>
                <w:kern w:val="0"/>
                <w:sz w:val="18"/>
                <w:szCs w:val="18"/>
              </w:rPr>
            </w:pPr>
            <w:r>
              <w:rPr>
                <w:rFonts w:hAnsi="宋体"/>
                <w:kern w:val="0"/>
                <w:sz w:val="18"/>
                <w:szCs w:val="18"/>
              </w:rPr>
              <w:t>基金经理</w:t>
            </w:r>
          </w:p>
        </w:tc>
        <w:tc>
          <w:tcPr>
            <w:tcW w:w="936" w:type="dxa"/>
            <w:tcBorders>
              <w:top w:val="nil"/>
              <w:left w:val="nil"/>
              <w:bottom w:val="single" w:color="auto" w:sz="4" w:space="0"/>
              <w:right w:val="single" w:color="auto" w:sz="4" w:space="0"/>
            </w:tcBorders>
            <w:vAlign w:val="center"/>
          </w:tcPr>
          <w:p>
            <w:pPr>
              <w:widowControl/>
              <w:jc w:val="center"/>
              <w:rPr>
                <w:kern w:val="0"/>
                <w:sz w:val="18"/>
                <w:szCs w:val="18"/>
              </w:rPr>
            </w:pPr>
            <w:r>
              <w:rPr>
                <w:rFonts w:hAnsi="宋体"/>
                <w:kern w:val="0"/>
                <w:sz w:val="18"/>
                <w:szCs w:val="18"/>
              </w:rPr>
              <w:t>受托人</w:t>
            </w:r>
          </w:p>
        </w:tc>
        <w:tc>
          <w:tcPr>
            <w:tcW w:w="936" w:type="dxa"/>
            <w:tcBorders>
              <w:top w:val="nil"/>
              <w:left w:val="nil"/>
              <w:bottom w:val="single" w:color="auto" w:sz="4" w:space="0"/>
              <w:right w:val="single" w:color="auto" w:sz="4" w:space="0"/>
            </w:tcBorders>
            <w:vAlign w:val="center"/>
          </w:tcPr>
          <w:p>
            <w:pPr>
              <w:widowControl/>
              <w:jc w:val="center"/>
              <w:rPr>
                <w:kern w:val="0"/>
                <w:sz w:val="18"/>
                <w:szCs w:val="18"/>
              </w:rPr>
            </w:pPr>
            <w:r>
              <w:rPr>
                <w:rFonts w:hAnsi="宋体"/>
                <w:kern w:val="0"/>
                <w:sz w:val="18"/>
                <w:szCs w:val="18"/>
              </w:rPr>
              <w:t>成立日期</w:t>
            </w:r>
          </w:p>
        </w:tc>
        <w:tc>
          <w:tcPr>
            <w:tcW w:w="936" w:type="dxa"/>
            <w:tcBorders>
              <w:top w:val="nil"/>
              <w:left w:val="nil"/>
              <w:bottom w:val="single" w:color="auto" w:sz="4" w:space="0"/>
              <w:right w:val="single" w:color="auto" w:sz="4" w:space="0"/>
            </w:tcBorders>
            <w:vAlign w:val="center"/>
          </w:tcPr>
          <w:p>
            <w:pPr>
              <w:widowControl/>
              <w:jc w:val="center"/>
              <w:rPr>
                <w:kern w:val="0"/>
                <w:sz w:val="18"/>
                <w:szCs w:val="18"/>
              </w:rPr>
            </w:pPr>
            <w:r>
              <w:rPr>
                <w:rFonts w:hAnsi="宋体"/>
                <w:kern w:val="0"/>
                <w:sz w:val="18"/>
                <w:szCs w:val="18"/>
              </w:rPr>
              <w:t>净值日期</w:t>
            </w:r>
          </w:p>
        </w:tc>
        <w:tc>
          <w:tcPr>
            <w:tcW w:w="936" w:type="dxa"/>
            <w:tcBorders>
              <w:top w:val="nil"/>
              <w:left w:val="nil"/>
              <w:bottom w:val="single" w:color="auto" w:sz="4" w:space="0"/>
              <w:right w:val="single" w:color="auto" w:sz="4" w:space="0"/>
            </w:tcBorders>
            <w:vAlign w:val="center"/>
          </w:tcPr>
          <w:p>
            <w:pPr>
              <w:widowControl/>
              <w:jc w:val="center"/>
              <w:rPr>
                <w:kern w:val="0"/>
                <w:sz w:val="18"/>
                <w:szCs w:val="18"/>
              </w:rPr>
            </w:pPr>
            <w:r>
              <w:rPr>
                <w:rFonts w:hAnsi="宋体"/>
                <w:kern w:val="0"/>
                <w:sz w:val="18"/>
                <w:szCs w:val="18"/>
              </w:rPr>
              <w:t>最新净值</w:t>
            </w:r>
          </w:p>
        </w:tc>
        <w:tc>
          <w:tcPr>
            <w:tcW w:w="1296" w:type="dxa"/>
            <w:tcBorders>
              <w:top w:val="nil"/>
              <w:left w:val="nil"/>
              <w:bottom w:val="single" w:color="auto" w:sz="4" w:space="0"/>
              <w:right w:val="single" w:color="auto" w:sz="4" w:space="0"/>
            </w:tcBorders>
            <w:vAlign w:val="center"/>
          </w:tcPr>
          <w:p>
            <w:pPr>
              <w:widowControl/>
              <w:jc w:val="center"/>
              <w:rPr>
                <w:kern w:val="0"/>
                <w:sz w:val="18"/>
                <w:szCs w:val="18"/>
              </w:rPr>
            </w:pPr>
            <w:r>
              <w:rPr>
                <w:rFonts w:hAnsi="宋体"/>
                <w:kern w:val="0"/>
                <w:sz w:val="18"/>
                <w:szCs w:val="18"/>
              </w:rPr>
              <w:t>近</w:t>
            </w:r>
            <w:r>
              <w:rPr>
                <w:kern w:val="0"/>
                <w:sz w:val="18"/>
                <w:szCs w:val="18"/>
              </w:rPr>
              <w:t>1</w:t>
            </w:r>
            <w:r>
              <w:rPr>
                <w:rFonts w:hAnsi="宋体"/>
                <w:kern w:val="0"/>
                <w:sz w:val="18"/>
                <w:szCs w:val="18"/>
              </w:rPr>
              <w:t>月收益率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56" w:type="dxa"/>
            <w:tcBorders>
              <w:top w:val="nil"/>
              <w:left w:val="single" w:color="auto" w:sz="4" w:space="0"/>
              <w:bottom w:val="single" w:color="auto" w:sz="4" w:space="0"/>
              <w:right w:val="single" w:color="auto" w:sz="4" w:space="0"/>
            </w:tcBorders>
            <w:vAlign w:val="top"/>
          </w:tcPr>
          <w:p>
            <w:pPr>
              <w:jc w:val="left"/>
              <w:rPr>
                <w:sz w:val="18"/>
                <w:szCs w:val="18"/>
              </w:rPr>
            </w:pPr>
            <w:r>
              <w:rPr>
                <w:rFonts w:hint="eastAsia"/>
                <w:sz w:val="18"/>
                <w:szCs w:val="18"/>
              </w:rPr>
              <w:t>穗富1号</w:t>
            </w:r>
          </w:p>
        </w:tc>
        <w:tc>
          <w:tcPr>
            <w:tcW w:w="936" w:type="dxa"/>
            <w:tcBorders>
              <w:top w:val="nil"/>
              <w:left w:val="nil"/>
              <w:bottom w:val="single" w:color="auto" w:sz="4" w:space="0"/>
              <w:right w:val="single" w:color="auto" w:sz="4" w:space="0"/>
            </w:tcBorders>
            <w:vAlign w:val="top"/>
          </w:tcPr>
          <w:p>
            <w:pPr>
              <w:jc w:val="left"/>
              <w:rPr>
                <w:sz w:val="18"/>
                <w:szCs w:val="18"/>
              </w:rPr>
            </w:pPr>
            <w:r>
              <w:rPr>
                <w:rFonts w:hint="eastAsia"/>
                <w:sz w:val="18"/>
                <w:szCs w:val="18"/>
              </w:rPr>
              <w:t>穗富</w:t>
            </w:r>
          </w:p>
        </w:tc>
        <w:tc>
          <w:tcPr>
            <w:tcW w:w="936" w:type="dxa"/>
            <w:tcBorders>
              <w:top w:val="nil"/>
              <w:left w:val="nil"/>
              <w:bottom w:val="single" w:color="auto" w:sz="4" w:space="0"/>
              <w:right w:val="single" w:color="auto" w:sz="4" w:space="0"/>
            </w:tcBorders>
            <w:vAlign w:val="top"/>
          </w:tcPr>
          <w:p>
            <w:pPr>
              <w:jc w:val="left"/>
              <w:rPr>
                <w:sz w:val="18"/>
                <w:szCs w:val="18"/>
              </w:rPr>
            </w:pPr>
            <w:r>
              <w:rPr>
                <w:rFonts w:hint="eastAsia"/>
                <w:sz w:val="18"/>
                <w:szCs w:val="18"/>
              </w:rPr>
              <w:t>邱永明</w:t>
            </w:r>
          </w:p>
        </w:tc>
        <w:tc>
          <w:tcPr>
            <w:tcW w:w="936" w:type="dxa"/>
            <w:tcBorders>
              <w:top w:val="nil"/>
              <w:left w:val="nil"/>
              <w:bottom w:val="single" w:color="auto" w:sz="4" w:space="0"/>
              <w:right w:val="single" w:color="auto" w:sz="4" w:space="0"/>
            </w:tcBorders>
            <w:vAlign w:val="top"/>
          </w:tcPr>
          <w:p>
            <w:pPr>
              <w:jc w:val="left"/>
              <w:rPr>
                <w:sz w:val="18"/>
                <w:szCs w:val="18"/>
              </w:rPr>
            </w:pPr>
            <w:r>
              <w:rPr>
                <w:rFonts w:hint="eastAsia"/>
                <w:sz w:val="18"/>
                <w:szCs w:val="18"/>
              </w:rPr>
              <w:t>粤财信托</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20130905</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20140430</w:t>
            </w:r>
          </w:p>
        </w:tc>
        <w:tc>
          <w:tcPr>
            <w:tcW w:w="936" w:type="dxa"/>
            <w:tcBorders>
              <w:top w:val="nil"/>
              <w:left w:val="nil"/>
              <w:bottom w:val="single" w:color="auto" w:sz="4" w:space="0"/>
              <w:right w:val="single" w:color="auto" w:sz="4" w:space="0"/>
            </w:tcBorders>
            <w:vAlign w:val="bottom"/>
          </w:tcPr>
          <w:p>
            <w:pPr>
              <w:jc w:val="center"/>
              <w:rPr>
                <w:sz w:val="18"/>
                <w:szCs w:val="18"/>
              </w:rPr>
            </w:pPr>
            <w:r>
              <w:rPr>
                <w:sz w:val="18"/>
                <w:szCs w:val="18"/>
              </w:rPr>
              <w:t>1.2503</w:t>
            </w:r>
          </w:p>
        </w:tc>
        <w:tc>
          <w:tcPr>
            <w:tcW w:w="1296" w:type="dxa"/>
            <w:tcBorders>
              <w:top w:val="nil"/>
              <w:left w:val="nil"/>
              <w:bottom w:val="single" w:color="auto" w:sz="4" w:space="0"/>
              <w:right w:val="single" w:color="auto" w:sz="4" w:space="0"/>
            </w:tcBorders>
            <w:vAlign w:val="bottom"/>
          </w:tcPr>
          <w:p>
            <w:pPr>
              <w:jc w:val="center"/>
              <w:rPr>
                <w:sz w:val="18"/>
                <w:szCs w:val="18"/>
              </w:rPr>
            </w:pPr>
            <w:r>
              <w:rPr>
                <w:sz w:val="18"/>
                <w:szCs w:val="18"/>
              </w:rPr>
              <w:t>17.91%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56" w:type="dxa"/>
            <w:tcBorders>
              <w:top w:val="nil"/>
              <w:left w:val="single" w:color="auto" w:sz="4" w:space="0"/>
              <w:bottom w:val="single" w:color="auto" w:sz="4" w:space="0"/>
              <w:right w:val="single" w:color="auto" w:sz="4" w:space="0"/>
            </w:tcBorders>
            <w:vAlign w:val="top"/>
          </w:tcPr>
          <w:p>
            <w:pPr>
              <w:jc w:val="left"/>
              <w:rPr>
                <w:sz w:val="18"/>
                <w:szCs w:val="18"/>
              </w:rPr>
            </w:pPr>
            <w:r>
              <w:rPr>
                <w:rFonts w:hint="eastAsia"/>
                <w:sz w:val="18"/>
                <w:szCs w:val="18"/>
              </w:rPr>
              <w:t>东源1期华鑫</w:t>
            </w:r>
          </w:p>
        </w:tc>
        <w:tc>
          <w:tcPr>
            <w:tcW w:w="936" w:type="dxa"/>
            <w:tcBorders>
              <w:top w:val="nil"/>
              <w:left w:val="nil"/>
              <w:bottom w:val="single" w:color="auto" w:sz="4" w:space="0"/>
              <w:right w:val="single" w:color="auto" w:sz="4" w:space="0"/>
            </w:tcBorders>
            <w:vAlign w:val="top"/>
          </w:tcPr>
          <w:p>
            <w:pPr>
              <w:jc w:val="left"/>
              <w:rPr>
                <w:sz w:val="18"/>
                <w:szCs w:val="18"/>
              </w:rPr>
            </w:pPr>
            <w:r>
              <w:rPr>
                <w:rFonts w:hint="eastAsia"/>
                <w:sz w:val="18"/>
                <w:szCs w:val="18"/>
              </w:rPr>
              <w:t>东源股权</w:t>
            </w:r>
          </w:p>
        </w:tc>
        <w:tc>
          <w:tcPr>
            <w:tcW w:w="936" w:type="dxa"/>
            <w:tcBorders>
              <w:top w:val="nil"/>
              <w:left w:val="nil"/>
              <w:bottom w:val="single" w:color="auto" w:sz="4" w:space="0"/>
              <w:right w:val="single" w:color="auto" w:sz="4" w:space="0"/>
            </w:tcBorders>
            <w:vAlign w:val="top"/>
          </w:tcPr>
          <w:p>
            <w:pPr>
              <w:jc w:val="left"/>
              <w:rPr>
                <w:sz w:val="18"/>
                <w:szCs w:val="18"/>
              </w:rPr>
            </w:pPr>
            <w:r>
              <w:rPr>
                <w:rFonts w:hint="eastAsia"/>
                <w:sz w:val="18"/>
                <w:szCs w:val="18"/>
              </w:rPr>
              <w:t>王伟林</w:t>
            </w:r>
          </w:p>
        </w:tc>
        <w:tc>
          <w:tcPr>
            <w:tcW w:w="936" w:type="dxa"/>
            <w:tcBorders>
              <w:top w:val="nil"/>
              <w:left w:val="nil"/>
              <w:bottom w:val="single" w:color="auto" w:sz="4" w:space="0"/>
              <w:right w:val="single" w:color="auto" w:sz="4" w:space="0"/>
            </w:tcBorders>
            <w:vAlign w:val="top"/>
          </w:tcPr>
          <w:p>
            <w:pPr>
              <w:jc w:val="left"/>
              <w:rPr>
                <w:sz w:val="18"/>
                <w:szCs w:val="18"/>
              </w:rPr>
            </w:pPr>
            <w:r>
              <w:rPr>
                <w:rFonts w:hint="eastAsia"/>
                <w:sz w:val="18"/>
                <w:szCs w:val="18"/>
              </w:rPr>
              <w:t>华鑫信托</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20130415</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20140418</w:t>
            </w:r>
          </w:p>
        </w:tc>
        <w:tc>
          <w:tcPr>
            <w:tcW w:w="936" w:type="dxa"/>
            <w:tcBorders>
              <w:top w:val="nil"/>
              <w:left w:val="nil"/>
              <w:bottom w:val="single" w:color="auto" w:sz="4" w:space="0"/>
              <w:right w:val="single" w:color="auto" w:sz="4" w:space="0"/>
            </w:tcBorders>
            <w:vAlign w:val="bottom"/>
          </w:tcPr>
          <w:p>
            <w:pPr>
              <w:jc w:val="center"/>
              <w:rPr>
                <w:sz w:val="18"/>
                <w:szCs w:val="18"/>
              </w:rPr>
            </w:pPr>
            <w:r>
              <w:rPr>
                <w:sz w:val="18"/>
                <w:szCs w:val="18"/>
              </w:rPr>
              <w:t>1.68</w:t>
            </w:r>
          </w:p>
        </w:tc>
        <w:tc>
          <w:tcPr>
            <w:tcW w:w="1296" w:type="dxa"/>
            <w:tcBorders>
              <w:top w:val="nil"/>
              <w:left w:val="nil"/>
              <w:bottom w:val="single" w:color="auto" w:sz="4" w:space="0"/>
              <w:right w:val="single" w:color="auto" w:sz="4" w:space="0"/>
            </w:tcBorders>
            <w:vAlign w:val="bottom"/>
          </w:tcPr>
          <w:p>
            <w:pPr>
              <w:jc w:val="center"/>
              <w:rPr>
                <w:sz w:val="18"/>
                <w:szCs w:val="18"/>
              </w:rPr>
            </w:pPr>
            <w:r>
              <w:rPr>
                <w:sz w:val="18"/>
                <w:szCs w:val="18"/>
              </w:rPr>
              <w:t>16.29%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56" w:type="dxa"/>
            <w:tcBorders>
              <w:top w:val="nil"/>
              <w:left w:val="single" w:color="auto" w:sz="4" w:space="0"/>
              <w:bottom w:val="single" w:color="auto" w:sz="4" w:space="0"/>
              <w:right w:val="single" w:color="auto" w:sz="4" w:space="0"/>
            </w:tcBorders>
            <w:vAlign w:val="top"/>
          </w:tcPr>
          <w:p>
            <w:pPr>
              <w:jc w:val="left"/>
              <w:rPr>
                <w:sz w:val="18"/>
                <w:szCs w:val="18"/>
              </w:rPr>
            </w:pPr>
            <w:r>
              <w:rPr>
                <w:rFonts w:hint="eastAsia"/>
                <w:sz w:val="18"/>
                <w:szCs w:val="18"/>
              </w:rPr>
              <w:t>新价值成长1期B</w:t>
            </w:r>
          </w:p>
        </w:tc>
        <w:tc>
          <w:tcPr>
            <w:tcW w:w="936" w:type="dxa"/>
            <w:tcBorders>
              <w:top w:val="nil"/>
              <w:left w:val="nil"/>
              <w:bottom w:val="single" w:color="auto" w:sz="4" w:space="0"/>
              <w:right w:val="single" w:color="auto" w:sz="4" w:space="0"/>
            </w:tcBorders>
            <w:vAlign w:val="top"/>
          </w:tcPr>
          <w:p>
            <w:pPr>
              <w:jc w:val="left"/>
              <w:rPr>
                <w:sz w:val="18"/>
                <w:szCs w:val="18"/>
              </w:rPr>
            </w:pPr>
            <w:r>
              <w:rPr>
                <w:rFonts w:hint="eastAsia"/>
                <w:sz w:val="18"/>
                <w:szCs w:val="18"/>
              </w:rPr>
              <w:t>新价值</w:t>
            </w:r>
          </w:p>
        </w:tc>
        <w:tc>
          <w:tcPr>
            <w:tcW w:w="936" w:type="dxa"/>
            <w:tcBorders>
              <w:top w:val="nil"/>
              <w:left w:val="nil"/>
              <w:bottom w:val="single" w:color="auto" w:sz="4" w:space="0"/>
              <w:right w:val="single" w:color="auto" w:sz="4" w:space="0"/>
            </w:tcBorders>
            <w:vAlign w:val="top"/>
          </w:tcPr>
          <w:p>
            <w:pPr>
              <w:jc w:val="left"/>
              <w:rPr>
                <w:sz w:val="18"/>
                <w:szCs w:val="18"/>
              </w:rPr>
            </w:pPr>
            <w:r>
              <w:rPr>
                <w:rFonts w:hint="eastAsia"/>
                <w:sz w:val="18"/>
                <w:szCs w:val="18"/>
              </w:rPr>
              <w:t>罗伟广</w:t>
            </w:r>
          </w:p>
        </w:tc>
        <w:tc>
          <w:tcPr>
            <w:tcW w:w="936" w:type="dxa"/>
            <w:tcBorders>
              <w:top w:val="nil"/>
              <w:left w:val="nil"/>
              <w:bottom w:val="single" w:color="auto" w:sz="4" w:space="0"/>
              <w:right w:val="single" w:color="auto" w:sz="4" w:space="0"/>
            </w:tcBorders>
            <w:vAlign w:val="top"/>
          </w:tcPr>
          <w:p>
            <w:pPr>
              <w:jc w:val="left"/>
              <w:rPr>
                <w:sz w:val="18"/>
                <w:szCs w:val="18"/>
              </w:rPr>
            </w:pPr>
            <w:r>
              <w:rPr>
                <w:rFonts w:hint="eastAsia"/>
                <w:sz w:val="18"/>
                <w:szCs w:val="18"/>
              </w:rPr>
              <w:t>平安信托</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20091215</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20140430</w:t>
            </w:r>
          </w:p>
        </w:tc>
        <w:tc>
          <w:tcPr>
            <w:tcW w:w="936" w:type="dxa"/>
            <w:tcBorders>
              <w:top w:val="nil"/>
              <w:left w:val="nil"/>
              <w:bottom w:val="single" w:color="auto" w:sz="4" w:space="0"/>
              <w:right w:val="single" w:color="auto" w:sz="4" w:space="0"/>
            </w:tcBorders>
            <w:vAlign w:val="bottom"/>
          </w:tcPr>
          <w:p>
            <w:pPr>
              <w:jc w:val="center"/>
              <w:rPr>
                <w:sz w:val="18"/>
                <w:szCs w:val="18"/>
              </w:rPr>
            </w:pPr>
            <w:r>
              <w:rPr>
                <w:sz w:val="18"/>
                <w:szCs w:val="18"/>
              </w:rPr>
              <w:t>57.41</w:t>
            </w:r>
          </w:p>
        </w:tc>
        <w:tc>
          <w:tcPr>
            <w:tcW w:w="1296" w:type="dxa"/>
            <w:tcBorders>
              <w:top w:val="nil"/>
              <w:left w:val="nil"/>
              <w:bottom w:val="single" w:color="auto" w:sz="4" w:space="0"/>
              <w:right w:val="single" w:color="auto" w:sz="4" w:space="0"/>
            </w:tcBorders>
            <w:vAlign w:val="bottom"/>
          </w:tcPr>
          <w:p>
            <w:pPr>
              <w:jc w:val="center"/>
              <w:rPr>
                <w:sz w:val="18"/>
                <w:szCs w:val="18"/>
              </w:rPr>
            </w:pPr>
            <w:r>
              <w:rPr>
                <w:sz w:val="18"/>
                <w:szCs w:val="18"/>
              </w:rPr>
              <w:t>14.82%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56" w:type="dxa"/>
            <w:tcBorders>
              <w:top w:val="nil"/>
              <w:left w:val="single" w:color="auto" w:sz="4" w:space="0"/>
              <w:bottom w:val="single" w:color="auto" w:sz="4" w:space="0"/>
              <w:right w:val="single" w:color="auto" w:sz="4" w:space="0"/>
            </w:tcBorders>
            <w:vAlign w:val="top"/>
          </w:tcPr>
          <w:p>
            <w:pPr>
              <w:jc w:val="left"/>
              <w:rPr>
                <w:sz w:val="18"/>
                <w:szCs w:val="18"/>
              </w:rPr>
            </w:pPr>
            <w:r>
              <w:rPr>
                <w:rFonts w:hint="eastAsia"/>
                <w:sz w:val="18"/>
                <w:szCs w:val="18"/>
              </w:rPr>
              <w:t>新价值成长一期</w:t>
            </w:r>
          </w:p>
        </w:tc>
        <w:tc>
          <w:tcPr>
            <w:tcW w:w="936" w:type="dxa"/>
            <w:tcBorders>
              <w:top w:val="nil"/>
              <w:left w:val="nil"/>
              <w:bottom w:val="single" w:color="auto" w:sz="4" w:space="0"/>
              <w:right w:val="single" w:color="auto" w:sz="4" w:space="0"/>
            </w:tcBorders>
            <w:vAlign w:val="top"/>
          </w:tcPr>
          <w:p>
            <w:pPr>
              <w:jc w:val="left"/>
              <w:rPr>
                <w:sz w:val="18"/>
                <w:szCs w:val="18"/>
              </w:rPr>
            </w:pPr>
            <w:r>
              <w:rPr>
                <w:rFonts w:hint="eastAsia"/>
                <w:sz w:val="18"/>
                <w:szCs w:val="18"/>
              </w:rPr>
              <w:t>新价值</w:t>
            </w:r>
          </w:p>
        </w:tc>
        <w:tc>
          <w:tcPr>
            <w:tcW w:w="936" w:type="dxa"/>
            <w:tcBorders>
              <w:top w:val="nil"/>
              <w:left w:val="nil"/>
              <w:bottom w:val="single" w:color="auto" w:sz="4" w:space="0"/>
              <w:right w:val="single" w:color="auto" w:sz="4" w:space="0"/>
            </w:tcBorders>
            <w:vAlign w:val="top"/>
          </w:tcPr>
          <w:p>
            <w:pPr>
              <w:jc w:val="left"/>
              <w:rPr>
                <w:sz w:val="18"/>
                <w:szCs w:val="18"/>
              </w:rPr>
            </w:pPr>
            <w:r>
              <w:rPr>
                <w:rFonts w:hint="eastAsia"/>
                <w:sz w:val="18"/>
                <w:szCs w:val="18"/>
              </w:rPr>
              <w:t>罗伟广</w:t>
            </w:r>
          </w:p>
        </w:tc>
        <w:tc>
          <w:tcPr>
            <w:tcW w:w="936" w:type="dxa"/>
            <w:tcBorders>
              <w:top w:val="nil"/>
              <w:left w:val="nil"/>
              <w:bottom w:val="single" w:color="auto" w:sz="4" w:space="0"/>
              <w:right w:val="single" w:color="auto" w:sz="4" w:space="0"/>
            </w:tcBorders>
            <w:vAlign w:val="top"/>
          </w:tcPr>
          <w:p>
            <w:pPr>
              <w:jc w:val="left"/>
              <w:rPr>
                <w:sz w:val="18"/>
                <w:szCs w:val="18"/>
              </w:rPr>
            </w:pPr>
            <w:r>
              <w:rPr>
                <w:rFonts w:hint="eastAsia"/>
                <w:sz w:val="18"/>
                <w:szCs w:val="18"/>
              </w:rPr>
              <w:t>平安信托</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20091215</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20140430</w:t>
            </w:r>
          </w:p>
        </w:tc>
        <w:tc>
          <w:tcPr>
            <w:tcW w:w="936" w:type="dxa"/>
            <w:tcBorders>
              <w:top w:val="nil"/>
              <w:left w:val="nil"/>
              <w:bottom w:val="single" w:color="auto" w:sz="4" w:space="0"/>
              <w:right w:val="single" w:color="auto" w:sz="4" w:space="0"/>
            </w:tcBorders>
            <w:vAlign w:val="bottom"/>
          </w:tcPr>
          <w:p>
            <w:pPr>
              <w:jc w:val="center"/>
              <w:rPr>
                <w:sz w:val="18"/>
                <w:szCs w:val="18"/>
              </w:rPr>
            </w:pPr>
            <w:r>
              <w:rPr>
                <w:sz w:val="18"/>
                <w:szCs w:val="18"/>
              </w:rPr>
              <w:t>57.36</w:t>
            </w:r>
          </w:p>
        </w:tc>
        <w:tc>
          <w:tcPr>
            <w:tcW w:w="1296" w:type="dxa"/>
            <w:tcBorders>
              <w:top w:val="nil"/>
              <w:left w:val="nil"/>
              <w:bottom w:val="single" w:color="auto" w:sz="4" w:space="0"/>
              <w:right w:val="single" w:color="auto" w:sz="4" w:space="0"/>
            </w:tcBorders>
            <w:vAlign w:val="bottom"/>
          </w:tcPr>
          <w:p>
            <w:pPr>
              <w:jc w:val="center"/>
              <w:rPr>
                <w:sz w:val="18"/>
                <w:szCs w:val="18"/>
              </w:rPr>
            </w:pPr>
            <w:r>
              <w:rPr>
                <w:sz w:val="18"/>
                <w:szCs w:val="18"/>
              </w:rPr>
              <w:t>14.81%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56" w:type="dxa"/>
            <w:tcBorders>
              <w:top w:val="nil"/>
              <w:left w:val="single" w:color="auto" w:sz="4" w:space="0"/>
              <w:bottom w:val="single" w:color="auto" w:sz="4" w:space="0"/>
              <w:right w:val="single" w:color="auto" w:sz="4" w:space="0"/>
            </w:tcBorders>
            <w:vAlign w:val="top"/>
          </w:tcPr>
          <w:p>
            <w:pPr>
              <w:jc w:val="left"/>
              <w:rPr>
                <w:sz w:val="18"/>
                <w:szCs w:val="18"/>
              </w:rPr>
            </w:pPr>
            <w:r>
              <w:rPr>
                <w:rFonts w:hint="eastAsia"/>
                <w:sz w:val="18"/>
                <w:szCs w:val="18"/>
              </w:rPr>
              <w:t>黄金优选二期五号</w:t>
            </w:r>
          </w:p>
        </w:tc>
        <w:tc>
          <w:tcPr>
            <w:tcW w:w="936" w:type="dxa"/>
            <w:tcBorders>
              <w:top w:val="nil"/>
              <w:left w:val="nil"/>
              <w:bottom w:val="single" w:color="auto" w:sz="4" w:space="0"/>
              <w:right w:val="single" w:color="auto" w:sz="4" w:space="0"/>
            </w:tcBorders>
            <w:vAlign w:val="top"/>
          </w:tcPr>
          <w:p>
            <w:pPr>
              <w:jc w:val="left"/>
              <w:rPr>
                <w:sz w:val="18"/>
                <w:szCs w:val="18"/>
              </w:rPr>
            </w:pPr>
            <w:r>
              <w:rPr>
                <w:rFonts w:hint="eastAsia"/>
                <w:sz w:val="18"/>
                <w:szCs w:val="18"/>
              </w:rPr>
              <w:t>新价值</w:t>
            </w:r>
          </w:p>
        </w:tc>
        <w:tc>
          <w:tcPr>
            <w:tcW w:w="936" w:type="dxa"/>
            <w:tcBorders>
              <w:top w:val="nil"/>
              <w:left w:val="nil"/>
              <w:bottom w:val="single" w:color="auto" w:sz="4" w:space="0"/>
              <w:right w:val="single" w:color="auto" w:sz="4" w:space="0"/>
            </w:tcBorders>
            <w:vAlign w:val="top"/>
          </w:tcPr>
          <w:p>
            <w:pPr>
              <w:jc w:val="left"/>
              <w:rPr>
                <w:sz w:val="18"/>
                <w:szCs w:val="18"/>
              </w:rPr>
            </w:pPr>
            <w:r>
              <w:rPr>
                <w:rFonts w:hint="eastAsia"/>
                <w:sz w:val="18"/>
                <w:szCs w:val="18"/>
              </w:rPr>
              <w:t>罗伟广</w:t>
            </w:r>
          </w:p>
        </w:tc>
        <w:tc>
          <w:tcPr>
            <w:tcW w:w="936" w:type="dxa"/>
            <w:tcBorders>
              <w:top w:val="nil"/>
              <w:left w:val="nil"/>
              <w:bottom w:val="single" w:color="auto" w:sz="4" w:space="0"/>
              <w:right w:val="single" w:color="auto" w:sz="4" w:space="0"/>
            </w:tcBorders>
            <w:vAlign w:val="top"/>
          </w:tcPr>
          <w:p>
            <w:pPr>
              <w:jc w:val="left"/>
              <w:rPr>
                <w:sz w:val="18"/>
                <w:szCs w:val="18"/>
              </w:rPr>
            </w:pPr>
            <w:r>
              <w:rPr>
                <w:rFonts w:hint="eastAsia"/>
                <w:sz w:val="18"/>
                <w:szCs w:val="18"/>
              </w:rPr>
              <w:t>平安信托</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20100624</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20140430</w:t>
            </w:r>
          </w:p>
        </w:tc>
        <w:tc>
          <w:tcPr>
            <w:tcW w:w="936" w:type="dxa"/>
            <w:tcBorders>
              <w:top w:val="nil"/>
              <w:left w:val="nil"/>
              <w:bottom w:val="single" w:color="auto" w:sz="4" w:space="0"/>
              <w:right w:val="single" w:color="auto" w:sz="4" w:space="0"/>
            </w:tcBorders>
            <w:vAlign w:val="bottom"/>
          </w:tcPr>
          <w:p>
            <w:pPr>
              <w:jc w:val="center"/>
              <w:rPr>
                <w:sz w:val="18"/>
                <w:szCs w:val="18"/>
              </w:rPr>
            </w:pPr>
            <w:r>
              <w:rPr>
                <w:sz w:val="18"/>
                <w:szCs w:val="18"/>
              </w:rPr>
              <w:t>57.38</w:t>
            </w:r>
          </w:p>
        </w:tc>
        <w:tc>
          <w:tcPr>
            <w:tcW w:w="1296" w:type="dxa"/>
            <w:tcBorders>
              <w:top w:val="nil"/>
              <w:left w:val="nil"/>
              <w:bottom w:val="single" w:color="auto" w:sz="4" w:space="0"/>
              <w:right w:val="single" w:color="auto" w:sz="4" w:space="0"/>
            </w:tcBorders>
            <w:vAlign w:val="bottom"/>
          </w:tcPr>
          <w:p>
            <w:pPr>
              <w:jc w:val="center"/>
              <w:rPr>
                <w:sz w:val="18"/>
                <w:szCs w:val="18"/>
              </w:rPr>
            </w:pPr>
            <w:r>
              <w:rPr>
                <w:sz w:val="18"/>
                <w:szCs w:val="18"/>
              </w:rPr>
              <w:t>14.69%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56" w:type="dxa"/>
            <w:tcBorders>
              <w:top w:val="nil"/>
              <w:left w:val="single" w:color="auto" w:sz="4" w:space="0"/>
              <w:bottom w:val="single" w:color="auto" w:sz="4" w:space="0"/>
              <w:right w:val="single" w:color="auto" w:sz="4" w:space="0"/>
            </w:tcBorders>
            <w:vAlign w:val="top"/>
          </w:tcPr>
          <w:p>
            <w:pPr>
              <w:jc w:val="left"/>
              <w:rPr>
                <w:sz w:val="18"/>
                <w:szCs w:val="18"/>
              </w:rPr>
            </w:pPr>
            <w:r>
              <w:rPr>
                <w:rFonts w:hint="eastAsia"/>
                <w:sz w:val="18"/>
                <w:szCs w:val="18"/>
              </w:rPr>
              <w:t>黄金优选二期六号</w:t>
            </w:r>
          </w:p>
        </w:tc>
        <w:tc>
          <w:tcPr>
            <w:tcW w:w="936" w:type="dxa"/>
            <w:tcBorders>
              <w:top w:val="nil"/>
              <w:left w:val="nil"/>
              <w:bottom w:val="single" w:color="auto" w:sz="4" w:space="0"/>
              <w:right w:val="single" w:color="auto" w:sz="4" w:space="0"/>
            </w:tcBorders>
            <w:vAlign w:val="top"/>
          </w:tcPr>
          <w:p>
            <w:pPr>
              <w:jc w:val="left"/>
              <w:rPr>
                <w:sz w:val="18"/>
                <w:szCs w:val="18"/>
              </w:rPr>
            </w:pPr>
            <w:r>
              <w:rPr>
                <w:rFonts w:hint="eastAsia"/>
                <w:sz w:val="18"/>
                <w:szCs w:val="18"/>
              </w:rPr>
              <w:t>新价值</w:t>
            </w:r>
          </w:p>
        </w:tc>
        <w:tc>
          <w:tcPr>
            <w:tcW w:w="936" w:type="dxa"/>
            <w:tcBorders>
              <w:top w:val="nil"/>
              <w:left w:val="nil"/>
              <w:bottom w:val="single" w:color="auto" w:sz="4" w:space="0"/>
              <w:right w:val="single" w:color="auto" w:sz="4" w:space="0"/>
            </w:tcBorders>
            <w:vAlign w:val="top"/>
          </w:tcPr>
          <w:p>
            <w:pPr>
              <w:jc w:val="left"/>
              <w:rPr>
                <w:sz w:val="18"/>
                <w:szCs w:val="18"/>
              </w:rPr>
            </w:pPr>
            <w:r>
              <w:rPr>
                <w:rFonts w:hint="eastAsia"/>
                <w:sz w:val="18"/>
                <w:szCs w:val="18"/>
              </w:rPr>
              <w:t>罗伟广</w:t>
            </w:r>
          </w:p>
        </w:tc>
        <w:tc>
          <w:tcPr>
            <w:tcW w:w="936" w:type="dxa"/>
            <w:tcBorders>
              <w:top w:val="nil"/>
              <w:left w:val="nil"/>
              <w:bottom w:val="single" w:color="auto" w:sz="4" w:space="0"/>
              <w:right w:val="single" w:color="auto" w:sz="4" w:space="0"/>
            </w:tcBorders>
            <w:vAlign w:val="top"/>
          </w:tcPr>
          <w:p>
            <w:pPr>
              <w:jc w:val="left"/>
              <w:rPr>
                <w:sz w:val="18"/>
                <w:szCs w:val="18"/>
              </w:rPr>
            </w:pPr>
            <w:r>
              <w:rPr>
                <w:rFonts w:hint="eastAsia"/>
                <w:sz w:val="18"/>
                <w:szCs w:val="18"/>
              </w:rPr>
              <w:t>平安信托</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20100712</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20140430</w:t>
            </w:r>
          </w:p>
        </w:tc>
        <w:tc>
          <w:tcPr>
            <w:tcW w:w="936" w:type="dxa"/>
            <w:tcBorders>
              <w:top w:val="nil"/>
              <w:left w:val="nil"/>
              <w:bottom w:val="single" w:color="auto" w:sz="4" w:space="0"/>
              <w:right w:val="single" w:color="auto" w:sz="4" w:space="0"/>
            </w:tcBorders>
            <w:vAlign w:val="bottom"/>
          </w:tcPr>
          <w:p>
            <w:pPr>
              <w:jc w:val="center"/>
              <w:rPr>
                <w:sz w:val="18"/>
                <w:szCs w:val="18"/>
              </w:rPr>
            </w:pPr>
            <w:r>
              <w:rPr>
                <w:sz w:val="18"/>
                <w:szCs w:val="18"/>
              </w:rPr>
              <w:t>56.69</w:t>
            </w:r>
          </w:p>
        </w:tc>
        <w:tc>
          <w:tcPr>
            <w:tcW w:w="1296" w:type="dxa"/>
            <w:tcBorders>
              <w:top w:val="nil"/>
              <w:left w:val="nil"/>
              <w:bottom w:val="single" w:color="auto" w:sz="4" w:space="0"/>
              <w:right w:val="single" w:color="auto" w:sz="4" w:space="0"/>
            </w:tcBorders>
            <w:vAlign w:val="bottom"/>
          </w:tcPr>
          <w:p>
            <w:pPr>
              <w:jc w:val="center"/>
              <w:rPr>
                <w:sz w:val="18"/>
                <w:szCs w:val="18"/>
              </w:rPr>
            </w:pPr>
            <w:r>
              <w:rPr>
                <w:sz w:val="18"/>
                <w:szCs w:val="18"/>
              </w:rPr>
              <w:t>14.69%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56" w:type="dxa"/>
            <w:tcBorders>
              <w:top w:val="nil"/>
              <w:left w:val="single" w:color="auto" w:sz="4" w:space="0"/>
              <w:bottom w:val="single" w:color="auto" w:sz="4" w:space="0"/>
              <w:right w:val="single" w:color="auto" w:sz="4" w:space="0"/>
            </w:tcBorders>
            <w:vAlign w:val="top"/>
          </w:tcPr>
          <w:p>
            <w:pPr>
              <w:jc w:val="left"/>
              <w:rPr>
                <w:sz w:val="18"/>
                <w:szCs w:val="18"/>
              </w:rPr>
            </w:pPr>
            <w:r>
              <w:rPr>
                <w:rFonts w:hint="eastAsia"/>
                <w:sz w:val="18"/>
                <w:szCs w:val="18"/>
              </w:rPr>
              <w:t>黄金优选二期四号</w:t>
            </w:r>
          </w:p>
        </w:tc>
        <w:tc>
          <w:tcPr>
            <w:tcW w:w="936" w:type="dxa"/>
            <w:tcBorders>
              <w:top w:val="nil"/>
              <w:left w:val="nil"/>
              <w:bottom w:val="single" w:color="auto" w:sz="4" w:space="0"/>
              <w:right w:val="single" w:color="auto" w:sz="4" w:space="0"/>
            </w:tcBorders>
            <w:vAlign w:val="top"/>
          </w:tcPr>
          <w:p>
            <w:pPr>
              <w:jc w:val="left"/>
              <w:rPr>
                <w:sz w:val="18"/>
                <w:szCs w:val="18"/>
              </w:rPr>
            </w:pPr>
            <w:r>
              <w:rPr>
                <w:rFonts w:hint="eastAsia"/>
                <w:sz w:val="18"/>
                <w:szCs w:val="18"/>
              </w:rPr>
              <w:t>新价值</w:t>
            </w:r>
          </w:p>
        </w:tc>
        <w:tc>
          <w:tcPr>
            <w:tcW w:w="936" w:type="dxa"/>
            <w:tcBorders>
              <w:top w:val="nil"/>
              <w:left w:val="nil"/>
              <w:bottom w:val="single" w:color="auto" w:sz="4" w:space="0"/>
              <w:right w:val="single" w:color="auto" w:sz="4" w:space="0"/>
            </w:tcBorders>
            <w:vAlign w:val="top"/>
          </w:tcPr>
          <w:p>
            <w:pPr>
              <w:jc w:val="left"/>
              <w:rPr>
                <w:sz w:val="18"/>
                <w:szCs w:val="18"/>
              </w:rPr>
            </w:pPr>
            <w:r>
              <w:rPr>
                <w:rFonts w:hint="eastAsia"/>
                <w:sz w:val="18"/>
                <w:szCs w:val="18"/>
              </w:rPr>
              <w:t>罗伟广</w:t>
            </w:r>
          </w:p>
        </w:tc>
        <w:tc>
          <w:tcPr>
            <w:tcW w:w="936" w:type="dxa"/>
            <w:tcBorders>
              <w:top w:val="nil"/>
              <w:left w:val="nil"/>
              <w:bottom w:val="single" w:color="auto" w:sz="4" w:space="0"/>
              <w:right w:val="single" w:color="auto" w:sz="4" w:space="0"/>
            </w:tcBorders>
            <w:vAlign w:val="top"/>
          </w:tcPr>
          <w:p>
            <w:pPr>
              <w:jc w:val="left"/>
              <w:rPr>
                <w:sz w:val="18"/>
                <w:szCs w:val="18"/>
              </w:rPr>
            </w:pPr>
            <w:r>
              <w:rPr>
                <w:rFonts w:hint="eastAsia"/>
                <w:sz w:val="18"/>
                <w:szCs w:val="18"/>
              </w:rPr>
              <w:t>平安信托</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20100324</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20140430</w:t>
            </w:r>
          </w:p>
        </w:tc>
        <w:tc>
          <w:tcPr>
            <w:tcW w:w="936" w:type="dxa"/>
            <w:tcBorders>
              <w:top w:val="nil"/>
              <w:left w:val="nil"/>
              <w:bottom w:val="single" w:color="auto" w:sz="4" w:space="0"/>
              <w:right w:val="single" w:color="auto" w:sz="4" w:space="0"/>
            </w:tcBorders>
            <w:vAlign w:val="bottom"/>
          </w:tcPr>
          <w:p>
            <w:pPr>
              <w:jc w:val="center"/>
              <w:rPr>
                <w:sz w:val="18"/>
                <w:szCs w:val="18"/>
              </w:rPr>
            </w:pPr>
            <w:r>
              <w:rPr>
                <w:sz w:val="18"/>
                <w:szCs w:val="18"/>
              </w:rPr>
              <w:t>55.24</w:t>
            </w:r>
          </w:p>
        </w:tc>
        <w:tc>
          <w:tcPr>
            <w:tcW w:w="1296" w:type="dxa"/>
            <w:tcBorders>
              <w:top w:val="nil"/>
              <w:left w:val="nil"/>
              <w:bottom w:val="single" w:color="auto" w:sz="4" w:space="0"/>
              <w:right w:val="single" w:color="auto" w:sz="4" w:space="0"/>
            </w:tcBorders>
            <w:vAlign w:val="bottom"/>
          </w:tcPr>
          <w:p>
            <w:pPr>
              <w:jc w:val="center"/>
              <w:rPr>
                <w:sz w:val="18"/>
                <w:szCs w:val="18"/>
              </w:rPr>
            </w:pPr>
            <w:r>
              <w:rPr>
                <w:sz w:val="18"/>
                <w:szCs w:val="18"/>
              </w:rPr>
              <w:t>14.68%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56" w:type="dxa"/>
            <w:tcBorders>
              <w:top w:val="nil"/>
              <w:left w:val="single" w:color="auto" w:sz="4" w:space="0"/>
              <w:bottom w:val="single" w:color="auto" w:sz="4" w:space="0"/>
              <w:right w:val="single" w:color="auto" w:sz="4" w:space="0"/>
            </w:tcBorders>
            <w:vAlign w:val="top"/>
          </w:tcPr>
          <w:p>
            <w:pPr>
              <w:jc w:val="left"/>
              <w:rPr>
                <w:sz w:val="18"/>
                <w:szCs w:val="18"/>
              </w:rPr>
            </w:pPr>
            <w:r>
              <w:rPr>
                <w:rFonts w:hint="eastAsia"/>
                <w:sz w:val="18"/>
                <w:szCs w:val="18"/>
              </w:rPr>
              <w:t>黄金优选二期一号</w:t>
            </w:r>
          </w:p>
        </w:tc>
        <w:tc>
          <w:tcPr>
            <w:tcW w:w="936" w:type="dxa"/>
            <w:tcBorders>
              <w:top w:val="nil"/>
              <w:left w:val="nil"/>
              <w:bottom w:val="single" w:color="auto" w:sz="4" w:space="0"/>
              <w:right w:val="single" w:color="auto" w:sz="4" w:space="0"/>
            </w:tcBorders>
            <w:vAlign w:val="top"/>
          </w:tcPr>
          <w:p>
            <w:pPr>
              <w:jc w:val="left"/>
              <w:rPr>
                <w:sz w:val="18"/>
                <w:szCs w:val="18"/>
              </w:rPr>
            </w:pPr>
            <w:r>
              <w:rPr>
                <w:rFonts w:hint="eastAsia"/>
                <w:sz w:val="18"/>
                <w:szCs w:val="18"/>
              </w:rPr>
              <w:t>新价值</w:t>
            </w:r>
          </w:p>
        </w:tc>
        <w:tc>
          <w:tcPr>
            <w:tcW w:w="936" w:type="dxa"/>
            <w:tcBorders>
              <w:top w:val="nil"/>
              <w:left w:val="nil"/>
              <w:bottom w:val="single" w:color="auto" w:sz="4" w:space="0"/>
              <w:right w:val="single" w:color="auto" w:sz="4" w:space="0"/>
            </w:tcBorders>
            <w:vAlign w:val="top"/>
          </w:tcPr>
          <w:p>
            <w:pPr>
              <w:jc w:val="left"/>
              <w:rPr>
                <w:sz w:val="18"/>
                <w:szCs w:val="18"/>
              </w:rPr>
            </w:pPr>
            <w:r>
              <w:rPr>
                <w:rFonts w:hint="eastAsia"/>
                <w:sz w:val="18"/>
                <w:szCs w:val="18"/>
              </w:rPr>
              <w:t>罗伟广</w:t>
            </w:r>
          </w:p>
        </w:tc>
        <w:tc>
          <w:tcPr>
            <w:tcW w:w="936" w:type="dxa"/>
            <w:tcBorders>
              <w:top w:val="nil"/>
              <w:left w:val="nil"/>
              <w:bottom w:val="single" w:color="auto" w:sz="4" w:space="0"/>
              <w:right w:val="single" w:color="auto" w:sz="4" w:space="0"/>
            </w:tcBorders>
            <w:vAlign w:val="top"/>
          </w:tcPr>
          <w:p>
            <w:pPr>
              <w:jc w:val="left"/>
              <w:rPr>
                <w:sz w:val="18"/>
                <w:szCs w:val="18"/>
              </w:rPr>
            </w:pPr>
            <w:r>
              <w:rPr>
                <w:rFonts w:hint="eastAsia"/>
                <w:sz w:val="18"/>
                <w:szCs w:val="18"/>
              </w:rPr>
              <w:t>平安信托</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20100209</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20140430</w:t>
            </w:r>
          </w:p>
        </w:tc>
        <w:tc>
          <w:tcPr>
            <w:tcW w:w="936" w:type="dxa"/>
            <w:tcBorders>
              <w:top w:val="nil"/>
              <w:left w:val="nil"/>
              <w:bottom w:val="single" w:color="auto" w:sz="4" w:space="0"/>
              <w:right w:val="single" w:color="auto" w:sz="4" w:space="0"/>
            </w:tcBorders>
            <w:vAlign w:val="bottom"/>
          </w:tcPr>
          <w:p>
            <w:pPr>
              <w:jc w:val="center"/>
              <w:rPr>
                <w:sz w:val="18"/>
                <w:szCs w:val="18"/>
              </w:rPr>
            </w:pPr>
            <w:r>
              <w:rPr>
                <w:sz w:val="18"/>
                <w:szCs w:val="18"/>
              </w:rPr>
              <w:t>59.24</w:t>
            </w:r>
          </w:p>
        </w:tc>
        <w:tc>
          <w:tcPr>
            <w:tcW w:w="1296" w:type="dxa"/>
            <w:tcBorders>
              <w:top w:val="nil"/>
              <w:left w:val="nil"/>
              <w:bottom w:val="single" w:color="auto" w:sz="4" w:space="0"/>
              <w:right w:val="single" w:color="auto" w:sz="4" w:space="0"/>
            </w:tcBorders>
            <w:vAlign w:val="bottom"/>
          </w:tcPr>
          <w:p>
            <w:pPr>
              <w:jc w:val="center"/>
              <w:rPr>
                <w:sz w:val="18"/>
                <w:szCs w:val="18"/>
              </w:rPr>
            </w:pPr>
            <w:r>
              <w:rPr>
                <w:sz w:val="18"/>
                <w:szCs w:val="18"/>
              </w:rPr>
              <w:t>14.67%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56" w:type="dxa"/>
            <w:tcBorders>
              <w:top w:val="nil"/>
              <w:left w:val="single" w:color="auto" w:sz="4" w:space="0"/>
              <w:bottom w:val="single" w:color="auto" w:sz="4" w:space="0"/>
              <w:right w:val="single" w:color="auto" w:sz="4" w:space="0"/>
            </w:tcBorders>
            <w:vAlign w:val="top"/>
          </w:tcPr>
          <w:p>
            <w:pPr>
              <w:jc w:val="left"/>
              <w:rPr>
                <w:sz w:val="18"/>
                <w:szCs w:val="18"/>
              </w:rPr>
            </w:pPr>
            <w:r>
              <w:rPr>
                <w:rFonts w:hint="eastAsia"/>
                <w:sz w:val="18"/>
                <w:szCs w:val="18"/>
              </w:rPr>
              <w:t>黄金优选二期二号</w:t>
            </w:r>
          </w:p>
        </w:tc>
        <w:tc>
          <w:tcPr>
            <w:tcW w:w="936" w:type="dxa"/>
            <w:tcBorders>
              <w:top w:val="nil"/>
              <w:left w:val="nil"/>
              <w:bottom w:val="single" w:color="auto" w:sz="4" w:space="0"/>
              <w:right w:val="single" w:color="auto" w:sz="4" w:space="0"/>
            </w:tcBorders>
            <w:vAlign w:val="top"/>
          </w:tcPr>
          <w:p>
            <w:pPr>
              <w:jc w:val="left"/>
              <w:rPr>
                <w:sz w:val="18"/>
                <w:szCs w:val="18"/>
              </w:rPr>
            </w:pPr>
            <w:r>
              <w:rPr>
                <w:rFonts w:hint="eastAsia"/>
                <w:sz w:val="18"/>
                <w:szCs w:val="18"/>
              </w:rPr>
              <w:t>新价值</w:t>
            </w:r>
          </w:p>
        </w:tc>
        <w:tc>
          <w:tcPr>
            <w:tcW w:w="936" w:type="dxa"/>
            <w:tcBorders>
              <w:top w:val="nil"/>
              <w:left w:val="nil"/>
              <w:bottom w:val="single" w:color="auto" w:sz="4" w:space="0"/>
              <w:right w:val="single" w:color="auto" w:sz="4" w:space="0"/>
            </w:tcBorders>
            <w:vAlign w:val="top"/>
          </w:tcPr>
          <w:p>
            <w:pPr>
              <w:jc w:val="left"/>
              <w:rPr>
                <w:sz w:val="18"/>
                <w:szCs w:val="18"/>
              </w:rPr>
            </w:pPr>
            <w:r>
              <w:rPr>
                <w:rFonts w:hint="eastAsia"/>
                <w:sz w:val="18"/>
                <w:szCs w:val="18"/>
              </w:rPr>
              <w:t>罗伟广</w:t>
            </w:r>
          </w:p>
        </w:tc>
        <w:tc>
          <w:tcPr>
            <w:tcW w:w="936" w:type="dxa"/>
            <w:tcBorders>
              <w:top w:val="nil"/>
              <w:left w:val="nil"/>
              <w:bottom w:val="single" w:color="auto" w:sz="4" w:space="0"/>
              <w:right w:val="single" w:color="auto" w:sz="4" w:space="0"/>
            </w:tcBorders>
            <w:vAlign w:val="top"/>
          </w:tcPr>
          <w:p>
            <w:pPr>
              <w:jc w:val="left"/>
              <w:rPr>
                <w:sz w:val="18"/>
                <w:szCs w:val="18"/>
              </w:rPr>
            </w:pPr>
            <w:r>
              <w:rPr>
                <w:rFonts w:hint="eastAsia"/>
                <w:sz w:val="18"/>
                <w:szCs w:val="18"/>
              </w:rPr>
              <w:t>平安信托</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20100209</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20140430</w:t>
            </w:r>
          </w:p>
        </w:tc>
        <w:tc>
          <w:tcPr>
            <w:tcW w:w="936" w:type="dxa"/>
            <w:tcBorders>
              <w:top w:val="nil"/>
              <w:left w:val="nil"/>
              <w:bottom w:val="single" w:color="auto" w:sz="4" w:space="0"/>
              <w:right w:val="single" w:color="auto" w:sz="4" w:space="0"/>
            </w:tcBorders>
            <w:vAlign w:val="bottom"/>
          </w:tcPr>
          <w:p>
            <w:pPr>
              <w:jc w:val="center"/>
              <w:rPr>
                <w:sz w:val="18"/>
                <w:szCs w:val="18"/>
              </w:rPr>
            </w:pPr>
            <w:r>
              <w:rPr>
                <w:sz w:val="18"/>
                <w:szCs w:val="18"/>
              </w:rPr>
              <w:t>60.41</w:t>
            </w:r>
          </w:p>
        </w:tc>
        <w:tc>
          <w:tcPr>
            <w:tcW w:w="1296" w:type="dxa"/>
            <w:tcBorders>
              <w:top w:val="nil"/>
              <w:left w:val="nil"/>
              <w:bottom w:val="single" w:color="auto" w:sz="4" w:space="0"/>
              <w:right w:val="single" w:color="auto" w:sz="4" w:space="0"/>
            </w:tcBorders>
            <w:vAlign w:val="bottom"/>
          </w:tcPr>
          <w:p>
            <w:pPr>
              <w:jc w:val="center"/>
              <w:rPr>
                <w:sz w:val="18"/>
                <w:szCs w:val="18"/>
              </w:rPr>
            </w:pPr>
            <w:r>
              <w:rPr>
                <w:sz w:val="18"/>
                <w:szCs w:val="18"/>
              </w:rPr>
              <w:t>14.65%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56" w:type="dxa"/>
            <w:tcBorders>
              <w:top w:val="nil"/>
              <w:left w:val="single" w:color="auto" w:sz="4" w:space="0"/>
              <w:bottom w:val="single" w:color="auto" w:sz="4" w:space="0"/>
              <w:right w:val="single" w:color="auto" w:sz="4" w:space="0"/>
            </w:tcBorders>
            <w:vAlign w:val="top"/>
          </w:tcPr>
          <w:p>
            <w:pPr>
              <w:jc w:val="left"/>
              <w:rPr>
                <w:sz w:val="18"/>
                <w:szCs w:val="18"/>
              </w:rPr>
            </w:pPr>
            <w:r>
              <w:rPr>
                <w:rFonts w:hint="eastAsia"/>
                <w:sz w:val="18"/>
                <w:szCs w:val="18"/>
              </w:rPr>
              <w:t>黄金优选二期三号</w:t>
            </w:r>
          </w:p>
        </w:tc>
        <w:tc>
          <w:tcPr>
            <w:tcW w:w="936" w:type="dxa"/>
            <w:tcBorders>
              <w:top w:val="nil"/>
              <w:left w:val="nil"/>
              <w:bottom w:val="single" w:color="auto" w:sz="4" w:space="0"/>
              <w:right w:val="single" w:color="auto" w:sz="4" w:space="0"/>
            </w:tcBorders>
            <w:vAlign w:val="top"/>
          </w:tcPr>
          <w:p>
            <w:pPr>
              <w:jc w:val="left"/>
              <w:rPr>
                <w:sz w:val="18"/>
                <w:szCs w:val="18"/>
              </w:rPr>
            </w:pPr>
            <w:r>
              <w:rPr>
                <w:rFonts w:hint="eastAsia"/>
                <w:sz w:val="18"/>
                <w:szCs w:val="18"/>
              </w:rPr>
              <w:t>新价值</w:t>
            </w:r>
          </w:p>
        </w:tc>
        <w:tc>
          <w:tcPr>
            <w:tcW w:w="936" w:type="dxa"/>
            <w:tcBorders>
              <w:top w:val="nil"/>
              <w:left w:val="nil"/>
              <w:bottom w:val="single" w:color="auto" w:sz="4" w:space="0"/>
              <w:right w:val="single" w:color="auto" w:sz="4" w:space="0"/>
            </w:tcBorders>
            <w:vAlign w:val="top"/>
          </w:tcPr>
          <w:p>
            <w:pPr>
              <w:jc w:val="left"/>
              <w:rPr>
                <w:sz w:val="18"/>
                <w:szCs w:val="18"/>
              </w:rPr>
            </w:pPr>
            <w:r>
              <w:rPr>
                <w:rFonts w:hint="eastAsia"/>
                <w:sz w:val="18"/>
                <w:szCs w:val="18"/>
              </w:rPr>
              <w:t>罗伟广</w:t>
            </w:r>
          </w:p>
        </w:tc>
        <w:tc>
          <w:tcPr>
            <w:tcW w:w="936" w:type="dxa"/>
            <w:tcBorders>
              <w:top w:val="nil"/>
              <w:left w:val="nil"/>
              <w:bottom w:val="single" w:color="auto" w:sz="4" w:space="0"/>
              <w:right w:val="single" w:color="auto" w:sz="4" w:space="0"/>
            </w:tcBorders>
            <w:vAlign w:val="top"/>
          </w:tcPr>
          <w:p>
            <w:pPr>
              <w:jc w:val="left"/>
              <w:rPr>
                <w:sz w:val="18"/>
                <w:szCs w:val="18"/>
              </w:rPr>
            </w:pPr>
            <w:r>
              <w:rPr>
                <w:rFonts w:hint="eastAsia"/>
                <w:sz w:val="18"/>
                <w:szCs w:val="18"/>
              </w:rPr>
              <w:t>平安信托</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20100212</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20140430</w:t>
            </w:r>
          </w:p>
        </w:tc>
        <w:tc>
          <w:tcPr>
            <w:tcW w:w="936" w:type="dxa"/>
            <w:tcBorders>
              <w:top w:val="nil"/>
              <w:left w:val="nil"/>
              <w:bottom w:val="single" w:color="auto" w:sz="4" w:space="0"/>
              <w:right w:val="single" w:color="auto" w:sz="4" w:space="0"/>
            </w:tcBorders>
            <w:vAlign w:val="bottom"/>
          </w:tcPr>
          <w:p>
            <w:pPr>
              <w:jc w:val="center"/>
              <w:rPr>
                <w:sz w:val="18"/>
                <w:szCs w:val="18"/>
              </w:rPr>
            </w:pPr>
            <w:r>
              <w:rPr>
                <w:sz w:val="18"/>
                <w:szCs w:val="18"/>
              </w:rPr>
              <w:t>60.35</w:t>
            </w:r>
          </w:p>
        </w:tc>
        <w:tc>
          <w:tcPr>
            <w:tcW w:w="1296" w:type="dxa"/>
            <w:tcBorders>
              <w:top w:val="nil"/>
              <w:left w:val="nil"/>
              <w:bottom w:val="single" w:color="auto" w:sz="4" w:space="0"/>
              <w:right w:val="single" w:color="auto" w:sz="4" w:space="0"/>
            </w:tcBorders>
            <w:vAlign w:val="bottom"/>
          </w:tcPr>
          <w:p>
            <w:pPr>
              <w:jc w:val="center"/>
              <w:rPr>
                <w:sz w:val="18"/>
                <w:szCs w:val="18"/>
              </w:rPr>
            </w:pPr>
            <w:r>
              <w:rPr>
                <w:sz w:val="18"/>
                <w:szCs w:val="18"/>
              </w:rPr>
              <w:t>14.65%</w:t>
            </w:r>
          </w:p>
        </w:tc>
      </w:tr>
    </w:tbl>
    <w:p>
      <w:pPr>
        <w:rPr>
          <w:sz w:val="18"/>
          <w:szCs w:val="18"/>
        </w:rPr>
      </w:pPr>
      <w:r>
        <w:rPr>
          <w:sz w:val="18"/>
          <w:szCs w:val="18"/>
        </w:rPr>
        <w:t>数据来源：好买基金研究中心；数据搜集截止日2014年</w:t>
      </w:r>
      <w:r>
        <w:rPr>
          <w:rFonts w:hint="eastAsia"/>
          <w:sz w:val="18"/>
          <w:szCs w:val="18"/>
        </w:rPr>
        <w:t>5月9日</w:t>
      </w:r>
      <w:r>
        <w:rPr>
          <w:sz w:val="18"/>
          <w:szCs w:val="18"/>
        </w:rPr>
        <w:t>。私募各阶段收益率统计区间尽量匹配自然月度，但不能完全消除私募产品净值公布日期不同的影响，故私募基金产品的收益率排名仅供参考。</w:t>
      </w:r>
    </w:p>
    <w:p>
      <w:pPr>
        <w:spacing w:line="360" w:lineRule="auto"/>
        <w:ind w:firstLine="420" w:firstLineChars="200"/>
        <w:rPr>
          <w:rFonts w:ascii="宋体" w:hAnsi="宋体"/>
        </w:rPr>
      </w:pPr>
      <w:r>
        <w:rPr>
          <w:rFonts w:hint="eastAsia" w:ascii="宋体" w:hAnsi="宋体"/>
        </w:rPr>
        <w:t>北京龙鼎投资管理有限公司创立于2001年7月17日，是由熟悉中国资本市场规则与运作、具有多年从业经验的专业人士发起设立的。基金经理冯为民，具有十五年以上证券从业经历，金融学博士，曾历任多家证券和期货公司高管。龙鼎通过精选投资标的，构建并持续优化投资组合，在控制风险的前提下，实现信托资产的长期稳健增值。</w:t>
      </w:r>
      <w:r>
        <w:rPr>
          <w:rFonts w:hint="eastAsia"/>
          <w:color w:val="000000"/>
          <w:szCs w:val="21"/>
        </w:rPr>
        <w:t>龙鼎</w:t>
      </w:r>
      <w:r>
        <w:rPr>
          <w:rFonts w:hint="eastAsia"/>
        </w:rPr>
        <w:t>3号在2013年大幅上涨85.18%，并且在今年以来也表现不俗，显示出基金对不同市场风格较好的适应能力。</w:t>
      </w:r>
    </w:p>
    <w:tbl>
      <w:tblPr>
        <w:tblW w:w="83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296"/>
        <w:gridCol w:w="936"/>
        <w:gridCol w:w="936"/>
        <w:gridCol w:w="1116"/>
        <w:gridCol w:w="936"/>
        <w:gridCol w:w="936"/>
        <w:gridCol w:w="936"/>
        <w:gridCol w:w="1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8388" w:type="dxa"/>
            <w:gridSpan w:val="8"/>
            <w:tcBorders>
              <w:top w:val="single" w:color="auto" w:sz="4" w:space="0"/>
              <w:left w:val="single" w:color="auto" w:sz="4" w:space="0"/>
              <w:bottom w:val="single" w:color="auto" w:sz="4" w:space="0"/>
              <w:right w:val="single" w:color="auto" w:sz="4" w:space="0"/>
            </w:tcBorders>
            <w:shd w:val="pct25" w:color="auto" w:fill="auto"/>
            <w:vAlign w:val="center"/>
          </w:tcPr>
          <w:p>
            <w:pPr>
              <w:widowControl/>
              <w:jc w:val="left"/>
              <w:rPr>
                <w:b/>
                <w:kern w:val="0"/>
                <w:szCs w:val="21"/>
              </w:rPr>
            </w:pPr>
            <w:r>
              <w:rPr>
                <w:rFonts w:hint="eastAsia"/>
                <w:b/>
                <w:kern w:val="0"/>
                <w:szCs w:val="21"/>
              </w:rPr>
              <w:t>近1年</w:t>
            </w:r>
            <w:r>
              <w:rPr>
                <w:b/>
                <w:kern w:val="0"/>
                <w:szCs w:val="21"/>
              </w:rPr>
              <w:t>排名前10位的私募基金产品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296" w:type="dxa"/>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kern w:val="0"/>
                <w:sz w:val="18"/>
                <w:szCs w:val="18"/>
              </w:rPr>
              <w:t>产品名称</w:t>
            </w:r>
          </w:p>
        </w:tc>
        <w:tc>
          <w:tcPr>
            <w:tcW w:w="936"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投资顾问</w:t>
            </w:r>
          </w:p>
        </w:tc>
        <w:tc>
          <w:tcPr>
            <w:tcW w:w="936"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基金经理</w:t>
            </w:r>
          </w:p>
        </w:tc>
        <w:tc>
          <w:tcPr>
            <w:tcW w:w="1116"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受托人</w:t>
            </w:r>
          </w:p>
        </w:tc>
        <w:tc>
          <w:tcPr>
            <w:tcW w:w="936"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成立日期</w:t>
            </w:r>
          </w:p>
        </w:tc>
        <w:tc>
          <w:tcPr>
            <w:tcW w:w="936"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净值日期</w:t>
            </w:r>
          </w:p>
        </w:tc>
        <w:tc>
          <w:tcPr>
            <w:tcW w:w="936" w:type="dxa"/>
            <w:tcBorders>
              <w:top w:val="nil"/>
              <w:left w:val="nil"/>
              <w:bottom w:val="single" w:color="auto" w:sz="4" w:space="0"/>
              <w:right w:val="single" w:color="auto" w:sz="4" w:space="0"/>
            </w:tcBorders>
            <w:vAlign w:val="center"/>
          </w:tcPr>
          <w:p>
            <w:pPr>
              <w:widowControl/>
              <w:jc w:val="center"/>
              <w:rPr>
                <w:kern w:val="0"/>
                <w:sz w:val="18"/>
                <w:szCs w:val="18"/>
              </w:rPr>
            </w:pPr>
            <w:r>
              <w:rPr>
                <w:kern w:val="0"/>
                <w:sz w:val="18"/>
                <w:szCs w:val="18"/>
              </w:rPr>
              <w:t>最新净值</w:t>
            </w:r>
          </w:p>
        </w:tc>
        <w:tc>
          <w:tcPr>
            <w:tcW w:w="1296" w:type="dxa"/>
            <w:tcBorders>
              <w:top w:val="nil"/>
              <w:left w:val="nil"/>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近1年</w:t>
            </w:r>
            <w:r>
              <w:rPr>
                <w:kern w:val="0"/>
                <w:sz w:val="18"/>
                <w:szCs w:val="18"/>
              </w:rPr>
              <w:t>收益率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296" w:type="dxa"/>
            <w:tcBorders>
              <w:top w:val="nil"/>
              <w:left w:val="single" w:color="auto" w:sz="4" w:space="0"/>
              <w:bottom w:val="single" w:color="auto" w:sz="4" w:space="0"/>
              <w:right w:val="single" w:color="auto" w:sz="4" w:space="0"/>
            </w:tcBorders>
            <w:vAlign w:val="center"/>
          </w:tcPr>
          <w:p>
            <w:pPr>
              <w:jc w:val="left"/>
              <w:rPr>
                <w:sz w:val="18"/>
                <w:szCs w:val="18"/>
              </w:rPr>
            </w:pPr>
            <w:r>
              <w:rPr>
                <w:sz w:val="18"/>
                <w:szCs w:val="18"/>
              </w:rPr>
              <w:t>泽熙3期</w:t>
            </w:r>
          </w:p>
        </w:tc>
        <w:tc>
          <w:tcPr>
            <w:tcW w:w="936" w:type="dxa"/>
            <w:tcBorders>
              <w:top w:val="nil"/>
              <w:left w:val="nil"/>
              <w:bottom w:val="single" w:color="auto" w:sz="4" w:space="0"/>
              <w:right w:val="single" w:color="auto" w:sz="4" w:space="0"/>
            </w:tcBorders>
            <w:vAlign w:val="center"/>
          </w:tcPr>
          <w:p>
            <w:pPr>
              <w:jc w:val="left"/>
              <w:rPr>
                <w:sz w:val="18"/>
                <w:szCs w:val="18"/>
              </w:rPr>
            </w:pPr>
            <w:r>
              <w:rPr>
                <w:sz w:val="18"/>
                <w:szCs w:val="18"/>
              </w:rPr>
              <w:t>泽熙</w:t>
            </w:r>
          </w:p>
        </w:tc>
        <w:tc>
          <w:tcPr>
            <w:tcW w:w="936" w:type="dxa"/>
            <w:tcBorders>
              <w:top w:val="nil"/>
              <w:left w:val="nil"/>
              <w:bottom w:val="single" w:color="auto" w:sz="4" w:space="0"/>
              <w:right w:val="single" w:color="auto" w:sz="4" w:space="0"/>
            </w:tcBorders>
            <w:vAlign w:val="center"/>
          </w:tcPr>
          <w:p>
            <w:pPr>
              <w:jc w:val="left"/>
              <w:rPr>
                <w:sz w:val="18"/>
                <w:szCs w:val="18"/>
              </w:rPr>
            </w:pPr>
            <w:r>
              <w:rPr>
                <w:sz w:val="18"/>
                <w:szCs w:val="18"/>
              </w:rPr>
              <w:t>徐翔</w:t>
            </w:r>
          </w:p>
        </w:tc>
        <w:tc>
          <w:tcPr>
            <w:tcW w:w="1116" w:type="dxa"/>
            <w:tcBorders>
              <w:top w:val="nil"/>
              <w:left w:val="nil"/>
              <w:bottom w:val="single" w:color="auto" w:sz="4" w:space="0"/>
              <w:right w:val="single" w:color="auto" w:sz="4" w:space="0"/>
            </w:tcBorders>
            <w:vAlign w:val="center"/>
          </w:tcPr>
          <w:p>
            <w:pPr>
              <w:jc w:val="left"/>
              <w:rPr>
                <w:sz w:val="18"/>
                <w:szCs w:val="18"/>
              </w:rPr>
            </w:pPr>
            <w:r>
              <w:rPr>
                <w:sz w:val="18"/>
                <w:szCs w:val="18"/>
              </w:rPr>
              <w:t>山东信托</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20100707</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20140430</w:t>
            </w:r>
          </w:p>
        </w:tc>
        <w:tc>
          <w:tcPr>
            <w:tcW w:w="936" w:type="dxa"/>
            <w:tcBorders>
              <w:top w:val="nil"/>
              <w:left w:val="nil"/>
              <w:bottom w:val="single" w:color="auto" w:sz="4" w:space="0"/>
              <w:right w:val="single" w:color="auto" w:sz="4" w:space="0"/>
            </w:tcBorders>
            <w:vAlign w:val="bottom"/>
          </w:tcPr>
          <w:p>
            <w:pPr>
              <w:jc w:val="right"/>
              <w:rPr>
                <w:sz w:val="18"/>
                <w:szCs w:val="18"/>
              </w:rPr>
            </w:pPr>
            <w:r>
              <w:rPr>
                <w:sz w:val="18"/>
                <w:szCs w:val="18"/>
              </w:rPr>
              <w:t>1.8291</w:t>
            </w:r>
          </w:p>
        </w:tc>
        <w:tc>
          <w:tcPr>
            <w:tcW w:w="1296" w:type="dxa"/>
            <w:tcBorders>
              <w:top w:val="nil"/>
              <w:left w:val="nil"/>
              <w:bottom w:val="single" w:color="auto" w:sz="4" w:space="0"/>
              <w:right w:val="single" w:color="auto" w:sz="4" w:space="0"/>
            </w:tcBorders>
            <w:vAlign w:val="bottom"/>
          </w:tcPr>
          <w:p>
            <w:pPr>
              <w:jc w:val="center"/>
              <w:rPr>
                <w:sz w:val="18"/>
                <w:szCs w:val="18"/>
              </w:rPr>
            </w:pPr>
            <w:r>
              <w:rPr>
                <w:sz w:val="18"/>
                <w:szCs w:val="18"/>
              </w:rPr>
              <w:t>160.04%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296" w:type="dxa"/>
            <w:tcBorders>
              <w:top w:val="nil"/>
              <w:left w:val="single" w:color="auto" w:sz="4" w:space="0"/>
              <w:bottom w:val="single" w:color="auto" w:sz="4" w:space="0"/>
              <w:right w:val="single" w:color="auto" w:sz="4" w:space="0"/>
            </w:tcBorders>
            <w:vAlign w:val="center"/>
          </w:tcPr>
          <w:p>
            <w:pPr>
              <w:jc w:val="left"/>
              <w:rPr>
                <w:sz w:val="18"/>
                <w:szCs w:val="18"/>
              </w:rPr>
            </w:pPr>
            <w:r>
              <w:rPr>
                <w:sz w:val="18"/>
                <w:szCs w:val="18"/>
              </w:rPr>
              <w:t>恒复趋势1号</w:t>
            </w:r>
          </w:p>
        </w:tc>
        <w:tc>
          <w:tcPr>
            <w:tcW w:w="936" w:type="dxa"/>
            <w:tcBorders>
              <w:top w:val="nil"/>
              <w:left w:val="nil"/>
              <w:bottom w:val="single" w:color="auto" w:sz="4" w:space="0"/>
              <w:right w:val="single" w:color="auto" w:sz="4" w:space="0"/>
            </w:tcBorders>
            <w:vAlign w:val="center"/>
          </w:tcPr>
          <w:p>
            <w:pPr>
              <w:jc w:val="left"/>
              <w:rPr>
                <w:sz w:val="18"/>
                <w:szCs w:val="18"/>
              </w:rPr>
            </w:pPr>
            <w:r>
              <w:rPr>
                <w:sz w:val="18"/>
                <w:szCs w:val="18"/>
              </w:rPr>
              <w:t>恒复</w:t>
            </w:r>
          </w:p>
        </w:tc>
        <w:tc>
          <w:tcPr>
            <w:tcW w:w="936" w:type="dxa"/>
            <w:tcBorders>
              <w:top w:val="nil"/>
              <w:left w:val="nil"/>
              <w:bottom w:val="single" w:color="auto" w:sz="4" w:space="0"/>
              <w:right w:val="single" w:color="auto" w:sz="4" w:space="0"/>
            </w:tcBorders>
            <w:vAlign w:val="center"/>
          </w:tcPr>
          <w:p>
            <w:pPr>
              <w:jc w:val="left"/>
              <w:rPr>
                <w:sz w:val="18"/>
                <w:szCs w:val="18"/>
              </w:rPr>
            </w:pPr>
            <w:r>
              <w:rPr>
                <w:sz w:val="18"/>
                <w:szCs w:val="18"/>
              </w:rPr>
              <w:t>刘强</w:t>
            </w:r>
          </w:p>
        </w:tc>
        <w:tc>
          <w:tcPr>
            <w:tcW w:w="1116" w:type="dxa"/>
            <w:tcBorders>
              <w:top w:val="nil"/>
              <w:left w:val="nil"/>
              <w:bottom w:val="single" w:color="auto" w:sz="4" w:space="0"/>
              <w:right w:val="single" w:color="auto" w:sz="4" w:space="0"/>
            </w:tcBorders>
            <w:vAlign w:val="center"/>
          </w:tcPr>
          <w:p>
            <w:pPr>
              <w:jc w:val="left"/>
              <w:rPr>
                <w:sz w:val="18"/>
                <w:szCs w:val="18"/>
              </w:rPr>
            </w:pPr>
            <w:r>
              <w:rPr>
                <w:sz w:val="18"/>
                <w:szCs w:val="18"/>
              </w:rPr>
              <w:t>山西信托</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20090120</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20140415</w:t>
            </w:r>
          </w:p>
        </w:tc>
        <w:tc>
          <w:tcPr>
            <w:tcW w:w="936" w:type="dxa"/>
            <w:tcBorders>
              <w:top w:val="nil"/>
              <w:left w:val="nil"/>
              <w:bottom w:val="single" w:color="auto" w:sz="4" w:space="0"/>
              <w:right w:val="single" w:color="auto" w:sz="4" w:space="0"/>
            </w:tcBorders>
            <w:vAlign w:val="bottom"/>
          </w:tcPr>
          <w:p>
            <w:pPr>
              <w:jc w:val="right"/>
              <w:rPr>
                <w:sz w:val="18"/>
                <w:szCs w:val="18"/>
              </w:rPr>
            </w:pPr>
            <w:r>
              <w:rPr>
                <w:sz w:val="18"/>
                <w:szCs w:val="18"/>
              </w:rPr>
              <w:t>1.7013</w:t>
            </w:r>
          </w:p>
        </w:tc>
        <w:tc>
          <w:tcPr>
            <w:tcW w:w="1296" w:type="dxa"/>
            <w:tcBorders>
              <w:top w:val="nil"/>
              <w:left w:val="nil"/>
              <w:bottom w:val="single" w:color="auto" w:sz="4" w:space="0"/>
              <w:right w:val="single" w:color="auto" w:sz="4" w:space="0"/>
            </w:tcBorders>
            <w:vAlign w:val="bottom"/>
          </w:tcPr>
          <w:p>
            <w:pPr>
              <w:jc w:val="center"/>
              <w:rPr>
                <w:sz w:val="18"/>
                <w:szCs w:val="18"/>
              </w:rPr>
            </w:pPr>
            <w:r>
              <w:rPr>
                <w:sz w:val="18"/>
                <w:szCs w:val="18"/>
              </w:rPr>
              <w:t>96.43%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296" w:type="dxa"/>
            <w:tcBorders>
              <w:top w:val="nil"/>
              <w:left w:val="single" w:color="auto" w:sz="4" w:space="0"/>
              <w:bottom w:val="single" w:color="auto" w:sz="4" w:space="0"/>
              <w:right w:val="single" w:color="auto" w:sz="4" w:space="0"/>
            </w:tcBorders>
            <w:vAlign w:val="center"/>
          </w:tcPr>
          <w:p>
            <w:pPr>
              <w:jc w:val="left"/>
              <w:rPr>
                <w:sz w:val="18"/>
                <w:szCs w:val="18"/>
              </w:rPr>
            </w:pPr>
            <w:r>
              <w:rPr>
                <w:sz w:val="18"/>
                <w:szCs w:val="18"/>
              </w:rPr>
              <w:t>泽熙4期</w:t>
            </w:r>
          </w:p>
        </w:tc>
        <w:tc>
          <w:tcPr>
            <w:tcW w:w="936" w:type="dxa"/>
            <w:tcBorders>
              <w:top w:val="nil"/>
              <w:left w:val="nil"/>
              <w:bottom w:val="single" w:color="auto" w:sz="4" w:space="0"/>
              <w:right w:val="single" w:color="auto" w:sz="4" w:space="0"/>
            </w:tcBorders>
            <w:vAlign w:val="center"/>
          </w:tcPr>
          <w:p>
            <w:pPr>
              <w:jc w:val="left"/>
              <w:rPr>
                <w:sz w:val="18"/>
                <w:szCs w:val="18"/>
              </w:rPr>
            </w:pPr>
            <w:r>
              <w:rPr>
                <w:sz w:val="18"/>
                <w:szCs w:val="18"/>
              </w:rPr>
              <w:t>泽熙</w:t>
            </w:r>
          </w:p>
        </w:tc>
        <w:tc>
          <w:tcPr>
            <w:tcW w:w="936" w:type="dxa"/>
            <w:tcBorders>
              <w:top w:val="nil"/>
              <w:left w:val="nil"/>
              <w:bottom w:val="single" w:color="auto" w:sz="4" w:space="0"/>
              <w:right w:val="single" w:color="auto" w:sz="4" w:space="0"/>
            </w:tcBorders>
            <w:vAlign w:val="center"/>
          </w:tcPr>
          <w:p>
            <w:pPr>
              <w:jc w:val="left"/>
              <w:rPr>
                <w:sz w:val="18"/>
                <w:szCs w:val="18"/>
              </w:rPr>
            </w:pPr>
            <w:r>
              <w:rPr>
                <w:sz w:val="18"/>
                <w:szCs w:val="18"/>
              </w:rPr>
              <w:t>徐翔</w:t>
            </w:r>
          </w:p>
        </w:tc>
        <w:tc>
          <w:tcPr>
            <w:tcW w:w="1116" w:type="dxa"/>
            <w:tcBorders>
              <w:top w:val="nil"/>
              <w:left w:val="nil"/>
              <w:bottom w:val="single" w:color="auto" w:sz="4" w:space="0"/>
              <w:right w:val="single" w:color="auto" w:sz="4" w:space="0"/>
            </w:tcBorders>
            <w:vAlign w:val="center"/>
          </w:tcPr>
          <w:p>
            <w:pPr>
              <w:jc w:val="left"/>
              <w:rPr>
                <w:sz w:val="18"/>
                <w:szCs w:val="18"/>
              </w:rPr>
            </w:pPr>
            <w:r>
              <w:rPr>
                <w:sz w:val="18"/>
                <w:szCs w:val="18"/>
              </w:rPr>
              <w:t>华润深国投</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20100707</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20140430</w:t>
            </w:r>
          </w:p>
        </w:tc>
        <w:tc>
          <w:tcPr>
            <w:tcW w:w="936" w:type="dxa"/>
            <w:tcBorders>
              <w:top w:val="nil"/>
              <w:left w:val="nil"/>
              <w:bottom w:val="single" w:color="auto" w:sz="4" w:space="0"/>
              <w:right w:val="single" w:color="auto" w:sz="4" w:space="0"/>
            </w:tcBorders>
            <w:vAlign w:val="bottom"/>
          </w:tcPr>
          <w:p>
            <w:pPr>
              <w:jc w:val="right"/>
              <w:rPr>
                <w:sz w:val="18"/>
                <w:szCs w:val="18"/>
              </w:rPr>
            </w:pPr>
            <w:r>
              <w:rPr>
                <w:sz w:val="18"/>
                <w:szCs w:val="18"/>
              </w:rPr>
              <w:t>134.53</w:t>
            </w:r>
          </w:p>
        </w:tc>
        <w:tc>
          <w:tcPr>
            <w:tcW w:w="1296" w:type="dxa"/>
            <w:tcBorders>
              <w:top w:val="nil"/>
              <w:left w:val="nil"/>
              <w:bottom w:val="single" w:color="auto" w:sz="4" w:space="0"/>
              <w:right w:val="single" w:color="auto" w:sz="4" w:space="0"/>
            </w:tcBorders>
            <w:vAlign w:val="bottom"/>
          </w:tcPr>
          <w:p>
            <w:pPr>
              <w:jc w:val="center"/>
              <w:rPr>
                <w:sz w:val="18"/>
                <w:szCs w:val="18"/>
              </w:rPr>
            </w:pPr>
            <w:r>
              <w:rPr>
                <w:sz w:val="18"/>
                <w:szCs w:val="18"/>
              </w:rPr>
              <w:t>88.50%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296" w:type="dxa"/>
            <w:tcBorders>
              <w:top w:val="nil"/>
              <w:left w:val="single" w:color="auto" w:sz="4" w:space="0"/>
              <w:bottom w:val="single" w:color="auto" w:sz="4" w:space="0"/>
              <w:right w:val="single" w:color="auto" w:sz="4" w:space="0"/>
            </w:tcBorders>
            <w:vAlign w:val="center"/>
          </w:tcPr>
          <w:p>
            <w:pPr>
              <w:jc w:val="left"/>
              <w:rPr>
                <w:sz w:val="18"/>
                <w:szCs w:val="18"/>
              </w:rPr>
            </w:pPr>
            <w:r>
              <w:rPr>
                <w:sz w:val="18"/>
                <w:szCs w:val="18"/>
              </w:rPr>
              <w:t>添富2号</w:t>
            </w:r>
          </w:p>
        </w:tc>
        <w:tc>
          <w:tcPr>
            <w:tcW w:w="936" w:type="dxa"/>
            <w:tcBorders>
              <w:top w:val="nil"/>
              <w:left w:val="nil"/>
              <w:bottom w:val="single" w:color="auto" w:sz="4" w:space="0"/>
              <w:right w:val="single" w:color="auto" w:sz="4" w:space="0"/>
            </w:tcBorders>
            <w:vAlign w:val="center"/>
          </w:tcPr>
          <w:p>
            <w:pPr>
              <w:jc w:val="left"/>
              <w:rPr>
                <w:sz w:val="18"/>
                <w:szCs w:val="18"/>
              </w:rPr>
            </w:pPr>
            <w:r>
              <w:rPr>
                <w:sz w:val="18"/>
                <w:szCs w:val="18"/>
              </w:rPr>
              <w:t>嘉伦</w:t>
            </w:r>
          </w:p>
        </w:tc>
        <w:tc>
          <w:tcPr>
            <w:tcW w:w="936" w:type="dxa"/>
            <w:tcBorders>
              <w:top w:val="nil"/>
              <w:left w:val="nil"/>
              <w:bottom w:val="single" w:color="auto" w:sz="4" w:space="0"/>
              <w:right w:val="single" w:color="auto" w:sz="4" w:space="0"/>
            </w:tcBorders>
            <w:vAlign w:val="center"/>
          </w:tcPr>
          <w:p>
            <w:pPr>
              <w:jc w:val="left"/>
              <w:rPr>
                <w:sz w:val="18"/>
                <w:szCs w:val="18"/>
              </w:rPr>
            </w:pPr>
            <w:r>
              <w:rPr>
                <w:sz w:val="18"/>
                <w:szCs w:val="18"/>
              </w:rPr>
              <w:t>张书桐</w:t>
            </w:r>
          </w:p>
        </w:tc>
        <w:tc>
          <w:tcPr>
            <w:tcW w:w="1116" w:type="dxa"/>
            <w:tcBorders>
              <w:top w:val="nil"/>
              <w:left w:val="nil"/>
              <w:bottom w:val="single" w:color="auto" w:sz="4" w:space="0"/>
              <w:right w:val="single" w:color="auto" w:sz="4" w:space="0"/>
            </w:tcBorders>
            <w:vAlign w:val="center"/>
          </w:tcPr>
          <w:p>
            <w:pPr>
              <w:jc w:val="left"/>
              <w:rPr>
                <w:sz w:val="18"/>
                <w:szCs w:val="18"/>
              </w:rPr>
            </w:pPr>
            <w:r>
              <w:rPr>
                <w:sz w:val="18"/>
                <w:szCs w:val="18"/>
              </w:rPr>
              <w:t>华融信托</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20130217</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20140502</w:t>
            </w:r>
          </w:p>
        </w:tc>
        <w:tc>
          <w:tcPr>
            <w:tcW w:w="936" w:type="dxa"/>
            <w:tcBorders>
              <w:top w:val="nil"/>
              <w:left w:val="nil"/>
              <w:bottom w:val="single" w:color="auto" w:sz="4" w:space="0"/>
              <w:right w:val="single" w:color="auto" w:sz="4" w:space="0"/>
            </w:tcBorders>
            <w:vAlign w:val="bottom"/>
          </w:tcPr>
          <w:p>
            <w:pPr>
              <w:jc w:val="right"/>
              <w:rPr>
                <w:sz w:val="18"/>
                <w:szCs w:val="18"/>
              </w:rPr>
            </w:pPr>
            <w:r>
              <w:rPr>
                <w:sz w:val="18"/>
                <w:szCs w:val="18"/>
              </w:rPr>
              <w:t>1.9158</w:t>
            </w:r>
          </w:p>
        </w:tc>
        <w:tc>
          <w:tcPr>
            <w:tcW w:w="1296" w:type="dxa"/>
            <w:tcBorders>
              <w:top w:val="nil"/>
              <w:left w:val="nil"/>
              <w:bottom w:val="single" w:color="auto" w:sz="4" w:space="0"/>
              <w:right w:val="single" w:color="auto" w:sz="4" w:space="0"/>
            </w:tcBorders>
            <w:vAlign w:val="bottom"/>
          </w:tcPr>
          <w:p>
            <w:pPr>
              <w:jc w:val="center"/>
              <w:rPr>
                <w:sz w:val="18"/>
                <w:szCs w:val="18"/>
              </w:rPr>
            </w:pPr>
            <w:r>
              <w:rPr>
                <w:sz w:val="18"/>
                <w:szCs w:val="18"/>
              </w:rPr>
              <w:t>84.66%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296" w:type="dxa"/>
            <w:tcBorders>
              <w:top w:val="nil"/>
              <w:left w:val="single" w:color="auto" w:sz="4" w:space="0"/>
              <w:bottom w:val="single" w:color="auto" w:sz="4" w:space="0"/>
              <w:right w:val="single" w:color="auto" w:sz="4" w:space="0"/>
            </w:tcBorders>
            <w:vAlign w:val="center"/>
          </w:tcPr>
          <w:p>
            <w:pPr>
              <w:jc w:val="left"/>
              <w:rPr>
                <w:sz w:val="18"/>
                <w:szCs w:val="18"/>
              </w:rPr>
            </w:pPr>
            <w:r>
              <w:rPr>
                <w:sz w:val="18"/>
                <w:szCs w:val="18"/>
              </w:rPr>
              <w:t>泽熙1期</w:t>
            </w:r>
          </w:p>
        </w:tc>
        <w:tc>
          <w:tcPr>
            <w:tcW w:w="936" w:type="dxa"/>
            <w:tcBorders>
              <w:top w:val="nil"/>
              <w:left w:val="nil"/>
              <w:bottom w:val="single" w:color="auto" w:sz="4" w:space="0"/>
              <w:right w:val="single" w:color="auto" w:sz="4" w:space="0"/>
            </w:tcBorders>
            <w:vAlign w:val="center"/>
          </w:tcPr>
          <w:p>
            <w:pPr>
              <w:jc w:val="left"/>
              <w:rPr>
                <w:sz w:val="18"/>
                <w:szCs w:val="18"/>
              </w:rPr>
            </w:pPr>
            <w:r>
              <w:rPr>
                <w:sz w:val="18"/>
                <w:szCs w:val="18"/>
              </w:rPr>
              <w:t>泽熙</w:t>
            </w:r>
          </w:p>
        </w:tc>
        <w:tc>
          <w:tcPr>
            <w:tcW w:w="936" w:type="dxa"/>
            <w:tcBorders>
              <w:top w:val="nil"/>
              <w:left w:val="nil"/>
              <w:bottom w:val="single" w:color="auto" w:sz="4" w:space="0"/>
              <w:right w:val="single" w:color="auto" w:sz="4" w:space="0"/>
            </w:tcBorders>
            <w:vAlign w:val="center"/>
          </w:tcPr>
          <w:p>
            <w:pPr>
              <w:jc w:val="left"/>
              <w:rPr>
                <w:sz w:val="18"/>
                <w:szCs w:val="18"/>
              </w:rPr>
            </w:pPr>
            <w:r>
              <w:rPr>
                <w:sz w:val="18"/>
                <w:szCs w:val="18"/>
              </w:rPr>
              <w:t>徐翔</w:t>
            </w:r>
          </w:p>
        </w:tc>
        <w:tc>
          <w:tcPr>
            <w:tcW w:w="1116" w:type="dxa"/>
            <w:tcBorders>
              <w:top w:val="nil"/>
              <w:left w:val="nil"/>
              <w:bottom w:val="single" w:color="auto" w:sz="4" w:space="0"/>
              <w:right w:val="single" w:color="auto" w:sz="4" w:space="0"/>
            </w:tcBorders>
            <w:vAlign w:val="center"/>
          </w:tcPr>
          <w:p>
            <w:pPr>
              <w:jc w:val="left"/>
              <w:rPr>
                <w:sz w:val="18"/>
                <w:szCs w:val="18"/>
              </w:rPr>
            </w:pP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20100305</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20140430</w:t>
            </w:r>
          </w:p>
        </w:tc>
        <w:tc>
          <w:tcPr>
            <w:tcW w:w="936" w:type="dxa"/>
            <w:tcBorders>
              <w:top w:val="nil"/>
              <w:left w:val="nil"/>
              <w:bottom w:val="single" w:color="auto" w:sz="4" w:space="0"/>
              <w:right w:val="single" w:color="auto" w:sz="4" w:space="0"/>
            </w:tcBorders>
            <w:vAlign w:val="bottom"/>
          </w:tcPr>
          <w:p>
            <w:pPr>
              <w:jc w:val="right"/>
              <w:rPr>
                <w:sz w:val="18"/>
                <w:szCs w:val="18"/>
              </w:rPr>
            </w:pPr>
            <w:r>
              <w:rPr>
                <w:sz w:val="18"/>
                <w:szCs w:val="18"/>
              </w:rPr>
              <w:t>1.2857</w:t>
            </w:r>
          </w:p>
        </w:tc>
        <w:tc>
          <w:tcPr>
            <w:tcW w:w="1296" w:type="dxa"/>
            <w:tcBorders>
              <w:top w:val="nil"/>
              <w:left w:val="nil"/>
              <w:bottom w:val="single" w:color="auto" w:sz="4" w:space="0"/>
              <w:right w:val="single" w:color="auto" w:sz="4" w:space="0"/>
            </w:tcBorders>
            <w:vAlign w:val="bottom"/>
          </w:tcPr>
          <w:p>
            <w:pPr>
              <w:jc w:val="center"/>
              <w:rPr>
                <w:sz w:val="18"/>
                <w:szCs w:val="18"/>
              </w:rPr>
            </w:pPr>
            <w:r>
              <w:rPr>
                <w:sz w:val="18"/>
                <w:szCs w:val="18"/>
              </w:rPr>
              <w:t>83.60%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296" w:type="dxa"/>
            <w:tcBorders>
              <w:top w:val="nil"/>
              <w:left w:val="single" w:color="auto" w:sz="4" w:space="0"/>
              <w:bottom w:val="single" w:color="auto" w:sz="4" w:space="0"/>
              <w:right w:val="single" w:color="auto" w:sz="4" w:space="0"/>
            </w:tcBorders>
            <w:vAlign w:val="center"/>
          </w:tcPr>
          <w:p>
            <w:pPr>
              <w:jc w:val="left"/>
              <w:rPr>
                <w:sz w:val="18"/>
                <w:szCs w:val="18"/>
              </w:rPr>
            </w:pPr>
            <w:r>
              <w:rPr>
                <w:sz w:val="18"/>
                <w:szCs w:val="18"/>
              </w:rPr>
              <w:t>东源1期华鑫</w:t>
            </w:r>
          </w:p>
        </w:tc>
        <w:tc>
          <w:tcPr>
            <w:tcW w:w="936" w:type="dxa"/>
            <w:tcBorders>
              <w:top w:val="nil"/>
              <w:left w:val="nil"/>
              <w:bottom w:val="single" w:color="auto" w:sz="4" w:space="0"/>
              <w:right w:val="single" w:color="auto" w:sz="4" w:space="0"/>
            </w:tcBorders>
            <w:vAlign w:val="center"/>
          </w:tcPr>
          <w:p>
            <w:pPr>
              <w:jc w:val="left"/>
              <w:rPr>
                <w:sz w:val="18"/>
                <w:szCs w:val="18"/>
              </w:rPr>
            </w:pPr>
            <w:r>
              <w:rPr>
                <w:sz w:val="18"/>
                <w:szCs w:val="18"/>
              </w:rPr>
              <w:t>东源股权</w:t>
            </w:r>
          </w:p>
        </w:tc>
        <w:tc>
          <w:tcPr>
            <w:tcW w:w="936" w:type="dxa"/>
            <w:tcBorders>
              <w:top w:val="nil"/>
              <w:left w:val="nil"/>
              <w:bottom w:val="single" w:color="auto" w:sz="4" w:space="0"/>
              <w:right w:val="single" w:color="auto" w:sz="4" w:space="0"/>
            </w:tcBorders>
            <w:vAlign w:val="center"/>
          </w:tcPr>
          <w:p>
            <w:pPr>
              <w:jc w:val="left"/>
              <w:rPr>
                <w:sz w:val="18"/>
                <w:szCs w:val="18"/>
              </w:rPr>
            </w:pPr>
            <w:r>
              <w:rPr>
                <w:sz w:val="18"/>
                <w:szCs w:val="18"/>
              </w:rPr>
              <w:t>王伟林</w:t>
            </w:r>
          </w:p>
        </w:tc>
        <w:tc>
          <w:tcPr>
            <w:tcW w:w="1116" w:type="dxa"/>
            <w:tcBorders>
              <w:top w:val="nil"/>
              <w:left w:val="nil"/>
              <w:bottom w:val="single" w:color="auto" w:sz="4" w:space="0"/>
              <w:right w:val="single" w:color="auto" w:sz="4" w:space="0"/>
            </w:tcBorders>
            <w:vAlign w:val="center"/>
          </w:tcPr>
          <w:p>
            <w:pPr>
              <w:jc w:val="left"/>
              <w:rPr>
                <w:sz w:val="18"/>
                <w:szCs w:val="18"/>
              </w:rPr>
            </w:pPr>
            <w:r>
              <w:rPr>
                <w:sz w:val="18"/>
                <w:szCs w:val="18"/>
              </w:rPr>
              <w:t>华鑫信托</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20130415</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20140418</w:t>
            </w:r>
          </w:p>
        </w:tc>
        <w:tc>
          <w:tcPr>
            <w:tcW w:w="936" w:type="dxa"/>
            <w:tcBorders>
              <w:top w:val="nil"/>
              <w:left w:val="nil"/>
              <w:bottom w:val="single" w:color="auto" w:sz="4" w:space="0"/>
              <w:right w:val="single" w:color="auto" w:sz="4" w:space="0"/>
            </w:tcBorders>
            <w:vAlign w:val="bottom"/>
          </w:tcPr>
          <w:p>
            <w:pPr>
              <w:jc w:val="right"/>
              <w:rPr>
                <w:sz w:val="18"/>
                <w:szCs w:val="18"/>
              </w:rPr>
            </w:pPr>
            <w:r>
              <w:rPr>
                <w:sz w:val="18"/>
                <w:szCs w:val="18"/>
              </w:rPr>
              <w:t>1.68</w:t>
            </w:r>
          </w:p>
        </w:tc>
        <w:tc>
          <w:tcPr>
            <w:tcW w:w="1296" w:type="dxa"/>
            <w:tcBorders>
              <w:top w:val="nil"/>
              <w:left w:val="nil"/>
              <w:bottom w:val="single" w:color="auto" w:sz="4" w:space="0"/>
              <w:right w:val="single" w:color="auto" w:sz="4" w:space="0"/>
            </w:tcBorders>
            <w:vAlign w:val="bottom"/>
          </w:tcPr>
          <w:p>
            <w:pPr>
              <w:jc w:val="center"/>
              <w:rPr>
                <w:sz w:val="18"/>
                <w:szCs w:val="18"/>
              </w:rPr>
            </w:pPr>
            <w:r>
              <w:rPr>
                <w:sz w:val="18"/>
                <w:szCs w:val="18"/>
              </w:rPr>
              <w:t>70.44%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296" w:type="dxa"/>
            <w:tcBorders>
              <w:top w:val="nil"/>
              <w:left w:val="single" w:color="auto" w:sz="4" w:space="0"/>
              <w:bottom w:val="single" w:color="auto" w:sz="4" w:space="0"/>
              <w:right w:val="single" w:color="auto" w:sz="4" w:space="0"/>
            </w:tcBorders>
            <w:vAlign w:val="center"/>
          </w:tcPr>
          <w:p>
            <w:pPr>
              <w:jc w:val="left"/>
              <w:rPr>
                <w:sz w:val="18"/>
                <w:szCs w:val="18"/>
              </w:rPr>
            </w:pPr>
            <w:r>
              <w:rPr>
                <w:sz w:val="18"/>
                <w:szCs w:val="18"/>
              </w:rPr>
              <w:t>龙鼎3号</w:t>
            </w:r>
          </w:p>
        </w:tc>
        <w:tc>
          <w:tcPr>
            <w:tcW w:w="936" w:type="dxa"/>
            <w:tcBorders>
              <w:top w:val="nil"/>
              <w:left w:val="nil"/>
              <w:bottom w:val="single" w:color="auto" w:sz="4" w:space="0"/>
              <w:right w:val="single" w:color="auto" w:sz="4" w:space="0"/>
            </w:tcBorders>
            <w:vAlign w:val="center"/>
          </w:tcPr>
          <w:p>
            <w:pPr>
              <w:jc w:val="left"/>
              <w:rPr>
                <w:sz w:val="18"/>
                <w:szCs w:val="18"/>
              </w:rPr>
            </w:pPr>
            <w:r>
              <w:rPr>
                <w:sz w:val="18"/>
                <w:szCs w:val="18"/>
              </w:rPr>
              <w:t>龙鼎</w:t>
            </w:r>
          </w:p>
        </w:tc>
        <w:tc>
          <w:tcPr>
            <w:tcW w:w="936" w:type="dxa"/>
            <w:tcBorders>
              <w:top w:val="nil"/>
              <w:left w:val="nil"/>
              <w:bottom w:val="single" w:color="auto" w:sz="4" w:space="0"/>
              <w:right w:val="single" w:color="auto" w:sz="4" w:space="0"/>
            </w:tcBorders>
            <w:vAlign w:val="center"/>
          </w:tcPr>
          <w:p>
            <w:pPr>
              <w:jc w:val="left"/>
              <w:rPr>
                <w:sz w:val="18"/>
                <w:szCs w:val="18"/>
              </w:rPr>
            </w:pPr>
            <w:r>
              <w:rPr>
                <w:sz w:val="18"/>
                <w:szCs w:val="18"/>
              </w:rPr>
              <w:t>冯为民</w:t>
            </w:r>
          </w:p>
        </w:tc>
        <w:tc>
          <w:tcPr>
            <w:tcW w:w="1116" w:type="dxa"/>
            <w:tcBorders>
              <w:top w:val="nil"/>
              <w:left w:val="nil"/>
              <w:bottom w:val="single" w:color="auto" w:sz="4" w:space="0"/>
              <w:right w:val="single" w:color="auto" w:sz="4" w:space="0"/>
            </w:tcBorders>
            <w:vAlign w:val="center"/>
          </w:tcPr>
          <w:p>
            <w:pPr>
              <w:jc w:val="left"/>
              <w:rPr>
                <w:sz w:val="18"/>
                <w:szCs w:val="18"/>
              </w:rPr>
            </w:pPr>
            <w:r>
              <w:rPr>
                <w:sz w:val="18"/>
                <w:szCs w:val="18"/>
              </w:rPr>
              <w:t>陕国投</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20100802</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20140418</w:t>
            </w:r>
          </w:p>
        </w:tc>
        <w:tc>
          <w:tcPr>
            <w:tcW w:w="936" w:type="dxa"/>
            <w:tcBorders>
              <w:top w:val="nil"/>
              <w:left w:val="nil"/>
              <w:bottom w:val="single" w:color="auto" w:sz="4" w:space="0"/>
              <w:right w:val="single" w:color="auto" w:sz="4" w:space="0"/>
            </w:tcBorders>
            <w:vAlign w:val="bottom"/>
          </w:tcPr>
          <w:p>
            <w:pPr>
              <w:jc w:val="right"/>
              <w:rPr>
                <w:sz w:val="18"/>
                <w:szCs w:val="18"/>
              </w:rPr>
            </w:pPr>
            <w:r>
              <w:rPr>
                <w:sz w:val="18"/>
                <w:szCs w:val="18"/>
              </w:rPr>
              <w:t>144.48</w:t>
            </w:r>
          </w:p>
        </w:tc>
        <w:tc>
          <w:tcPr>
            <w:tcW w:w="1296" w:type="dxa"/>
            <w:tcBorders>
              <w:top w:val="nil"/>
              <w:left w:val="nil"/>
              <w:bottom w:val="single" w:color="auto" w:sz="4" w:space="0"/>
              <w:right w:val="single" w:color="auto" w:sz="4" w:space="0"/>
            </w:tcBorders>
            <w:vAlign w:val="bottom"/>
          </w:tcPr>
          <w:p>
            <w:pPr>
              <w:jc w:val="center"/>
              <w:rPr>
                <w:sz w:val="18"/>
                <w:szCs w:val="18"/>
              </w:rPr>
            </w:pPr>
            <w:r>
              <w:rPr>
                <w:sz w:val="18"/>
                <w:szCs w:val="18"/>
              </w:rPr>
              <w:t>68.57%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296" w:type="dxa"/>
            <w:tcBorders>
              <w:top w:val="nil"/>
              <w:left w:val="single" w:color="auto" w:sz="4" w:space="0"/>
              <w:bottom w:val="single" w:color="auto" w:sz="4" w:space="0"/>
              <w:right w:val="single" w:color="auto" w:sz="4" w:space="0"/>
            </w:tcBorders>
            <w:vAlign w:val="center"/>
          </w:tcPr>
          <w:p>
            <w:pPr>
              <w:jc w:val="left"/>
              <w:rPr>
                <w:sz w:val="18"/>
                <w:szCs w:val="18"/>
              </w:rPr>
            </w:pPr>
            <w:r>
              <w:rPr>
                <w:sz w:val="18"/>
                <w:szCs w:val="18"/>
              </w:rPr>
              <w:t>泽熙2期</w:t>
            </w:r>
          </w:p>
        </w:tc>
        <w:tc>
          <w:tcPr>
            <w:tcW w:w="936" w:type="dxa"/>
            <w:tcBorders>
              <w:top w:val="nil"/>
              <w:left w:val="nil"/>
              <w:bottom w:val="single" w:color="auto" w:sz="4" w:space="0"/>
              <w:right w:val="single" w:color="auto" w:sz="4" w:space="0"/>
            </w:tcBorders>
            <w:vAlign w:val="center"/>
          </w:tcPr>
          <w:p>
            <w:pPr>
              <w:jc w:val="left"/>
              <w:rPr>
                <w:sz w:val="18"/>
                <w:szCs w:val="18"/>
              </w:rPr>
            </w:pPr>
            <w:r>
              <w:rPr>
                <w:sz w:val="18"/>
                <w:szCs w:val="18"/>
              </w:rPr>
              <w:t>泽熙</w:t>
            </w:r>
          </w:p>
        </w:tc>
        <w:tc>
          <w:tcPr>
            <w:tcW w:w="936" w:type="dxa"/>
            <w:tcBorders>
              <w:top w:val="nil"/>
              <w:left w:val="nil"/>
              <w:bottom w:val="single" w:color="auto" w:sz="4" w:space="0"/>
              <w:right w:val="single" w:color="auto" w:sz="4" w:space="0"/>
            </w:tcBorders>
            <w:vAlign w:val="center"/>
          </w:tcPr>
          <w:p>
            <w:pPr>
              <w:jc w:val="left"/>
              <w:rPr>
                <w:sz w:val="18"/>
                <w:szCs w:val="18"/>
              </w:rPr>
            </w:pPr>
            <w:r>
              <w:rPr>
                <w:sz w:val="18"/>
                <w:szCs w:val="18"/>
              </w:rPr>
              <w:t>徐翔</w:t>
            </w:r>
          </w:p>
        </w:tc>
        <w:tc>
          <w:tcPr>
            <w:tcW w:w="1116" w:type="dxa"/>
            <w:tcBorders>
              <w:top w:val="nil"/>
              <w:left w:val="nil"/>
              <w:bottom w:val="single" w:color="auto" w:sz="4" w:space="0"/>
              <w:right w:val="single" w:color="auto" w:sz="4" w:space="0"/>
            </w:tcBorders>
            <w:vAlign w:val="center"/>
          </w:tcPr>
          <w:p>
            <w:pPr>
              <w:jc w:val="left"/>
              <w:rPr>
                <w:sz w:val="18"/>
                <w:szCs w:val="18"/>
              </w:rPr>
            </w:pPr>
            <w:r>
              <w:rPr>
                <w:sz w:val="18"/>
                <w:szCs w:val="18"/>
              </w:rPr>
              <w:t>山东信托</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20100611</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20140430</w:t>
            </w:r>
          </w:p>
        </w:tc>
        <w:tc>
          <w:tcPr>
            <w:tcW w:w="936" w:type="dxa"/>
            <w:tcBorders>
              <w:top w:val="nil"/>
              <w:left w:val="nil"/>
              <w:bottom w:val="single" w:color="auto" w:sz="4" w:space="0"/>
              <w:right w:val="single" w:color="auto" w:sz="4" w:space="0"/>
            </w:tcBorders>
            <w:vAlign w:val="bottom"/>
          </w:tcPr>
          <w:p>
            <w:pPr>
              <w:jc w:val="right"/>
              <w:rPr>
                <w:sz w:val="18"/>
                <w:szCs w:val="18"/>
              </w:rPr>
            </w:pPr>
            <w:r>
              <w:rPr>
                <w:sz w:val="18"/>
                <w:szCs w:val="18"/>
              </w:rPr>
              <w:t>1.347</w:t>
            </w:r>
          </w:p>
        </w:tc>
        <w:tc>
          <w:tcPr>
            <w:tcW w:w="1296" w:type="dxa"/>
            <w:tcBorders>
              <w:top w:val="nil"/>
              <w:left w:val="nil"/>
              <w:bottom w:val="single" w:color="auto" w:sz="4" w:space="0"/>
              <w:right w:val="single" w:color="auto" w:sz="4" w:space="0"/>
            </w:tcBorders>
            <w:vAlign w:val="bottom"/>
          </w:tcPr>
          <w:p>
            <w:pPr>
              <w:jc w:val="center"/>
              <w:rPr>
                <w:sz w:val="18"/>
                <w:szCs w:val="18"/>
              </w:rPr>
            </w:pPr>
            <w:r>
              <w:rPr>
                <w:sz w:val="18"/>
                <w:szCs w:val="18"/>
              </w:rPr>
              <w:t>64.61%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296" w:type="dxa"/>
            <w:tcBorders>
              <w:top w:val="nil"/>
              <w:left w:val="single" w:color="auto" w:sz="4" w:space="0"/>
              <w:bottom w:val="single" w:color="auto" w:sz="4" w:space="0"/>
              <w:right w:val="single" w:color="auto" w:sz="4" w:space="0"/>
            </w:tcBorders>
            <w:vAlign w:val="center"/>
          </w:tcPr>
          <w:p>
            <w:pPr>
              <w:jc w:val="left"/>
              <w:rPr>
                <w:sz w:val="18"/>
                <w:szCs w:val="18"/>
              </w:rPr>
            </w:pPr>
            <w:r>
              <w:rPr>
                <w:sz w:val="18"/>
                <w:szCs w:val="18"/>
              </w:rPr>
              <w:t>天马一期</w:t>
            </w:r>
          </w:p>
        </w:tc>
        <w:tc>
          <w:tcPr>
            <w:tcW w:w="936" w:type="dxa"/>
            <w:tcBorders>
              <w:top w:val="nil"/>
              <w:left w:val="nil"/>
              <w:bottom w:val="single" w:color="auto" w:sz="4" w:space="0"/>
              <w:right w:val="single" w:color="auto" w:sz="4" w:space="0"/>
            </w:tcBorders>
            <w:vAlign w:val="center"/>
          </w:tcPr>
          <w:p>
            <w:pPr>
              <w:jc w:val="left"/>
              <w:rPr>
                <w:sz w:val="18"/>
                <w:szCs w:val="18"/>
              </w:rPr>
            </w:pPr>
            <w:r>
              <w:rPr>
                <w:sz w:val="18"/>
                <w:szCs w:val="18"/>
              </w:rPr>
              <w:t>天马时代</w:t>
            </w:r>
          </w:p>
        </w:tc>
        <w:tc>
          <w:tcPr>
            <w:tcW w:w="936" w:type="dxa"/>
            <w:tcBorders>
              <w:top w:val="nil"/>
              <w:left w:val="nil"/>
              <w:bottom w:val="single" w:color="auto" w:sz="4" w:space="0"/>
              <w:right w:val="single" w:color="auto" w:sz="4" w:space="0"/>
            </w:tcBorders>
            <w:vAlign w:val="center"/>
          </w:tcPr>
          <w:p>
            <w:pPr>
              <w:jc w:val="left"/>
              <w:rPr>
                <w:sz w:val="18"/>
                <w:szCs w:val="18"/>
              </w:rPr>
            </w:pPr>
            <w:r>
              <w:rPr>
                <w:sz w:val="18"/>
                <w:szCs w:val="18"/>
              </w:rPr>
              <w:t>马列</w:t>
            </w:r>
          </w:p>
        </w:tc>
        <w:tc>
          <w:tcPr>
            <w:tcW w:w="1116" w:type="dxa"/>
            <w:tcBorders>
              <w:top w:val="nil"/>
              <w:left w:val="nil"/>
              <w:bottom w:val="single" w:color="auto" w:sz="4" w:space="0"/>
              <w:right w:val="single" w:color="auto" w:sz="4" w:space="0"/>
            </w:tcBorders>
            <w:vAlign w:val="center"/>
          </w:tcPr>
          <w:p>
            <w:pPr>
              <w:jc w:val="left"/>
              <w:rPr>
                <w:sz w:val="18"/>
                <w:szCs w:val="18"/>
              </w:rPr>
            </w:pP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20111121</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20140418</w:t>
            </w:r>
          </w:p>
        </w:tc>
        <w:tc>
          <w:tcPr>
            <w:tcW w:w="936" w:type="dxa"/>
            <w:tcBorders>
              <w:top w:val="nil"/>
              <w:left w:val="nil"/>
              <w:bottom w:val="single" w:color="auto" w:sz="4" w:space="0"/>
              <w:right w:val="single" w:color="auto" w:sz="4" w:space="0"/>
            </w:tcBorders>
            <w:vAlign w:val="bottom"/>
          </w:tcPr>
          <w:p>
            <w:pPr>
              <w:jc w:val="right"/>
              <w:rPr>
                <w:sz w:val="18"/>
                <w:szCs w:val="18"/>
              </w:rPr>
            </w:pPr>
            <w:r>
              <w:rPr>
                <w:sz w:val="18"/>
                <w:szCs w:val="18"/>
              </w:rPr>
              <w:t>1.7518</w:t>
            </w:r>
          </w:p>
        </w:tc>
        <w:tc>
          <w:tcPr>
            <w:tcW w:w="1296" w:type="dxa"/>
            <w:tcBorders>
              <w:top w:val="nil"/>
              <w:left w:val="nil"/>
              <w:bottom w:val="single" w:color="auto" w:sz="4" w:space="0"/>
              <w:right w:val="single" w:color="auto" w:sz="4" w:space="0"/>
            </w:tcBorders>
            <w:vAlign w:val="bottom"/>
          </w:tcPr>
          <w:p>
            <w:pPr>
              <w:jc w:val="center"/>
              <w:rPr>
                <w:sz w:val="18"/>
                <w:szCs w:val="18"/>
              </w:rPr>
            </w:pPr>
            <w:r>
              <w:rPr>
                <w:sz w:val="18"/>
                <w:szCs w:val="18"/>
              </w:rPr>
              <w:t>63.28%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296" w:type="dxa"/>
            <w:tcBorders>
              <w:top w:val="nil"/>
              <w:left w:val="single" w:color="auto" w:sz="4" w:space="0"/>
              <w:bottom w:val="single" w:color="auto" w:sz="4" w:space="0"/>
              <w:right w:val="single" w:color="auto" w:sz="4" w:space="0"/>
            </w:tcBorders>
            <w:vAlign w:val="center"/>
          </w:tcPr>
          <w:p>
            <w:pPr>
              <w:jc w:val="left"/>
              <w:rPr>
                <w:sz w:val="18"/>
                <w:szCs w:val="18"/>
              </w:rPr>
            </w:pPr>
            <w:r>
              <w:rPr>
                <w:sz w:val="18"/>
                <w:szCs w:val="18"/>
              </w:rPr>
              <w:t>鸿逸1号</w:t>
            </w:r>
          </w:p>
        </w:tc>
        <w:tc>
          <w:tcPr>
            <w:tcW w:w="936" w:type="dxa"/>
            <w:tcBorders>
              <w:top w:val="nil"/>
              <w:left w:val="nil"/>
              <w:bottom w:val="single" w:color="auto" w:sz="4" w:space="0"/>
              <w:right w:val="single" w:color="auto" w:sz="4" w:space="0"/>
            </w:tcBorders>
            <w:vAlign w:val="center"/>
          </w:tcPr>
          <w:p>
            <w:pPr>
              <w:jc w:val="left"/>
              <w:rPr>
                <w:sz w:val="18"/>
                <w:szCs w:val="18"/>
              </w:rPr>
            </w:pPr>
            <w:r>
              <w:rPr>
                <w:sz w:val="18"/>
                <w:szCs w:val="18"/>
              </w:rPr>
              <w:t>鸿逸</w:t>
            </w:r>
          </w:p>
        </w:tc>
        <w:tc>
          <w:tcPr>
            <w:tcW w:w="936" w:type="dxa"/>
            <w:tcBorders>
              <w:top w:val="nil"/>
              <w:left w:val="nil"/>
              <w:bottom w:val="single" w:color="auto" w:sz="4" w:space="0"/>
              <w:right w:val="single" w:color="auto" w:sz="4" w:space="0"/>
            </w:tcBorders>
            <w:vAlign w:val="center"/>
          </w:tcPr>
          <w:p>
            <w:pPr>
              <w:jc w:val="left"/>
              <w:rPr>
                <w:sz w:val="18"/>
                <w:szCs w:val="18"/>
              </w:rPr>
            </w:pPr>
            <w:r>
              <w:rPr>
                <w:sz w:val="18"/>
                <w:szCs w:val="18"/>
              </w:rPr>
              <w:t>张云逸</w:t>
            </w:r>
          </w:p>
        </w:tc>
        <w:tc>
          <w:tcPr>
            <w:tcW w:w="1116" w:type="dxa"/>
            <w:tcBorders>
              <w:top w:val="nil"/>
              <w:left w:val="nil"/>
              <w:bottom w:val="single" w:color="auto" w:sz="4" w:space="0"/>
              <w:right w:val="single" w:color="auto" w:sz="4" w:space="0"/>
            </w:tcBorders>
            <w:vAlign w:val="center"/>
          </w:tcPr>
          <w:p>
            <w:pPr>
              <w:jc w:val="left"/>
              <w:rPr>
                <w:sz w:val="18"/>
                <w:szCs w:val="18"/>
              </w:rPr>
            </w:pPr>
            <w:r>
              <w:rPr>
                <w:sz w:val="18"/>
                <w:szCs w:val="18"/>
              </w:rPr>
              <w:t>长安信托</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20101215</w:t>
            </w:r>
          </w:p>
        </w:tc>
        <w:tc>
          <w:tcPr>
            <w:tcW w:w="936" w:type="dxa"/>
            <w:tcBorders>
              <w:top w:val="nil"/>
              <w:left w:val="nil"/>
              <w:bottom w:val="single" w:color="auto" w:sz="4" w:space="0"/>
              <w:right w:val="single" w:color="auto" w:sz="4" w:space="0"/>
            </w:tcBorders>
            <w:vAlign w:val="center"/>
          </w:tcPr>
          <w:p>
            <w:pPr>
              <w:jc w:val="center"/>
              <w:rPr>
                <w:sz w:val="18"/>
                <w:szCs w:val="18"/>
              </w:rPr>
            </w:pPr>
            <w:r>
              <w:rPr>
                <w:sz w:val="18"/>
                <w:szCs w:val="18"/>
              </w:rPr>
              <w:t>20140430</w:t>
            </w:r>
          </w:p>
        </w:tc>
        <w:tc>
          <w:tcPr>
            <w:tcW w:w="936" w:type="dxa"/>
            <w:tcBorders>
              <w:top w:val="nil"/>
              <w:left w:val="nil"/>
              <w:bottom w:val="single" w:color="auto" w:sz="4" w:space="0"/>
              <w:right w:val="single" w:color="auto" w:sz="4" w:space="0"/>
            </w:tcBorders>
            <w:vAlign w:val="bottom"/>
          </w:tcPr>
          <w:p>
            <w:pPr>
              <w:jc w:val="right"/>
              <w:rPr>
                <w:sz w:val="18"/>
                <w:szCs w:val="18"/>
              </w:rPr>
            </w:pPr>
            <w:r>
              <w:rPr>
                <w:sz w:val="18"/>
                <w:szCs w:val="18"/>
              </w:rPr>
              <w:t>0.9181</w:t>
            </w:r>
          </w:p>
        </w:tc>
        <w:tc>
          <w:tcPr>
            <w:tcW w:w="1296" w:type="dxa"/>
            <w:tcBorders>
              <w:top w:val="nil"/>
              <w:left w:val="nil"/>
              <w:bottom w:val="single" w:color="auto" w:sz="4" w:space="0"/>
              <w:right w:val="single" w:color="auto" w:sz="4" w:space="0"/>
            </w:tcBorders>
            <w:vAlign w:val="bottom"/>
          </w:tcPr>
          <w:p>
            <w:pPr>
              <w:jc w:val="center"/>
              <w:rPr>
                <w:sz w:val="18"/>
                <w:szCs w:val="18"/>
              </w:rPr>
            </w:pPr>
            <w:r>
              <w:rPr>
                <w:sz w:val="18"/>
                <w:szCs w:val="18"/>
              </w:rPr>
              <w:t>62.73%</w:t>
            </w:r>
          </w:p>
        </w:tc>
      </w:tr>
    </w:tbl>
    <w:p>
      <w:pPr>
        <w:rPr>
          <w:sz w:val="18"/>
          <w:szCs w:val="18"/>
        </w:rPr>
      </w:pPr>
      <w:r>
        <w:rPr>
          <w:sz w:val="18"/>
          <w:szCs w:val="18"/>
        </w:rPr>
        <w:t>数据来源：好买基金研究中心；数据搜集截止日2014年</w:t>
      </w:r>
      <w:r>
        <w:rPr>
          <w:rFonts w:hint="eastAsia"/>
          <w:sz w:val="18"/>
          <w:szCs w:val="18"/>
        </w:rPr>
        <w:t>5月9日</w:t>
      </w:r>
      <w:r>
        <w:rPr>
          <w:sz w:val="18"/>
          <w:szCs w:val="18"/>
        </w:rPr>
        <w:t>。私募各阶段收益率统计区间尽量匹配自然月度，但不能完全消除私募产品净值公布日期不同的影响，故私募基金产品的收益率排名仅供参考。</w:t>
      </w:r>
    </w:p>
    <w:p>
      <w:pPr>
        <w:spacing w:line="360" w:lineRule="auto"/>
        <w:ind w:right="46" w:rightChars="22"/>
        <w:rPr>
          <w:kern w:val="0"/>
          <w:sz w:val="18"/>
          <w:szCs w:val="18"/>
        </w:rPr>
      </w:pPr>
    </w:p>
    <w:p>
      <w:pPr>
        <w:spacing w:beforeLines="50" w:afterLines="50" w:line="360" w:lineRule="auto"/>
        <w:rPr>
          <w:b/>
          <w:color w:val="FF0000"/>
          <w:kern w:val="0"/>
          <w:sz w:val="24"/>
        </w:rPr>
      </w:pPr>
      <w:r>
        <w:rPr>
          <w:rFonts w:hint="eastAsia"/>
          <w:b/>
          <w:color w:val="FF0000"/>
          <w:kern w:val="0"/>
          <w:sz w:val="24"/>
        </w:rPr>
        <w:t>二</w:t>
      </w:r>
      <w:r>
        <w:rPr>
          <w:b/>
          <w:color w:val="FF0000"/>
          <w:kern w:val="0"/>
          <w:sz w:val="24"/>
        </w:rPr>
        <w:t>、私募基金行业动态</w:t>
      </w:r>
    </w:p>
    <w:p>
      <w:pPr>
        <w:spacing w:beforeLines="50" w:afterLines="50" w:line="360" w:lineRule="auto"/>
        <w:rPr>
          <w:b/>
        </w:rPr>
      </w:pPr>
      <w:r>
        <w:rPr>
          <w:rFonts w:hint="eastAsia"/>
          <w:b/>
        </w:rPr>
        <w:t>私募泽熙风格转换大比例持股获得话语权</w:t>
      </w:r>
    </w:p>
    <w:p>
      <w:pPr>
        <w:spacing w:beforeLines="50" w:afterLines="50" w:line="360" w:lineRule="auto"/>
        <w:ind w:firstLine="420" w:firstLineChars="200"/>
      </w:pPr>
      <w:r>
        <w:rPr>
          <w:rFonts w:hint="eastAsia"/>
        </w:rPr>
        <w:t>一直备受市场关注的私募基金管理公司——泽熙投资，自去年以来投资风格有所变化，由低调风格转为主动出击，通过大比例持股获得对上市公司更大的话语权。近期泽熙投资不仅向宁波联合提案高送转，更是在2月入驻工大首创成为第二大股东对峙雅戈尔，并向上市公司黔源电力要求高送转。</w:t>
      </w:r>
    </w:p>
    <w:p>
      <w:pPr>
        <w:spacing w:beforeLines="50" w:afterLines="50" w:line="360" w:lineRule="auto"/>
        <w:ind w:firstLine="420" w:firstLineChars="200"/>
      </w:pPr>
      <w:r>
        <w:rPr>
          <w:rFonts w:hint="eastAsia"/>
        </w:rPr>
        <w:t>点评：大举买入上市公司股份，向上市公司决策层提出经营建议、提案高送转，泽熙新的投资逻辑引发业界普遍关注。其实不仅仅是泽熙投资，包括理成资产、创赢投资在内的多家私募基金都在谋求集中持股，获得对上市公司决策层的影响力，甚至争取对上市公司的控制权。从单纯的财务投资者转变为积极参与上市公司经营、治理的主动型投资者，这体现出资本市场发挥的作用已经越来越大，未来很可能出现上市公司管理层经营不善，股价低迷，被外部资金夺取控制权的情况。</w:t>
      </w:r>
    </w:p>
    <w:p>
      <w:pPr>
        <w:spacing w:beforeLines="50" w:afterLines="50" w:line="360" w:lineRule="auto"/>
        <w:rPr>
          <w:b/>
        </w:rPr>
      </w:pPr>
      <w:r>
        <w:rPr>
          <w:rFonts w:hint="eastAsia"/>
          <w:b/>
        </w:rPr>
        <w:t>新国九条出台鼓励培育私募基金行业发展</w:t>
      </w:r>
    </w:p>
    <w:p>
      <w:pPr>
        <w:spacing w:beforeLines="50" w:afterLines="50" w:line="360" w:lineRule="auto"/>
        <w:ind w:firstLine="420" w:firstLineChars="200"/>
      </w:pPr>
      <w:r>
        <w:rPr>
          <w:rFonts w:hint="eastAsia"/>
        </w:rPr>
        <w:t>国务院近日印发《关于进一步促进资本市场健康发展的若干意见》（以下简称《意见》），明确了今后较长一段时期资本市场发展的指导思想、基本原则、主要任务和具体措施，提出到2020年，基本形成结构合理、功能完善、规范透明、稳健高效、开放包容的多层次资本市场体系。《意见》指出，进一步促进资本市场健康发展，健全多层次资本市场体系，对于加快完善现代市场体系、拓宽企业和居民投融资渠道、优化资源配置、促进经济转型升级和社会发展进步具有重要意义。</w:t>
      </w:r>
    </w:p>
    <w:p>
      <w:pPr>
        <w:spacing w:beforeLines="50" w:afterLines="50" w:line="360" w:lineRule="auto"/>
        <w:ind w:firstLine="420" w:firstLineChars="200"/>
      </w:pPr>
      <w:r>
        <w:t>点评：</w:t>
      </w:r>
      <w:r>
        <w:rPr>
          <w:rFonts w:hint="eastAsia"/>
        </w:rPr>
        <w:t>新“国九条”的主要任务是加快建设多渠道、广覆盖、严监管、高效率的股权市场，规范发展债券市场，拓展期货市场，着力优化市场体系结构、运行机制、基础设施和外部环境，实现发行交易方式多样、投融资工具丰富、风险管理功能完备、场内场外和公募私募协调发展。</w:t>
      </w:r>
    </w:p>
    <w:p>
      <w:pPr>
        <w:spacing w:beforeLines="50" w:afterLines="50" w:line="360" w:lineRule="auto"/>
        <w:ind w:firstLine="420" w:firstLineChars="200"/>
      </w:pPr>
      <w:r>
        <w:rPr>
          <w:rFonts w:hint="eastAsia"/>
        </w:rPr>
        <w:t>国九条的第四条是培育私募市场。建立健全私募发行制度，发展私募投资基金，鼓励和引导创业投资基金支持中小微企业，促进战略性新兴产业发展。结合此前的私募基金备案制度，可以看出私募行业迎来了自身发展的大好机遇。</w:t>
      </w:r>
    </w:p>
    <w:p>
      <w:pPr>
        <w:spacing w:beforeLines="50" w:afterLines="50" w:line="360" w:lineRule="auto"/>
        <w:ind w:firstLine="420" w:firstLineChars="200"/>
      </w:pPr>
    </w:p>
    <w:p>
      <w:pPr>
        <w:spacing w:beforeLines="50" w:afterLines="50" w:line="360" w:lineRule="auto"/>
        <w:rPr>
          <w:b/>
          <w:color w:val="FF0000"/>
          <w:kern w:val="0"/>
          <w:sz w:val="24"/>
        </w:rPr>
      </w:pPr>
      <w:r>
        <w:rPr>
          <w:rFonts w:hint="eastAsia"/>
          <w:b/>
          <w:color w:val="FF0000"/>
          <w:kern w:val="0"/>
          <w:sz w:val="24"/>
        </w:rPr>
        <w:t>三</w:t>
      </w:r>
      <w:r>
        <w:rPr>
          <w:b/>
          <w:color w:val="FF0000"/>
          <w:kern w:val="0"/>
          <w:sz w:val="24"/>
        </w:rPr>
        <w:t>、</w:t>
      </w:r>
      <w:r>
        <w:rPr>
          <w:rFonts w:hint="eastAsia"/>
          <w:b/>
          <w:color w:val="FF0000"/>
          <w:kern w:val="0"/>
          <w:sz w:val="24"/>
        </w:rPr>
        <w:t>4月</w:t>
      </w:r>
      <w:r>
        <w:rPr>
          <w:b/>
          <w:color w:val="FF0000"/>
          <w:kern w:val="0"/>
          <w:sz w:val="24"/>
        </w:rPr>
        <w:t>私募投资动态</w:t>
      </w:r>
    </w:p>
    <w:p>
      <w:pPr>
        <w:widowControl/>
        <w:spacing w:beforeLines="50" w:afterLines="50" w:line="360" w:lineRule="auto"/>
        <w:ind w:firstLine="420" w:firstLineChars="200"/>
        <w:jc w:val="left"/>
        <w:rPr>
          <w:kern w:val="0"/>
          <w:szCs w:val="21"/>
        </w:rPr>
      </w:pPr>
      <w:r>
        <w:rPr>
          <w:rFonts w:hint="eastAsia"/>
          <w:kern w:val="0"/>
          <w:szCs w:val="21"/>
        </w:rPr>
        <w:t>从私募基金的持仓来看，4月私募基金公司的股票平均仓位小幅上升，平均仓位从上月的67.50</w:t>
      </w:r>
      <w:r>
        <w:rPr>
          <w:kern w:val="0"/>
          <w:szCs w:val="21"/>
        </w:rPr>
        <w:t>%</w:t>
      </w:r>
      <w:r>
        <w:rPr>
          <w:rFonts w:hint="eastAsia"/>
          <w:kern w:val="0"/>
          <w:szCs w:val="21"/>
        </w:rPr>
        <w:t>上升至本月的</w:t>
      </w:r>
      <w:r>
        <w:rPr>
          <w:kern w:val="0"/>
          <w:szCs w:val="21"/>
        </w:rPr>
        <w:t>6</w:t>
      </w:r>
      <w:r>
        <w:rPr>
          <w:rFonts w:hint="eastAsia"/>
          <w:kern w:val="0"/>
          <w:szCs w:val="21"/>
        </w:rPr>
        <w:t>8.00</w:t>
      </w:r>
      <w:r>
        <w:rPr>
          <w:kern w:val="0"/>
          <w:szCs w:val="21"/>
        </w:rPr>
        <w:t>%</w:t>
      </w:r>
      <w:r>
        <w:rPr>
          <w:rFonts w:hint="eastAsia"/>
          <w:kern w:val="0"/>
          <w:szCs w:val="21"/>
        </w:rPr>
        <w:t>，上升了0.50</w:t>
      </w:r>
      <w:r>
        <w:rPr>
          <w:kern w:val="0"/>
          <w:szCs w:val="21"/>
        </w:rPr>
        <w:t>%</w:t>
      </w:r>
      <w:r>
        <w:rPr>
          <w:rFonts w:hint="eastAsia"/>
          <w:kern w:val="0"/>
          <w:szCs w:val="21"/>
        </w:rPr>
        <w:t>。其中，仓位在七成以上的私募占比为50.00</w:t>
      </w:r>
      <w:r>
        <w:rPr>
          <w:kern w:val="0"/>
          <w:szCs w:val="21"/>
        </w:rPr>
        <w:t>%</w:t>
      </w:r>
      <w:r>
        <w:rPr>
          <w:rFonts w:hint="eastAsia"/>
          <w:kern w:val="0"/>
          <w:szCs w:val="21"/>
        </w:rPr>
        <w:t>，和上月相持平；仓位介于三至七成的私募占比50</w:t>
      </w:r>
      <w:r>
        <w:rPr>
          <w:kern w:val="0"/>
          <w:szCs w:val="21"/>
        </w:rPr>
        <w:t>%</w:t>
      </w:r>
      <w:r>
        <w:rPr>
          <w:rFonts w:hint="eastAsia"/>
          <w:kern w:val="0"/>
          <w:szCs w:val="21"/>
        </w:rPr>
        <w:t>，较上月上涨</w:t>
      </w:r>
      <w:r>
        <w:rPr>
          <w:kern w:val="0"/>
          <w:szCs w:val="21"/>
        </w:rPr>
        <w:t>8.33%</w:t>
      </w:r>
      <w:r>
        <w:rPr>
          <w:rFonts w:hint="eastAsia"/>
          <w:kern w:val="0"/>
          <w:szCs w:val="21"/>
        </w:rPr>
        <w:t>；受调研私募中,仓位低于三成的占比为0。</w:t>
      </w:r>
    </w:p>
    <w:tbl>
      <w:tblPr>
        <w:tblW w:w="73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6" w:hRule="atLeast"/>
        </w:trPr>
        <w:tc>
          <w:tcPr>
            <w:tcW w:w="7371" w:type="dxa"/>
            <w:tcBorders>
              <w:top w:val="nil"/>
              <w:left w:val="nil"/>
              <w:bottom w:val="nil"/>
              <w:right w:val="nil"/>
            </w:tcBorders>
            <w:shd w:val="clear" w:color="auto" w:fill="C0C0C0"/>
            <w:vAlign w:val="top"/>
          </w:tcPr>
          <w:p>
            <w:pPr>
              <w:rPr>
                <w:b/>
              </w:rPr>
            </w:pPr>
            <w:r>
              <w:rPr>
                <w:rFonts w:hint="eastAsia"/>
                <w:b/>
              </w:rPr>
              <w:t>私募基金仓位分布</w:t>
            </w:r>
          </w:p>
        </w:tc>
      </w:tr>
    </w:tbl>
    <w:p>
      <w:pPr>
        <w:spacing w:line="360" w:lineRule="auto"/>
        <w:rPr>
          <w:szCs w:val="21"/>
        </w:rPr>
      </w:pPr>
      <w:r>
        <w:rPr>
          <w:rFonts w:ascii="Times New Roman" w:hAnsi="Times New Roman" w:eastAsia="宋体" w:cs="Times New Roman"/>
          <w:kern w:val="2"/>
          <w:sz w:val="21"/>
          <w:szCs w:val="24"/>
          <w:lang w:val="en-US" w:eastAsia="zh-CN" w:bidi="ar-SA"/>
        </w:rPr>
        <w:pict>
          <v:shape id="图片框 1036" o:spid="_x0000_s1037" type="#_x0000_t75" style="height:215.95pt;width:374.95pt;rotation:0f;" o:ole="f" fillcolor="#FFFFFF" filled="f" o:preferrelative="t" stroked="f" coordorigin="0,0" coordsize="21600,21600">
            <v:fill on="f" color2="#FFFFFF" focus="0%"/>
            <v:imagedata gain="65536f" blacklevel="0f" gamma="0" o:title="" r:id="rId13"/>
            <o:lock v:ext="edit" position="f" selection="f" grouping="f" rotation="f" cropping="f" text="f" aspectratio="t"/>
            <w10:wrap type="none"/>
            <w10:anchorlock/>
          </v:shape>
        </w:pict>
      </w:r>
    </w:p>
    <w:p>
      <w:pPr>
        <w:rPr>
          <w:sz w:val="18"/>
          <w:szCs w:val="18"/>
        </w:rPr>
      </w:pPr>
      <w:r>
        <w:rPr>
          <w:rFonts w:hint="eastAsia"/>
          <w:sz w:val="18"/>
          <w:szCs w:val="18"/>
        </w:rPr>
        <w:t>数据来源：好买基金研究中心，数据截止日：</w:t>
      </w:r>
      <w:r>
        <w:rPr>
          <w:sz w:val="18"/>
          <w:szCs w:val="18"/>
        </w:rPr>
        <w:t>2014年</w:t>
      </w:r>
      <w:r>
        <w:rPr>
          <w:rFonts w:hint="eastAsia"/>
          <w:sz w:val="18"/>
          <w:szCs w:val="18"/>
        </w:rPr>
        <w:t>5月7日</w:t>
      </w:r>
    </w:p>
    <w:p>
      <w:pPr>
        <w:widowControl/>
        <w:spacing w:beforeLines="50" w:afterLines="50" w:line="360" w:lineRule="auto"/>
        <w:ind w:firstLine="420" w:firstLineChars="200"/>
        <w:jc w:val="left"/>
        <w:rPr>
          <w:kern w:val="0"/>
          <w:szCs w:val="21"/>
        </w:rPr>
      </w:pPr>
      <w:r>
        <w:rPr>
          <w:kern w:val="0"/>
          <w:szCs w:val="21"/>
        </w:rPr>
        <w:t>从私募基金行业配置的资金比例来看，排名前五的行业</w:t>
      </w:r>
      <w:r>
        <w:rPr>
          <w:rFonts w:hint="eastAsia"/>
          <w:kern w:val="0"/>
          <w:szCs w:val="21"/>
        </w:rPr>
        <w:t>依次</w:t>
      </w:r>
      <w:r>
        <w:rPr>
          <w:kern w:val="0"/>
          <w:szCs w:val="21"/>
        </w:rPr>
        <w:t>为</w:t>
      </w:r>
      <w:r>
        <w:rPr>
          <w:rFonts w:hint="eastAsia"/>
          <w:kern w:val="0"/>
          <w:szCs w:val="21"/>
        </w:rPr>
        <w:t>电子元器件、医药生物、机械设备、房地产和金融服务</w:t>
      </w:r>
      <w:r>
        <w:rPr>
          <w:kern w:val="0"/>
          <w:szCs w:val="21"/>
        </w:rPr>
        <w:t>，占比分别为</w:t>
      </w:r>
      <w:r>
        <w:rPr>
          <w:rFonts w:hint="eastAsia"/>
          <w:kern w:val="0"/>
          <w:szCs w:val="21"/>
        </w:rPr>
        <w:t>17.39</w:t>
      </w:r>
      <w:r>
        <w:rPr>
          <w:kern w:val="0"/>
          <w:szCs w:val="21"/>
        </w:rPr>
        <w:t>%</w:t>
      </w:r>
      <w:r>
        <w:rPr>
          <w:rFonts w:hint="eastAsia"/>
          <w:kern w:val="0"/>
          <w:szCs w:val="21"/>
        </w:rPr>
        <w:t>、</w:t>
      </w:r>
      <w:r>
        <w:rPr>
          <w:kern w:val="0"/>
          <w:szCs w:val="21"/>
        </w:rPr>
        <w:t>13.04%</w:t>
      </w:r>
      <w:r>
        <w:rPr>
          <w:rFonts w:hint="eastAsia"/>
          <w:kern w:val="0"/>
          <w:szCs w:val="21"/>
        </w:rPr>
        <w:t>、</w:t>
      </w:r>
      <w:r>
        <w:rPr>
          <w:kern w:val="0"/>
          <w:szCs w:val="21"/>
        </w:rPr>
        <w:t>8.70%</w:t>
      </w:r>
      <w:r>
        <w:rPr>
          <w:rFonts w:hint="eastAsia"/>
          <w:kern w:val="0"/>
          <w:szCs w:val="21"/>
        </w:rPr>
        <w:t>、</w:t>
      </w:r>
      <w:r>
        <w:rPr>
          <w:kern w:val="0"/>
          <w:szCs w:val="21"/>
        </w:rPr>
        <w:t>8.70%</w:t>
      </w:r>
      <w:r>
        <w:rPr>
          <w:rFonts w:hint="eastAsia"/>
          <w:kern w:val="0"/>
          <w:szCs w:val="21"/>
        </w:rPr>
        <w:t>和</w:t>
      </w:r>
      <w:r>
        <w:rPr>
          <w:kern w:val="0"/>
          <w:szCs w:val="21"/>
        </w:rPr>
        <w:t>8.70%</w:t>
      </w:r>
      <w:r>
        <w:rPr>
          <w:rFonts w:hint="eastAsia"/>
          <w:kern w:val="0"/>
          <w:szCs w:val="21"/>
        </w:rPr>
        <w:t>。4月份，私募关注行业有所变动，电子元器件和医药生物进入重仓行业前列。</w:t>
      </w:r>
    </w:p>
    <w:tbl>
      <w:tblPr>
        <w:tblW w:w="7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91" w:hRule="atLeast"/>
        </w:trPr>
        <w:tc>
          <w:tcPr>
            <w:tcW w:w="7450" w:type="dxa"/>
            <w:tcBorders>
              <w:top w:val="nil"/>
              <w:left w:val="nil"/>
              <w:bottom w:val="nil"/>
              <w:right w:val="nil"/>
            </w:tcBorders>
            <w:shd w:val="clear" w:color="auto" w:fill="C0C0C0"/>
            <w:vAlign w:val="top"/>
          </w:tcPr>
          <w:p>
            <w:pPr>
              <w:rPr>
                <w:b/>
              </w:rPr>
            </w:pPr>
            <w:r>
              <w:rPr>
                <w:rFonts w:hint="eastAsia"/>
                <w:b/>
              </w:rPr>
              <w:t>私募基金当前重仓行业</w:t>
            </w:r>
          </w:p>
        </w:tc>
      </w:tr>
    </w:tbl>
    <w:p>
      <w:pPr>
        <w:spacing w:line="360" w:lineRule="auto"/>
        <w:rPr>
          <w:sz w:val="18"/>
          <w:szCs w:val="18"/>
        </w:rPr>
      </w:pPr>
      <w:r>
        <w:rPr>
          <w:rFonts w:ascii="Times New Roman" w:hAnsi="Times New Roman" w:eastAsia="宋体" w:cs="Times New Roman"/>
          <w:kern w:val="2"/>
          <w:sz w:val="21"/>
          <w:szCs w:val="24"/>
          <w:lang w:val="en-US" w:eastAsia="zh-CN" w:bidi="ar-SA"/>
        </w:rPr>
        <w:pict>
          <v:shape id="图片框 1037" o:spid="_x0000_s1038" type="#_x0000_t75" style="height:227.95pt;width:372.7pt;rotation:0f;" o:ole="f" fillcolor="#FFFFFF" filled="f" o:preferrelative="t" stroked="f" coordorigin="0,0" coordsize="21600,21600">
            <v:fill on="f" color2="#FFFFFF" focus="0%"/>
            <v:imagedata gain="65536f" blacklevel="0f" gamma="0" o:title="" r:id="rId14"/>
            <o:lock v:ext="edit" position="f" selection="f" grouping="f" rotation="f" cropping="f" text="f" aspectratio="t"/>
            <w10:wrap type="none"/>
            <w10:anchorlock/>
          </v:shape>
        </w:pict>
      </w:r>
    </w:p>
    <w:p>
      <w:pPr>
        <w:spacing w:line="360" w:lineRule="auto"/>
        <w:rPr>
          <w:sz w:val="18"/>
          <w:szCs w:val="18"/>
        </w:rPr>
      </w:pPr>
      <w:r>
        <w:rPr>
          <w:rFonts w:hint="eastAsia"/>
          <w:sz w:val="18"/>
          <w:szCs w:val="18"/>
        </w:rPr>
        <w:t>数据来源：好买基金研究中心，数据截止日：</w:t>
      </w:r>
      <w:r>
        <w:rPr>
          <w:sz w:val="18"/>
          <w:szCs w:val="18"/>
        </w:rPr>
        <w:t>2014年</w:t>
      </w:r>
      <w:r>
        <w:rPr>
          <w:rFonts w:hint="eastAsia"/>
          <w:sz w:val="18"/>
          <w:szCs w:val="18"/>
        </w:rPr>
        <w:t>5月7日</w:t>
      </w:r>
    </w:p>
    <w:p>
      <w:pPr>
        <w:widowControl/>
        <w:spacing w:beforeLines="50" w:afterLines="50" w:line="360" w:lineRule="auto"/>
        <w:ind w:firstLine="420" w:firstLineChars="200"/>
        <w:jc w:val="left"/>
        <w:rPr>
          <w:kern w:val="0"/>
          <w:szCs w:val="21"/>
        </w:rPr>
      </w:pPr>
      <w:r>
        <w:rPr>
          <w:rFonts w:hint="eastAsia"/>
          <w:kern w:val="0"/>
          <w:szCs w:val="21"/>
        </w:rPr>
        <w:t>关于未来1个月股指走势，受调研私募意见以中性为主，占88.89%，11.11%的私募分别持乐观态度，持谨慎态度的占比为0。</w:t>
      </w:r>
    </w:p>
    <w:tbl>
      <w:tblPr>
        <w:tblW w:w="75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6" w:hRule="atLeast"/>
        </w:trPr>
        <w:tc>
          <w:tcPr>
            <w:tcW w:w="7513" w:type="dxa"/>
            <w:tcBorders>
              <w:top w:val="nil"/>
              <w:left w:val="nil"/>
              <w:bottom w:val="nil"/>
              <w:right w:val="nil"/>
            </w:tcBorders>
            <w:shd w:val="clear" w:color="auto" w:fill="C0C0C0"/>
            <w:vAlign w:val="top"/>
          </w:tcPr>
          <w:p>
            <w:pPr>
              <w:rPr>
                <w:b/>
              </w:rPr>
            </w:pPr>
            <w:r>
              <w:rPr>
                <w:rFonts w:hint="eastAsia"/>
                <w:b/>
              </w:rPr>
              <w:t>未来1个月股指走势</w:t>
            </w:r>
          </w:p>
        </w:tc>
      </w:tr>
    </w:tbl>
    <w:p>
      <w:r>
        <w:rPr>
          <w:rFonts w:ascii="Times New Roman" w:hAnsi="Times New Roman" w:eastAsia="宋体" w:cs="Times New Roman"/>
          <w:kern w:val="2"/>
          <w:sz w:val="21"/>
          <w:szCs w:val="24"/>
          <w:lang w:val="en-US" w:eastAsia="zh-CN" w:bidi="ar-SA"/>
        </w:rPr>
        <w:pict>
          <v:shape id="图片框 1038" o:spid="_x0000_s1039" type="#_x0000_t75" style="height:213.7pt;width:368.95pt;rotation:0f;" o:ole="f" fillcolor="#FFFFFF" filled="f" o:preferrelative="t" stroked="f" coordorigin="0,0" coordsize="21600,21600">
            <v:fill on="f" color2="#FFFFFF" focus="0%"/>
            <v:imagedata gain="65536f" blacklevel="0f" gamma="0" o:title="" r:id="rId15"/>
            <o:lock v:ext="edit" position="f" selection="f" grouping="f" rotation="f" cropping="f" text="f" aspectratio="t"/>
            <w10:wrap type="none"/>
            <w10:anchorlock/>
          </v:shape>
        </w:pict>
      </w:r>
    </w:p>
    <w:p>
      <w:pPr>
        <w:spacing w:afterLines="50" w:line="360" w:lineRule="auto"/>
        <w:rPr>
          <w:sz w:val="18"/>
          <w:szCs w:val="18"/>
        </w:rPr>
      </w:pPr>
      <w:r>
        <w:rPr>
          <w:rFonts w:hint="eastAsia"/>
          <w:sz w:val="18"/>
          <w:szCs w:val="18"/>
        </w:rPr>
        <w:t>数据来源：好买基金研究中心，数据截止日：</w:t>
      </w:r>
      <w:r>
        <w:rPr>
          <w:sz w:val="18"/>
          <w:szCs w:val="18"/>
        </w:rPr>
        <w:t>2014年</w:t>
      </w:r>
      <w:r>
        <w:rPr>
          <w:rFonts w:hint="eastAsia"/>
          <w:sz w:val="18"/>
          <w:szCs w:val="18"/>
        </w:rPr>
        <w:t>5月7日</w:t>
      </w:r>
    </w:p>
    <w:p>
      <w:pPr>
        <w:spacing w:beforeLines="50" w:afterLines="50" w:line="360" w:lineRule="auto"/>
        <w:rPr>
          <w:b/>
          <w:color w:val="FF0000"/>
          <w:kern w:val="0"/>
          <w:sz w:val="24"/>
        </w:rPr>
      </w:pPr>
      <w:r>
        <w:rPr>
          <w:rFonts w:hint="eastAsia"/>
          <w:b/>
          <w:color w:val="FF0000"/>
          <w:kern w:val="0"/>
          <w:sz w:val="24"/>
        </w:rPr>
        <w:t>四</w:t>
      </w:r>
      <w:r>
        <w:rPr>
          <w:b/>
          <w:color w:val="FF0000"/>
          <w:kern w:val="0"/>
          <w:sz w:val="24"/>
        </w:rPr>
        <w:t>、</w:t>
      </w:r>
      <w:r>
        <w:rPr>
          <w:rFonts w:hint="eastAsia"/>
          <w:b/>
          <w:color w:val="FF0000"/>
          <w:kern w:val="0"/>
          <w:sz w:val="24"/>
        </w:rPr>
        <w:t>4月私募总结</w:t>
      </w:r>
    </w:p>
    <w:p>
      <w:pPr>
        <w:spacing w:beforeLines="50" w:afterLines="50" w:line="360" w:lineRule="auto"/>
        <w:ind w:firstLine="420" w:firstLineChars="200"/>
        <w:jc w:val="left"/>
        <w:rPr>
          <w:szCs w:val="21"/>
        </w:rPr>
      </w:pPr>
      <w:r>
        <w:rPr>
          <w:rFonts w:hint="eastAsia"/>
          <w:szCs w:val="21"/>
        </w:rPr>
        <w:t>4月份，</w:t>
      </w:r>
      <w:r>
        <w:rPr>
          <w:rFonts w:hint="eastAsia"/>
        </w:rPr>
        <w:t>沪深两市涨跌互现，创业板和中小板表现均弱于主板。</w:t>
      </w:r>
      <w:r>
        <w:rPr>
          <w:rFonts w:hint="eastAsia"/>
          <w:szCs w:val="21"/>
        </w:rPr>
        <w:t>受调研私募在4月份小幅度增仓，对于未来市场走势的态度偏于乐观。在大盘震荡整理的情况下，私募关注行业有所改变，</w:t>
      </w:r>
      <w:r>
        <w:rPr>
          <w:rFonts w:hint="eastAsia"/>
          <w:kern w:val="0"/>
          <w:szCs w:val="21"/>
        </w:rPr>
        <w:t>电子元器件和医药生物</w:t>
      </w:r>
      <w:r>
        <w:rPr>
          <w:rFonts w:hint="eastAsia"/>
          <w:szCs w:val="21"/>
        </w:rPr>
        <w:t>进入重仓行业之列。</w:t>
      </w:r>
    </w:p>
    <w:p>
      <w:pPr>
        <w:spacing w:beforeLines="50" w:afterLines="50" w:line="360" w:lineRule="auto"/>
        <w:ind w:firstLine="420" w:firstLineChars="200"/>
        <w:jc w:val="left"/>
      </w:pPr>
      <w:r>
        <w:rPr>
          <w:rFonts w:hint="eastAsia"/>
          <w:kern w:val="0"/>
          <w:szCs w:val="21"/>
        </w:rPr>
        <w:t>综合来看，</w:t>
      </w:r>
      <w:r>
        <w:rPr>
          <w:rFonts w:hint="eastAsia"/>
        </w:rPr>
        <w:t>宏观经济已经接近底部区间，尽管高层对GDP增速目标的容忍度加大，但在“底线思维”引导下，短期会采取一定的弱刺激以维持就业水平平稳，而未来仍将大力发展服务业以求在中高经济增速下保持良好的就业率。从流动性角度来看，央行继续保持中性的货币政策，市场也逐渐理解了央行“定向降准”的意图在于支持“三农”，并非货币政策转向宽松的前兆。当前阶段，IPO“二次重启”的预期成为压制A股的主要因素。在基本面、资金面和消息面缺乏配合的情况下，短期内出现大级别反弹的可能性不大，不过经过前期较大幅度的调整，目前无论主板，或是中小板、创业板中的白马成长股，短期内向下的空间都已不大，而宏观经济层面的积极因素正在逐渐积聚，仓位较低的投资者可考虑适当增加权益类资产配置比例</w:t>
      </w:r>
      <w:r>
        <w:rPr>
          <w:rFonts w:hint="eastAsia"/>
          <w:lang w:eastAsia="zh-CN"/>
        </w:rPr>
        <w:t>。</w:t>
      </w:r>
    </w:p>
    <w:p>
      <w:pPr>
        <w:spacing w:beforeLines="50" w:afterLines="50" w:line="360" w:lineRule="auto"/>
        <w:ind w:firstLine="420" w:firstLineChars="200"/>
        <w:jc w:val="left"/>
        <w:rPr>
          <w:kern w:val="0"/>
          <w:szCs w:val="21"/>
        </w:rPr>
      </w:pPr>
      <w:r>
        <w:rPr>
          <w:rFonts w:hint="eastAsia"/>
          <w:kern w:val="0"/>
          <w:szCs w:val="21"/>
        </w:rPr>
        <w:t>在市场筑底渐成的大趋势下，建议投资者可适当增大对下行风险的容忍程度，更多关注一些选股型私募，分享改革带来的市场机遇。对市场信心不足的投资者，可适当关注一些与大盘相关度较低的对冲类产品，如市场中性、CTA等，作为投资配置的一个重点。</w:t>
      </w:r>
      <w:r>
        <w:rPr>
          <w:b/>
          <w:szCs w:val="21"/>
        </w:rPr>
        <w:br w:type="page"/>
      </w:r>
      <w:r>
        <w:rPr>
          <w:b/>
          <w:color w:val="FF0000"/>
          <w:szCs w:val="21"/>
        </w:rPr>
        <w:t>免责条款：</w:t>
      </w:r>
    </w:p>
    <w:p>
      <w:pPr>
        <w:spacing w:line="360" w:lineRule="auto"/>
        <w:ind w:right="-27" w:rightChars="-13"/>
        <w:rPr>
          <w:szCs w:val="21"/>
        </w:rPr>
      </w:pPr>
      <w:r>
        <w:rPr>
          <w:szCs w:val="21"/>
        </w:rPr>
        <w:t>本报告中的信息均来源于公开可获得资料，好买基金研究中心力求可靠，但对这些信息的准确性及完整性不做任何保证，获得报告的人士据此做出投资决策，应自行承担投资风险。本报告不对特定基金产品的价值和收益作出实质性判断和保证，亦不表明投资没有风险。本报告不构成针对个人的投资建议，也没有考虑个别客户特殊的投资目标、财务状况或需要。客户应考虑本报告中的任何意见或建议是否符合其特定状况。本报告仅向特定客户及伙伴传送，任何引用、转载以及向第三方传播的行为请预先通知好买，并请在引用、转载以及向第三方传播中注明出处。</w:t>
      </w:r>
    </w:p>
    <w:p>
      <w:pPr>
        <w:spacing w:line="360" w:lineRule="auto"/>
        <w:ind w:right="-27" w:rightChars="-13"/>
        <w:rPr>
          <w:szCs w:val="21"/>
        </w:rPr>
      </w:pPr>
    </w:p>
    <w:p>
      <w:pPr>
        <w:spacing w:line="360" w:lineRule="auto"/>
        <w:ind w:right="-27" w:rightChars="-13"/>
        <w:rPr>
          <w:b/>
          <w:szCs w:val="21"/>
        </w:rPr>
      </w:pPr>
    </w:p>
    <w:p>
      <w:pPr>
        <w:spacing w:line="360" w:lineRule="auto"/>
        <w:ind w:right="-27" w:rightChars="-13"/>
        <w:rPr>
          <w:b/>
          <w:szCs w:val="21"/>
        </w:rPr>
      </w:pPr>
      <w:r>
        <w:rPr>
          <w:b/>
          <w:szCs w:val="21"/>
        </w:rPr>
        <w:t>好买基金研究中心</w:t>
      </w:r>
    </w:p>
    <w:p>
      <w:pPr>
        <w:spacing w:line="360" w:lineRule="auto"/>
        <w:ind w:right="-27" w:rightChars="-13"/>
        <w:rPr>
          <w:szCs w:val="21"/>
        </w:rPr>
      </w:pPr>
      <w:r>
        <w:rPr>
          <w:szCs w:val="21"/>
        </w:rPr>
        <w:t>联系电话：(021) 2061 3999</w:t>
      </w:r>
    </w:p>
    <w:p>
      <w:pPr>
        <w:spacing w:line="360" w:lineRule="auto"/>
        <w:ind w:right="-27" w:rightChars="-13"/>
        <w:rPr>
          <w:szCs w:val="21"/>
        </w:rPr>
      </w:pPr>
      <w:r>
        <w:rPr>
          <w:szCs w:val="21"/>
        </w:rPr>
        <w:t>好买基金网：www.howbuy.com</w:t>
      </w:r>
    </w:p>
    <w:p>
      <w:pPr>
        <w:spacing w:line="360" w:lineRule="auto"/>
        <w:ind w:right="-27" w:rightChars="-13"/>
        <w:rPr>
          <w:szCs w:val="21"/>
        </w:rPr>
      </w:pPr>
      <w:r>
        <w:rPr>
          <w:szCs w:val="21"/>
        </w:rPr>
        <w:t>办公地址：上海市浦东南路1118号鄂尔多斯国际大厦9楼，邮编200120</w:t>
      </w:r>
    </w:p>
    <w:sectPr>
      <w:headerReference r:id="rId4" w:type="default"/>
      <w:footerReference r:id="rId5" w:type="default"/>
      <w:footerReference r:id="rId6" w:type="even"/>
      <w:pgSz w:w="11906" w:h="16838"/>
      <w:pgMar w:top="567" w:right="851" w:bottom="998"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汉仪楷体简">
    <w:altName w:val="宋体"/>
    <w:panose1 w:val="00000000000000000000"/>
    <w:charset w:val="86"/>
    <w:family w:val="auto"/>
    <w:pitch w:val="default"/>
    <w:sig w:usb0="00000001" w:usb1="080E0800" w:usb2="00000012" w:usb3="00000000" w:csb0="00040000" w:csb1="00000000"/>
  </w:font>
  <w:font w:name="Arial Black">
    <w:panose1 w:val="020B0A04020102020204"/>
    <w:charset w:val="00"/>
    <w:family w:val="auto"/>
    <w:pitch w:val="default"/>
    <w:sig w:usb0="00000287" w:usb1="00000000" w:usb2="00000000" w:usb3="00000000" w:csb0="2000009F" w:csb1="DFD70000"/>
  </w:font>
  <w:font w:name="汉仪大黑简">
    <w:altName w:val="宋体"/>
    <w:panose1 w:val="00000000000000000000"/>
    <w:charset w:val="86"/>
    <w:family w:val="auto"/>
    <w:pitch w:val="default"/>
    <w:sig w:usb0="00000001" w:usb1="080E0800" w:usb2="00000012"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7"/>
      <w:framePr w:wrap="around" w:hAnchor="margin" w:vAnchor="text" w:xAlign="right" w:y="1"/>
      <w:rPr>
        <w:rStyle w:val="26"/>
      </w:rPr>
    </w:pPr>
    <w:r>
      <w:fldChar w:fldCharType="begin"/>
    </w:r>
    <w:r>
      <w:rPr>
        <w:rStyle w:val="26"/>
      </w:rPr>
      <w:instrText xml:space="preserve">PAGE  </w:instrText>
    </w:r>
    <w:r>
      <w:fldChar w:fldCharType="separate"/>
    </w:r>
    <w:r>
      <w:rPr>
        <w:rStyle w:val="26"/>
      </w:rPr>
      <w:t>1</w:t>
    </w:r>
    <w:r>
      <w:fldChar w:fldCharType="end"/>
    </w:r>
  </w:p>
  <w:p>
    <w:pPr>
      <w:pStyle w:val="17"/>
      <w:ind w:right="360"/>
    </w:pPr>
    <w:r>
      <w:rPr>
        <w:rFonts w:hint="eastAsia" w:ascii="Times New Roman" w:hAnsi="Times New Roman" w:eastAsia="宋体" w:cs="Times New Roman"/>
        <w:kern w:val="2"/>
        <w:sz w:val="18"/>
        <w:szCs w:val="18"/>
        <w:lang w:val="en-US" w:eastAsia="zh-CN" w:bidi="ar-SA"/>
      </w:rPr>
      <w:pict>
        <v:shape id="图片 15" o:spid="_x0000_s1027" type="#_x0000_t75" style="position:absolute;left:0;margin-left:-45pt;margin-top:42pt;height:24.2pt;width:603pt;rotation:0f;z-index:-251657216;" o:ole="f" fillcolor="#FFFFFF" filled="f" o:preferrelative="t" stroked="f" coordorigin="0,0" coordsize="21600,21600">
          <v:fill on="f" color2="#FFFFFF" focus="0%"/>
          <v:imagedata gain="65536f" blacklevel="0f" gamma="0" o:title="" r:id="rId1"/>
          <o:lock v:ext="edit" position="f" selection="f" grouping="f" rotation="f" cropping="f" text="f" aspectratio="t"/>
        </v:shape>
      </w:pict>
    </w:r>
    <w:r>
      <w:rPr>
        <w:rFonts w:ascii="Times New Roman" w:hAnsi="Times New Roman" w:eastAsia="宋体" w:cs="Times New Roman"/>
        <w:kern w:val="2"/>
        <w:sz w:val="18"/>
        <w:szCs w:val="18"/>
        <w:lang w:val="en-US" w:eastAsia="zh-CN" w:bidi="ar-SA"/>
      </w:rPr>
      <w:pict>
        <v:shape id="Text Box 18" o:spid="_x0000_s1028" type="#_x0000_t202" style="position:absolute;left:0;margin-left:0pt;margin-top:40.25pt;height:23.4pt;width:153pt;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w:txbxContent>
              <w:p>
                <w:pPr>
                  <w:rPr>
                    <w:rFonts w:ascii="楷体_GB2312" w:eastAsia="楷体_GB2312"/>
                    <w:color w:val="FFFFFF"/>
                    <w:sz w:val="18"/>
                    <w:szCs w:val="18"/>
                  </w:rPr>
                </w:pPr>
                <w:r>
                  <w:rPr>
                    <w:rFonts w:hint="eastAsia" w:ascii="楷体_GB2312" w:eastAsia="楷体_GB2312"/>
                    <w:color w:val="FFFFFF"/>
                    <w:sz w:val="18"/>
                    <w:szCs w:val="18"/>
                  </w:rPr>
                  <w:t>敬请参看文末免责条款</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7"/>
      <w:framePr w:wrap="around" w:hAnchor="margin" w:vAnchor="text" w:xAlign="right" w:y="1"/>
      <w:rPr>
        <w:rStyle w:val="26"/>
      </w:rPr>
    </w:pPr>
    <w:r>
      <w:fldChar w:fldCharType="begin"/>
    </w:r>
    <w:r>
      <w:rPr>
        <w:rStyle w:val="26"/>
      </w:rPr>
      <w:instrText xml:space="preserve">PAGE  </w:instrText>
    </w:r>
    <w:r>
      <w:fldChar w:fldCharType="separate"/>
    </w:r>
    <w:r>
      <w:fldChar w:fldCharType="end"/>
    </w:r>
  </w:p>
  <w:p>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8"/>
      <w:pBdr>
        <w:bottom w:val="none" w:color="auto" w:sz="0" w:space="0"/>
      </w:pBdr>
      <w:ind w:right="140"/>
      <w:jc w:val="right"/>
    </w:pPr>
    <w:r>
      <w:rPr>
        <w:rFonts w:ascii="Times New Roman" w:hAnsi="Times New Roman" w:eastAsia="宋体" w:cs="Times New Roman"/>
        <w:kern w:val="2"/>
        <w:sz w:val="52"/>
        <w:szCs w:val="52"/>
        <w:lang w:val="en-US" w:eastAsia="zh-CN" w:bidi="ar-SA"/>
      </w:rPr>
      <w:pict>
        <v:shape id="图片 19" o:spid="_x0000_s1025" type="#_x0000_t75" style="position:absolute;left:0;margin-left:0pt;margin-top:-6.4pt;height:16.75pt;width:117pt;rotation:0f;z-index:251661312;" o:ole="f" fillcolor="#FFFFFF" filled="f" o:preferrelative="t" stroked="f" coordorigin="0,0" coordsize="21600,21600">
          <v:fill on="f" color2="#FFFFFF" focus="0%"/>
          <v:imagedata gain="65536f" blacklevel="0f" gamma="0" o:title="" r:id="rId1"/>
          <o:lock v:ext="edit" position="f" selection="f" grouping="f" rotation="f" cropping="f" text="f" aspectratio="t"/>
        </v:shape>
      </w:pict>
    </w:r>
    <w:r>
      <w:rPr>
        <w:rFonts w:hint="eastAsia"/>
      </w:rPr>
      <w:t>私募基金月报</w:t>
    </w:r>
  </w:p>
  <w:p>
    <w:pPr>
      <w:pStyle w:val="18"/>
      <w:pBdr>
        <w:bottom w:val="none" w:color="auto" w:sz="0" w:space="0"/>
      </w:pBdr>
      <w:ind w:right="-56"/>
      <w:jc w:val="right"/>
      <w:rPr>
        <w:sz w:val="52"/>
        <w:szCs w:val="52"/>
      </w:rPr>
    </w:pPr>
    <w:r>
      <w:rPr>
        <w:rFonts w:ascii="Times New Roman" w:hAnsi="Times New Roman" w:eastAsia="宋体" w:cs="Times New Roman"/>
        <w:kern w:val="2"/>
        <w:sz w:val="52"/>
        <w:szCs w:val="52"/>
        <w:lang w:val="en-US" w:eastAsia="zh-CN" w:bidi="ar-SA"/>
      </w:rPr>
      <w:pict>
        <v:line id="Line 14" o:spid="_x0000_s1026" style="position:absolute;left:0;flip:y;margin-left:0pt;margin-top:5.35pt;height:0.05pt;width:513pt;rotation:0f;z-index:251658240;" o:ole="f" fillcolor="#FFFFFF" filled="f" o:preferrelative="t" stroked="t" coordsize="21600,21600">
          <v:fill on="f" color2="#FFFFFF" focus="0%"/>
          <v:stroke weight="0.5pt" color="#C0C0C0" color2="#FFFFFF" miterlimit="2"/>
          <v:imagedata gain="65536f" blacklevel="0f" gamma="0"/>
          <o:lock v:ext="edit" position="f" selection="f" grouping="f" rotation="f" cropping="f" text="f" aspectratio="f"/>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13289215">
    <w:nsid w:val="4E4733FF"/>
    <w:multiLevelType w:val="multilevel"/>
    <w:tmpl w:val="4E4733FF"/>
    <w:lvl w:ilvl="0" w:tentative="1">
      <w:start w:val="1"/>
      <w:numFmt w:val="bullet"/>
      <w:lvlText w:val=""/>
      <w:lvlJc w:val="left"/>
      <w:pPr>
        <w:ind w:left="704" w:hanging="420"/>
      </w:pPr>
      <w:rPr>
        <w:rFonts w:hint="default" w:ascii="Wingdings" w:hAnsi="Wingdings"/>
      </w:rPr>
    </w:lvl>
    <w:lvl w:ilvl="1" w:tentative="1">
      <w:start w:val="1"/>
      <w:numFmt w:val="bullet"/>
      <w:lvlText w:val=""/>
      <w:lvlJc w:val="left"/>
      <w:pPr>
        <w:ind w:left="1124" w:hanging="420"/>
      </w:pPr>
      <w:rPr>
        <w:rFonts w:hint="default" w:ascii="Wingdings" w:hAnsi="Wingdings"/>
      </w:rPr>
    </w:lvl>
    <w:lvl w:ilvl="2" w:tentative="1">
      <w:start w:val="1"/>
      <w:numFmt w:val="bullet"/>
      <w:lvlText w:val=""/>
      <w:lvlJc w:val="left"/>
      <w:pPr>
        <w:ind w:left="1544" w:hanging="420"/>
      </w:pPr>
      <w:rPr>
        <w:rFonts w:hint="default" w:ascii="Wingdings" w:hAnsi="Wingdings"/>
      </w:rPr>
    </w:lvl>
    <w:lvl w:ilvl="3" w:tentative="1">
      <w:start w:val="1"/>
      <w:numFmt w:val="bullet"/>
      <w:lvlText w:val=""/>
      <w:lvlJc w:val="left"/>
      <w:pPr>
        <w:ind w:left="1964" w:hanging="420"/>
      </w:pPr>
      <w:rPr>
        <w:rFonts w:hint="default" w:ascii="Wingdings" w:hAnsi="Wingdings"/>
      </w:rPr>
    </w:lvl>
    <w:lvl w:ilvl="4" w:tentative="1">
      <w:start w:val="1"/>
      <w:numFmt w:val="bullet"/>
      <w:lvlText w:val=""/>
      <w:lvlJc w:val="left"/>
      <w:pPr>
        <w:ind w:left="2384" w:hanging="420"/>
      </w:pPr>
      <w:rPr>
        <w:rFonts w:hint="default" w:ascii="Wingdings" w:hAnsi="Wingdings"/>
      </w:rPr>
    </w:lvl>
    <w:lvl w:ilvl="5" w:tentative="1">
      <w:start w:val="1"/>
      <w:numFmt w:val="bullet"/>
      <w:lvlText w:val=""/>
      <w:lvlJc w:val="left"/>
      <w:pPr>
        <w:ind w:left="2804" w:hanging="420"/>
      </w:pPr>
      <w:rPr>
        <w:rFonts w:hint="default" w:ascii="Wingdings" w:hAnsi="Wingdings"/>
      </w:rPr>
    </w:lvl>
    <w:lvl w:ilvl="6" w:tentative="1">
      <w:start w:val="1"/>
      <w:numFmt w:val="bullet"/>
      <w:lvlText w:val=""/>
      <w:lvlJc w:val="left"/>
      <w:pPr>
        <w:ind w:left="3224" w:hanging="420"/>
      </w:pPr>
      <w:rPr>
        <w:rFonts w:hint="default" w:ascii="Wingdings" w:hAnsi="Wingdings"/>
      </w:rPr>
    </w:lvl>
    <w:lvl w:ilvl="7" w:tentative="1">
      <w:start w:val="1"/>
      <w:numFmt w:val="bullet"/>
      <w:lvlText w:val=""/>
      <w:lvlJc w:val="left"/>
      <w:pPr>
        <w:ind w:left="3644" w:hanging="420"/>
      </w:pPr>
      <w:rPr>
        <w:rFonts w:hint="default" w:ascii="Wingdings" w:hAnsi="Wingdings"/>
      </w:rPr>
    </w:lvl>
    <w:lvl w:ilvl="8" w:tentative="1">
      <w:start w:val="1"/>
      <w:numFmt w:val="bullet"/>
      <w:lvlText w:val=""/>
      <w:lvlJc w:val="left"/>
      <w:pPr>
        <w:ind w:left="4064" w:hanging="420"/>
      </w:pPr>
      <w:rPr>
        <w:rFonts w:hint="default" w:ascii="Wingdings" w:hAnsi="Wingdings"/>
      </w:rPr>
    </w:lvl>
  </w:abstractNum>
  <w:num w:numId="1">
    <w:abstractNumId w:val="13132892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annotation subject"/>
    <w:lsdException w:unhideWhenUsed="0" w:uiPriority="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ascii="汉仪楷体简" w:hAnsi="Arial Black" w:eastAsia="汉仪楷体简"/>
      <w:b/>
      <w:bCs/>
      <w:color w:val="335199"/>
      <w:kern w:val="0"/>
      <w:sz w:val="16"/>
    </w:rPr>
  </w:style>
  <w:style w:type="paragraph" w:styleId="3">
    <w:name w:val="heading 2"/>
    <w:basedOn w:val="1"/>
    <w:next w:val="1"/>
    <w:qFormat/>
    <w:uiPriority w:val="0"/>
    <w:pPr>
      <w:keepNext/>
      <w:outlineLvl w:val="1"/>
    </w:pPr>
    <w:rPr>
      <w:rFonts w:ascii="汉仪楷体简" w:hAnsi="Arial Black" w:eastAsia="汉仪楷体简"/>
      <w:b/>
      <w:bCs/>
      <w:color w:val="335199"/>
      <w:kern w:val="0"/>
      <w:sz w:val="16"/>
      <w:szCs w:val="13"/>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uiPriority w:val="1"/>
  </w:style>
  <w:style w:type="paragraph" w:styleId="5">
    <w:name w:val="annotation subject"/>
    <w:basedOn w:val="6"/>
    <w:next w:val="6"/>
    <w:semiHidden/>
    <w:uiPriority w:val="0"/>
    <w:rPr>
      <w:b/>
      <w:bCs/>
    </w:rPr>
  </w:style>
  <w:style w:type="paragraph" w:styleId="6">
    <w:name w:val="annotation text"/>
    <w:basedOn w:val="1"/>
    <w:semiHidden/>
    <w:uiPriority w:val="0"/>
    <w:pPr>
      <w:jc w:val="left"/>
    </w:pPr>
  </w:style>
  <w:style w:type="paragraph" w:styleId="7">
    <w:name w:val="Normal Indent"/>
    <w:basedOn w:val="1"/>
    <w:uiPriority w:val="0"/>
    <w:pPr>
      <w:spacing w:beforeLines="50" w:line="288" w:lineRule="auto"/>
      <w:ind w:left="1199" w:leftChars="1199" w:firstLine="200" w:firstLineChars="200"/>
    </w:pPr>
    <w:rPr>
      <w:rFonts w:eastAsia="楷体_GB2312"/>
      <w:szCs w:val="20"/>
    </w:rPr>
  </w:style>
  <w:style w:type="paragraph" w:styleId="8">
    <w:name w:val="caption"/>
    <w:basedOn w:val="1"/>
    <w:next w:val="1"/>
    <w:qFormat/>
    <w:uiPriority w:val="0"/>
    <w:pPr>
      <w:spacing w:before="120" w:line="300" w:lineRule="auto"/>
      <w:ind w:left="2520" w:leftChars="1200"/>
      <w:jc w:val="center"/>
    </w:pPr>
    <w:rPr>
      <w:rFonts w:ascii="楷体_GB2312" w:hAnsi="Arial" w:eastAsia="楷体_GB2312" w:cs="Arial"/>
      <w:b/>
      <w:bCs/>
      <w:sz w:val="20"/>
      <w:szCs w:val="20"/>
    </w:rPr>
  </w:style>
  <w:style w:type="paragraph" w:styleId="9">
    <w:name w:val="Body Text 3"/>
    <w:basedOn w:val="1"/>
    <w:uiPriority w:val="0"/>
    <w:rPr>
      <w:rFonts w:ascii="汉仪楷体简" w:eastAsia="汉仪楷体简"/>
      <w:color w:val="000000"/>
      <w:kern w:val="0"/>
      <w:sz w:val="18"/>
      <w:szCs w:val="16"/>
    </w:rPr>
  </w:style>
  <w:style w:type="paragraph" w:styleId="10">
    <w:name w:val="Body Text"/>
    <w:basedOn w:val="1"/>
    <w:uiPriority w:val="0"/>
    <w:pPr>
      <w:tabs>
        <w:tab w:val="left" w:pos="3045"/>
      </w:tabs>
      <w:ind w:right="7159" w:rightChars="3409"/>
    </w:pPr>
  </w:style>
  <w:style w:type="paragraph" w:styleId="11">
    <w:name w:val="Body Text Indent"/>
    <w:basedOn w:val="1"/>
    <w:uiPriority w:val="0"/>
    <w:pPr>
      <w:ind w:left="3150" w:leftChars="1500"/>
    </w:pPr>
    <w:rPr>
      <w:rFonts w:ascii="汉仪楷体简" w:eastAsia="汉仪楷体简"/>
      <w:color w:val="000000"/>
      <w:kern w:val="0"/>
      <w:sz w:val="18"/>
      <w:szCs w:val="16"/>
    </w:rPr>
  </w:style>
  <w:style w:type="paragraph" w:styleId="12">
    <w:name w:val="Block Text"/>
    <w:basedOn w:val="1"/>
    <w:uiPriority w:val="0"/>
    <w:pPr>
      <w:ind w:left="3261" w:leftChars="1553" w:right="55" w:rightChars="26" w:firstLine="1"/>
      <w:jc w:val="left"/>
    </w:pPr>
    <w:rPr>
      <w:rFonts w:eastAsia="汉仪大黑简"/>
      <w:color w:val="000000"/>
      <w:sz w:val="18"/>
    </w:rPr>
  </w:style>
  <w:style w:type="paragraph" w:styleId="13">
    <w:name w:val="Date"/>
    <w:basedOn w:val="1"/>
    <w:next w:val="1"/>
    <w:uiPriority w:val="0"/>
    <w:pPr>
      <w:autoSpaceDE w:val="0"/>
      <w:autoSpaceDN w:val="0"/>
      <w:adjustRightInd w:val="0"/>
      <w:textAlignment w:val="baseline"/>
    </w:pPr>
    <w:rPr>
      <w:rFonts w:ascii="宋体"/>
      <w:sz w:val="28"/>
      <w:szCs w:val="20"/>
    </w:rPr>
  </w:style>
  <w:style w:type="paragraph" w:styleId="14">
    <w:name w:val="Body Text Indent 2"/>
    <w:basedOn w:val="1"/>
    <w:uiPriority w:val="0"/>
    <w:pPr>
      <w:autoSpaceDE w:val="0"/>
      <w:autoSpaceDN w:val="0"/>
      <w:adjustRightInd w:val="0"/>
      <w:ind w:left="2520" w:leftChars="1200" w:firstLine="360" w:firstLineChars="150"/>
      <w:jc w:val="left"/>
    </w:pPr>
    <w:rPr>
      <w:rFonts w:ascii="楷体_GB2312" w:eastAsia="楷体_GB2312"/>
      <w:kern w:val="0"/>
      <w:sz w:val="24"/>
    </w:rPr>
  </w:style>
  <w:style w:type="paragraph" w:styleId="15">
    <w:name w:val="endnote text"/>
    <w:basedOn w:val="1"/>
    <w:semiHidden/>
    <w:uiPriority w:val="0"/>
    <w:pPr>
      <w:snapToGrid w:val="0"/>
      <w:jc w:val="left"/>
    </w:pPr>
  </w:style>
  <w:style w:type="paragraph" w:styleId="16">
    <w:name w:val="Balloon Text"/>
    <w:basedOn w:val="1"/>
    <w:semiHidden/>
    <w:uiPriority w:val="0"/>
    <w:rPr>
      <w:sz w:val="18"/>
      <w:szCs w:val="18"/>
    </w:rPr>
  </w:style>
  <w:style w:type="paragraph" w:styleId="17">
    <w:name w:val="footer"/>
    <w:basedOn w:val="1"/>
    <w:uiPriority w:val="0"/>
    <w:pPr>
      <w:tabs>
        <w:tab w:val="center" w:pos="4153"/>
        <w:tab w:val="right" w:pos="8306"/>
      </w:tabs>
      <w:snapToGrid w:val="0"/>
      <w:jc w:val="left"/>
    </w:pPr>
    <w:rPr>
      <w:sz w:val="18"/>
      <w:szCs w:val="18"/>
    </w:rPr>
  </w:style>
  <w:style w:type="paragraph" w:styleId="1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9">
    <w:name w:val="footnote text"/>
    <w:basedOn w:val="1"/>
    <w:link w:val="41"/>
    <w:uiPriority w:val="0"/>
    <w:pPr>
      <w:snapToGrid w:val="0"/>
      <w:jc w:val="left"/>
    </w:pPr>
    <w:rPr>
      <w:sz w:val="18"/>
      <w:szCs w:val="18"/>
    </w:rPr>
  </w:style>
  <w:style w:type="paragraph" w:styleId="20">
    <w:name w:val="Body Text Indent 3"/>
    <w:basedOn w:val="1"/>
    <w:uiPriority w:val="0"/>
    <w:pPr>
      <w:spacing w:line="320" w:lineRule="exact"/>
      <w:ind w:left="50" w:leftChars="24" w:firstLine="485" w:firstLineChars="202"/>
    </w:pPr>
    <w:rPr>
      <w:rFonts w:ascii="楷体_GB2312" w:eastAsia="楷体_GB2312"/>
      <w:color w:val="000000"/>
      <w:sz w:val="24"/>
    </w:rPr>
  </w:style>
  <w:style w:type="paragraph" w:styleId="21">
    <w:name w:val="Body Text 2"/>
    <w:basedOn w:val="1"/>
    <w:uiPriority w:val="0"/>
    <w:rPr>
      <w:rFonts w:eastAsia="汉仪楷体简"/>
      <w:kern w:val="0"/>
      <w:sz w:val="18"/>
    </w:rPr>
  </w:style>
  <w:style w:type="paragraph" w:styleId="22">
    <w:name w:val="Normal (Web)"/>
    <w:basedOn w:val="1"/>
    <w:uiPriority w:val="99"/>
    <w:pPr>
      <w:widowControl/>
      <w:spacing w:before="100" w:beforeAutospacing="1" w:after="100" w:afterAutospacing="1"/>
      <w:jc w:val="left"/>
    </w:pPr>
    <w:rPr>
      <w:rFonts w:ascii="宋体" w:hAnsi="宋体" w:cs="宋体"/>
      <w:kern w:val="0"/>
      <w:sz w:val="24"/>
    </w:rPr>
  </w:style>
  <w:style w:type="character" w:styleId="24">
    <w:name w:val="Strong"/>
    <w:qFormat/>
    <w:uiPriority w:val="22"/>
    <w:rPr>
      <w:b/>
      <w:bCs/>
    </w:rPr>
  </w:style>
  <w:style w:type="character" w:styleId="25">
    <w:name w:val="endnote reference"/>
    <w:semiHidden/>
    <w:uiPriority w:val="0"/>
    <w:rPr>
      <w:vertAlign w:val="superscript"/>
    </w:rPr>
  </w:style>
  <w:style w:type="character" w:styleId="26">
    <w:name w:val="page number"/>
    <w:basedOn w:val="23"/>
    <w:uiPriority w:val="0"/>
    <w:rPr/>
  </w:style>
  <w:style w:type="character" w:styleId="27">
    <w:name w:val="Hyperlink"/>
    <w:uiPriority w:val="0"/>
    <w:rPr>
      <w:color w:val="0000FF"/>
      <w:u w:val="single"/>
    </w:rPr>
  </w:style>
  <w:style w:type="character" w:styleId="28">
    <w:name w:val="footnote reference"/>
    <w:uiPriority w:val="0"/>
    <w:rPr>
      <w:vertAlign w:val="superscript"/>
    </w:rPr>
  </w:style>
  <w:style w:type="paragraph" w:customStyle="1" w:styleId="29">
    <w:name w:val="Char Char Char Char Char"/>
    <w:basedOn w:val="1"/>
    <w:uiPriority w:val="0"/>
    <w:pPr>
      <w:tabs>
        <w:tab w:val="left" w:pos="840"/>
      </w:tabs>
      <w:ind w:left="840" w:hanging="360"/>
    </w:pPr>
    <w:rPr>
      <w:sz w:val="24"/>
    </w:rPr>
  </w:style>
  <w:style w:type="paragraph" w:customStyle="1" w:styleId="30">
    <w:name w:val="HTML Top of Form"/>
    <w:basedOn w:val="1"/>
    <w:next w:val="1"/>
    <w:hidden/>
    <w:uiPriority w:val="0"/>
    <w:pPr>
      <w:widowControl/>
      <w:pBdr>
        <w:bottom w:val="single" w:color="auto" w:sz="6" w:space="1"/>
      </w:pBdr>
      <w:jc w:val="center"/>
    </w:pPr>
    <w:rPr>
      <w:rFonts w:ascii="Arial" w:hAnsi="Arial" w:cs="Arial"/>
      <w:vanish/>
      <w:kern w:val="0"/>
      <w:sz w:val="16"/>
      <w:szCs w:val="16"/>
    </w:rPr>
  </w:style>
  <w:style w:type="paragraph" w:customStyle="1" w:styleId="31">
    <w:name w:val="HTML Bottom of Form"/>
    <w:basedOn w:val="1"/>
    <w:next w:val="1"/>
    <w:hidden/>
    <w:uiPriority w:val="0"/>
    <w:pPr>
      <w:widowControl/>
      <w:pBdr>
        <w:top w:val="single" w:color="auto" w:sz="6" w:space="1"/>
      </w:pBdr>
      <w:jc w:val="center"/>
    </w:pPr>
    <w:rPr>
      <w:rFonts w:ascii="Arial" w:hAnsi="Arial" w:cs="Arial"/>
      <w:vanish/>
      <w:kern w:val="0"/>
      <w:sz w:val="16"/>
      <w:szCs w:val="16"/>
    </w:rPr>
  </w:style>
  <w:style w:type="paragraph" w:customStyle="1" w:styleId="32">
    <w:name w:val="Default"/>
    <w:uiPriority w:val="0"/>
    <w:pPr>
      <w:widowControl w:val="0"/>
      <w:autoSpaceDE w:val="0"/>
      <w:autoSpaceDN w:val="0"/>
      <w:adjustRightInd w:val="0"/>
    </w:pPr>
    <w:rPr>
      <w:rFonts w:ascii="宋体" w:cs="宋体"/>
      <w:color w:val="000000"/>
      <w:sz w:val="24"/>
      <w:szCs w:val="24"/>
    </w:rPr>
  </w:style>
  <w:style w:type="paragraph" w:customStyle="1" w:styleId="33">
    <w:name w:val="Char Char Char Char Char Char Char"/>
    <w:basedOn w:val="1"/>
    <w:uiPriority w:val="0"/>
    <w:pPr>
      <w:tabs>
        <w:tab w:val="left" w:pos="840"/>
      </w:tabs>
      <w:ind w:left="840" w:hanging="360"/>
    </w:pPr>
    <w:rPr>
      <w:sz w:val="24"/>
    </w:rPr>
  </w:style>
  <w:style w:type="paragraph" w:customStyle="1" w:styleId="34">
    <w:name w:val="times new romans"/>
    <w:basedOn w:val="1"/>
    <w:uiPriority w:val="0"/>
    <w:pPr>
      <w:widowControl/>
      <w:jc w:val="left"/>
    </w:pPr>
    <w:rPr>
      <w:rFonts w:ascii="宋体" w:hAnsi="宋体" w:cs="宋体"/>
      <w:color w:val="000000"/>
      <w:kern w:val="0"/>
      <w:szCs w:val="21"/>
    </w:rPr>
  </w:style>
  <w:style w:type="paragraph" w:customStyle="1" w:styleId="35">
    <w:name w:val="List Paragraph"/>
    <w:basedOn w:val="1"/>
    <w:qFormat/>
    <w:uiPriority w:val="34"/>
    <w:pPr>
      <w:ind w:firstLine="420" w:firstLineChars="200"/>
    </w:pPr>
  </w:style>
  <w:style w:type="paragraph" w:customStyle="1" w:styleId="36">
    <w:name w:val="Char Char Char Char Char Char Char Char Char Char Char Char1 Char Char Char Char Char Char"/>
    <w:basedOn w:val="1"/>
    <w:uiPriority w:val="0"/>
    <w:pPr>
      <w:tabs>
        <w:tab w:val="left" w:pos="840"/>
      </w:tabs>
      <w:ind w:left="840" w:hanging="360"/>
    </w:pPr>
    <w:rPr>
      <w:sz w:val="24"/>
    </w:rPr>
  </w:style>
  <w:style w:type="character" w:customStyle="1" w:styleId="37">
    <w:name w:val="已访问的超链接1"/>
    <w:uiPriority w:val="0"/>
    <w:rPr>
      <w:color w:val="800080"/>
      <w:u w:val="single"/>
    </w:rPr>
  </w:style>
  <w:style w:type="character" w:customStyle="1" w:styleId="38">
    <w:name w:val="style12"/>
    <w:basedOn w:val="23"/>
    <w:uiPriority w:val="0"/>
    <w:rPr/>
  </w:style>
  <w:style w:type="character" w:customStyle="1" w:styleId="39">
    <w:name w:val="style13"/>
    <w:basedOn w:val="23"/>
    <w:uiPriority w:val="0"/>
    <w:rPr/>
  </w:style>
  <w:style w:type="character" w:customStyle="1" w:styleId="40">
    <w:name w:val="tt11"/>
    <w:basedOn w:val="23"/>
    <w:uiPriority w:val="0"/>
    <w:rPr/>
  </w:style>
  <w:style w:type="character" w:customStyle="1" w:styleId="41">
    <w:name w:val="脚注文本 Char"/>
    <w:link w:val="19"/>
    <w:uiPriority w:val="0"/>
    <w:rPr>
      <w:rFonts w:eastAsia="宋体"/>
      <w:kern w:val="2"/>
      <w:sz w:val="18"/>
      <w:szCs w:val="18"/>
      <w:lang w:val="en-US" w:eastAsia="zh-CN" w:bidi="ar-SA"/>
    </w:rPr>
  </w:style>
  <w:style w:type="character" w:customStyle="1" w:styleId="42">
    <w:name w:val="apple-style-span"/>
    <w:basedOn w:val="23"/>
    <w:uiPriority w:val="0"/>
    <w:rPr/>
  </w:style>
  <w:style w:type="character" w:customStyle="1" w:styleId="43">
    <w:name w:val="f12b"/>
    <w:basedOn w:val="23"/>
    <w:uiPriority w:val="0"/>
    <w:rPr/>
  </w:style>
  <w:style w:type="character" w:customStyle="1" w:styleId="44">
    <w:name w:val="style121"/>
    <w:uiPriority w:val="0"/>
    <w:rPr>
      <w:rFonts w:hint="eastAsia" w:ascii="黑体" w:eastAsia="黑体"/>
      <w:sz w:val="24"/>
      <w:szCs w:val="24"/>
    </w:rPr>
  </w:style>
  <w:style w:type="character" w:customStyle="1" w:styleId="45">
    <w:name w:val="txtcontent1"/>
    <w:basedOn w:val="23"/>
    <w:uiPriority w:val="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image" Target="media/image5.emf"/><Relationship Id="rId11" Type="http://schemas.openxmlformats.org/officeDocument/2006/relationships/image" Target="media/image6.emf"/><Relationship Id="rId12" Type="http://schemas.openxmlformats.org/officeDocument/2006/relationships/image" Target="media/image7.emf"/><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customXml" Target="../customXml/item1.xml"/><Relationship Id="rId17"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theme" Target="theme/theme1.xml"/><Relationship Id="rId8" Type="http://schemas.openxmlformats.org/officeDocument/2006/relationships/image" Target="media/image3.png"/><Relationship Id="rId9"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Howbuy</Company>
  <Pages>9</Pages>
  <Words>855</Words>
  <Characters>4880</Characters>
  <Lines>40</Lines>
  <Paragraphs>11</Paragraphs>
  <TotalTime>0</TotalTime>
  <ScaleCrop>false</ScaleCrop>
  <LinksUpToDate>false</LinksUpToDate>
  <CharactersWithSpaces>0</CharactersWithSpaces>
  <Application>WPS Office 个人版_9.1.0.4468_{F1E327BC-269C-435d-A152-05C5408002CA}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2014-05-12T06:12:00Z</dcterms:created>
  <dc:creator>yan.bai</dc:creator>
  <cp:lastModifiedBy>shijie.zhu</cp:lastModifiedBy>
  <cp:lastPrinted>2012-05-07T01:27:00Z</cp:lastPrinted>
  <dcterms:modified xsi:type="dcterms:W3CDTF">2014-05-12T07:08:40Z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