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AE3A97" w:rsidRDefault="00DF0E10" w:rsidP="00343E0A">
      <w:pPr>
        <w:widowControl/>
        <w:spacing w:after="120"/>
        <w:ind w:left="3430"/>
        <w:rPr>
          <w:rFonts w:asciiTheme="minorEastAsia" w:hAnsiTheme="minorEastAsia"/>
          <w:b/>
          <w:bCs/>
          <w:color w:val="0070C0"/>
          <w:kern w:val="0"/>
          <w:sz w:val="24"/>
          <w:szCs w:val="24"/>
          <w:lang w:val="en-GB"/>
        </w:rPr>
      </w:pPr>
      <w:r>
        <w:rPr>
          <w:rFonts w:asciiTheme="minorEastAsia" w:hAnsiTheme="minorEastAsia" w:hint="eastAsia"/>
          <w:b/>
          <w:bCs/>
          <w:color w:val="0070C0"/>
          <w:kern w:val="0"/>
          <w:sz w:val="24"/>
          <w:szCs w:val="24"/>
          <w:lang w:val="en-GB"/>
        </w:rPr>
        <w:t>导语</w:t>
      </w:r>
    </w:p>
    <w:p w:rsidR="00325810" w:rsidRPr="00F245D1" w:rsidRDefault="00325810" w:rsidP="00F245D1">
      <w:pPr>
        <w:widowControl/>
        <w:spacing w:after="120"/>
        <w:ind w:left="3430" w:firstLineChars="200" w:firstLine="422"/>
        <w:rPr>
          <w:rFonts w:ascii="Arial" w:hAnsi="Arial" w:cs="Arial"/>
          <w:b/>
          <w:bCs/>
          <w:kern w:val="0"/>
          <w:szCs w:val="21"/>
          <w:lang w:val="en-GB"/>
        </w:rPr>
      </w:pPr>
      <w:r w:rsidRPr="00F245D1">
        <w:rPr>
          <w:rFonts w:ascii="Arial" w:hAnsi="Arial" w:cs="Arial"/>
          <w:b/>
          <w:bCs/>
          <w:kern w:val="0"/>
          <w:szCs w:val="21"/>
          <w:lang w:val="en-GB"/>
        </w:rPr>
        <w:t>2014</w:t>
      </w:r>
      <w:r w:rsidRPr="00F245D1">
        <w:rPr>
          <w:rFonts w:asciiTheme="minorEastAsia" w:hAnsiTheme="minorEastAsia" w:hint="eastAsia"/>
          <w:b/>
          <w:bCs/>
          <w:kern w:val="0"/>
          <w:szCs w:val="21"/>
          <w:lang w:val="en-GB"/>
        </w:rPr>
        <w:t>年在</w:t>
      </w:r>
      <w:r w:rsidRPr="00F245D1">
        <w:rPr>
          <w:rFonts w:ascii="Arial" w:hAnsi="Arial" w:cs="Arial" w:hint="eastAsia"/>
          <w:b/>
          <w:bCs/>
          <w:kern w:val="0"/>
          <w:szCs w:val="21"/>
          <w:lang w:val="en-GB"/>
        </w:rPr>
        <w:t>企业盈利增长稳定但有限、市场利率居高不下、流动性供应并不乐观等多重因素压制下，</w:t>
      </w:r>
      <w:r w:rsidRPr="00F245D1">
        <w:rPr>
          <w:rFonts w:ascii="Arial" w:hAnsi="Arial" w:cs="Arial"/>
          <w:b/>
          <w:bCs/>
          <w:kern w:val="0"/>
          <w:szCs w:val="21"/>
          <w:lang w:val="en-GB"/>
        </w:rPr>
        <w:t>A</w:t>
      </w:r>
      <w:r w:rsidRPr="00F245D1">
        <w:rPr>
          <w:rFonts w:ascii="Arial" w:hAnsi="Arial" w:cs="Arial" w:hint="eastAsia"/>
          <w:b/>
          <w:bCs/>
          <w:kern w:val="0"/>
          <w:szCs w:val="21"/>
          <w:lang w:val="en-GB"/>
        </w:rPr>
        <w:t>股市场虽有估值优势，但难现显著的系统性机会。</w:t>
      </w:r>
      <w:r w:rsidRPr="00F245D1">
        <w:rPr>
          <w:rFonts w:ascii="Arial" w:hAnsi="Arial" w:cs="Arial"/>
          <w:b/>
          <w:bCs/>
          <w:kern w:val="0"/>
          <w:szCs w:val="21"/>
          <w:lang w:val="en-GB"/>
        </w:rPr>
        <w:t>明</w:t>
      </w:r>
      <w:r w:rsidRPr="00F245D1">
        <w:rPr>
          <w:rFonts w:ascii="Arial" w:hAnsi="Arial" w:cs="Arial" w:hint="eastAsia"/>
          <w:b/>
          <w:bCs/>
          <w:kern w:val="0"/>
          <w:szCs w:val="21"/>
          <w:lang w:val="en-GB"/>
        </w:rPr>
        <w:t>年将是主题投资年，但改革红利释放更多将是缓慢而长期的过程，在潜在受益行业</w:t>
      </w:r>
      <w:r w:rsidRPr="00F245D1">
        <w:rPr>
          <w:rFonts w:ascii="Arial" w:hAnsi="Arial" w:cs="Arial"/>
          <w:b/>
          <w:bCs/>
          <w:kern w:val="0"/>
          <w:szCs w:val="21"/>
          <w:lang w:val="en-GB"/>
        </w:rPr>
        <w:t>/</w:t>
      </w:r>
      <w:r w:rsidRPr="00F245D1">
        <w:rPr>
          <w:rFonts w:ascii="Arial" w:hAnsi="Arial" w:cs="Arial" w:hint="eastAsia"/>
          <w:b/>
          <w:bCs/>
          <w:kern w:val="0"/>
          <w:szCs w:val="21"/>
          <w:lang w:val="en-GB"/>
        </w:rPr>
        <w:t>企业估值相对较高的背景下，政策一时的偏差或低于预期都将带来市场情绪剧烈波动。因此，无论是主题机会演绎还是风险释放，预计都将呈现频繁、脉冲式特征，各板块间轮动亦将提速，</w:t>
      </w:r>
      <w:r w:rsidRPr="00F245D1">
        <w:rPr>
          <w:rFonts w:hint="eastAsia"/>
          <w:b/>
        </w:rPr>
        <w:t>对投资的机会把握能力提出更高要求。</w:t>
      </w:r>
    </w:p>
    <w:p w:rsidR="007E52A3" w:rsidRPr="00325810" w:rsidRDefault="00325810" w:rsidP="00F245D1">
      <w:pPr>
        <w:widowControl/>
        <w:spacing w:after="120"/>
        <w:ind w:left="3430" w:firstLineChars="200" w:firstLine="422"/>
        <w:rPr>
          <w:rFonts w:ascii="Arial" w:hAnsi="Arial" w:cs="Arial"/>
          <w:bCs/>
          <w:kern w:val="0"/>
          <w:szCs w:val="21"/>
          <w:lang w:val="en-GB"/>
        </w:rPr>
      </w:pPr>
      <w:r w:rsidRPr="00F245D1">
        <w:rPr>
          <w:rFonts w:ascii="Arial" w:hAnsi="Arial" w:cs="Arial" w:hint="eastAsia"/>
          <w:b/>
          <w:bCs/>
          <w:kern w:val="0"/>
          <w:szCs w:val="21"/>
          <w:lang w:val="en-GB"/>
        </w:rPr>
        <w:t>管理人择时能力（包括大类资产配置以及主题间的灵活切换）在</w:t>
      </w:r>
      <w:r w:rsidRPr="00F245D1">
        <w:rPr>
          <w:rFonts w:ascii="Arial" w:hAnsi="Arial" w:cs="Arial" w:hint="eastAsia"/>
          <w:b/>
          <w:bCs/>
          <w:kern w:val="0"/>
          <w:szCs w:val="21"/>
          <w:lang w:val="en-GB"/>
        </w:rPr>
        <w:t>2014</w:t>
      </w:r>
      <w:r w:rsidRPr="00F245D1">
        <w:rPr>
          <w:rFonts w:ascii="Arial" w:hAnsi="Arial" w:cs="Arial" w:hint="eastAsia"/>
          <w:b/>
          <w:bCs/>
          <w:kern w:val="0"/>
          <w:szCs w:val="21"/>
          <w:lang w:val="en-GB"/>
        </w:rPr>
        <w:t>年将迎来用武之地，甚至有望成为超额收益贡献主力。</w:t>
      </w:r>
      <w:r w:rsidR="009A5288" w:rsidRPr="00F245D1">
        <w:rPr>
          <w:rFonts w:ascii="Arial" w:hAnsi="Arial" w:cs="Arial"/>
          <w:b/>
          <w:bCs/>
          <w:kern w:val="0"/>
          <w:szCs w:val="21"/>
          <w:lang w:val="en-GB"/>
        </w:rPr>
        <w:t>明</w:t>
      </w:r>
      <w:r w:rsidRPr="00F245D1">
        <w:rPr>
          <w:rFonts w:ascii="Arial" w:hAnsi="Arial" w:cs="Arial" w:hint="eastAsia"/>
          <w:b/>
          <w:bCs/>
          <w:kern w:val="0"/>
          <w:szCs w:val="21"/>
          <w:lang w:val="en-GB"/>
        </w:rPr>
        <w:t>年对冲基金投资建议以择时能力为核心参考，选择能力作为辅助</w:t>
      </w:r>
      <w:r w:rsidR="009A5288" w:rsidRPr="00F245D1">
        <w:rPr>
          <w:rFonts w:ascii="Arial" w:hAnsi="Arial" w:cs="Arial" w:hint="eastAsia"/>
          <w:b/>
          <w:bCs/>
          <w:kern w:val="0"/>
          <w:szCs w:val="21"/>
          <w:lang w:val="en-GB"/>
        </w:rPr>
        <w:t>（</w:t>
      </w:r>
      <w:r w:rsidR="00B3416D" w:rsidRPr="00F245D1">
        <w:rPr>
          <w:rFonts w:ascii="Arial" w:hAnsi="Arial" w:cs="Arial" w:hint="eastAsia"/>
          <w:b/>
          <w:bCs/>
          <w:kern w:val="0"/>
          <w:szCs w:val="21"/>
          <w:lang w:val="en-GB"/>
        </w:rPr>
        <w:t>可重点</w:t>
      </w:r>
      <w:r w:rsidR="009A5288" w:rsidRPr="00F245D1">
        <w:rPr>
          <w:rFonts w:ascii="Arial" w:hAnsi="Arial" w:cs="Arial" w:hint="eastAsia"/>
          <w:b/>
          <w:bCs/>
          <w:kern w:val="0"/>
          <w:szCs w:val="21"/>
          <w:lang w:val="en-GB"/>
        </w:rPr>
        <w:t>选择经过市场长期检验者），并</w:t>
      </w:r>
      <w:r w:rsidRPr="00F245D1">
        <w:rPr>
          <w:rFonts w:ascii="Arial" w:hAnsi="Arial" w:cs="Arial" w:hint="eastAsia"/>
          <w:b/>
          <w:bCs/>
          <w:kern w:val="0"/>
          <w:szCs w:val="21"/>
          <w:lang w:val="en-GB"/>
        </w:rPr>
        <w:t>顺应主题投资年的特点，</w:t>
      </w:r>
      <w:r w:rsidR="009A5288" w:rsidRPr="00F245D1">
        <w:rPr>
          <w:rFonts w:hint="eastAsia"/>
          <w:b/>
        </w:rPr>
        <w:t>增加</w:t>
      </w:r>
      <w:r w:rsidR="00EA7197" w:rsidRPr="00F245D1">
        <w:rPr>
          <w:rFonts w:hint="eastAsia"/>
          <w:b/>
        </w:rPr>
        <w:t>对事件敏感度高、</w:t>
      </w:r>
      <w:r w:rsidR="009A5288" w:rsidRPr="00F245D1">
        <w:rPr>
          <w:rFonts w:hint="eastAsia"/>
          <w:b/>
        </w:rPr>
        <w:t>偏好</w:t>
      </w:r>
      <w:r w:rsidR="009A5288" w:rsidRPr="00F245D1">
        <w:rPr>
          <w:rFonts w:ascii="Arial" w:hAnsi="Arial" w:cs="Arial" w:hint="eastAsia"/>
          <w:b/>
          <w:bCs/>
          <w:kern w:val="0"/>
          <w:szCs w:val="21"/>
          <w:lang w:val="en-GB"/>
        </w:rPr>
        <w:t>大消费等领域</w:t>
      </w:r>
      <w:r w:rsidR="009A5288" w:rsidRPr="00F245D1">
        <w:rPr>
          <w:rFonts w:hint="eastAsia"/>
          <w:b/>
        </w:rPr>
        <w:t>产品的配置比例以提高组合进攻性，同时根据主题轮动情况</w:t>
      </w:r>
      <w:r w:rsidR="004D39C0" w:rsidRPr="00F245D1">
        <w:rPr>
          <w:rFonts w:hint="eastAsia"/>
          <w:b/>
        </w:rPr>
        <w:t>对组合进行</w:t>
      </w:r>
      <w:r w:rsidR="009A5288" w:rsidRPr="00F245D1">
        <w:rPr>
          <w:rFonts w:hint="eastAsia"/>
          <w:b/>
        </w:rPr>
        <w:t>动态调整</w:t>
      </w:r>
      <w:r w:rsidR="004D39C0" w:rsidRPr="00F245D1">
        <w:rPr>
          <w:rFonts w:hint="eastAsia"/>
          <w:b/>
        </w:rPr>
        <w:t>。风控方面，可根据自身风险偏好情况采取“多选分散持有</w:t>
      </w:r>
      <w:r w:rsidR="004D39C0" w:rsidRPr="00F245D1">
        <w:rPr>
          <w:rFonts w:hint="eastAsia"/>
          <w:b/>
        </w:rPr>
        <w:t>+</w:t>
      </w:r>
      <w:r w:rsidR="004D39C0" w:rsidRPr="00F245D1">
        <w:rPr>
          <w:rFonts w:hint="eastAsia"/>
          <w:b/>
        </w:rPr>
        <w:t>策略平衡搭配”的方法，通过组合中产品数量、投资偏好、风格特征、风险水平和投资策略等的多样化，来达到降低组合投资风险敞口的目的。</w:t>
      </w:r>
    </w:p>
    <w:p w:rsidR="00BC698D" w:rsidRPr="0023472C" w:rsidRDefault="002C2DD4" w:rsidP="00343E0A">
      <w:pPr>
        <w:widowControl/>
        <w:spacing w:after="120"/>
        <w:ind w:left="3430"/>
        <w:rPr>
          <w:rFonts w:ascii="Arial" w:hAnsi="Arial"/>
          <w:b/>
          <w:bCs/>
          <w:color w:val="0070C0"/>
          <w:kern w:val="0"/>
          <w:szCs w:val="21"/>
          <w:lang w:val="en-GB"/>
        </w:rPr>
      </w:pPr>
      <w:r w:rsidRPr="00EF17C0">
        <w:rPr>
          <w:rFonts w:asciiTheme="minorEastAsia" w:hAnsiTheme="minorEastAsia" w:hint="eastAsia"/>
          <w:b/>
          <w:bCs/>
          <w:color w:val="0070C0"/>
          <w:kern w:val="0"/>
          <w:sz w:val="24"/>
          <w:szCs w:val="24"/>
          <w:lang w:val="en-GB"/>
        </w:rPr>
        <w:t>一、</w:t>
      </w:r>
      <w:r w:rsidR="005B2DF0">
        <w:rPr>
          <w:rFonts w:ascii="Arial" w:eastAsia="楷体_GB2312" w:hAnsi="Arial" w:hint="eastAsia"/>
          <w:b/>
          <w:bCs/>
          <w:color w:val="0070C0"/>
          <w:kern w:val="0"/>
          <w:sz w:val="24"/>
          <w:szCs w:val="24"/>
          <w:lang w:val="en-GB"/>
        </w:rPr>
        <w:t>2013</w:t>
      </w:r>
      <w:r w:rsidR="005B2DF0" w:rsidRPr="00AE3A97">
        <w:rPr>
          <w:rFonts w:asciiTheme="minorEastAsia" w:hAnsiTheme="minorEastAsia" w:hint="eastAsia"/>
          <w:b/>
          <w:bCs/>
          <w:color w:val="0070C0"/>
          <w:kern w:val="0"/>
          <w:sz w:val="24"/>
          <w:szCs w:val="24"/>
          <w:lang w:val="en-GB"/>
        </w:rPr>
        <w:t>年对冲基金</w:t>
      </w:r>
      <w:r w:rsidR="00A070A5">
        <w:rPr>
          <w:rFonts w:asciiTheme="minorEastAsia" w:hAnsiTheme="minorEastAsia" w:hint="eastAsia"/>
          <w:b/>
          <w:bCs/>
          <w:color w:val="0070C0"/>
          <w:kern w:val="0"/>
          <w:sz w:val="24"/>
          <w:szCs w:val="24"/>
          <w:lang w:val="en-GB"/>
        </w:rPr>
        <w:t>盘点</w:t>
      </w:r>
      <w:r w:rsidR="005B2DF0" w:rsidRPr="00AE3A97">
        <w:rPr>
          <w:rFonts w:asciiTheme="minorEastAsia" w:hAnsiTheme="minorEastAsia" w:hint="eastAsia"/>
          <w:b/>
          <w:bCs/>
          <w:color w:val="0070C0"/>
          <w:kern w:val="0"/>
          <w:sz w:val="24"/>
          <w:szCs w:val="24"/>
          <w:lang w:val="en-GB"/>
        </w:rPr>
        <w:t>：</w:t>
      </w:r>
      <w:r>
        <w:rPr>
          <w:rFonts w:asciiTheme="minorEastAsia" w:hAnsiTheme="minorEastAsia"/>
          <w:b/>
          <w:bCs/>
          <w:color w:val="0070C0"/>
          <w:kern w:val="0"/>
          <w:sz w:val="24"/>
          <w:szCs w:val="24"/>
          <w:lang w:val="en-GB"/>
        </w:rPr>
        <w:t>“</w:t>
      </w:r>
      <w:r w:rsidR="00437970" w:rsidRPr="00AE3A97">
        <w:rPr>
          <w:rFonts w:asciiTheme="minorEastAsia" w:hAnsiTheme="minorEastAsia" w:hint="eastAsia"/>
          <w:b/>
          <w:bCs/>
          <w:color w:val="0070C0"/>
          <w:kern w:val="0"/>
          <w:sz w:val="24"/>
          <w:szCs w:val="24"/>
          <w:lang w:val="en-GB"/>
        </w:rPr>
        <w:t>胆大”“心细</w:t>
      </w:r>
      <w:r w:rsidRPr="002C2DD4">
        <w:rPr>
          <w:rFonts w:asciiTheme="minorEastAsia" w:hAnsiTheme="minorEastAsia" w:hint="eastAsia"/>
          <w:b/>
          <w:bCs/>
          <w:color w:val="0070C0"/>
          <w:kern w:val="0"/>
          <w:sz w:val="24"/>
          <w:szCs w:val="24"/>
          <w:lang w:val="en-GB"/>
        </w:rPr>
        <w:t>”</w:t>
      </w:r>
      <w:r w:rsidR="0023472C" w:rsidRPr="00AE3A97">
        <w:rPr>
          <w:rFonts w:asciiTheme="minorEastAsia" w:hAnsiTheme="minorEastAsia" w:hint="eastAsia"/>
          <w:b/>
          <w:bCs/>
          <w:color w:val="0070C0"/>
          <w:kern w:val="0"/>
          <w:sz w:val="24"/>
          <w:szCs w:val="24"/>
          <w:lang w:val="en-GB"/>
        </w:rPr>
        <w:t>称雄，</w:t>
      </w:r>
      <w:r w:rsidR="0036245A" w:rsidRPr="00AE3A97">
        <w:rPr>
          <w:rFonts w:asciiTheme="minorEastAsia" w:hAnsiTheme="minorEastAsia" w:hint="eastAsia"/>
          <w:b/>
          <w:bCs/>
          <w:color w:val="0070C0"/>
          <w:kern w:val="0"/>
          <w:sz w:val="24"/>
          <w:szCs w:val="24"/>
          <w:lang w:val="en-GB"/>
        </w:rPr>
        <w:t>定增策略跃进</w:t>
      </w:r>
    </w:p>
    <w:p w:rsidR="00BC698D" w:rsidRPr="00AE3A97" w:rsidRDefault="00D832AF" w:rsidP="00343E0A">
      <w:pPr>
        <w:widowControl/>
        <w:spacing w:after="120"/>
        <w:ind w:left="3430"/>
        <w:rPr>
          <w:rFonts w:asciiTheme="minorEastAsia" w:hAnsiTheme="minorEastAsia" w:cs="Times New Roman"/>
          <w:b/>
          <w:bCs/>
          <w:color w:val="0070C0"/>
          <w:kern w:val="0"/>
          <w:sz w:val="24"/>
          <w:szCs w:val="24"/>
          <w:lang w:val="en-GB"/>
        </w:rPr>
      </w:pPr>
      <w:r>
        <w:rPr>
          <w:rFonts w:asciiTheme="minorEastAsia" w:hAnsiTheme="minorEastAsia" w:hint="eastAsia"/>
          <w:b/>
          <w:bCs/>
          <w:color w:val="0070C0"/>
          <w:kern w:val="0"/>
          <w:szCs w:val="21"/>
          <w:lang w:val="en-GB"/>
        </w:rPr>
        <w:t>“成长派”迎来牛市</w:t>
      </w:r>
      <w:r w:rsidR="00437970" w:rsidRPr="00AE3A97">
        <w:rPr>
          <w:rFonts w:asciiTheme="minorEastAsia" w:hAnsiTheme="minorEastAsia" w:hint="eastAsia"/>
          <w:b/>
          <w:bCs/>
          <w:color w:val="0070C0"/>
          <w:kern w:val="0"/>
          <w:szCs w:val="21"/>
          <w:lang w:val="en-GB"/>
        </w:rPr>
        <w:t>，“胆大”</w:t>
      </w:r>
      <w:r>
        <w:rPr>
          <w:rFonts w:ascii="Arial" w:hAnsi="Arial" w:cs="Arial"/>
          <w:b/>
          <w:bCs/>
          <w:color w:val="0070C0"/>
          <w:kern w:val="0"/>
          <w:szCs w:val="21"/>
          <w:lang w:val="en-GB"/>
        </w:rPr>
        <w:t>与</w:t>
      </w:r>
      <w:r w:rsidR="00437970" w:rsidRPr="00AE3A97">
        <w:rPr>
          <w:rFonts w:asciiTheme="minorEastAsia" w:hAnsiTheme="minorEastAsia" w:hint="eastAsia"/>
          <w:b/>
          <w:bCs/>
          <w:color w:val="0070C0"/>
          <w:kern w:val="0"/>
          <w:szCs w:val="21"/>
          <w:lang w:val="en-GB"/>
        </w:rPr>
        <w:t>“心细”</w:t>
      </w:r>
      <w:r w:rsidR="00EF17C0">
        <w:rPr>
          <w:rFonts w:asciiTheme="minorEastAsia" w:hAnsiTheme="minorEastAsia" w:hint="eastAsia"/>
          <w:b/>
          <w:bCs/>
          <w:color w:val="0070C0"/>
          <w:kern w:val="0"/>
          <w:szCs w:val="21"/>
          <w:lang w:val="en-GB"/>
        </w:rPr>
        <w:t>领跑</w:t>
      </w:r>
    </w:p>
    <w:p w:rsidR="009D1FAD" w:rsidRDefault="003E2908" w:rsidP="00B10000">
      <w:pPr>
        <w:pStyle w:val="ac"/>
        <w:numPr>
          <w:ilvl w:val="4"/>
          <w:numId w:val="1"/>
        </w:numPr>
        <w:spacing w:after="163"/>
        <w:rPr>
          <w:rFonts w:eastAsiaTheme="minorEastAsia"/>
          <w:color w:val="auto"/>
        </w:rPr>
      </w:pPr>
      <w:r w:rsidRPr="007256D1">
        <w:rPr>
          <w:rFonts w:eastAsiaTheme="minorEastAsia" w:hint="eastAsia"/>
          <w:color w:val="auto"/>
        </w:rPr>
        <w:t>2013</w:t>
      </w:r>
      <w:r w:rsidR="008A009F">
        <w:rPr>
          <w:rFonts w:eastAsiaTheme="minorEastAsia" w:hint="eastAsia"/>
          <w:color w:val="auto"/>
        </w:rPr>
        <w:t>年无疑</w:t>
      </w:r>
      <w:r w:rsidR="00FF64FD">
        <w:rPr>
          <w:rFonts w:eastAsiaTheme="minorEastAsia" w:hint="eastAsia"/>
          <w:color w:val="auto"/>
        </w:rPr>
        <w:t>是“</w:t>
      </w:r>
      <w:r w:rsidR="008A009F">
        <w:rPr>
          <w:rFonts w:eastAsiaTheme="minorEastAsia" w:hint="eastAsia"/>
          <w:color w:val="auto"/>
        </w:rPr>
        <w:t>成长派</w:t>
      </w:r>
      <w:r w:rsidR="00FF64FD">
        <w:rPr>
          <w:rFonts w:eastAsiaTheme="minorEastAsia" w:hint="eastAsia"/>
          <w:color w:val="auto"/>
        </w:rPr>
        <w:t>”</w:t>
      </w:r>
      <w:r w:rsidRPr="007256D1">
        <w:rPr>
          <w:rFonts w:eastAsiaTheme="minorEastAsia" w:hint="eastAsia"/>
          <w:color w:val="auto"/>
        </w:rPr>
        <w:t>的天下。</w:t>
      </w:r>
      <w:r w:rsidR="002B1C0F">
        <w:rPr>
          <w:rFonts w:eastAsiaTheme="minorEastAsia" w:hint="eastAsia"/>
          <w:color w:val="auto"/>
        </w:rPr>
        <w:t>截至</w:t>
      </w:r>
      <w:r w:rsidR="002B1C0F">
        <w:rPr>
          <w:rFonts w:eastAsiaTheme="minorEastAsia" w:hint="eastAsia"/>
          <w:color w:val="auto"/>
        </w:rPr>
        <w:t>11</w:t>
      </w:r>
      <w:r w:rsidR="002B1C0F">
        <w:rPr>
          <w:rFonts w:eastAsiaTheme="minorEastAsia" w:hint="eastAsia"/>
          <w:color w:val="auto"/>
        </w:rPr>
        <w:t>月底，上证指数</w:t>
      </w:r>
      <w:r w:rsidR="001D1936">
        <w:rPr>
          <w:rFonts w:eastAsiaTheme="minorEastAsia" w:hint="eastAsia"/>
          <w:color w:val="auto"/>
        </w:rPr>
        <w:t>尚</w:t>
      </w:r>
      <w:r w:rsidR="009B64F1">
        <w:rPr>
          <w:rFonts w:eastAsiaTheme="minorEastAsia" w:hint="eastAsia"/>
          <w:color w:val="auto"/>
        </w:rPr>
        <w:t>在</w:t>
      </w:r>
      <w:r w:rsidR="009B64F1">
        <w:rPr>
          <w:rFonts w:eastAsiaTheme="minorEastAsia" w:hint="eastAsia"/>
          <w:color w:val="auto"/>
        </w:rPr>
        <w:t>2200</w:t>
      </w:r>
      <w:r w:rsidR="009B64F1">
        <w:rPr>
          <w:rFonts w:eastAsiaTheme="minorEastAsia" w:hint="eastAsia"/>
          <w:color w:val="auto"/>
        </w:rPr>
        <w:t>点挣扎</w:t>
      </w:r>
      <w:r w:rsidR="002B1C0F">
        <w:rPr>
          <w:rFonts w:eastAsiaTheme="minorEastAsia" w:hint="eastAsia"/>
          <w:color w:val="auto"/>
        </w:rPr>
        <w:t>，沪深</w:t>
      </w:r>
      <w:r w:rsidR="002B1C0F">
        <w:rPr>
          <w:rFonts w:eastAsiaTheme="minorEastAsia" w:hint="eastAsia"/>
          <w:color w:val="auto"/>
        </w:rPr>
        <w:t>300</w:t>
      </w:r>
      <w:r w:rsidR="00A070A5">
        <w:rPr>
          <w:rFonts w:eastAsiaTheme="minorEastAsia" w:hint="eastAsia"/>
          <w:color w:val="auto"/>
        </w:rPr>
        <w:t>年内</w:t>
      </w:r>
      <w:r w:rsidR="002B1C0F">
        <w:rPr>
          <w:rFonts w:eastAsiaTheme="minorEastAsia" w:hint="eastAsia"/>
          <w:color w:val="auto"/>
        </w:rPr>
        <w:t>跌</w:t>
      </w:r>
      <w:r w:rsidR="009B64F1">
        <w:rPr>
          <w:rFonts w:eastAsiaTheme="minorEastAsia" w:hint="eastAsia"/>
          <w:color w:val="auto"/>
        </w:rPr>
        <w:t>3.</w:t>
      </w:r>
      <w:r w:rsidR="003A2340">
        <w:rPr>
          <w:rFonts w:eastAsiaTheme="minorEastAsia" w:hint="eastAsia"/>
          <w:color w:val="auto"/>
        </w:rPr>
        <w:t>3</w:t>
      </w:r>
      <w:r w:rsidR="009B64F1">
        <w:rPr>
          <w:rFonts w:eastAsiaTheme="minorEastAsia" w:hint="eastAsia"/>
          <w:color w:val="auto"/>
        </w:rPr>
        <w:t>3</w:t>
      </w:r>
      <w:r w:rsidR="002B1C0F">
        <w:rPr>
          <w:rFonts w:eastAsiaTheme="minorEastAsia" w:hint="eastAsia"/>
          <w:color w:val="auto"/>
        </w:rPr>
        <w:t>%</w:t>
      </w:r>
      <w:r w:rsidR="009B64F1">
        <w:rPr>
          <w:rFonts w:eastAsiaTheme="minorEastAsia" w:hint="eastAsia"/>
          <w:color w:val="auto"/>
        </w:rPr>
        <w:t>，</w:t>
      </w:r>
      <w:r w:rsidR="002B1C0F">
        <w:rPr>
          <w:rFonts w:eastAsiaTheme="minorEastAsia" w:hint="eastAsia"/>
          <w:color w:val="auto"/>
        </w:rPr>
        <w:t>而</w:t>
      </w:r>
      <w:r w:rsidR="009927B6">
        <w:rPr>
          <w:rFonts w:eastAsiaTheme="minorEastAsia" w:hint="eastAsia"/>
          <w:color w:val="auto"/>
        </w:rPr>
        <w:t>估值</w:t>
      </w:r>
      <w:r w:rsidR="00AE7CBD">
        <w:rPr>
          <w:rFonts w:eastAsiaTheme="minorEastAsia" w:hint="eastAsia"/>
          <w:color w:val="auto"/>
        </w:rPr>
        <w:t>偏高</w:t>
      </w:r>
      <w:r w:rsidR="009927B6">
        <w:rPr>
          <w:rFonts w:eastAsiaTheme="minorEastAsia" w:hint="eastAsia"/>
          <w:color w:val="auto"/>
        </w:rPr>
        <w:t>的</w:t>
      </w:r>
      <w:r w:rsidR="00C60DFB">
        <w:rPr>
          <w:rFonts w:eastAsiaTheme="minorEastAsia" w:hint="eastAsia"/>
          <w:color w:val="auto"/>
        </w:rPr>
        <w:t>成长股则在争议声中</w:t>
      </w:r>
      <w:r w:rsidR="00E93470">
        <w:rPr>
          <w:rFonts w:eastAsiaTheme="minorEastAsia" w:hint="eastAsia"/>
          <w:color w:val="auto"/>
        </w:rPr>
        <w:t>连续</w:t>
      </w:r>
      <w:r w:rsidRPr="007256D1">
        <w:rPr>
          <w:rFonts w:eastAsiaTheme="minorEastAsia" w:hint="eastAsia"/>
          <w:color w:val="auto"/>
        </w:rPr>
        <w:t>8</w:t>
      </w:r>
      <w:r w:rsidR="00E93470">
        <w:rPr>
          <w:rFonts w:eastAsiaTheme="minorEastAsia" w:hint="eastAsia"/>
          <w:color w:val="auto"/>
        </w:rPr>
        <w:t>个月</w:t>
      </w:r>
      <w:r w:rsidR="007A517D">
        <w:rPr>
          <w:rFonts w:eastAsiaTheme="minorEastAsia" w:hint="eastAsia"/>
          <w:color w:val="auto"/>
        </w:rPr>
        <w:t>单边上行</w:t>
      </w:r>
      <w:r w:rsidR="00E93470">
        <w:rPr>
          <w:rFonts w:eastAsiaTheme="minorEastAsia" w:hint="eastAsia"/>
          <w:color w:val="auto"/>
        </w:rPr>
        <w:t>，</w:t>
      </w:r>
      <w:r w:rsidR="007A517D">
        <w:rPr>
          <w:rFonts w:eastAsiaTheme="minorEastAsia" w:hint="eastAsia"/>
          <w:color w:val="auto"/>
        </w:rPr>
        <w:t>创业板指</w:t>
      </w:r>
      <w:r w:rsidR="003257A3">
        <w:rPr>
          <w:rFonts w:eastAsiaTheme="minorEastAsia" w:hint="eastAsia"/>
          <w:color w:val="auto"/>
        </w:rPr>
        <w:t>豪涨</w:t>
      </w:r>
      <w:r w:rsidR="003257A3">
        <w:rPr>
          <w:rFonts w:eastAsiaTheme="minorEastAsia" w:hint="eastAsia"/>
          <w:color w:val="auto"/>
        </w:rPr>
        <w:t>91.47%</w:t>
      </w:r>
      <w:r w:rsidR="003257A3">
        <w:rPr>
          <w:rFonts w:eastAsiaTheme="minorEastAsia" w:hint="eastAsia"/>
          <w:color w:val="auto"/>
        </w:rPr>
        <w:t>，</w:t>
      </w:r>
      <w:r w:rsidR="00E93470">
        <w:rPr>
          <w:rFonts w:eastAsiaTheme="minorEastAsia" w:hint="eastAsia"/>
          <w:color w:val="auto"/>
        </w:rPr>
        <w:t>成就了今年的</w:t>
      </w:r>
      <w:r w:rsidRPr="007256D1">
        <w:rPr>
          <w:rFonts w:eastAsiaTheme="minorEastAsia" w:hint="eastAsia"/>
          <w:color w:val="auto"/>
        </w:rPr>
        <w:t>结构性牛市。</w:t>
      </w:r>
      <w:r w:rsidR="002273F2" w:rsidRPr="00AF3FFB">
        <w:rPr>
          <w:rFonts w:eastAsiaTheme="minorEastAsia" w:hint="eastAsia"/>
          <w:color w:val="auto"/>
        </w:rPr>
        <w:t>成长股行情囊括了</w:t>
      </w:r>
      <w:r w:rsidR="00140E0F">
        <w:rPr>
          <w:rFonts w:eastAsiaTheme="minorEastAsia" w:hint="eastAsia"/>
          <w:color w:val="auto"/>
        </w:rPr>
        <w:t>多数</w:t>
      </w:r>
      <w:r w:rsidR="002273F2" w:rsidRPr="00AF3FFB">
        <w:rPr>
          <w:rFonts w:eastAsiaTheme="minorEastAsia" w:hint="eastAsia"/>
          <w:color w:val="auto"/>
        </w:rPr>
        <w:t>新兴产业</w:t>
      </w:r>
      <w:r w:rsidR="002273F2">
        <w:rPr>
          <w:rFonts w:eastAsiaTheme="minorEastAsia" w:hint="eastAsia"/>
          <w:color w:val="auto"/>
        </w:rPr>
        <w:t>，涨幅最猛的当属传媒（</w:t>
      </w:r>
      <w:r w:rsidR="002273F2">
        <w:rPr>
          <w:rFonts w:eastAsiaTheme="minorEastAsia" w:hint="eastAsia"/>
          <w:color w:val="auto"/>
        </w:rPr>
        <w:t>112.86%</w:t>
      </w:r>
      <w:r w:rsidR="002273F2">
        <w:rPr>
          <w:rFonts w:eastAsiaTheme="minorEastAsia" w:hint="eastAsia"/>
          <w:color w:val="auto"/>
        </w:rPr>
        <w:t>）</w:t>
      </w:r>
      <w:r w:rsidR="009D6471">
        <w:rPr>
          <w:rFonts w:eastAsiaTheme="minorEastAsia" w:hint="eastAsia"/>
          <w:color w:val="auto"/>
        </w:rPr>
        <w:t>，电子元器件、家电、医药等也涨势如虹</w:t>
      </w:r>
      <w:r w:rsidR="002273F2">
        <w:rPr>
          <w:rFonts w:eastAsiaTheme="minorEastAsia" w:hint="eastAsia"/>
          <w:color w:val="auto"/>
        </w:rPr>
        <w:t>。</w:t>
      </w:r>
      <w:r w:rsidR="00B048B2">
        <w:rPr>
          <w:rFonts w:eastAsiaTheme="minorEastAsia" w:hint="eastAsia"/>
          <w:color w:val="auto"/>
        </w:rPr>
        <w:t>在此环境下，</w:t>
      </w:r>
      <w:r w:rsidR="00250E9A">
        <w:rPr>
          <w:rFonts w:eastAsiaTheme="minorEastAsia" w:hint="eastAsia"/>
          <w:color w:val="auto"/>
        </w:rPr>
        <w:t>总体呈现成长风格</w:t>
      </w:r>
      <w:r w:rsidR="00FF64FD">
        <w:rPr>
          <w:rFonts w:eastAsiaTheme="minorEastAsia" w:hint="eastAsia"/>
          <w:color w:val="auto"/>
        </w:rPr>
        <w:t>的</w:t>
      </w:r>
      <w:r w:rsidR="009D1FAD" w:rsidRPr="007256D1">
        <w:rPr>
          <w:rFonts w:eastAsiaTheme="minorEastAsia" w:hint="eastAsia"/>
          <w:color w:val="auto"/>
        </w:rPr>
        <w:t>对冲基金</w:t>
      </w:r>
      <w:r w:rsidR="009D1FAD">
        <w:rPr>
          <w:rFonts w:eastAsiaTheme="minorEastAsia" w:hint="eastAsia"/>
          <w:color w:val="auto"/>
        </w:rPr>
        <w:t>如鱼得水</w:t>
      </w:r>
      <w:r w:rsidR="00B048B2">
        <w:rPr>
          <w:rFonts w:eastAsiaTheme="minorEastAsia" w:hint="eastAsia"/>
          <w:color w:val="auto"/>
        </w:rPr>
        <w:t>，</w:t>
      </w:r>
      <w:r w:rsidR="00D832AF">
        <w:rPr>
          <w:rFonts w:eastAsiaTheme="minorEastAsia" w:hint="eastAsia"/>
          <w:color w:val="auto"/>
        </w:rPr>
        <w:t>年内平均回报率超过</w:t>
      </w:r>
      <w:r w:rsidR="00D832AF">
        <w:rPr>
          <w:rFonts w:eastAsiaTheme="minorEastAsia" w:hint="eastAsia"/>
          <w:color w:val="auto"/>
        </w:rPr>
        <w:t>15%</w:t>
      </w:r>
      <w:r w:rsidR="00D832AF">
        <w:rPr>
          <w:rFonts w:eastAsiaTheme="minorEastAsia" w:hint="eastAsia"/>
          <w:color w:val="auto"/>
        </w:rPr>
        <w:t>，</w:t>
      </w:r>
      <w:r w:rsidR="00250E9A">
        <w:rPr>
          <w:rFonts w:eastAsiaTheme="minorEastAsia" w:hint="eastAsia"/>
          <w:color w:val="auto"/>
        </w:rPr>
        <w:t>其中</w:t>
      </w:r>
      <w:r w:rsidR="00940403">
        <w:rPr>
          <w:rFonts w:eastAsiaTheme="minorEastAsia" w:hint="eastAsia"/>
          <w:color w:val="auto"/>
        </w:rPr>
        <w:t>尤以敢于重仓的“胆大”型、</w:t>
      </w:r>
      <w:r w:rsidR="00135554">
        <w:rPr>
          <w:rFonts w:eastAsiaTheme="minorEastAsia" w:hint="eastAsia"/>
          <w:color w:val="auto"/>
        </w:rPr>
        <w:t>精选个股</w:t>
      </w:r>
      <w:r w:rsidR="00940403">
        <w:rPr>
          <w:rFonts w:eastAsiaTheme="minorEastAsia" w:hint="eastAsia"/>
          <w:color w:val="auto"/>
        </w:rPr>
        <w:t>兼顾择时的“心细”型</w:t>
      </w:r>
      <w:r w:rsidR="00C95DE6">
        <w:rPr>
          <w:rFonts w:eastAsiaTheme="minorEastAsia" w:hint="eastAsia"/>
          <w:color w:val="auto"/>
        </w:rPr>
        <w:t>个体</w:t>
      </w:r>
      <w:r w:rsidR="00940403">
        <w:rPr>
          <w:rFonts w:eastAsiaTheme="minorEastAsia" w:hint="eastAsia"/>
          <w:color w:val="auto"/>
        </w:rPr>
        <w:t>最有斩获</w:t>
      </w:r>
      <w:r w:rsidR="009D1FAD">
        <w:rPr>
          <w:rFonts w:eastAsiaTheme="minorEastAsia" w:hint="eastAsia"/>
          <w:color w:val="auto"/>
        </w:rPr>
        <w:t>。</w:t>
      </w:r>
    </w:p>
    <w:p w:rsidR="00D10490" w:rsidRPr="00B10473" w:rsidRDefault="00E275B2" w:rsidP="004410ED">
      <w:pPr>
        <w:pStyle w:val="ac"/>
        <w:numPr>
          <w:ilvl w:val="5"/>
          <w:numId w:val="2"/>
        </w:numPr>
        <w:spacing w:after="163"/>
        <w:ind w:left="4140" w:hanging="369"/>
        <w:rPr>
          <w:rFonts w:asciiTheme="minorEastAsia" w:eastAsiaTheme="minorEastAsia" w:hAnsiTheme="minorEastAsia"/>
          <w:color w:val="auto"/>
        </w:rPr>
      </w:pPr>
      <w:r>
        <w:rPr>
          <w:rFonts w:asciiTheme="minorEastAsia" w:eastAsiaTheme="minorEastAsia" w:hAnsiTheme="minorEastAsia" w:hint="eastAsia"/>
          <w:color w:val="auto"/>
        </w:rPr>
        <w:t>新兴产业板块的强势</w:t>
      </w:r>
      <w:r w:rsidR="00023797" w:rsidRPr="009D1FAD">
        <w:rPr>
          <w:rFonts w:asciiTheme="minorEastAsia" w:eastAsiaTheme="minorEastAsia" w:hAnsiTheme="minorEastAsia" w:hint="eastAsia"/>
          <w:color w:val="auto"/>
        </w:rPr>
        <w:t>与周期</w:t>
      </w:r>
      <w:r w:rsidR="00B469AA">
        <w:rPr>
          <w:rFonts w:asciiTheme="minorEastAsia" w:eastAsiaTheme="minorEastAsia" w:hAnsiTheme="minorEastAsia" w:hint="eastAsia"/>
          <w:color w:val="auto"/>
        </w:rPr>
        <w:t>板块</w:t>
      </w:r>
      <w:r w:rsidR="00023797" w:rsidRPr="009D1FAD">
        <w:rPr>
          <w:rFonts w:asciiTheme="minorEastAsia" w:eastAsiaTheme="minorEastAsia" w:hAnsiTheme="minorEastAsia" w:hint="eastAsia"/>
          <w:color w:val="auto"/>
        </w:rPr>
        <w:t>的中枢下移催生了今年的结构性行情</w:t>
      </w:r>
      <w:r w:rsidR="009D1FAD" w:rsidRPr="009D1FAD">
        <w:rPr>
          <w:rFonts w:asciiTheme="minorEastAsia" w:eastAsiaTheme="minorEastAsia" w:hAnsiTheme="minorEastAsia" w:hint="eastAsia"/>
          <w:color w:val="auto"/>
        </w:rPr>
        <w:t>。</w:t>
      </w:r>
      <w:r w:rsidR="00B469AA">
        <w:rPr>
          <w:rFonts w:asciiTheme="minorEastAsia" w:eastAsiaTheme="minorEastAsia" w:hAnsiTheme="minorEastAsia" w:hint="eastAsia"/>
          <w:color w:val="auto"/>
        </w:rPr>
        <w:t>凯石</w:t>
      </w:r>
      <w:r w:rsidR="00C40729">
        <w:rPr>
          <w:rFonts w:asciiTheme="minorEastAsia" w:eastAsiaTheme="minorEastAsia" w:hAnsiTheme="minorEastAsia" w:hint="eastAsia"/>
          <w:color w:val="auto"/>
        </w:rPr>
        <w:t>财富</w:t>
      </w:r>
      <w:r w:rsidR="00B469AA">
        <w:rPr>
          <w:rFonts w:asciiTheme="minorEastAsia" w:eastAsiaTheme="minorEastAsia" w:hAnsiTheme="minorEastAsia" w:hint="eastAsia"/>
          <w:color w:val="auto"/>
        </w:rPr>
        <w:t>工场</w:t>
      </w:r>
      <w:r w:rsidR="00C40729">
        <w:rPr>
          <w:rFonts w:asciiTheme="minorEastAsia" w:eastAsiaTheme="minorEastAsia" w:hAnsiTheme="minorEastAsia" w:hint="eastAsia"/>
          <w:color w:val="auto"/>
        </w:rPr>
        <w:t>研究人员</w:t>
      </w:r>
      <w:r w:rsidR="004410ED">
        <w:rPr>
          <w:rFonts w:asciiTheme="minorEastAsia" w:eastAsiaTheme="minorEastAsia" w:hAnsiTheme="minorEastAsia" w:hint="eastAsia"/>
          <w:color w:val="auto"/>
        </w:rPr>
        <w:t>在</w:t>
      </w:r>
      <w:r w:rsidR="00B469AA">
        <w:rPr>
          <w:rFonts w:asciiTheme="minorEastAsia" w:eastAsiaTheme="minorEastAsia" w:hAnsiTheme="minorEastAsia" w:hint="eastAsia"/>
          <w:color w:val="auto"/>
        </w:rPr>
        <w:t>《</w:t>
      </w:r>
      <w:r w:rsidR="00B469AA" w:rsidRPr="00B469AA">
        <w:rPr>
          <w:rFonts w:eastAsiaTheme="minorEastAsia" w:hint="eastAsia"/>
          <w:color w:val="auto"/>
        </w:rPr>
        <w:t>2013</w:t>
      </w:r>
      <w:r w:rsidR="008507E5">
        <w:rPr>
          <w:rFonts w:eastAsiaTheme="minorEastAsia" w:hint="eastAsia"/>
          <w:color w:val="auto"/>
        </w:rPr>
        <w:t>年</w:t>
      </w:r>
      <w:r w:rsidR="00B469AA">
        <w:rPr>
          <w:rFonts w:eastAsiaTheme="minorEastAsia" w:hint="eastAsia"/>
          <w:color w:val="auto"/>
        </w:rPr>
        <w:t>对冲基金</w:t>
      </w:r>
      <w:r w:rsidR="00B469AA" w:rsidRPr="00B469AA">
        <w:rPr>
          <w:rFonts w:eastAsiaTheme="minorEastAsia" w:hint="eastAsia"/>
          <w:color w:val="auto"/>
        </w:rPr>
        <w:t>投资策略</w:t>
      </w:r>
      <w:r w:rsidR="00AE7CBD">
        <w:rPr>
          <w:rFonts w:asciiTheme="minorEastAsia" w:eastAsiaTheme="minorEastAsia" w:hAnsiTheme="minorEastAsia" w:hint="eastAsia"/>
          <w:color w:val="auto"/>
        </w:rPr>
        <w:t>》中就</w:t>
      </w:r>
      <w:r>
        <w:rPr>
          <w:rFonts w:asciiTheme="minorEastAsia" w:eastAsiaTheme="minorEastAsia" w:hAnsiTheme="minorEastAsia" w:hint="eastAsia"/>
          <w:color w:val="auto"/>
        </w:rPr>
        <w:t>曾</w:t>
      </w:r>
      <w:r w:rsidR="00AE7CBD">
        <w:rPr>
          <w:rFonts w:asciiTheme="minorEastAsia" w:eastAsiaTheme="minorEastAsia" w:hAnsiTheme="minorEastAsia" w:hint="eastAsia"/>
          <w:color w:val="auto"/>
        </w:rPr>
        <w:t>指出</w:t>
      </w:r>
      <w:r w:rsidR="00B469AA">
        <w:rPr>
          <w:rFonts w:asciiTheme="minorEastAsia" w:eastAsiaTheme="minorEastAsia" w:hAnsiTheme="minorEastAsia" w:hint="eastAsia"/>
          <w:color w:val="auto"/>
        </w:rPr>
        <w:t>，</w:t>
      </w:r>
      <w:r w:rsidR="00A070A5">
        <w:rPr>
          <w:rFonts w:asciiTheme="minorEastAsia" w:eastAsiaTheme="minorEastAsia" w:hAnsiTheme="minorEastAsia" w:hint="eastAsia"/>
          <w:color w:val="auto"/>
        </w:rPr>
        <w:t>在</w:t>
      </w:r>
      <w:r w:rsidR="009927B6" w:rsidRPr="009927B6">
        <w:rPr>
          <w:rFonts w:asciiTheme="minorEastAsia" w:eastAsiaTheme="minorEastAsia" w:hAnsiTheme="minorEastAsia" w:hint="eastAsia"/>
          <w:color w:val="auto"/>
        </w:rPr>
        <w:t>当</w:t>
      </w:r>
      <w:r w:rsidR="00AE7CBD">
        <w:rPr>
          <w:rFonts w:asciiTheme="minorEastAsia" w:eastAsiaTheme="minorEastAsia" w:hAnsiTheme="minorEastAsia" w:hint="eastAsia"/>
          <w:color w:val="auto"/>
        </w:rPr>
        <w:t>前我国经济转型的大背景下</w:t>
      </w:r>
      <w:r w:rsidR="00B469AA">
        <w:rPr>
          <w:rFonts w:asciiTheme="minorEastAsia" w:eastAsiaTheme="minorEastAsia" w:hAnsiTheme="minorEastAsia" w:hint="eastAsia"/>
          <w:color w:val="auto"/>
        </w:rPr>
        <w:t>传统周期类行业投资机会渐少，而</w:t>
      </w:r>
      <w:r w:rsidR="009927B6" w:rsidRPr="009927B6">
        <w:rPr>
          <w:rFonts w:asciiTheme="minorEastAsia" w:eastAsiaTheme="minorEastAsia" w:hAnsiTheme="minorEastAsia" w:hint="eastAsia"/>
          <w:color w:val="auto"/>
        </w:rPr>
        <w:t>新兴产业和消费类</w:t>
      </w:r>
      <w:r w:rsidR="00B469AA">
        <w:rPr>
          <w:rFonts w:asciiTheme="minorEastAsia" w:eastAsiaTheme="minorEastAsia" w:hAnsiTheme="minorEastAsia" w:hint="eastAsia"/>
          <w:color w:val="auto"/>
        </w:rPr>
        <w:t>龙头公司受益于技术创新和消费群体</w:t>
      </w:r>
      <w:r w:rsidR="009927B6" w:rsidRPr="009927B6">
        <w:rPr>
          <w:rFonts w:asciiTheme="minorEastAsia" w:eastAsiaTheme="minorEastAsia" w:hAnsiTheme="minorEastAsia" w:hint="eastAsia"/>
          <w:color w:val="auto"/>
        </w:rPr>
        <w:t>升级</w:t>
      </w:r>
      <w:r>
        <w:rPr>
          <w:rFonts w:asciiTheme="minorEastAsia" w:eastAsiaTheme="minorEastAsia" w:hAnsiTheme="minorEastAsia" w:hint="eastAsia"/>
          <w:color w:val="auto"/>
        </w:rPr>
        <w:t>，具备</w:t>
      </w:r>
      <w:r w:rsidR="00A070A5">
        <w:rPr>
          <w:rFonts w:asciiTheme="minorEastAsia" w:eastAsiaTheme="minorEastAsia" w:hAnsiTheme="minorEastAsia" w:hint="eastAsia"/>
          <w:color w:val="auto"/>
        </w:rPr>
        <w:t>稳定的</w:t>
      </w:r>
      <w:r w:rsidR="009927B6" w:rsidRPr="009927B6">
        <w:rPr>
          <w:rFonts w:asciiTheme="minorEastAsia" w:eastAsiaTheme="minorEastAsia" w:hAnsiTheme="minorEastAsia" w:hint="eastAsia"/>
          <w:color w:val="auto"/>
        </w:rPr>
        <w:t>盈利能力和穿越经济周期的潜力，</w:t>
      </w:r>
      <w:r w:rsidR="00B469AA">
        <w:rPr>
          <w:rFonts w:asciiTheme="minorEastAsia" w:eastAsiaTheme="minorEastAsia" w:hAnsiTheme="minorEastAsia" w:hint="eastAsia"/>
          <w:color w:val="auto"/>
        </w:rPr>
        <w:t>值得战略配置。</w:t>
      </w:r>
      <w:r>
        <w:rPr>
          <w:rFonts w:asciiTheme="minorEastAsia" w:eastAsiaTheme="minorEastAsia" w:hAnsiTheme="minorEastAsia" w:hint="eastAsia"/>
          <w:color w:val="auto"/>
        </w:rPr>
        <w:t>其中受政策及网络</w:t>
      </w:r>
      <w:r w:rsidR="001F5618">
        <w:rPr>
          <w:rFonts w:asciiTheme="minorEastAsia" w:eastAsiaTheme="minorEastAsia" w:hAnsiTheme="minorEastAsia" w:hint="eastAsia"/>
          <w:color w:val="auto"/>
        </w:rPr>
        <w:t>电子等技术所推动的文化产业链、人口老龄化时代</w:t>
      </w:r>
      <w:r w:rsidR="00B147B8" w:rsidRPr="003A33F2">
        <w:rPr>
          <w:rFonts w:asciiTheme="minorEastAsia" w:eastAsiaTheme="minorEastAsia" w:hAnsiTheme="minorEastAsia" w:hint="eastAsia"/>
          <w:color w:val="auto"/>
        </w:rPr>
        <w:t>具备中长期高成长潜力的医药行业</w:t>
      </w:r>
      <w:r w:rsidR="004410ED">
        <w:rPr>
          <w:rFonts w:asciiTheme="minorEastAsia" w:eastAsiaTheme="minorEastAsia" w:hAnsiTheme="minorEastAsia" w:hint="eastAsia"/>
          <w:color w:val="auto"/>
        </w:rPr>
        <w:t>，</w:t>
      </w:r>
      <w:r w:rsidR="004410ED" w:rsidRPr="00A070A5">
        <w:rPr>
          <w:rFonts w:asciiTheme="minorEastAsia" w:eastAsiaTheme="minorEastAsia" w:hAnsiTheme="minorEastAsia" w:hint="eastAsia"/>
          <w:color w:val="auto"/>
        </w:rPr>
        <w:t>以及环保企业等</w:t>
      </w:r>
      <w:r w:rsidR="004410ED">
        <w:rPr>
          <w:rFonts w:asciiTheme="minorEastAsia" w:eastAsiaTheme="minorEastAsia" w:hAnsiTheme="minorEastAsia" w:hint="eastAsia"/>
          <w:color w:val="auto"/>
        </w:rPr>
        <w:t>均</w:t>
      </w:r>
      <w:r w:rsidR="00B147B8" w:rsidRPr="004410ED">
        <w:rPr>
          <w:rFonts w:asciiTheme="minorEastAsia" w:eastAsiaTheme="minorEastAsia" w:hAnsiTheme="minorEastAsia" w:hint="eastAsia"/>
          <w:color w:val="auto"/>
        </w:rPr>
        <w:t>具备中长期投资价值</w:t>
      </w:r>
      <w:r w:rsidR="008507E5">
        <w:rPr>
          <w:rFonts w:asciiTheme="minorEastAsia" w:eastAsiaTheme="minorEastAsia" w:hAnsiTheme="minorEastAsia" w:hint="eastAsia"/>
          <w:color w:val="auto"/>
        </w:rPr>
        <w:t>；</w:t>
      </w:r>
      <w:r>
        <w:rPr>
          <w:rFonts w:ascii="Calibri" w:eastAsia="宋体" w:hAnsi="Calibri" w:hint="eastAsia"/>
        </w:rPr>
        <w:t>建议投资者</w:t>
      </w:r>
      <w:r w:rsidR="00B147B8" w:rsidRPr="004410ED">
        <w:rPr>
          <w:rFonts w:ascii="Calibri" w:eastAsia="宋体" w:hAnsi="Calibri" w:hint="eastAsia"/>
        </w:rPr>
        <w:t>重点关注偏好新兴、消费类板块</w:t>
      </w:r>
      <w:r w:rsidR="006047C4" w:rsidRPr="004410ED">
        <w:rPr>
          <w:rFonts w:ascii="Calibri" w:eastAsia="宋体" w:hAnsi="Calibri" w:hint="eastAsia"/>
        </w:rPr>
        <w:t>的对冲基金。</w:t>
      </w:r>
      <w:r w:rsidR="008507E5">
        <w:rPr>
          <w:rFonts w:ascii="Calibri" w:eastAsia="宋体" w:hAnsi="Calibri" w:hint="eastAsia"/>
        </w:rPr>
        <w:t>今年的市场印证了</w:t>
      </w:r>
      <w:r w:rsidR="00C40729">
        <w:rPr>
          <w:rFonts w:ascii="Calibri" w:eastAsia="宋体" w:hAnsi="Calibri" w:hint="eastAsia"/>
        </w:rPr>
        <w:t>研究人员</w:t>
      </w:r>
      <w:r w:rsidR="003A33F2" w:rsidRPr="004410ED">
        <w:rPr>
          <w:rFonts w:ascii="Calibri" w:eastAsia="宋体" w:hAnsi="Calibri" w:hint="eastAsia"/>
        </w:rPr>
        <w:t>的判断。</w:t>
      </w:r>
    </w:p>
    <w:p w:rsidR="00CA4048" w:rsidRPr="00FF7943" w:rsidRDefault="00360EB8" w:rsidP="00C4218C">
      <w:pPr>
        <w:pStyle w:val="ac"/>
        <w:numPr>
          <w:ilvl w:val="5"/>
          <w:numId w:val="2"/>
        </w:numPr>
        <w:spacing w:after="163"/>
        <w:ind w:left="4140" w:hanging="369"/>
        <w:rPr>
          <w:rFonts w:eastAsiaTheme="minorEastAsia"/>
          <w:color w:val="auto"/>
        </w:rPr>
      </w:pPr>
      <w:r w:rsidRPr="00FF7943">
        <w:rPr>
          <w:rFonts w:eastAsiaTheme="minorEastAsia" w:hint="eastAsia"/>
          <w:color w:val="auto"/>
        </w:rPr>
        <w:t>结构性行情必然催生大量</w:t>
      </w:r>
      <w:r w:rsidR="00CA4048" w:rsidRPr="00FF7943">
        <w:rPr>
          <w:rFonts w:eastAsiaTheme="minorEastAsia" w:hint="eastAsia"/>
          <w:color w:val="auto"/>
        </w:rPr>
        <w:t>题材</w:t>
      </w:r>
      <w:r w:rsidRPr="00FF7943">
        <w:rPr>
          <w:rFonts w:eastAsiaTheme="minorEastAsia" w:hint="eastAsia"/>
          <w:color w:val="auto"/>
        </w:rPr>
        <w:t>热点</w:t>
      </w:r>
      <w:r w:rsidR="0036245A" w:rsidRPr="00FF7943">
        <w:rPr>
          <w:rFonts w:eastAsiaTheme="minorEastAsia" w:hint="eastAsia"/>
          <w:color w:val="auto"/>
        </w:rPr>
        <w:t>，今年围绕</w:t>
      </w:r>
      <w:r w:rsidR="00DD0F24" w:rsidRPr="00FF7943">
        <w:rPr>
          <w:rFonts w:eastAsiaTheme="minorEastAsia" w:hint="eastAsia"/>
          <w:color w:val="auto"/>
        </w:rPr>
        <w:t>“</w:t>
      </w:r>
      <w:r w:rsidR="0036245A" w:rsidRPr="00FF7943">
        <w:rPr>
          <w:rFonts w:eastAsiaTheme="minorEastAsia" w:hint="eastAsia"/>
          <w:color w:val="auto"/>
        </w:rPr>
        <w:t>改革</w:t>
      </w:r>
      <w:r w:rsidR="00DD0F24" w:rsidRPr="00FF7943">
        <w:rPr>
          <w:rFonts w:eastAsiaTheme="minorEastAsia" w:hint="eastAsia"/>
          <w:color w:val="auto"/>
        </w:rPr>
        <w:t>”</w:t>
      </w:r>
      <w:r w:rsidR="0036245A" w:rsidRPr="00FF7943">
        <w:rPr>
          <w:rFonts w:eastAsiaTheme="minorEastAsia" w:hint="eastAsia"/>
          <w:color w:val="auto"/>
        </w:rPr>
        <w:t>的</w:t>
      </w:r>
      <w:r w:rsidR="004A78CC" w:rsidRPr="00FF7943">
        <w:rPr>
          <w:rFonts w:eastAsiaTheme="minorEastAsia" w:hint="eastAsia"/>
          <w:color w:val="auto"/>
        </w:rPr>
        <w:t>热点</w:t>
      </w:r>
      <w:r w:rsidR="0036245A" w:rsidRPr="00FF7943">
        <w:rPr>
          <w:rFonts w:eastAsiaTheme="minorEastAsia" w:hint="eastAsia"/>
          <w:color w:val="auto"/>
        </w:rPr>
        <w:t>无论数量还是持续性都远高于去年</w:t>
      </w:r>
      <w:r w:rsidR="00A070A5">
        <w:rPr>
          <w:rFonts w:eastAsiaTheme="minorEastAsia" w:hint="eastAsia"/>
          <w:color w:val="auto"/>
        </w:rPr>
        <w:t>。</w:t>
      </w:r>
      <w:r w:rsidR="002718AB">
        <w:rPr>
          <w:rFonts w:eastAsiaTheme="minorEastAsia" w:hint="eastAsia"/>
          <w:color w:val="auto"/>
        </w:rPr>
        <w:t>上海自贸区引爆热潮</w:t>
      </w:r>
      <w:r w:rsidR="00CA4048" w:rsidRPr="00FF7943">
        <w:rPr>
          <w:rFonts w:eastAsiaTheme="minorEastAsia" w:hint="eastAsia"/>
          <w:color w:val="auto"/>
        </w:rPr>
        <w:t>，十八届三中全会</w:t>
      </w:r>
      <w:r w:rsidR="002718AB">
        <w:rPr>
          <w:rFonts w:eastAsiaTheme="minorEastAsia" w:hint="eastAsia"/>
          <w:color w:val="auto"/>
        </w:rPr>
        <w:t>拓宽</w:t>
      </w:r>
      <w:r w:rsidR="00A070A5">
        <w:rPr>
          <w:rFonts w:eastAsiaTheme="minorEastAsia" w:hint="eastAsia"/>
          <w:color w:val="auto"/>
        </w:rPr>
        <w:t>想象空间，</w:t>
      </w:r>
      <w:r w:rsidR="00E748EB" w:rsidRPr="00FF7943">
        <w:rPr>
          <w:rFonts w:eastAsiaTheme="minorEastAsia" w:hint="eastAsia"/>
          <w:color w:val="auto"/>
        </w:rPr>
        <w:t>土地流转、军工、高送转和重组等相继接棒。</w:t>
      </w:r>
      <w:r w:rsidR="00A070A5">
        <w:rPr>
          <w:rFonts w:eastAsiaTheme="minorEastAsia" w:hint="eastAsia"/>
          <w:color w:val="auto"/>
        </w:rPr>
        <w:t>凯石工场</w:t>
      </w:r>
      <w:r w:rsidR="00D17F29">
        <w:rPr>
          <w:rFonts w:eastAsiaTheme="minorEastAsia" w:hint="eastAsia"/>
          <w:color w:val="auto"/>
        </w:rPr>
        <w:t>研究人员同样</w:t>
      </w:r>
      <w:r w:rsidR="00A070A5">
        <w:rPr>
          <w:rFonts w:eastAsiaTheme="minorEastAsia" w:hint="eastAsia"/>
          <w:color w:val="auto"/>
        </w:rPr>
        <w:t>在</w:t>
      </w:r>
      <w:r w:rsidR="009F1905">
        <w:rPr>
          <w:rFonts w:eastAsiaTheme="minorEastAsia" w:hint="eastAsia"/>
          <w:color w:val="auto"/>
        </w:rPr>
        <w:t>今年</w:t>
      </w:r>
      <w:r w:rsidR="00A070A5">
        <w:rPr>
          <w:rFonts w:eastAsiaTheme="minorEastAsia" w:hint="eastAsia"/>
          <w:color w:val="auto"/>
        </w:rPr>
        <w:t>对冲基金投资策略中曾提出“选股</w:t>
      </w:r>
      <w:r w:rsidR="00A070A5">
        <w:rPr>
          <w:rFonts w:eastAsiaTheme="minorEastAsia" w:hint="eastAsia"/>
          <w:color w:val="auto"/>
        </w:rPr>
        <w:t>+</w:t>
      </w:r>
      <w:r w:rsidR="00193430">
        <w:rPr>
          <w:rFonts w:eastAsiaTheme="minorEastAsia" w:hint="eastAsia"/>
          <w:color w:val="auto"/>
        </w:rPr>
        <w:t>主题”双轮驱动策略，旨在筛选善于把握</w:t>
      </w:r>
      <w:r w:rsidR="00A070A5">
        <w:rPr>
          <w:rFonts w:eastAsiaTheme="minorEastAsia" w:hint="eastAsia"/>
          <w:color w:val="auto"/>
        </w:rPr>
        <w:t>热点</w:t>
      </w:r>
      <w:r w:rsidR="00D17F29">
        <w:rPr>
          <w:rFonts w:eastAsiaTheme="minorEastAsia" w:hint="eastAsia"/>
          <w:color w:val="auto"/>
        </w:rPr>
        <w:t>的</w:t>
      </w:r>
      <w:r w:rsidR="00C95DE6">
        <w:rPr>
          <w:rFonts w:eastAsiaTheme="minorEastAsia" w:hint="eastAsia"/>
          <w:color w:val="auto"/>
        </w:rPr>
        <w:t>管理人</w:t>
      </w:r>
      <w:r w:rsidR="00A070A5">
        <w:rPr>
          <w:rFonts w:eastAsiaTheme="minorEastAsia" w:hint="eastAsia"/>
          <w:color w:val="auto"/>
        </w:rPr>
        <w:t>，而这一群体正是</w:t>
      </w:r>
      <w:r w:rsidR="009F1905">
        <w:rPr>
          <w:rFonts w:eastAsiaTheme="minorEastAsia" w:hint="eastAsia"/>
          <w:color w:val="auto"/>
        </w:rPr>
        <w:t>在</w:t>
      </w:r>
      <w:r w:rsidR="00A070A5">
        <w:rPr>
          <w:rFonts w:eastAsiaTheme="minorEastAsia" w:hint="eastAsia"/>
          <w:color w:val="auto"/>
        </w:rPr>
        <w:t>今年</w:t>
      </w:r>
      <w:r w:rsidR="006F2CDE">
        <w:rPr>
          <w:rFonts w:eastAsiaTheme="minorEastAsia" w:hint="eastAsia"/>
          <w:color w:val="auto"/>
        </w:rPr>
        <w:t>收益不菲</w:t>
      </w:r>
      <w:r w:rsidR="00A070A5" w:rsidRPr="00FF7943">
        <w:rPr>
          <w:rFonts w:eastAsiaTheme="minorEastAsia" w:hint="eastAsia"/>
          <w:color w:val="auto"/>
        </w:rPr>
        <w:t>。</w:t>
      </w:r>
    </w:p>
    <w:tbl>
      <w:tblPr>
        <w:tblW w:w="10771" w:type="dxa"/>
        <w:tblLayout w:type="fixed"/>
        <w:tblCellMar>
          <w:left w:w="0" w:type="dxa"/>
          <w:right w:w="0" w:type="dxa"/>
        </w:tblCellMar>
        <w:tblLook w:val="0000"/>
      </w:tblPr>
      <w:tblGrid>
        <w:gridCol w:w="5272"/>
        <w:gridCol w:w="227"/>
        <w:gridCol w:w="5272"/>
      </w:tblGrid>
      <w:tr w:rsidR="009D1FAD" w:rsidRPr="00837084" w:rsidTr="002C2DD4">
        <w:trPr>
          <w:cantSplit/>
          <w:trHeight w:val="368"/>
        </w:trPr>
        <w:tc>
          <w:tcPr>
            <w:tcW w:w="5272" w:type="dxa"/>
            <w:tcBorders>
              <w:top w:val="single" w:sz="6" w:space="0" w:color="FF6600"/>
              <w:bottom w:val="single" w:sz="6" w:space="0" w:color="FF6600"/>
            </w:tcBorders>
            <w:shd w:val="clear" w:color="auto" w:fill="auto"/>
            <w:vAlign w:val="center"/>
          </w:tcPr>
          <w:p w:rsidR="009D1FAD" w:rsidRPr="00AE3A97" w:rsidRDefault="009D1FAD" w:rsidP="002C2DD4">
            <w:pPr>
              <w:pStyle w:val="SubTitleLargeTable"/>
              <w:pBdr>
                <w:top w:val="none" w:sz="0" w:space="0" w:color="auto"/>
              </w:pBdr>
              <w:rPr>
                <w:rFonts w:eastAsiaTheme="minorEastAsia"/>
                <w:color w:val="FF6600"/>
              </w:rPr>
            </w:pPr>
            <w:r w:rsidRPr="00AE3A97">
              <w:rPr>
                <w:rFonts w:eastAsiaTheme="minorEastAsia"/>
                <w:color w:val="FF6600"/>
              </w:rPr>
              <w:lastRenderedPageBreak/>
              <w:t>图表</w:t>
            </w:r>
            <w:r w:rsidRPr="00AE3A97">
              <w:rPr>
                <w:rFonts w:eastAsiaTheme="minorEastAsia" w:hint="eastAsia"/>
                <w:color w:val="FF6600"/>
              </w:rPr>
              <w:t>1</w:t>
            </w:r>
            <w:r w:rsidRPr="00AE3A97">
              <w:rPr>
                <w:rFonts w:eastAsiaTheme="minorEastAsia" w:hint="eastAsia"/>
                <w:color w:val="FF6600"/>
              </w:rPr>
              <w:t>：</w:t>
            </w:r>
            <w:r w:rsidRPr="00AE3A97">
              <w:rPr>
                <w:rFonts w:eastAsiaTheme="minorEastAsia"/>
                <w:color w:val="FF6600"/>
              </w:rPr>
              <w:t>2013</w:t>
            </w:r>
            <w:r w:rsidRPr="00AE3A97">
              <w:rPr>
                <w:rFonts w:eastAsiaTheme="minorEastAsia" w:hint="eastAsia"/>
                <w:color w:val="FF6600"/>
              </w:rPr>
              <w:t>年</w:t>
            </w:r>
            <w:r w:rsidRPr="00AE3A97">
              <w:rPr>
                <w:rFonts w:eastAsiaTheme="minorEastAsia" w:hint="eastAsia"/>
                <w:color w:val="FF6600"/>
              </w:rPr>
              <w:t>1~11</w:t>
            </w:r>
            <w:r w:rsidRPr="00AE3A97">
              <w:rPr>
                <w:rFonts w:eastAsiaTheme="minorEastAsia" w:hint="eastAsia"/>
                <w:color w:val="FF6600"/>
              </w:rPr>
              <w:t>月各指数</w:t>
            </w:r>
            <w:r w:rsidR="00C15A53" w:rsidRPr="00AE3A97">
              <w:rPr>
                <w:rFonts w:eastAsiaTheme="minorEastAsia" w:hint="eastAsia"/>
                <w:color w:val="FF6600"/>
              </w:rPr>
              <w:t>涨跌幅（截至</w:t>
            </w:r>
            <w:r w:rsidR="00C15A53" w:rsidRPr="00AE3A97">
              <w:rPr>
                <w:rFonts w:eastAsiaTheme="minorEastAsia" w:hint="eastAsia"/>
                <w:color w:val="FF6600"/>
              </w:rPr>
              <w:t>11</w:t>
            </w:r>
            <w:r w:rsidR="00C15A53" w:rsidRPr="00AE3A97">
              <w:rPr>
                <w:rFonts w:eastAsiaTheme="minorEastAsia" w:hint="eastAsia"/>
                <w:color w:val="FF6600"/>
              </w:rPr>
              <w:t>月</w:t>
            </w:r>
            <w:r w:rsidR="00C15A53" w:rsidRPr="00AE3A97">
              <w:rPr>
                <w:rFonts w:eastAsiaTheme="minorEastAsia" w:hint="eastAsia"/>
                <w:color w:val="FF6600"/>
              </w:rPr>
              <w:t>30</w:t>
            </w:r>
            <w:r w:rsidR="00C15A53" w:rsidRPr="00AE3A97">
              <w:rPr>
                <w:rFonts w:eastAsiaTheme="minorEastAsia" w:hint="eastAsia"/>
                <w:color w:val="FF6600"/>
              </w:rPr>
              <w:t>日）</w:t>
            </w:r>
          </w:p>
        </w:tc>
        <w:tc>
          <w:tcPr>
            <w:tcW w:w="227" w:type="dxa"/>
            <w:vAlign w:val="center"/>
          </w:tcPr>
          <w:p w:rsidR="009D1FAD" w:rsidRPr="00AE3A97" w:rsidRDefault="009D1FAD" w:rsidP="002C2DD4">
            <w:pPr>
              <w:jc w:val="center"/>
              <w:rPr>
                <w:rFonts w:ascii="Arial" w:hAnsi="Arial" w:cs="Arial"/>
                <w:b/>
                <w:bCs/>
                <w:i/>
                <w:iCs/>
                <w:color w:val="FF6600"/>
                <w:kern w:val="0"/>
                <w:szCs w:val="21"/>
                <w:lang w:val="en-GB"/>
              </w:rPr>
            </w:pPr>
          </w:p>
        </w:tc>
        <w:tc>
          <w:tcPr>
            <w:tcW w:w="5272" w:type="dxa"/>
            <w:tcBorders>
              <w:top w:val="single" w:sz="6" w:space="0" w:color="FF6600"/>
              <w:bottom w:val="single" w:sz="6" w:space="0" w:color="FF6600"/>
            </w:tcBorders>
            <w:shd w:val="clear" w:color="auto" w:fill="auto"/>
            <w:vAlign w:val="center"/>
          </w:tcPr>
          <w:p w:rsidR="009D1FAD" w:rsidRPr="00AE3A97" w:rsidRDefault="009D1FAD" w:rsidP="002C2DD4">
            <w:pPr>
              <w:pStyle w:val="SubTitleLargeTable"/>
              <w:pBdr>
                <w:top w:val="none" w:sz="0" w:space="0" w:color="auto"/>
              </w:pBdr>
              <w:rPr>
                <w:rFonts w:eastAsiaTheme="minorEastAsia"/>
                <w:color w:val="FF6600"/>
              </w:rPr>
            </w:pPr>
            <w:r w:rsidRPr="00AE3A97">
              <w:rPr>
                <w:rFonts w:eastAsiaTheme="minorEastAsia"/>
                <w:color w:val="FF6600"/>
              </w:rPr>
              <w:t>图表</w:t>
            </w:r>
            <w:r w:rsidR="00C15A53" w:rsidRPr="00AE3A97">
              <w:rPr>
                <w:rFonts w:eastAsiaTheme="minorEastAsia" w:hint="eastAsia"/>
                <w:color w:val="FF6600"/>
              </w:rPr>
              <w:t>2</w:t>
            </w:r>
            <w:r w:rsidRPr="00AE3A97">
              <w:rPr>
                <w:rFonts w:eastAsiaTheme="minorEastAsia" w:hint="eastAsia"/>
                <w:color w:val="FF6600"/>
              </w:rPr>
              <w:t>：</w:t>
            </w:r>
            <w:r w:rsidRPr="00AE3A97">
              <w:rPr>
                <w:rFonts w:eastAsiaTheme="minorEastAsia" w:hint="eastAsia"/>
                <w:color w:val="FF6600"/>
              </w:rPr>
              <w:t>2013</w:t>
            </w:r>
            <w:r w:rsidRPr="00AE3A97">
              <w:rPr>
                <w:rFonts w:eastAsiaTheme="minorEastAsia" w:hint="eastAsia"/>
                <w:color w:val="FF6600"/>
              </w:rPr>
              <w:t>年</w:t>
            </w:r>
            <w:r w:rsidRPr="00AE3A97">
              <w:rPr>
                <w:rFonts w:eastAsiaTheme="minorEastAsia" w:hint="eastAsia"/>
                <w:color w:val="FF6600"/>
              </w:rPr>
              <w:t>1~11</w:t>
            </w:r>
            <w:r w:rsidRPr="00AE3A97">
              <w:rPr>
                <w:rFonts w:eastAsiaTheme="minorEastAsia" w:hint="eastAsia"/>
                <w:color w:val="FF6600"/>
              </w:rPr>
              <w:t>月</w:t>
            </w:r>
            <w:r w:rsidR="00C15A53" w:rsidRPr="00AE3A97">
              <w:rPr>
                <w:rFonts w:eastAsiaTheme="minorEastAsia" w:hint="eastAsia"/>
                <w:color w:val="FF6600"/>
              </w:rPr>
              <w:t>各行业</w:t>
            </w:r>
            <w:r w:rsidRPr="00AE3A97">
              <w:rPr>
                <w:rFonts w:eastAsiaTheme="minorEastAsia" w:hint="eastAsia"/>
                <w:color w:val="FF6600"/>
              </w:rPr>
              <w:t>涨跌幅</w:t>
            </w:r>
            <w:r w:rsidR="00C15A53" w:rsidRPr="00AE3A97">
              <w:rPr>
                <w:rFonts w:eastAsiaTheme="minorEastAsia" w:hint="eastAsia"/>
                <w:color w:val="FF6600"/>
              </w:rPr>
              <w:t>（截至</w:t>
            </w:r>
            <w:r w:rsidR="00C15A53" w:rsidRPr="00AE3A97">
              <w:rPr>
                <w:rFonts w:eastAsiaTheme="minorEastAsia" w:hint="eastAsia"/>
                <w:color w:val="FF6600"/>
              </w:rPr>
              <w:t>11</w:t>
            </w:r>
            <w:r w:rsidR="00C15A53" w:rsidRPr="00AE3A97">
              <w:rPr>
                <w:rFonts w:eastAsiaTheme="minorEastAsia" w:hint="eastAsia"/>
                <w:color w:val="FF6600"/>
              </w:rPr>
              <w:t>月</w:t>
            </w:r>
            <w:r w:rsidR="00C15A53" w:rsidRPr="00AE3A97">
              <w:rPr>
                <w:rFonts w:eastAsiaTheme="minorEastAsia" w:hint="eastAsia"/>
                <w:color w:val="FF6600"/>
              </w:rPr>
              <w:t>30</w:t>
            </w:r>
            <w:r w:rsidR="00C15A53" w:rsidRPr="00AE3A97">
              <w:rPr>
                <w:rFonts w:eastAsiaTheme="minorEastAsia" w:hint="eastAsia"/>
                <w:color w:val="FF6600"/>
              </w:rPr>
              <w:t>日）</w:t>
            </w:r>
          </w:p>
        </w:tc>
      </w:tr>
      <w:tr w:rsidR="009D1FAD" w:rsidRPr="00837084" w:rsidTr="002C2DD4">
        <w:trPr>
          <w:cantSplit/>
          <w:trHeight w:val="3016"/>
        </w:trPr>
        <w:tc>
          <w:tcPr>
            <w:tcW w:w="5272" w:type="dxa"/>
            <w:tcBorders>
              <w:top w:val="single" w:sz="6" w:space="0" w:color="FF6600"/>
              <w:bottom w:val="single" w:sz="6" w:space="0" w:color="FF6600"/>
            </w:tcBorders>
            <w:shd w:val="clear" w:color="auto" w:fill="auto"/>
            <w:vAlign w:val="center"/>
          </w:tcPr>
          <w:p w:rsidR="009D1FAD" w:rsidRDefault="00F95763" w:rsidP="002C2DD4">
            <w:pPr>
              <w:jc w:val="center"/>
            </w:pPr>
            <w:r w:rsidRPr="00F95763">
              <w:rPr>
                <w:noProof/>
              </w:rPr>
              <w:drawing>
                <wp:inline distT="0" distB="0" distL="0" distR="0">
                  <wp:extent cx="3310583" cy="2152650"/>
                  <wp:effectExtent l="19050" t="0" r="4117"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310583" cy="2152650"/>
                          </a:xfrm>
                          <a:prstGeom prst="rect">
                            <a:avLst/>
                          </a:prstGeom>
                          <a:noFill/>
                        </pic:spPr>
                      </pic:pic>
                    </a:graphicData>
                  </a:graphic>
                </wp:inline>
              </w:drawing>
            </w:r>
          </w:p>
        </w:tc>
        <w:tc>
          <w:tcPr>
            <w:tcW w:w="227" w:type="dxa"/>
            <w:vAlign w:val="center"/>
          </w:tcPr>
          <w:p w:rsidR="009D1FAD" w:rsidRPr="00837084" w:rsidRDefault="009D1FAD" w:rsidP="002C2DD4">
            <w:pPr>
              <w:jc w:val="center"/>
            </w:pPr>
          </w:p>
        </w:tc>
        <w:tc>
          <w:tcPr>
            <w:tcW w:w="5272" w:type="dxa"/>
            <w:tcBorders>
              <w:top w:val="single" w:sz="6" w:space="0" w:color="FF6600"/>
              <w:bottom w:val="single" w:sz="6" w:space="0" w:color="FF6600"/>
            </w:tcBorders>
            <w:shd w:val="clear" w:color="auto" w:fill="auto"/>
            <w:vAlign w:val="center"/>
          </w:tcPr>
          <w:p w:rsidR="009D1FAD" w:rsidRPr="00F12D44" w:rsidRDefault="00B82D97" w:rsidP="002C2DD4">
            <w:pPr>
              <w:jc w:val="center"/>
            </w:pPr>
            <w:r>
              <w:rPr>
                <w:noProof/>
              </w:rPr>
              <w:drawing>
                <wp:inline distT="0" distB="0" distL="0" distR="0">
                  <wp:extent cx="3409950" cy="2171700"/>
                  <wp:effectExtent l="19050" t="0" r="0"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409950" cy="2171700"/>
                          </a:xfrm>
                          <a:prstGeom prst="rect">
                            <a:avLst/>
                          </a:prstGeom>
                          <a:noFill/>
                        </pic:spPr>
                      </pic:pic>
                    </a:graphicData>
                  </a:graphic>
                </wp:inline>
              </w:drawing>
            </w:r>
          </w:p>
        </w:tc>
      </w:tr>
    </w:tbl>
    <w:p w:rsidR="009D1FAD" w:rsidRDefault="009D1FAD" w:rsidP="009D1FAD">
      <w:pPr>
        <w:pStyle w:val="FootnoteNoline"/>
        <w:ind w:left="0"/>
        <w:jc w:val="left"/>
      </w:pPr>
      <w:r w:rsidRPr="003629A1">
        <w:rPr>
          <w:rFonts w:hint="eastAsia"/>
          <w:color w:val="FF6600"/>
        </w:rPr>
        <w:t>来源：凯石财富工场</w:t>
      </w:r>
      <w:r>
        <w:rPr>
          <w:rFonts w:hint="eastAsia"/>
        </w:rPr>
        <w:t xml:space="preserve"> </w:t>
      </w:r>
    </w:p>
    <w:p w:rsidR="002B417A" w:rsidRPr="002B417A" w:rsidRDefault="006729FB" w:rsidP="00023D85">
      <w:pPr>
        <w:pStyle w:val="ac"/>
        <w:numPr>
          <w:ilvl w:val="4"/>
          <w:numId w:val="1"/>
        </w:numPr>
        <w:spacing w:after="163"/>
        <w:rPr>
          <w:rFonts w:eastAsiaTheme="minorEastAsia"/>
          <w:color w:val="auto"/>
        </w:rPr>
      </w:pPr>
      <w:r>
        <w:rPr>
          <w:rFonts w:eastAsiaTheme="minorEastAsia" w:hint="eastAsia"/>
          <w:color w:val="auto"/>
        </w:rPr>
        <w:t>在</w:t>
      </w:r>
      <w:r w:rsidR="007D4AE9">
        <w:rPr>
          <w:rFonts w:eastAsiaTheme="minorEastAsia" w:hint="eastAsia"/>
          <w:color w:val="auto"/>
        </w:rPr>
        <w:t>今年</w:t>
      </w:r>
      <w:r w:rsidR="00140E0F">
        <w:rPr>
          <w:rFonts w:eastAsiaTheme="minorEastAsia" w:hint="eastAsia"/>
          <w:color w:val="auto"/>
        </w:rPr>
        <w:t>“成长</w:t>
      </w:r>
      <w:r w:rsidR="00140E0F">
        <w:rPr>
          <w:rFonts w:eastAsiaTheme="minorEastAsia" w:hint="eastAsia"/>
          <w:color w:val="auto"/>
        </w:rPr>
        <w:t>+</w:t>
      </w:r>
      <w:r w:rsidR="00140E0F">
        <w:rPr>
          <w:rFonts w:eastAsiaTheme="minorEastAsia" w:hint="eastAsia"/>
          <w:color w:val="auto"/>
        </w:rPr>
        <w:t>主题”</w:t>
      </w:r>
      <w:r>
        <w:rPr>
          <w:rFonts w:eastAsiaTheme="minorEastAsia" w:hint="eastAsia"/>
          <w:color w:val="auto"/>
        </w:rPr>
        <w:t>结构牛市中</w:t>
      </w:r>
      <w:r w:rsidR="00B67EFC">
        <w:rPr>
          <w:rFonts w:eastAsiaTheme="minorEastAsia" w:hint="eastAsia"/>
          <w:color w:val="auto"/>
        </w:rPr>
        <w:t>，</w:t>
      </w:r>
      <w:r w:rsidR="002B417A">
        <w:rPr>
          <w:rFonts w:eastAsiaTheme="minorEastAsia" w:hint="eastAsia"/>
          <w:color w:val="auto"/>
        </w:rPr>
        <w:t>领跑</w:t>
      </w:r>
      <w:r w:rsidR="00AF572E">
        <w:rPr>
          <w:rFonts w:eastAsiaTheme="minorEastAsia" w:hint="eastAsia"/>
          <w:color w:val="auto"/>
        </w:rPr>
        <w:t>的</w:t>
      </w:r>
      <w:r w:rsidR="00140E0F">
        <w:rPr>
          <w:rFonts w:eastAsiaTheme="minorEastAsia" w:hint="eastAsia"/>
          <w:color w:val="auto"/>
        </w:rPr>
        <w:t>对冲基金</w:t>
      </w:r>
      <w:r w:rsidR="002B417A">
        <w:rPr>
          <w:rFonts w:eastAsiaTheme="minorEastAsia" w:hint="eastAsia"/>
          <w:color w:val="auto"/>
        </w:rPr>
        <w:t>既有</w:t>
      </w:r>
      <w:r w:rsidR="007D4AE9">
        <w:rPr>
          <w:rFonts w:eastAsiaTheme="minorEastAsia" w:hint="eastAsia"/>
          <w:color w:val="auto"/>
        </w:rPr>
        <w:t>敢于</w:t>
      </w:r>
      <w:r w:rsidR="00A24C03">
        <w:rPr>
          <w:rFonts w:eastAsiaTheme="minorEastAsia" w:hint="eastAsia"/>
          <w:color w:val="auto"/>
        </w:rPr>
        <w:t>重仓</w:t>
      </w:r>
      <w:r w:rsidR="00892334">
        <w:rPr>
          <w:rFonts w:eastAsiaTheme="minorEastAsia" w:hint="eastAsia"/>
          <w:color w:val="auto"/>
        </w:rPr>
        <w:t>集中</w:t>
      </w:r>
      <w:r w:rsidR="005473F3">
        <w:rPr>
          <w:rFonts w:eastAsiaTheme="minorEastAsia" w:hint="eastAsia"/>
          <w:color w:val="auto"/>
        </w:rPr>
        <w:t>题材</w:t>
      </w:r>
      <w:r w:rsidR="00A24C03">
        <w:rPr>
          <w:rFonts w:eastAsiaTheme="minorEastAsia" w:hint="eastAsia"/>
          <w:color w:val="auto"/>
        </w:rPr>
        <w:t>股</w:t>
      </w:r>
      <w:r w:rsidR="00892334">
        <w:rPr>
          <w:rFonts w:eastAsiaTheme="minorEastAsia" w:hint="eastAsia"/>
          <w:color w:val="auto"/>
        </w:rPr>
        <w:t>从而</w:t>
      </w:r>
      <w:r w:rsidR="00A24C03">
        <w:rPr>
          <w:rFonts w:eastAsiaTheme="minorEastAsia" w:hint="eastAsia"/>
          <w:color w:val="auto"/>
        </w:rPr>
        <w:t>借机翻身</w:t>
      </w:r>
      <w:r w:rsidR="007D4AE9">
        <w:rPr>
          <w:rFonts w:eastAsiaTheme="minorEastAsia" w:hint="eastAsia"/>
          <w:color w:val="auto"/>
        </w:rPr>
        <w:t>的“胆大”型</w:t>
      </w:r>
      <w:r w:rsidR="00A24C03">
        <w:rPr>
          <w:rFonts w:eastAsiaTheme="minorEastAsia" w:hint="eastAsia"/>
          <w:color w:val="auto"/>
        </w:rPr>
        <w:t>，也</w:t>
      </w:r>
      <w:r w:rsidR="007A517D">
        <w:rPr>
          <w:rFonts w:eastAsiaTheme="minorEastAsia" w:hint="eastAsia"/>
          <w:color w:val="auto"/>
        </w:rPr>
        <w:t>有</w:t>
      </w:r>
      <w:r w:rsidR="00E51A9E">
        <w:rPr>
          <w:rFonts w:eastAsiaTheme="minorEastAsia" w:hint="eastAsia"/>
          <w:color w:val="auto"/>
        </w:rPr>
        <w:t>兼顾择时、</w:t>
      </w:r>
      <w:r w:rsidR="007A517D">
        <w:rPr>
          <w:rFonts w:eastAsiaTheme="minorEastAsia" w:hint="eastAsia"/>
          <w:color w:val="auto"/>
        </w:rPr>
        <w:t>业绩</w:t>
      </w:r>
      <w:r w:rsidR="00E301FE">
        <w:rPr>
          <w:rFonts w:eastAsiaTheme="minorEastAsia" w:hint="eastAsia"/>
          <w:color w:val="auto"/>
        </w:rPr>
        <w:t>穿越牛熊</w:t>
      </w:r>
      <w:r w:rsidR="007A517D">
        <w:rPr>
          <w:rFonts w:eastAsiaTheme="minorEastAsia" w:hint="eastAsia"/>
          <w:color w:val="auto"/>
        </w:rPr>
        <w:t>长期</w:t>
      </w:r>
      <w:r w:rsidR="005621A8">
        <w:rPr>
          <w:rFonts w:eastAsiaTheme="minorEastAsia" w:hint="eastAsia"/>
          <w:color w:val="auto"/>
        </w:rPr>
        <w:t>稳定</w:t>
      </w:r>
      <w:r w:rsidR="007A517D">
        <w:rPr>
          <w:rFonts w:eastAsiaTheme="minorEastAsia" w:hint="eastAsia"/>
          <w:color w:val="auto"/>
        </w:rPr>
        <w:t>的</w:t>
      </w:r>
      <w:r w:rsidR="007D4AE9">
        <w:rPr>
          <w:rFonts w:eastAsiaTheme="minorEastAsia" w:hint="eastAsia"/>
          <w:color w:val="auto"/>
        </w:rPr>
        <w:t>“心细”型</w:t>
      </w:r>
      <w:r w:rsidR="007A517D">
        <w:rPr>
          <w:rFonts w:eastAsiaTheme="minorEastAsia" w:hint="eastAsia"/>
          <w:color w:val="auto"/>
        </w:rPr>
        <w:t>。</w:t>
      </w:r>
      <w:r w:rsidR="007D4AE9">
        <w:rPr>
          <w:rFonts w:eastAsiaTheme="minorEastAsia" w:hint="eastAsia"/>
          <w:color w:val="auto"/>
        </w:rPr>
        <w:t>而</w:t>
      </w:r>
      <w:r w:rsidR="002B417A">
        <w:rPr>
          <w:rFonts w:eastAsiaTheme="minorEastAsia" w:hint="eastAsia"/>
          <w:color w:val="auto"/>
        </w:rPr>
        <w:t>前者历史净值往往波动较大，胜败</w:t>
      </w:r>
      <w:r w:rsidR="003C20CF">
        <w:rPr>
          <w:rFonts w:eastAsiaTheme="minorEastAsia" w:hint="eastAsia"/>
          <w:color w:val="auto"/>
        </w:rPr>
        <w:t>很大程度</w:t>
      </w:r>
      <w:r w:rsidR="002B417A">
        <w:rPr>
          <w:rFonts w:eastAsiaTheme="minorEastAsia" w:hint="eastAsia"/>
          <w:color w:val="auto"/>
        </w:rPr>
        <w:t>取决于</w:t>
      </w:r>
      <w:r w:rsidR="007801AA">
        <w:rPr>
          <w:rFonts w:eastAsiaTheme="minorEastAsia" w:hint="eastAsia"/>
          <w:color w:val="auto"/>
        </w:rPr>
        <w:t>大环境</w:t>
      </w:r>
      <w:r w:rsidR="002B417A">
        <w:rPr>
          <w:rFonts w:eastAsiaTheme="minorEastAsia" w:hint="eastAsia"/>
          <w:color w:val="auto"/>
        </w:rPr>
        <w:t>顺遂与否，后者则对管理人提出更高要求，需</w:t>
      </w:r>
      <w:r w:rsidR="00892334">
        <w:rPr>
          <w:rFonts w:ascii="Calibri" w:eastAsia="宋体" w:hAnsi="Calibri" w:hint="eastAsia"/>
        </w:rPr>
        <w:t>具备较强的事件敏感性</w:t>
      </w:r>
      <w:r w:rsidR="002B417A">
        <w:rPr>
          <w:rFonts w:ascii="Calibri" w:eastAsia="宋体" w:hAnsi="Calibri" w:hint="eastAsia"/>
        </w:rPr>
        <w:t>和</w:t>
      </w:r>
      <w:r w:rsidR="00E301FE">
        <w:rPr>
          <w:rFonts w:ascii="Calibri" w:eastAsia="宋体" w:hAnsi="Calibri" w:hint="eastAsia"/>
        </w:rPr>
        <w:t>择股、</w:t>
      </w:r>
      <w:r w:rsidR="002B417A">
        <w:rPr>
          <w:rFonts w:ascii="Calibri" w:eastAsia="宋体" w:hAnsi="Calibri" w:hint="eastAsia"/>
        </w:rPr>
        <w:t>选时能力，</w:t>
      </w:r>
      <w:r w:rsidR="007801AA">
        <w:rPr>
          <w:rFonts w:ascii="Calibri" w:eastAsia="宋体" w:hAnsi="Calibri" w:hint="eastAsia"/>
        </w:rPr>
        <w:t>在对行业公司基本面判定基础上</w:t>
      </w:r>
      <w:r w:rsidR="002B417A">
        <w:rPr>
          <w:rFonts w:ascii="Calibri" w:eastAsia="宋体" w:hAnsi="Calibri" w:hint="eastAsia"/>
        </w:rPr>
        <w:t>实现对</w:t>
      </w:r>
      <w:r w:rsidR="005473F3">
        <w:rPr>
          <w:rFonts w:ascii="Calibri" w:eastAsia="宋体" w:hAnsi="Calibri" w:hint="eastAsia"/>
        </w:rPr>
        <w:t>投资</w:t>
      </w:r>
      <w:r w:rsidR="002B417A">
        <w:rPr>
          <w:rFonts w:ascii="Calibri" w:eastAsia="宋体" w:hAnsi="Calibri" w:hint="eastAsia"/>
        </w:rPr>
        <w:t>机会的及时介入、及时撤离。</w:t>
      </w:r>
      <w:r w:rsidR="002F6937">
        <w:rPr>
          <w:rFonts w:asciiTheme="minorEastAsia" w:eastAsiaTheme="minorEastAsia" w:hAnsiTheme="minorEastAsia" w:hint="eastAsia"/>
          <w:color w:val="auto"/>
        </w:rPr>
        <w:t>事实上，好的市场背景只是获得好业</w:t>
      </w:r>
      <w:r w:rsidR="002B417A">
        <w:rPr>
          <w:rFonts w:asciiTheme="minorEastAsia" w:eastAsiaTheme="minorEastAsia" w:hAnsiTheme="minorEastAsia" w:hint="eastAsia"/>
          <w:color w:val="auto"/>
        </w:rPr>
        <w:t>绩的部分原因，对国内对冲基金而言，更重要的是投资标的的选择以及买入</w:t>
      </w:r>
      <w:r w:rsidR="002B417A" w:rsidRPr="007C6A4E">
        <w:rPr>
          <w:rFonts w:asciiTheme="minorEastAsia" w:eastAsiaTheme="minorEastAsia" w:hAnsiTheme="minorEastAsia" w:hint="eastAsia"/>
          <w:color w:val="auto"/>
        </w:rPr>
        <w:t>标的的最佳时机。</w:t>
      </w:r>
    </w:p>
    <w:p w:rsidR="00786B6C" w:rsidRDefault="00786B6C" w:rsidP="007E52A3">
      <w:pPr>
        <w:pStyle w:val="ac"/>
        <w:numPr>
          <w:ilvl w:val="5"/>
          <w:numId w:val="2"/>
        </w:numPr>
        <w:spacing w:after="163"/>
        <w:ind w:left="4140" w:hanging="369"/>
        <w:rPr>
          <w:rFonts w:asciiTheme="minorEastAsia" w:eastAsiaTheme="minorEastAsia" w:hAnsiTheme="minorEastAsia"/>
          <w:color w:val="auto"/>
        </w:rPr>
      </w:pPr>
      <w:r>
        <w:rPr>
          <w:rFonts w:asciiTheme="minorEastAsia" w:eastAsiaTheme="minorEastAsia" w:hAnsiTheme="minorEastAsia" w:hint="eastAsia"/>
          <w:color w:val="auto"/>
        </w:rPr>
        <w:t>“胆大”型以集中持股、重仓中小盘题材股为典型做派，如新价值、鸿逸、金河、龙腾等管理人产品，今年</w:t>
      </w:r>
      <w:r w:rsidR="00CB087B" w:rsidRPr="00CB087B">
        <w:rPr>
          <w:rFonts w:eastAsiaTheme="minorEastAsia" w:hint="eastAsia"/>
          <w:color w:val="auto"/>
        </w:rPr>
        <w:t>11</w:t>
      </w:r>
      <w:r w:rsidR="00CB087B" w:rsidRPr="00CB087B">
        <w:rPr>
          <w:rFonts w:eastAsiaTheme="minorEastAsia" w:hint="eastAsia"/>
          <w:color w:val="auto"/>
        </w:rPr>
        <w:t>个</w:t>
      </w:r>
      <w:r w:rsidR="00CB087B">
        <w:rPr>
          <w:rFonts w:asciiTheme="minorEastAsia" w:eastAsiaTheme="minorEastAsia" w:hAnsiTheme="minorEastAsia" w:hint="eastAsia"/>
          <w:color w:val="auto"/>
        </w:rPr>
        <w:t>月来</w:t>
      </w:r>
      <w:r>
        <w:rPr>
          <w:rFonts w:asciiTheme="minorEastAsia" w:eastAsiaTheme="minorEastAsia" w:hAnsiTheme="minorEastAsia" w:hint="eastAsia"/>
          <w:color w:val="auto"/>
        </w:rPr>
        <w:t>回报率</w:t>
      </w:r>
      <w:r w:rsidR="00CB087B">
        <w:rPr>
          <w:rFonts w:asciiTheme="minorEastAsia" w:eastAsiaTheme="minorEastAsia" w:hAnsiTheme="minorEastAsia" w:hint="eastAsia"/>
          <w:color w:val="auto"/>
        </w:rPr>
        <w:t>在</w:t>
      </w:r>
      <w:r w:rsidR="00CB087B" w:rsidRPr="00CB087B">
        <w:rPr>
          <w:rFonts w:eastAsiaTheme="minorEastAsia" w:hint="eastAsia"/>
          <w:color w:val="auto"/>
        </w:rPr>
        <w:t>50%~110%</w:t>
      </w:r>
      <w:r w:rsidR="00FF6AB3">
        <w:rPr>
          <w:rFonts w:asciiTheme="minorEastAsia" w:eastAsiaTheme="minorEastAsia" w:hAnsiTheme="minorEastAsia" w:hint="eastAsia"/>
          <w:color w:val="auto"/>
        </w:rPr>
        <w:t>，成</w:t>
      </w:r>
      <w:r w:rsidR="00313A31">
        <w:rPr>
          <w:rFonts w:asciiTheme="minorEastAsia" w:eastAsiaTheme="minorEastAsia" w:hAnsiTheme="minorEastAsia" w:hint="eastAsia"/>
          <w:color w:val="auto"/>
        </w:rPr>
        <w:t>绩赚足眼球</w:t>
      </w:r>
      <w:r>
        <w:rPr>
          <w:rFonts w:asciiTheme="minorEastAsia" w:eastAsiaTheme="minorEastAsia" w:hAnsiTheme="minorEastAsia" w:hint="eastAsia"/>
          <w:color w:val="auto"/>
        </w:rPr>
        <w:t>，但波动偏高且</w:t>
      </w:r>
      <w:r w:rsidR="003127E6">
        <w:rPr>
          <w:rFonts w:asciiTheme="minorEastAsia" w:eastAsiaTheme="minorEastAsia" w:hAnsiTheme="minorEastAsia" w:hint="eastAsia"/>
          <w:color w:val="auto"/>
        </w:rPr>
        <w:t>部分产品</w:t>
      </w:r>
      <w:r>
        <w:rPr>
          <w:rFonts w:asciiTheme="minorEastAsia" w:eastAsiaTheme="minorEastAsia" w:hAnsiTheme="minorEastAsia" w:hint="eastAsia"/>
          <w:color w:val="auto"/>
        </w:rPr>
        <w:t>长期低于面值，在凯石工场对冲基金风险评价中均被评定为“高风险”等级。</w:t>
      </w:r>
    </w:p>
    <w:p w:rsidR="0002053F" w:rsidRPr="00662FBE" w:rsidRDefault="007E52A3" w:rsidP="00662FBE">
      <w:pPr>
        <w:pStyle w:val="ac"/>
        <w:numPr>
          <w:ilvl w:val="5"/>
          <w:numId w:val="2"/>
        </w:numPr>
        <w:spacing w:after="163"/>
        <w:ind w:left="4140" w:hanging="369"/>
        <w:rPr>
          <w:rFonts w:asciiTheme="minorEastAsia" w:eastAsiaTheme="minorEastAsia" w:hAnsiTheme="minorEastAsia"/>
          <w:color w:val="auto"/>
        </w:rPr>
      </w:pPr>
      <w:r>
        <w:rPr>
          <w:rFonts w:asciiTheme="minorEastAsia" w:eastAsiaTheme="minorEastAsia" w:hAnsiTheme="minorEastAsia"/>
          <w:color w:val="auto"/>
        </w:rPr>
        <w:t>“</w:t>
      </w:r>
      <w:r w:rsidR="00CB087B">
        <w:rPr>
          <w:rFonts w:asciiTheme="minorEastAsia" w:eastAsiaTheme="minorEastAsia" w:hAnsiTheme="minorEastAsia"/>
          <w:color w:val="auto"/>
        </w:rPr>
        <w:t>心细</w:t>
      </w:r>
      <w:r>
        <w:rPr>
          <w:rFonts w:asciiTheme="minorEastAsia" w:eastAsiaTheme="minorEastAsia" w:hAnsiTheme="minorEastAsia"/>
          <w:color w:val="auto"/>
        </w:rPr>
        <w:t>”</w:t>
      </w:r>
      <w:r w:rsidR="00CB087B">
        <w:rPr>
          <w:rFonts w:asciiTheme="minorEastAsia" w:eastAsiaTheme="minorEastAsia" w:hAnsiTheme="minorEastAsia"/>
          <w:color w:val="auto"/>
        </w:rPr>
        <w:t>型</w:t>
      </w:r>
      <w:r w:rsidR="00972F13">
        <w:rPr>
          <w:rFonts w:asciiTheme="minorEastAsia" w:eastAsiaTheme="minorEastAsia" w:hAnsiTheme="minorEastAsia"/>
          <w:color w:val="auto"/>
        </w:rPr>
        <w:t>多以</w:t>
      </w:r>
      <w:r w:rsidR="002B417A">
        <w:rPr>
          <w:rFonts w:asciiTheme="minorEastAsia" w:eastAsiaTheme="minorEastAsia" w:hAnsiTheme="minorEastAsia"/>
          <w:color w:val="auto"/>
        </w:rPr>
        <w:t>选股能力</w:t>
      </w:r>
      <w:r w:rsidR="00972F13">
        <w:rPr>
          <w:rFonts w:asciiTheme="minorEastAsia" w:eastAsiaTheme="minorEastAsia" w:hAnsiTheme="minorEastAsia"/>
          <w:color w:val="auto"/>
        </w:rPr>
        <w:t>著称</w:t>
      </w:r>
      <w:r w:rsidR="00B26AFC">
        <w:rPr>
          <w:rFonts w:ascii="Calibri" w:eastAsia="宋体" w:hAnsi="Calibri" w:hint="eastAsia"/>
        </w:rPr>
        <w:t>，且擅</w:t>
      </w:r>
      <w:r w:rsidR="002F6937">
        <w:rPr>
          <w:rFonts w:ascii="Calibri" w:eastAsia="宋体" w:hAnsi="Calibri" w:hint="eastAsia"/>
        </w:rPr>
        <w:t>以</w:t>
      </w:r>
      <w:r w:rsidR="002B417A">
        <w:rPr>
          <w:rFonts w:ascii="Calibri" w:eastAsia="宋体" w:hAnsi="Calibri" w:hint="eastAsia"/>
        </w:rPr>
        <w:t>择时辅助，通过</w:t>
      </w:r>
      <w:r w:rsidR="00CB087B">
        <w:rPr>
          <w:rFonts w:ascii="Calibri" w:eastAsia="宋体" w:hAnsi="Calibri" w:hint="eastAsia"/>
        </w:rPr>
        <w:t>适时介入热点、</w:t>
      </w:r>
      <w:r w:rsidR="002B417A">
        <w:rPr>
          <w:rFonts w:ascii="Calibri" w:eastAsia="宋体" w:hAnsi="Calibri" w:hint="eastAsia"/>
        </w:rPr>
        <w:t>动态调整</w:t>
      </w:r>
      <w:r w:rsidR="00FF6AB3">
        <w:rPr>
          <w:rFonts w:ascii="Calibri" w:eastAsia="宋体" w:hAnsi="Calibri" w:hint="eastAsia"/>
        </w:rPr>
        <w:t>组合</w:t>
      </w:r>
      <w:r w:rsidR="0016423D">
        <w:rPr>
          <w:rFonts w:ascii="Calibri" w:eastAsia="宋体" w:hAnsi="Calibri" w:hint="eastAsia"/>
        </w:rPr>
        <w:t>标的</w:t>
      </w:r>
      <w:r w:rsidR="00FF6AB3">
        <w:rPr>
          <w:rFonts w:ascii="Calibri" w:eastAsia="宋体" w:hAnsi="Calibri" w:hint="eastAsia"/>
        </w:rPr>
        <w:t>从而</w:t>
      </w:r>
      <w:r w:rsidR="0016423D">
        <w:rPr>
          <w:rFonts w:ascii="Calibri" w:eastAsia="宋体" w:hAnsi="Calibri" w:hint="eastAsia"/>
        </w:rPr>
        <w:t>平衡整体</w:t>
      </w:r>
      <w:r w:rsidR="002B417A">
        <w:rPr>
          <w:rFonts w:ascii="Calibri" w:eastAsia="宋体" w:hAnsi="Calibri" w:hint="eastAsia"/>
        </w:rPr>
        <w:t>风险</w:t>
      </w:r>
      <w:r w:rsidR="0016423D">
        <w:rPr>
          <w:rFonts w:ascii="Calibri" w:eastAsia="宋体" w:hAnsi="Calibri" w:hint="eastAsia"/>
        </w:rPr>
        <w:t>，</w:t>
      </w:r>
      <w:r w:rsidR="00FF6AB3">
        <w:rPr>
          <w:rFonts w:asciiTheme="minorEastAsia" w:eastAsiaTheme="minorEastAsia" w:hAnsiTheme="minorEastAsia"/>
          <w:color w:val="auto"/>
        </w:rPr>
        <w:t>如凯石工场</w:t>
      </w:r>
      <w:r w:rsidR="0079678D">
        <w:rPr>
          <w:rFonts w:asciiTheme="minorEastAsia" w:eastAsiaTheme="minorEastAsia" w:hAnsiTheme="minorEastAsia"/>
          <w:color w:val="auto"/>
        </w:rPr>
        <w:t>研究人员</w:t>
      </w:r>
      <w:r w:rsidR="00FF6AB3">
        <w:rPr>
          <w:rFonts w:asciiTheme="minorEastAsia" w:eastAsiaTheme="minorEastAsia" w:hAnsiTheme="minorEastAsia"/>
          <w:color w:val="auto"/>
        </w:rPr>
        <w:t>今年以来</w:t>
      </w:r>
      <w:r w:rsidR="0016423D">
        <w:rPr>
          <w:rFonts w:asciiTheme="minorEastAsia" w:eastAsiaTheme="minorEastAsia" w:hAnsiTheme="minorEastAsia"/>
          <w:color w:val="auto"/>
        </w:rPr>
        <w:t>主推的理成、世诚</w:t>
      </w:r>
      <w:r w:rsidR="00567DD4">
        <w:rPr>
          <w:rFonts w:asciiTheme="minorEastAsia" w:eastAsiaTheme="minorEastAsia" w:hAnsiTheme="minorEastAsia"/>
          <w:color w:val="auto"/>
        </w:rPr>
        <w:t>、</w:t>
      </w:r>
      <w:r w:rsidR="00567DD4">
        <w:rPr>
          <w:rFonts w:ascii="Calibri" w:eastAsia="宋体" w:hAnsi="Calibri" w:hint="eastAsia"/>
        </w:rPr>
        <w:t>展博、</w:t>
      </w:r>
      <w:r w:rsidR="00CD0F14">
        <w:rPr>
          <w:rFonts w:ascii="Calibri" w:eastAsia="宋体" w:hAnsi="Calibri" w:hint="eastAsia"/>
        </w:rPr>
        <w:t>明曜、尚雅、鼎锋</w:t>
      </w:r>
      <w:r w:rsidR="00FF6AB3">
        <w:rPr>
          <w:rFonts w:ascii="Calibri" w:eastAsia="宋体" w:hAnsi="Calibri" w:hint="eastAsia"/>
        </w:rPr>
        <w:t>等，代表产品</w:t>
      </w:r>
      <w:r w:rsidR="0079678D">
        <w:rPr>
          <w:rFonts w:ascii="Calibri" w:eastAsia="宋体" w:hAnsi="Calibri" w:hint="eastAsia"/>
        </w:rPr>
        <w:t>前</w:t>
      </w:r>
      <w:r w:rsidR="00592D83">
        <w:rPr>
          <w:rFonts w:ascii="Calibri" w:eastAsia="宋体" w:hAnsi="Calibri" w:hint="eastAsia"/>
        </w:rPr>
        <w:t>11</w:t>
      </w:r>
      <w:r w:rsidR="00592D83">
        <w:rPr>
          <w:rFonts w:ascii="Calibri" w:eastAsia="宋体" w:hAnsi="Calibri" w:hint="eastAsia"/>
        </w:rPr>
        <w:t>月累计</w:t>
      </w:r>
      <w:r w:rsidR="00FF6AB3">
        <w:rPr>
          <w:rFonts w:ascii="Calibri" w:eastAsia="宋体" w:hAnsi="Calibri" w:hint="eastAsia"/>
        </w:rPr>
        <w:t>收益在</w:t>
      </w:r>
      <w:r w:rsidR="00CD0F14">
        <w:rPr>
          <w:rFonts w:ascii="Calibri" w:eastAsia="宋体" w:hAnsi="Calibri" w:hint="eastAsia"/>
        </w:rPr>
        <w:t>35</w:t>
      </w:r>
      <w:r w:rsidR="00FF6AB3">
        <w:rPr>
          <w:rFonts w:ascii="Calibri" w:eastAsia="宋体" w:hAnsi="Calibri" w:hint="eastAsia"/>
        </w:rPr>
        <w:t>%~</w:t>
      </w:r>
      <w:r w:rsidR="00CD0F14">
        <w:rPr>
          <w:rFonts w:ascii="Calibri" w:eastAsia="宋体" w:hAnsi="Calibri" w:hint="eastAsia"/>
        </w:rPr>
        <w:t>50</w:t>
      </w:r>
      <w:r w:rsidR="00FF6AB3">
        <w:rPr>
          <w:rFonts w:ascii="Calibri" w:eastAsia="宋体" w:hAnsi="Calibri" w:hint="eastAsia"/>
        </w:rPr>
        <w:t>%</w:t>
      </w:r>
      <w:r w:rsidR="00F84E19">
        <w:rPr>
          <w:rFonts w:ascii="Calibri" w:eastAsia="宋体" w:hAnsi="Calibri" w:hint="eastAsia"/>
        </w:rPr>
        <w:t>区间</w:t>
      </w:r>
      <w:r w:rsidR="002B417A">
        <w:rPr>
          <w:rFonts w:asciiTheme="minorEastAsia" w:eastAsiaTheme="minorEastAsia" w:hAnsiTheme="minorEastAsia"/>
          <w:color w:val="auto"/>
        </w:rPr>
        <w:t>。此类</w:t>
      </w:r>
      <w:r>
        <w:rPr>
          <w:rFonts w:asciiTheme="minorEastAsia" w:eastAsiaTheme="minorEastAsia" w:hAnsiTheme="minorEastAsia"/>
          <w:color w:val="auto"/>
        </w:rPr>
        <w:t>基金</w:t>
      </w:r>
      <w:r w:rsidR="00CD0F14">
        <w:rPr>
          <w:rFonts w:asciiTheme="minorEastAsia" w:eastAsiaTheme="minorEastAsia" w:hAnsiTheme="minorEastAsia"/>
          <w:color w:val="auto"/>
        </w:rPr>
        <w:t>长期坚守</w:t>
      </w:r>
      <w:r w:rsidR="0010362C">
        <w:rPr>
          <w:rFonts w:asciiTheme="minorEastAsia" w:eastAsiaTheme="minorEastAsia" w:hAnsiTheme="minorEastAsia"/>
          <w:color w:val="auto"/>
        </w:rPr>
        <w:t>自身</w:t>
      </w:r>
      <w:r w:rsidR="00CD0F14">
        <w:rPr>
          <w:rFonts w:asciiTheme="minorEastAsia" w:eastAsiaTheme="minorEastAsia" w:hAnsiTheme="minorEastAsia"/>
          <w:color w:val="auto"/>
        </w:rPr>
        <w:t>风格，如鼎锋专注于挖掘成长领域</w:t>
      </w:r>
      <w:r w:rsidR="0010362C">
        <w:rPr>
          <w:rFonts w:asciiTheme="minorEastAsia" w:eastAsiaTheme="minorEastAsia" w:hAnsiTheme="minorEastAsia"/>
          <w:color w:val="auto"/>
        </w:rPr>
        <w:t>，</w:t>
      </w:r>
      <w:r w:rsidR="00CD0F14">
        <w:rPr>
          <w:rFonts w:asciiTheme="minorEastAsia" w:eastAsiaTheme="minorEastAsia" w:hAnsiTheme="minorEastAsia"/>
          <w:color w:val="auto"/>
        </w:rPr>
        <w:t>尚雅扎根于新兴产业板块，明曜以投资实业眼光甄选</w:t>
      </w:r>
      <w:r w:rsidR="00CD0F14" w:rsidRPr="00CD0F14">
        <w:rPr>
          <w:rFonts w:asciiTheme="minorEastAsia" w:eastAsiaTheme="minorEastAsia" w:hAnsiTheme="minorEastAsia" w:hint="eastAsia"/>
          <w:color w:val="auto"/>
        </w:rPr>
        <w:t>高成长龙头企业</w:t>
      </w:r>
      <w:r w:rsidR="00D02C92">
        <w:rPr>
          <w:rFonts w:asciiTheme="minorEastAsia" w:eastAsiaTheme="minorEastAsia" w:hAnsiTheme="minorEastAsia" w:hint="eastAsia"/>
          <w:color w:val="auto"/>
        </w:rPr>
        <w:t>等等；并且</w:t>
      </w:r>
      <w:r w:rsidR="0010362C">
        <w:rPr>
          <w:rFonts w:asciiTheme="minorEastAsia" w:eastAsiaTheme="minorEastAsia" w:hAnsiTheme="minorEastAsia"/>
          <w:color w:val="auto"/>
        </w:rPr>
        <w:t>在</w:t>
      </w:r>
      <w:r w:rsidR="00DA6DF8">
        <w:rPr>
          <w:rFonts w:asciiTheme="minorEastAsia" w:eastAsiaTheme="minorEastAsia" w:hAnsiTheme="minorEastAsia"/>
          <w:color w:val="auto"/>
        </w:rPr>
        <w:t>追求超额收益同时</w:t>
      </w:r>
      <w:r w:rsidR="00592D83">
        <w:rPr>
          <w:rFonts w:asciiTheme="minorEastAsia" w:eastAsiaTheme="minorEastAsia" w:hAnsiTheme="minorEastAsia"/>
          <w:color w:val="auto"/>
        </w:rPr>
        <w:t>更</w:t>
      </w:r>
      <w:r w:rsidR="002B417A">
        <w:rPr>
          <w:rFonts w:asciiTheme="minorEastAsia" w:eastAsiaTheme="minorEastAsia" w:hAnsiTheme="minorEastAsia"/>
          <w:color w:val="auto"/>
        </w:rPr>
        <w:t>能够</w:t>
      </w:r>
      <w:r w:rsidR="00DA6DF8">
        <w:rPr>
          <w:rFonts w:asciiTheme="minorEastAsia" w:eastAsiaTheme="minorEastAsia" w:hAnsiTheme="minorEastAsia"/>
          <w:color w:val="auto"/>
        </w:rPr>
        <w:t>兼顾风险，</w:t>
      </w:r>
      <w:r w:rsidR="00D02C92">
        <w:rPr>
          <w:rFonts w:asciiTheme="minorEastAsia" w:eastAsiaTheme="minorEastAsia" w:hAnsiTheme="minorEastAsia"/>
          <w:color w:val="auto"/>
        </w:rPr>
        <w:t>因而</w:t>
      </w:r>
      <w:r w:rsidR="00DA6DF8">
        <w:rPr>
          <w:rFonts w:asciiTheme="minorEastAsia" w:eastAsiaTheme="minorEastAsia" w:hAnsiTheme="minorEastAsia"/>
          <w:color w:val="auto"/>
        </w:rPr>
        <w:t>风险收益配比</w:t>
      </w:r>
      <w:r w:rsidR="0010362C">
        <w:rPr>
          <w:rFonts w:asciiTheme="minorEastAsia" w:eastAsiaTheme="minorEastAsia" w:hAnsiTheme="minorEastAsia"/>
          <w:color w:val="auto"/>
        </w:rPr>
        <w:t>效果较佳</w:t>
      </w:r>
      <w:r w:rsidR="00DA6DF8">
        <w:rPr>
          <w:rFonts w:asciiTheme="minorEastAsia" w:eastAsiaTheme="minorEastAsia" w:hAnsiTheme="minorEastAsia"/>
          <w:color w:val="auto"/>
        </w:rPr>
        <w:t>，</w:t>
      </w:r>
      <w:r w:rsidR="00C95DE6">
        <w:rPr>
          <w:rFonts w:asciiTheme="minorEastAsia" w:eastAsiaTheme="minorEastAsia" w:hAnsiTheme="minorEastAsia"/>
          <w:color w:val="auto"/>
        </w:rPr>
        <w:t>上述</w:t>
      </w:r>
      <w:r w:rsidR="00D02C92">
        <w:rPr>
          <w:rFonts w:asciiTheme="minorEastAsia" w:eastAsiaTheme="minorEastAsia" w:hAnsiTheme="minorEastAsia"/>
          <w:color w:val="auto"/>
        </w:rPr>
        <w:t>管理人的</w:t>
      </w:r>
      <w:r w:rsidR="00C95DE6">
        <w:rPr>
          <w:rFonts w:asciiTheme="minorEastAsia" w:eastAsiaTheme="minorEastAsia" w:hAnsiTheme="minorEastAsia"/>
          <w:color w:val="auto"/>
        </w:rPr>
        <w:t>代表产品</w:t>
      </w:r>
      <w:r w:rsidR="00BD22CD">
        <w:rPr>
          <w:rFonts w:ascii="Calibri" w:eastAsia="宋体" w:hAnsi="Calibri" w:hint="eastAsia"/>
        </w:rPr>
        <w:t>近一年风险调整后收益（夏普比率）在</w:t>
      </w:r>
      <w:r w:rsidR="00BD22CD">
        <w:rPr>
          <w:rFonts w:ascii="Calibri" w:eastAsia="宋体" w:hAnsi="Calibri" w:hint="eastAsia"/>
        </w:rPr>
        <w:t>1.75~3.08</w:t>
      </w:r>
      <w:r w:rsidR="00BD22CD">
        <w:rPr>
          <w:rFonts w:ascii="Calibri" w:eastAsia="宋体" w:hAnsi="Calibri" w:hint="eastAsia"/>
        </w:rPr>
        <w:t>范围，远高于</w:t>
      </w:r>
      <w:r w:rsidR="00D971B6">
        <w:rPr>
          <w:rFonts w:ascii="Calibri" w:eastAsia="宋体" w:hAnsi="Calibri" w:hint="eastAsia"/>
        </w:rPr>
        <w:t>对冲基金</w:t>
      </w:r>
      <w:r w:rsidR="00BD22CD">
        <w:rPr>
          <w:rFonts w:ascii="Calibri" w:eastAsia="宋体" w:hAnsi="Calibri" w:hint="eastAsia"/>
        </w:rPr>
        <w:t>行业平均值</w:t>
      </w:r>
      <w:r w:rsidR="00BD22CD">
        <w:rPr>
          <w:rFonts w:ascii="Calibri" w:eastAsia="宋体" w:hAnsi="Calibri" w:hint="eastAsia"/>
        </w:rPr>
        <w:t>0.92</w:t>
      </w:r>
      <w:r w:rsidR="00BD22CD">
        <w:rPr>
          <w:rFonts w:ascii="Calibri" w:eastAsia="宋体" w:hAnsi="Calibri" w:hint="eastAsia"/>
        </w:rPr>
        <w:t>。</w:t>
      </w:r>
      <w:r w:rsidR="004D3E53">
        <w:rPr>
          <w:rFonts w:ascii="Calibri" w:eastAsia="宋体" w:hAnsi="Calibri" w:hint="eastAsia"/>
        </w:rPr>
        <w:t>尽管回报率不及“胆大”型抢眼，但</w:t>
      </w:r>
      <w:r w:rsidR="00D971B6">
        <w:rPr>
          <w:rFonts w:ascii="Calibri" w:eastAsia="宋体" w:hAnsi="Calibri" w:hint="eastAsia"/>
        </w:rPr>
        <w:t>“心细”型</w:t>
      </w:r>
      <w:r w:rsidR="004D3E53">
        <w:rPr>
          <w:rFonts w:ascii="Calibri" w:eastAsia="宋体" w:hAnsi="Calibri" w:hint="eastAsia"/>
        </w:rPr>
        <w:t>对冲基金的综合能力显然更胜一筹</w:t>
      </w:r>
      <w:r w:rsidR="00DA6DF8">
        <w:rPr>
          <w:rFonts w:asciiTheme="minorEastAsia" w:eastAsiaTheme="minorEastAsia" w:hAnsiTheme="minorEastAsia"/>
          <w:color w:val="auto"/>
        </w:rPr>
        <w:t>。</w:t>
      </w:r>
    </w:p>
    <w:tbl>
      <w:tblPr>
        <w:tblW w:w="11056" w:type="dxa"/>
        <w:tblInd w:w="-284"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844"/>
        <w:gridCol w:w="1134"/>
        <w:gridCol w:w="1559"/>
        <w:gridCol w:w="992"/>
        <w:gridCol w:w="992"/>
        <w:gridCol w:w="1134"/>
        <w:gridCol w:w="1007"/>
        <w:gridCol w:w="1197"/>
        <w:gridCol w:w="1197"/>
      </w:tblGrid>
      <w:tr w:rsidR="0025073C" w:rsidTr="003A7F48">
        <w:trPr>
          <w:cantSplit/>
          <w:trHeight w:val="335"/>
          <w:tblHeader/>
        </w:trPr>
        <w:tc>
          <w:tcPr>
            <w:tcW w:w="11056" w:type="dxa"/>
            <w:gridSpan w:val="9"/>
            <w:tcBorders>
              <w:bottom w:val="single" w:sz="6" w:space="0" w:color="FF6600"/>
            </w:tcBorders>
            <w:shd w:val="clear" w:color="auto" w:fill="auto"/>
            <w:vAlign w:val="center"/>
          </w:tcPr>
          <w:p w:rsidR="0025073C" w:rsidRPr="0007259C" w:rsidRDefault="0025073C" w:rsidP="002C2DD4">
            <w:pPr>
              <w:pStyle w:val="SubTitleLargeTable"/>
              <w:pBdr>
                <w:top w:val="none" w:sz="0" w:space="0" w:color="auto"/>
              </w:pBdr>
              <w:rPr>
                <w:rFonts w:ascii="宋体" w:eastAsia="宋体" w:hAnsi="宋体"/>
                <w:b w:val="0"/>
              </w:rPr>
            </w:pPr>
            <w:r w:rsidRPr="00AE3A97">
              <w:rPr>
                <w:rFonts w:eastAsiaTheme="minorEastAsia"/>
                <w:color w:val="FF6600"/>
              </w:rPr>
              <w:t>图表</w:t>
            </w:r>
            <w:r>
              <w:rPr>
                <w:rFonts w:eastAsiaTheme="minorEastAsia" w:hint="eastAsia"/>
                <w:color w:val="FF6600"/>
              </w:rPr>
              <w:t>3</w:t>
            </w:r>
            <w:r w:rsidRPr="00AE3A97">
              <w:rPr>
                <w:rFonts w:eastAsiaTheme="minorEastAsia" w:hint="eastAsia"/>
                <w:color w:val="FF6600"/>
              </w:rPr>
              <w:t>：</w:t>
            </w:r>
            <w:r>
              <w:rPr>
                <w:rFonts w:eastAsiaTheme="minorEastAsia" w:hint="eastAsia"/>
                <w:color w:val="FF6600"/>
              </w:rPr>
              <w:t>1~11</w:t>
            </w:r>
            <w:r>
              <w:rPr>
                <w:rFonts w:eastAsiaTheme="minorEastAsia" w:hint="eastAsia"/>
                <w:color w:val="FF6600"/>
              </w:rPr>
              <w:t>月对冲基金收益率前</w:t>
            </w:r>
            <w:r>
              <w:rPr>
                <w:rFonts w:eastAsiaTheme="minorEastAsia" w:hint="eastAsia"/>
                <w:color w:val="FF6600"/>
              </w:rPr>
              <w:t>20</w:t>
            </w:r>
          </w:p>
        </w:tc>
      </w:tr>
      <w:tr w:rsidR="0025073C" w:rsidTr="003A7F48">
        <w:trPr>
          <w:cantSplit/>
          <w:trHeight w:val="397"/>
          <w:tblHeader/>
        </w:trPr>
        <w:tc>
          <w:tcPr>
            <w:tcW w:w="1844" w:type="dxa"/>
            <w:tcBorders>
              <w:right w:val="single" w:sz="6" w:space="0" w:color="FF6600"/>
            </w:tcBorders>
            <w:shd w:val="clear" w:color="auto" w:fill="FDE9D9" w:themeFill="accent6" w:themeFillTint="33"/>
            <w:vAlign w:val="center"/>
          </w:tcPr>
          <w:p w:rsidR="0025073C" w:rsidRPr="003A7828" w:rsidRDefault="0025073C" w:rsidP="003A7F48">
            <w:pPr>
              <w:snapToGrid w:val="0"/>
              <w:jc w:val="center"/>
              <w:rPr>
                <w:rFonts w:ascii="Arial" w:eastAsia="宋体" w:hAnsi="Arial" w:cs="Arial"/>
                <w:b/>
                <w:bCs/>
                <w:sz w:val="18"/>
                <w:szCs w:val="18"/>
              </w:rPr>
            </w:pPr>
            <w:r w:rsidRPr="003A7828">
              <w:rPr>
                <w:rFonts w:ascii="Arial" w:hAnsi="Arial" w:cs="Arial"/>
                <w:b/>
                <w:bCs/>
                <w:sz w:val="18"/>
                <w:szCs w:val="18"/>
              </w:rPr>
              <w:t>产品简称</w:t>
            </w:r>
          </w:p>
        </w:tc>
        <w:tc>
          <w:tcPr>
            <w:tcW w:w="1134" w:type="dxa"/>
            <w:tcBorders>
              <w:left w:val="single" w:sz="6" w:space="0" w:color="FF6600"/>
              <w:right w:val="single" w:sz="6" w:space="0" w:color="FF6600"/>
            </w:tcBorders>
            <w:shd w:val="clear" w:color="auto" w:fill="FDE9D9" w:themeFill="accent6" w:themeFillTint="33"/>
            <w:vAlign w:val="center"/>
          </w:tcPr>
          <w:p w:rsidR="0025073C" w:rsidRPr="003A7828" w:rsidRDefault="0025073C" w:rsidP="003A7F48">
            <w:pPr>
              <w:snapToGrid w:val="0"/>
              <w:jc w:val="center"/>
              <w:rPr>
                <w:rFonts w:ascii="Arial" w:eastAsia="宋体" w:hAnsi="Arial" w:cs="Arial"/>
                <w:b/>
                <w:bCs/>
                <w:sz w:val="18"/>
                <w:szCs w:val="18"/>
              </w:rPr>
            </w:pPr>
            <w:r w:rsidRPr="003A7828">
              <w:rPr>
                <w:rFonts w:ascii="Arial" w:hAnsi="Arial" w:cs="Arial"/>
                <w:b/>
                <w:bCs/>
                <w:sz w:val="18"/>
                <w:szCs w:val="18"/>
              </w:rPr>
              <w:t>投顾简称</w:t>
            </w:r>
          </w:p>
        </w:tc>
        <w:tc>
          <w:tcPr>
            <w:tcW w:w="1559" w:type="dxa"/>
            <w:tcBorders>
              <w:left w:val="single" w:sz="6" w:space="0" w:color="FF6600"/>
              <w:right w:val="single" w:sz="6" w:space="0" w:color="FF6600"/>
            </w:tcBorders>
            <w:shd w:val="clear" w:color="auto" w:fill="FDE9D9" w:themeFill="accent6" w:themeFillTint="33"/>
            <w:vAlign w:val="center"/>
          </w:tcPr>
          <w:p w:rsidR="0025073C" w:rsidRPr="003A7828" w:rsidRDefault="0025073C" w:rsidP="003A7F48">
            <w:pPr>
              <w:snapToGrid w:val="0"/>
              <w:jc w:val="center"/>
              <w:rPr>
                <w:rFonts w:ascii="宋体" w:eastAsia="宋体" w:hAnsi="宋体" w:cs="Arial"/>
                <w:b/>
                <w:bCs/>
                <w:sz w:val="18"/>
                <w:szCs w:val="18"/>
              </w:rPr>
            </w:pPr>
            <w:r w:rsidRPr="003A7828">
              <w:rPr>
                <w:rFonts w:cs="Arial" w:hint="eastAsia"/>
                <w:b/>
                <w:bCs/>
                <w:sz w:val="18"/>
                <w:szCs w:val="18"/>
              </w:rPr>
              <w:t>策略类型</w:t>
            </w:r>
          </w:p>
        </w:tc>
        <w:tc>
          <w:tcPr>
            <w:tcW w:w="992" w:type="dxa"/>
            <w:tcBorders>
              <w:left w:val="single" w:sz="6" w:space="0" w:color="FF6600"/>
              <w:right w:val="single" w:sz="6" w:space="0" w:color="FF6600"/>
            </w:tcBorders>
            <w:shd w:val="clear" w:color="auto" w:fill="FDE9D9" w:themeFill="accent6" w:themeFillTint="33"/>
            <w:vAlign w:val="center"/>
          </w:tcPr>
          <w:p w:rsidR="0025073C" w:rsidRPr="003A7828" w:rsidRDefault="0025073C" w:rsidP="003A7F48">
            <w:pPr>
              <w:snapToGrid w:val="0"/>
              <w:jc w:val="center"/>
              <w:rPr>
                <w:rFonts w:ascii="Arial" w:hAnsi="Arial" w:cs="Arial"/>
                <w:b/>
                <w:bCs/>
                <w:sz w:val="18"/>
                <w:szCs w:val="18"/>
              </w:rPr>
            </w:pPr>
            <w:r w:rsidRPr="003A7828">
              <w:rPr>
                <w:rFonts w:ascii="Arial" w:hAnsi="Arial" w:cs="Arial"/>
                <w:b/>
                <w:bCs/>
                <w:sz w:val="18"/>
                <w:szCs w:val="18"/>
              </w:rPr>
              <w:t>今年以来</w:t>
            </w:r>
          </w:p>
          <w:p w:rsidR="0025073C" w:rsidRPr="003A7828" w:rsidRDefault="0025073C" w:rsidP="003A7F48">
            <w:pPr>
              <w:snapToGrid w:val="0"/>
              <w:jc w:val="center"/>
              <w:rPr>
                <w:rFonts w:ascii="Arial" w:eastAsia="宋体" w:hAnsi="Arial" w:cs="Arial"/>
                <w:b/>
                <w:bCs/>
                <w:sz w:val="18"/>
                <w:szCs w:val="18"/>
              </w:rPr>
            </w:pPr>
            <w:r w:rsidRPr="003A7828">
              <w:rPr>
                <w:rFonts w:ascii="Arial" w:hAnsi="Arial" w:cs="Arial"/>
                <w:b/>
                <w:bCs/>
                <w:sz w:val="18"/>
                <w:szCs w:val="18"/>
              </w:rPr>
              <w:t>收益率</w:t>
            </w:r>
          </w:p>
        </w:tc>
        <w:tc>
          <w:tcPr>
            <w:tcW w:w="992" w:type="dxa"/>
            <w:tcBorders>
              <w:left w:val="single" w:sz="6" w:space="0" w:color="FF6600"/>
              <w:right w:val="single" w:sz="6" w:space="0" w:color="FF6600"/>
            </w:tcBorders>
            <w:shd w:val="clear" w:color="auto" w:fill="FDE9D9" w:themeFill="accent6" w:themeFillTint="33"/>
            <w:vAlign w:val="center"/>
          </w:tcPr>
          <w:p w:rsidR="0025073C" w:rsidRPr="003A7828" w:rsidRDefault="0025073C" w:rsidP="003A7F48">
            <w:pPr>
              <w:snapToGrid w:val="0"/>
              <w:jc w:val="center"/>
              <w:rPr>
                <w:rFonts w:ascii="Arial" w:eastAsia="宋体" w:hAnsi="Arial" w:cs="Arial"/>
                <w:b/>
                <w:bCs/>
                <w:sz w:val="18"/>
                <w:szCs w:val="18"/>
              </w:rPr>
            </w:pPr>
            <w:r w:rsidRPr="003A7828">
              <w:rPr>
                <w:rFonts w:ascii="Arial" w:hAnsi="Arial" w:cs="Arial"/>
                <w:b/>
                <w:bCs/>
                <w:sz w:val="18"/>
                <w:szCs w:val="18"/>
              </w:rPr>
              <w:t>单位净值</w:t>
            </w:r>
          </w:p>
        </w:tc>
        <w:tc>
          <w:tcPr>
            <w:tcW w:w="1134" w:type="dxa"/>
            <w:tcBorders>
              <w:left w:val="single" w:sz="6" w:space="0" w:color="FF6600"/>
              <w:right w:val="single" w:sz="6" w:space="0" w:color="FF6600"/>
            </w:tcBorders>
            <w:shd w:val="clear" w:color="auto" w:fill="FDE9D9" w:themeFill="accent6" w:themeFillTint="33"/>
            <w:vAlign w:val="center"/>
          </w:tcPr>
          <w:p w:rsidR="0025073C" w:rsidRPr="003A7828" w:rsidRDefault="0025073C" w:rsidP="003A7F48">
            <w:pPr>
              <w:snapToGrid w:val="0"/>
              <w:jc w:val="center"/>
              <w:rPr>
                <w:rFonts w:ascii="Arial" w:eastAsia="宋体" w:hAnsi="Arial" w:cs="Arial"/>
                <w:b/>
                <w:bCs/>
                <w:sz w:val="18"/>
                <w:szCs w:val="18"/>
              </w:rPr>
            </w:pPr>
            <w:r w:rsidRPr="003A7828">
              <w:rPr>
                <w:rFonts w:ascii="Arial" w:hAnsi="Arial" w:cs="Arial"/>
                <w:b/>
                <w:bCs/>
                <w:sz w:val="18"/>
                <w:szCs w:val="18"/>
              </w:rPr>
              <w:t>最新净值日</w:t>
            </w:r>
          </w:p>
        </w:tc>
        <w:tc>
          <w:tcPr>
            <w:tcW w:w="1007" w:type="dxa"/>
            <w:tcBorders>
              <w:left w:val="single" w:sz="6" w:space="0" w:color="FF6600"/>
              <w:right w:val="single" w:sz="6" w:space="0" w:color="FF6600"/>
            </w:tcBorders>
            <w:shd w:val="clear" w:color="auto" w:fill="FDE9D9" w:themeFill="accent6" w:themeFillTint="33"/>
            <w:vAlign w:val="center"/>
          </w:tcPr>
          <w:p w:rsidR="0025073C" w:rsidRPr="003A7828" w:rsidRDefault="0025073C" w:rsidP="003A7F48">
            <w:pPr>
              <w:snapToGrid w:val="0"/>
              <w:jc w:val="center"/>
              <w:rPr>
                <w:rFonts w:ascii="Arial" w:hAnsi="Arial" w:cs="Arial"/>
                <w:b/>
                <w:bCs/>
                <w:sz w:val="18"/>
                <w:szCs w:val="18"/>
              </w:rPr>
            </w:pPr>
            <w:r w:rsidRPr="003A7828">
              <w:rPr>
                <w:rFonts w:ascii="Arial" w:hAnsi="Arial" w:cs="Arial"/>
                <w:b/>
                <w:bCs/>
                <w:sz w:val="18"/>
                <w:szCs w:val="18"/>
              </w:rPr>
              <w:t>成立以来</w:t>
            </w:r>
          </w:p>
          <w:p w:rsidR="0025073C" w:rsidRPr="003A7828" w:rsidRDefault="0025073C" w:rsidP="003A7F48">
            <w:pPr>
              <w:snapToGrid w:val="0"/>
              <w:jc w:val="center"/>
              <w:rPr>
                <w:rFonts w:ascii="Arial" w:eastAsia="宋体" w:hAnsi="Arial" w:cs="Arial"/>
                <w:b/>
                <w:bCs/>
                <w:sz w:val="18"/>
                <w:szCs w:val="18"/>
              </w:rPr>
            </w:pPr>
            <w:r w:rsidRPr="003A7828">
              <w:rPr>
                <w:rFonts w:ascii="Arial" w:hAnsi="Arial" w:cs="Arial"/>
                <w:b/>
                <w:bCs/>
                <w:sz w:val="18"/>
                <w:szCs w:val="18"/>
              </w:rPr>
              <w:t>收益率</w:t>
            </w:r>
          </w:p>
        </w:tc>
        <w:tc>
          <w:tcPr>
            <w:tcW w:w="1197" w:type="dxa"/>
            <w:tcBorders>
              <w:left w:val="single" w:sz="6" w:space="0" w:color="FF6600"/>
              <w:right w:val="single" w:sz="6" w:space="0" w:color="FF6600"/>
            </w:tcBorders>
            <w:shd w:val="clear" w:color="auto" w:fill="FDE9D9" w:themeFill="accent6" w:themeFillTint="33"/>
            <w:vAlign w:val="center"/>
          </w:tcPr>
          <w:p w:rsidR="0025073C" w:rsidRPr="003A7828" w:rsidRDefault="0025073C" w:rsidP="003A7F48">
            <w:pPr>
              <w:snapToGrid w:val="0"/>
              <w:jc w:val="center"/>
              <w:rPr>
                <w:rFonts w:ascii="Arial" w:eastAsia="宋体" w:hAnsi="Arial" w:cs="Arial"/>
                <w:b/>
                <w:bCs/>
                <w:sz w:val="18"/>
                <w:szCs w:val="18"/>
              </w:rPr>
            </w:pPr>
            <w:r w:rsidRPr="003A7828">
              <w:rPr>
                <w:rFonts w:ascii="Arial" w:hAnsi="Arial" w:cs="Arial"/>
                <w:b/>
                <w:bCs/>
                <w:sz w:val="18"/>
                <w:szCs w:val="18"/>
              </w:rPr>
              <w:t>成立日期</w:t>
            </w:r>
          </w:p>
        </w:tc>
        <w:tc>
          <w:tcPr>
            <w:tcW w:w="1197" w:type="dxa"/>
            <w:tcBorders>
              <w:left w:val="single" w:sz="6" w:space="0" w:color="FF6600"/>
            </w:tcBorders>
            <w:shd w:val="clear" w:color="auto" w:fill="FDE9D9" w:themeFill="accent6" w:themeFillTint="33"/>
            <w:vAlign w:val="center"/>
          </w:tcPr>
          <w:p w:rsidR="0025073C" w:rsidRPr="003A7828" w:rsidRDefault="0025073C" w:rsidP="003A7F48">
            <w:pPr>
              <w:snapToGrid w:val="0"/>
              <w:jc w:val="center"/>
              <w:rPr>
                <w:rFonts w:ascii="Arial" w:eastAsia="宋体" w:hAnsi="Arial" w:cs="Arial"/>
                <w:b/>
                <w:bCs/>
                <w:sz w:val="18"/>
                <w:szCs w:val="18"/>
              </w:rPr>
            </w:pPr>
            <w:r w:rsidRPr="003A7828">
              <w:rPr>
                <w:rFonts w:ascii="Arial" w:hAnsi="Arial" w:cs="Arial"/>
                <w:b/>
                <w:bCs/>
                <w:sz w:val="18"/>
                <w:szCs w:val="18"/>
              </w:rPr>
              <w:t>信托公司</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创势翔</w:t>
            </w:r>
            <w:r>
              <w:rPr>
                <w:rFonts w:ascii="Arial" w:hAnsi="Arial" w:cs="Arial"/>
                <w:sz w:val="20"/>
                <w:szCs w:val="20"/>
              </w:rPr>
              <w:t>1</w:t>
            </w:r>
            <w:r>
              <w:rPr>
                <w:rFonts w:ascii="Arial" w:hAnsi="Arial" w:cs="Arial"/>
                <w:sz w:val="20"/>
                <w:szCs w:val="20"/>
              </w:rPr>
              <w:t>号</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创势翔投资</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120.26%</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1.7898</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2013-11-20</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78.98%</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2012-04-26</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粤财信托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鸿逸</w:t>
            </w:r>
            <w:r>
              <w:rPr>
                <w:rFonts w:ascii="Arial" w:hAnsi="Arial" w:cs="Arial"/>
                <w:sz w:val="20"/>
                <w:szCs w:val="20"/>
              </w:rPr>
              <w:t>1</w:t>
            </w:r>
            <w:r>
              <w:rPr>
                <w:rFonts w:ascii="Arial" w:hAnsi="Arial" w:cs="Arial"/>
                <w:sz w:val="20"/>
                <w:szCs w:val="20"/>
              </w:rPr>
              <w:t>号</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鸿逸投资</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111.40%</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1.0386</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3.86%</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2010-12-16</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长安信托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泽熙</w:t>
            </w:r>
            <w:r>
              <w:rPr>
                <w:rFonts w:ascii="Arial" w:hAnsi="Arial" w:cs="Arial"/>
                <w:sz w:val="20"/>
                <w:szCs w:val="20"/>
              </w:rPr>
              <w:t>3</w:t>
            </w:r>
            <w:r>
              <w:rPr>
                <w:rFonts w:ascii="Arial" w:hAnsi="Arial" w:cs="Arial"/>
                <w:sz w:val="20"/>
                <w:szCs w:val="20"/>
              </w:rPr>
              <w:t>期</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泽熙合伙</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91.27%</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1.2589</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178.36%</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2010-07-07</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山东信托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金河新价值成长一期</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金河投资</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86.45%</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0.8845</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2013-11-18</w:t>
            </w:r>
          </w:p>
        </w:tc>
        <w:tc>
          <w:tcPr>
            <w:tcW w:w="1007" w:type="dxa"/>
            <w:tcBorders>
              <w:left w:val="single" w:sz="6" w:space="0" w:color="FF6600"/>
              <w:right w:val="single" w:sz="6" w:space="0" w:color="FF6600"/>
            </w:tcBorders>
            <w:shd w:val="clear" w:color="auto" w:fill="auto"/>
            <w:vAlign w:val="center"/>
          </w:tcPr>
          <w:p w:rsidR="0025073C" w:rsidRPr="008E5C98" w:rsidRDefault="0025073C" w:rsidP="003A7F48">
            <w:pPr>
              <w:snapToGrid w:val="0"/>
              <w:jc w:val="center"/>
              <w:rPr>
                <w:rFonts w:ascii="Arial" w:eastAsia="宋体" w:hAnsi="Arial" w:cs="Arial"/>
                <w:color w:val="FF0000"/>
                <w:sz w:val="20"/>
                <w:szCs w:val="20"/>
              </w:rPr>
            </w:pPr>
            <w:r w:rsidRPr="008E5C98">
              <w:rPr>
                <w:rFonts w:ascii="Arial" w:hAnsi="Arial" w:cs="Arial"/>
                <w:color w:val="FF0000"/>
                <w:sz w:val="20"/>
                <w:szCs w:val="20"/>
              </w:rPr>
              <w:t>-10.79%</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2010-11-19</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中融信托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cs="Arial" w:hint="eastAsia"/>
                <w:sz w:val="20"/>
                <w:szCs w:val="20"/>
              </w:rPr>
              <w:t>龙鼎</w:t>
            </w:r>
            <w:r>
              <w:rPr>
                <w:rFonts w:ascii="Arial" w:hAnsi="Arial" w:cs="Arial"/>
                <w:sz w:val="20"/>
                <w:szCs w:val="20"/>
              </w:rPr>
              <w:t>3</w:t>
            </w:r>
            <w:r>
              <w:rPr>
                <w:rFonts w:cs="Arial" w:hint="eastAsia"/>
                <w:sz w:val="20"/>
                <w:szCs w:val="20"/>
              </w:rPr>
              <w:t>号</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龙鼎投资</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78.79%</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1.2878</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2013-11-28</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28.78%</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2010-08-02</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陕国投</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天信超安</w:t>
            </w:r>
            <w:r>
              <w:rPr>
                <w:rFonts w:ascii="Arial" w:hAnsi="Arial" w:cs="Arial"/>
                <w:sz w:val="20"/>
                <w:szCs w:val="20"/>
              </w:rPr>
              <w:t>08-2-11</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旭诚资产</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71.81%</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1.7181</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71.81%</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2013-01-14</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天津信托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添富</w:t>
            </w:r>
            <w:r>
              <w:rPr>
                <w:rFonts w:ascii="Arial" w:hAnsi="Arial" w:cs="Arial"/>
                <w:sz w:val="20"/>
                <w:szCs w:val="20"/>
              </w:rPr>
              <w:t>2</w:t>
            </w:r>
            <w:r>
              <w:rPr>
                <w:rFonts w:ascii="Arial" w:hAnsi="Arial" w:cs="Arial"/>
                <w:sz w:val="20"/>
                <w:szCs w:val="20"/>
              </w:rPr>
              <w:t>号</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宜昌中冠投资</w:t>
            </w:r>
            <w:r>
              <w:rPr>
                <w:rFonts w:ascii="Arial" w:hAnsi="Arial" w:cs="Arial"/>
                <w:sz w:val="20"/>
                <w:szCs w:val="20"/>
              </w:rPr>
              <w:t>,</w:t>
            </w:r>
            <w:r>
              <w:rPr>
                <w:rFonts w:ascii="Arial" w:hAnsi="Arial" w:cs="Arial"/>
                <w:sz w:val="20"/>
                <w:szCs w:val="20"/>
              </w:rPr>
              <w:t>嘉伦投资</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hAnsi="Arial" w:cs="Arial"/>
                <w:sz w:val="20"/>
                <w:szCs w:val="20"/>
              </w:rPr>
            </w:pPr>
            <w:r>
              <w:rPr>
                <w:rFonts w:ascii="Arial" w:hAnsi="Arial" w:cs="Arial"/>
                <w:sz w:val="20"/>
                <w:szCs w:val="20"/>
              </w:rPr>
              <w:t>事件驱动策略</w:t>
            </w:r>
            <w:r>
              <w:rPr>
                <w:rFonts w:ascii="Arial" w:hAnsi="Arial" w:cs="Arial"/>
                <w:sz w:val="20"/>
                <w:szCs w:val="20"/>
              </w:rPr>
              <w:t>-</w:t>
            </w:r>
          </w:p>
          <w:p w:rsidR="0025073C" w:rsidRDefault="0025073C" w:rsidP="003A7F48">
            <w:pPr>
              <w:snapToGrid w:val="0"/>
              <w:jc w:val="center"/>
              <w:rPr>
                <w:rFonts w:ascii="Arial" w:eastAsia="宋体" w:hAnsi="Arial" w:cs="Arial"/>
                <w:sz w:val="20"/>
                <w:szCs w:val="20"/>
              </w:rPr>
            </w:pPr>
            <w:r>
              <w:rPr>
                <w:rFonts w:ascii="Arial" w:hAnsi="Arial" w:cs="Arial"/>
                <w:sz w:val="20"/>
                <w:szCs w:val="20"/>
              </w:rPr>
              <w:t>定向增发</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66.77%</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1.6677</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66.77%</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2013-02-17</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华融信托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cs="Arial" w:hint="eastAsia"/>
                <w:sz w:val="20"/>
                <w:szCs w:val="20"/>
              </w:rPr>
              <w:t>恒盈复利增长</w:t>
            </w:r>
            <w:r>
              <w:rPr>
                <w:rFonts w:ascii="Arial" w:hAnsi="Arial" w:cs="Arial"/>
                <w:sz w:val="20"/>
                <w:szCs w:val="20"/>
              </w:rPr>
              <w:t>1</w:t>
            </w:r>
            <w:r>
              <w:rPr>
                <w:rFonts w:cs="Arial" w:hint="eastAsia"/>
                <w:sz w:val="20"/>
                <w:szCs w:val="20"/>
              </w:rPr>
              <w:t>号</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恒盈投资</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65.89%</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1.1393</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13.93%</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2011-07-28</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长安信托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cs="Arial" w:hint="eastAsia"/>
                <w:sz w:val="20"/>
                <w:szCs w:val="20"/>
              </w:rPr>
              <w:t>理成风景</w:t>
            </w:r>
            <w:r>
              <w:rPr>
                <w:rFonts w:ascii="Arial" w:hAnsi="Arial" w:cs="Arial"/>
                <w:sz w:val="20"/>
                <w:szCs w:val="20"/>
              </w:rPr>
              <w:t>2</w:t>
            </w:r>
            <w:r>
              <w:rPr>
                <w:rFonts w:cs="Arial" w:hint="eastAsia"/>
                <w:sz w:val="20"/>
                <w:szCs w:val="20"/>
              </w:rPr>
              <w:t>号</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理成资产</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58.56%</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1.6563</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65.63%</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2009-09-15</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华润信托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龙腾证券</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龙腾资产</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56.45%</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1.2643</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2013-11-05</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26.43%</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2008-01-23</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华润信托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cs="Arial" w:hint="eastAsia"/>
                <w:sz w:val="20"/>
                <w:szCs w:val="20"/>
              </w:rPr>
              <w:t>恒意投资</w:t>
            </w:r>
            <w:r>
              <w:rPr>
                <w:rFonts w:ascii="Arial" w:hAnsi="Arial" w:cs="Arial"/>
                <w:sz w:val="20"/>
                <w:szCs w:val="20"/>
              </w:rPr>
              <w:t>1</w:t>
            </w:r>
            <w:r>
              <w:rPr>
                <w:rFonts w:cs="Arial" w:hint="eastAsia"/>
                <w:sz w:val="20"/>
                <w:szCs w:val="20"/>
              </w:rPr>
              <w:t>号</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恒意投资</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56.45%</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1.5645</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56.45%</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2013-04-23</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长安信托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cs="Arial" w:hint="eastAsia"/>
                <w:sz w:val="20"/>
                <w:szCs w:val="20"/>
              </w:rPr>
              <w:lastRenderedPageBreak/>
              <w:t>世诚扬子</w:t>
            </w:r>
            <w:r>
              <w:rPr>
                <w:rFonts w:ascii="Arial" w:hAnsi="Arial" w:cs="Arial"/>
                <w:sz w:val="20"/>
                <w:szCs w:val="20"/>
              </w:rPr>
              <w:t>3</w:t>
            </w:r>
            <w:r>
              <w:rPr>
                <w:rFonts w:cs="Arial" w:hint="eastAsia"/>
                <w:sz w:val="20"/>
                <w:szCs w:val="20"/>
              </w:rPr>
              <w:t>号</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世诚投资</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55.42%</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1.5721</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57.21%</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2010-12-30</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中融信托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沃胜</w:t>
            </w:r>
            <w:r>
              <w:rPr>
                <w:rFonts w:ascii="Arial" w:hAnsi="Arial" w:cs="Arial"/>
                <w:sz w:val="20"/>
                <w:szCs w:val="20"/>
              </w:rPr>
              <w:t>1</w:t>
            </w:r>
            <w:r>
              <w:rPr>
                <w:rFonts w:ascii="Arial" w:hAnsi="Arial" w:cs="Arial"/>
                <w:sz w:val="20"/>
                <w:szCs w:val="20"/>
              </w:rPr>
              <w:t>期</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沃胜资产</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54.99%</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1.2292</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22.92%</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2010-12-02</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中信信托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朴道一期</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朴道投资</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54.94%</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1.3367</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33.67%</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2011-03-16</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中融信托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穿石一号</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穿石投资</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54.26%</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1.4329</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43.29%</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2010-05-21</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重国投</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鼎萨</w:t>
            </w:r>
            <w:r>
              <w:rPr>
                <w:rFonts w:ascii="Arial" w:hAnsi="Arial" w:cs="Arial"/>
                <w:sz w:val="20"/>
                <w:szCs w:val="20"/>
              </w:rPr>
              <w:t>1</w:t>
            </w:r>
            <w:r>
              <w:rPr>
                <w:rFonts w:ascii="Arial" w:hAnsi="Arial" w:cs="Arial"/>
                <w:sz w:val="20"/>
                <w:szCs w:val="20"/>
              </w:rPr>
              <w:t>期</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鼎萨投资</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54.23%</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1.5668</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2013-11-27</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56.68%</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2012-06-11</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山东信托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瑞象</w:t>
            </w:r>
            <w:r>
              <w:rPr>
                <w:rFonts w:ascii="Arial" w:hAnsi="Arial" w:cs="Arial"/>
                <w:sz w:val="20"/>
                <w:szCs w:val="20"/>
              </w:rPr>
              <w:t>Alpha</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瑞象投资</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53.98%</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1.2705</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2013-11-05</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27.05%</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2009-04-30</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华润信托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新价值</w:t>
            </w:r>
            <w:r>
              <w:rPr>
                <w:rFonts w:ascii="Arial" w:hAnsi="Arial" w:cs="Arial"/>
                <w:sz w:val="20"/>
                <w:szCs w:val="20"/>
              </w:rPr>
              <w:t>15</w:t>
            </w:r>
            <w:r>
              <w:rPr>
                <w:rFonts w:ascii="Arial" w:hAnsi="Arial" w:cs="Arial"/>
                <w:sz w:val="20"/>
                <w:szCs w:val="20"/>
              </w:rPr>
              <w:t>期</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新价值</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51.38%</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1.3196</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31.96%</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2010-09-02</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兴业信托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cs="Arial" w:hint="eastAsia"/>
                <w:sz w:val="20"/>
                <w:szCs w:val="20"/>
              </w:rPr>
              <w:t>博弘</w:t>
            </w:r>
            <w:r>
              <w:rPr>
                <w:rFonts w:ascii="Arial" w:hAnsi="Arial" w:cs="Arial"/>
                <w:sz w:val="20"/>
                <w:szCs w:val="20"/>
              </w:rPr>
              <w:t>21</w:t>
            </w:r>
            <w:r>
              <w:rPr>
                <w:rFonts w:cs="Arial" w:hint="eastAsia"/>
                <w:sz w:val="20"/>
                <w:szCs w:val="20"/>
              </w:rPr>
              <w:t>期</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博弘数君</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hAnsi="Arial" w:cs="Arial"/>
                <w:sz w:val="20"/>
                <w:szCs w:val="20"/>
              </w:rPr>
            </w:pPr>
            <w:r>
              <w:rPr>
                <w:rFonts w:ascii="Arial" w:hAnsi="Arial" w:cs="Arial"/>
                <w:sz w:val="20"/>
                <w:szCs w:val="20"/>
              </w:rPr>
              <w:t>事件驱动策略</w:t>
            </w:r>
            <w:r>
              <w:rPr>
                <w:rFonts w:ascii="Arial" w:hAnsi="Arial" w:cs="Arial"/>
                <w:sz w:val="20"/>
                <w:szCs w:val="20"/>
              </w:rPr>
              <w:t>-</w:t>
            </w:r>
          </w:p>
          <w:p w:rsidR="0025073C" w:rsidRDefault="0025073C" w:rsidP="003A7F48">
            <w:pPr>
              <w:snapToGrid w:val="0"/>
              <w:jc w:val="center"/>
              <w:rPr>
                <w:rFonts w:ascii="Arial" w:eastAsia="宋体" w:hAnsi="Arial" w:cs="Arial"/>
                <w:sz w:val="20"/>
                <w:szCs w:val="20"/>
              </w:rPr>
            </w:pPr>
            <w:r>
              <w:rPr>
                <w:rFonts w:ascii="Arial" w:hAnsi="Arial" w:cs="Arial"/>
                <w:sz w:val="20"/>
                <w:szCs w:val="20"/>
              </w:rPr>
              <w:t>定向增发</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50.69%</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1.2257</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22.57%</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2011-05-27</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外贸信托</w:t>
            </w:r>
          </w:p>
        </w:tc>
      </w:tr>
      <w:tr w:rsidR="0025073C" w:rsidTr="003A7828">
        <w:trPr>
          <w:cantSplit/>
          <w:trHeight w:val="192"/>
        </w:trPr>
        <w:tc>
          <w:tcPr>
            <w:tcW w:w="1844" w:type="dxa"/>
            <w:tcBorders>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博颐稳健</w:t>
            </w:r>
            <w:r>
              <w:rPr>
                <w:rFonts w:ascii="Arial" w:hAnsi="Arial" w:cs="Arial"/>
                <w:sz w:val="20"/>
                <w:szCs w:val="20"/>
              </w:rPr>
              <w:t>1</w:t>
            </w:r>
            <w:r>
              <w:rPr>
                <w:rFonts w:ascii="Arial" w:hAnsi="Arial" w:cs="Arial"/>
                <w:sz w:val="20"/>
                <w:szCs w:val="20"/>
              </w:rPr>
              <w:t>期</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博颐资产</w:t>
            </w:r>
          </w:p>
        </w:tc>
        <w:tc>
          <w:tcPr>
            <w:tcW w:w="1559"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宋体" w:eastAsia="宋体" w:hAnsi="宋体" w:cs="Arial"/>
                <w:sz w:val="20"/>
                <w:szCs w:val="20"/>
              </w:rPr>
            </w:pPr>
            <w:r>
              <w:rPr>
                <w:rFonts w:cs="Arial" w:hint="eastAsia"/>
                <w:sz w:val="20"/>
                <w:szCs w:val="20"/>
              </w:rPr>
              <w:t>股票多头策略</w:t>
            </w:r>
          </w:p>
        </w:tc>
        <w:tc>
          <w:tcPr>
            <w:tcW w:w="992" w:type="dxa"/>
            <w:tcBorders>
              <w:left w:val="single" w:sz="6" w:space="0" w:color="FF6600"/>
              <w:right w:val="single" w:sz="6" w:space="0" w:color="FF6600"/>
            </w:tcBorders>
            <w:shd w:val="clear" w:color="auto" w:fill="auto"/>
            <w:vAlign w:val="center"/>
          </w:tcPr>
          <w:p w:rsidR="0025073C" w:rsidRPr="00D35251" w:rsidRDefault="0025073C" w:rsidP="003A7F48">
            <w:pPr>
              <w:snapToGrid w:val="0"/>
              <w:jc w:val="center"/>
              <w:rPr>
                <w:rFonts w:ascii="Arial" w:eastAsia="宋体" w:hAnsi="Arial" w:cs="Arial"/>
                <w:b/>
                <w:sz w:val="20"/>
                <w:szCs w:val="20"/>
              </w:rPr>
            </w:pPr>
            <w:r w:rsidRPr="00D35251">
              <w:rPr>
                <w:rFonts w:ascii="Arial" w:hAnsi="Arial" w:cs="Arial"/>
                <w:b/>
                <w:sz w:val="20"/>
                <w:szCs w:val="20"/>
              </w:rPr>
              <w:t>49.33%</w:t>
            </w:r>
          </w:p>
        </w:tc>
        <w:tc>
          <w:tcPr>
            <w:tcW w:w="992"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1.5400</w:t>
            </w:r>
          </w:p>
        </w:tc>
        <w:tc>
          <w:tcPr>
            <w:tcW w:w="1134"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2013-11-29</w:t>
            </w:r>
          </w:p>
        </w:tc>
        <w:tc>
          <w:tcPr>
            <w:tcW w:w="100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54.00%</w:t>
            </w:r>
          </w:p>
        </w:tc>
        <w:tc>
          <w:tcPr>
            <w:tcW w:w="1197" w:type="dxa"/>
            <w:tcBorders>
              <w:left w:val="single" w:sz="6" w:space="0" w:color="FF6600"/>
              <w:righ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2009-09-30</w:t>
            </w:r>
          </w:p>
        </w:tc>
        <w:tc>
          <w:tcPr>
            <w:tcW w:w="1197" w:type="dxa"/>
            <w:tcBorders>
              <w:left w:val="single" w:sz="6" w:space="0" w:color="FF6600"/>
            </w:tcBorders>
            <w:shd w:val="clear" w:color="auto" w:fill="auto"/>
            <w:vAlign w:val="center"/>
          </w:tcPr>
          <w:p w:rsidR="0025073C" w:rsidRDefault="0025073C" w:rsidP="003A7F48">
            <w:pPr>
              <w:snapToGrid w:val="0"/>
              <w:jc w:val="center"/>
              <w:rPr>
                <w:rFonts w:ascii="Arial" w:eastAsia="宋体" w:hAnsi="Arial" w:cs="Arial"/>
                <w:sz w:val="20"/>
                <w:szCs w:val="20"/>
              </w:rPr>
            </w:pPr>
            <w:r>
              <w:rPr>
                <w:rFonts w:ascii="Arial" w:hAnsi="Arial" w:cs="Arial"/>
                <w:sz w:val="20"/>
                <w:szCs w:val="20"/>
              </w:rPr>
              <w:t>华润信托</w:t>
            </w:r>
          </w:p>
        </w:tc>
      </w:tr>
      <w:tr w:rsidR="0025073C" w:rsidTr="003A7828">
        <w:trPr>
          <w:cantSplit/>
          <w:trHeight w:val="192"/>
        </w:trPr>
        <w:tc>
          <w:tcPr>
            <w:tcW w:w="11056" w:type="dxa"/>
            <w:gridSpan w:val="9"/>
            <w:shd w:val="clear" w:color="auto" w:fill="auto"/>
            <w:vAlign w:val="center"/>
          </w:tcPr>
          <w:p w:rsidR="0025073C" w:rsidRDefault="0025073C" w:rsidP="003A7F48">
            <w:pPr>
              <w:snapToGrid w:val="0"/>
              <w:jc w:val="left"/>
              <w:rPr>
                <w:rFonts w:ascii="Arial" w:hAnsi="Arial" w:cs="Arial"/>
                <w:sz w:val="20"/>
                <w:szCs w:val="20"/>
              </w:rPr>
            </w:pPr>
            <w:r>
              <w:rPr>
                <w:rFonts w:ascii="Arial" w:hAnsi="Arial" w:cs="Arial"/>
                <w:sz w:val="20"/>
                <w:szCs w:val="20"/>
              </w:rPr>
              <w:t>注：同一管理人仅列示今年以来收益率最高产品。</w:t>
            </w:r>
          </w:p>
        </w:tc>
      </w:tr>
    </w:tbl>
    <w:p w:rsidR="0025073C" w:rsidRPr="003629A1" w:rsidRDefault="0025073C" w:rsidP="0025073C">
      <w:pPr>
        <w:pStyle w:val="FootnoteNoline"/>
        <w:ind w:left="0"/>
        <w:rPr>
          <w:color w:val="FF6600"/>
          <w:lang w:val="en-US"/>
        </w:rPr>
      </w:pPr>
      <w:r w:rsidRPr="003629A1">
        <w:rPr>
          <w:rFonts w:hint="eastAsia"/>
          <w:color w:val="FF6600"/>
          <w:lang w:val="en-US"/>
        </w:rPr>
        <w:t>来源：凯石财富工场</w:t>
      </w:r>
    </w:p>
    <w:p w:rsidR="00B10000" w:rsidRPr="00AE3A97" w:rsidRDefault="00C95DE6" w:rsidP="00B10000">
      <w:pPr>
        <w:widowControl/>
        <w:spacing w:after="120"/>
        <w:ind w:left="3430"/>
        <w:rPr>
          <w:rFonts w:asciiTheme="minorEastAsia" w:hAnsiTheme="minorEastAsia"/>
          <w:b/>
          <w:bCs/>
          <w:color w:val="0070C0"/>
          <w:kern w:val="0"/>
          <w:szCs w:val="21"/>
          <w:lang w:val="en-GB"/>
        </w:rPr>
      </w:pPr>
      <w:r>
        <w:rPr>
          <w:rFonts w:asciiTheme="minorEastAsia" w:hAnsiTheme="minorEastAsia" w:hint="eastAsia"/>
          <w:b/>
          <w:bCs/>
          <w:color w:val="0070C0"/>
          <w:kern w:val="0"/>
          <w:szCs w:val="21"/>
          <w:lang w:val="en-GB"/>
        </w:rPr>
        <w:t>对冲各</w:t>
      </w:r>
      <w:r w:rsidR="005A65E3">
        <w:rPr>
          <w:rFonts w:asciiTheme="minorEastAsia" w:hAnsiTheme="minorEastAsia" w:hint="eastAsia"/>
          <w:b/>
          <w:bCs/>
          <w:color w:val="0070C0"/>
          <w:kern w:val="0"/>
          <w:szCs w:val="21"/>
          <w:lang w:val="en-GB"/>
        </w:rPr>
        <w:t>策略比拼，</w:t>
      </w:r>
      <w:r w:rsidR="002C2DD4">
        <w:rPr>
          <w:rFonts w:asciiTheme="minorEastAsia" w:hAnsiTheme="minorEastAsia" w:hint="eastAsia"/>
          <w:b/>
          <w:bCs/>
          <w:color w:val="0070C0"/>
          <w:kern w:val="0"/>
          <w:szCs w:val="21"/>
          <w:lang w:val="en-GB"/>
        </w:rPr>
        <w:t>定向增发</w:t>
      </w:r>
      <w:r w:rsidR="00E11890" w:rsidRPr="00AE3A97">
        <w:rPr>
          <w:rFonts w:asciiTheme="minorEastAsia" w:hAnsiTheme="minorEastAsia" w:hint="eastAsia"/>
          <w:b/>
          <w:bCs/>
          <w:color w:val="0070C0"/>
          <w:kern w:val="0"/>
          <w:szCs w:val="21"/>
          <w:lang w:val="en-GB"/>
        </w:rPr>
        <w:t>一马当先</w:t>
      </w:r>
    </w:p>
    <w:p w:rsidR="0025073C" w:rsidRDefault="00A52805" w:rsidP="0025073C">
      <w:pPr>
        <w:pStyle w:val="ac"/>
        <w:numPr>
          <w:ilvl w:val="4"/>
          <w:numId w:val="1"/>
        </w:numPr>
        <w:spacing w:after="163"/>
        <w:rPr>
          <w:rFonts w:eastAsiaTheme="minorEastAsia"/>
          <w:color w:val="auto"/>
        </w:rPr>
      </w:pPr>
      <w:r>
        <w:rPr>
          <w:rFonts w:eastAsiaTheme="minorEastAsia" w:hint="eastAsia"/>
          <w:color w:val="auto"/>
        </w:rPr>
        <w:t>从对冲基金各策略角度衡量，今年最吸引人眼球</w:t>
      </w:r>
      <w:r w:rsidR="00E04E2B">
        <w:rPr>
          <w:rFonts w:eastAsiaTheme="minorEastAsia" w:hint="eastAsia"/>
          <w:color w:val="auto"/>
        </w:rPr>
        <w:t>的</w:t>
      </w:r>
      <w:r w:rsidR="005824A3" w:rsidRPr="005824A3">
        <w:rPr>
          <w:rFonts w:eastAsiaTheme="minorEastAsia" w:hint="eastAsia"/>
          <w:color w:val="auto"/>
        </w:rPr>
        <w:t>当属</w:t>
      </w:r>
      <w:r w:rsidR="00F922F8">
        <w:rPr>
          <w:rFonts w:eastAsiaTheme="minorEastAsia" w:hint="eastAsia"/>
          <w:color w:val="auto"/>
        </w:rPr>
        <w:t>高风险类别中的</w:t>
      </w:r>
      <w:r>
        <w:rPr>
          <w:rFonts w:eastAsiaTheme="minorEastAsia" w:hint="eastAsia"/>
          <w:color w:val="auto"/>
        </w:rPr>
        <w:t>事件驱动</w:t>
      </w:r>
      <w:r>
        <w:rPr>
          <w:rFonts w:eastAsiaTheme="minorEastAsia" w:hint="eastAsia"/>
          <w:color w:val="auto"/>
        </w:rPr>
        <w:t>-</w:t>
      </w:r>
      <w:r>
        <w:rPr>
          <w:rFonts w:eastAsiaTheme="minorEastAsia" w:hint="eastAsia"/>
          <w:color w:val="auto"/>
        </w:rPr>
        <w:t>定向增发策略</w:t>
      </w:r>
      <w:r w:rsidR="00E04E2B">
        <w:rPr>
          <w:rFonts w:eastAsiaTheme="minorEastAsia" w:hint="eastAsia"/>
          <w:color w:val="auto"/>
        </w:rPr>
        <w:t>。该策略</w:t>
      </w:r>
      <w:r w:rsidR="00A02BD3" w:rsidRPr="00444005">
        <w:rPr>
          <w:rFonts w:eastAsiaTheme="minorEastAsia" w:hint="eastAsia"/>
          <w:color w:val="auto"/>
        </w:rPr>
        <w:t>投资者以至多</w:t>
      </w:r>
      <w:r w:rsidR="00A02BD3" w:rsidRPr="00444005">
        <w:rPr>
          <w:rFonts w:eastAsiaTheme="minorEastAsia" w:hint="eastAsia"/>
          <w:color w:val="auto"/>
        </w:rPr>
        <w:t>90%</w:t>
      </w:r>
      <w:r w:rsidR="00A02BD3" w:rsidRPr="00444005">
        <w:rPr>
          <w:rFonts w:eastAsiaTheme="minorEastAsia" w:hint="eastAsia"/>
          <w:color w:val="auto"/>
        </w:rPr>
        <w:t>的市价参与上市公司的定向增发，获取股价上涨收益和定增折价收益。</w:t>
      </w:r>
      <w:r w:rsidR="00475BE4">
        <w:rPr>
          <w:rFonts w:eastAsiaTheme="minorEastAsia" w:hint="eastAsia"/>
          <w:color w:val="auto"/>
        </w:rPr>
        <w:t>凯石工场统计范围内的</w:t>
      </w:r>
      <w:r w:rsidR="00475BE4">
        <w:rPr>
          <w:rFonts w:eastAsiaTheme="minorEastAsia" w:hint="eastAsia"/>
          <w:color w:val="auto"/>
        </w:rPr>
        <w:t>23</w:t>
      </w:r>
      <w:r w:rsidR="00475BE4">
        <w:rPr>
          <w:rFonts w:eastAsiaTheme="minorEastAsia" w:hint="eastAsia"/>
          <w:color w:val="auto"/>
        </w:rPr>
        <w:t>只</w:t>
      </w:r>
      <w:r w:rsidR="003127E6">
        <w:rPr>
          <w:rFonts w:eastAsiaTheme="minorEastAsia" w:hint="eastAsia"/>
          <w:color w:val="auto"/>
        </w:rPr>
        <w:t>定增</w:t>
      </w:r>
      <w:r w:rsidR="00475BE4">
        <w:rPr>
          <w:rFonts w:eastAsiaTheme="minorEastAsia" w:hint="eastAsia"/>
          <w:color w:val="auto"/>
        </w:rPr>
        <w:t>产品</w:t>
      </w:r>
      <w:r w:rsidR="00475BE4">
        <w:rPr>
          <w:rFonts w:eastAsiaTheme="minorEastAsia" w:hint="eastAsia"/>
          <w:color w:val="auto"/>
        </w:rPr>
        <w:t>11</w:t>
      </w:r>
      <w:r w:rsidR="00475BE4">
        <w:rPr>
          <w:rFonts w:eastAsiaTheme="minorEastAsia" w:hint="eastAsia"/>
          <w:color w:val="auto"/>
        </w:rPr>
        <w:t>个月</w:t>
      </w:r>
      <w:r w:rsidR="00F922F8">
        <w:rPr>
          <w:rFonts w:eastAsiaTheme="minorEastAsia" w:hint="eastAsia"/>
          <w:color w:val="auto"/>
        </w:rPr>
        <w:t>平均</w:t>
      </w:r>
      <w:r w:rsidR="00475BE4">
        <w:rPr>
          <w:rFonts w:eastAsiaTheme="minorEastAsia" w:hint="eastAsia"/>
          <w:color w:val="auto"/>
        </w:rPr>
        <w:t>涨幅</w:t>
      </w:r>
      <w:r w:rsidR="00475BE4">
        <w:rPr>
          <w:rFonts w:eastAsiaTheme="minorEastAsia" w:hint="eastAsia"/>
          <w:color w:val="auto"/>
        </w:rPr>
        <w:t>32.73%</w:t>
      </w:r>
      <w:r w:rsidR="00475BE4">
        <w:rPr>
          <w:rFonts w:eastAsiaTheme="minorEastAsia" w:hint="eastAsia"/>
          <w:color w:val="auto"/>
        </w:rPr>
        <w:t>，其中有</w:t>
      </w:r>
      <w:r w:rsidR="00475BE4">
        <w:rPr>
          <w:rFonts w:eastAsiaTheme="minorEastAsia" w:hint="eastAsia"/>
          <w:color w:val="auto"/>
        </w:rPr>
        <w:t>13</w:t>
      </w:r>
      <w:r w:rsidR="00475BE4">
        <w:rPr>
          <w:rFonts w:eastAsiaTheme="minorEastAsia" w:hint="eastAsia"/>
          <w:color w:val="auto"/>
        </w:rPr>
        <w:t>只属博弘数君</w:t>
      </w:r>
      <w:r w:rsidR="005824A3" w:rsidRPr="005824A3">
        <w:rPr>
          <w:rFonts w:eastAsiaTheme="minorEastAsia" w:hint="eastAsia"/>
          <w:color w:val="auto"/>
        </w:rPr>
        <w:t>系列产品</w:t>
      </w:r>
      <w:r w:rsidR="00475BE4">
        <w:rPr>
          <w:rFonts w:eastAsiaTheme="minorEastAsia" w:hint="eastAsia"/>
          <w:color w:val="auto"/>
        </w:rPr>
        <w:t>，</w:t>
      </w:r>
      <w:r w:rsidR="00B4598D">
        <w:rPr>
          <w:rFonts w:eastAsiaTheme="minorEastAsia" w:hint="eastAsia"/>
          <w:color w:val="auto"/>
        </w:rPr>
        <w:t>采取复制策略，</w:t>
      </w:r>
      <w:r w:rsidR="00F922F8">
        <w:rPr>
          <w:rFonts w:eastAsiaTheme="minorEastAsia" w:hint="eastAsia"/>
          <w:color w:val="auto"/>
        </w:rPr>
        <w:t>以</w:t>
      </w:r>
      <w:r w:rsidR="00F922F8">
        <w:rPr>
          <w:rFonts w:eastAsiaTheme="minorEastAsia" w:hint="eastAsia"/>
          <w:color w:val="auto"/>
        </w:rPr>
        <w:t>50%</w:t>
      </w:r>
      <w:r w:rsidR="00F922F8">
        <w:rPr>
          <w:rFonts w:eastAsiaTheme="minorEastAsia" w:hint="eastAsia"/>
          <w:color w:val="auto"/>
        </w:rPr>
        <w:t>左右的年内收益</w:t>
      </w:r>
      <w:r w:rsidR="00E04E2B">
        <w:rPr>
          <w:rFonts w:eastAsiaTheme="minorEastAsia" w:hint="eastAsia"/>
          <w:color w:val="auto"/>
        </w:rPr>
        <w:t>齐齐跻身涨幅榜第</w:t>
      </w:r>
      <w:r w:rsidR="00E04E2B">
        <w:rPr>
          <w:rFonts w:eastAsiaTheme="minorEastAsia" w:hint="eastAsia"/>
          <w:color w:val="auto"/>
        </w:rPr>
        <w:t>18</w:t>
      </w:r>
      <w:r w:rsidR="00E04E2B">
        <w:rPr>
          <w:rFonts w:eastAsiaTheme="minorEastAsia" w:hint="eastAsia"/>
          <w:color w:val="auto"/>
        </w:rPr>
        <w:t>位</w:t>
      </w:r>
      <w:r w:rsidR="005824A3" w:rsidRPr="005824A3">
        <w:rPr>
          <w:rFonts w:eastAsiaTheme="minorEastAsia" w:hint="eastAsia"/>
          <w:color w:val="auto"/>
        </w:rPr>
        <w:t>。</w:t>
      </w:r>
      <w:r w:rsidR="00F922F8">
        <w:rPr>
          <w:rFonts w:eastAsiaTheme="minorEastAsia" w:hint="eastAsia"/>
          <w:color w:val="auto"/>
        </w:rPr>
        <w:t>不过近期博弘核心人物刘宏已离职，其</w:t>
      </w:r>
      <w:r w:rsidR="00F922F8" w:rsidRPr="00444005">
        <w:rPr>
          <w:rFonts w:eastAsiaTheme="minorEastAsia" w:hint="eastAsia"/>
          <w:color w:val="auto"/>
        </w:rPr>
        <w:t>产品</w:t>
      </w:r>
      <w:r w:rsidR="00F922F8">
        <w:rPr>
          <w:rFonts w:eastAsiaTheme="minorEastAsia" w:hint="eastAsia"/>
          <w:color w:val="auto"/>
        </w:rPr>
        <w:t>后续如何尚待</w:t>
      </w:r>
      <w:r w:rsidR="00F922F8" w:rsidRPr="00444005">
        <w:rPr>
          <w:rFonts w:eastAsiaTheme="minorEastAsia" w:hint="eastAsia"/>
          <w:color w:val="auto"/>
        </w:rPr>
        <w:t>考察。</w:t>
      </w:r>
      <w:r w:rsidR="00F922F8" w:rsidRPr="00F922F8">
        <w:rPr>
          <w:rFonts w:eastAsiaTheme="minorEastAsia" w:hint="eastAsia"/>
          <w:color w:val="auto"/>
        </w:rPr>
        <w:t>值得注意的是，</w:t>
      </w:r>
      <w:r w:rsidR="00157A48">
        <w:rPr>
          <w:rFonts w:eastAsiaTheme="minorEastAsia" w:hint="eastAsia"/>
          <w:color w:val="auto"/>
        </w:rPr>
        <w:t>定向增发股票有一年的锁定期，</w:t>
      </w:r>
      <w:r w:rsidR="00157A48" w:rsidRPr="00444005">
        <w:rPr>
          <w:rFonts w:eastAsiaTheme="minorEastAsia" w:hint="eastAsia"/>
          <w:color w:val="auto"/>
        </w:rPr>
        <w:t>面临</w:t>
      </w:r>
      <w:r w:rsidR="00157A48">
        <w:rPr>
          <w:rFonts w:eastAsiaTheme="minorEastAsia" w:hint="eastAsia"/>
          <w:color w:val="auto"/>
        </w:rPr>
        <w:t>着较大的流动性风险；</w:t>
      </w:r>
      <w:r w:rsidR="00F922F8" w:rsidRPr="00F922F8">
        <w:rPr>
          <w:rFonts w:eastAsiaTheme="minorEastAsia" w:hint="eastAsia"/>
          <w:color w:val="auto"/>
        </w:rPr>
        <w:t>股票的走势</w:t>
      </w:r>
      <w:r w:rsidR="004F2B10">
        <w:rPr>
          <w:rFonts w:eastAsiaTheme="minorEastAsia" w:hint="eastAsia"/>
          <w:color w:val="auto"/>
        </w:rPr>
        <w:t>会直接影响</w:t>
      </w:r>
      <w:r w:rsidR="00F922F8" w:rsidRPr="00F922F8">
        <w:rPr>
          <w:rFonts w:eastAsiaTheme="minorEastAsia" w:hint="eastAsia"/>
          <w:color w:val="auto"/>
        </w:rPr>
        <w:t>基金的收益，去年定增市场的整体低迷造成多数定增对冲基金大幅折损</w:t>
      </w:r>
      <w:r w:rsidR="00C95DE6">
        <w:rPr>
          <w:rFonts w:eastAsiaTheme="minorEastAsia" w:hint="eastAsia"/>
          <w:color w:val="auto"/>
        </w:rPr>
        <w:t>，风险水平在各策略中居高</w:t>
      </w:r>
      <w:r w:rsidR="00F922F8">
        <w:rPr>
          <w:rFonts w:eastAsiaTheme="minorEastAsia" w:hint="eastAsia"/>
          <w:color w:val="auto"/>
        </w:rPr>
        <w:t>不下</w:t>
      </w:r>
      <w:r w:rsidR="00F922F8" w:rsidRPr="00F922F8">
        <w:rPr>
          <w:rFonts w:eastAsiaTheme="minorEastAsia" w:hint="eastAsia"/>
          <w:color w:val="auto"/>
        </w:rPr>
        <w:t>。</w:t>
      </w:r>
    </w:p>
    <w:p w:rsidR="002C2DD4" w:rsidRPr="0025073C" w:rsidRDefault="002C2DD4" w:rsidP="0025073C">
      <w:pPr>
        <w:pStyle w:val="ac"/>
        <w:numPr>
          <w:ilvl w:val="4"/>
          <w:numId w:val="1"/>
        </w:numPr>
        <w:spacing w:after="163"/>
        <w:rPr>
          <w:rFonts w:eastAsiaTheme="minorEastAsia"/>
          <w:color w:val="auto"/>
        </w:rPr>
      </w:pPr>
      <w:r>
        <w:rPr>
          <w:rFonts w:eastAsiaTheme="minorEastAsia" w:hint="eastAsia"/>
          <w:color w:val="auto"/>
        </w:rPr>
        <w:t>在低风险策略类型中，相对价值套利和市场中性平均涨幅在</w:t>
      </w:r>
      <w:r>
        <w:rPr>
          <w:rFonts w:eastAsiaTheme="minorEastAsia" w:hint="eastAsia"/>
          <w:color w:val="auto"/>
        </w:rPr>
        <w:t>9%</w:t>
      </w:r>
      <w:r w:rsidR="00C95DE6">
        <w:rPr>
          <w:rFonts w:eastAsiaTheme="minorEastAsia" w:hint="eastAsia"/>
          <w:color w:val="auto"/>
        </w:rPr>
        <w:t>上下，属于“性价比”</w:t>
      </w:r>
      <w:r>
        <w:rPr>
          <w:rFonts w:eastAsiaTheme="minorEastAsia" w:hint="eastAsia"/>
          <w:color w:val="auto"/>
        </w:rPr>
        <w:t>理想</w:t>
      </w:r>
      <w:r w:rsidR="00C95DE6">
        <w:rPr>
          <w:rFonts w:eastAsiaTheme="minorEastAsia" w:hint="eastAsia"/>
          <w:color w:val="auto"/>
        </w:rPr>
        <w:t>的品种。</w:t>
      </w:r>
      <w:r w:rsidRPr="00E277B0">
        <w:rPr>
          <w:rFonts w:eastAsiaTheme="minorEastAsia" w:hint="eastAsia"/>
          <w:color w:val="auto"/>
        </w:rPr>
        <w:t>两种策略都</w:t>
      </w:r>
      <w:r>
        <w:rPr>
          <w:rFonts w:eastAsiaTheme="minorEastAsia" w:hint="eastAsia"/>
          <w:color w:val="auto"/>
        </w:rPr>
        <w:t>力求相对市场保持中性，其中</w:t>
      </w:r>
      <w:r w:rsidRPr="00E277B0">
        <w:rPr>
          <w:rFonts w:eastAsiaTheme="minorEastAsia" w:hint="eastAsia"/>
          <w:color w:val="auto"/>
        </w:rPr>
        <w:t>相对价值策略旨在获得</w:t>
      </w:r>
      <w:r w:rsidRPr="00E277B0">
        <w:rPr>
          <w:rFonts w:eastAsiaTheme="minorEastAsia" w:hint="eastAsia"/>
          <w:color w:val="auto"/>
        </w:rPr>
        <w:t>ETF</w:t>
      </w:r>
      <w:r w:rsidRPr="00E277B0">
        <w:rPr>
          <w:rFonts w:eastAsiaTheme="minorEastAsia" w:hint="eastAsia"/>
          <w:color w:val="auto"/>
        </w:rPr>
        <w:t>、分级基金、股指期货的定价偏差带来的套利收益，而市场中性策略</w:t>
      </w:r>
      <w:r w:rsidR="00AE5997">
        <w:rPr>
          <w:rFonts w:eastAsiaTheme="minorEastAsia" w:hint="eastAsia"/>
          <w:color w:val="auto"/>
        </w:rPr>
        <w:t>收益来源于选股的超额收益</w:t>
      </w:r>
      <w:r>
        <w:rPr>
          <w:rFonts w:eastAsiaTheme="minorEastAsia" w:hint="eastAsia"/>
          <w:color w:val="auto"/>
        </w:rPr>
        <w:t>。而固定收益策略囿于今年债市</w:t>
      </w:r>
      <w:r w:rsidR="00C95DE6">
        <w:rPr>
          <w:rFonts w:eastAsiaTheme="minorEastAsia" w:hint="eastAsia"/>
          <w:color w:val="auto"/>
        </w:rPr>
        <w:t>的</w:t>
      </w:r>
      <w:r w:rsidR="00EF17C0">
        <w:rPr>
          <w:rFonts w:eastAsiaTheme="minorEastAsia" w:hint="eastAsia"/>
          <w:color w:val="auto"/>
        </w:rPr>
        <w:t>急转直下</w:t>
      </w:r>
      <w:r>
        <w:rPr>
          <w:rFonts w:eastAsiaTheme="minorEastAsia" w:hint="eastAsia"/>
          <w:color w:val="auto"/>
        </w:rPr>
        <w:t>，盈利水平尚不及定存。</w:t>
      </w:r>
    </w:p>
    <w:tbl>
      <w:tblPr>
        <w:tblW w:w="10772" w:type="dxa"/>
        <w:jc w:val="center"/>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985"/>
        <w:gridCol w:w="850"/>
        <w:gridCol w:w="709"/>
        <w:gridCol w:w="7228"/>
      </w:tblGrid>
      <w:tr w:rsidR="00E24573" w:rsidTr="003A7828">
        <w:trPr>
          <w:cantSplit/>
          <w:trHeight w:val="335"/>
          <w:jc w:val="center"/>
        </w:trPr>
        <w:tc>
          <w:tcPr>
            <w:tcW w:w="10772" w:type="dxa"/>
            <w:gridSpan w:val="4"/>
            <w:tcBorders>
              <w:bottom w:val="single" w:sz="6" w:space="0" w:color="FF6600"/>
            </w:tcBorders>
            <w:shd w:val="clear" w:color="auto" w:fill="auto"/>
            <w:vAlign w:val="center"/>
          </w:tcPr>
          <w:p w:rsidR="00E24573" w:rsidRPr="0007259C" w:rsidRDefault="00E24573" w:rsidP="0025073C">
            <w:pPr>
              <w:pStyle w:val="SubTitleLargeTable"/>
              <w:pBdr>
                <w:top w:val="none" w:sz="0" w:space="0" w:color="auto"/>
              </w:pBdr>
              <w:rPr>
                <w:rFonts w:ascii="宋体" w:eastAsia="宋体" w:hAnsi="宋体"/>
                <w:b w:val="0"/>
              </w:rPr>
            </w:pPr>
            <w:r w:rsidRPr="00AE3A97">
              <w:rPr>
                <w:rFonts w:eastAsiaTheme="minorEastAsia"/>
                <w:color w:val="FF6600"/>
              </w:rPr>
              <w:t>图表</w:t>
            </w:r>
            <w:r w:rsidR="0025073C">
              <w:rPr>
                <w:rFonts w:eastAsiaTheme="minorEastAsia" w:hint="eastAsia"/>
                <w:color w:val="FF6600"/>
              </w:rPr>
              <w:t>4</w:t>
            </w:r>
            <w:r w:rsidRPr="00AE3A97">
              <w:rPr>
                <w:rFonts w:eastAsiaTheme="minorEastAsia" w:hint="eastAsia"/>
                <w:color w:val="FF6600"/>
              </w:rPr>
              <w:t>：</w:t>
            </w:r>
            <w:r>
              <w:rPr>
                <w:rFonts w:eastAsiaTheme="minorEastAsia" w:hint="eastAsia"/>
                <w:color w:val="FF6600"/>
              </w:rPr>
              <w:t>1~11</w:t>
            </w:r>
            <w:r>
              <w:rPr>
                <w:rFonts w:eastAsiaTheme="minorEastAsia" w:hint="eastAsia"/>
                <w:color w:val="FF6600"/>
              </w:rPr>
              <w:t>月对冲基金各策略涨跌幅对比</w:t>
            </w:r>
            <w:r w:rsidR="00176E76" w:rsidRPr="00176E76">
              <w:rPr>
                <w:rFonts w:eastAsiaTheme="minorEastAsia" w:hint="eastAsia"/>
                <w:color w:val="FF6600"/>
              </w:rPr>
              <w:t>（少于</w:t>
            </w:r>
            <w:r w:rsidR="00176E76" w:rsidRPr="00176E76">
              <w:rPr>
                <w:rFonts w:eastAsiaTheme="minorEastAsia" w:hint="eastAsia"/>
                <w:color w:val="FF6600"/>
              </w:rPr>
              <w:t>3</w:t>
            </w:r>
            <w:r w:rsidR="00176E76" w:rsidRPr="00176E76">
              <w:rPr>
                <w:rFonts w:eastAsiaTheme="minorEastAsia" w:hint="eastAsia"/>
                <w:color w:val="FF6600"/>
              </w:rPr>
              <w:t>只的策略类型暂不统计）</w:t>
            </w:r>
          </w:p>
        </w:tc>
      </w:tr>
      <w:tr w:rsidR="00E24573" w:rsidTr="003A7828">
        <w:trPr>
          <w:cantSplit/>
          <w:trHeight w:val="454"/>
          <w:jc w:val="center"/>
        </w:trPr>
        <w:tc>
          <w:tcPr>
            <w:tcW w:w="1985" w:type="dxa"/>
            <w:tcBorders>
              <w:right w:val="single" w:sz="6" w:space="0" w:color="FF6600"/>
            </w:tcBorders>
            <w:shd w:val="clear" w:color="auto" w:fill="FDE9D9" w:themeFill="accent6" w:themeFillTint="33"/>
            <w:vAlign w:val="center"/>
          </w:tcPr>
          <w:p w:rsidR="00E24573" w:rsidRPr="0090090A" w:rsidRDefault="00E24573" w:rsidP="006A1E79">
            <w:pPr>
              <w:snapToGrid w:val="0"/>
              <w:jc w:val="center"/>
              <w:rPr>
                <w:rFonts w:ascii="宋体" w:eastAsia="宋体" w:hAnsi="宋体" w:cs="Arial"/>
                <w:b/>
                <w:sz w:val="18"/>
                <w:szCs w:val="18"/>
              </w:rPr>
            </w:pPr>
            <w:r w:rsidRPr="0090090A">
              <w:rPr>
                <w:rFonts w:cs="Arial" w:hint="eastAsia"/>
                <w:b/>
                <w:sz w:val="18"/>
                <w:szCs w:val="18"/>
              </w:rPr>
              <w:t>策略类型</w:t>
            </w:r>
          </w:p>
        </w:tc>
        <w:tc>
          <w:tcPr>
            <w:tcW w:w="850" w:type="dxa"/>
            <w:tcBorders>
              <w:right w:val="single" w:sz="6" w:space="0" w:color="FF6600"/>
            </w:tcBorders>
            <w:shd w:val="clear" w:color="auto" w:fill="FDE9D9" w:themeFill="accent6" w:themeFillTint="33"/>
            <w:vAlign w:val="center"/>
          </w:tcPr>
          <w:p w:rsidR="006D220E" w:rsidRPr="0090090A" w:rsidRDefault="00E24573" w:rsidP="006A1E79">
            <w:pPr>
              <w:snapToGrid w:val="0"/>
              <w:jc w:val="center"/>
              <w:rPr>
                <w:rFonts w:cs="Arial"/>
                <w:b/>
                <w:sz w:val="18"/>
                <w:szCs w:val="18"/>
              </w:rPr>
            </w:pPr>
            <w:r w:rsidRPr="0090090A">
              <w:rPr>
                <w:rFonts w:cs="Arial" w:hint="eastAsia"/>
                <w:b/>
                <w:sz w:val="18"/>
                <w:szCs w:val="18"/>
              </w:rPr>
              <w:t>今年以来</w:t>
            </w:r>
          </w:p>
          <w:p w:rsidR="00E24573" w:rsidRPr="0090090A" w:rsidRDefault="00475BE4" w:rsidP="006A1E79">
            <w:pPr>
              <w:snapToGrid w:val="0"/>
              <w:jc w:val="center"/>
              <w:rPr>
                <w:rFonts w:ascii="宋体" w:eastAsia="宋体" w:hAnsi="宋体" w:cs="Arial"/>
                <w:b/>
                <w:sz w:val="18"/>
                <w:szCs w:val="18"/>
              </w:rPr>
            </w:pPr>
            <w:r w:rsidRPr="0090090A">
              <w:rPr>
                <w:rFonts w:cs="Arial" w:hint="eastAsia"/>
                <w:b/>
                <w:sz w:val="18"/>
                <w:szCs w:val="18"/>
              </w:rPr>
              <w:t>平均</w:t>
            </w:r>
            <w:r w:rsidR="00E24573" w:rsidRPr="0090090A">
              <w:rPr>
                <w:rFonts w:cs="Arial" w:hint="eastAsia"/>
                <w:b/>
                <w:sz w:val="18"/>
                <w:szCs w:val="18"/>
              </w:rPr>
              <w:t>收益</w:t>
            </w:r>
          </w:p>
        </w:tc>
        <w:tc>
          <w:tcPr>
            <w:tcW w:w="709" w:type="dxa"/>
            <w:tcBorders>
              <w:right w:val="single" w:sz="6" w:space="0" w:color="FF6600"/>
            </w:tcBorders>
            <w:shd w:val="clear" w:color="auto" w:fill="FDE9D9" w:themeFill="accent6" w:themeFillTint="33"/>
            <w:vAlign w:val="center"/>
          </w:tcPr>
          <w:p w:rsidR="006D220E" w:rsidRPr="0090090A" w:rsidRDefault="00E24573" w:rsidP="006A1E79">
            <w:pPr>
              <w:snapToGrid w:val="0"/>
              <w:jc w:val="center"/>
              <w:rPr>
                <w:rFonts w:cs="Arial"/>
                <w:b/>
                <w:sz w:val="18"/>
                <w:szCs w:val="18"/>
              </w:rPr>
            </w:pPr>
            <w:r w:rsidRPr="0090090A">
              <w:rPr>
                <w:rFonts w:cs="Arial" w:hint="eastAsia"/>
                <w:b/>
                <w:sz w:val="18"/>
                <w:szCs w:val="18"/>
              </w:rPr>
              <w:t>产品</w:t>
            </w:r>
          </w:p>
          <w:p w:rsidR="00E24573" w:rsidRPr="0090090A" w:rsidRDefault="00E24573" w:rsidP="006A1E79">
            <w:pPr>
              <w:snapToGrid w:val="0"/>
              <w:jc w:val="center"/>
              <w:rPr>
                <w:rFonts w:ascii="宋体" w:eastAsia="宋体" w:hAnsi="宋体" w:cs="Arial"/>
                <w:b/>
                <w:sz w:val="18"/>
                <w:szCs w:val="18"/>
              </w:rPr>
            </w:pPr>
            <w:r w:rsidRPr="0090090A">
              <w:rPr>
                <w:rFonts w:cs="Arial" w:hint="eastAsia"/>
                <w:b/>
                <w:sz w:val="18"/>
                <w:szCs w:val="18"/>
              </w:rPr>
              <w:t>数量</w:t>
            </w:r>
          </w:p>
        </w:tc>
        <w:tc>
          <w:tcPr>
            <w:tcW w:w="7228" w:type="dxa"/>
            <w:vMerge w:val="restart"/>
            <w:tcBorders>
              <w:left w:val="single" w:sz="6" w:space="0" w:color="FF6600"/>
            </w:tcBorders>
            <w:shd w:val="clear" w:color="auto" w:fill="auto"/>
            <w:vAlign w:val="center"/>
          </w:tcPr>
          <w:p w:rsidR="00E24573" w:rsidRPr="0007259C" w:rsidRDefault="00E24573" w:rsidP="0025073C">
            <w:pPr>
              <w:jc w:val="center"/>
              <w:rPr>
                <w:rFonts w:ascii="宋体" w:eastAsia="宋体" w:hAnsi="宋体"/>
                <w:b/>
              </w:rPr>
            </w:pPr>
            <w:r w:rsidRPr="00E24573">
              <w:rPr>
                <w:rFonts w:ascii="宋体" w:eastAsia="宋体" w:hAnsi="宋体"/>
                <w:b/>
                <w:noProof/>
              </w:rPr>
              <w:drawing>
                <wp:inline distT="0" distB="0" distL="0" distR="0">
                  <wp:extent cx="4218680" cy="2525947"/>
                  <wp:effectExtent l="1905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235770" cy="2536180"/>
                          </a:xfrm>
                          <a:prstGeom prst="rect">
                            <a:avLst/>
                          </a:prstGeom>
                          <a:noFill/>
                        </pic:spPr>
                      </pic:pic>
                    </a:graphicData>
                  </a:graphic>
                </wp:inline>
              </w:drawing>
            </w:r>
          </w:p>
        </w:tc>
      </w:tr>
      <w:tr w:rsidR="00E24573" w:rsidTr="00AF7E0C">
        <w:trPr>
          <w:cantSplit/>
          <w:trHeight w:val="499"/>
          <w:jc w:val="center"/>
        </w:trPr>
        <w:tc>
          <w:tcPr>
            <w:tcW w:w="1985" w:type="dxa"/>
            <w:tcBorders>
              <w:right w:val="single" w:sz="6" w:space="0" w:color="FF6600"/>
            </w:tcBorders>
            <w:shd w:val="clear" w:color="auto" w:fill="auto"/>
            <w:vAlign w:val="center"/>
          </w:tcPr>
          <w:p w:rsidR="00E24573" w:rsidRPr="0090090A" w:rsidRDefault="00E24573" w:rsidP="006A1E79">
            <w:pPr>
              <w:snapToGrid w:val="0"/>
              <w:jc w:val="center"/>
              <w:rPr>
                <w:rFonts w:ascii="宋体" w:eastAsia="宋体" w:hAnsi="宋体" w:cs="Arial"/>
                <w:sz w:val="18"/>
                <w:szCs w:val="18"/>
              </w:rPr>
            </w:pPr>
            <w:r w:rsidRPr="0090090A">
              <w:rPr>
                <w:rFonts w:cs="Arial" w:hint="eastAsia"/>
                <w:sz w:val="18"/>
                <w:szCs w:val="18"/>
              </w:rPr>
              <w:t>股票多头策略</w:t>
            </w:r>
            <w:r w:rsidRPr="0090090A">
              <w:rPr>
                <w:rFonts w:cs="Arial" w:hint="eastAsia"/>
                <w:sz w:val="18"/>
                <w:szCs w:val="18"/>
              </w:rPr>
              <w:t>-</w:t>
            </w:r>
            <w:r w:rsidRPr="0090090A">
              <w:rPr>
                <w:rFonts w:cs="Arial" w:hint="eastAsia"/>
                <w:sz w:val="18"/>
                <w:szCs w:val="18"/>
              </w:rPr>
              <w:t>管理型</w:t>
            </w:r>
          </w:p>
        </w:tc>
        <w:tc>
          <w:tcPr>
            <w:tcW w:w="850"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15.20%</w:t>
            </w:r>
          </w:p>
        </w:tc>
        <w:tc>
          <w:tcPr>
            <w:tcW w:w="709"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716</w:t>
            </w:r>
          </w:p>
        </w:tc>
        <w:tc>
          <w:tcPr>
            <w:tcW w:w="7228" w:type="dxa"/>
            <w:vMerge/>
            <w:tcBorders>
              <w:left w:val="single" w:sz="6" w:space="0" w:color="FF6600"/>
            </w:tcBorders>
            <w:shd w:val="clear" w:color="auto" w:fill="auto"/>
            <w:vAlign w:val="center"/>
          </w:tcPr>
          <w:p w:rsidR="00E24573" w:rsidRPr="00E24573" w:rsidRDefault="00E24573" w:rsidP="0025073C">
            <w:pPr>
              <w:jc w:val="center"/>
              <w:rPr>
                <w:rFonts w:ascii="宋体" w:eastAsia="宋体" w:hAnsi="宋体"/>
                <w:b/>
              </w:rPr>
            </w:pPr>
          </w:p>
        </w:tc>
      </w:tr>
      <w:tr w:rsidR="00E24573" w:rsidTr="00AF7E0C">
        <w:trPr>
          <w:cantSplit/>
          <w:trHeight w:val="499"/>
          <w:jc w:val="center"/>
        </w:trPr>
        <w:tc>
          <w:tcPr>
            <w:tcW w:w="1985" w:type="dxa"/>
            <w:tcBorders>
              <w:right w:val="single" w:sz="6" w:space="0" w:color="FF6600"/>
            </w:tcBorders>
            <w:shd w:val="clear" w:color="auto" w:fill="auto"/>
            <w:vAlign w:val="center"/>
          </w:tcPr>
          <w:p w:rsidR="00E24573" w:rsidRPr="0090090A" w:rsidRDefault="00E24573" w:rsidP="006A1E79">
            <w:pPr>
              <w:snapToGrid w:val="0"/>
              <w:jc w:val="center"/>
              <w:rPr>
                <w:rFonts w:ascii="宋体" w:eastAsia="宋体" w:hAnsi="宋体" w:cs="Arial"/>
                <w:sz w:val="18"/>
                <w:szCs w:val="18"/>
              </w:rPr>
            </w:pPr>
            <w:r w:rsidRPr="0090090A">
              <w:rPr>
                <w:rFonts w:cs="Arial" w:hint="eastAsia"/>
                <w:sz w:val="18"/>
                <w:szCs w:val="18"/>
              </w:rPr>
              <w:t>股票多头策略</w:t>
            </w:r>
            <w:r w:rsidRPr="0090090A">
              <w:rPr>
                <w:rFonts w:cs="Arial" w:hint="eastAsia"/>
                <w:sz w:val="18"/>
                <w:szCs w:val="18"/>
              </w:rPr>
              <w:t>-</w:t>
            </w:r>
            <w:r w:rsidRPr="0090090A">
              <w:rPr>
                <w:rFonts w:cs="Arial" w:hint="eastAsia"/>
                <w:sz w:val="18"/>
                <w:szCs w:val="18"/>
              </w:rPr>
              <w:t>分级型</w:t>
            </w:r>
          </w:p>
        </w:tc>
        <w:tc>
          <w:tcPr>
            <w:tcW w:w="850"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11.01%</w:t>
            </w:r>
          </w:p>
        </w:tc>
        <w:tc>
          <w:tcPr>
            <w:tcW w:w="709"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34</w:t>
            </w:r>
          </w:p>
        </w:tc>
        <w:tc>
          <w:tcPr>
            <w:tcW w:w="7228" w:type="dxa"/>
            <w:vMerge/>
            <w:tcBorders>
              <w:left w:val="single" w:sz="6" w:space="0" w:color="FF6600"/>
            </w:tcBorders>
            <w:shd w:val="clear" w:color="auto" w:fill="auto"/>
            <w:vAlign w:val="center"/>
          </w:tcPr>
          <w:p w:rsidR="00E24573" w:rsidRPr="00E24573" w:rsidRDefault="00E24573" w:rsidP="0025073C">
            <w:pPr>
              <w:jc w:val="center"/>
              <w:rPr>
                <w:rFonts w:ascii="宋体" w:eastAsia="宋体" w:hAnsi="宋体"/>
                <w:b/>
              </w:rPr>
            </w:pPr>
          </w:p>
        </w:tc>
      </w:tr>
      <w:tr w:rsidR="00E24573" w:rsidTr="00AF7E0C">
        <w:trPr>
          <w:cantSplit/>
          <w:trHeight w:val="499"/>
          <w:jc w:val="center"/>
        </w:trPr>
        <w:tc>
          <w:tcPr>
            <w:tcW w:w="1985" w:type="dxa"/>
            <w:tcBorders>
              <w:right w:val="single" w:sz="6" w:space="0" w:color="FF6600"/>
            </w:tcBorders>
            <w:shd w:val="clear" w:color="auto" w:fill="auto"/>
            <w:vAlign w:val="center"/>
          </w:tcPr>
          <w:p w:rsidR="00E24573" w:rsidRPr="0090090A" w:rsidRDefault="00E24573" w:rsidP="006A1E79">
            <w:pPr>
              <w:snapToGrid w:val="0"/>
              <w:jc w:val="center"/>
              <w:rPr>
                <w:rFonts w:ascii="宋体" w:eastAsia="宋体" w:hAnsi="宋体" w:cs="Arial"/>
                <w:sz w:val="18"/>
                <w:szCs w:val="18"/>
              </w:rPr>
            </w:pPr>
            <w:r w:rsidRPr="0090090A">
              <w:rPr>
                <w:rFonts w:cs="Arial" w:hint="eastAsia"/>
                <w:sz w:val="18"/>
                <w:szCs w:val="18"/>
              </w:rPr>
              <w:t>事件驱动</w:t>
            </w:r>
            <w:r w:rsidRPr="0090090A">
              <w:rPr>
                <w:rFonts w:cs="Arial" w:hint="eastAsia"/>
                <w:sz w:val="18"/>
                <w:szCs w:val="18"/>
              </w:rPr>
              <w:t>(</w:t>
            </w:r>
            <w:r w:rsidRPr="0090090A">
              <w:rPr>
                <w:rFonts w:cs="Arial" w:hint="eastAsia"/>
                <w:sz w:val="18"/>
                <w:szCs w:val="18"/>
              </w:rPr>
              <w:t>含大宗交易、定向增发</w:t>
            </w:r>
            <w:r w:rsidRPr="0090090A">
              <w:rPr>
                <w:rFonts w:cs="Arial" w:hint="eastAsia"/>
                <w:sz w:val="18"/>
                <w:szCs w:val="18"/>
              </w:rPr>
              <w:t>)</w:t>
            </w:r>
          </w:p>
        </w:tc>
        <w:tc>
          <w:tcPr>
            <w:tcW w:w="850"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32.73%</w:t>
            </w:r>
          </w:p>
        </w:tc>
        <w:tc>
          <w:tcPr>
            <w:tcW w:w="709"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23</w:t>
            </w:r>
          </w:p>
        </w:tc>
        <w:tc>
          <w:tcPr>
            <w:tcW w:w="7228" w:type="dxa"/>
            <w:vMerge/>
            <w:tcBorders>
              <w:left w:val="single" w:sz="6" w:space="0" w:color="FF6600"/>
            </w:tcBorders>
            <w:shd w:val="clear" w:color="auto" w:fill="auto"/>
            <w:vAlign w:val="center"/>
          </w:tcPr>
          <w:p w:rsidR="00E24573" w:rsidRPr="00E24573" w:rsidRDefault="00E24573" w:rsidP="0025073C">
            <w:pPr>
              <w:jc w:val="center"/>
              <w:rPr>
                <w:rFonts w:ascii="宋体" w:eastAsia="宋体" w:hAnsi="宋体"/>
                <w:b/>
              </w:rPr>
            </w:pPr>
          </w:p>
        </w:tc>
      </w:tr>
      <w:tr w:rsidR="00E24573" w:rsidTr="00AF7E0C">
        <w:trPr>
          <w:cantSplit/>
          <w:trHeight w:val="499"/>
          <w:jc w:val="center"/>
        </w:trPr>
        <w:tc>
          <w:tcPr>
            <w:tcW w:w="1985"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w:t>
            </w:r>
            <w:r w:rsidRPr="0090090A">
              <w:rPr>
                <w:rFonts w:cs="Arial" w:hint="eastAsia"/>
                <w:sz w:val="18"/>
                <w:szCs w:val="18"/>
              </w:rPr>
              <w:t>全球</w:t>
            </w:r>
            <w:r w:rsidRPr="0090090A">
              <w:rPr>
                <w:rFonts w:ascii="Arial" w:hAnsi="Arial" w:cs="Arial"/>
                <w:sz w:val="18"/>
                <w:szCs w:val="18"/>
              </w:rPr>
              <w:t>)</w:t>
            </w:r>
            <w:r w:rsidRPr="0090090A">
              <w:rPr>
                <w:rFonts w:cs="Arial" w:hint="eastAsia"/>
                <w:sz w:val="18"/>
                <w:szCs w:val="18"/>
              </w:rPr>
              <w:t>宏观</w:t>
            </w:r>
          </w:p>
        </w:tc>
        <w:tc>
          <w:tcPr>
            <w:tcW w:w="850"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28.67%</w:t>
            </w:r>
          </w:p>
        </w:tc>
        <w:tc>
          <w:tcPr>
            <w:tcW w:w="709"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6</w:t>
            </w:r>
          </w:p>
        </w:tc>
        <w:tc>
          <w:tcPr>
            <w:tcW w:w="7228" w:type="dxa"/>
            <w:vMerge/>
            <w:tcBorders>
              <w:left w:val="single" w:sz="6" w:space="0" w:color="FF6600"/>
            </w:tcBorders>
            <w:shd w:val="clear" w:color="auto" w:fill="auto"/>
            <w:vAlign w:val="center"/>
          </w:tcPr>
          <w:p w:rsidR="00E24573" w:rsidRPr="00E24573" w:rsidRDefault="00E24573" w:rsidP="0025073C">
            <w:pPr>
              <w:jc w:val="center"/>
              <w:rPr>
                <w:rFonts w:ascii="宋体" w:eastAsia="宋体" w:hAnsi="宋体"/>
                <w:b/>
              </w:rPr>
            </w:pPr>
          </w:p>
        </w:tc>
      </w:tr>
      <w:tr w:rsidR="00E24573" w:rsidTr="00AF7E0C">
        <w:trPr>
          <w:cantSplit/>
          <w:trHeight w:val="499"/>
          <w:jc w:val="center"/>
        </w:trPr>
        <w:tc>
          <w:tcPr>
            <w:tcW w:w="1985" w:type="dxa"/>
            <w:tcBorders>
              <w:right w:val="single" w:sz="6" w:space="0" w:color="FF6600"/>
            </w:tcBorders>
            <w:shd w:val="clear" w:color="auto" w:fill="auto"/>
            <w:vAlign w:val="center"/>
          </w:tcPr>
          <w:p w:rsidR="00E24573" w:rsidRPr="0090090A" w:rsidRDefault="00E24573" w:rsidP="006A1E79">
            <w:pPr>
              <w:snapToGrid w:val="0"/>
              <w:jc w:val="center"/>
              <w:rPr>
                <w:rFonts w:ascii="宋体" w:eastAsia="宋体" w:hAnsi="宋体" w:cs="Arial"/>
                <w:sz w:val="18"/>
                <w:szCs w:val="18"/>
              </w:rPr>
            </w:pPr>
            <w:r w:rsidRPr="0090090A">
              <w:rPr>
                <w:rFonts w:cs="Arial" w:hint="eastAsia"/>
                <w:sz w:val="18"/>
                <w:szCs w:val="18"/>
              </w:rPr>
              <w:t>相对价值套利</w:t>
            </w:r>
          </w:p>
        </w:tc>
        <w:tc>
          <w:tcPr>
            <w:tcW w:w="850"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9.32%</w:t>
            </w:r>
          </w:p>
        </w:tc>
        <w:tc>
          <w:tcPr>
            <w:tcW w:w="709"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6</w:t>
            </w:r>
          </w:p>
        </w:tc>
        <w:tc>
          <w:tcPr>
            <w:tcW w:w="7228" w:type="dxa"/>
            <w:vMerge/>
            <w:tcBorders>
              <w:left w:val="single" w:sz="6" w:space="0" w:color="FF6600"/>
            </w:tcBorders>
            <w:shd w:val="clear" w:color="auto" w:fill="auto"/>
            <w:vAlign w:val="center"/>
          </w:tcPr>
          <w:p w:rsidR="00E24573" w:rsidRPr="00E24573" w:rsidRDefault="00E24573" w:rsidP="0025073C">
            <w:pPr>
              <w:jc w:val="center"/>
              <w:rPr>
                <w:rFonts w:ascii="宋体" w:eastAsia="宋体" w:hAnsi="宋体"/>
                <w:b/>
              </w:rPr>
            </w:pPr>
          </w:p>
        </w:tc>
      </w:tr>
      <w:tr w:rsidR="00E24573" w:rsidTr="00AF7E0C">
        <w:trPr>
          <w:cantSplit/>
          <w:trHeight w:val="499"/>
          <w:jc w:val="center"/>
        </w:trPr>
        <w:tc>
          <w:tcPr>
            <w:tcW w:w="1985" w:type="dxa"/>
            <w:tcBorders>
              <w:right w:val="single" w:sz="6" w:space="0" w:color="FF6600"/>
            </w:tcBorders>
            <w:shd w:val="clear" w:color="auto" w:fill="auto"/>
            <w:vAlign w:val="center"/>
          </w:tcPr>
          <w:p w:rsidR="00E24573" w:rsidRPr="0090090A" w:rsidRDefault="00E24573" w:rsidP="006A1E79">
            <w:pPr>
              <w:snapToGrid w:val="0"/>
              <w:jc w:val="center"/>
              <w:rPr>
                <w:rFonts w:ascii="宋体" w:eastAsia="宋体" w:hAnsi="宋体" w:cs="Arial"/>
                <w:sz w:val="18"/>
                <w:szCs w:val="18"/>
              </w:rPr>
            </w:pPr>
            <w:r w:rsidRPr="0090090A">
              <w:rPr>
                <w:rFonts w:cs="Arial" w:hint="eastAsia"/>
                <w:sz w:val="18"/>
                <w:szCs w:val="18"/>
              </w:rPr>
              <w:t>市场中性</w:t>
            </w:r>
          </w:p>
        </w:tc>
        <w:tc>
          <w:tcPr>
            <w:tcW w:w="850"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8.39%</w:t>
            </w:r>
          </w:p>
        </w:tc>
        <w:tc>
          <w:tcPr>
            <w:tcW w:w="709"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18</w:t>
            </w:r>
          </w:p>
        </w:tc>
        <w:tc>
          <w:tcPr>
            <w:tcW w:w="7228" w:type="dxa"/>
            <w:vMerge/>
            <w:tcBorders>
              <w:left w:val="single" w:sz="6" w:space="0" w:color="FF6600"/>
            </w:tcBorders>
            <w:shd w:val="clear" w:color="auto" w:fill="auto"/>
            <w:vAlign w:val="center"/>
          </w:tcPr>
          <w:p w:rsidR="00E24573" w:rsidRPr="00E24573" w:rsidRDefault="00E24573" w:rsidP="0025073C">
            <w:pPr>
              <w:jc w:val="center"/>
              <w:rPr>
                <w:rFonts w:ascii="宋体" w:eastAsia="宋体" w:hAnsi="宋体"/>
                <w:b/>
              </w:rPr>
            </w:pPr>
          </w:p>
        </w:tc>
      </w:tr>
      <w:tr w:rsidR="00E24573" w:rsidTr="00AF7E0C">
        <w:trPr>
          <w:cantSplit/>
          <w:trHeight w:val="499"/>
          <w:jc w:val="center"/>
        </w:trPr>
        <w:tc>
          <w:tcPr>
            <w:tcW w:w="1985" w:type="dxa"/>
            <w:tcBorders>
              <w:right w:val="single" w:sz="6" w:space="0" w:color="FF6600"/>
            </w:tcBorders>
            <w:shd w:val="clear" w:color="auto" w:fill="auto"/>
            <w:vAlign w:val="center"/>
          </w:tcPr>
          <w:p w:rsidR="00E24573" w:rsidRPr="0090090A" w:rsidRDefault="00E24573" w:rsidP="006A1E79">
            <w:pPr>
              <w:snapToGrid w:val="0"/>
              <w:jc w:val="center"/>
              <w:rPr>
                <w:rFonts w:ascii="宋体" w:eastAsia="宋体" w:hAnsi="宋体" w:cs="Arial"/>
                <w:sz w:val="18"/>
                <w:szCs w:val="18"/>
              </w:rPr>
            </w:pPr>
            <w:r w:rsidRPr="0090090A">
              <w:rPr>
                <w:rFonts w:cs="Arial" w:hint="eastAsia"/>
                <w:sz w:val="18"/>
                <w:szCs w:val="18"/>
              </w:rPr>
              <w:t>固定收益</w:t>
            </w:r>
          </w:p>
        </w:tc>
        <w:tc>
          <w:tcPr>
            <w:tcW w:w="850"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1.01%</w:t>
            </w:r>
          </w:p>
        </w:tc>
        <w:tc>
          <w:tcPr>
            <w:tcW w:w="709" w:type="dxa"/>
            <w:tcBorders>
              <w:right w:val="single" w:sz="6" w:space="0" w:color="FF6600"/>
            </w:tcBorders>
            <w:shd w:val="clear" w:color="auto" w:fill="auto"/>
            <w:vAlign w:val="center"/>
          </w:tcPr>
          <w:p w:rsidR="00E24573" w:rsidRPr="0090090A" w:rsidRDefault="00E24573" w:rsidP="006A1E79">
            <w:pPr>
              <w:snapToGrid w:val="0"/>
              <w:jc w:val="center"/>
              <w:rPr>
                <w:rFonts w:ascii="Arial" w:eastAsia="宋体" w:hAnsi="Arial" w:cs="Arial"/>
                <w:sz w:val="18"/>
                <w:szCs w:val="18"/>
              </w:rPr>
            </w:pPr>
            <w:r w:rsidRPr="0090090A">
              <w:rPr>
                <w:rFonts w:ascii="Arial" w:hAnsi="Arial" w:cs="Arial"/>
                <w:sz w:val="18"/>
                <w:szCs w:val="18"/>
              </w:rPr>
              <w:t>21</w:t>
            </w:r>
          </w:p>
        </w:tc>
        <w:tc>
          <w:tcPr>
            <w:tcW w:w="7228" w:type="dxa"/>
            <w:vMerge/>
            <w:tcBorders>
              <w:left w:val="single" w:sz="6" w:space="0" w:color="FF6600"/>
            </w:tcBorders>
            <w:shd w:val="clear" w:color="auto" w:fill="auto"/>
            <w:vAlign w:val="center"/>
          </w:tcPr>
          <w:p w:rsidR="00E24573" w:rsidRPr="00E24573" w:rsidRDefault="00E24573" w:rsidP="0025073C">
            <w:pPr>
              <w:jc w:val="center"/>
              <w:rPr>
                <w:rFonts w:ascii="宋体" w:eastAsia="宋体" w:hAnsi="宋体"/>
                <w:b/>
              </w:rPr>
            </w:pPr>
          </w:p>
        </w:tc>
      </w:tr>
    </w:tbl>
    <w:p w:rsidR="00E24573" w:rsidRPr="003629A1" w:rsidRDefault="00E24573" w:rsidP="00E24573">
      <w:pPr>
        <w:pStyle w:val="FootnoteNoline"/>
        <w:ind w:left="0"/>
        <w:rPr>
          <w:color w:val="FF6600"/>
          <w:lang w:val="en-US"/>
        </w:rPr>
      </w:pPr>
      <w:r w:rsidRPr="003629A1">
        <w:rPr>
          <w:rFonts w:hint="eastAsia"/>
          <w:color w:val="FF6600"/>
          <w:lang w:val="en-US"/>
        </w:rPr>
        <w:t>来源：凯石财富工场</w:t>
      </w:r>
    </w:p>
    <w:p w:rsidR="00A85503" w:rsidRDefault="00A85503">
      <w:pPr>
        <w:widowControl/>
        <w:jc w:val="left"/>
        <w:rPr>
          <w:rFonts w:asciiTheme="minorEastAsia" w:hAnsiTheme="minorEastAsia"/>
          <w:b/>
          <w:bCs/>
          <w:color w:val="0070C0"/>
          <w:kern w:val="0"/>
          <w:sz w:val="24"/>
          <w:szCs w:val="24"/>
          <w:lang w:val="en-GB"/>
        </w:rPr>
      </w:pPr>
    </w:p>
    <w:p w:rsidR="00EF17C0" w:rsidRDefault="00EF17C0" w:rsidP="00AE3A97">
      <w:pPr>
        <w:widowControl/>
        <w:spacing w:after="120"/>
        <w:ind w:left="3430"/>
        <w:rPr>
          <w:rFonts w:ascii="Arial" w:hAnsi="Arial" w:cs="Arial"/>
          <w:b/>
          <w:bCs/>
          <w:color w:val="0070C0"/>
          <w:kern w:val="0"/>
          <w:sz w:val="24"/>
          <w:szCs w:val="24"/>
          <w:lang w:val="en-GB"/>
        </w:rPr>
      </w:pPr>
      <w:r>
        <w:rPr>
          <w:rFonts w:asciiTheme="minorEastAsia" w:hAnsiTheme="minorEastAsia" w:hint="eastAsia"/>
          <w:b/>
          <w:bCs/>
          <w:color w:val="0070C0"/>
          <w:kern w:val="0"/>
          <w:sz w:val="24"/>
          <w:szCs w:val="24"/>
          <w:lang w:val="en-GB"/>
        </w:rPr>
        <w:lastRenderedPageBreak/>
        <w:t>二</w:t>
      </w:r>
      <w:r w:rsidRPr="00EF17C0">
        <w:rPr>
          <w:rFonts w:asciiTheme="minorEastAsia" w:hAnsiTheme="minorEastAsia" w:hint="eastAsia"/>
          <w:b/>
          <w:bCs/>
          <w:color w:val="0070C0"/>
          <w:kern w:val="0"/>
          <w:sz w:val="24"/>
          <w:szCs w:val="24"/>
          <w:lang w:val="en-GB"/>
        </w:rPr>
        <w:t>、</w:t>
      </w:r>
      <w:r>
        <w:rPr>
          <w:rFonts w:ascii="Arial" w:eastAsia="楷体_GB2312" w:hAnsi="Arial" w:hint="eastAsia"/>
          <w:b/>
          <w:bCs/>
          <w:color w:val="0070C0"/>
          <w:kern w:val="0"/>
          <w:sz w:val="24"/>
          <w:szCs w:val="24"/>
          <w:lang w:val="en-GB"/>
        </w:rPr>
        <w:t>2014</w:t>
      </w:r>
      <w:r w:rsidRPr="00AE3A97">
        <w:rPr>
          <w:rFonts w:asciiTheme="minorEastAsia" w:hAnsiTheme="minorEastAsia" w:hint="eastAsia"/>
          <w:b/>
          <w:bCs/>
          <w:color w:val="0070C0"/>
          <w:kern w:val="0"/>
          <w:sz w:val="24"/>
          <w:szCs w:val="24"/>
          <w:lang w:val="en-GB"/>
        </w:rPr>
        <w:t>年</w:t>
      </w:r>
      <w:r w:rsidR="00E35117">
        <w:rPr>
          <w:rFonts w:asciiTheme="minorEastAsia" w:hAnsiTheme="minorEastAsia" w:hint="eastAsia"/>
          <w:b/>
          <w:bCs/>
          <w:color w:val="0070C0"/>
          <w:kern w:val="0"/>
          <w:sz w:val="24"/>
          <w:szCs w:val="24"/>
          <w:lang w:val="en-GB"/>
        </w:rPr>
        <w:t>投资环境</w:t>
      </w:r>
      <w:r>
        <w:rPr>
          <w:rFonts w:asciiTheme="minorEastAsia" w:hAnsiTheme="minorEastAsia" w:hint="eastAsia"/>
          <w:b/>
          <w:bCs/>
          <w:color w:val="0070C0"/>
          <w:kern w:val="0"/>
          <w:sz w:val="24"/>
          <w:szCs w:val="24"/>
          <w:lang w:val="en-GB"/>
        </w:rPr>
        <w:t>展望</w:t>
      </w:r>
      <w:r w:rsidR="00DC49EF">
        <w:rPr>
          <w:rFonts w:asciiTheme="minorEastAsia" w:hAnsiTheme="minorEastAsia" w:hint="eastAsia"/>
          <w:b/>
          <w:bCs/>
          <w:color w:val="0070C0"/>
          <w:kern w:val="0"/>
          <w:sz w:val="24"/>
          <w:szCs w:val="24"/>
          <w:lang w:val="en-GB"/>
        </w:rPr>
        <w:t>：</w:t>
      </w:r>
      <w:r w:rsidR="00526B7F">
        <w:rPr>
          <w:rFonts w:asciiTheme="minorEastAsia" w:hAnsiTheme="minorEastAsia" w:hint="eastAsia"/>
          <w:b/>
          <w:bCs/>
          <w:color w:val="0070C0"/>
          <w:kern w:val="0"/>
          <w:sz w:val="24"/>
          <w:szCs w:val="24"/>
          <w:lang w:val="en-GB"/>
        </w:rPr>
        <w:t>改革政策</w:t>
      </w:r>
      <w:r w:rsidR="009D4E9B">
        <w:rPr>
          <w:rFonts w:asciiTheme="minorEastAsia" w:hAnsiTheme="minorEastAsia" w:hint="eastAsia"/>
          <w:b/>
          <w:bCs/>
          <w:color w:val="0070C0"/>
          <w:kern w:val="0"/>
          <w:sz w:val="24"/>
          <w:szCs w:val="24"/>
          <w:lang w:val="en-GB"/>
        </w:rPr>
        <w:t>落实，利率压制</w:t>
      </w:r>
      <w:r w:rsidR="00526B7F">
        <w:rPr>
          <w:rFonts w:asciiTheme="minorEastAsia" w:hAnsiTheme="minorEastAsia" w:hint="eastAsia"/>
          <w:b/>
          <w:bCs/>
          <w:color w:val="0070C0"/>
          <w:kern w:val="0"/>
          <w:sz w:val="24"/>
          <w:szCs w:val="24"/>
          <w:lang w:val="en-GB"/>
        </w:rPr>
        <w:t>股市</w:t>
      </w:r>
    </w:p>
    <w:p w:rsidR="00EF17C0" w:rsidRPr="00EF17C0" w:rsidRDefault="00526B7F" w:rsidP="008C1D4A">
      <w:pPr>
        <w:widowControl/>
        <w:spacing w:after="120"/>
        <w:ind w:left="3430"/>
        <w:rPr>
          <w:rFonts w:ascii="Arial" w:eastAsia="楷体_GB2312" w:hAnsi="Arial" w:cs="Times New Roman"/>
          <w:b/>
          <w:bCs/>
          <w:color w:val="0070C0"/>
          <w:kern w:val="0"/>
          <w:sz w:val="24"/>
          <w:szCs w:val="20"/>
          <w:lang w:val="en-GB"/>
        </w:rPr>
      </w:pPr>
      <w:r>
        <w:rPr>
          <w:rFonts w:asciiTheme="minorEastAsia" w:hAnsiTheme="minorEastAsia" w:hint="eastAsia"/>
          <w:b/>
          <w:bCs/>
          <w:color w:val="0070C0"/>
          <w:kern w:val="0"/>
          <w:szCs w:val="21"/>
          <w:lang w:val="en-GB"/>
        </w:rPr>
        <w:t>宏观</w:t>
      </w:r>
      <w:r w:rsidR="000E26EB">
        <w:rPr>
          <w:rFonts w:asciiTheme="minorEastAsia" w:hAnsiTheme="minorEastAsia" w:hint="eastAsia"/>
          <w:b/>
          <w:bCs/>
          <w:color w:val="0070C0"/>
          <w:kern w:val="0"/>
          <w:szCs w:val="21"/>
          <w:lang w:val="en-GB"/>
        </w:rPr>
        <w:t>经济</w:t>
      </w:r>
      <w:r>
        <w:rPr>
          <w:rFonts w:asciiTheme="minorEastAsia" w:hAnsiTheme="minorEastAsia" w:hint="eastAsia"/>
          <w:b/>
          <w:bCs/>
          <w:color w:val="0070C0"/>
          <w:kern w:val="0"/>
          <w:szCs w:val="21"/>
          <w:lang w:val="en-GB"/>
        </w:rPr>
        <w:t>：</w:t>
      </w:r>
      <w:r w:rsidR="008942BC">
        <w:rPr>
          <w:rFonts w:asciiTheme="minorEastAsia" w:hAnsiTheme="minorEastAsia" w:hint="eastAsia"/>
          <w:b/>
          <w:bCs/>
          <w:color w:val="0070C0"/>
          <w:kern w:val="0"/>
          <w:szCs w:val="21"/>
          <w:lang w:val="en-GB"/>
        </w:rPr>
        <w:t>延续稳</w:t>
      </w:r>
      <w:r w:rsidR="00175A45">
        <w:rPr>
          <w:rFonts w:asciiTheme="minorEastAsia" w:hAnsiTheme="minorEastAsia" w:hint="eastAsia"/>
          <w:b/>
          <w:bCs/>
          <w:color w:val="0070C0"/>
          <w:kern w:val="0"/>
          <w:szCs w:val="21"/>
          <w:lang w:val="en-GB"/>
        </w:rPr>
        <w:t>定增长，</w:t>
      </w:r>
      <w:r w:rsidR="008942BC">
        <w:rPr>
          <w:rFonts w:asciiTheme="minorEastAsia" w:hAnsiTheme="minorEastAsia" w:hint="eastAsia"/>
          <w:b/>
          <w:bCs/>
          <w:color w:val="0070C0"/>
          <w:kern w:val="0"/>
          <w:szCs w:val="21"/>
          <w:lang w:val="en-GB"/>
        </w:rPr>
        <w:t>改革</w:t>
      </w:r>
      <w:r w:rsidR="00AF7729">
        <w:rPr>
          <w:rFonts w:asciiTheme="minorEastAsia" w:hAnsiTheme="minorEastAsia" w:hint="eastAsia"/>
          <w:b/>
          <w:bCs/>
          <w:color w:val="0070C0"/>
          <w:kern w:val="0"/>
          <w:szCs w:val="21"/>
          <w:lang w:val="en-GB"/>
        </w:rPr>
        <w:t>兼顾</w:t>
      </w:r>
      <w:r w:rsidR="000E26EB">
        <w:rPr>
          <w:rFonts w:asciiTheme="minorEastAsia" w:hAnsiTheme="minorEastAsia" w:hint="eastAsia"/>
          <w:b/>
          <w:bCs/>
          <w:color w:val="0070C0"/>
          <w:kern w:val="0"/>
          <w:szCs w:val="21"/>
          <w:lang w:val="en-GB"/>
        </w:rPr>
        <w:t>风险</w:t>
      </w:r>
    </w:p>
    <w:p w:rsidR="00EF17C0" w:rsidRPr="00EF17C0" w:rsidRDefault="00AF7729" w:rsidP="00EF17C0">
      <w:pPr>
        <w:pStyle w:val="ac"/>
        <w:numPr>
          <w:ilvl w:val="4"/>
          <w:numId w:val="1"/>
        </w:numPr>
        <w:spacing w:after="163"/>
        <w:rPr>
          <w:rFonts w:eastAsiaTheme="minorEastAsia"/>
          <w:color w:val="auto"/>
        </w:rPr>
      </w:pPr>
      <w:r>
        <w:rPr>
          <w:rFonts w:eastAsiaTheme="minorEastAsia" w:hint="eastAsia"/>
          <w:color w:val="auto"/>
        </w:rPr>
        <w:t>十八届三中全会绘制</w:t>
      </w:r>
      <w:r w:rsidR="000E26EB">
        <w:rPr>
          <w:rFonts w:eastAsiaTheme="minorEastAsia" w:hint="eastAsia"/>
          <w:color w:val="auto"/>
        </w:rPr>
        <w:t>了中国经济</w:t>
      </w:r>
      <w:r w:rsidR="000D3A19">
        <w:rPr>
          <w:rFonts w:eastAsiaTheme="minorEastAsia" w:hint="eastAsia"/>
          <w:color w:val="auto"/>
        </w:rPr>
        <w:t>的长远</w:t>
      </w:r>
      <w:r>
        <w:rPr>
          <w:rFonts w:eastAsiaTheme="minorEastAsia" w:hint="eastAsia"/>
          <w:color w:val="auto"/>
        </w:rPr>
        <w:t>发展蓝图</w:t>
      </w:r>
      <w:r w:rsidR="00EF17C0" w:rsidRPr="00EF17C0">
        <w:rPr>
          <w:rFonts w:eastAsiaTheme="minorEastAsia" w:hint="eastAsia"/>
          <w:color w:val="auto"/>
        </w:rPr>
        <w:t>，中央经济工作会议则明确了</w:t>
      </w:r>
      <w:r w:rsidR="00EF17C0" w:rsidRPr="00EF17C0">
        <w:rPr>
          <w:rFonts w:eastAsiaTheme="minorEastAsia" w:hint="eastAsia"/>
          <w:color w:val="auto"/>
        </w:rPr>
        <w:t>2014</w:t>
      </w:r>
      <w:r w:rsidR="000E26EB">
        <w:rPr>
          <w:rFonts w:eastAsiaTheme="minorEastAsia" w:hint="eastAsia"/>
          <w:color w:val="auto"/>
        </w:rPr>
        <w:t>年</w:t>
      </w:r>
      <w:r w:rsidR="00053BCB">
        <w:rPr>
          <w:rFonts w:eastAsiaTheme="minorEastAsia" w:hint="eastAsia"/>
          <w:color w:val="auto"/>
        </w:rPr>
        <w:t>经济增长的具体路径，</w:t>
      </w:r>
      <w:r>
        <w:rPr>
          <w:rFonts w:eastAsiaTheme="minorEastAsia" w:hint="eastAsia"/>
          <w:color w:val="auto"/>
        </w:rPr>
        <w:t>核心内容</w:t>
      </w:r>
      <w:r w:rsidR="00053BCB">
        <w:rPr>
          <w:rFonts w:eastAsiaTheme="minorEastAsia" w:hint="eastAsia"/>
          <w:color w:val="auto"/>
        </w:rPr>
        <w:t>可概括为“</w:t>
      </w:r>
      <w:r>
        <w:rPr>
          <w:rFonts w:eastAsiaTheme="minorEastAsia" w:hint="eastAsia"/>
          <w:color w:val="auto"/>
        </w:rPr>
        <w:t>推进改革兼顾</w:t>
      </w:r>
      <w:r w:rsidR="000E26EB">
        <w:rPr>
          <w:rFonts w:eastAsiaTheme="minorEastAsia" w:hint="eastAsia"/>
          <w:color w:val="auto"/>
        </w:rPr>
        <w:t>风险</w:t>
      </w:r>
      <w:r>
        <w:rPr>
          <w:rFonts w:eastAsiaTheme="minorEastAsia" w:hint="eastAsia"/>
          <w:color w:val="auto"/>
        </w:rPr>
        <w:t>防范</w:t>
      </w:r>
      <w:r w:rsidR="00053BCB">
        <w:rPr>
          <w:rFonts w:eastAsiaTheme="minorEastAsia" w:hint="eastAsia"/>
          <w:color w:val="auto"/>
        </w:rPr>
        <w:t>”</w:t>
      </w:r>
      <w:r w:rsidR="00EF17C0" w:rsidRPr="00EF17C0">
        <w:rPr>
          <w:rFonts w:eastAsiaTheme="minorEastAsia" w:hint="eastAsia"/>
          <w:color w:val="auto"/>
        </w:rPr>
        <w:t>。综合国内外政治经济环境，</w:t>
      </w:r>
      <w:r>
        <w:rPr>
          <w:rFonts w:eastAsiaTheme="minorEastAsia" w:hint="eastAsia"/>
          <w:color w:val="auto"/>
        </w:rPr>
        <w:t>凯石工场</w:t>
      </w:r>
      <w:r w:rsidR="00EF17C0" w:rsidRPr="00EF17C0">
        <w:rPr>
          <w:rFonts w:eastAsiaTheme="minorEastAsia" w:hint="eastAsia"/>
          <w:color w:val="auto"/>
        </w:rPr>
        <w:t>预计</w:t>
      </w:r>
      <w:r w:rsidR="00EF17C0" w:rsidRPr="00EF17C0">
        <w:rPr>
          <w:rFonts w:eastAsiaTheme="minorEastAsia" w:hint="eastAsia"/>
          <w:color w:val="auto"/>
        </w:rPr>
        <w:t>2014</w:t>
      </w:r>
      <w:r w:rsidR="000E26EB">
        <w:rPr>
          <w:rFonts w:eastAsiaTheme="minorEastAsia" w:hint="eastAsia"/>
          <w:color w:val="auto"/>
        </w:rPr>
        <w:t>年国内</w:t>
      </w:r>
      <w:r w:rsidR="00EF17C0" w:rsidRPr="00EF17C0">
        <w:rPr>
          <w:rFonts w:eastAsiaTheme="minorEastAsia" w:hint="eastAsia"/>
          <w:color w:val="auto"/>
        </w:rPr>
        <w:t>经济总体增长有望保</w:t>
      </w:r>
      <w:r w:rsidR="00537A32">
        <w:rPr>
          <w:rFonts w:eastAsiaTheme="minorEastAsia" w:hint="eastAsia"/>
          <w:color w:val="auto"/>
        </w:rPr>
        <w:t>持稳定，其中</w:t>
      </w:r>
      <w:r>
        <w:rPr>
          <w:rFonts w:eastAsiaTheme="minorEastAsia" w:hint="eastAsia"/>
          <w:color w:val="auto"/>
        </w:rPr>
        <w:t>受</w:t>
      </w:r>
      <w:r w:rsidR="00537A32">
        <w:rPr>
          <w:rFonts w:eastAsiaTheme="minorEastAsia" w:hint="eastAsia"/>
          <w:color w:val="auto"/>
        </w:rPr>
        <w:t>改革影响</w:t>
      </w:r>
      <w:r w:rsidR="000E26EB">
        <w:rPr>
          <w:rFonts w:eastAsiaTheme="minorEastAsia" w:hint="eastAsia"/>
          <w:color w:val="auto"/>
        </w:rPr>
        <w:t>的投资或将放缓，但全球经济复苏有望带来出口温和增长，同时</w:t>
      </w:r>
      <w:r w:rsidR="00053BCB">
        <w:rPr>
          <w:rFonts w:eastAsiaTheme="minorEastAsia" w:hint="eastAsia"/>
          <w:color w:val="auto"/>
        </w:rPr>
        <w:t>在</w:t>
      </w:r>
      <w:r w:rsidR="000E26EB">
        <w:rPr>
          <w:rFonts w:eastAsiaTheme="minorEastAsia" w:hint="eastAsia"/>
          <w:color w:val="auto"/>
        </w:rPr>
        <w:t>消费升级背景下</w:t>
      </w:r>
      <w:r w:rsidR="00053BCB">
        <w:rPr>
          <w:rFonts w:eastAsiaTheme="minorEastAsia" w:hint="eastAsia"/>
          <w:color w:val="auto"/>
        </w:rPr>
        <w:t>的</w:t>
      </w:r>
      <w:r w:rsidR="000E26EB">
        <w:rPr>
          <w:rFonts w:eastAsiaTheme="minorEastAsia" w:hint="eastAsia"/>
          <w:color w:val="auto"/>
        </w:rPr>
        <w:t>消费增速有望稳中有升</w:t>
      </w:r>
      <w:r w:rsidR="00EF17C0" w:rsidRPr="00EF17C0">
        <w:rPr>
          <w:rFonts w:eastAsiaTheme="minorEastAsia" w:hint="eastAsia"/>
          <w:color w:val="auto"/>
        </w:rPr>
        <w:t>，全年</w:t>
      </w:r>
      <w:r w:rsidR="00EF17C0" w:rsidRPr="00EF17C0">
        <w:rPr>
          <w:rFonts w:eastAsiaTheme="minorEastAsia" w:hint="eastAsia"/>
          <w:color w:val="auto"/>
        </w:rPr>
        <w:t>GDP</w:t>
      </w:r>
      <w:r w:rsidR="000D3A19">
        <w:rPr>
          <w:rFonts w:eastAsiaTheme="minorEastAsia" w:hint="eastAsia"/>
          <w:color w:val="auto"/>
        </w:rPr>
        <w:t>增长预计</w:t>
      </w:r>
      <w:r w:rsidR="00EF17C0" w:rsidRPr="00EF17C0">
        <w:rPr>
          <w:rFonts w:eastAsiaTheme="minorEastAsia" w:hint="eastAsia"/>
          <w:color w:val="auto"/>
        </w:rPr>
        <w:t>在</w:t>
      </w:r>
      <w:r w:rsidR="00EF17C0" w:rsidRPr="00EF17C0">
        <w:rPr>
          <w:rFonts w:eastAsiaTheme="minorEastAsia" w:hint="eastAsia"/>
          <w:color w:val="auto"/>
        </w:rPr>
        <w:t>7.5%</w:t>
      </w:r>
      <w:r w:rsidR="00EF17C0" w:rsidRPr="00EF17C0">
        <w:rPr>
          <w:rFonts w:eastAsiaTheme="minorEastAsia" w:hint="eastAsia"/>
          <w:color w:val="auto"/>
        </w:rPr>
        <w:t>上下，与</w:t>
      </w:r>
      <w:r w:rsidR="00EF17C0" w:rsidRPr="00EF17C0">
        <w:rPr>
          <w:rFonts w:eastAsiaTheme="minorEastAsia" w:hint="eastAsia"/>
          <w:color w:val="auto"/>
        </w:rPr>
        <w:t>2013</w:t>
      </w:r>
      <w:r w:rsidR="00EF17C0" w:rsidRPr="00EF17C0">
        <w:rPr>
          <w:rFonts w:eastAsiaTheme="minorEastAsia" w:hint="eastAsia"/>
          <w:color w:val="auto"/>
        </w:rPr>
        <w:t>年基本持平，经济结构实现适度调整。</w:t>
      </w:r>
    </w:p>
    <w:p w:rsidR="00EF17C0" w:rsidRDefault="00EF17C0" w:rsidP="00EF17C0">
      <w:pPr>
        <w:pStyle w:val="ac"/>
        <w:numPr>
          <w:ilvl w:val="5"/>
          <w:numId w:val="2"/>
        </w:numPr>
        <w:spacing w:after="163"/>
        <w:ind w:left="4140" w:hanging="369"/>
        <w:rPr>
          <w:rFonts w:eastAsiaTheme="minorEastAsia"/>
          <w:color w:val="auto"/>
        </w:rPr>
      </w:pPr>
      <w:r w:rsidRPr="008942BC">
        <w:rPr>
          <w:rFonts w:eastAsiaTheme="minorEastAsia" w:hint="eastAsia"/>
          <w:color w:val="auto"/>
        </w:rPr>
        <w:t>出口有望随全球经济复苏温和增长。</w:t>
      </w:r>
      <w:r w:rsidR="00F65DB1">
        <w:rPr>
          <w:rFonts w:eastAsiaTheme="minorEastAsia" w:hint="eastAsia"/>
          <w:color w:val="auto"/>
        </w:rPr>
        <w:t>今</w:t>
      </w:r>
      <w:r w:rsidR="00A54B64">
        <w:rPr>
          <w:rFonts w:eastAsiaTheme="minorEastAsia" w:hint="eastAsia"/>
          <w:color w:val="auto"/>
        </w:rPr>
        <w:t>年下半年来，我国出口形势总体持</w:t>
      </w:r>
      <w:r w:rsidR="00053BCB">
        <w:rPr>
          <w:rFonts w:eastAsiaTheme="minorEastAsia" w:hint="eastAsia"/>
          <w:color w:val="auto"/>
        </w:rPr>
        <w:t>续好转，</w:t>
      </w:r>
      <w:r w:rsidR="00CE3DFE">
        <w:rPr>
          <w:rFonts w:eastAsiaTheme="minorEastAsia" w:hint="eastAsia"/>
          <w:color w:val="auto"/>
        </w:rPr>
        <w:t>尽管</w:t>
      </w:r>
      <w:r w:rsidR="00053BCB">
        <w:rPr>
          <w:rFonts w:eastAsiaTheme="minorEastAsia" w:hint="eastAsia"/>
          <w:color w:val="auto"/>
        </w:rPr>
        <w:t>存在</w:t>
      </w:r>
      <w:r w:rsidRPr="008942BC">
        <w:rPr>
          <w:rFonts w:eastAsiaTheme="minorEastAsia" w:hint="eastAsia"/>
          <w:color w:val="auto"/>
        </w:rPr>
        <w:t>人民币升值下热钱流入的因素。其中，对美欧日等发达</w:t>
      </w:r>
      <w:r w:rsidR="00F65DB1">
        <w:rPr>
          <w:rFonts w:eastAsiaTheme="minorEastAsia" w:hint="eastAsia"/>
          <w:color w:val="auto"/>
        </w:rPr>
        <w:t>经济体的出口呈现较为持续的增长势头，对新兴经济体出口则出现一定</w:t>
      </w:r>
      <w:r w:rsidRPr="008942BC">
        <w:rPr>
          <w:rFonts w:eastAsiaTheme="minorEastAsia" w:hint="eastAsia"/>
          <w:color w:val="auto"/>
        </w:rPr>
        <w:t>分化，如对俄罗斯、巴西等总体保持增长，对其他新兴或发展中经济体则出现下滑。</w:t>
      </w:r>
      <w:r w:rsidR="000658B3">
        <w:rPr>
          <w:rFonts w:eastAsiaTheme="minorEastAsia" w:hint="eastAsia"/>
          <w:color w:val="auto"/>
        </w:rPr>
        <w:t>在全球经济</w:t>
      </w:r>
      <w:r w:rsidRPr="008942BC">
        <w:rPr>
          <w:rFonts w:eastAsiaTheme="minorEastAsia" w:hint="eastAsia"/>
          <w:color w:val="auto"/>
        </w:rPr>
        <w:t>2014</w:t>
      </w:r>
      <w:r w:rsidRPr="008942BC">
        <w:rPr>
          <w:rFonts w:eastAsiaTheme="minorEastAsia" w:hint="eastAsia"/>
          <w:color w:val="auto"/>
        </w:rPr>
        <w:t>年</w:t>
      </w:r>
      <w:r w:rsidR="000658B3">
        <w:rPr>
          <w:rFonts w:eastAsiaTheme="minorEastAsia" w:hint="eastAsia"/>
          <w:color w:val="auto"/>
        </w:rPr>
        <w:t>或</w:t>
      </w:r>
      <w:r w:rsidRPr="008942BC">
        <w:rPr>
          <w:rFonts w:eastAsiaTheme="minorEastAsia" w:hint="eastAsia"/>
          <w:color w:val="auto"/>
        </w:rPr>
        <w:t>将整体温和改善</w:t>
      </w:r>
      <w:r w:rsidR="000658B3">
        <w:rPr>
          <w:rFonts w:eastAsiaTheme="minorEastAsia" w:hint="eastAsia"/>
          <w:color w:val="auto"/>
        </w:rPr>
        <w:t>的预期下，</w:t>
      </w:r>
      <w:r w:rsidRPr="008942BC">
        <w:rPr>
          <w:rFonts w:eastAsiaTheme="minorEastAsia" w:hint="eastAsia"/>
          <w:color w:val="auto"/>
        </w:rPr>
        <w:t>外部需求尤其是发达经济</w:t>
      </w:r>
      <w:r w:rsidR="000658B3">
        <w:rPr>
          <w:rFonts w:eastAsiaTheme="minorEastAsia" w:hint="eastAsia"/>
          <w:color w:val="auto"/>
        </w:rPr>
        <w:t>体需求上升，加之政府又将通过多重举措推进外贸的转型升级，</w:t>
      </w:r>
      <w:r w:rsidRPr="008942BC">
        <w:rPr>
          <w:rFonts w:eastAsiaTheme="minorEastAsia" w:hint="eastAsia"/>
          <w:color w:val="auto"/>
        </w:rPr>
        <w:t>2014</w:t>
      </w:r>
      <w:r w:rsidRPr="008942BC">
        <w:rPr>
          <w:rFonts w:eastAsiaTheme="minorEastAsia" w:hint="eastAsia"/>
          <w:color w:val="auto"/>
        </w:rPr>
        <w:t>年中国出口有望保持增长。不过，考虑到对部分新兴或发展中经济体出口的下降，以及劳动力成本上升和人民币升值的影响，出口增长预计幅度有限。</w:t>
      </w:r>
    </w:p>
    <w:p w:rsidR="00EF17C0" w:rsidRDefault="003B4F8F" w:rsidP="00EF17C0">
      <w:pPr>
        <w:pStyle w:val="ac"/>
        <w:numPr>
          <w:ilvl w:val="5"/>
          <w:numId w:val="2"/>
        </w:numPr>
        <w:spacing w:after="163"/>
        <w:ind w:left="4140" w:hanging="369"/>
        <w:rPr>
          <w:rFonts w:eastAsiaTheme="minorEastAsia"/>
          <w:color w:val="auto"/>
        </w:rPr>
      </w:pPr>
      <w:r>
        <w:rPr>
          <w:rFonts w:eastAsiaTheme="minorEastAsia" w:hint="eastAsia"/>
          <w:color w:val="auto"/>
        </w:rPr>
        <w:t>改革影响</w:t>
      </w:r>
      <w:r w:rsidR="000658B3">
        <w:rPr>
          <w:rFonts w:eastAsiaTheme="minorEastAsia" w:hint="eastAsia"/>
          <w:color w:val="auto"/>
        </w:rPr>
        <w:t>下投资恐</w:t>
      </w:r>
      <w:r w:rsidR="00CE3DFE">
        <w:rPr>
          <w:rFonts w:eastAsiaTheme="minorEastAsia" w:hint="eastAsia"/>
          <w:color w:val="auto"/>
        </w:rPr>
        <w:t>将放缓。全国固定资产投资</w:t>
      </w:r>
      <w:r w:rsidR="00CE3DFE">
        <w:rPr>
          <w:rFonts w:eastAsiaTheme="minorEastAsia" w:hint="eastAsia"/>
          <w:color w:val="auto"/>
        </w:rPr>
        <w:t>(</w:t>
      </w:r>
      <w:r w:rsidR="00CE3DFE">
        <w:rPr>
          <w:rFonts w:eastAsiaTheme="minorEastAsia" w:hint="eastAsia"/>
          <w:color w:val="auto"/>
        </w:rPr>
        <w:t>不含农户</w:t>
      </w:r>
      <w:r w:rsidR="00CE3DFE">
        <w:rPr>
          <w:rFonts w:eastAsiaTheme="minorEastAsia" w:hint="eastAsia"/>
          <w:color w:val="auto"/>
        </w:rPr>
        <w:t>)</w:t>
      </w:r>
      <w:r w:rsidR="00EF17C0" w:rsidRPr="008942BC">
        <w:rPr>
          <w:rFonts w:eastAsiaTheme="minorEastAsia" w:hint="eastAsia"/>
          <w:color w:val="auto"/>
        </w:rPr>
        <w:t>前</w:t>
      </w:r>
      <w:r w:rsidR="00EF17C0" w:rsidRPr="008942BC">
        <w:rPr>
          <w:rFonts w:eastAsiaTheme="minorEastAsia" w:hint="eastAsia"/>
          <w:color w:val="auto"/>
        </w:rPr>
        <w:t>11</w:t>
      </w:r>
      <w:r w:rsidR="00EF17C0" w:rsidRPr="008942BC">
        <w:rPr>
          <w:rFonts w:eastAsiaTheme="minorEastAsia" w:hint="eastAsia"/>
          <w:color w:val="auto"/>
        </w:rPr>
        <w:t>月同比增长</w:t>
      </w:r>
      <w:r w:rsidR="00EF17C0" w:rsidRPr="008942BC">
        <w:rPr>
          <w:rFonts w:eastAsiaTheme="minorEastAsia" w:hint="eastAsia"/>
          <w:color w:val="auto"/>
        </w:rPr>
        <w:t>19.9%</w:t>
      </w:r>
      <w:r w:rsidR="00EF17C0" w:rsidRPr="008942BC">
        <w:rPr>
          <w:rFonts w:eastAsiaTheme="minorEastAsia" w:hint="eastAsia"/>
          <w:color w:val="auto"/>
        </w:rPr>
        <w:t>，全年基本保持稳步回落趋势。</w:t>
      </w:r>
      <w:r w:rsidR="00EF17C0" w:rsidRPr="008942BC">
        <w:rPr>
          <w:rFonts w:eastAsiaTheme="minorEastAsia" w:hint="eastAsia"/>
          <w:color w:val="auto"/>
        </w:rPr>
        <w:t>2014</w:t>
      </w:r>
      <w:r w:rsidR="00EF17C0" w:rsidRPr="008942BC">
        <w:rPr>
          <w:rFonts w:eastAsiaTheme="minorEastAsia" w:hint="eastAsia"/>
          <w:color w:val="auto"/>
        </w:rPr>
        <w:t>年，固定资产投资增速预计将进一步小幅放缓。一方面，改革的重要目标就是要改变依靠投资和出口拉动的经济增长方式；另一方面，在地方政府财政压力、高资金成本压力、资金供给压力等综合作用</w:t>
      </w:r>
      <w:r w:rsidR="00053BCB">
        <w:rPr>
          <w:rFonts w:eastAsiaTheme="minorEastAsia" w:hint="eastAsia"/>
          <w:color w:val="auto"/>
        </w:rPr>
        <w:t>下</w:t>
      </w:r>
      <w:r w:rsidR="00EF17C0" w:rsidRPr="008942BC">
        <w:rPr>
          <w:rFonts w:eastAsiaTheme="minorEastAsia" w:hint="eastAsia"/>
          <w:color w:val="auto"/>
        </w:rPr>
        <w:t>，基建投资和房地产投资</w:t>
      </w:r>
      <w:r w:rsidR="003E661B">
        <w:rPr>
          <w:rFonts w:eastAsiaTheme="minorEastAsia" w:hint="eastAsia"/>
          <w:color w:val="auto"/>
        </w:rPr>
        <w:t>预计将小幅下滑</w:t>
      </w:r>
      <w:r w:rsidR="00053BCB" w:rsidRPr="008942BC">
        <w:rPr>
          <w:rFonts w:eastAsiaTheme="minorEastAsia" w:hint="eastAsia"/>
          <w:color w:val="auto"/>
        </w:rPr>
        <w:t>（</w:t>
      </w:r>
      <w:r w:rsidR="00053BCB">
        <w:rPr>
          <w:rFonts w:eastAsiaTheme="minorEastAsia" w:hint="eastAsia"/>
          <w:color w:val="auto"/>
        </w:rPr>
        <w:t>地产新开工面积下滑</w:t>
      </w:r>
      <w:r w:rsidR="00053BCB" w:rsidRPr="008942BC">
        <w:rPr>
          <w:rFonts w:eastAsiaTheme="minorEastAsia" w:hint="eastAsia"/>
          <w:color w:val="auto"/>
        </w:rPr>
        <w:t>印证</w:t>
      </w:r>
      <w:r w:rsidR="00053BCB">
        <w:rPr>
          <w:rFonts w:eastAsiaTheme="minorEastAsia" w:hint="eastAsia"/>
          <w:color w:val="auto"/>
        </w:rPr>
        <w:t>了这一判断）</w:t>
      </w:r>
      <w:r w:rsidR="003E661B">
        <w:rPr>
          <w:rFonts w:eastAsiaTheme="minorEastAsia" w:hint="eastAsia"/>
          <w:color w:val="auto"/>
        </w:rPr>
        <w:t>，制造业则在产能过剩和资金成本压力下恐将</w:t>
      </w:r>
      <w:r w:rsidR="00053BCB">
        <w:rPr>
          <w:rFonts w:eastAsiaTheme="minorEastAsia" w:hint="eastAsia"/>
          <w:color w:val="auto"/>
        </w:rPr>
        <w:t>低位徘徊；另外，尽管政府鼓励民间投资</w:t>
      </w:r>
      <w:r w:rsidR="00EF17C0" w:rsidRPr="008942BC">
        <w:rPr>
          <w:rFonts w:eastAsiaTheme="minorEastAsia" w:hint="eastAsia"/>
          <w:color w:val="auto"/>
        </w:rPr>
        <w:t>并将一些垄断领域</w:t>
      </w:r>
      <w:r w:rsidR="00053BCB">
        <w:rPr>
          <w:rFonts w:eastAsiaTheme="minorEastAsia" w:hint="eastAsia"/>
          <w:color w:val="auto"/>
        </w:rPr>
        <w:t>向民</w:t>
      </w:r>
      <w:r w:rsidR="00EF17C0" w:rsidRPr="008942BC">
        <w:rPr>
          <w:rFonts w:eastAsiaTheme="minorEastAsia" w:hint="eastAsia"/>
          <w:color w:val="auto"/>
        </w:rPr>
        <w:t>资开放，但真正激活民间投资尚需时日。相较而言，受益改革推动，基建投资中的棚户区改造、中西部地区铁路建设、市政基础设施（如城市管网）和地铁公共交通建设等</w:t>
      </w:r>
      <w:r w:rsidR="00053BCB">
        <w:rPr>
          <w:rFonts w:eastAsiaTheme="minorEastAsia" w:hint="eastAsia"/>
          <w:color w:val="auto"/>
        </w:rPr>
        <w:t>以及服务业投资，有望保持或加速增长</w:t>
      </w:r>
      <w:r w:rsidR="00EF17C0" w:rsidRPr="008942BC">
        <w:rPr>
          <w:rFonts w:eastAsiaTheme="minorEastAsia" w:hint="eastAsia"/>
          <w:color w:val="auto"/>
        </w:rPr>
        <w:t>。</w:t>
      </w:r>
    </w:p>
    <w:tbl>
      <w:tblPr>
        <w:tblW w:w="10771" w:type="dxa"/>
        <w:tblLayout w:type="fixed"/>
        <w:tblCellMar>
          <w:left w:w="0" w:type="dxa"/>
          <w:right w:w="0" w:type="dxa"/>
        </w:tblCellMar>
        <w:tblLook w:val="0000"/>
      </w:tblPr>
      <w:tblGrid>
        <w:gridCol w:w="5272"/>
        <w:gridCol w:w="227"/>
        <w:gridCol w:w="5272"/>
      </w:tblGrid>
      <w:tr w:rsidR="00CE3DFE" w:rsidRPr="00EF17C0" w:rsidTr="001F6BE6">
        <w:trPr>
          <w:cantSplit/>
          <w:trHeight w:val="368"/>
        </w:trPr>
        <w:tc>
          <w:tcPr>
            <w:tcW w:w="5272" w:type="dxa"/>
            <w:tcBorders>
              <w:top w:val="single" w:sz="6" w:space="0" w:color="FF6600"/>
              <w:bottom w:val="single" w:sz="6" w:space="0" w:color="FF6600"/>
            </w:tcBorders>
            <w:shd w:val="clear" w:color="auto" w:fill="auto"/>
            <w:vAlign w:val="center"/>
          </w:tcPr>
          <w:p w:rsidR="00CE3DFE" w:rsidRPr="00EF17C0" w:rsidRDefault="00CE3DFE" w:rsidP="001F6BE6">
            <w:pPr>
              <w:pStyle w:val="SubTitleLargeTable"/>
              <w:pBdr>
                <w:top w:val="none" w:sz="0" w:space="0" w:color="auto"/>
              </w:pBdr>
              <w:rPr>
                <w:rFonts w:eastAsia="KaiTi_GB2312"/>
                <w:b w:val="0"/>
                <w:bCs w:val="0"/>
                <w:i w:val="0"/>
                <w:iCs w:val="0"/>
              </w:rPr>
            </w:pPr>
            <w:r w:rsidRPr="00E93D12">
              <w:rPr>
                <w:rFonts w:eastAsiaTheme="minorEastAsia"/>
                <w:color w:val="FF6600"/>
              </w:rPr>
              <w:t>图表</w:t>
            </w:r>
            <w:r>
              <w:rPr>
                <w:rFonts w:eastAsiaTheme="minorEastAsia" w:hint="eastAsia"/>
                <w:color w:val="FF6600"/>
              </w:rPr>
              <w:t>5</w:t>
            </w:r>
            <w:r w:rsidRPr="00E93D12">
              <w:rPr>
                <w:rFonts w:eastAsiaTheme="minorEastAsia" w:hint="eastAsia"/>
                <w:color w:val="FF6600"/>
              </w:rPr>
              <w:t>：中国进出口同比增长情况</w:t>
            </w:r>
          </w:p>
        </w:tc>
        <w:tc>
          <w:tcPr>
            <w:tcW w:w="227" w:type="dxa"/>
            <w:vAlign w:val="center"/>
          </w:tcPr>
          <w:p w:rsidR="00CE3DFE" w:rsidRPr="00EF17C0" w:rsidRDefault="00CE3DFE" w:rsidP="001F6BE6">
            <w:pPr>
              <w:jc w:val="center"/>
            </w:pPr>
          </w:p>
        </w:tc>
        <w:tc>
          <w:tcPr>
            <w:tcW w:w="5272" w:type="dxa"/>
            <w:tcBorders>
              <w:top w:val="single" w:sz="6" w:space="0" w:color="FF6600"/>
              <w:bottom w:val="single" w:sz="6" w:space="0" w:color="FF6600"/>
            </w:tcBorders>
            <w:shd w:val="clear" w:color="auto" w:fill="auto"/>
            <w:vAlign w:val="center"/>
          </w:tcPr>
          <w:p w:rsidR="00CE3DFE" w:rsidRPr="00EF17C0" w:rsidRDefault="00CE3DFE" w:rsidP="001F6BE6">
            <w:pPr>
              <w:pStyle w:val="SubTitleLargeTable"/>
              <w:pBdr>
                <w:top w:val="none" w:sz="0" w:space="0" w:color="auto"/>
              </w:pBdr>
              <w:rPr>
                <w:rFonts w:eastAsia="KaiTi_GB2312"/>
                <w:b w:val="0"/>
                <w:bCs w:val="0"/>
                <w:i w:val="0"/>
                <w:iCs w:val="0"/>
              </w:rPr>
            </w:pPr>
            <w:r w:rsidRPr="00E93D12">
              <w:rPr>
                <w:rFonts w:eastAsiaTheme="minorEastAsia"/>
                <w:color w:val="FF6600"/>
              </w:rPr>
              <w:t>图表</w:t>
            </w:r>
            <w:r>
              <w:rPr>
                <w:rFonts w:eastAsiaTheme="minorEastAsia" w:hint="eastAsia"/>
                <w:color w:val="FF6600"/>
              </w:rPr>
              <w:t>6</w:t>
            </w:r>
            <w:r w:rsidRPr="00E93D12">
              <w:rPr>
                <w:rFonts w:eastAsiaTheme="minorEastAsia" w:hint="eastAsia"/>
                <w:color w:val="FF6600"/>
              </w:rPr>
              <w:t>：固定资产投资增长情况（累计同比）</w:t>
            </w:r>
          </w:p>
        </w:tc>
      </w:tr>
      <w:tr w:rsidR="00CE3DFE" w:rsidRPr="00EF17C0" w:rsidTr="001F6BE6">
        <w:trPr>
          <w:cantSplit/>
          <w:trHeight w:val="3016"/>
        </w:trPr>
        <w:tc>
          <w:tcPr>
            <w:tcW w:w="5272" w:type="dxa"/>
            <w:tcBorders>
              <w:top w:val="single" w:sz="6" w:space="0" w:color="FF6600"/>
              <w:bottom w:val="single" w:sz="6" w:space="0" w:color="FF6600"/>
            </w:tcBorders>
            <w:shd w:val="clear" w:color="auto" w:fill="auto"/>
            <w:vAlign w:val="center"/>
          </w:tcPr>
          <w:p w:rsidR="00CE3DFE" w:rsidRPr="00EF17C0" w:rsidRDefault="00CE3DFE" w:rsidP="001F6BE6">
            <w:pPr>
              <w:jc w:val="center"/>
            </w:pPr>
            <w:r w:rsidRPr="00EF17C0">
              <w:rPr>
                <w:noProof/>
              </w:rPr>
              <w:drawing>
                <wp:inline distT="0" distB="0" distL="0" distR="0">
                  <wp:extent cx="3276600" cy="1970314"/>
                  <wp:effectExtent l="19050" t="0" r="0" b="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3272394" cy="1967785"/>
                          </a:xfrm>
                          <a:prstGeom prst="rect">
                            <a:avLst/>
                          </a:prstGeom>
                          <a:noFill/>
                        </pic:spPr>
                      </pic:pic>
                    </a:graphicData>
                  </a:graphic>
                </wp:inline>
              </w:drawing>
            </w:r>
          </w:p>
        </w:tc>
        <w:tc>
          <w:tcPr>
            <w:tcW w:w="227" w:type="dxa"/>
            <w:vAlign w:val="center"/>
          </w:tcPr>
          <w:p w:rsidR="00CE3DFE" w:rsidRPr="00EF17C0" w:rsidRDefault="00CE3DFE" w:rsidP="001F6BE6">
            <w:pPr>
              <w:jc w:val="center"/>
            </w:pPr>
          </w:p>
        </w:tc>
        <w:tc>
          <w:tcPr>
            <w:tcW w:w="5272" w:type="dxa"/>
            <w:tcBorders>
              <w:top w:val="single" w:sz="6" w:space="0" w:color="FF6600"/>
              <w:bottom w:val="single" w:sz="6" w:space="0" w:color="FF6600"/>
            </w:tcBorders>
            <w:shd w:val="clear" w:color="auto" w:fill="auto"/>
            <w:vAlign w:val="center"/>
          </w:tcPr>
          <w:p w:rsidR="00CE3DFE" w:rsidRPr="00EF17C0" w:rsidRDefault="00CE3DFE" w:rsidP="001F6BE6">
            <w:pPr>
              <w:jc w:val="center"/>
            </w:pPr>
            <w:r w:rsidRPr="00EF17C0">
              <w:rPr>
                <w:noProof/>
              </w:rPr>
              <w:drawing>
                <wp:inline distT="0" distB="0" distL="0" distR="0">
                  <wp:extent cx="3310542" cy="1990725"/>
                  <wp:effectExtent l="19050" t="0" r="4158" b="0"/>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3320264" cy="1996571"/>
                          </a:xfrm>
                          <a:prstGeom prst="rect">
                            <a:avLst/>
                          </a:prstGeom>
                          <a:noFill/>
                        </pic:spPr>
                      </pic:pic>
                    </a:graphicData>
                  </a:graphic>
                </wp:inline>
              </w:drawing>
            </w:r>
          </w:p>
        </w:tc>
      </w:tr>
    </w:tbl>
    <w:p w:rsidR="00CE3DFE" w:rsidRPr="00CE3DFE" w:rsidRDefault="00CE3DFE" w:rsidP="00CE3DFE">
      <w:pPr>
        <w:widowControl/>
        <w:tabs>
          <w:tab w:val="right" w:pos="10065"/>
        </w:tabs>
        <w:spacing w:before="40" w:after="160"/>
        <w:rPr>
          <w:rFonts w:ascii="Arial" w:eastAsia="KaiTi_GB2312" w:hAnsi="Arial" w:cs="Arial"/>
          <w:color w:val="FF6600"/>
          <w:kern w:val="0"/>
          <w:sz w:val="15"/>
          <w:szCs w:val="14"/>
          <w:lang w:val="en-GB"/>
        </w:rPr>
      </w:pPr>
      <w:r w:rsidRPr="00CE3DFE">
        <w:rPr>
          <w:rFonts w:ascii="Arial" w:eastAsia="楷体_GB2312" w:hAnsi="Arial" w:cs="Arial" w:hint="eastAsia"/>
          <w:color w:val="FF6600"/>
          <w:kern w:val="0"/>
          <w:sz w:val="15"/>
          <w:szCs w:val="14"/>
        </w:rPr>
        <w:t>来源：凯石财富工场</w:t>
      </w:r>
      <w:r w:rsidRPr="00CE3DFE">
        <w:rPr>
          <w:rFonts w:ascii="Arial" w:eastAsia="楷体_GB2312" w:hAnsi="Arial" w:cs="Arial" w:hint="eastAsia"/>
          <w:color w:val="FF6600"/>
          <w:kern w:val="0"/>
          <w:sz w:val="15"/>
          <w:szCs w:val="14"/>
        </w:rPr>
        <w:t xml:space="preserve"> wind </w:t>
      </w:r>
    </w:p>
    <w:p w:rsidR="00EF17C0" w:rsidRPr="00EF17C0" w:rsidRDefault="00EF17C0" w:rsidP="00EF17C0">
      <w:pPr>
        <w:pStyle w:val="ac"/>
        <w:numPr>
          <w:ilvl w:val="5"/>
          <w:numId w:val="2"/>
        </w:numPr>
        <w:spacing w:after="163"/>
        <w:ind w:left="4140" w:hanging="369"/>
        <w:rPr>
          <w:rFonts w:asciiTheme="minorEastAsia" w:eastAsiaTheme="minorEastAsia" w:hAnsiTheme="minorEastAsia"/>
          <w:color w:val="auto"/>
        </w:rPr>
      </w:pPr>
      <w:r w:rsidRPr="008942BC">
        <w:rPr>
          <w:rFonts w:eastAsiaTheme="minorEastAsia" w:hint="eastAsia"/>
          <w:color w:val="auto"/>
        </w:rPr>
        <w:t>低基数</w:t>
      </w:r>
      <w:r w:rsidR="00053BCB">
        <w:rPr>
          <w:rFonts w:eastAsiaTheme="minorEastAsia" w:hint="eastAsia"/>
          <w:color w:val="auto"/>
        </w:rPr>
        <w:t>以及</w:t>
      </w:r>
      <w:r w:rsidRPr="008942BC">
        <w:rPr>
          <w:rFonts w:eastAsiaTheme="minorEastAsia" w:hint="eastAsia"/>
          <w:color w:val="auto"/>
        </w:rPr>
        <w:t>消费升级促进消费稳中有升。</w:t>
      </w:r>
      <w:r w:rsidRPr="008942BC">
        <w:rPr>
          <w:rFonts w:eastAsiaTheme="minorEastAsia" w:hint="eastAsia"/>
          <w:color w:val="auto"/>
        </w:rPr>
        <w:t>1</w:t>
      </w:r>
      <w:r w:rsidR="00053BCB">
        <w:rPr>
          <w:rFonts w:eastAsiaTheme="minorEastAsia" w:hint="eastAsia"/>
          <w:color w:val="auto"/>
        </w:rPr>
        <w:t>~</w:t>
      </w:r>
      <w:r w:rsidRPr="008942BC">
        <w:rPr>
          <w:rFonts w:eastAsiaTheme="minorEastAsia" w:hint="eastAsia"/>
          <w:color w:val="auto"/>
        </w:rPr>
        <w:t>11</w:t>
      </w:r>
      <w:r w:rsidRPr="008942BC">
        <w:rPr>
          <w:rFonts w:eastAsiaTheme="minorEastAsia" w:hint="eastAsia"/>
          <w:color w:val="auto"/>
        </w:rPr>
        <w:t>月，社会消费品零售总额</w:t>
      </w:r>
      <w:r w:rsidRPr="008942BC">
        <w:rPr>
          <w:rFonts w:eastAsiaTheme="minorEastAsia" w:hint="eastAsia"/>
          <w:color w:val="auto"/>
        </w:rPr>
        <w:t xml:space="preserve">211320 </w:t>
      </w:r>
      <w:r w:rsidRPr="008942BC">
        <w:rPr>
          <w:rFonts w:eastAsiaTheme="minorEastAsia" w:hint="eastAsia"/>
          <w:color w:val="auto"/>
        </w:rPr>
        <w:t>亿元，同比增长</w:t>
      </w:r>
      <w:r w:rsidRPr="008942BC">
        <w:rPr>
          <w:rFonts w:eastAsiaTheme="minorEastAsia" w:hint="eastAsia"/>
          <w:color w:val="auto"/>
        </w:rPr>
        <w:t>13.0%</w:t>
      </w:r>
      <w:r w:rsidR="00462A8C">
        <w:rPr>
          <w:rFonts w:eastAsiaTheme="minorEastAsia" w:hint="eastAsia"/>
          <w:color w:val="auto"/>
        </w:rPr>
        <w:t>，尽管这一数字</w:t>
      </w:r>
      <w:r w:rsidRPr="008942BC">
        <w:rPr>
          <w:rFonts w:eastAsiaTheme="minorEastAsia" w:hint="eastAsia"/>
          <w:color w:val="auto"/>
        </w:rPr>
        <w:t>略</w:t>
      </w:r>
      <w:r w:rsidR="00462A8C">
        <w:rPr>
          <w:rFonts w:eastAsiaTheme="minorEastAsia" w:hint="eastAsia"/>
          <w:color w:val="auto"/>
        </w:rPr>
        <w:t>有回落，但下半年来持续增长趋势良好，且必需消费增长稳定的同时可选消费增长加速。其中，限制三公消费、上半年收入增速下降</w:t>
      </w:r>
      <w:r w:rsidRPr="008942BC">
        <w:rPr>
          <w:rFonts w:eastAsiaTheme="minorEastAsia" w:hint="eastAsia"/>
          <w:color w:val="auto"/>
        </w:rPr>
        <w:t>是抑制</w:t>
      </w:r>
      <w:r w:rsidR="00462A8C">
        <w:rPr>
          <w:rFonts w:eastAsiaTheme="minorEastAsia" w:hint="eastAsia"/>
          <w:color w:val="auto"/>
        </w:rPr>
        <w:t>今</w:t>
      </w:r>
      <w:r w:rsidRPr="008942BC">
        <w:rPr>
          <w:rFonts w:eastAsiaTheme="minorEastAsia" w:hint="eastAsia"/>
          <w:color w:val="auto"/>
        </w:rPr>
        <w:t>年消费增长的主要因素。不过，</w:t>
      </w:r>
      <w:r w:rsidRPr="008942BC">
        <w:rPr>
          <w:rFonts w:eastAsiaTheme="minorEastAsia" w:hint="eastAsia"/>
          <w:color w:val="auto"/>
        </w:rPr>
        <w:t>2013</w:t>
      </w:r>
      <w:r w:rsidRPr="008942BC">
        <w:rPr>
          <w:rFonts w:eastAsiaTheme="minorEastAsia" w:hint="eastAsia"/>
          <w:color w:val="auto"/>
        </w:rPr>
        <w:t>年相对较低的基数为</w:t>
      </w:r>
      <w:r w:rsidRPr="008942BC">
        <w:rPr>
          <w:rFonts w:eastAsiaTheme="minorEastAsia" w:hint="eastAsia"/>
          <w:color w:val="auto"/>
        </w:rPr>
        <w:t>2014</w:t>
      </w:r>
      <w:r w:rsidRPr="008942BC">
        <w:rPr>
          <w:rFonts w:eastAsiaTheme="minorEastAsia" w:hint="eastAsia"/>
          <w:color w:val="auto"/>
        </w:rPr>
        <w:t>年消费增速的提升留下了空间，同时国内外经济形势企稳</w:t>
      </w:r>
      <w:r w:rsidR="00462A8C">
        <w:rPr>
          <w:rFonts w:eastAsiaTheme="minorEastAsia" w:hint="eastAsia"/>
          <w:color w:val="auto"/>
        </w:rPr>
        <w:t>以</w:t>
      </w:r>
      <w:r w:rsidRPr="008942BC">
        <w:rPr>
          <w:rFonts w:eastAsiaTheme="minorEastAsia" w:hint="eastAsia"/>
          <w:color w:val="auto"/>
        </w:rPr>
        <w:t>及收入增速提升下</w:t>
      </w:r>
      <w:r w:rsidR="00462A8C">
        <w:rPr>
          <w:rFonts w:eastAsiaTheme="minorEastAsia" w:hint="eastAsia"/>
          <w:color w:val="auto"/>
        </w:rPr>
        <w:t>的消费升级（如文化娱乐、医疗保健、居住出行等），将共同促进明</w:t>
      </w:r>
      <w:r w:rsidRPr="008942BC">
        <w:rPr>
          <w:rFonts w:eastAsiaTheme="minorEastAsia" w:hint="eastAsia"/>
          <w:color w:val="auto"/>
        </w:rPr>
        <w:t>年消费增速的稳中有升。</w:t>
      </w:r>
    </w:p>
    <w:tbl>
      <w:tblPr>
        <w:tblW w:w="10771" w:type="dxa"/>
        <w:tblLayout w:type="fixed"/>
        <w:tblCellMar>
          <w:left w:w="0" w:type="dxa"/>
          <w:right w:w="0" w:type="dxa"/>
        </w:tblCellMar>
        <w:tblLook w:val="0000"/>
      </w:tblPr>
      <w:tblGrid>
        <w:gridCol w:w="5272"/>
        <w:gridCol w:w="227"/>
        <w:gridCol w:w="5272"/>
      </w:tblGrid>
      <w:tr w:rsidR="00EF17C0" w:rsidRPr="00EF17C0" w:rsidTr="001F6BE6">
        <w:trPr>
          <w:cantSplit/>
          <w:trHeight w:val="368"/>
        </w:trPr>
        <w:tc>
          <w:tcPr>
            <w:tcW w:w="5272" w:type="dxa"/>
            <w:tcBorders>
              <w:top w:val="single" w:sz="6" w:space="0" w:color="FF6600"/>
              <w:bottom w:val="single" w:sz="6" w:space="0" w:color="FF6600"/>
            </w:tcBorders>
            <w:shd w:val="clear" w:color="auto" w:fill="auto"/>
            <w:vAlign w:val="center"/>
          </w:tcPr>
          <w:p w:rsidR="00EF17C0" w:rsidRPr="00EF17C0" w:rsidRDefault="00EF17C0" w:rsidP="00E93D12">
            <w:pPr>
              <w:pStyle w:val="SubTitleLargeTable"/>
              <w:pBdr>
                <w:top w:val="none" w:sz="0" w:space="0" w:color="auto"/>
              </w:pBdr>
              <w:rPr>
                <w:rFonts w:eastAsia="KaiTi_GB2312"/>
                <w:b w:val="0"/>
                <w:bCs w:val="0"/>
                <w:i w:val="0"/>
                <w:iCs w:val="0"/>
              </w:rPr>
            </w:pPr>
            <w:r w:rsidRPr="00E93D12">
              <w:rPr>
                <w:rFonts w:eastAsiaTheme="minorEastAsia"/>
                <w:color w:val="FF6600"/>
              </w:rPr>
              <w:lastRenderedPageBreak/>
              <w:t>图表</w:t>
            </w:r>
            <w:r w:rsidR="00CE3DFE">
              <w:rPr>
                <w:rFonts w:eastAsiaTheme="minorEastAsia" w:hint="eastAsia"/>
                <w:color w:val="FF6600"/>
              </w:rPr>
              <w:t>7</w:t>
            </w:r>
            <w:r w:rsidRPr="00E93D12">
              <w:rPr>
                <w:rFonts w:eastAsiaTheme="minorEastAsia" w:hint="eastAsia"/>
                <w:color w:val="FF6600"/>
              </w:rPr>
              <w:t>：社会消费品零售总额增长情况</w:t>
            </w:r>
          </w:p>
        </w:tc>
        <w:tc>
          <w:tcPr>
            <w:tcW w:w="227" w:type="dxa"/>
            <w:vAlign w:val="center"/>
          </w:tcPr>
          <w:p w:rsidR="00EF17C0" w:rsidRPr="00EF17C0" w:rsidRDefault="00EF17C0" w:rsidP="00EF17C0">
            <w:pPr>
              <w:jc w:val="center"/>
            </w:pPr>
          </w:p>
        </w:tc>
        <w:tc>
          <w:tcPr>
            <w:tcW w:w="5272" w:type="dxa"/>
            <w:tcBorders>
              <w:top w:val="single" w:sz="6" w:space="0" w:color="FF6600"/>
              <w:bottom w:val="single" w:sz="6" w:space="0" w:color="FF6600"/>
            </w:tcBorders>
            <w:shd w:val="clear" w:color="auto" w:fill="auto"/>
            <w:vAlign w:val="center"/>
          </w:tcPr>
          <w:p w:rsidR="00EF17C0" w:rsidRPr="00EF17C0" w:rsidRDefault="00EF17C0" w:rsidP="00E93D12">
            <w:pPr>
              <w:pStyle w:val="SubTitleLargeTable"/>
              <w:pBdr>
                <w:top w:val="none" w:sz="0" w:space="0" w:color="auto"/>
              </w:pBdr>
              <w:rPr>
                <w:rFonts w:eastAsia="KaiTi_GB2312"/>
                <w:b w:val="0"/>
                <w:bCs w:val="0"/>
                <w:i w:val="0"/>
                <w:iCs w:val="0"/>
              </w:rPr>
            </w:pPr>
            <w:r w:rsidRPr="00E93D12">
              <w:rPr>
                <w:rFonts w:eastAsiaTheme="minorEastAsia"/>
                <w:color w:val="FF6600"/>
              </w:rPr>
              <w:t>图表</w:t>
            </w:r>
            <w:r w:rsidR="00CE3DFE">
              <w:rPr>
                <w:rFonts w:eastAsiaTheme="minorEastAsia" w:hint="eastAsia"/>
                <w:color w:val="FF6600"/>
              </w:rPr>
              <w:t>8</w:t>
            </w:r>
            <w:r w:rsidRPr="00E93D12">
              <w:rPr>
                <w:rFonts w:eastAsiaTheme="minorEastAsia" w:hint="eastAsia"/>
                <w:color w:val="FF6600"/>
              </w:rPr>
              <w:t>：</w:t>
            </w:r>
            <w:r w:rsidRPr="00E93D12">
              <w:rPr>
                <w:rFonts w:eastAsiaTheme="minorEastAsia" w:hint="eastAsia"/>
                <w:color w:val="FF6600"/>
              </w:rPr>
              <w:t>GDP</w:t>
            </w:r>
            <w:r w:rsidRPr="00E93D12">
              <w:rPr>
                <w:rFonts w:eastAsiaTheme="minorEastAsia" w:hint="eastAsia"/>
                <w:color w:val="FF6600"/>
              </w:rPr>
              <w:t>增长情况</w:t>
            </w:r>
          </w:p>
        </w:tc>
      </w:tr>
      <w:tr w:rsidR="00EF17C0" w:rsidRPr="00EF17C0" w:rsidTr="001F6BE6">
        <w:trPr>
          <w:cantSplit/>
          <w:trHeight w:val="3016"/>
        </w:trPr>
        <w:tc>
          <w:tcPr>
            <w:tcW w:w="5272" w:type="dxa"/>
            <w:tcBorders>
              <w:top w:val="single" w:sz="6" w:space="0" w:color="FF6600"/>
              <w:bottom w:val="single" w:sz="6" w:space="0" w:color="FF6600"/>
            </w:tcBorders>
            <w:shd w:val="clear" w:color="auto" w:fill="auto"/>
            <w:vAlign w:val="center"/>
          </w:tcPr>
          <w:p w:rsidR="00EF17C0" w:rsidRPr="00EF17C0" w:rsidRDefault="00EF17C0" w:rsidP="00EF17C0">
            <w:pPr>
              <w:jc w:val="center"/>
            </w:pPr>
            <w:r w:rsidRPr="00EF17C0">
              <w:rPr>
                <w:noProof/>
              </w:rPr>
              <w:drawing>
                <wp:inline distT="0" distB="0" distL="0" distR="0">
                  <wp:extent cx="3343275" cy="1600200"/>
                  <wp:effectExtent l="19050" t="0" r="9525" b="0"/>
                  <wp:docPr id="50"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srcRect/>
                          <a:stretch>
                            <a:fillRect/>
                          </a:stretch>
                        </pic:blipFill>
                        <pic:spPr bwMode="auto">
                          <a:xfrm>
                            <a:off x="0" y="0"/>
                            <a:ext cx="3343275" cy="1600200"/>
                          </a:xfrm>
                          <a:prstGeom prst="rect">
                            <a:avLst/>
                          </a:prstGeom>
                          <a:noFill/>
                          <a:ln w="9525">
                            <a:noFill/>
                            <a:miter lim="800000"/>
                            <a:headEnd/>
                            <a:tailEnd/>
                          </a:ln>
                        </pic:spPr>
                      </pic:pic>
                    </a:graphicData>
                  </a:graphic>
                </wp:inline>
              </w:drawing>
            </w:r>
          </w:p>
        </w:tc>
        <w:tc>
          <w:tcPr>
            <w:tcW w:w="227" w:type="dxa"/>
            <w:vAlign w:val="center"/>
          </w:tcPr>
          <w:p w:rsidR="00EF17C0" w:rsidRPr="00EF17C0" w:rsidRDefault="00EF17C0" w:rsidP="00EF17C0">
            <w:pPr>
              <w:jc w:val="center"/>
            </w:pPr>
          </w:p>
        </w:tc>
        <w:tc>
          <w:tcPr>
            <w:tcW w:w="5272" w:type="dxa"/>
            <w:tcBorders>
              <w:top w:val="single" w:sz="6" w:space="0" w:color="FF6600"/>
              <w:bottom w:val="single" w:sz="6" w:space="0" w:color="FF6600"/>
            </w:tcBorders>
            <w:shd w:val="clear" w:color="auto" w:fill="auto"/>
            <w:vAlign w:val="center"/>
          </w:tcPr>
          <w:p w:rsidR="00EF17C0" w:rsidRPr="00EF17C0" w:rsidRDefault="00EF17C0" w:rsidP="00EF17C0">
            <w:pPr>
              <w:jc w:val="center"/>
            </w:pPr>
            <w:r w:rsidRPr="00EF17C0">
              <w:rPr>
                <w:noProof/>
              </w:rPr>
              <w:drawing>
                <wp:inline distT="0" distB="0" distL="0" distR="0">
                  <wp:extent cx="3343275" cy="1685925"/>
                  <wp:effectExtent l="19050" t="0" r="9525" b="0"/>
                  <wp:docPr id="51"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cstate="print"/>
                          <a:srcRect/>
                          <a:stretch>
                            <a:fillRect/>
                          </a:stretch>
                        </pic:blipFill>
                        <pic:spPr bwMode="auto">
                          <a:xfrm>
                            <a:off x="0" y="0"/>
                            <a:ext cx="3343275" cy="1685925"/>
                          </a:xfrm>
                          <a:prstGeom prst="rect">
                            <a:avLst/>
                          </a:prstGeom>
                          <a:noFill/>
                          <a:ln w="9525">
                            <a:noFill/>
                            <a:miter lim="800000"/>
                            <a:headEnd/>
                            <a:tailEnd/>
                          </a:ln>
                        </pic:spPr>
                      </pic:pic>
                    </a:graphicData>
                  </a:graphic>
                </wp:inline>
              </w:drawing>
            </w:r>
          </w:p>
        </w:tc>
      </w:tr>
    </w:tbl>
    <w:p w:rsidR="00EF17C0" w:rsidRPr="00EF17C0" w:rsidRDefault="00EF17C0" w:rsidP="00EF17C0">
      <w:pPr>
        <w:widowControl/>
        <w:tabs>
          <w:tab w:val="right" w:pos="10065"/>
        </w:tabs>
        <w:spacing w:before="40" w:after="160"/>
        <w:rPr>
          <w:rFonts w:ascii="Arial" w:eastAsia="KaiTi_GB2312" w:hAnsi="Arial" w:cs="Arial"/>
          <w:color w:val="FF6600"/>
          <w:kern w:val="0"/>
          <w:sz w:val="15"/>
          <w:szCs w:val="14"/>
          <w:lang w:val="en-GB"/>
        </w:rPr>
      </w:pPr>
      <w:r w:rsidRPr="00EF17C0">
        <w:rPr>
          <w:rFonts w:ascii="Arial" w:eastAsia="楷体_GB2312" w:hAnsi="Arial" w:cs="Arial" w:hint="eastAsia"/>
          <w:color w:val="FF6600"/>
          <w:kern w:val="0"/>
          <w:sz w:val="15"/>
          <w:szCs w:val="14"/>
        </w:rPr>
        <w:t>来源：凯石财富工场</w:t>
      </w:r>
      <w:r w:rsidRPr="00EF17C0">
        <w:rPr>
          <w:rFonts w:ascii="Arial" w:eastAsia="楷体_GB2312" w:hAnsi="Arial" w:cs="Arial" w:hint="eastAsia"/>
          <w:color w:val="FF6600"/>
          <w:kern w:val="0"/>
          <w:sz w:val="15"/>
          <w:szCs w:val="14"/>
        </w:rPr>
        <w:t xml:space="preserve"> wind </w:t>
      </w:r>
    </w:p>
    <w:p w:rsidR="00EF17C0" w:rsidRPr="00EF17C0" w:rsidRDefault="00EF17C0" w:rsidP="001872F7">
      <w:pPr>
        <w:pStyle w:val="ac"/>
        <w:numPr>
          <w:ilvl w:val="4"/>
          <w:numId w:val="1"/>
        </w:numPr>
        <w:spacing w:after="163"/>
        <w:rPr>
          <w:rFonts w:eastAsiaTheme="minorEastAsia"/>
          <w:color w:val="auto"/>
        </w:rPr>
      </w:pPr>
      <w:r w:rsidRPr="00EF17C0">
        <w:rPr>
          <w:rFonts w:eastAsiaTheme="minorEastAsia" w:hint="eastAsia"/>
          <w:color w:val="auto"/>
        </w:rPr>
        <w:t>物价方面，预计</w:t>
      </w:r>
      <w:r w:rsidRPr="00EF17C0">
        <w:rPr>
          <w:rFonts w:eastAsiaTheme="minorEastAsia" w:hint="eastAsia"/>
          <w:color w:val="auto"/>
        </w:rPr>
        <w:t>2014</w:t>
      </w:r>
      <w:r w:rsidR="00D7095E">
        <w:rPr>
          <w:rFonts w:eastAsiaTheme="minorEastAsia" w:hint="eastAsia"/>
          <w:color w:val="auto"/>
        </w:rPr>
        <w:t>年以猪肉为代表的食品价格或将温和上涨，</w:t>
      </w:r>
      <w:r w:rsidRPr="00EF17C0">
        <w:rPr>
          <w:rFonts w:eastAsiaTheme="minorEastAsia" w:hint="eastAsia"/>
          <w:color w:val="auto"/>
        </w:rPr>
        <w:t>上半年</w:t>
      </w:r>
      <w:r w:rsidR="00D7095E">
        <w:rPr>
          <w:rFonts w:eastAsiaTheme="minorEastAsia" w:hint="eastAsia"/>
          <w:color w:val="auto"/>
        </w:rPr>
        <w:t>或更为显著</w:t>
      </w:r>
      <w:r w:rsidRPr="00EF17C0">
        <w:rPr>
          <w:rFonts w:eastAsiaTheme="minorEastAsia" w:hint="eastAsia"/>
          <w:color w:val="auto"/>
        </w:rPr>
        <w:t>，劳动力成本上升、房价上涨亦将对物价起到一定的推动作用，但在产能过剩以及需求不足的情况下，生产资料价格或将保持稳定。综合来看，预期全年</w:t>
      </w:r>
      <w:r w:rsidRPr="00EF17C0">
        <w:rPr>
          <w:rFonts w:eastAsiaTheme="minorEastAsia" w:hint="eastAsia"/>
          <w:color w:val="auto"/>
        </w:rPr>
        <w:t>CPI</w:t>
      </w:r>
      <w:r w:rsidRPr="00EF17C0">
        <w:rPr>
          <w:rFonts w:eastAsiaTheme="minorEastAsia" w:hint="eastAsia"/>
          <w:color w:val="auto"/>
        </w:rPr>
        <w:t>涨幅在</w:t>
      </w:r>
      <w:r w:rsidRPr="00EF17C0">
        <w:rPr>
          <w:rFonts w:eastAsiaTheme="minorEastAsia" w:hint="eastAsia"/>
          <w:color w:val="auto"/>
        </w:rPr>
        <w:t>3%~3.2%</w:t>
      </w:r>
      <w:r w:rsidRPr="00EF17C0">
        <w:rPr>
          <w:rFonts w:eastAsiaTheme="minorEastAsia" w:hint="eastAsia"/>
          <w:color w:val="auto"/>
        </w:rPr>
        <w:t>上下，通胀比较温和，其中上半年通胀压力高于下半年。货币政策方面，中央经济工作会议明确指出，</w:t>
      </w:r>
      <w:r w:rsidRPr="00EF17C0">
        <w:rPr>
          <w:rFonts w:eastAsiaTheme="minorEastAsia" w:hint="eastAsia"/>
          <w:color w:val="auto"/>
        </w:rPr>
        <w:t>2014</w:t>
      </w:r>
      <w:r w:rsidR="00D7095E">
        <w:rPr>
          <w:rFonts w:eastAsiaTheme="minorEastAsia" w:hint="eastAsia"/>
          <w:color w:val="auto"/>
        </w:rPr>
        <w:t>年继续实施积极的财政政策和稳健的货币政策，但同时也提到“</w:t>
      </w:r>
      <w:r w:rsidRPr="00EF17C0">
        <w:rPr>
          <w:rFonts w:eastAsiaTheme="minorEastAsia" w:hint="eastAsia"/>
          <w:color w:val="auto"/>
        </w:rPr>
        <w:t>增强调控的针对性、灵活性、前瞻性，</w:t>
      </w:r>
      <w:r w:rsidR="00D7095E">
        <w:rPr>
          <w:rFonts w:eastAsiaTheme="minorEastAsia" w:hint="eastAsia"/>
          <w:color w:val="auto"/>
        </w:rPr>
        <w:t>处理好保持经济平稳较快发展、调整经济结构、管理通胀预期的关系”，且</w:t>
      </w:r>
      <w:r w:rsidRPr="00EF17C0">
        <w:rPr>
          <w:rFonts w:eastAsiaTheme="minorEastAsia" w:hint="eastAsia"/>
          <w:color w:val="auto"/>
        </w:rPr>
        <w:t>金融风险</w:t>
      </w:r>
      <w:r w:rsidR="00D7095E">
        <w:rPr>
          <w:rFonts w:eastAsiaTheme="minorEastAsia" w:hint="eastAsia"/>
          <w:color w:val="auto"/>
        </w:rPr>
        <w:t>亦将继续束缚央行手脚。综上分析</w:t>
      </w:r>
      <w:r w:rsidRPr="00EF17C0">
        <w:rPr>
          <w:rFonts w:eastAsiaTheme="minorEastAsia" w:hint="eastAsia"/>
          <w:color w:val="auto"/>
        </w:rPr>
        <w:t>，</w:t>
      </w:r>
      <w:r w:rsidR="00D7095E">
        <w:rPr>
          <w:rFonts w:eastAsiaTheme="minorEastAsia" w:hint="eastAsia"/>
          <w:color w:val="auto"/>
        </w:rPr>
        <w:t>我们</w:t>
      </w:r>
      <w:r w:rsidRPr="00EF17C0">
        <w:rPr>
          <w:rFonts w:eastAsiaTheme="minorEastAsia" w:hint="eastAsia"/>
          <w:color w:val="auto"/>
        </w:rPr>
        <w:t>预计</w:t>
      </w:r>
      <w:r w:rsidRPr="00EF17C0">
        <w:rPr>
          <w:rFonts w:eastAsiaTheme="minorEastAsia" w:hint="eastAsia"/>
          <w:color w:val="auto"/>
        </w:rPr>
        <w:t>2014</w:t>
      </w:r>
      <w:r w:rsidRPr="00EF17C0">
        <w:rPr>
          <w:rFonts w:eastAsiaTheme="minorEastAsia" w:hint="eastAsia"/>
          <w:color w:val="auto"/>
        </w:rPr>
        <w:t>年整体</w:t>
      </w:r>
      <w:r w:rsidR="00D7095E">
        <w:rPr>
          <w:rFonts w:eastAsiaTheme="minorEastAsia" w:hint="eastAsia"/>
          <w:color w:val="auto"/>
        </w:rPr>
        <w:t>上</w:t>
      </w:r>
      <w:r w:rsidRPr="00EF17C0">
        <w:rPr>
          <w:rFonts w:eastAsiaTheme="minorEastAsia" w:hint="eastAsia"/>
          <w:color w:val="auto"/>
        </w:rPr>
        <w:t>将继续延续紧平衡的货币政策。</w:t>
      </w:r>
    </w:p>
    <w:tbl>
      <w:tblPr>
        <w:tblW w:w="10771" w:type="dxa"/>
        <w:tblLayout w:type="fixed"/>
        <w:tblCellMar>
          <w:left w:w="0" w:type="dxa"/>
          <w:right w:w="0" w:type="dxa"/>
        </w:tblCellMar>
        <w:tblLook w:val="0000"/>
      </w:tblPr>
      <w:tblGrid>
        <w:gridCol w:w="5272"/>
        <w:gridCol w:w="227"/>
        <w:gridCol w:w="5272"/>
      </w:tblGrid>
      <w:tr w:rsidR="00EF17C0" w:rsidRPr="00EF17C0" w:rsidTr="001F6BE6">
        <w:trPr>
          <w:cantSplit/>
          <w:trHeight w:val="368"/>
        </w:trPr>
        <w:tc>
          <w:tcPr>
            <w:tcW w:w="5272" w:type="dxa"/>
            <w:tcBorders>
              <w:top w:val="single" w:sz="6" w:space="0" w:color="FF6600"/>
              <w:bottom w:val="single" w:sz="6" w:space="0" w:color="FF6600"/>
            </w:tcBorders>
            <w:shd w:val="clear" w:color="auto" w:fill="auto"/>
            <w:vAlign w:val="center"/>
          </w:tcPr>
          <w:p w:rsidR="00EF17C0" w:rsidRPr="00EF17C0" w:rsidRDefault="00EF17C0" w:rsidP="003A153C">
            <w:pPr>
              <w:pStyle w:val="SubTitleLargeTable"/>
              <w:pBdr>
                <w:top w:val="none" w:sz="0" w:space="0" w:color="auto"/>
              </w:pBdr>
              <w:rPr>
                <w:rFonts w:eastAsia="KaiTi_GB2312"/>
                <w:b w:val="0"/>
                <w:bCs w:val="0"/>
                <w:i w:val="0"/>
                <w:iCs w:val="0"/>
              </w:rPr>
            </w:pPr>
            <w:r w:rsidRPr="003A153C">
              <w:rPr>
                <w:rFonts w:eastAsiaTheme="minorEastAsia"/>
                <w:color w:val="FF6600"/>
              </w:rPr>
              <w:t>图表</w:t>
            </w:r>
            <w:r w:rsidR="00CE3DFE">
              <w:rPr>
                <w:rFonts w:eastAsiaTheme="minorEastAsia" w:hint="eastAsia"/>
                <w:color w:val="FF6600"/>
              </w:rPr>
              <w:t>9</w:t>
            </w:r>
            <w:r w:rsidRPr="003A153C">
              <w:rPr>
                <w:rFonts w:eastAsiaTheme="minorEastAsia" w:hint="eastAsia"/>
                <w:color w:val="FF6600"/>
              </w:rPr>
              <w:t>：</w:t>
            </w:r>
            <w:r w:rsidRPr="003A153C">
              <w:rPr>
                <w:rFonts w:eastAsiaTheme="minorEastAsia" w:hint="eastAsia"/>
                <w:color w:val="FF6600"/>
              </w:rPr>
              <w:t>CPI</w:t>
            </w:r>
            <w:r w:rsidRPr="003A153C">
              <w:rPr>
                <w:rFonts w:eastAsiaTheme="minorEastAsia" w:hint="eastAsia"/>
                <w:color w:val="FF6600"/>
              </w:rPr>
              <w:t>与</w:t>
            </w:r>
            <w:r w:rsidRPr="003A153C">
              <w:rPr>
                <w:rFonts w:eastAsiaTheme="minorEastAsia" w:hint="eastAsia"/>
                <w:color w:val="FF6600"/>
              </w:rPr>
              <w:t>PPI</w:t>
            </w:r>
            <w:r w:rsidRPr="003A153C">
              <w:rPr>
                <w:rFonts w:eastAsiaTheme="minorEastAsia" w:hint="eastAsia"/>
                <w:color w:val="FF6600"/>
              </w:rPr>
              <w:t>走势情况</w:t>
            </w:r>
          </w:p>
        </w:tc>
        <w:tc>
          <w:tcPr>
            <w:tcW w:w="227" w:type="dxa"/>
            <w:vAlign w:val="center"/>
          </w:tcPr>
          <w:p w:rsidR="00EF17C0" w:rsidRPr="00EF17C0" w:rsidRDefault="00EF17C0" w:rsidP="00EF17C0">
            <w:pPr>
              <w:jc w:val="center"/>
            </w:pPr>
          </w:p>
        </w:tc>
        <w:tc>
          <w:tcPr>
            <w:tcW w:w="5272" w:type="dxa"/>
            <w:tcBorders>
              <w:top w:val="single" w:sz="6" w:space="0" w:color="FF6600"/>
              <w:bottom w:val="single" w:sz="6" w:space="0" w:color="FF6600"/>
            </w:tcBorders>
            <w:shd w:val="clear" w:color="auto" w:fill="auto"/>
            <w:vAlign w:val="center"/>
          </w:tcPr>
          <w:p w:rsidR="00EF17C0" w:rsidRPr="00EF17C0" w:rsidRDefault="00EF17C0" w:rsidP="003A153C">
            <w:pPr>
              <w:pStyle w:val="SubTitleLargeTable"/>
              <w:pBdr>
                <w:top w:val="none" w:sz="0" w:space="0" w:color="auto"/>
              </w:pBdr>
              <w:rPr>
                <w:rFonts w:eastAsia="KaiTi_GB2312"/>
                <w:b w:val="0"/>
                <w:bCs w:val="0"/>
                <w:i w:val="0"/>
                <w:iCs w:val="0"/>
              </w:rPr>
            </w:pPr>
            <w:r w:rsidRPr="003A153C">
              <w:rPr>
                <w:rFonts w:eastAsiaTheme="minorEastAsia"/>
                <w:color w:val="FF6600"/>
              </w:rPr>
              <w:t>图表</w:t>
            </w:r>
            <w:r w:rsidR="00CE3DFE">
              <w:rPr>
                <w:rFonts w:eastAsiaTheme="minorEastAsia" w:hint="eastAsia"/>
                <w:color w:val="FF6600"/>
              </w:rPr>
              <w:t>10</w:t>
            </w:r>
            <w:r w:rsidRPr="003A153C">
              <w:rPr>
                <w:rFonts w:eastAsiaTheme="minorEastAsia" w:hint="eastAsia"/>
                <w:color w:val="FF6600"/>
              </w:rPr>
              <w:t>：广义货币供应量变化情况</w:t>
            </w:r>
          </w:p>
        </w:tc>
      </w:tr>
      <w:tr w:rsidR="00EF17C0" w:rsidRPr="00EF17C0" w:rsidTr="001F6BE6">
        <w:trPr>
          <w:cantSplit/>
          <w:trHeight w:val="3016"/>
        </w:trPr>
        <w:tc>
          <w:tcPr>
            <w:tcW w:w="5272" w:type="dxa"/>
            <w:tcBorders>
              <w:top w:val="single" w:sz="6" w:space="0" w:color="FF6600"/>
              <w:bottom w:val="single" w:sz="6" w:space="0" w:color="FF6600"/>
            </w:tcBorders>
            <w:shd w:val="clear" w:color="auto" w:fill="auto"/>
            <w:vAlign w:val="center"/>
          </w:tcPr>
          <w:p w:rsidR="00EF17C0" w:rsidRPr="00EF17C0" w:rsidRDefault="00EF17C0" w:rsidP="00EF17C0">
            <w:pPr>
              <w:jc w:val="center"/>
            </w:pPr>
            <w:r w:rsidRPr="00EF17C0">
              <w:rPr>
                <w:noProof/>
              </w:rPr>
              <w:drawing>
                <wp:inline distT="0" distB="0" distL="0" distR="0">
                  <wp:extent cx="3343275" cy="1781175"/>
                  <wp:effectExtent l="19050" t="0" r="9525" b="0"/>
                  <wp:docPr id="5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3343275" cy="1781175"/>
                          </a:xfrm>
                          <a:prstGeom prst="rect">
                            <a:avLst/>
                          </a:prstGeom>
                          <a:noFill/>
                          <a:ln w="9525">
                            <a:noFill/>
                            <a:miter lim="800000"/>
                            <a:headEnd/>
                            <a:tailEnd/>
                          </a:ln>
                        </pic:spPr>
                      </pic:pic>
                    </a:graphicData>
                  </a:graphic>
                </wp:inline>
              </w:drawing>
            </w:r>
          </w:p>
        </w:tc>
        <w:tc>
          <w:tcPr>
            <w:tcW w:w="227" w:type="dxa"/>
            <w:vAlign w:val="center"/>
          </w:tcPr>
          <w:p w:rsidR="00EF17C0" w:rsidRPr="00EF17C0" w:rsidRDefault="00EF17C0" w:rsidP="00EF17C0">
            <w:pPr>
              <w:jc w:val="center"/>
            </w:pPr>
          </w:p>
        </w:tc>
        <w:tc>
          <w:tcPr>
            <w:tcW w:w="5272" w:type="dxa"/>
            <w:tcBorders>
              <w:top w:val="single" w:sz="6" w:space="0" w:color="FF6600"/>
              <w:bottom w:val="single" w:sz="6" w:space="0" w:color="FF6600"/>
            </w:tcBorders>
            <w:shd w:val="clear" w:color="auto" w:fill="auto"/>
            <w:vAlign w:val="center"/>
          </w:tcPr>
          <w:p w:rsidR="00EF17C0" w:rsidRPr="00EF17C0" w:rsidRDefault="00EF17C0" w:rsidP="00EF17C0">
            <w:pPr>
              <w:jc w:val="center"/>
            </w:pPr>
            <w:r w:rsidRPr="00EF17C0">
              <w:rPr>
                <w:noProof/>
              </w:rPr>
              <w:drawing>
                <wp:inline distT="0" distB="0" distL="0" distR="0">
                  <wp:extent cx="3343275" cy="1790700"/>
                  <wp:effectExtent l="19050" t="0" r="9525" b="0"/>
                  <wp:docPr id="5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343275" cy="1790700"/>
                          </a:xfrm>
                          <a:prstGeom prst="rect">
                            <a:avLst/>
                          </a:prstGeom>
                          <a:noFill/>
                          <a:ln w="9525">
                            <a:noFill/>
                            <a:miter lim="800000"/>
                            <a:headEnd/>
                            <a:tailEnd/>
                          </a:ln>
                        </pic:spPr>
                      </pic:pic>
                    </a:graphicData>
                  </a:graphic>
                </wp:inline>
              </w:drawing>
            </w:r>
          </w:p>
        </w:tc>
      </w:tr>
    </w:tbl>
    <w:p w:rsidR="00EF17C0" w:rsidRPr="00EF17C0" w:rsidRDefault="00EF17C0" w:rsidP="00EF17C0">
      <w:pPr>
        <w:widowControl/>
        <w:tabs>
          <w:tab w:val="right" w:pos="10065"/>
        </w:tabs>
        <w:spacing w:before="40" w:after="160"/>
        <w:rPr>
          <w:rFonts w:ascii="Arial" w:eastAsia="KaiTi_GB2312" w:hAnsi="Arial" w:cs="Arial"/>
          <w:color w:val="FF6600"/>
          <w:kern w:val="0"/>
          <w:sz w:val="15"/>
          <w:szCs w:val="14"/>
          <w:lang w:val="en-GB"/>
        </w:rPr>
      </w:pPr>
      <w:r w:rsidRPr="00EF17C0">
        <w:rPr>
          <w:rFonts w:ascii="Arial" w:eastAsia="楷体_GB2312" w:hAnsi="Arial" w:cs="Arial" w:hint="eastAsia"/>
          <w:color w:val="FF6600"/>
          <w:kern w:val="0"/>
          <w:sz w:val="15"/>
          <w:szCs w:val="14"/>
        </w:rPr>
        <w:t>来源：凯石财富工场</w:t>
      </w:r>
      <w:r w:rsidRPr="00EF17C0">
        <w:rPr>
          <w:rFonts w:ascii="Arial" w:eastAsia="楷体_GB2312" w:hAnsi="Arial" w:cs="Arial" w:hint="eastAsia"/>
          <w:color w:val="FF6600"/>
          <w:kern w:val="0"/>
          <w:sz w:val="15"/>
          <w:szCs w:val="14"/>
        </w:rPr>
        <w:t xml:space="preserve"> wind </w:t>
      </w:r>
    </w:p>
    <w:p w:rsidR="00EF17C0" w:rsidRPr="00EF17C0" w:rsidRDefault="00175A45" w:rsidP="008C1D4A">
      <w:pPr>
        <w:widowControl/>
        <w:spacing w:after="120"/>
        <w:ind w:left="3430"/>
        <w:rPr>
          <w:rFonts w:ascii="Arial" w:eastAsia="楷体_GB2312" w:hAnsi="Arial" w:cs="Times New Roman"/>
          <w:b/>
          <w:bCs/>
          <w:color w:val="0070C0"/>
          <w:kern w:val="0"/>
          <w:sz w:val="24"/>
          <w:szCs w:val="20"/>
          <w:lang w:val="en-GB"/>
        </w:rPr>
      </w:pPr>
      <w:r w:rsidRPr="00175A45">
        <w:rPr>
          <w:rFonts w:ascii="Arial" w:hAnsi="Arial" w:cs="Arial"/>
          <w:b/>
          <w:bCs/>
          <w:color w:val="0070C0"/>
          <w:kern w:val="0"/>
          <w:szCs w:val="21"/>
          <w:lang w:val="en-GB"/>
        </w:rPr>
        <w:t>A</w:t>
      </w:r>
      <w:r>
        <w:rPr>
          <w:rFonts w:asciiTheme="minorEastAsia" w:hAnsiTheme="minorEastAsia" w:hint="eastAsia"/>
          <w:b/>
          <w:bCs/>
          <w:color w:val="0070C0"/>
          <w:kern w:val="0"/>
          <w:szCs w:val="21"/>
          <w:lang w:val="en-GB"/>
        </w:rPr>
        <w:t>股环境：</w:t>
      </w:r>
      <w:r w:rsidR="00BA68E5">
        <w:rPr>
          <w:rFonts w:asciiTheme="minorEastAsia" w:hAnsiTheme="minorEastAsia" w:hint="eastAsia"/>
          <w:b/>
          <w:bCs/>
          <w:color w:val="0070C0"/>
          <w:kern w:val="0"/>
          <w:szCs w:val="21"/>
          <w:lang w:val="en-GB"/>
        </w:rPr>
        <w:t>利率遏制</w:t>
      </w:r>
      <w:r w:rsidR="00671DC1">
        <w:rPr>
          <w:rFonts w:asciiTheme="minorEastAsia" w:hAnsiTheme="minorEastAsia" w:hint="eastAsia"/>
          <w:b/>
          <w:bCs/>
          <w:color w:val="0070C0"/>
          <w:kern w:val="0"/>
          <w:szCs w:val="21"/>
          <w:lang w:val="en-GB"/>
        </w:rPr>
        <w:t>市场，系统</w:t>
      </w:r>
      <w:r w:rsidR="00F53796">
        <w:rPr>
          <w:rFonts w:asciiTheme="minorEastAsia" w:hAnsiTheme="minorEastAsia" w:hint="eastAsia"/>
          <w:b/>
          <w:bCs/>
          <w:color w:val="0070C0"/>
          <w:kern w:val="0"/>
          <w:szCs w:val="21"/>
          <w:lang w:val="en-GB"/>
        </w:rPr>
        <w:t>性</w:t>
      </w:r>
      <w:r w:rsidR="00BA68E5">
        <w:rPr>
          <w:rFonts w:asciiTheme="minorEastAsia" w:hAnsiTheme="minorEastAsia" w:hint="eastAsia"/>
          <w:b/>
          <w:bCs/>
          <w:color w:val="0070C0"/>
          <w:kern w:val="0"/>
          <w:szCs w:val="21"/>
          <w:lang w:val="en-GB"/>
        </w:rPr>
        <w:t>机会</w:t>
      </w:r>
      <w:r w:rsidR="001F6BE6">
        <w:rPr>
          <w:rFonts w:asciiTheme="minorEastAsia" w:hAnsiTheme="minorEastAsia" w:hint="eastAsia"/>
          <w:b/>
          <w:bCs/>
          <w:color w:val="0070C0"/>
          <w:kern w:val="0"/>
          <w:szCs w:val="21"/>
          <w:lang w:val="en-GB"/>
        </w:rPr>
        <w:t>有限</w:t>
      </w:r>
    </w:p>
    <w:p w:rsidR="00EF17C0" w:rsidRPr="00EF17C0" w:rsidRDefault="004774C8" w:rsidP="001872F7">
      <w:pPr>
        <w:pStyle w:val="ac"/>
        <w:numPr>
          <w:ilvl w:val="4"/>
          <w:numId w:val="1"/>
        </w:numPr>
        <w:spacing w:after="163"/>
        <w:rPr>
          <w:rFonts w:eastAsiaTheme="minorEastAsia"/>
          <w:color w:val="auto"/>
        </w:rPr>
      </w:pPr>
      <w:r w:rsidRPr="00715FA9">
        <w:rPr>
          <w:rFonts w:eastAsiaTheme="minorEastAsia" w:hint="eastAsia"/>
          <w:color w:val="auto"/>
        </w:rPr>
        <w:t>经过</w:t>
      </w:r>
      <w:r w:rsidRPr="00715FA9">
        <w:rPr>
          <w:rFonts w:eastAsiaTheme="minorEastAsia" w:hint="eastAsia"/>
          <w:color w:val="auto"/>
        </w:rPr>
        <w:t>6</w:t>
      </w:r>
      <w:r w:rsidRPr="00715FA9">
        <w:rPr>
          <w:rFonts w:eastAsiaTheme="minorEastAsia" w:hint="eastAsia"/>
          <w:color w:val="auto"/>
        </w:rPr>
        <w:t>年的熊市，上证综指目前的市盈率不足</w:t>
      </w:r>
      <w:r w:rsidRPr="00715FA9">
        <w:rPr>
          <w:rFonts w:eastAsiaTheme="minorEastAsia" w:hint="eastAsia"/>
          <w:color w:val="auto"/>
        </w:rPr>
        <w:t>10</w:t>
      </w:r>
      <w:r w:rsidRPr="00715FA9">
        <w:rPr>
          <w:rFonts w:eastAsiaTheme="minorEastAsia" w:hint="eastAsia"/>
          <w:color w:val="auto"/>
        </w:rPr>
        <w:t>倍</w:t>
      </w:r>
      <w:r>
        <w:rPr>
          <w:rFonts w:eastAsiaTheme="minorEastAsia" w:hint="eastAsia"/>
          <w:color w:val="auto"/>
        </w:rPr>
        <w:t>，已</w:t>
      </w:r>
      <w:r w:rsidRPr="00715FA9">
        <w:rPr>
          <w:rFonts w:eastAsiaTheme="minorEastAsia" w:hint="eastAsia"/>
          <w:color w:val="auto"/>
        </w:rPr>
        <w:t>低于</w:t>
      </w:r>
      <w:r w:rsidRPr="00715FA9">
        <w:rPr>
          <w:rFonts w:eastAsiaTheme="minorEastAsia" w:hint="eastAsia"/>
          <w:color w:val="auto"/>
        </w:rPr>
        <w:t>1995</w:t>
      </w:r>
      <w:r w:rsidRPr="00715FA9">
        <w:rPr>
          <w:rFonts w:eastAsiaTheme="minorEastAsia" w:hint="eastAsia"/>
          <w:color w:val="auto"/>
        </w:rPr>
        <w:t>年和</w:t>
      </w:r>
      <w:r w:rsidRPr="00715FA9">
        <w:rPr>
          <w:rFonts w:eastAsiaTheme="minorEastAsia" w:hint="eastAsia"/>
          <w:color w:val="auto"/>
        </w:rPr>
        <w:t>2005</w:t>
      </w:r>
      <w:r w:rsidRPr="00715FA9">
        <w:rPr>
          <w:rFonts w:eastAsiaTheme="minorEastAsia" w:hint="eastAsia"/>
          <w:color w:val="auto"/>
        </w:rPr>
        <w:t>年</w:t>
      </w:r>
      <w:r>
        <w:rPr>
          <w:rFonts w:eastAsiaTheme="minorEastAsia" w:hint="eastAsia"/>
          <w:color w:val="auto"/>
        </w:rPr>
        <w:t>的</w:t>
      </w:r>
      <w:r w:rsidRPr="00715FA9">
        <w:rPr>
          <w:rFonts w:eastAsiaTheme="minorEastAsia" w:hint="eastAsia"/>
          <w:color w:val="auto"/>
        </w:rPr>
        <w:t>熊市低点，</w:t>
      </w:r>
      <w:r w:rsidRPr="00715FA9">
        <w:rPr>
          <w:rFonts w:eastAsiaTheme="minorEastAsia" w:hint="eastAsia"/>
          <w:color w:val="auto"/>
        </w:rPr>
        <w:t>A</w:t>
      </w:r>
      <w:r w:rsidRPr="00715FA9">
        <w:rPr>
          <w:rFonts w:eastAsiaTheme="minorEastAsia" w:hint="eastAsia"/>
          <w:color w:val="auto"/>
        </w:rPr>
        <w:t>股的</w:t>
      </w:r>
      <w:r>
        <w:rPr>
          <w:rFonts w:eastAsiaTheme="minorEastAsia" w:hint="eastAsia"/>
          <w:color w:val="auto"/>
        </w:rPr>
        <w:t>吸引力</w:t>
      </w:r>
      <w:r w:rsidRPr="00715FA9">
        <w:rPr>
          <w:rFonts w:eastAsiaTheme="minorEastAsia" w:hint="eastAsia"/>
          <w:color w:val="auto"/>
        </w:rPr>
        <w:t>非常明显。</w:t>
      </w:r>
      <w:r>
        <w:rPr>
          <w:rFonts w:eastAsiaTheme="minorEastAsia" w:hint="eastAsia"/>
          <w:color w:val="auto"/>
        </w:rPr>
        <w:t>然而</w:t>
      </w:r>
      <w:r w:rsidR="00EF17C0" w:rsidRPr="00EF17C0">
        <w:rPr>
          <w:rFonts w:eastAsiaTheme="minorEastAsia" w:hint="eastAsia"/>
          <w:color w:val="auto"/>
        </w:rPr>
        <w:t>在企业盈利增</w:t>
      </w:r>
      <w:r>
        <w:rPr>
          <w:rFonts w:eastAsiaTheme="minorEastAsia" w:hint="eastAsia"/>
          <w:color w:val="auto"/>
        </w:rPr>
        <w:t>长稳定但有限、市场利率居高不下、流动性供应并不乐观等多重因素制约</w:t>
      </w:r>
      <w:r w:rsidR="00EF17C0" w:rsidRPr="00EF17C0">
        <w:rPr>
          <w:rFonts w:eastAsiaTheme="minorEastAsia" w:hint="eastAsia"/>
          <w:color w:val="auto"/>
        </w:rPr>
        <w:t>下，</w:t>
      </w:r>
      <w:r w:rsidR="00EF17C0" w:rsidRPr="00EF17C0">
        <w:rPr>
          <w:rFonts w:eastAsiaTheme="minorEastAsia" w:hint="eastAsia"/>
          <w:color w:val="auto"/>
        </w:rPr>
        <w:t>2014</w:t>
      </w:r>
      <w:r>
        <w:rPr>
          <w:rFonts w:eastAsiaTheme="minorEastAsia" w:hint="eastAsia"/>
          <w:color w:val="auto"/>
        </w:rPr>
        <w:t>年恐</w:t>
      </w:r>
      <w:r w:rsidR="00EF17C0" w:rsidRPr="00EF17C0">
        <w:rPr>
          <w:rFonts w:eastAsiaTheme="minorEastAsia" w:hint="eastAsia"/>
          <w:color w:val="auto"/>
        </w:rPr>
        <w:t>仍难</w:t>
      </w:r>
      <w:r>
        <w:rPr>
          <w:rFonts w:eastAsiaTheme="minorEastAsia" w:hint="eastAsia"/>
          <w:color w:val="auto"/>
        </w:rPr>
        <w:t>以</w:t>
      </w:r>
      <w:r w:rsidR="00EF17C0" w:rsidRPr="00EF17C0">
        <w:rPr>
          <w:rFonts w:eastAsiaTheme="minorEastAsia" w:hint="eastAsia"/>
          <w:color w:val="auto"/>
        </w:rPr>
        <w:t>出现显著的系统性机会。当然，估</w:t>
      </w:r>
      <w:r w:rsidR="008942BC">
        <w:rPr>
          <w:rFonts w:eastAsiaTheme="minorEastAsia" w:hint="eastAsia"/>
          <w:color w:val="auto"/>
        </w:rPr>
        <w:t>值支撑下</w:t>
      </w:r>
      <w:r w:rsidR="001F6BE6">
        <w:rPr>
          <w:rFonts w:eastAsiaTheme="minorEastAsia" w:hint="eastAsia"/>
          <w:color w:val="auto"/>
        </w:rPr>
        <w:t>的</w:t>
      </w:r>
      <w:r>
        <w:rPr>
          <w:rFonts w:eastAsiaTheme="minorEastAsia" w:hint="eastAsia"/>
          <w:color w:val="auto"/>
        </w:rPr>
        <w:t>主板市场向下波动空间亦有限</w:t>
      </w:r>
      <w:r w:rsidR="008942BC">
        <w:rPr>
          <w:rFonts w:eastAsiaTheme="minorEastAsia" w:hint="eastAsia"/>
          <w:color w:val="auto"/>
        </w:rPr>
        <w:t>，</w:t>
      </w:r>
      <w:r w:rsidR="001F6BE6">
        <w:rPr>
          <w:rFonts w:eastAsiaTheme="minorEastAsia" w:hint="eastAsia"/>
          <w:color w:val="auto"/>
        </w:rPr>
        <w:t>预计上证指数</w:t>
      </w:r>
      <w:r w:rsidR="008942BC">
        <w:rPr>
          <w:rFonts w:eastAsiaTheme="minorEastAsia" w:hint="eastAsia"/>
          <w:color w:val="auto"/>
        </w:rPr>
        <w:t>核心波动区间在</w:t>
      </w:r>
      <w:r w:rsidR="00EF17C0" w:rsidRPr="00EF17C0">
        <w:rPr>
          <w:rFonts w:eastAsiaTheme="minorEastAsia" w:hint="eastAsia"/>
          <w:color w:val="auto"/>
        </w:rPr>
        <w:t>2000~2400</w:t>
      </w:r>
      <w:r w:rsidR="00BA68E5">
        <w:rPr>
          <w:rFonts w:eastAsiaTheme="minorEastAsia" w:hint="eastAsia"/>
          <w:color w:val="auto"/>
        </w:rPr>
        <w:t>。</w:t>
      </w:r>
    </w:p>
    <w:p w:rsidR="00EF17C0" w:rsidRPr="008942BC" w:rsidRDefault="00EF17C0" w:rsidP="0055631C">
      <w:pPr>
        <w:pStyle w:val="ac"/>
        <w:numPr>
          <w:ilvl w:val="5"/>
          <w:numId w:val="2"/>
        </w:numPr>
        <w:spacing w:after="163"/>
        <w:ind w:left="4140" w:hanging="369"/>
        <w:rPr>
          <w:rFonts w:eastAsiaTheme="minorEastAsia"/>
          <w:color w:val="auto"/>
        </w:rPr>
      </w:pPr>
      <w:r w:rsidRPr="008942BC">
        <w:rPr>
          <w:rFonts w:eastAsiaTheme="minorEastAsia" w:hint="eastAsia"/>
          <w:color w:val="auto"/>
        </w:rPr>
        <w:t>在宏观基本面总体保持平稳、经济结构适度调整的背景下，</w:t>
      </w:r>
      <w:r w:rsidRPr="008942BC">
        <w:rPr>
          <w:rFonts w:eastAsiaTheme="minorEastAsia" w:hint="eastAsia"/>
          <w:color w:val="auto"/>
        </w:rPr>
        <w:t>A</w:t>
      </w:r>
      <w:r w:rsidRPr="008942BC">
        <w:rPr>
          <w:rFonts w:eastAsiaTheme="minorEastAsia" w:hint="eastAsia"/>
          <w:color w:val="auto"/>
        </w:rPr>
        <w:t>股上市公司盈利水平预计基本稳定，目前市场一致预期</w:t>
      </w:r>
      <w:r w:rsidRPr="008942BC">
        <w:rPr>
          <w:rFonts w:eastAsiaTheme="minorEastAsia"/>
          <w:color w:val="auto"/>
        </w:rPr>
        <w:t>2014</w:t>
      </w:r>
      <w:r w:rsidRPr="008942BC">
        <w:rPr>
          <w:rFonts w:eastAsiaTheme="minorEastAsia" w:hint="eastAsia"/>
          <w:color w:val="auto"/>
        </w:rPr>
        <w:t>年整体盈利增速在</w:t>
      </w:r>
      <w:r w:rsidRPr="008942BC">
        <w:rPr>
          <w:rFonts w:eastAsiaTheme="minorEastAsia"/>
          <w:color w:val="auto"/>
        </w:rPr>
        <w:t>10%</w:t>
      </w:r>
      <w:r w:rsidRPr="008942BC">
        <w:rPr>
          <w:rFonts w:eastAsiaTheme="minorEastAsia" w:hint="eastAsia"/>
          <w:color w:val="auto"/>
        </w:rPr>
        <w:t>上下。</w:t>
      </w:r>
    </w:p>
    <w:p w:rsidR="00EF17C0" w:rsidRPr="008942BC" w:rsidRDefault="00EF17C0" w:rsidP="0055631C">
      <w:pPr>
        <w:pStyle w:val="ac"/>
        <w:numPr>
          <w:ilvl w:val="5"/>
          <w:numId w:val="2"/>
        </w:numPr>
        <w:spacing w:after="163"/>
        <w:ind w:left="4140" w:hanging="369"/>
        <w:rPr>
          <w:rFonts w:eastAsiaTheme="minorEastAsia"/>
          <w:color w:val="auto"/>
        </w:rPr>
      </w:pPr>
      <w:r w:rsidRPr="008942BC">
        <w:rPr>
          <w:rFonts w:eastAsiaTheme="minorEastAsia"/>
          <w:color w:val="auto"/>
        </w:rPr>
        <w:t>无论横向还是纵向比较，</w:t>
      </w:r>
      <w:r w:rsidRPr="008942BC">
        <w:rPr>
          <w:rFonts w:eastAsiaTheme="minorEastAsia"/>
          <w:color w:val="auto"/>
        </w:rPr>
        <w:t>A</w:t>
      </w:r>
      <w:r w:rsidRPr="008942BC">
        <w:rPr>
          <w:rFonts w:eastAsiaTheme="minorEastAsia" w:hint="eastAsia"/>
          <w:color w:val="auto"/>
        </w:rPr>
        <w:t>股市场尤其是主板市场的估值水平处于历史低位，但在紧平衡的货币政策以及金融机构去杠杆的背景下，市场实际利率水平或继续处于高位，主板市场的估值也将继续受到压制。另外，在创业板与主板市场估值分化严重、</w:t>
      </w:r>
      <w:r w:rsidRPr="008942BC">
        <w:rPr>
          <w:rFonts w:eastAsiaTheme="minorEastAsia" w:hint="eastAsia"/>
          <w:color w:val="auto"/>
        </w:rPr>
        <w:t>IPO</w:t>
      </w:r>
      <w:r w:rsidRPr="008942BC">
        <w:rPr>
          <w:rFonts w:eastAsiaTheme="minorEastAsia" w:hint="eastAsia"/>
          <w:color w:val="auto"/>
        </w:rPr>
        <w:t>重启且新规实施冲击成长股高</w:t>
      </w:r>
      <w:r w:rsidRPr="008942BC">
        <w:rPr>
          <w:rFonts w:eastAsiaTheme="minorEastAsia" w:hint="eastAsia"/>
          <w:color w:val="auto"/>
        </w:rPr>
        <w:lastRenderedPageBreak/>
        <w:t>估值水平的情况下，以创业板为代表的估值过高的成长股，还将面临局部的估值压力。</w:t>
      </w:r>
    </w:p>
    <w:p w:rsidR="00EF17C0" w:rsidRPr="00EF17C0" w:rsidRDefault="00EF17C0" w:rsidP="0055631C">
      <w:pPr>
        <w:pStyle w:val="ac"/>
        <w:numPr>
          <w:ilvl w:val="5"/>
          <w:numId w:val="2"/>
        </w:numPr>
        <w:spacing w:after="163"/>
        <w:ind w:left="4140" w:hanging="369"/>
        <w:rPr>
          <w:rFonts w:asciiTheme="minorEastAsia" w:eastAsiaTheme="minorEastAsia" w:hAnsiTheme="minorEastAsia"/>
          <w:color w:val="auto"/>
        </w:rPr>
      </w:pPr>
      <w:r w:rsidRPr="008942BC">
        <w:rPr>
          <w:rFonts w:eastAsiaTheme="minorEastAsia" w:hint="eastAsia"/>
          <w:color w:val="auto"/>
        </w:rPr>
        <w:t>流动性方面，考虑到紧平衡的货币政策、金融机构去杠杆、</w:t>
      </w:r>
      <w:r w:rsidRPr="008942BC">
        <w:rPr>
          <w:rFonts w:eastAsiaTheme="minorEastAsia"/>
          <w:color w:val="auto"/>
        </w:rPr>
        <w:t>QE</w:t>
      </w:r>
      <w:r w:rsidRPr="008942BC">
        <w:rPr>
          <w:rFonts w:eastAsiaTheme="minorEastAsia" w:hint="eastAsia"/>
          <w:color w:val="auto"/>
        </w:rPr>
        <w:t>退出的冲击、</w:t>
      </w:r>
      <w:r w:rsidRPr="008942BC">
        <w:rPr>
          <w:rFonts w:eastAsiaTheme="minorEastAsia"/>
          <w:color w:val="auto"/>
        </w:rPr>
        <w:t>IPO</w:t>
      </w:r>
      <w:r w:rsidRPr="008942BC">
        <w:rPr>
          <w:rFonts w:eastAsiaTheme="minorEastAsia" w:hint="eastAsia"/>
          <w:color w:val="auto"/>
        </w:rPr>
        <w:t>重启分流等多重因素，</w:t>
      </w:r>
      <w:r w:rsidRPr="008942BC">
        <w:rPr>
          <w:rFonts w:eastAsiaTheme="minorEastAsia" w:hint="eastAsia"/>
          <w:color w:val="auto"/>
        </w:rPr>
        <w:t>2014</w:t>
      </w:r>
      <w:r w:rsidRPr="008942BC">
        <w:rPr>
          <w:rFonts w:eastAsiaTheme="minorEastAsia" w:hint="eastAsia"/>
          <w:color w:val="auto"/>
        </w:rPr>
        <w:t>年</w:t>
      </w:r>
      <w:r w:rsidRPr="008942BC">
        <w:rPr>
          <w:rFonts w:eastAsiaTheme="minorEastAsia"/>
          <w:color w:val="auto"/>
        </w:rPr>
        <w:t>A</w:t>
      </w:r>
      <w:r w:rsidR="001F6BE6">
        <w:rPr>
          <w:rFonts w:eastAsiaTheme="minorEastAsia" w:hint="eastAsia"/>
          <w:color w:val="auto"/>
        </w:rPr>
        <w:t>股市场的总体流动性至少在上半年恐难言乐观</w:t>
      </w:r>
      <w:r w:rsidRPr="008942BC">
        <w:rPr>
          <w:rFonts w:eastAsiaTheme="minorEastAsia" w:hint="eastAsia"/>
          <w:color w:val="auto"/>
        </w:rPr>
        <w:t>。</w:t>
      </w:r>
    </w:p>
    <w:tbl>
      <w:tblPr>
        <w:tblW w:w="7440"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4A0"/>
      </w:tblPr>
      <w:tblGrid>
        <w:gridCol w:w="7440"/>
      </w:tblGrid>
      <w:tr w:rsidR="00EF17C0" w:rsidRPr="00EF17C0" w:rsidTr="001F6BE6">
        <w:trPr>
          <w:cantSplit/>
          <w:trHeight w:val="65"/>
        </w:trPr>
        <w:tc>
          <w:tcPr>
            <w:tcW w:w="7440" w:type="dxa"/>
            <w:tcBorders>
              <w:top w:val="single" w:sz="6" w:space="0" w:color="FF6600"/>
              <w:left w:val="nil"/>
              <w:bottom w:val="single" w:sz="6" w:space="0" w:color="FF6600"/>
              <w:right w:val="nil"/>
            </w:tcBorders>
            <w:vAlign w:val="center"/>
            <w:hideMark/>
          </w:tcPr>
          <w:p w:rsidR="00EF17C0" w:rsidRPr="00EF17C0" w:rsidRDefault="00EF17C0" w:rsidP="003A153C">
            <w:pPr>
              <w:pStyle w:val="SubTitleLargeTable"/>
              <w:pBdr>
                <w:top w:val="none" w:sz="0" w:space="0" w:color="auto"/>
              </w:pBdr>
              <w:rPr>
                <w:rFonts w:ascii="宋体" w:hAnsi="宋体"/>
                <w:bCs w:val="0"/>
                <w:i w:val="0"/>
                <w:iCs w:val="0"/>
                <w:color w:val="FF6600"/>
              </w:rPr>
            </w:pPr>
            <w:r w:rsidRPr="003A153C">
              <w:rPr>
                <w:rFonts w:eastAsiaTheme="minorEastAsia" w:hint="eastAsia"/>
                <w:color w:val="FF6600"/>
              </w:rPr>
              <w:t>图表</w:t>
            </w:r>
            <w:r w:rsidR="00CE3DFE">
              <w:rPr>
                <w:rFonts w:eastAsiaTheme="minorEastAsia" w:hint="eastAsia"/>
                <w:color w:val="FF6600"/>
              </w:rPr>
              <w:t>11</w:t>
            </w:r>
            <w:r w:rsidRPr="003A153C">
              <w:rPr>
                <w:rFonts w:eastAsiaTheme="minorEastAsia" w:hint="eastAsia"/>
                <w:color w:val="FF6600"/>
              </w:rPr>
              <w:t>：</w:t>
            </w:r>
            <w:r w:rsidRPr="003A153C">
              <w:rPr>
                <w:rFonts w:eastAsiaTheme="minorEastAsia" w:hint="eastAsia"/>
                <w:color w:val="FF6600"/>
              </w:rPr>
              <w:t>A</w:t>
            </w:r>
            <w:r w:rsidRPr="003A153C">
              <w:rPr>
                <w:rFonts w:eastAsiaTheme="minorEastAsia"/>
                <w:color w:val="FF6600"/>
              </w:rPr>
              <w:t>股市场主要指数市盈率比较</w:t>
            </w:r>
          </w:p>
        </w:tc>
      </w:tr>
      <w:tr w:rsidR="00EF17C0" w:rsidRPr="00EF17C0" w:rsidTr="001F6BE6">
        <w:trPr>
          <w:cantSplit/>
          <w:trHeight w:val="3339"/>
        </w:trPr>
        <w:tc>
          <w:tcPr>
            <w:tcW w:w="7440" w:type="dxa"/>
            <w:tcBorders>
              <w:top w:val="single" w:sz="6" w:space="0" w:color="FF6600"/>
              <w:left w:val="nil"/>
              <w:bottom w:val="single" w:sz="6" w:space="0" w:color="FF6600"/>
              <w:right w:val="nil"/>
            </w:tcBorders>
            <w:vAlign w:val="center"/>
          </w:tcPr>
          <w:p w:rsidR="00EF17C0" w:rsidRPr="00EF17C0" w:rsidRDefault="00EF17C0" w:rsidP="00EF17C0">
            <w:pPr>
              <w:snapToGrid w:val="0"/>
              <w:spacing w:line="10" w:lineRule="atLeast"/>
              <w:jc w:val="center"/>
              <w:rPr>
                <w:rFonts w:ascii="宋体" w:eastAsia="宋体" w:hAnsi="宋体"/>
                <w:b/>
              </w:rPr>
            </w:pPr>
            <w:r w:rsidRPr="00EF17C0">
              <w:rPr>
                <w:rFonts w:ascii="宋体" w:eastAsia="宋体" w:hAnsi="宋体"/>
                <w:b/>
                <w:noProof/>
              </w:rPr>
              <w:drawing>
                <wp:inline distT="0" distB="0" distL="0" distR="0">
                  <wp:extent cx="4724400" cy="2019300"/>
                  <wp:effectExtent l="19050" t="0" r="0" b="0"/>
                  <wp:docPr id="5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4724400" cy="2019300"/>
                          </a:xfrm>
                          <a:prstGeom prst="rect">
                            <a:avLst/>
                          </a:prstGeom>
                          <a:noFill/>
                          <a:ln w="9525">
                            <a:noFill/>
                            <a:miter lim="800000"/>
                            <a:headEnd/>
                            <a:tailEnd/>
                          </a:ln>
                        </pic:spPr>
                      </pic:pic>
                    </a:graphicData>
                  </a:graphic>
                </wp:inline>
              </w:drawing>
            </w:r>
          </w:p>
        </w:tc>
      </w:tr>
    </w:tbl>
    <w:p w:rsidR="00EF17C0" w:rsidRPr="00EF17C0" w:rsidRDefault="00EF17C0" w:rsidP="00EF17C0">
      <w:pPr>
        <w:widowControl/>
        <w:tabs>
          <w:tab w:val="right" w:pos="10065"/>
        </w:tabs>
        <w:spacing w:before="40" w:after="160"/>
        <w:ind w:left="3402"/>
        <w:rPr>
          <w:rFonts w:ascii="Arial" w:eastAsia="KaiTi_GB2312" w:hAnsi="Arial" w:cs="Arial"/>
          <w:color w:val="FF6600"/>
          <w:kern w:val="0"/>
          <w:sz w:val="15"/>
          <w:szCs w:val="14"/>
          <w:lang w:val="en-GB"/>
        </w:rPr>
      </w:pPr>
      <w:r w:rsidRPr="00EF17C0">
        <w:rPr>
          <w:rFonts w:ascii="Arial" w:eastAsia="楷体_GB2312" w:hAnsi="Arial" w:cs="Arial" w:hint="eastAsia"/>
          <w:color w:val="FF6600"/>
          <w:kern w:val="0"/>
          <w:sz w:val="15"/>
          <w:szCs w:val="14"/>
          <w:lang w:val="en-GB"/>
        </w:rPr>
        <w:t>来源：凯石财富工场</w:t>
      </w:r>
      <w:r w:rsidRPr="00EF17C0">
        <w:rPr>
          <w:rFonts w:ascii="Arial" w:eastAsia="楷体_GB2312" w:hAnsi="Arial" w:cs="Arial" w:hint="eastAsia"/>
          <w:color w:val="FF6600"/>
          <w:kern w:val="0"/>
          <w:sz w:val="15"/>
          <w:szCs w:val="14"/>
          <w:lang w:val="en-GB"/>
        </w:rPr>
        <w:t xml:space="preserve"> wind</w:t>
      </w:r>
    </w:p>
    <w:p w:rsidR="00526B7F" w:rsidRPr="00F53796" w:rsidRDefault="0059675E" w:rsidP="00526B7F">
      <w:pPr>
        <w:widowControl/>
        <w:spacing w:after="120"/>
        <w:ind w:left="3430"/>
        <w:rPr>
          <w:rFonts w:ascii="Arial" w:hAnsi="Arial" w:cs="Arial"/>
          <w:b/>
          <w:bCs/>
          <w:color w:val="0070C0"/>
          <w:kern w:val="0"/>
          <w:szCs w:val="21"/>
          <w:lang w:val="en-GB"/>
        </w:rPr>
      </w:pPr>
      <w:r>
        <w:rPr>
          <w:rFonts w:ascii="Arial" w:hAnsi="Arial" w:cs="Arial"/>
          <w:b/>
          <w:bCs/>
          <w:color w:val="0070C0"/>
          <w:kern w:val="0"/>
          <w:szCs w:val="21"/>
          <w:lang w:val="en-GB"/>
        </w:rPr>
        <w:t>投资</w:t>
      </w:r>
      <w:r w:rsidR="00D96FFA">
        <w:rPr>
          <w:rFonts w:ascii="Arial" w:hAnsi="Arial" w:cs="Arial"/>
          <w:b/>
          <w:bCs/>
          <w:color w:val="0070C0"/>
          <w:kern w:val="0"/>
          <w:szCs w:val="21"/>
          <w:lang w:val="en-GB"/>
        </w:rPr>
        <w:t>主旋律</w:t>
      </w:r>
      <w:r w:rsidR="00F53796">
        <w:rPr>
          <w:rFonts w:ascii="Arial" w:hAnsi="Arial" w:cs="Arial"/>
          <w:b/>
          <w:bCs/>
          <w:color w:val="0070C0"/>
          <w:kern w:val="0"/>
          <w:szCs w:val="21"/>
          <w:lang w:val="en-GB"/>
        </w:rPr>
        <w:t>：新兴成长</w:t>
      </w:r>
      <w:r>
        <w:rPr>
          <w:rFonts w:ascii="Arial" w:hAnsi="Arial" w:cs="Arial"/>
          <w:b/>
          <w:bCs/>
          <w:color w:val="0070C0"/>
          <w:kern w:val="0"/>
          <w:szCs w:val="21"/>
          <w:lang w:val="en-GB"/>
        </w:rPr>
        <w:t>整装</w:t>
      </w:r>
      <w:r w:rsidR="006209CB">
        <w:rPr>
          <w:rFonts w:ascii="Arial" w:hAnsi="Arial" w:cs="Arial"/>
          <w:b/>
          <w:bCs/>
          <w:color w:val="0070C0"/>
          <w:kern w:val="0"/>
          <w:szCs w:val="21"/>
          <w:lang w:val="en-GB"/>
        </w:rPr>
        <w:t>待发</w:t>
      </w:r>
      <w:r>
        <w:rPr>
          <w:rFonts w:ascii="Arial" w:hAnsi="Arial" w:cs="Arial"/>
          <w:b/>
          <w:bCs/>
          <w:color w:val="0070C0"/>
          <w:kern w:val="0"/>
          <w:szCs w:val="21"/>
          <w:lang w:val="en-GB"/>
        </w:rPr>
        <w:t>，主题投资唱响全年</w:t>
      </w:r>
    </w:p>
    <w:p w:rsidR="009E18EC" w:rsidRDefault="006209CB" w:rsidP="00526B7F">
      <w:pPr>
        <w:pStyle w:val="ac"/>
        <w:numPr>
          <w:ilvl w:val="4"/>
          <w:numId w:val="1"/>
        </w:numPr>
        <w:spacing w:after="163"/>
        <w:rPr>
          <w:rFonts w:eastAsiaTheme="minorEastAsia"/>
          <w:color w:val="auto"/>
        </w:rPr>
      </w:pPr>
      <w:r>
        <w:rPr>
          <w:rFonts w:eastAsiaTheme="minorEastAsia" w:hint="eastAsia"/>
          <w:color w:val="auto"/>
        </w:rPr>
        <w:t>2013</w:t>
      </w:r>
      <w:r>
        <w:rPr>
          <w:rFonts w:eastAsiaTheme="minorEastAsia" w:hint="eastAsia"/>
          <w:color w:val="auto"/>
        </w:rPr>
        <w:t>年一路高歌猛进后</w:t>
      </w:r>
      <w:r w:rsidR="00526B7F" w:rsidRPr="00157A1D">
        <w:rPr>
          <w:rFonts w:eastAsiaTheme="minorEastAsia" w:hint="eastAsia"/>
          <w:color w:val="auto"/>
        </w:rPr>
        <w:t>，高估</w:t>
      </w:r>
      <w:r w:rsidR="00526B7F" w:rsidRPr="006209CB">
        <w:rPr>
          <w:rFonts w:eastAsiaTheme="minorEastAsia" w:hint="eastAsia"/>
          <w:color w:val="auto"/>
        </w:rPr>
        <w:t>值成长</w:t>
      </w:r>
      <w:r w:rsidRPr="006209CB">
        <w:rPr>
          <w:rFonts w:eastAsiaTheme="minorEastAsia" w:hint="eastAsia"/>
          <w:color w:val="auto"/>
        </w:rPr>
        <w:t>股显然</w:t>
      </w:r>
      <w:r w:rsidR="00526B7F" w:rsidRPr="00157A1D">
        <w:rPr>
          <w:rFonts w:eastAsiaTheme="minorEastAsia" w:hint="eastAsia"/>
          <w:color w:val="auto"/>
        </w:rPr>
        <w:t>需要</w:t>
      </w:r>
      <w:r>
        <w:rPr>
          <w:rFonts w:eastAsiaTheme="minorEastAsia" w:hint="eastAsia"/>
          <w:color w:val="auto"/>
        </w:rPr>
        <w:t>偃旗息鼓一段时日</w:t>
      </w:r>
      <w:r w:rsidR="00592A87">
        <w:rPr>
          <w:rFonts w:eastAsiaTheme="minorEastAsia" w:hint="eastAsia"/>
          <w:color w:val="auto"/>
        </w:rPr>
        <w:t>，面临的风险包括</w:t>
      </w:r>
      <w:r w:rsidR="0033093A">
        <w:rPr>
          <w:rFonts w:ascii="Calibri" w:eastAsia="宋体" w:hAnsi="Calibri" w:hint="eastAsia"/>
        </w:rPr>
        <w:t>实际盈利增速难以消化当前估值水平、</w:t>
      </w:r>
      <w:r w:rsidRPr="006209CB">
        <w:rPr>
          <w:rFonts w:eastAsiaTheme="minorEastAsia" w:hint="eastAsia"/>
          <w:color w:val="auto"/>
        </w:rPr>
        <w:t>IPO</w:t>
      </w:r>
      <w:r>
        <w:rPr>
          <w:rFonts w:eastAsiaTheme="minorEastAsia" w:hint="eastAsia"/>
          <w:color w:val="auto"/>
        </w:rPr>
        <w:t>开闸与新三板扩容可能造成</w:t>
      </w:r>
      <w:r w:rsidRPr="006209CB">
        <w:rPr>
          <w:rFonts w:eastAsiaTheme="minorEastAsia" w:hint="eastAsia"/>
          <w:color w:val="auto"/>
        </w:rPr>
        <w:t>分流</w:t>
      </w:r>
      <w:r w:rsidR="0025603E">
        <w:rPr>
          <w:rFonts w:eastAsiaTheme="minorEastAsia" w:hint="eastAsia"/>
          <w:color w:val="auto"/>
        </w:rPr>
        <w:t>、风险偏好阶段性下移</w:t>
      </w:r>
      <w:r w:rsidR="00592A87">
        <w:rPr>
          <w:rFonts w:eastAsiaTheme="minorEastAsia" w:hint="eastAsia"/>
          <w:color w:val="auto"/>
        </w:rPr>
        <w:t>等</w:t>
      </w:r>
      <w:r w:rsidR="00526B7F" w:rsidRPr="00157A1D">
        <w:rPr>
          <w:rFonts w:eastAsiaTheme="minorEastAsia" w:hint="eastAsia"/>
          <w:color w:val="auto"/>
        </w:rPr>
        <w:t>，</w:t>
      </w:r>
      <w:r>
        <w:rPr>
          <w:rFonts w:eastAsiaTheme="minorEastAsia" w:hint="eastAsia"/>
          <w:color w:val="auto"/>
        </w:rPr>
        <w:t>预计</w:t>
      </w:r>
      <w:r>
        <w:rPr>
          <w:rFonts w:eastAsiaTheme="minorEastAsia" w:hint="eastAsia"/>
          <w:color w:val="auto"/>
        </w:rPr>
        <w:t>2014</w:t>
      </w:r>
      <w:r>
        <w:rPr>
          <w:rFonts w:eastAsiaTheme="minorEastAsia" w:hint="eastAsia"/>
          <w:color w:val="auto"/>
        </w:rPr>
        <w:t>年中小盘难以重现今年的疯狂。</w:t>
      </w:r>
      <w:r w:rsidR="00526B7F" w:rsidRPr="006209CB">
        <w:rPr>
          <w:rFonts w:eastAsiaTheme="minorEastAsia" w:hint="eastAsia"/>
          <w:color w:val="auto"/>
        </w:rPr>
        <w:t>但从中长期看，代表“中国梦”的</w:t>
      </w:r>
      <w:r>
        <w:rPr>
          <w:rFonts w:eastAsiaTheme="minorEastAsia" w:hint="eastAsia"/>
          <w:color w:val="auto"/>
        </w:rPr>
        <w:t>新兴成长板块</w:t>
      </w:r>
      <w:r w:rsidR="00526B7F" w:rsidRPr="006209CB">
        <w:rPr>
          <w:rFonts w:eastAsiaTheme="minorEastAsia" w:hint="eastAsia"/>
          <w:color w:val="auto"/>
        </w:rPr>
        <w:t>依然是转型期重点的投资方向，</w:t>
      </w:r>
      <w:r w:rsidR="009E18EC">
        <w:rPr>
          <w:rFonts w:eastAsiaTheme="minorEastAsia" w:hint="eastAsia"/>
          <w:color w:val="auto"/>
        </w:rPr>
        <w:t>其</w:t>
      </w:r>
      <w:r w:rsidRPr="00526B7F">
        <w:rPr>
          <w:rFonts w:eastAsiaTheme="minorEastAsia" w:hint="eastAsia"/>
          <w:color w:val="auto"/>
        </w:rPr>
        <w:t>战略配置</w:t>
      </w:r>
      <w:r w:rsidR="0025603E">
        <w:rPr>
          <w:rFonts w:eastAsiaTheme="minorEastAsia" w:hint="eastAsia"/>
          <w:color w:val="auto"/>
        </w:rPr>
        <w:t>价值有望持续</w:t>
      </w:r>
      <w:r w:rsidR="009E18EC">
        <w:rPr>
          <w:rFonts w:eastAsiaTheme="minorEastAsia" w:hint="eastAsia"/>
          <w:color w:val="auto"/>
        </w:rPr>
        <w:t>存在</w:t>
      </w:r>
      <w:r w:rsidRPr="00526B7F">
        <w:rPr>
          <w:rFonts w:eastAsiaTheme="minorEastAsia" w:hint="eastAsia"/>
          <w:color w:val="auto"/>
        </w:rPr>
        <w:t>。</w:t>
      </w:r>
      <w:r w:rsidR="009E18EC" w:rsidRPr="00526B7F">
        <w:rPr>
          <w:rFonts w:eastAsiaTheme="minorEastAsia" w:hint="eastAsia"/>
          <w:color w:val="auto"/>
        </w:rPr>
        <w:t>今年新兴成长板块更多靠估值扩张，明年估值继续大幅扩张</w:t>
      </w:r>
      <w:r w:rsidR="009E18EC">
        <w:rPr>
          <w:rFonts w:eastAsiaTheme="minorEastAsia" w:hint="eastAsia"/>
          <w:color w:val="auto"/>
        </w:rPr>
        <w:t>可能性很低</w:t>
      </w:r>
      <w:r w:rsidR="00592A87">
        <w:rPr>
          <w:rFonts w:eastAsiaTheme="minorEastAsia" w:hint="eastAsia"/>
          <w:color w:val="auto"/>
        </w:rPr>
        <w:t>，</w:t>
      </w:r>
      <w:r w:rsidR="009E18EC">
        <w:rPr>
          <w:rFonts w:eastAsiaTheme="minorEastAsia" w:hint="eastAsia"/>
          <w:color w:val="auto"/>
        </w:rPr>
        <w:t>待年报</w:t>
      </w:r>
      <w:r w:rsidR="0033093A">
        <w:rPr>
          <w:rFonts w:eastAsiaTheme="minorEastAsia" w:hint="eastAsia"/>
          <w:color w:val="auto"/>
        </w:rPr>
        <w:t>业绩</w:t>
      </w:r>
      <w:r w:rsidR="009E18EC">
        <w:rPr>
          <w:rFonts w:eastAsiaTheme="minorEastAsia" w:hint="eastAsia"/>
          <w:color w:val="auto"/>
        </w:rPr>
        <w:t>风险释放的</w:t>
      </w:r>
      <w:r w:rsidR="009E18EC" w:rsidRPr="009E18EC">
        <w:rPr>
          <w:rFonts w:eastAsiaTheme="minorEastAsia" w:hint="eastAsia"/>
          <w:color w:val="auto"/>
        </w:rPr>
        <w:t>去伪存真</w:t>
      </w:r>
      <w:r w:rsidR="009E18EC">
        <w:rPr>
          <w:rFonts w:eastAsiaTheme="minorEastAsia" w:hint="eastAsia"/>
          <w:color w:val="auto"/>
        </w:rPr>
        <w:t>过程</w:t>
      </w:r>
      <w:r w:rsidR="00592A87">
        <w:rPr>
          <w:rFonts w:eastAsiaTheme="minorEastAsia" w:hint="eastAsia"/>
          <w:color w:val="auto"/>
        </w:rPr>
        <w:t>之后，</w:t>
      </w:r>
      <w:r w:rsidR="0033093A">
        <w:rPr>
          <w:rFonts w:eastAsiaTheme="minorEastAsia" w:hint="eastAsia"/>
          <w:color w:val="auto"/>
        </w:rPr>
        <w:t>具备业绩支撑</w:t>
      </w:r>
      <w:r w:rsidR="00592A87" w:rsidRPr="00526B7F">
        <w:rPr>
          <w:rFonts w:eastAsiaTheme="minorEastAsia" w:hint="eastAsia"/>
          <w:color w:val="auto"/>
        </w:rPr>
        <w:t>、</w:t>
      </w:r>
      <w:r w:rsidR="0033093A">
        <w:rPr>
          <w:rFonts w:eastAsiaTheme="minorEastAsia" w:hint="eastAsia"/>
          <w:color w:val="auto"/>
        </w:rPr>
        <w:t>受政策引导</w:t>
      </w:r>
      <w:r w:rsidR="00592A87" w:rsidRPr="00526B7F">
        <w:rPr>
          <w:rFonts w:eastAsiaTheme="minorEastAsia" w:hint="eastAsia"/>
          <w:color w:val="auto"/>
        </w:rPr>
        <w:t>有超预期可能的</w:t>
      </w:r>
      <w:r w:rsidR="0033093A">
        <w:rPr>
          <w:rFonts w:eastAsiaTheme="minorEastAsia" w:hint="eastAsia"/>
          <w:color w:val="auto"/>
        </w:rPr>
        <w:t>新兴成长个股</w:t>
      </w:r>
      <w:r w:rsidR="00F5356C">
        <w:rPr>
          <w:rFonts w:eastAsiaTheme="minorEastAsia" w:hint="eastAsia"/>
          <w:color w:val="auto"/>
        </w:rPr>
        <w:t>将再度</w:t>
      </w:r>
      <w:r w:rsidR="0033093A">
        <w:rPr>
          <w:rFonts w:eastAsiaTheme="minorEastAsia" w:hint="eastAsia"/>
          <w:color w:val="auto"/>
        </w:rPr>
        <w:t>迎来</w:t>
      </w:r>
      <w:r w:rsidR="00592A87">
        <w:rPr>
          <w:rFonts w:eastAsiaTheme="minorEastAsia" w:hint="eastAsia"/>
          <w:color w:val="auto"/>
        </w:rPr>
        <w:t>投资</w:t>
      </w:r>
      <w:r w:rsidR="001D161F">
        <w:rPr>
          <w:rFonts w:eastAsiaTheme="minorEastAsia" w:hint="eastAsia"/>
          <w:color w:val="auto"/>
        </w:rPr>
        <w:t>时机</w:t>
      </w:r>
      <w:r w:rsidR="009E18EC" w:rsidRPr="009E18EC">
        <w:rPr>
          <w:rFonts w:eastAsiaTheme="minorEastAsia" w:hint="eastAsia"/>
          <w:color w:val="auto"/>
        </w:rPr>
        <w:t>。</w:t>
      </w:r>
      <w:r w:rsidR="001E6DB1">
        <w:rPr>
          <w:rFonts w:eastAsiaTheme="minorEastAsia" w:hint="eastAsia"/>
          <w:color w:val="auto"/>
        </w:rPr>
        <w:t>从配置需求角度，我们</w:t>
      </w:r>
      <w:r w:rsidR="003942F8">
        <w:rPr>
          <w:rFonts w:eastAsiaTheme="minorEastAsia" w:hint="eastAsia"/>
          <w:color w:val="auto"/>
        </w:rPr>
        <w:t>阶段</w:t>
      </w:r>
      <w:r w:rsidR="001E6DB1">
        <w:rPr>
          <w:rFonts w:eastAsiaTheme="minorEastAsia" w:hint="eastAsia"/>
          <w:color w:val="auto"/>
        </w:rPr>
        <w:t>推荐</w:t>
      </w:r>
      <w:r w:rsidR="009D6463">
        <w:rPr>
          <w:rFonts w:eastAsiaTheme="minorEastAsia" w:hint="eastAsia"/>
          <w:color w:val="auto"/>
          <w:lang w:val="en-US"/>
        </w:rPr>
        <w:t>大众消费品领域的农业、医药、食品饮料等</w:t>
      </w:r>
      <w:r w:rsidR="003942F8">
        <w:rPr>
          <w:rFonts w:eastAsiaTheme="minorEastAsia" w:hint="eastAsia"/>
          <w:color w:val="auto"/>
          <w:lang w:val="en-US"/>
        </w:rPr>
        <w:t>稳健成长板块</w:t>
      </w:r>
      <w:r w:rsidR="009D6463">
        <w:rPr>
          <w:rFonts w:eastAsiaTheme="minorEastAsia" w:hint="eastAsia"/>
          <w:color w:val="auto"/>
        </w:rPr>
        <w:t>，兼具景气度与估值优势</w:t>
      </w:r>
      <w:r w:rsidR="001E6DB1">
        <w:rPr>
          <w:rFonts w:eastAsiaTheme="minorEastAsia" w:hint="eastAsia"/>
          <w:color w:val="auto"/>
        </w:rPr>
        <w:t>。</w:t>
      </w:r>
    </w:p>
    <w:p w:rsidR="00E35117" w:rsidRDefault="00217710" w:rsidP="001872F7">
      <w:pPr>
        <w:pStyle w:val="ac"/>
        <w:numPr>
          <w:ilvl w:val="4"/>
          <w:numId w:val="1"/>
        </w:numPr>
        <w:spacing w:after="163"/>
        <w:rPr>
          <w:rFonts w:eastAsiaTheme="minorEastAsia"/>
          <w:color w:val="auto"/>
        </w:rPr>
      </w:pPr>
      <w:r>
        <w:rPr>
          <w:rFonts w:eastAsiaTheme="minorEastAsia" w:hint="eastAsia"/>
          <w:color w:val="auto"/>
        </w:rPr>
        <w:t>2014</w:t>
      </w:r>
      <w:r>
        <w:rPr>
          <w:rFonts w:eastAsiaTheme="minorEastAsia" w:hint="eastAsia"/>
          <w:color w:val="auto"/>
        </w:rPr>
        <w:t>年最大看点无疑是</w:t>
      </w:r>
      <w:r w:rsidR="00D2130F">
        <w:rPr>
          <w:rFonts w:eastAsiaTheme="minorEastAsia" w:hint="eastAsia"/>
          <w:color w:val="auto"/>
        </w:rPr>
        <w:t>改革</w:t>
      </w:r>
      <w:r>
        <w:rPr>
          <w:rFonts w:eastAsiaTheme="minorEastAsia" w:hint="eastAsia"/>
          <w:color w:val="auto"/>
        </w:rPr>
        <w:t>政策的</w:t>
      </w:r>
      <w:r w:rsidR="00EF17C0" w:rsidRPr="001872F7">
        <w:rPr>
          <w:rFonts w:eastAsiaTheme="minorEastAsia" w:hint="eastAsia"/>
          <w:color w:val="auto"/>
        </w:rPr>
        <w:t>落实</w:t>
      </w:r>
      <w:r w:rsidR="005D7413">
        <w:rPr>
          <w:rFonts w:eastAsiaTheme="minorEastAsia" w:hint="eastAsia"/>
          <w:color w:val="auto"/>
        </w:rPr>
        <w:t>，“主题投资”料将成为年度关键词</w:t>
      </w:r>
      <w:r>
        <w:rPr>
          <w:rFonts w:eastAsiaTheme="minorEastAsia" w:hint="eastAsia"/>
          <w:color w:val="auto"/>
        </w:rPr>
        <w:t>。改革蕴含的增长潜力将使相关主题保持活跃，源源不断</w:t>
      </w:r>
      <w:r w:rsidR="00D2130F">
        <w:rPr>
          <w:rFonts w:eastAsiaTheme="minorEastAsia" w:hint="eastAsia"/>
          <w:color w:val="auto"/>
        </w:rPr>
        <w:t>为市场输入结构性机会。我们认为未来改革主题的布局领域包括</w:t>
      </w:r>
      <w:r w:rsidR="00EF17C0" w:rsidRPr="001872F7">
        <w:rPr>
          <w:rFonts w:eastAsiaTheme="minorEastAsia" w:hint="eastAsia"/>
          <w:color w:val="auto"/>
        </w:rPr>
        <w:t>军工安防</w:t>
      </w:r>
      <w:r w:rsidR="00D2130F">
        <w:rPr>
          <w:rFonts w:eastAsiaTheme="minorEastAsia" w:hint="eastAsia"/>
          <w:color w:val="auto"/>
        </w:rPr>
        <w:t>（包括</w:t>
      </w:r>
      <w:r w:rsidR="00D2130F" w:rsidRPr="00157A1D">
        <w:rPr>
          <w:rFonts w:eastAsiaTheme="minorEastAsia" w:hint="eastAsia"/>
          <w:color w:val="auto"/>
        </w:rPr>
        <w:t>国防安全、信息安全、消费安全</w:t>
      </w:r>
      <w:r w:rsidR="00D2130F">
        <w:rPr>
          <w:rFonts w:eastAsiaTheme="minorEastAsia" w:hint="eastAsia"/>
          <w:color w:val="auto"/>
        </w:rPr>
        <w:t>）</w:t>
      </w:r>
      <w:r w:rsidR="00EF17C0" w:rsidRPr="001872F7">
        <w:rPr>
          <w:rFonts w:eastAsiaTheme="minorEastAsia" w:hint="eastAsia"/>
          <w:color w:val="auto"/>
        </w:rPr>
        <w:t>、土地改革、金融改革、国</w:t>
      </w:r>
      <w:r>
        <w:rPr>
          <w:rFonts w:eastAsiaTheme="minorEastAsia" w:hint="eastAsia"/>
          <w:color w:val="auto"/>
        </w:rPr>
        <w:t>企改革、破除垄断及资源价格改革</w:t>
      </w:r>
      <w:r w:rsidR="00D2130F">
        <w:rPr>
          <w:rFonts w:eastAsiaTheme="minorEastAsia" w:hint="eastAsia"/>
          <w:color w:val="auto"/>
        </w:rPr>
        <w:t>（</w:t>
      </w:r>
      <w:r w:rsidR="00D2130F" w:rsidRPr="00157A1D">
        <w:rPr>
          <w:rFonts w:eastAsiaTheme="minorEastAsia" w:hint="eastAsia"/>
          <w:color w:val="auto"/>
        </w:rPr>
        <w:t>重点在民营金融、油气、医院、传媒、环保等领域</w:t>
      </w:r>
      <w:r w:rsidR="00D2130F">
        <w:rPr>
          <w:rFonts w:eastAsiaTheme="minorEastAsia" w:hint="eastAsia"/>
          <w:color w:val="auto"/>
        </w:rPr>
        <w:t>）</w:t>
      </w:r>
      <w:r>
        <w:rPr>
          <w:rFonts w:eastAsiaTheme="minorEastAsia" w:hint="eastAsia"/>
          <w:color w:val="auto"/>
        </w:rPr>
        <w:t>、生态环保</w:t>
      </w:r>
      <w:r w:rsidR="00D2130F">
        <w:rPr>
          <w:rFonts w:eastAsiaTheme="minorEastAsia" w:hint="eastAsia"/>
          <w:color w:val="auto"/>
        </w:rPr>
        <w:t>（</w:t>
      </w:r>
      <w:r w:rsidR="00D2130F" w:rsidRPr="00157A1D">
        <w:rPr>
          <w:rFonts w:eastAsiaTheme="minorEastAsia" w:hint="eastAsia"/>
          <w:color w:val="auto"/>
        </w:rPr>
        <w:t>环保产业链、中游或受益于过剩产能淘汰的结构性机会</w:t>
      </w:r>
      <w:r w:rsidR="00D2130F">
        <w:rPr>
          <w:rFonts w:eastAsiaTheme="minorEastAsia" w:hint="eastAsia"/>
          <w:color w:val="auto"/>
        </w:rPr>
        <w:t>）以及自贸区相关概念等</w:t>
      </w:r>
      <w:r w:rsidR="005D7413">
        <w:rPr>
          <w:rFonts w:eastAsiaTheme="minorEastAsia" w:hint="eastAsia"/>
          <w:color w:val="auto"/>
        </w:rPr>
        <w:t>。</w:t>
      </w:r>
    </w:p>
    <w:p w:rsidR="00EF17C0" w:rsidRPr="001872F7" w:rsidRDefault="005D7413" w:rsidP="001872F7">
      <w:pPr>
        <w:pStyle w:val="ac"/>
        <w:numPr>
          <w:ilvl w:val="4"/>
          <w:numId w:val="1"/>
        </w:numPr>
        <w:spacing w:after="163"/>
        <w:rPr>
          <w:rFonts w:eastAsiaTheme="minorEastAsia"/>
          <w:color w:val="auto"/>
        </w:rPr>
      </w:pPr>
      <w:r>
        <w:rPr>
          <w:rFonts w:eastAsiaTheme="minorEastAsia" w:hint="eastAsia"/>
          <w:color w:val="auto"/>
        </w:rPr>
        <w:t>然而，改革并非一蹴而就，红利的释放亦会是缓慢而长期的过程。鉴于</w:t>
      </w:r>
      <w:r w:rsidR="00EF17C0" w:rsidRPr="001872F7">
        <w:rPr>
          <w:rFonts w:eastAsiaTheme="minorEastAsia" w:hint="eastAsia"/>
          <w:color w:val="auto"/>
        </w:rPr>
        <w:t>相当部分被寄予厚望的受益行业</w:t>
      </w:r>
      <w:r>
        <w:rPr>
          <w:rFonts w:eastAsiaTheme="minorEastAsia" w:hint="eastAsia"/>
          <w:color w:val="auto"/>
        </w:rPr>
        <w:t>和</w:t>
      </w:r>
      <w:r w:rsidR="00EF17C0" w:rsidRPr="001872F7">
        <w:rPr>
          <w:rFonts w:eastAsiaTheme="minorEastAsia" w:hint="eastAsia"/>
          <w:color w:val="auto"/>
        </w:rPr>
        <w:t>企业</w:t>
      </w:r>
      <w:r>
        <w:rPr>
          <w:rFonts w:eastAsiaTheme="minorEastAsia" w:hint="eastAsia"/>
          <w:color w:val="auto"/>
        </w:rPr>
        <w:t>估值相对较高，市场氛围需要改革措施的逐步落实来维护和增强</w:t>
      </w:r>
      <w:r w:rsidR="00EF17C0" w:rsidRPr="001872F7">
        <w:rPr>
          <w:rFonts w:eastAsiaTheme="minorEastAsia" w:hint="eastAsia"/>
          <w:color w:val="auto"/>
        </w:rPr>
        <w:t>，而政策一时的偏差或低于预期都将带来市场情绪的剧烈波动，进而引起相关板块的大幅震荡</w:t>
      </w:r>
      <w:r w:rsidR="00330B6C">
        <w:rPr>
          <w:rFonts w:eastAsiaTheme="minorEastAsia" w:hint="eastAsia"/>
          <w:color w:val="auto"/>
        </w:rPr>
        <w:t>，正如</w:t>
      </w:r>
      <w:r w:rsidR="00330B6C" w:rsidRPr="00330B6C">
        <w:rPr>
          <w:rFonts w:eastAsiaTheme="minorEastAsia" w:hint="eastAsia"/>
          <w:color w:val="auto"/>
        </w:rPr>
        <w:t>2012</w:t>
      </w:r>
      <w:r w:rsidR="00330B6C">
        <w:rPr>
          <w:rFonts w:eastAsiaTheme="minorEastAsia" w:hint="eastAsia"/>
          <w:color w:val="auto"/>
        </w:rPr>
        <w:t>年金融改革主题与今年的上海自贸区</w:t>
      </w:r>
      <w:r w:rsidR="00330B6C" w:rsidRPr="00330B6C">
        <w:rPr>
          <w:rFonts w:eastAsiaTheme="minorEastAsia" w:hint="eastAsia"/>
          <w:color w:val="auto"/>
        </w:rPr>
        <w:t>，</w:t>
      </w:r>
      <w:r w:rsidR="00E35117">
        <w:rPr>
          <w:rFonts w:eastAsiaTheme="minorEastAsia" w:hint="eastAsia"/>
          <w:color w:val="auto"/>
        </w:rPr>
        <w:t>至后续具体政策落实阶段板块股价表现反而远低于市场预期。凯石工场预计，</w:t>
      </w:r>
      <w:r w:rsidR="00330B6C">
        <w:rPr>
          <w:rFonts w:eastAsiaTheme="minorEastAsia" w:hint="eastAsia"/>
          <w:color w:val="auto"/>
        </w:rPr>
        <w:t>2014</w:t>
      </w:r>
      <w:r w:rsidR="00330B6C">
        <w:rPr>
          <w:rFonts w:eastAsiaTheme="minorEastAsia" w:hint="eastAsia"/>
          <w:color w:val="auto"/>
        </w:rPr>
        <w:t>的</w:t>
      </w:r>
      <w:r w:rsidR="00EF17C0" w:rsidRPr="001872F7">
        <w:rPr>
          <w:rFonts w:eastAsiaTheme="minorEastAsia" w:hint="eastAsia"/>
          <w:color w:val="auto"/>
        </w:rPr>
        <w:t>主题</w:t>
      </w:r>
      <w:r w:rsidR="00330B6C">
        <w:rPr>
          <w:rFonts w:eastAsiaTheme="minorEastAsia" w:hint="eastAsia"/>
          <w:color w:val="auto"/>
        </w:rPr>
        <w:t>投资年</w:t>
      </w:r>
      <w:r w:rsidR="00E35117">
        <w:rPr>
          <w:rFonts w:eastAsiaTheme="minorEastAsia" w:hint="eastAsia"/>
          <w:color w:val="auto"/>
        </w:rPr>
        <w:t>无论是机会的演绎还是风险的释放，</w:t>
      </w:r>
      <w:r w:rsidR="00EF17C0" w:rsidRPr="001872F7">
        <w:rPr>
          <w:rFonts w:eastAsiaTheme="minorEastAsia" w:hint="eastAsia"/>
          <w:color w:val="auto"/>
        </w:rPr>
        <w:t>都将呈现</w:t>
      </w:r>
      <w:r w:rsidR="00D2130F">
        <w:rPr>
          <w:rFonts w:eastAsiaTheme="minorEastAsia" w:hint="eastAsia"/>
          <w:color w:val="auto"/>
        </w:rPr>
        <w:t>频繁、脉冲式特征，同时各板块间的轮动亦将加快。这意味着基金管理人</w:t>
      </w:r>
      <w:r w:rsidR="00330B6C">
        <w:rPr>
          <w:rFonts w:eastAsiaTheme="minorEastAsia" w:hint="eastAsia"/>
          <w:color w:val="auto"/>
        </w:rPr>
        <w:t>对机会的把握能力</w:t>
      </w:r>
      <w:r w:rsidR="00D2130F">
        <w:rPr>
          <w:rFonts w:eastAsiaTheme="minorEastAsia" w:hint="eastAsia"/>
          <w:color w:val="auto"/>
        </w:rPr>
        <w:t>将</w:t>
      </w:r>
      <w:r w:rsidR="00330B6C">
        <w:rPr>
          <w:rFonts w:eastAsiaTheme="minorEastAsia" w:hint="eastAsia"/>
          <w:color w:val="auto"/>
        </w:rPr>
        <w:t>遭遇更高挑战</w:t>
      </w:r>
      <w:r w:rsidR="00EF17C0" w:rsidRPr="001872F7">
        <w:rPr>
          <w:rFonts w:eastAsiaTheme="minorEastAsia" w:hint="eastAsia"/>
          <w:color w:val="auto"/>
        </w:rPr>
        <w:t>。</w:t>
      </w:r>
    </w:p>
    <w:p w:rsidR="00157A1D" w:rsidRPr="00AE3A97" w:rsidRDefault="00A060E1" w:rsidP="00AE3A97">
      <w:pPr>
        <w:widowControl/>
        <w:spacing w:after="120"/>
        <w:ind w:left="3430"/>
        <w:rPr>
          <w:rFonts w:asciiTheme="minorEastAsia" w:hAnsiTheme="minorEastAsia"/>
          <w:b/>
          <w:bCs/>
          <w:color w:val="0070C0"/>
          <w:kern w:val="0"/>
          <w:sz w:val="24"/>
          <w:szCs w:val="24"/>
          <w:lang w:val="en-GB"/>
        </w:rPr>
      </w:pPr>
      <w:r>
        <w:rPr>
          <w:rFonts w:ascii="Arial" w:hAnsi="Arial" w:cs="Arial"/>
          <w:b/>
          <w:bCs/>
          <w:color w:val="0070C0"/>
          <w:kern w:val="0"/>
          <w:sz w:val="24"/>
          <w:szCs w:val="24"/>
          <w:lang w:val="en-GB"/>
        </w:rPr>
        <w:t>三、</w:t>
      </w:r>
      <w:r w:rsidR="00157A1D" w:rsidRPr="00AE3A97">
        <w:rPr>
          <w:rFonts w:ascii="Arial" w:hAnsi="Arial" w:cs="Arial"/>
          <w:b/>
          <w:bCs/>
          <w:color w:val="0070C0"/>
          <w:kern w:val="0"/>
          <w:sz w:val="24"/>
          <w:szCs w:val="24"/>
          <w:lang w:val="en-GB"/>
        </w:rPr>
        <w:t>2014</w:t>
      </w:r>
      <w:r w:rsidR="00537A32">
        <w:rPr>
          <w:rFonts w:ascii="Arial" w:hAnsi="Arial" w:cs="Arial"/>
          <w:b/>
          <w:bCs/>
          <w:color w:val="0070C0"/>
          <w:kern w:val="0"/>
          <w:sz w:val="24"/>
          <w:szCs w:val="24"/>
          <w:lang w:val="en-GB"/>
        </w:rPr>
        <w:t>年对冲基金</w:t>
      </w:r>
      <w:r w:rsidR="00157A1D" w:rsidRPr="00AE3A97">
        <w:rPr>
          <w:rFonts w:asciiTheme="minorEastAsia" w:hAnsiTheme="minorEastAsia"/>
          <w:b/>
          <w:bCs/>
          <w:color w:val="0070C0"/>
          <w:kern w:val="0"/>
          <w:sz w:val="24"/>
          <w:szCs w:val="24"/>
          <w:lang w:val="en-GB"/>
        </w:rPr>
        <w:t>投资</w:t>
      </w:r>
      <w:r w:rsidR="00537A32">
        <w:rPr>
          <w:rFonts w:asciiTheme="minorEastAsia" w:hAnsiTheme="minorEastAsia"/>
          <w:b/>
          <w:bCs/>
          <w:color w:val="0070C0"/>
          <w:kern w:val="0"/>
          <w:sz w:val="24"/>
          <w:szCs w:val="24"/>
          <w:lang w:val="en-GB"/>
        </w:rPr>
        <w:t>策略</w:t>
      </w:r>
      <w:r w:rsidR="00157A1D" w:rsidRPr="00AE3A97">
        <w:rPr>
          <w:rFonts w:asciiTheme="minorEastAsia" w:hAnsiTheme="minorEastAsia"/>
          <w:b/>
          <w:bCs/>
          <w:color w:val="0070C0"/>
          <w:kern w:val="0"/>
          <w:sz w:val="24"/>
          <w:szCs w:val="24"/>
          <w:lang w:val="en-GB"/>
        </w:rPr>
        <w:t>：</w:t>
      </w:r>
      <w:r w:rsidR="001A0B24">
        <w:rPr>
          <w:rFonts w:asciiTheme="minorEastAsia" w:hAnsiTheme="minorEastAsia"/>
          <w:b/>
          <w:bCs/>
          <w:color w:val="0070C0"/>
          <w:kern w:val="0"/>
          <w:sz w:val="24"/>
          <w:szCs w:val="24"/>
          <w:lang w:val="en-GB"/>
        </w:rPr>
        <w:t>超额收益靠择时，</w:t>
      </w:r>
      <w:r w:rsidR="003F685A">
        <w:rPr>
          <w:rFonts w:asciiTheme="minorEastAsia" w:hAnsiTheme="minorEastAsia"/>
          <w:b/>
          <w:bCs/>
          <w:color w:val="0070C0"/>
          <w:kern w:val="0"/>
          <w:sz w:val="24"/>
          <w:szCs w:val="24"/>
          <w:lang w:val="en-GB"/>
        </w:rPr>
        <w:t>多选分散控风险</w:t>
      </w:r>
    </w:p>
    <w:p w:rsidR="00157A1D" w:rsidRDefault="008B5C07" w:rsidP="008B5C07">
      <w:pPr>
        <w:widowControl/>
        <w:spacing w:after="120"/>
        <w:ind w:left="3430"/>
        <w:rPr>
          <w:rFonts w:asciiTheme="minorEastAsia" w:hAnsiTheme="minorEastAsia"/>
          <w:b/>
          <w:bCs/>
          <w:color w:val="0070C0"/>
          <w:kern w:val="0"/>
          <w:szCs w:val="21"/>
          <w:lang w:val="en-GB"/>
        </w:rPr>
      </w:pPr>
      <w:r>
        <w:rPr>
          <w:rFonts w:ascii="Arial" w:hAnsi="Arial" w:cs="Arial" w:hint="eastAsia"/>
          <w:b/>
          <w:bCs/>
          <w:color w:val="0070C0"/>
          <w:kern w:val="0"/>
          <w:szCs w:val="21"/>
          <w:lang w:val="en-GB"/>
        </w:rPr>
        <w:t>1.</w:t>
      </w:r>
      <w:r w:rsidR="00D0103B">
        <w:rPr>
          <w:rFonts w:ascii="Arial" w:hAnsi="Arial" w:cs="Arial" w:hint="eastAsia"/>
          <w:b/>
          <w:bCs/>
          <w:color w:val="0070C0"/>
          <w:kern w:val="0"/>
          <w:szCs w:val="21"/>
          <w:lang w:val="en-GB"/>
        </w:rPr>
        <w:t>择时</w:t>
      </w:r>
      <w:r w:rsidR="00E46E7B">
        <w:rPr>
          <w:rFonts w:ascii="Arial" w:hAnsi="Arial" w:cs="Arial" w:hint="eastAsia"/>
          <w:b/>
          <w:bCs/>
          <w:color w:val="0070C0"/>
          <w:kern w:val="0"/>
          <w:szCs w:val="21"/>
          <w:lang w:val="en-GB"/>
        </w:rPr>
        <w:t>大有用武之地，选股赚钱</w:t>
      </w:r>
      <w:r w:rsidR="00D0103B">
        <w:rPr>
          <w:rFonts w:ascii="Arial" w:hAnsi="Arial" w:cs="Arial" w:hint="eastAsia"/>
          <w:b/>
          <w:bCs/>
          <w:color w:val="0070C0"/>
          <w:kern w:val="0"/>
          <w:szCs w:val="21"/>
          <w:lang w:val="en-GB"/>
        </w:rPr>
        <w:t>难度</w:t>
      </w:r>
      <w:r w:rsidR="00E46E7B">
        <w:rPr>
          <w:rFonts w:ascii="Arial" w:hAnsi="Arial" w:cs="Arial" w:hint="eastAsia"/>
          <w:b/>
          <w:bCs/>
          <w:color w:val="0070C0"/>
          <w:kern w:val="0"/>
          <w:szCs w:val="21"/>
          <w:lang w:val="en-GB"/>
        </w:rPr>
        <w:t>不小</w:t>
      </w:r>
    </w:p>
    <w:p w:rsidR="007C783B" w:rsidRPr="007C783B" w:rsidRDefault="00A12139" w:rsidP="007C783B">
      <w:pPr>
        <w:pStyle w:val="ac"/>
        <w:numPr>
          <w:ilvl w:val="4"/>
          <w:numId w:val="1"/>
        </w:numPr>
        <w:spacing w:after="163"/>
        <w:rPr>
          <w:rFonts w:eastAsiaTheme="minorEastAsia"/>
          <w:color w:val="auto"/>
        </w:rPr>
      </w:pPr>
      <w:r w:rsidRPr="000E24E4">
        <w:rPr>
          <w:rFonts w:eastAsiaTheme="minorEastAsia" w:hint="eastAsia"/>
          <w:color w:val="auto"/>
        </w:rPr>
        <w:t>2014</w:t>
      </w:r>
      <w:r w:rsidR="00180F9D">
        <w:rPr>
          <w:rFonts w:eastAsiaTheme="minorEastAsia" w:hint="eastAsia"/>
          <w:color w:val="auto"/>
        </w:rPr>
        <w:t>年</w:t>
      </w:r>
      <w:r w:rsidRPr="000E24E4">
        <w:rPr>
          <w:rFonts w:eastAsiaTheme="minorEastAsia" w:hint="eastAsia"/>
          <w:color w:val="auto"/>
        </w:rPr>
        <w:t>我国</w:t>
      </w:r>
      <w:r w:rsidR="00180F9D">
        <w:rPr>
          <w:rFonts w:eastAsiaTheme="minorEastAsia" w:hint="eastAsia"/>
          <w:color w:val="auto"/>
        </w:rPr>
        <w:t>宏观经济延续稳定增长</w:t>
      </w:r>
      <w:r w:rsidRPr="000E24E4">
        <w:rPr>
          <w:rFonts w:eastAsiaTheme="minorEastAsia" w:hint="eastAsia"/>
          <w:color w:val="auto"/>
        </w:rPr>
        <w:t>，</w:t>
      </w:r>
      <w:r w:rsidR="00180F9D">
        <w:rPr>
          <w:rFonts w:eastAsiaTheme="minorEastAsia" w:hint="eastAsia"/>
          <w:color w:val="auto"/>
        </w:rPr>
        <w:t>利率将继续抑制</w:t>
      </w:r>
      <w:r w:rsidRPr="000E24E4">
        <w:rPr>
          <w:rFonts w:eastAsiaTheme="minorEastAsia" w:hint="eastAsia"/>
          <w:color w:val="auto"/>
        </w:rPr>
        <w:t>股票</w:t>
      </w:r>
      <w:r w:rsidR="00180F9D">
        <w:rPr>
          <w:rFonts w:eastAsiaTheme="minorEastAsia" w:hint="eastAsia"/>
          <w:color w:val="auto"/>
        </w:rPr>
        <w:t>估值</w:t>
      </w:r>
      <w:r w:rsidRPr="000E24E4">
        <w:rPr>
          <w:rFonts w:eastAsiaTheme="minorEastAsia" w:hint="eastAsia"/>
          <w:color w:val="auto"/>
        </w:rPr>
        <w:t>，</w:t>
      </w:r>
      <w:r w:rsidR="00180F9D">
        <w:rPr>
          <w:rFonts w:eastAsiaTheme="minorEastAsia" w:hint="eastAsia"/>
          <w:color w:val="auto"/>
        </w:rPr>
        <w:t>A</w:t>
      </w:r>
      <w:r w:rsidR="00180F9D">
        <w:rPr>
          <w:rFonts w:eastAsiaTheme="minorEastAsia" w:hint="eastAsia"/>
          <w:color w:val="auto"/>
        </w:rPr>
        <w:t>股缺乏系统</w:t>
      </w:r>
      <w:r w:rsidR="007C783B">
        <w:rPr>
          <w:rFonts w:eastAsiaTheme="minorEastAsia" w:hint="eastAsia"/>
          <w:color w:val="auto"/>
        </w:rPr>
        <w:t>性行情启动</w:t>
      </w:r>
      <w:r w:rsidRPr="000E24E4">
        <w:rPr>
          <w:rFonts w:eastAsiaTheme="minorEastAsia" w:hint="eastAsia"/>
          <w:color w:val="auto"/>
        </w:rPr>
        <w:t>条件，但受益于经济转型的</w:t>
      </w:r>
      <w:r w:rsidR="00180F9D">
        <w:rPr>
          <w:rFonts w:eastAsiaTheme="minorEastAsia" w:hint="eastAsia"/>
          <w:color w:val="auto"/>
        </w:rPr>
        <w:t>板块景气度有望持续</w:t>
      </w:r>
      <w:r w:rsidRPr="000E24E4">
        <w:rPr>
          <w:rFonts w:eastAsiaTheme="minorEastAsia" w:hint="eastAsia"/>
          <w:color w:val="auto"/>
        </w:rPr>
        <w:t>，</w:t>
      </w:r>
      <w:r w:rsidR="00180F9D">
        <w:rPr>
          <w:rFonts w:eastAsiaTheme="minorEastAsia" w:hint="eastAsia"/>
          <w:color w:val="auto"/>
        </w:rPr>
        <w:t>主题投资</w:t>
      </w:r>
      <w:r w:rsidR="00180F9D">
        <w:rPr>
          <w:rFonts w:eastAsiaTheme="minorEastAsia" w:hint="eastAsia"/>
          <w:color w:val="auto"/>
        </w:rPr>
        <w:lastRenderedPageBreak/>
        <w:t>大概率将贯穿全年</w:t>
      </w:r>
      <w:r w:rsidR="00993227">
        <w:rPr>
          <w:rFonts w:eastAsiaTheme="minorEastAsia" w:hint="eastAsia"/>
          <w:color w:val="auto"/>
        </w:rPr>
        <w:t>，市场料</w:t>
      </w:r>
      <w:r w:rsidRPr="000E24E4">
        <w:rPr>
          <w:rFonts w:eastAsiaTheme="minorEastAsia" w:hint="eastAsia"/>
          <w:color w:val="auto"/>
        </w:rPr>
        <w:t>仍</w:t>
      </w:r>
      <w:r w:rsidR="00180F9D">
        <w:rPr>
          <w:rFonts w:eastAsiaTheme="minorEastAsia" w:hint="eastAsia"/>
          <w:color w:val="auto"/>
        </w:rPr>
        <w:t>将以结构性行情主导</w:t>
      </w:r>
      <w:r w:rsidRPr="000E24E4">
        <w:rPr>
          <w:rFonts w:eastAsiaTheme="minorEastAsia" w:hint="eastAsia"/>
          <w:color w:val="auto"/>
        </w:rPr>
        <w:t>。</w:t>
      </w:r>
      <w:r w:rsidR="00D10F27" w:rsidRPr="007C783B">
        <w:rPr>
          <w:rFonts w:eastAsiaTheme="minorEastAsia" w:hint="eastAsia"/>
          <w:color w:val="auto"/>
        </w:rPr>
        <w:t>然而正如前文所述，</w:t>
      </w:r>
      <w:r w:rsidR="007749DA">
        <w:rPr>
          <w:rFonts w:eastAsiaTheme="minorEastAsia" w:hint="eastAsia"/>
          <w:color w:val="auto"/>
        </w:rPr>
        <w:t>2014</w:t>
      </w:r>
      <w:r w:rsidR="00D10F27" w:rsidRPr="007C783B">
        <w:rPr>
          <w:rFonts w:eastAsiaTheme="minorEastAsia" w:hint="eastAsia"/>
          <w:color w:val="auto"/>
        </w:rPr>
        <w:t>预计主题热点轮动提速</w:t>
      </w:r>
      <w:r w:rsidR="00282595" w:rsidRPr="007C783B">
        <w:rPr>
          <w:rFonts w:eastAsiaTheme="minorEastAsia" w:hint="eastAsia"/>
          <w:color w:val="auto"/>
        </w:rPr>
        <w:t>、</w:t>
      </w:r>
      <w:r w:rsidR="00D10F27" w:rsidRPr="007C783B">
        <w:rPr>
          <w:rFonts w:eastAsiaTheme="minorEastAsia" w:hint="eastAsia"/>
          <w:color w:val="auto"/>
        </w:rPr>
        <w:t>板块内部估值分化，</w:t>
      </w:r>
      <w:r w:rsidR="00282595" w:rsidRPr="007C783B">
        <w:rPr>
          <w:rFonts w:eastAsiaTheme="minorEastAsia" w:hint="eastAsia"/>
          <w:color w:val="auto"/>
        </w:rPr>
        <w:t>对管理人的机会把握能力提出更高要求，</w:t>
      </w:r>
      <w:r w:rsidR="008452CF" w:rsidRPr="007C783B">
        <w:rPr>
          <w:rFonts w:eastAsiaTheme="minorEastAsia" w:hint="eastAsia"/>
          <w:color w:val="auto"/>
        </w:rPr>
        <w:t>今年依靠重仓</w:t>
      </w:r>
      <w:r w:rsidR="00282595" w:rsidRPr="007C783B">
        <w:rPr>
          <w:rFonts w:eastAsiaTheme="minorEastAsia" w:hint="eastAsia"/>
          <w:color w:val="auto"/>
        </w:rPr>
        <w:t>押中成长</w:t>
      </w:r>
      <w:r w:rsidR="008452CF" w:rsidRPr="007C783B">
        <w:rPr>
          <w:rFonts w:eastAsiaTheme="minorEastAsia" w:hint="eastAsia"/>
          <w:color w:val="auto"/>
        </w:rPr>
        <w:t>股</w:t>
      </w:r>
      <w:r w:rsidR="00A65066" w:rsidRPr="007C783B">
        <w:rPr>
          <w:rFonts w:eastAsiaTheme="minorEastAsia" w:hint="eastAsia"/>
          <w:color w:val="auto"/>
        </w:rPr>
        <w:t>狠赚了一笔</w:t>
      </w:r>
      <w:r w:rsidR="008452CF" w:rsidRPr="007C783B">
        <w:rPr>
          <w:rFonts w:eastAsiaTheme="minorEastAsia" w:hint="eastAsia"/>
          <w:color w:val="auto"/>
        </w:rPr>
        <w:t>的“胆大”型</w:t>
      </w:r>
      <w:r w:rsidR="00E46E7B">
        <w:rPr>
          <w:rFonts w:eastAsiaTheme="minorEastAsia" w:hint="eastAsia"/>
          <w:color w:val="auto"/>
        </w:rPr>
        <w:t>对冲基金恐难</w:t>
      </w:r>
      <w:r w:rsidR="008452CF" w:rsidRPr="007C783B">
        <w:rPr>
          <w:rFonts w:eastAsiaTheme="minorEastAsia" w:hint="eastAsia"/>
          <w:color w:val="auto"/>
        </w:rPr>
        <w:t>再续辉煌，反而容易</w:t>
      </w:r>
      <w:r w:rsidR="007749DA">
        <w:rPr>
          <w:rFonts w:eastAsiaTheme="minorEastAsia" w:hint="eastAsia"/>
          <w:color w:val="auto"/>
        </w:rPr>
        <w:t>自伤其身</w:t>
      </w:r>
      <w:r w:rsidR="008452CF" w:rsidRPr="007C783B">
        <w:rPr>
          <w:rFonts w:eastAsiaTheme="minorEastAsia" w:hint="eastAsia"/>
          <w:color w:val="auto"/>
        </w:rPr>
        <w:t>，</w:t>
      </w:r>
      <w:r w:rsidR="00E46E7B">
        <w:rPr>
          <w:rFonts w:eastAsiaTheme="minorEastAsia" w:hint="eastAsia"/>
          <w:color w:val="auto"/>
        </w:rPr>
        <w:t>在</w:t>
      </w:r>
      <w:r w:rsidR="00993227" w:rsidRPr="007C783B">
        <w:rPr>
          <w:rFonts w:eastAsiaTheme="minorEastAsia" w:hint="eastAsia"/>
          <w:color w:val="auto"/>
        </w:rPr>
        <w:t>泡沫挤出风险释放</w:t>
      </w:r>
      <w:r w:rsidR="00E46E7B">
        <w:rPr>
          <w:rFonts w:eastAsiaTheme="minorEastAsia" w:hint="eastAsia"/>
          <w:color w:val="auto"/>
        </w:rPr>
        <w:t>之时遭受</w:t>
      </w:r>
      <w:r w:rsidR="00993227" w:rsidRPr="007C783B">
        <w:rPr>
          <w:rFonts w:eastAsiaTheme="minorEastAsia" w:hint="eastAsia"/>
          <w:color w:val="auto"/>
        </w:rPr>
        <w:t>损失。</w:t>
      </w:r>
    </w:p>
    <w:p w:rsidR="007C783B" w:rsidRDefault="00941D94" w:rsidP="00822525">
      <w:pPr>
        <w:pStyle w:val="ac"/>
        <w:numPr>
          <w:ilvl w:val="4"/>
          <w:numId w:val="1"/>
        </w:numPr>
        <w:spacing w:after="163"/>
        <w:rPr>
          <w:rFonts w:eastAsiaTheme="minorEastAsia"/>
          <w:color w:val="auto"/>
        </w:rPr>
      </w:pPr>
      <w:r>
        <w:rPr>
          <w:rFonts w:eastAsiaTheme="minorEastAsia" w:hint="eastAsia"/>
          <w:color w:val="auto"/>
        </w:rPr>
        <w:t>择时能力则在</w:t>
      </w:r>
      <w:r>
        <w:rPr>
          <w:rFonts w:eastAsiaTheme="minorEastAsia" w:hint="eastAsia"/>
          <w:color w:val="auto"/>
        </w:rPr>
        <w:t>2014</w:t>
      </w:r>
      <w:r>
        <w:rPr>
          <w:rFonts w:eastAsiaTheme="minorEastAsia" w:hint="eastAsia"/>
          <w:color w:val="auto"/>
        </w:rPr>
        <w:t>年凸显出必要性</w:t>
      </w:r>
      <w:r w:rsidR="007C783B">
        <w:rPr>
          <w:rFonts w:eastAsiaTheme="minorEastAsia" w:hint="eastAsia"/>
          <w:color w:val="auto"/>
        </w:rPr>
        <w:t>。</w:t>
      </w:r>
      <w:r w:rsidR="005D5C0B">
        <w:rPr>
          <w:rFonts w:eastAsiaTheme="minorEastAsia" w:hint="eastAsia"/>
          <w:color w:val="auto"/>
        </w:rPr>
        <w:t>一方面，明年的投资主题无论机会</w:t>
      </w:r>
      <w:r w:rsidR="007C783B" w:rsidRPr="00643D65">
        <w:rPr>
          <w:rFonts w:eastAsiaTheme="minorEastAsia" w:hint="eastAsia"/>
          <w:color w:val="auto"/>
        </w:rPr>
        <w:t>还是风险</w:t>
      </w:r>
      <w:r w:rsidR="005D5C0B">
        <w:rPr>
          <w:rFonts w:eastAsiaTheme="minorEastAsia" w:hint="eastAsia"/>
          <w:color w:val="auto"/>
        </w:rPr>
        <w:t>均有可能呈现频繁、脉冲式特征，且各板块间的轮动加快；另一方面</w:t>
      </w:r>
      <w:r w:rsidR="007C783B" w:rsidRPr="00643D65">
        <w:rPr>
          <w:rFonts w:eastAsiaTheme="minorEastAsia" w:hint="eastAsia"/>
          <w:color w:val="auto"/>
        </w:rPr>
        <w:t>，</w:t>
      </w:r>
      <w:r w:rsidR="005D5C0B">
        <w:rPr>
          <w:rFonts w:eastAsiaTheme="minorEastAsia" w:hint="eastAsia"/>
          <w:color w:val="auto"/>
        </w:rPr>
        <w:t>在债市持续调整、收益率高居不下的情况下</w:t>
      </w:r>
      <w:r w:rsidR="007C783B" w:rsidRPr="00643D65">
        <w:rPr>
          <w:rFonts w:eastAsiaTheme="minorEastAsia" w:hint="eastAsia"/>
          <w:color w:val="auto"/>
        </w:rPr>
        <w:t>，</w:t>
      </w:r>
      <w:r w:rsidR="007C783B" w:rsidRPr="00643D65">
        <w:rPr>
          <w:rFonts w:eastAsiaTheme="minorEastAsia" w:hint="eastAsia"/>
          <w:color w:val="auto"/>
        </w:rPr>
        <w:t>2014</w:t>
      </w:r>
      <w:r w:rsidR="007C783B" w:rsidRPr="00643D65">
        <w:rPr>
          <w:rFonts w:eastAsiaTheme="minorEastAsia" w:hint="eastAsia"/>
          <w:color w:val="auto"/>
        </w:rPr>
        <w:t>年资本市场或</w:t>
      </w:r>
      <w:r w:rsidR="005D5C0B">
        <w:rPr>
          <w:rFonts w:eastAsiaTheme="minorEastAsia" w:hint="eastAsia"/>
          <w:color w:val="auto"/>
        </w:rPr>
        <w:t>将迎来一两波</w:t>
      </w:r>
      <w:r w:rsidR="00E46E7B">
        <w:rPr>
          <w:rFonts w:eastAsiaTheme="minorEastAsia" w:hint="eastAsia"/>
          <w:color w:val="auto"/>
        </w:rPr>
        <w:t>大类资产配置机会。在此前提</w:t>
      </w:r>
      <w:r w:rsidR="007C783B" w:rsidRPr="00643D65">
        <w:rPr>
          <w:rFonts w:eastAsiaTheme="minorEastAsia" w:hint="eastAsia"/>
          <w:color w:val="auto"/>
        </w:rPr>
        <w:t>下，</w:t>
      </w:r>
      <w:r w:rsidR="00B77D0D">
        <w:rPr>
          <w:rFonts w:eastAsiaTheme="minorEastAsia" w:hint="eastAsia"/>
          <w:color w:val="auto"/>
        </w:rPr>
        <w:t>长久以来在</w:t>
      </w:r>
      <w:r w:rsidR="005D5C0B">
        <w:rPr>
          <w:rFonts w:eastAsiaTheme="minorEastAsia" w:hint="eastAsia"/>
          <w:color w:val="auto"/>
        </w:rPr>
        <w:t>对冲基金</w:t>
      </w:r>
      <w:r w:rsidR="00B77D0D">
        <w:rPr>
          <w:rFonts w:eastAsiaTheme="minorEastAsia" w:hint="eastAsia"/>
          <w:color w:val="auto"/>
        </w:rPr>
        <w:t>投资中扮演配角的</w:t>
      </w:r>
      <w:r w:rsidR="00E46E7B">
        <w:rPr>
          <w:rFonts w:eastAsiaTheme="minorEastAsia" w:hint="eastAsia"/>
          <w:color w:val="auto"/>
        </w:rPr>
        <w:t>择时能力将在明年“迎来春天”</w:t>
      </w:r>
      <w:r w:rsidR="005D5C0B">
        <w:rPr>
          <w:rFonts w:eastAsiaTheme="minorEastAsia" w:hint="eastAsia"/>
          <w:color w:val="auto"/>
        </w:rPr>
        <w:t>，无论是股债间的大类资产配置，还是主题概念板块之间的灵活切换，都将为基金贡献超额收益，甚至成为推动业绩的主力。</w:t>
      </w:r>
    </w:p>
    <w:p w:rsidR="00822525" w:rsidRDefault="00822525" w:rsidP="00822525">
      <w:pPr>
        <w:pStyle w:val="ac"/>
        <w:numPr>
          <w:ilvl w:val="4"/>
          <w:numId w:val="1"/>
        </w:numPr>
        <w:spacing w:after="163"/>
        <w:rPr>
          <w:rFonts w:eastAsiaTheme="minorEastAsia"/>
          <w:color w:val="auto"/>
        </w:rPr>
      </w:pPr>
      <w:r>
        <w:rPr>
          <w:rFonts w:eastAsiaTheme="minorEastAsia" w:hint="eastAsia"/>
          <w:color w:val="auto"/>
        </w:rPr>
        <w:t>综上，凯石工场建议</w:t>
      </w:r>
      <w:r w:rsidR="00FE402D">
        <w:rPr>
          <w:rFonts w:eastAsiaTheme="minorEastAsia" w:hint="eastAsia"/>
          <w:color w:val="auto"/>
        </w:rPr>
        <w:t>投资者</w:t>
      </w:r>
      <w:r w:rsidRPr="00822525">
        <w:rPr>
          <w:rFonts w:eastAsiaTheme="minorEastAsia" w:hint="eastAsia"/>
          <w:color w:val="auto"/>
        </w:rPr>
        <w:t>在</w:t>
      </w:r>
      <w:r w:rsidR="00D02C92" w:rsidRPr="00822525">
        <w:rPr>
          <w:rFonts w:eastAsiaTheme="minorEastAsia" w:hint="eastAsia"/>
          <w:color w:val="auto"/>
        </w:rPr>
        <w:t>2014</w:t>
      </w:r>
      <w:r w:rsidR="00D02C92" w:rsidRPr="00822525">
        <w:rPr>
          <w:rFonts w:eastAsiaTheme="minorEastAsia" w:hint="eastAsia"/>
          <w:color w:val="auto"/>
        </w:rPr>
        <w:t>年</w:t>
      </w:r>
      <w:r w:rsidRPr="00822525">
        <w:rPr>
          <w:rFonts w:eastAsiaTheme="minorEastAsia" w:hint="eastAsia"/>
          <w:color w:val="auto"/>
        </w:rPr>
        <w:t>的对冲基金组合构建中</w:t>
      </w:r>
      <w:r>
        <w:rPr>
          <w:rFonts w:eastAsiaTheme="minorEastAsia" w:hint="eastAsia"/>
          <w:color w:val="auto"/>
        </w:rPr>
        <w:t>，</w:t>
      </w:r>
      <w:r w:rsidR="00D02C92" w:rsidRPr="00822525">
        <w:rPr>
          <w:rFonts w:eastAsiaTheme="minorEastAsia" w:hint="eastAsia"/>
          <w:color w:val="auto"/>
        </w:rPr>
        <w:t>以</w:t>
      </w:r>
      <w:r w:rsidRPr="00822525">
        <w:rPr>
          <w:rFonts w:eastAsiaTheme="minorEastAsia" w:hint="eastAsia"/>
          <w:color w:val="auto"/>
        </w:rPr>
        <w:t>管理人的</w:t>
      </w:r>
      <w:r w:rsidR="00D02C92" w:rsidRPr="00822525">
        <w:rPr>
          <w:rFonts w:eastAsiaTheme="minorEastAsia" w:hint="eastAsia"/>
          <w:color w:val="auto"/>
        </w:rPr>
        <w:t>择时能力</w:t>
      </w:r>
      <w:r w:rsidRPr="00822525">
        <w:rPr>
          <w:rFonts w:eastAsiaTheme="minorEastAsia" w:hint="eastAsia"/>
          <w:color w:val="auto"/>
        </w:rPr>
        <w:t>作为核心筛选条件</w:t>
      </w:r>
      <w:r w:rsidR="00D02C92" w:rsidRPr="00822525">
        <w:rPr>
          <w:rFonts w:eastAsiaTheme="minorEastAsia" w:hint="eastAsia"/>
          <w:color w:val="auto"/>
        </w:rPr>
        <w:t>，</w:t>
      </w:r>
      <w:r w:rsidRPr="00822525">
        <w:rPr>
          <w:rFonts w:eastAsiaTheme="minorEastAsia" w:hint="eastAsia"/>
          <w:color w:val="auto"/>
        </w:rPr>
        <w:t>而选股</w:t>
      </w:r>
      <w:r w:rsidR="00D02C92" w:rsidRPr="00822525">
        <w:rPr>
          <w:rFonts w:eastAsiaTheme="minorEastAsia" w:hint="eastAsia"/>
          <w:color w:val="auto"/>
        </w:rPr>
        <w:t>能力</w:t>
      </w:r>
      <w:r w:rsidRPr="00822525">
        <w:rPr>
          <w:rFonts w:eastAsiaTheme="minorEastAsia" w:hint="eastAsia"/>
          <w:color w:val="auto"/>
        </w:rPr>
        <w:t>作</w:t>
      </w:r>
      <w:r w:rsidR="00D02C92" w:rsidRPr="00822525">
        <w:rPr>
          <w:rFonts w:eastAsiaTheme="minorEastAsia" w:hint="eastAsia"/>
          <w:color w:val="auto"/>
        </w:rPr>
        <w:t>为辅助</w:t>
      </w:r>
      <w:r w:rsidRPr="00822525">
        <w:rPr>
          <w:rFonts w:eastAsiaTheme="minorEastAsia" w:hint="eastAsia"/>
          <w:color w:val="auto"/>
        </w:rPr>
        <w:t>因素</w:t>
      </w:r>
      <w:r w:rsidR="00FE402D">
        <w:rPr>
          <w:rFonts w:eastAsiaTheme="minorEastAsia" w:hint="eastAsia"/>
          <w:color w:val="auto"/>
        </w:rPr>
        <w:t>，仅</w:t>
      </w:r>
      <w:r w:rsidR="00C75BBC">
        <w:rPr>
          <w:rFonts w:eastAsiaTheme="minorEastAsia" w:hint="eastAsia"/>
          <w:color w:val="auto"/>
        </w:rPr>
        <w:t>关注选股效果</w:t>
      </w:r>
      <w:r w:rsidR="00FE402D">
        <w:rPr>
          <w:rFonts w:eastAsiaTheme="minorEastAsia" w:hint="eastAsia"/>
          <w:color w:val="auto"/>
        </w:rPr>
        <w:t>经</w:t>
      </w:r>
      <w:r w:rsidR="00C75BBC">
        <w:rPr>
          <w:rFonts w:eastAsiaTheme="minorEastAsia" w:hint="eastAsia"/>
          <w:color w:val="auto"/>
        </w:rPr>
        <w:t>过长期检验者</w:t>
      </w:r>
      <w:r w:rsidR="005D5C0B">
        <w:rPr>
          <w:rFonts w:eastAsiaTheme="minorEastAsia" w:hint="eastAsia"/>
          <w:color w:val="auto"/>
        </w:rPr>
        <w:t>而规避胆大押股的做派</w:t>
      </w:r>
      <w:r>
        <w:rPr>
          <w:rFonts w:eastAsiaTheme="minorEastAsia" w:hint="eastAsia"/>
          <w:color w:val="auto"/>
        </w:rPr>
        <w:t>；同时</w:t>
      </w:r>
      <w:r w:rsidR="002B62DE">
        <w:rPr>
          <w:rFonts w:eastAsiaTheme="minorEastAsia" w:hint="eastAsia"/>
          <w:color w:val="auto"/>
        </w:rPr>
        <w:t>建议</w:t>
      </w:r>
      <w:r w:rsidR="00325810">
        <w:rPr>
          <w:rFonts w:eastAsiaTheme="minorEastAsia" w:hint="eastAsia"/>
          <w:color w:val="auto"/>
        </w:rPr>
        <w:t>有一定能力的投资者</w:t>
      </w:r>
      <w:r w:rsidR="002B62DE">
        <w:rPr>
          <w:rFonts w:eastAsiaTheme="minorEastAsia" w:hint="eastAsia"/>
          <w:color w:val="auto"/>
        </w:rPr>
        <w:t>可</w:t>
      </w:r>
      <w:r>
        <w:rPr>
          <w:rFonts w:eastAsiaTheme="minorEastAsia" w:hint="eastAsia"/>
          <w:color w:val="auto"/>
        </w:rPr>
        <w:t>密切跟踪</w:t>
      </w:r>
      <w:r w:rsidR="00FE402D">
        <w:rPr>
          <w:rFonts w:eastAsiaTheme="minorEastAsia" w:hint="eastAsia"/>
          <w:color w:val="auto"/>
        </w:rPr>
        <w:t>主题</w:t>
      </w:r>
      <w:r>
        <w:rPr>
          <w:rFonts w:eastAsiaTheme="minorEastAsia" w:hint="eastAsia"/>
          <w:color w:val="auto"/>
        </w:rPr>
        <w:t>的轮动切换，动态调整基金组合</w:t>
      </w:r>
      <w:r w:rsidR="00E406D2">
        <w:rPr>
          <w:rFonts w:eastAsiaTheme="minorEastAsia" w:hint="eastAsia"/>
          <w:color w:val="auto"/>
        </w:rPr>
        <w:t>中不同风格及投资偏好的品种配置比例，</w:t>
      </w:r>
      <w:r w:rsidR="00FE402D">
        <w:rPr>
          <w:rFonts w:eastAsiaTheme="minorEastAsia" w:hint="eastAsia"/>
          <w:color w:val="auto"/>
        </w:rPr>
        <w:t>即以投资者的“择时操作”来</w:t>
      </w:r>
      <w:r w:rsidR="003065AE">
        <w:rPr>
          <w:rFonts w:eastAsiaTheme="minorEastAsia" w:hint="eastAsia"/>
          <w:color w:val="auto"/>
        </w:rPr>
        <w:t>主动把握机会、</w:t>
      </w:r>
      <w:r w:rsidR="005D5C0B">
        <w:rPr>
          <w:rFonts w:eastAsiaTheme="minorEastAsia" w:hint="eastAsia"/>
          <w:color w:val="auto"/>
        </w:rPr>
        <w:t>防控</w:t>
      </w:r>
      <w:r>
        <w:rPr>
          <w:rFonts w:eastAsiaTheme="minorEastAsia" w:hint="eastAsia"/>
          <w:color w:val="auto"/>
        </w:rPr>
        <w:t>风险</w:t>
      </w:r>
      <w:r w:rsidRPr="00822525">
        <w:rPr>
          <w:rFonts w:eastAsiaTheme="minorEastAsia" w:hint="eastAsia"/>
          <w:color w:val="auto"/>
        </w:rPr>
        <w:t>。</w:t>
      </w:r>
    </w:p>
    <w:p w:rsidR="00643D65" w:rsidRPr="00643D65" w:rsidRDefault="008B5C07" w:rsidP="006356F6">
      <w:pPr>
        <w:widowControl/>
        <w:spacing w:after="120"/>
        <w:ind w:left="3430"/>
        <w:rPr>
          <w:b/>
          <w:bCs/>
        </w:rPr>
      </w:pPr>
      <w:r>
        <w:rPr>
          <w:rFonts w:ascii="Arial" w:hAnsi="Arial" w:cs="Arial" w:hint="eastAsia"/>
          <w:b/>
          <w:bCs/>
          <w:color w:val="0070C0"/>
          <w:kern w:val="0"/>
          <w:szCs w:val="21"/>
          <w:lang w:val="en-GB"/>
        </w:rPr>
        <w:t>1.1</w:t>
      </w:r>
      <w:r w:rsidR="006356F6">
        <w:rPr>
          <w:rFonts w:ascii="Arial" w:hAnsi="Arial" w:cs="Arial" w:hint="eastAsia"/>
          <w:b/>
          <w:bCs/>
          <w:color w:val="0070C0"/>
          <w:kern w:val="0"/>
          <w:szCs w:val="21"/>
          <w:lang w:val="en-GB"/>
        </w:rPr>
        <w:t>择时</w:t>
      </w:r>
      <w:r>
        <w:rPr>
          <w:rFonts w:ascii="Arial" w:hAnsi="Arial" w:cs="Arial" w:hint="eastAsia"/>
          <w:b/>
          <w:bCs/>
          <w:color w:val="0070C0"/>
          <w:kern w:val="0"/>
          <w:szCs w:val="21"/>
          <w:lang w:val="en-GB"/>
        </w:rPr>
        <w:t>为核心</w:t>
      </w:r>
      <w:r w:rsidR="00BB7DFE">
        <w:rPr>
          <w:rFonts w:ascii="Arial" w:hAnsi="Arial" w:cs="Arial" w:hint="eastAsia"/>
          <w:b/>
          <w:bCs/>
          <w:color w:val="0070C0"/>
          <w:kern w:val="0"/>
          <w:szCs w:val="21"/>
          <w:lang w:val="en-GB"/>
        </w:rPr>
        <w:t>，</w:t>
      </w:r>
      <w:r w:rsidR="00404423">
        <w:rPr>
          <w:rFonts w:ascii="Arial" w:hAnsi="Arial" w:cs="Arial" w:hint="eastAsia"/>
          <w:b/>
          <w:bCs/>
          <w:color w:val="0070C0"/>
          <w:kern w:val="0"/>
          <w:szCs w:val="21"/>
          <w:lang w:val="en-GB"/>
        </w:rPr>
        <w:t>踏准节奏</w:t>
      </w:r>
      <w:r w:rsidR="00BB7DFE">
        <w:rPr>
          <w:rFonts w:ascii="Arial" w:hAnsi="Arial" w:cs="Arial" w:hint="eastAsia"/>
          <w:b/>
          <w:bCs/>
          <w:color w:val="0070C0"/>
          <w:kern w:val="0"/>
          <w:szCs w:val="21"/>
          <w:lang w:val="en-GB"/>
        </w:rPr>
        <w:t>攫取超额收益</w:t>
      </w:r>
    </w:p>
    <w:p w:rsidR="000B1798" w:rsidRDefault="00F13155" w:rsidP="00F13155">
      <w:pPr>
        <w:pStyle w:val="ac"/>
        <w:numPr>
          <w:ilvl w:val="4"/>
          <w:numId w:val="1"/>
        </w:numPr>
        <w:spacing w:after="163"/>
        <w:rPr>
          <w:rFonts w:eastAsiaTheme="minorEastAsia"/>
          <w:color w:val="auto"/>
        </w:rPr>
      </w:pPr>
      <w:r>
        <w:rPr>
          <w:rFonts w:eastAsiaTheme="minorEastAsia" w:hint="eastAsia"/>
          <w:color w:val="auto"/>
        </w:rPr>
        <w:t>长期以来，国内对冲基金一直以选股能力论英雄，这是由自身显著的中小盘成长风格与近年来市场结构特征等因素共同决定的</w:t>
      </w:r>
      <w:r w:rsidR="00E35B94">
        <w:rPr>
          <w:rFonts w:eastAsiaTheme="minorEastAsia" w:hint="eastAsia"/>
          <w:color w:val="auto"/>
        </w:rPr>
        <w:t>。然而盘点近三年、近五年</w:t>
      </w:r>
      <w:r w:rsidR="000458BD">
        <w:rPr>
          <w:rFonts w:eastAsiaTheme="minorEastAsia" w:hint="eastAsia"/>
          <w:color w:val="auto"/>
        </w:rPr>
        <w:t>的业内</w:t>
      </w:r>
      <w:r w:rsidR="00E35B94">
        <w:rPr>
          <w:rFonts w:eastAsiaTheme="minorEastAsia" w:hint="eastAsia"/>
          <w:color w:val="auto"/>
        </w:rPr>
        <w:t>长期领军人物不难发现，择时</w:t>
      </w:r>
      <w:r w:rsidR="000458BD">
        <w:rPr>
          <w:rFonts w:eastAsiaTheme="minorEastAsia" w:hint="eastAsia"/>
          <w:color w:val="auto"/>
        </w:rPr>
        <w:t>能力是在对冲江湖“活得好并且活得久”的必备技能</w:t>
      </w:r>
      <w:r w:rsidR="00704683">
        <w:rPr>
          <w:rFonts w:eastAsiaTheme="minorEastAsia" w:hint="eastAsia"/>
          <w:color w:val="auto"/>
        </w:rPr>
        <w:t>。</w:t>
      </w:r>
      <w:r w:rsidR="004B4064">
        <w:rPr>
          <w:rFonts w:eastAsiaTheme="minorEastAsia" w:hint="eastAsia"/>
          <w:color w:val="auto"/>
        </w:rPr>
        <w:t>理想的择时型管理人</w:t>
      </w:r>
      <w:r w:rsidR="00704683">
        <w:rPr>
          <w:rFonts w:eastAsiaTheme="minorEastAsia" w:hint="eastAsia"/>
          <w:color w:val="auto"/>
        </w:rPr>
        <w:t>须</w:t>
      </w:r>
      <w:r w:rsidR="00AA7BC4">
        <w:rPr>
          <w:rFonts w:eastAsiaTheme="minorEastAsia" w:hint="eastAsia"/>
          <w:color w:val="auto"/>
        </w:rPr>
        <w:t>高瞻远瞩地预判并把握趋势、对事件有较强敏感性，</w:t>
      </w:r>
      <w:r w:rsidR="000458BD">
        <w:rPr>
          <w:rFonts w:eastAsiaTheme="minorEastAsia" w:hint="eastAsia"/>
          <w:color w:val="auto"/>
        </w:rPr>
        <w:t>选股基础上的择时</w:t>
      </w:r>
      <w:r w:rsidR="00704683">
        <w:rPr>
          <w:rFonts w:eastAsiaTheme="minorEastAsia" w:hint="eastAsia"/>
          <w:color w:val="auto"/>
        </w:rPr>
        <w:t>更要求</w:t>
      </w:r>
      <w:r w:rsidRPr="00A77EB2">
        <w:rPr>
          <w:rFonts w:eastAsiaTheme="minorEastAsia" w:hint="eastAsia"/>
          <w:color w:val="auto"/>
        </w:rPr>
        <w:t>在对行业公司基本面判定基础上实现对投资</w:t>
      </w:r>
      <w:r w:rsidR="000458BD" w:rsidRPr="00A77EB2">
        <w:rPr>
          <w:rFonts w:eastAsiaTheme="minorEastAsia" w:hint="eastAsia"/>
          <w:color w:val="auto"/>
        </w:rPr>
        <w:t>标的</w:t>
      </w:r>
      <w:r w:rsidRPr="00A77EB2">
        <w:rPr>
          <w:rFonts w:eastAsiaTheme="minorEastAsia" w:hint="eastAsia"/>
          <w:color w:val="auto"/>
        </w:rPr>
        <w:t>的及时介入、及时撤离。</w:t>
      </w:r>
      <w:r w:rsidR="003560F9">
        <w:rPr>
          <w:rFonts w:eastAsiaTheme="minorEastAsia" w:hint="eastAsia"/>
          <w:color w:val="auto"/>
        </w:rPr>
        <w:t>结合对明年主题热点涨退迅疾、或有大类资产配置时机的预期而言，优秀的择时型产品在</w:t>
      </w:r>
      <w:r w:rsidR="003560F9">
        <w:rPr>
          <w:rFonts w:eastAsiaTheme="minorEastAsia" w:hint="eastAsia"/>
          <w:color w:val="auto"/>
        </w:rPr>
        <w:t>2014</w:t>
      </w:r>
      <w:r w:rsidR="003560F9">
        <w:rPr>
          <w:rFonts w:eastAsiaTheme="minorEastAsia" w:hint="eastAsia"/>
          <w:color w:val="auto"/>
        </w:rPr>
        <w:t>年的对冲基金组合搭建中应作为核心品种配置，从而为投资者实现攫取超额收益的目标。</w:t>
      </w:r>
    </w:p>
    <w:p w:rsidR="00F13155" w:rsidRDefault="00450EC4" w:rsidP="00F13155">
      <w:pPr>
        <w:pStyle w:val="ac"/>
        <w:numPr>
          <w:ilvl w:val="4"/>
          <w:numId w:val="1"/>
        </w:numPr>
        <w:spacing w:after="163"/>
        <w:rPr>
          <w:rFonts w:eastAsiaTheme="minorEastAsia"/>
          <w:color w:val="auto"/>
        </w:rPr>
      </w:pPr>
      <w:r w:rsidRPr="00A77EB2">
        <w:rPr>
          <w:rFonts w:eastAsiaTheme="minorEastAsia" w:hint="eastAsia"/>
          <w:color w:val="auto"/>
        </w:rPr>
        <w:t>凯石工场用近三年的</w:t>
      </w:r>
      <w:r w:rsidR="008C7842" w:rsidRPr="00A77EB2">
        <w:rPr>
          <w:rFonts w:eastAsiaTheme="minorEastAsia" w:hint="eastAsia"/>
          <w:color w:val="auto"/>
        </w:rPr>
        <w:t>对冲基金</w:t>
      </w:r>
      <w:r w:rsidRPr="00A77EB2">
        <w:rPr>
          <w:rFonts w:eastAsiaTheme="minorEastAsia" w:hint="eastAsia"/>
          <w:color w:val="auto"/>
        </w:rPr>
        <w:t>数据通过</w:t>
      </w:r>
      <w:r w:rsidR="008C7842" w:rsidRPr="00A77EB2">
        <w:rPr>
          <w:rFonts w:eastAsiaTheme="minorEastAsia" w:hint="eastAsia"/>
          <w:color w:val="auto"/>
        </w:rPr>
        <w:t>T-M</w:t>
      </w:r>
      <w:r w:rsidR="008C7842" w:rsidRPr="00A77EB2">
        <w:rPr>
          <w:rFonts w:eastAsiaTheme="minorEastAsia" w:hint="eastAsia"/>
          <w:color w:val="auto"/>
        </w:rPr>
        <w:t>模型</w:t>
      </w:r>
      <w:r w:rsidRPr="00A77EB2">
        <w:rPr>
          <w:rFonts w:eastAsiaTheme="minorEastAsia" w:hint="eastAsia"/>
          <w:color w:val="auto"/>
        </w:rPr>
        <w:t>测算</w:t>
      </w:r>
      <w:r w:rsidR="008C7842" w:rsidRPr="00A77EB2">
        <w:rPr>
          <w:rFonts w:eastAsiaTheme="minorEastAsia" w:hint="eastAsia"/>
          <w:color w:val="auto"/>
        </w:rPr>
        <w:t>选股、择时指标</w:t>
      </w:r>
      <w:r w:rsidRPr="00A77EB2">
        <w:rPr>
          <w:rFonts w:eastAsiaTheme="minorEastAsia" w:hint="eastAsia"/>
          <w:color w:val="auto"/>
        </w:rPr>
        <w:t>，</w:t>
      </w:r>
      <w:r w:rsidR="004C6C6C" w:rsidRPr="00A77EB2">
        <w:rPr>
          <w:rFonts w:eastAsiaTheme="minorEastAsia" w:hint="eastAsia"/>
          <w:color w:val="auto"/>
        </w:rPr>
        <w:t>圈定出择时型</w:t>
      </w:r>
      <w:r w:rsidR="00A001F4" w:rsidRPr="00A77EB2">
        <w:rPr>
          <w:rFonts w:eastAsiaTheme="minorEastAsia" w:hint="eastAsia"/>
          <w:color w:val="auto"/>
        </w:rPr>
        <w:t>基金群体，</w:t>
      </w:r>
      <w:r w:rsidR="008C7842" w:rsidRPr="00A77EB2">
        <w:rPr>
          <w:rFonts w:eastAsiaTheme="minorEastAsia" w:hint="eastAsia"/>
          <w:color w:val="auto"/>
        </w:rPr>
        <w:t>并结合凯石对冲基金评级结果，</w:t>
      </w:r>
      <w:r w:rsidR="00A001F4" w:rsidRPr="00A77EB2">
        <w:rPr>
          <w:rFonts w:eastAsiaTheme="minorEastAsia" w:hint="eastAsia"/>
          <w:color w:val="auto"/>
        </w:rPr>
        <w:t>进一步</w:t>
      </w:r>
      <w:r w:rsidR="008C7842" w:rsidRPr="00A77EB2">
        <w:rPr>
          <w:rFonts w:eastAsiaTheme="minorEastAsia" w:hint="eastAsia"/>
          <w:color w:val="auto"/>
        </w:rPr>
        <w:t>筛选出</w:t>
      </w:r>
      <w:r w:rsidR="00A001F4" w:rsidRPr="00A77EB2">
        <w:rPr>
          <w:rFonts w:eastAsiaTheme="minorEastAsia" w:hint="eastAsia"/>
          <w:color w:val="auto"/>
        </w:rPr>
        <w:t>主动择时效果较佳、</w:t>
      </w:r>
      <w:r w:rsidR="00A4672C">
        <w:rPr>
          <w:rFonts w:eastAsiaTheme="minorEastAsia" w:hint="eastAsia"/>
          <w:color w:val="auto"/>
        </w:rPr>
        <w:t>长期（三年期）</w:t>
      </w:r>
      <w:r w:rsidR="004B4064" w:rsidRPr="00A77EB2">
        <w:rPr>
          <w:rFonts w:eastAsiaTheme="minorEastAsia" w:hint="eastAsia"/>
          <w:color w:val="auto"/>
        </w:rPr>
        <w:t>被评为“</w:t>
      </w:r>
      <w:r w:rsidR="008C7842" w:rsidRPr="00A77EB2">
        <w:rPr>
          <w:rFonts w:eastAsiaTheme="minorEastAsia" w:hint="eastAsia"/>
          <w:color w:val="auto"/>
        </w:rPr>
        <w:t>五星级</w:t>
      </w:r>
      <w:r w:rsidR="004B4064" w:rsidRPr="00A77EB2">
        <w:rPr>
          <w:rFonts w:eastAsiaTheme="minorEastAsia" w:hint="eastAsia"/>
          <w:color w:val="auto"/>
        </w:rPr>
        <w:t>”的</w:t>
      </w:r>
      <w:r w:rsidR="00C565C0">
        <w:rPr>
          <w:rFonts w:eastAsiaTheme="minorEastAsia" w:hint="eastAsia"/>
          <w:color w:val="auto"/>
        </w:rPr>
        <w:t>择时型对冲基金</w:t>
      </w:r>
      <w:r w:rsidR="005D1D91">
        <w:rPr>
          <w:rFonts w:eastAsiaTheme="minorEastAsia" w:hint="eastAsia"/>
          <w:color w:val="auto"/>
        </w:rPr>
        <w:t>管理人</w:t>
      </w:r>
      <w:r w:rsidR="00C565C0">
        <w:rPr>
          <w:rFonts w:eastAsiaTheme="minorEastAsia" w:hint="eastAsia"/>
          <w:color w:val="auto"/>
        </w:rPr>
        <w:t>：展博，</w:t>
      </w:r>
      <w:r w:rsidR="00721C58">
        <w:rPr>
          <w:rFonts w:eastAsiaTheme="minorEastAsia" w:hint="eastAsia"/>
          <w:color w:val="auto"/>
        </w:rPr>
        <w:t>博颐，</w:t>
      </w:r>
      <w:r w:rsidR="00C565C0">
        <w:rPr>
          <w:rFonts w:eastAsiaTheme="minorEastAsia" w:hint="eastAsia"/>
          <w:color w:val="auto"/>
        </w:rPr>
        <w:t>理成，世诚，</w:t>
      </w:r>
      <w:r w:rsidR="008C7842" w:rsidRPr="00A77EB2">
        <w:rPr>
          <w:rFonts w:eastAsiaTheme="minorEastAsia" w:hint="eastAsia"/>
          <w:color w:val="auto"/>
        </w:rPr>
        <w:t>和聚。</w:t>
      </w:r>
      <w:r w:rsidR="004B4064" w:rsidRPr="00A77EB2">
        <w:rPr>
          <w:rFonts w:eastAsiaTheme="minorEastAsia" w:hint="eastAsia"/>
          <w:color w:val="auto"/>
        </w:rPr>
        <w:t>就各阶段业绩及风险调整后收益指标来看，以上</w:t>
      </w:r>
      <w:r w:rsidR="004A1E34">
        <w:rPr>
          <w:rFonts w:eastAsiaTheme="minorEastAsia" w:hint="eastAsia"/>
          <w:color w:val="auto"/>
        </w:rPr>
        <w:t>5</w:t>
      </w:r>
      <w:r w:rsidR="005D1D91">
        <w:rPr>
          <w:rFonts w:eastAsiaTheme="minorEastAsia" w:hint="eastAsia"/>
          <w:color w:val="auto"/>
        </w:rPr>
        <w:t>位</w:t>
      </w:r>
      <w:r w:rsidR="004B4064" w:rsidRPr="00A77EB2">
        <w:rPr>
          <w:rFonts w:eastAsiaTheme="minorEastAsia" w:hint="eastAsia"/>
          <w:color w:val="auto"/>
        </w:rPr>
        <w:t>管理人</w:t>
      </w:r>
      <w:r w:rsidR="00A001F4" w:rsidRPr="00A77EB2">
        <w:rPr>
          <w:rFonts w:eastAsiaTheme="minorEastAsia" w:hint="eastAsia"/>
          <w:color w:val="auto"/>
        </w:rPr>
        <w:t>长期表现出相对优势的择时操作能力</w:t>
      </w:r>
      <w:r w:rsidR="002D083C">
        <w:rPr>
          <w:rFonts w:eastAsiaTheme="minorEastAsia" w:hint="eastAsia"/>
          <w:color w:val="auto"/>
        </w:rPr>
        <w:t>（其中部分已有很好的选股能力）</w:t>
      </w:r>
      <w:r w:rsidR="004C6C6C" w:rsidRPr="00A77EB2">
        <w:rPr>
          <w:rFonts w:eastAsiaTheme="minorEastAsia" w:hint="eastAsia"/>
          <w:color w:val="auto"/>
        </w:rPr>
        <w:t>，</w:t>
      </w:r>
      <w:r w:rsidR="005D1D91">
        <w:rPr>
          <w:rFonts w:eastAsiaTheme="minorEastAsia" w:hint="eastAsia"/>
          <w:color w:val="auto"/>
        </w:rPr>
        <w:t>其代表产品</w:t>
      </w:r>
      <w:r w:rsidR="004B4064" w:rsidRPr="00A77EB2">
        <w:rPr>
          <w:rFonts w:eastAsiaTheme="minorEastAsia" w:hint="eastAsia"/>
          <w:color w:val="auto"/>
        </w:rPr>
        <w:t>可作为</w:t>
      </w:r>
      <w:r w:rsidR="004B4064" w:rsidRPr="00A77EB2">
        <w:rPr>
          <w:rFonts w:eastAsiaTheme="minorEastAsia" w:hint="eastAsia"/>
          <w:color w:val="auto"/>
        </w:rPr>
        <w:t>2014</w:t>
      </w:r>
      <w:r w:rsidR="004B4064" w:rsidRPr="00A77EB2">
        <w:rPr>
          <w:rFonts w:eastAsiaTheme="minorEastAsia" w:hint="eastAsia"/>
          <w:color w:val="auto"/>
        </w:rPr>
        <w:t>年对冲基金组合的核心配置。</w:t>
      </w:r>
    </w:p>
    <w:tbl>
      <w:tblPr>
        <w:tblW w:w="7230"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4A0"/>
      </w:tblPr>
      <w:tblGrid>
        <w:gridCol w:w="2127"/>
        <w:gridCol w:w="850"/>
        <w:gridCol w:w="1134"/>
        <w:gridCol w:w="851"/>
        <w:gridCol w:w="1134"/>
        <w:gridCol w:w="1134"/>
      </w:tblGrid>
      <w:tr w:rsidR="004A4649" w:rsidRPr="00EF17C0" w:rsidTr="001E6E8C">
        <w:trPr>
          <w:cantSplit/>
          <w:trHeight w:val="65"/>
        </w:trPr>
        <w:tc>
          <w:tcPr>
            <w:tcW w:w="7230" w:type="dxa"/>
            <w:gridSpan w:val="6"/>
            <w:tcBorders>
              <w:top w:val="single" w:sz="6" w:space="0" w:color="FF6600"/>
              <w:left w:val="nil"/>
              <w:bottom w:val="single" w:sz="6" w:space="0" w:color="FF6600"/>
              <w:right w:val="nil"/>
            </w:tcBorders>
            <w:vAlign w:val="center"/>
            <w:hideMark/>
          </w:tcPr>
          <w:p w:rsidR="004A4649" w:rsidRPr="00EF17C0" w:rsidRDefault="004A4649" w:rsidP="0090090A">
            <w:pPr>
              <w:pStyle w:val="SubTitleLargeTable"/>
              <w:pBdr>
                <w:top w:val="none" w:sz="0" w:space="0" w:color="auto"/>
              </w:pBdr>
              <w:rPr>
                <w:rFonts w:ascii="宋体" w:hAnsi="宋体"/>
                <w:bCs w:val="0"/>
                <w:i w:val="0"/>
                <w:iCs w:val="0"/>
                <w:color w:val="FF6600"/>
              </w:rPr>
            </w:pPr>
            <w:r w:rsidRPr="003A153C">
              <w:rPr>
                <w:rFonts w:eastAsiaTheme="minorEastAsia" w:hint="eastAsia"/>
                <w:color w:val="FF6600"/>
              </w:rPr>
              <w:t>图表</w:t>
            </w:r>
            <w:r>
              <w:rPr>
                <w:rFonts w:eastAsiaTheme="minorEastAsia" w:hint="eastAsia"/>
                <w:color w:val="FF6600"/>
              </w:rPr>
              <w:t>12</w:t>
            </w:r>
            <w:r w:rsidRPr="003A153C">
              <w:rPr>
                <w:rFonts w:eastAsiaTheme="minorEastAsia" w:hint="eastAsia"/>
                <w:color w:val="FF6600"/>
              </w:rPr>
              <w:t>：</w:t>
            </w:r>
            <w:r w:rsidR="001E6E8C">
              <w:rPr>
                <w:rFonts w:eastAsiaTheme="minorEastAsia" w:hint="eastAsia"/>
                <w:color w:val="FF6600"/>
              </w:rPr>
              <w:t>择时型管理人代表产品各阶段收益情况</w:t>
            </w:r>
          </w:p>
        </w:tc>
      </w:tr>
      <w:tr w:rsidR="004A4649" w:rsidRPr="00EF17C0" w:rsidTr="001E6E8C">
        <w:trPr>
          <w:cantSplit/>
          <w:trHeight w:val="344"/>
        </w:trPr>
        <w:tc>
          <w:tcPr>
            <w:tcW w:w="2127" w:type="dxa"/>
            <w:vMerge w:val="restart"/>
            <w:tcBorders>
              <w:top w:val="single" w:sz="6" w:space="0" w:color="FF6600"/>
              <w:left w:val="nil"/>
              <w:right w:val="single" w:sz="6" w:space="0" w:color="FF6600"/>
            </w:tcBorders>
            <w:shd w:val="clear" w:color="auto" w:fill="FDE9D9" w:themeFill="accent6" w:themeFillTint="33"/>
            <w:vAlign w:val="center"/>
          </w:tcPr>
          <w:p w:rsidR="004A4649" w:rsidRPr="001B3430" w:rsidRDefault="004A4649" w:rsidP="0090090A">
            <w:pPr>
              <w:jc w:val="center"/>
              <w:rPr>
                <w:rFonts w:cs="Arial"/>
                <w:b/>
                <w:sz w:val="18"/>
                <w:szCs w:val="18"/>
              </w:rPr>
            </w:pPr>
            <w:r w:rsidRPr="001B3430">
              <w:rPr>
                <w:rFonts w:cs="Arial" w:hint="eastAsia"/>
                <w:b/>
                <w:sz w:val="18"/>
                <w:szCs w:val="18"/>
              </w:rPr>
              <w:t>择时型管理人</w:t>
            </w:r>
          </w:p>
          <w:p w:rsidR="004A4649" w:rsidRPr="001B3430" w:rsidRDefault="004A4649" w:rsidP="0090090A">
            <w:pPr>
              <w:jc w:val="center"/>
              <w:rPr>
                <w:rFonts w:ascii="宋体" w:eastAsia="宋体" w:hAnsi="宋体" w:cs="Arial"/>
                <w:b/>
                <w:sz w:val="18"/>
                <w:szCs w:val="18"/>
              </w:rPr>
            </w:pPr>
            <w:r w:rsidRPr="001B3430">
              <w:rPr>
                <w:rFonts w:cs="Arial" w:hint="eastAsia"/>
                <w:b/>
                <w:sz w:val="18"/>
                <w:szCs w:val="18"/>
              </w:rPr>
              <w:t>代表产品</w:t>
            </w:r>
          </w:p>
        </w:tc>
        <w:tc>
          <w:tcPr>
            <w:tcW w:w="1984" w:type="dxa"/>
            <w:gridSpan w:val="2"/>
            <w:tcBorders>
              <w:top w:val="single" w:sz="6" w:space="0" w:color="FF6600"/>
              <w:left w:val="single" w:sz="6" w:space="0" w:color="FF6600"/>
              <w:bottom w:val="single" w:sz="6" w:space="0" w:color="FF6600"/>
              <w:right w:val="single" w:sz="6" w:space="0" w:color="FF6600"/>
            </w:tcBorders>
            <w:shd w:val="clear" w:color="auto" w:fill="FDE9D9" w:themeFill="accent6" w:themeFillTint="33"/>
            <w:vAlign w:val="center"/>
          </w:tcPr>
          <w:p w:rsidR="004A4649" w:rsidRPr="001B3430" w:rsidRDefault="004A4649" w:rsidP="0090090A">
            <w:pPr>
              <w:jc w:val="center"/>
              <w:rPr>
                <w:rFonts w:ascii="宋体" w:eastAsia="宋体" w:hAnsi="宋体" w:cs="Arial"/>
                <w:b/>
                <w:sz w:val="18"/>
                <w:szCs w:val="18"/>
              </w:rPr>
            </w:pPr>
            <w:r w:rsidRPr="001B3430">
              <w:rPr>
                <w:rFonts w:cs="Arial" w:hint="eastAsia"/>
                <w:b/>
                <w:sz w:val="18"/>
                <w:szCs w:val="18"/>
              </w:rPr>
              <w:t>今年以来</w:t>
            </w:r>
          </w:p>
        </w:tc>
        <w:tc>
          <w:tcPr>
            <w:tcW w:w="1985" w:type="dxa"/>
            <w:gridSpan w:val="2"/>
            <w:tcBorders>
              <w:top w:val="single" w:sz="6" w:space="0" w:color="FF6600"/>
              <w:left w:val="single" w:sz="6" w:space="0" w:color="FF6600"/>
              <w:bottom w:val="single" w:sz="6" w:space="0" w:color="FF6600"/>
              <w:right w:val="single" w:sz="6" w:space="0" w:color="FF6600"/>
            </w:tcBorders>
            <w:shd w:val="clear" w:color="auto" w:fill="FDE9D9" w:themeFill="accent6" w:themeFillTint="33"/>
            <w:vAlign w:val="center"/>
          </w:tcPr>
          <w:p w:rsidR="004A4649" w:rsidRPr="001B3430" w:rsidRDefault="004A4649" w:rsidP="0090090A">
            <w:pPr>
              <w:jc w:val="center"/>
              <w:rPr>
                <w:rFonts w:ascii="宋体" w:eastAsia="宋体" w:hAnsi="宋体" w:cs="Arial"/>
                <w:b/>
                <w:sz w:val="18"/>
                <w:szCs w:val="18"/>
              </w:rPr>
            </w:pPr>
            <w:r w:rsidRPr="001B3430">
              <w:rPr>
                <w:rFonts w:cs="Arial" w:hint="eastAsia"/>
                <w:b/>
                <w:sz w:val="18"/>
                <w:szCs w:val="18"/>
              </w:rPr>
              <w:t>近三年</w:t>
            </w:r>
          </w:p>
        </w:tc>
        <w:tc>
          <w:tcPr>
            <w:tcW w:w="1134" w:type="dxa"/>
            <w:vMerge w:val="restart"/>
            <w:tcBorders>
              <w:top w:val="single" w:sz="6" w:space="0" w:color="FF6600"/>
              <w:left w:val="single" w:sz="6" w:space="0" w:color="FF6600"/>
              <w:right w:val="nil"/>
            </w:tcBorders>
            <w:shd w:val="clear" w:color="auto" w:fill="FDE9D9" w:themeFill="accent6" w:themeFillTint="33"/>
            <w:vAlign w:val="center"/>
          </w:tcPr>
          <w:p w:rsidR="001E6E8C" w:rsidRPr="001B3430" w:rsidRDefault="004A4649" w:rsidP="0090090A">
            <w:pPr>
              <w:snapToGrid w:val="0"/>
              <w:spacing w:line="10" w:lineRule="atLeast"/>
              <w:jc w:val="center"/>
              <w:rPr>
                <w:rFonts w:ascii="宋体" w:eastAsia="宋体" w:hAnsi="宋体"/>
                <w:b/>
                <w:sz w:val="18"/>
                <w:szCs w:val="18"/>
              </w:rPr>
            </w:pPr>
            <w:r w:rsidRPr="001B3430">
              <w:rPr>
                <w:rFonts w:ascii="宋体" w:eastAsia="宋体" w:hAnsi="宋体"/>
                <w:b/>
                <w:sz w:val="18"/>
                <w:szCs w:val="18"/>
              </w:rPr>
              <w:t>凯石工场</w:t>
            </w:r>
          </w:p>
          <w:p w:rsidR="004A4649" w:rsidRPr="001B3430" w:rsidRDefault="004A4649" w:rsidP="0090090A">
            <w:pPr>
              <w:snapToGrid w:val="0"/>
              <w:spacing w:line="10" w:lineRule="atLeast"/>
              <w:jc w:val="center"/>
              <w:rPr>
                <w:rFonts w:ascii="宋体" w:eastAsia="宋体" w:hAnsi="宋体"/>
                <w:b/>
                <w:sz w:val="18"/>
                <w:szCs w:val="18"/>
              </w:rPr>
            </w:pPr>
            <w:r w:rsidRPr="001B3430">
              <w:rPr>
                <w:rFonts w:ascii="宋体" w:eastAsia="宋体" w:hAnsi="宋体"/>
                <w:b/>
                <w:sz w:val="18"/>
                <w:szCs w:val="18"/>
              </w:rPr>
              <w:t>三年期</w:t>
            </w:r>
          </w:p>
          <w:p w:rsidR="004A4649" w:rsidRPr="00721C58" w:rsidRDefault="004A4649" w:rsidP="0090090A">
            <w:pPr>
              <w:snapToGrid w:val="0"/>
              <w:spacing w:line="10" w:lineRule="atLeast"/>
              <w:jc w:val="center"/>
              <w:rPr>
                <w:rFonts w:ascii="宋体" w:eastAsia="宋体" w:hAnsi="宋体"/>
                <w:sz w:val="18"/>
                <w:szCs w:val="18"/>
              </w:rPr>
            </w:pPr>
            <w:r w:rsidRPr="001B3430">
              <w:rPr>
                <w:rFonts w:ascii="宋体" w:eastAsia="宋体" w:hAnsi="宋体"/>
                <w:b/>
                <w:sz w:val="18"/>
                <w:szCs w:val="18"/>
              </w:rPr>
              <w:t>管理人评级</w:t>
            </w:r>
          </w:p>
        </w:tc>
      </w:tr>
      <w:tr w:rsidR="004A4649" w:rsidRPr="00EF17C0" w:rsidTr="001E6E8C">
        <w:trPr>
          <w:cantSplit/>
          <w:trHeight w:val="547"/>
        </w:trPr>
        <w:tc>
          <w:tcPr>
            <w:tcW w:w="2127" w:type="dxa"/>
            <w:vMerge/>
            <w:tcBorders>
              <w:left w:val="nil"/>
              <w:bottom w:val="single" w:sz="6" w:space="0" w:color="FF6600"/>
              <w:right w:val="single" w:sz="6" w:space="0" w:color="FF6600"/>
            </w:tcBorders>
            <w:shd w:val="clear" w:color="auto" w:fill="FDE9D9" w:themeFill="accent6" w:themeFillTint="33"/>
            <w:vAlign w:val="center"/>
          </w:tcPr>
          <w:p w:rsidR="004A4649" w:rsidRPr="001B3430" w:rsidRDefault="004A4649" w:rsidP="0090090A">
            <w:pPr>
              <w:jc w:val="center"/>
              <w:rPr>
                <w:rFonts w:cs="Arial"/>
                <w:b/>
                <w:sz w:val="18"/>
                <w:szCs w:val="18"/>
              </w:rPr>
            </w:pPr>
          </w:p>
        </w:tc>
        <w:tc>
          <w:tcPr>
            <w:tcW w:w="850" w:type="dxa"/>
            <w:tcBorders>
              <w:top w:val="single" w:sz="6" w:space="0" w:color="FF6600"/>
              <w:left w:val="single" w:sz="6" w:space="0" w:color="FF6600"/>
              <w:bottom w:val="single" w:sz="6" w:space="0" w:color="FF6600"/>
              <w:right w:val="single" w:sz="6" w:space="0" w:color="FF6600"/>
            </w:tcBorders>
            <w:shd w:val="clear" w:color="auto" w:fill="FDE9D9" w:themeFill="accent6" w:themeFillTint="33"/>
            <w:vAlign w:val="center"/>
          </w:tcPr>
          <w:p w:rsidR="004A4649" w:rsidRPr="001B3430" w:rsidRDefault="004A4649" w:rsidP="0090090A">
            <w:pPr>
              <w:jc w:val="center"/>
              <w:rPr>
                <w:rFonts w:ascii="宋体" w:eastAsia="宋体" w:hAnsi="宋体" w:cs="Arial"/>
                <w:b/>
                <w:sz w:val="18"/>
                <w:szCs w:val="18"/>
              </w:rPr>
            </w:pPr>
            <w:r w:rsidRPr="001B3430">
              <w:rPr>
                <w:rFonts w:cs="Arial" w:hint="eastAsia"/>
                <w:b/>
                <w:sz w:val="18"/>
                <w:szCs w:val="18"/>
              </w:rPr>
              <w:t>收益率</w:t>
            </w:r>
          </w:p>
        </w:tc>
        <w:tc>
          <w:tcPr>
            <w:tcW w:w="1134" w:type="dxa"/>
            <w:tcBorders>
              <w:top w:val="single" w:sz="6" w:space="0" w:color="FF6600"/>
              <w:left w:val="single" w:sz="6" w:space="0" w:color="FF6600"/>
              <w:bottom w:val="single" w:sz="6" w:space="0" w:color="FF6600"/>
              <w:right w:val="single" w:sz="6" w:space="0" w:color="FF6600"/>
            </w:tcBorders>
            <w:shd w:val="clear" w:color="auto" w:fill="FDE9D9" w:themeFill="accent6" w:themeFillTint="33"/>
            <w:vAlign w:val="center"/>
          </w:tcPr>
          <w:p w:rsidR="004A4649" w:rsidRPr="001B3430" w:rsidRDefault="004A4649" w:rsidP="0090090A">
            <w:pPr>
              <w:jc w:val="center"/>
              <w:rPr>
                <w:rFonts w:cs="Arial"/>
                <w:b/>
                <w:sz w:val="18"/>
                <w:szCs w:val="18"/>
              </w:rPr>
            </w:pPr>
            <w:r w:rsidRPr="001B3430">
              <w:rPr>
                <w:rFonts w:cs="Arial" w:hint="eastAsia"/>
                <w:b/>
                <w:sz w:val="18"/>
                <w:szCs w:val="18"/>
              </w:rPr>
              <w:t>相对沪深</w:t>
            </w:r>
            <w:r w:rsidRPr="001B3430">
              <w:rPr>
                <w:rFonts w:cs="Arial" w:hint="eastAsia"/>
                <w:b/>
                <w:sz w:val="18"/>
                <w:szCs w:val="18"/>
              </w:rPr>
              <w:t>300</w:t>
            </w:r>
          </w:p>
          <w:p w:rsidR="004A4649" w:rsidRPr="001B3430" w:rsidRDefault="004A4649" w:rsidP="0090090A">
            <w:pPr>
              <w:jc w:val="center"/>
              <w:rPr>
                <w:rFonts w:ascii="宋体" w:eastAsia="宋体" w:hAnsi="宋体" w:cs="Arial"/>
                <w:b/>
                <w:sz w:val="18"/>
                <w:szCs w:val="18"/>
              </w:rPr>
            </w:pPr>
            <w:r w:rsidRPr="001B3430">
              <w:rPr>
                <w:rFonts w:cs="Arial" w:hint="eastAsia"/>
                <w:b/>
                <w:sz w:val="18"/>
                <w:szCs w:val="18"/>
              </w:rPr>
              <w:t>超额收益</w:t>
            </w:r>
          </w:p>
        </w:tc>
        <w:tc>
          <w:tcPr>
            <w:tcW w:w="851" w:type="dxa"/>
            <w:tcBorders>
              <w:top w:val="single" w:sz="6" w:space="0" w:color="FF6600"/>
              <w:left w:val="single" w:sz="6" w:space="0" w:color="FF6600"/>
              <w:bottom w:val="single" w:sz="6" w:space="0" w:color="FF6600"/>
              <w:right w:val="single" w:sz="6" w:space="0" w:color="FF6600"/>
            </w:tcBorders>
            <w:shd w:val="clear" w:color="auto" w:fill="FDE9D9" w:themeFill="accent6" w:themeFillTint="33"/>
            <w:vAlign w:val="center"/>
          </w:tcPr>
          <w:p w:rsidR="004A4649" w:rsidRPr="001B3430" w:rsidRDefault="004A4649" w:rsidP="0090090A">
            <w:pPr>
              <w:jc w:val="center"/>
              <w:rPr>
                <w:rFonts w:ascii="宋体" w:eastAsia="宋体" w:hAnsi="宋体" w:cs="Arial"/>
                <w:b/>
                <w:sz w:val="18"/>
                <w:szCs w:val="18"/>
              </w:rPr>
            </w:pPr>
            <w:r w:rsidRPr="001B3430">
              <w:rPr>
                <w:rFonts w:cs="Arial" w:hint="eastAsia"/>
                <w:b/>
                <w:sz w:val="18"/>
                <w:szCs w:val="18"/>
              </w:rPr>
              <w:t>收益率</w:t>
            </w:r>
          </w:p>
        </w:tc>
        <w:tc>
          <w:tcPr>
            <w:tcW w:w="1134" w:type="dxa"/>
            <w:tcBorders>
              <w:top w:val="single" w:sz="6" w:space="0" w:color="FF6600"/>
              <w:left w:val="single" w:sz="6" w:space="0" w:color="FF6600"/>
              <w:bottom w:val="single" w:sz="6" w:space="0" w:color="FF6600"/>
              <w:right w:val="single" w:sz="6" w:space="0" w:color="FF6600"/>
            </w:tcBorders>
            <w:shd w:val="clear" w:color="auto" w:fill="FDE9D9" w:themeFill="accent6" w:themeFillTint="33"/>
            <w:vAlign w:val="center"/>
          </w:tcPr>
          <w:p w:rsidR="004A4649" w:rsidRPr="001B3430" w:rsidRDefault="004A4649" w:rsidP="0090090A">
            <w:pPr>
              <w:jc w:val="center"/>
              <w:rPr>
                <w:rFonts w:cs="Arial"/>
                <w:b/>
                <w:sz w:val="18"/>
                <w:szCs w:val="18"/>
              </w:rPr>
            </w:pPr>
            <w:r w:rsidRPr="001B3430">
              <w:rPr>
                <w:rFonts w:cs="Arial" w:hint="eastAsia"/>
                <w:b/>
                <w:sz w:val="18"/>
                <w:szCs w:val="18"/>
              </w:rPr>
              <w:t>相对沪深</w:t>
            </w:r>
            <w:r w:rsidRPr="001B3430">
              <w:rPr>
                <w:rFonts w:cs="Arial" w:hint="eastAsia"/>
                <w:b/>
                <w:sz w:val="18"/>
                <w:szCs w:val="18"/>
              </w:rPr>
              <w:t>300</w:t>
            </w:r>
          </w:p>
          <w:p w:rsidR="004A4649" w:rsidRPr="001B3430" w:rsidRDefault="004A4649" w:rsidP="0090090A">
            <w:pPr>
              <w:jc w:val="center"/>
              <w:rPr>
                <w:rFonts w:ascii="宋体" w:eastAsia="宋体" w:hAnsi="宋体" w:cs="Arial"/>
                <w:b/>
                <w:sz w:val="18"/>
                <w:szCs w:val="18"/>
              </w:rPr>
            </w:pPr>
            <w:r w:rsidRPr="001B3430">
              <w:rPr>
                <w:rFonts w:cs="Arial" w:hint="eastAsia"/>
                <w:b/>
                <w:sz w:val="18"/>
                <w:szCs w:val="18"/>
              </w:rPr>
              <w:t>超额收益</w:t>
            </w:r>
          </w:p>
        </w:tc>
        <w:tc>
          <w:tcPr>
            <w:tcW w:w="1134" w:type="dxa"/>
            <w:vMerge/>
            <w:tcBorders>
              <w:left w:val="single" w:sz="6" w:space="0" w:color="FF6600"/>
              <w:bottom w:val="single" w:sz="6" w:space="0" w:color="FF6600"/>
              <w:right w:val="nil"/>
            </w:tcBorders>
            <w:shd w:val="clear" w:color="auto" w:fill="FDE9D9" w:themeFill="accent6" w:themeFillTint="33"/>
            <w:vAlign w:val="center"/>
          </w:tcPr>
          <w:p w:rsidR="004A4649" w:rsidRPr="00EF17C0" w:rsidRDefault="004A4649" w:rsidP="0090090A">
            <w:pPr>
              <w:snapToGrid w:val="0"/>
              <w:spacing w:line="10" w:lineRule="atLeast"/>
              <w:jc w:val="center"/>
              <w:rPr>
                <w:rFonts w:ascii="宋体" w:eastAsia="宋体" w:hAnsi="宋体"/>
                <w:b/>
              </w:rPr>
            </w:pPr>
          </w:p>
        </w:tc>
      </w:tr>
      <w:tr w:rsidR="004A4649" w:rsidRPr="00EF17C0" w:rsidTr="001E6E8C">
        <w:trPr>
          <w:cantSplit/>
          <w:trHeight w:val="371"/>
        </w:trPr>
        <w:tc>
          <w:tcPr>
            <w:tcW w:w="2127" w:type="dxa"/>
            <w:tcBorders>
              <w:top w:val="single" w:sz="6" w:space="0" w:color="FF6600"/>
              <w:left w:val="nil"/>
              <w:bottom w:val="single" w:sz="6" w:space="0" w:color="FF6600"/>
              <w:right w:val="single" w:sz="6" w:space="0" w:color="FF6600"/>
            </w:tcBorders>
            <w:vAlign w:val="center"/>
          </w:tcPr>
          <w:p w:rsidR="004A4649" w:rsidRPr="004A1E34" w:rsidRDefault="004A4649" w:rsidP="0090090A">
            <w:pPr>
              <w:jc w:val="center"/>
              <w:rPr>
                <w:rFonts w:ascii="宋体" w:eastAsia="宋体" w:hAnsi="宋体" w:cs="Arial"/>
                <w:bCs/>
                <w:sz w:val="18"/>
                <w:szCs w:val="18"/>
              </w:rPr>
            </w:pPr>
            <w:r w:rsidRPr="004A1E34">
              <w:rPr>
                <w:rFonts w:cs="Arial" w:hint="eastAsia"/>
                <w:bCs/>
                <w:sz w:val="18"/>
                <w:szCs w:val="18"/>
              </w:rPr>
              <w:t>华润信托•展博</w:t>
            </w:r>
            <w:r w:rsidRPr="004A1E34">
              <w:rPr>
                <w:rFonts w:cs="Arial" w:hint="eastAsia"/>
                <w:bCs/>
                <w:sz w:val="18"/>
                <w:szCs w:val="18"/>
              </w:rPr>
              <w:t>1</w:t>
            </w:r>
            <w:r w:rsidRPr="004A1E34">
              <w:rPr>
                <w:rFonts w:cs="Arial" w:hint="eastAsia"/>
                <w:bCs/>
                <w:sz w:val="18"/>
                <w:szCs w:val="18"/>
              </w:rPr>
              <w:t>期</w:t>
            </w:r>
          </w:p>
        </w:tc>
        <w:tc>
          <w:tcPr>
            <w:tcW w:w="850"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28.50%</w:t>
            </w:r>
          </w:p>
        </w:tc>
        <w:tc>
          <w:tcPr>
            <w:tcW w:w="1134"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37.26%</w:t>
            </w:r>
          </w:p>
        </w:tc>
        <w:tc>
          <w:tcPr>
            <w:tcW w:w="851"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51.03%</w:t>
            </w:r>
          </w:p>
        </w:tc>
        <w:tc>
          <w:tcPr>
            <w:tcW w:w="1134"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75.37%</w:t>
            </w:r>
          </w:p>
        </w:tc>
        <w:tc>
          <w:tcPr>
            <w:tcW w:w="1134" w:type="dxa"/>
            <w:tcBorders>
              <w:top w:val="single" w:sz="6" w:space="0" w:color="FF6600"/>
              <w:left w:val="single" w:sz="6" w:space="0" w:color="FF6600"/>
              <w:bottom w:val="single" w:sz="6" w:space="0" w:color="FF6600"/>
              <w:right w:val="nil"/>
            </w:tcBorders>
            <w:vAlign w:val="center"/>
          </w:tcPr>
          <w:p w:rsidR="004A4649" w:rsidRPr="00721C58" w:rsidRDefault="004A4649" w:rsidP="0090090A">
            <w:pPr>
              <w:snapToGrid w:val="0"/>
              <w:spacing w:line="10" w:lineRule="atLeast"/>
              <w:jc w:val="center"/>
              <w:rPr>
                <w:rFonts w:ascii="宋体" w:eastAsia="宋体" w:hAnsi="宋体"/>
                <w:sz w:val="18"/>
                <w:szCs w:val="18"/>
              </w:rPr>
            </w:pPr>
            <w:r w:rsidRPr="00721C58">
              <w:rPr>
                <w:rFonts w:ascii="宋体" w:eastAsia="宋体" w:hAnsi="宋体" w:hint="eastAsia"/>
                <w:sz w:val="18"/>
                <w:szCs w:val="18"/>
              </w:rPr>
              <w:t>★★★★★</w:t>
            </w:r>
          </w:p>
        </w:tc>
      </w:tr>
      <w:tr w:rsidR="004A4649" w:rsidRPr="00EF17C0" w:rsidTr="001E6E8C">
        <w:trPr>
          <w:cantSplit/>
          <w:trHeight w:val="371"/>
        </w:trPr>
        <w:tc>
          <w:tcPr>
            <w:tcW w:w="2127" w:type="dxa"/>
            <w:tcBorders>
              <w:top w:val="single" w:sz="6" w:space="0" w:color="FF6600"/>
              <w:left w:val="nil"/>
              <w:bottom w:val="single" w:sz="6" w:space="0" w:color="FF6600"/>
              <w:right w:val="single" w:sz="6" w:space="0" w:color="FF6600"/>
            </w:tcBorders>
            <w:vAlign w:val="center"/>
          </w:tcPr>
          <w:p w:rsidR="004A4649" w:rsidRPr="004A1E34" w:rsidRDefault="004A4649" w:rsidP="0090090A">
            <w:pPr>
              <w:jc w:val="center"/>
              <w:rPr>
                <w:rFonts w:ascii="宋体" w:eastAsia="宋体" w:hAnsi="宋体" w:cs="Arial"/>
                <w:bCs/>
                <w:sz w:val="18"/>
                <w:szCs w:val="18"/>
              </w:rPr>
            </w:pPr>
            <w:r w:rsidRPr="004A1E34">
              <w:rPr>
                <w:rFonts w:cs="Arial" w:hint="eastAsia"/>
                <w:bCs/>
                <w:sz w:val="18"/>
                <w:szCs w:val="18"/>
              </w:rPr>
              <w:t>华润信托•博颐稳健</w:t>
            </w:r>
            <w:r w:rsidRPr="004A1E34">
              <w:rPr>
                <w:rFonts w:cs="Arial" w:hint="eastAsia"/>
                <w:bCs/>
                <w:sz w:val="18"/>
                <w:szCs w:val="18"/>
              </w:rPr>
              <w:t>1</w:t>
            </w:r>
            <w:r w:rsidRPr="004A1E34">
              <w:rPr>
                <w:rFonts w:cs="Arial" w:hint="eastAsia"/>
                <w:bCs/>
                <w:sz w:val="18"/>
                <w:szCs w:val="18"/>
              </w:rPr>
              <w:t>期</w:t>
            </w:r>
          </w:p>
        </w:tc>
        <w:tc>
          <w:tcPr>
            <w:tcW w:w="850"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49.33%</w:t>
            </w:r>
          </w:p>
        </w:tc>
        <w:tc>
          <w:tcPr>
            <w:tcW w:w="1134"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58.09%</w:t>
            </w:r>
          </w:p>
        </w:tc>
        <w:tc>
          <w:tcPr>
            <w:tcW w:w="851"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27.88%</w:t>
            </w:r>
          </w:p>
        </w:tc>
        <w:tc>
          <w:tcPr>
            <w:tcW w:w="1134"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50.13%</w:t>
            </w:r>
          </w:p>
        </w:tc>
        <w:tc>
          <w:tcPr>
            <w:tcW w:w="1134" w:type="dxa"/>
            <w:tcBorders>
              <w:top w:val="single" w:sz="6" w:space="0" w:color="FF6600"/>
              <w:left w:val="single" w:sz="6" w:space="0" w:color="FF6600"/>
              <w:bottom w:val="single" w:sz="6" w:space="0" w:color="FF6600"/>
              <w:right w:val="nil"/>
            </w:tcBorders>
            <w:vAlign w:val="center"/>
          </w:tcPr>
          <w:p w:rsidR="004A4649" w:rsidRPr="004A4649" w:rsidRDefault="004A4649" w:rsidP="0090090A">
            <w:pPr>
              <w:snapToGrid w:val="0"/>
              <w:spacing w:line="10" w:lineRule="atLeast"/>
              <w:jc w:val="center"/>
              <w:rPr>
                <w:rFonts w:ascii="宋体" w:eastAsia="宋体" w:hAnsi="宋体"/>
                <w:sz w:val="18"/>
                <w:szCs w:val="18"/>
              </w:rPr>
            </w:pPr>
            <w:r w:rsidRPr="00721C58">
              <w:rPr>
                <w:rFonts w:ascii="宋体" w:eastAsia="宋体" w:hAnsi="宋体" w:hint="eastAsia"/>
                <w:sz w:val="18"/>
                <w:szCs w:val="18"/>
              </w:rPr>
              <w:t>★★★★★</w:t>
            </w:r>
          </w:p>
        </w:tc>
      </w:tr>
      <w:tr w:rsidR="004A4649" w:rsidRPr="00EF17C0" w:rsidTr="001E6E8C">
        <w:trPr>
          <w:cantSplit/>
          <w:trHeight w:val="371"/>
        </w:trPr>
        <w:tc>
          <w:tcPr>
            <w:tcW w:w="2127" w:type="dxa"/>
            <w:tcBorders>
              <w:top w:val="single" w:sz="6" w:space="0" w:color="FF6600"/>
              <w:left w:val="nil"/>
              <w:bottom w:val="single" w:sz="6" w:space="0" w:color="FF6600"/>
              <w:right w:val="single" w:sz="6" w:space="0" w:color="FF6600"/>
            </w:tcBorders>
            <w:vAlign w:val="center"/>
          </w:tcPr>
          <w:p w:rsidR="004A4649" w:rsidRPr="004A1E34" w:rsidRDefault="004A4649" w:rsidP="0090090A">
            <w:pPr>
              <w:jc w:val="center"/>
              <w:rPr>
                <w:rFonts w:ascii="宋体" w:eastAsia="宋体" w:hAnsi="宋体" w:cs="Arial"/>
                <w:bCs/>
                <w:sz w:val="18"/>
                <w:szCs w:val="18"/>
              </w:rPr>
            </w:pPr>
            <w:r w:rsidRPr="004A1E34">
              <w:rPr>
                <w:rFonts w:cs="Arial" w:hint="eastAsia"/>
                <w:bCs/>
                <w:sz w:val="18"/>
                <w:szCs w:val="18"/>
              </w:rPr>
              <w:t>深国投•理成风景</w:t>
            </w:r>
            <w:r w:rsidRPr="004A1E34">
              <w:rPr>
                <w:rFonts w:cs="Arial" w:hint="eastAsia"/>
                <w:bCs/>
                <w:sz w:val="18"/>
                <w:szCs w:val="18"/>
              </w:rPr>
              <w:t>1</w:t>
            </w:r>
            <w:r w:rsidRPr="004A1E34">
              <w:rPr>
                <w:rFonts w:cs="Arial" w:hint="eastAsia"/>
                <w:bCs/>
                <w:sz w:val="18"/>
                <w:szCs w:val="18"/>
              </w:rPr>
              <w:t>号</w:t>
            </w:r>
          </w:p>
        </w:tc>
        <w:tc>
          <w:tcPr>
            <w:tcW w:w="850"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36.24%</w:t>
            </w:r>
          </w:p>
        </w:tc>
        <w:tc>
          <w:tcPr>
            <w:tcW w:w="1134"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45.01%</w:t>
            </w:r>
          </w:p>
        </w:tc>
        <w:tc>
          <w:tcPr>
            <w:tcW w:w="851"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18.92%</w:t>
            </w:r>
          </w:p>
        </w:tc>
        <w:tc>
          <w:tcPr>
            <w:tcW w:w="1134"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41.17%</w:t>
            </w:r>
          </w:p>
        </w:tc>
        <w:tc>
          <w:tcPr>
            <w:tcW w:w="1134" w:type="dxa"/>
            <w:tcBorders>
              <w:top w:val="single" w:sz="6" w:space="0" w:color="FF6600"/>
              <w:left w:val="single" w:sz="6" w:space="0" w:color="FF6600"/>
              <w:bottom w:val="single" w:sz="6" w:space="0" w:color="FF6600"/>
              <w:right w:val="nil"/>
            </w:tcBorders>
            <w:vAlign w:val="center"/>
          </w:tcPr>
          <w:p w:rsidR="004A4649" w:rsidRPr="004A4649" w:rsidRDefault="004A4649" w:rsidP="0090090A">
            <w:pPr>
              <w:snapToGrid w:val="0"/>
              <w:spacing w:line="10" w:lineRule="atLeast"/>
              <w:jc w:val="center"/>
              <w:rPr>
                <w:rFonts w:ascii="宋体" w:eastAsia="宋体" w:hAnsi="宋体"/>
                <w:sz w:val="18"/>
                <w:szCs w:val="18"/>
              </w:rPr>
            </w:pPr>
            <w:r w:rsidRPr="00721C58">
              <w:rPr>
                <w:rFonts w:ascii="宋体" w:eastAsia="宋体" w:hAnsi="宋体" w:hint="eastAsia"/>
                <w:sz w:val="18"/>
                <w:szCs w:val="18"/>
              </w:rPr>
              <w:t>★★★★★</w:t>
            </w:r>
          </w:p>
        </w:tc>
      </w:tr>
      <w:tr w:rsidR="004A4649" w:rsidRPr="00EF17C0" w:rsidTr="001E6E8C">
        <w:trPr>
          <w:cantSplit/>
          <w:trHeight w:val="371"/>
        </w:trPr>
        <w:tc>
          <w:tcPr>
            <w:tcW w:w="2127" w:type="dxa"/>
            <w:tcBorders>
              <w:top w:val="single" w:sz="6" w:space="0" w:color="FF6600"/>
              <w:left w:val="nil"/>
              <w:bottom w:val="single" w:sz="6" w:space="0" w:color="FF6600"/>
              <w:right w:val="single" w:sz="6" w:space="0" w:color="FF6600"/>
            </w:tcBorders>
            <w:vAlign w:val="center"/>
          </w:tcPr>
          <w:p w:rsidR="004A4649" w:rsidRPr="004A1E34" w:rsidRDefault="004A4649" w:rsidP="0090090A">
            <w:pPr>
              <w:jc w:val="center"/>
              <w:rPr>
                <w:rFonts w:ascii="宋体" w:eastAsia="宋体" w:hAnsi="宋体" w:cs="Arial"/>
                <w:bCs/>
                <w:sz w:val="18"/>
                <w:szCs w:val="18"/>
              </w:rPr>
            </w:pPr>
            <w:r w:rsidRPr="004A1E34">
              <w:rPr>
                <w:rFonts w:cs="Arial" w:hint="eastAsia"/>
                <w:bCs/>
                <w:sz w:val="18"/>
                <w:szCs w:val="18"/>
              </w:rPr>
              <w:t>中融</w:t>
            </w:r>
            <w:r w:rsidRPr="004A1E34">
              <w:rPr>
                <w:rFonts w:cs="Arial" w:hint="eastAsia"/>
                <w:bCs/>
                <w:sz w:val="18"/>
                <w:szCs w:val="18"/>
              </w:rPr>
              <w:t>-</w:t>
            </w:r>
            <w:r w:rsidRPr="004A1E34">
              <w:rPr>
                <w:rFonts w:cs="Arial" w:hint="eastAsia"/>
                <w:bCs/>
                <w:sz w:val="18"/>
                <w:szCs w:val="18"/>
              </w:rPr>
              <w:t>世诚扬子二号</w:t>
            </w:r>
          </w:p>
        </w:tc>
        <w:tc>
          <w:tcPr>
            <w:tcW w:w="850"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32.52%</w:t>
            </w:r>
          </w:p>
        </w:tc>
        <w:tc>
          <w:tcPr>
            <w:tcW w:w="1134"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41.29%</w:t>
            </w:r>
          </w:p>
        </w:tc>
        <w:tc>
          <w:tcPr>
            <w:tcW w:w="851"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27.32%</w:t>
            </w:r>
          </w:p>
        </w:tc>
        <w:tc>
          <w:tcPr>
            <w:tcW w:w="1134"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49.57%</w:t>
            </w:r>
          </w:p>
        </w:tc>
        <w:tc>
          <w:tcPr>
            <w:tcW w:w="1134" w:type="dxa"/>
            <w:tcBorders>
              <w:top w:val="single" w:sz="6" w:space="0" w:color="FF6600"/>
              <w:left w:val="single" w:sz="6" w:space="0" w:color="FF6600"/>
              <w:bottom w:val="single" w:sz="6" w:space="0" w:color="FF6600"/>
              <w:right w:val="nil"/>
            </w:tcBorders>
            <w:vAlign w:val="center"/>
          </w:tcPr>
          <w:p w:rsidR="004A4649" w:rsidRPr="004A4649" w:rsidRDefault="004A4649" w:rsidP="0090090A">
            <w:pPr>
              <w:snapToGrid w:val="0"/>
              <w:spacing w:line="10" w:lineRule="atLeast"/>
              <w:jc w:val="center"/>
              <w:rPr>
                <w:rFonts w:ascii="宋体" w:eastAsia="宋体" w:hAnsi="宋体"/>
                <w:sz w:val="18"/>
                <w:szCs w:val="18"/>
              </w:rPr>
            </w:pPr>
            <w:r w:rsidRPr="00721C58">
              <w:rPr>
                <w:rFonts w:ascii="宋体" w:eastAsia="宋体" w:hAnsi="宋体" w:hint="eastAsia"/>
                <w:sz w:val="18"/>
                <w:szCs w:val="18"/>
              </w:rPr>
              <w:t>★★★★★</w:t>
            </w:r>
          </w:p>
        </w:tc>
      </w:tr>
      <w:tr w:rsidR="004A4649" w:rsidRPr="00EF17C0" w:rsidTr="001E6E8C">
        <w:trPr>
          <w:cantSplit/>
          <w:trHeight w:val="371"/>
        </w:trPr>
        <w:tc>
          <w:tcPr>
            <w:tcW w:w="2127" w:type="dxa"/>
            <w:tcBorders>
              <w:top w:val="single" w:sz="6" w:space="0" w:color="FF6600"/>
              <w:left w:val="nil"/>
              <w:bottom w:val="single" w:sz="6" w:space="0" w:color="FF6600"/>
              <w:right w:val="single" w:sz="6" w:space="0" w:color="FF6600"/>
            </w:tcBorders>
            <w:vAlign w:val="center"/>
          </w:tcPr>
          <w:p w:rsidR="004A4649" w:rsidRPr="004A1E34" w:rsidRDefault="004A4649" w:rsidP="0090090A">
            <w:pPr>
              <w:jc w:val="center"/>
              <w:rPr>
                <w:rFonts w:ascii="宋体" w:eastAsia="宋体" w:hAnsi="宋体" w:cs="Arial"/>
                <w:bCs/>
                <w:sz w:val="18"/>
                <w:szCs w:val="18"/>
              </w:rPr>
            </w:pPr>
            <w:r w:rsidRPr="004A1E34">
              <w:rPr>
                <w:rFonts w:cs="Arial" w:hint="eastAsia"/>
                <w:bCs/>
                <w:sz w:val="18"/>
                <w:szCs w:val="18"/>
              </w:rPr>
              <w:t>中信信托•和聚</w:t>
            </w:r>
            <w:r w:rsidRPr="004A1E34">
              <w:rPr>
                <w:rFonts w:cs="Arial" w:hint="eastAsia"/>
                <w:bCs/>
                <w:sz w:val="18"/>
                <w:szCs w:val="18"/>
              </w:rPr>
              <w:t>1</w:t>
            </w:r>
            <w:r w:rsidRPr="004A1E34">
              <w:rPr>
                <w:rFonts w:cs="Arial" w:hint="eastAsia"/>
                <w:bCs/>
                <w:sz w:val="18"/>
                <w:szCs w:val="18"/>
              </w:rPr>
              <w:t>期</w:t>
            </w:r>
          </w:p>
        </w:tc>
        <w:tc>
          <w:tcPr>
            <w:tcW w:w="850"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28.36%</w:t>
            </w:r>
          </w:p>
        </w:tc>
        <w:tc>
          <w:tcPr>
            <w:tcW w:w="1134"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36.98%</w:t>
            </w:r>
          </w:p>
        </w:tc>
        <w:tc>
          <w:tcPr>
            <w:tcW w:w="851"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7.08%</w:t>
            </w:r>
          </w:p>
        </w:tc>
        <w:tc>
          <w:tcPr>
            <w:tcW w:w="1134" w:type="dxa"/>
            <w:tcBorders>
              <w:top w:val="single" w:sz="6" w:space="0" w:color="FF6600"/>
              <w:left w:val="single" w:sz="6" w:space="0" w:color="FF6600"/>
              <w:bottom w:val="single" w:sz="6" w:space="0" w:color="FF6600"/>
              <w:right w:val="single" w:sz="6" w:space="0" w:color="FF6600"/>
            </w:tcBorders>
            <w:vAlign w:val="center"/>
          </w:tcPr>
          <w:p w:rsidR="004A4649" w:rsidRPr="004A1E34" w:rsidRDefault="004A4649" w:rsidP="0090090A">
            <w:pPr>
              <w:jc w:val="center"/>
              <w:rPr>
                <w:rFonts w:ascii="Arial" w:hAnsi="Arial" w:cs="Arial"/>
                <w:sz w:val="18"/>
                <w:szCs w:val="18"/>
              </w:rPr>
            </w:pPr>
            <w:r w:rsidRPr="004A1E34">
              <w:rPr>
                <w:rFonts w:ascii="Arial" w:hAnsi="Arial" w:cs="Arial" w:hint="eastAsia"/>
                <w:sz w:val="18"/>
                <w:szCs w:val="18"/>
              </w:rPr>
              <w:t>30.74%</w:t>
            </w:r>
          </w:p>
        </w:tc>
        <w:tc>
          <w:tcPr>
            <w:tcW w:w="1134" w:type="dxa"/>
            <w:tcBorders>
              <w:top w:val="single" w:sz="6" w:space="0" w:color="FF6600"/>
              <w:left w:val="single" w:sz="6" w:space="0" w:color="FF6600"/>
              <w:bottom w:val="single" w:sz="6" w:space="0" w:color="FF6600"/>
              <w:right w:val="nil"/>
            </w:tcBorders>
            <w:vAlign w:val="center"/>
          </w:tcPr>
          <w:p w:rsidR="004A4649" w:rsidRPr="004A4649" w:rsidRDefault="004A4649" w:rsidP="0090090A">
            <w:pPr>
              <w:snapToGrid w:val="0"/>
              <w:spacing w:line="10" w:lineRule="atLeast"/>
              <w:jc w:val="center"/>
              <w:rPr>
                <w:rFonts w:ascii="宋体" w:eastAsia="宋体" w:hAnsi="宋体"/>
                <w:sz w:val="18"/>
                <w:szCs w:val="18"/>
              </w:rPr>
            </w:pPr>
            <w:r w:rsidRPr="00721C58">
              <w:rPr>
                <w:rFonts w:ascii="宋体" w:eastAsia="宋体" w:hAnsi="宋体" w:hint="eastAsia"/>
                <w:sz w:val="18"/>
                <w:szCs w:val="18"/>
              </w:rPr>
              <w:t>★★★★★</w:t>
            </w:r>
          </w:p>
        </w:tc>
      </w:tr>
      <w:tr w:rsidR="004A4649" w:rsidRPr="00EF17C0" w:rsidTr="001E6E8C">
        <w:trPr>
          <w:cantSplit/>
          <w:trHeight w:val="371"/>
        </w:trPr>
        <w:tc>
          <w:tcPr>
            <w:tcW w:w="2127" w:type="dxa"/>
            <w:tcBorders>
              <w:top w:val="single" w:sz="6" w:space="0" w:color="FF6600"/>
              <w:left w:val="nil"/>
              <w:bottom w:val="single" w:sz="6" w:space="0" w:color="FF6600"/>
              <w:right w:val="single" w:sz="6" w:space="0" w:color="FF6600"/>
            </w:tcBorders>
            <w:vAlign w:val="center"/>
          </w:tcPr>
          <w:p w:rsidR="004A4649" w:rsidRPr="00B934C4" w:rsidRDefault="004A4649" w:rsidP="0090090A">
            <w:pPr>
              <w:jc w:val="center"/>
              <w:rPr>
                <w:rFonts w:ascii="宋体" w:eastAsia="宋体" w:hAnsi="宋体" w:cs="Arial"/>
                <w:b/>
                <w:bCs/>
                <w:sz w:val="18"/>
                <w:szCs w:val="18"/>
              </w:rPr>
            </w:pPr>
            <w:r w:rsidRPr="00B934C4">
              <w:rPr>
                <w:rFonts w:cs="Arial" w:hint="eastAsia"/>
                <w:b/>
                <w:bCs/>
                <w:sz w:val="18"/>
                <w:szCs w:val="18"/>
              </w:rPr>
              <w:t>行业平均值</w:t>
            </w:r>
          </w:p>
        </w:tc>
        <w:tc>
          <w:tcPr>
            <w:tcW w:w="850" w:type="dxa"/>
            <w:tcBorders>
              <w:top w:val="single" w:sz="6" w:space="0" w:color="FF6600"/>
              <w:left w:val="single" w:sz="6" w:space="0" w:color="FF6600"/>
              <w:bottom w:val="single" w:sz="6" w:space="0" w:color="FF6600"/>
              <w:right w:val="single" w:sz="6" w:space="0" w:color="FF6600"/>
            </w:tcBorders>
            <w:vAlign w:val="center"/>
          </w:tcPr>
          <w:p w:rsidR="004A4649" w:rsidRPr="00B934C4" w:rsidRDefault="004A4649" w:rsidP="0090090A">
            <w:pPr>
              <w:jc w:val="center"/>
              <w:rPr>
                <w:rFonts w:ascii="Arial" w:hAnsi="Arial" w:cs="Arial"/>
                <w:b/>
                <w:sz w:val="18"/>
                <w:szCs w:val="18"/>
              </w:rPr>
            </w:pPr>
            <w:r w:rsidRPr="00B934C4">
              <w:rPr>
                <w:rFonts w:ascii="Arial" w:hAnsi="Arial" w:cs="Arial" w:hint="eastAsia"/>
                <w:b/>
                <w:sz w:val="18"/>
                <w:szCs w:val="18"/>
              </w:rPr>
              <w:t>15.01%</w:t>
            </w:r>
          </w:p>
        </w:tc>
        <w:tc>
          <w:tcPr>
            <w:tcW w:w="1134" w:type="dxa"/>
            <w:tcBorders>
              <w:top w:val="single" w:sz="6" w:space="0" w:color="FF6600"/>
              <w:left w:val="single" w:sz="6" w:space="0" w:color="FF6600"/>
              <w:bottom w:val="single" w:sz="6" w:space="0" w:color="FF6600"/>
              <w:right w:val="single" w:sz="6" w:space="0" w:color="FF6600"/>
            </w:tcBorders>
            <w:vAlign w:val="center"/>
          </w:tcPr>
          <w:p w:rsidR="004A4649" w:rsidRPr="00B934C4" w:rsidRDefault="004A4649" w:rsidP="0090090A">
            <w:pPr>
              <w:jc w:val="center"/>
              <w:rPr>
                <w:rFonts w:ascii="Arial" w:hAnsi="Arial" w:cs="Arial"/>
                <w:b/>
                <w:sz w:val="18"/>
                <w:szCs w:val="18"/>
              </w:rPr>
            </w:pPr>
            <w:r w:rsidRPr="00B934C4">
              <w:rPr>
                <w:rFonts w:ascii="Arial" w:hAnsi="Arial" w:cs="Arial" w:hint="eastAsia"/>
                <w:b/>
                <w:sz w:val="18"/>
                <w:szCs w:val="18"/>
              </w:rPr>
              <w:t>24.17%</w:t>
            </w:r>
          </w:p>
        </w:tc>
        <w:tc>
          <w:tcPr>
            <w:tcW w:w="851" w:type="dxa"/>
            <w:tcBorders>
              <w:top w:val="single" w:sz="6" w:space="0" w:color="FF6600"/>
              <w:left w:val="single" w:sz="6" w:space="0" w:color="FF6600"/>
              <w:bottom w:val="single" w:sz="6" w:space="0" w:color="FF6600"/>
              <w:right w:val="single" w:sz="6" w:space="0" w:color="FF6600"/>
            </w:tcBorders>
            <w:vAlign w:val="center"/>
          </w:tcPr>
          <w:p w:rsidR="004A4649" w:rsidRPr="00B934C4" w:rsidRDefault="004A4649" w:rsidP="0090090A">
            <w:pPr>
              <w:jc w:val="center"/>
              <w:rPr>
                <w:rFonts w:ascii="Arial" w:hAnsi="Arial" w:cs="Arial"/>
                <w:b/>
                <w:color w:val="FF0000"/>
                <w:sz w:val="18"/>
                <w:szCs w:val="18"/>
              </w:rPr>
            </w:pPr>
            <w:r w:rsidRPr="00B934C4">
              <w:rPr>
                <w:rFonts w:ascii="Arial" w:hAnsi="Arial" w:cs="Arial" w:hint="eastAsia"/>
                <w:b/>
                <w:color w:val="FF0000"/>
                <w:sz w:val="18"/>
                <w:szCs w:val="18"/>
              </w:rPr>
              <w:t>-4.76%</w:t>
            </w:r>
          </w:p>
        </w:tc>
        <w:tc>
          <w:tcPr>
            <w:tcW w:w="1134" w:type="dxa"/>
            <w:tcBorders>
              <w:top w:val="single" w:sz="6" w:space="0" w:color="FF6600"/>
              <w:left w:val="single" w:sz="6" w:space="0" w:color="FF6600"/>
              <w:bottom w:val="single" w:sz="6" w:space="0" w:color="FF6600"/>
              <w:right w:val="single" w:sz="6" w:space="0" w:color="FF6600"/>
            </w:tcBorders>
            <w:vAlign w:val="center"/>
          </w:tcPr>
          <w:p w:rsidR="004A4649" w:rsidRPr="00B934C4" w:rsidRDefault="004A4649" w:rsidP="0090090A">
            <w:pPr>
              <w:jc w:val="center"/>
              <w:rPr>
                <w:rFonts w:ascii="Arial" w:hAnsi="Arial" w:cs="Arial"/>
                <w:b/>
                <w:sz w:val="18"/>
                <w:szCs w:val="18"/>
              </w:rPr>
            </w:pPr>
            <w:r w:rsidRPr="00B934C4">
              <w:rPr>
                <w:rFonts w:ascii="Arial" w:hAnsi="Arial" w:cs="Arial" w:hint="eastAsia"/>
                <w:b/>
                <w:sz w:val="18"/>
                <w:szCs w:val="18"/>
              </w:rPr>
              <w:t>19.32%</w:t>
            </w:r>
          </w:p>
        </w:tc>
        <w:tc>
          <w:tcPr>
            <w:tcW w:w="1134" w:type="dxa"/>
            <w:tcBorders>
              <w:top w:val="single" w:sz="6" w:space="0" w:color="FF6600"/>
              <w:left w:val="single" w:sz="6" w:space="0" w:color="FF6600"/>
              <w:bottom w:val="single" w:sz="6" w:space="0" w:color="FF6600"/>
              <w:right w:val="nil"/>
            </w:tcBorders>
            <w:vAlign w:val="center"/>
          </w:tcPr>
          <w:p w:rsidR="004A4649" w:rsidRPr="004A4649" w:rsidRDefault="004A4649" w:rsidP="0090090A">
            <w:pPr>
              <w:snapToGrid w:val="0"/>
              <w:spacing w:line="10" w:lineRule="atLeast"/>
              <w:jc w:val="center"/>
              <w:rPr>
                <w:rFonts w:ascii="宋体" w:eastAsia="宋体" w:hAnsi="宋体"/>
                <w:sz w:val="18"/>
                <w:szCs w:val="18"/>
              </w:rPr>
            </w:pPr>
            <w:r>
              <w:rPr>
                <w:rFonts w:ascii="宋体" w:eastAsia="宋体" w:hAnsi="宋体" w:hint="eastAsia"/>
                <w:sz w:val="18"/>
                <w:szCs w:val="18"/>
              </w:rPr>
              <w:t>——</w:t>
            </w:r>
          </w:p>
        </w:tc>
      </w:tr>
      <w:tr w:rsidR="004A4649" w:rsidRPr="00EF17C0" w:rsidTr="001E6E8C">
        <w:trPr>
          <w:cantSplit/>
          <w:trHeight w:val="292"/>
        </w:trPr>
        <w:tc>
          <w:tcPr>
            <w:tcW w:w="7230" w:type="dxa"/>
            <w:gridSpan w:val="6"/>
            <w:tcBorders>
              <w:top w:val="single" w:sz="6" w:space="0" w:color="FF6600"/>
              <w:left w:val="nil"/>
              <w:bottom w:val="single" w:sz="6" w:space="0" w:color="FF6600"/>
              <w:right w:val="nil"/>
            </w:tcBorders>
            <w:vAlign w:val="center"/>
          </w:tcPr>
          <w:p w:rsidR="004A4649" w:rsidRPr="00EF17C0" w:rsidRDefault="004A4649" w:rsidP="0090090A">
            <w:pPr>
              <w:snapToGrid w:val="0"/>
              <w:spacing w:line="10" w:lineRule="atLeast"/>
              <w:jc w:val="left"/>
              <w:rPr>
                <w:rFonts w:ascii="宋体" w:eastAsia="宋体" w:hAnsi="宋体"/>
                <w:b/>
              </w:rPr>
            </w:pPr>
            <w:r w:rsidRPr="004A1E34">
              <w:rPr>
                <w:rFonts w:cs="Arial" w:hint="eastAsia"/>
                <w:bCs/>
                <w:sz w:val="18"/>
                <w:szCs w:val="18"/>
              </w:rPr>
              <w:t>注：仅</w:t>
            </w:r>
            <w:r>
              <w:rPr>
                <w:rFonts w:cs="Arial" w:hint="eastAsia"/>
                <w:bCs/>
                <w:sz w:val="18"/>
                <w:szCs w:val="18"/>
              </w:rPr>
              <w:t>针对</w:t>
            </w:r>
            <w:r w:rsidRPr="004A1E34">
              <w:rPr>
                <w:rFonts w:cs="Arial" w:hint="eastAsia"/>
                <w:bCs/>
                <w:sz w:val="18"/>
                <w:szCs w:val="18"/>
              </w:rPr>
              <w:t>股票多头策略</w:t>
            </w:r>
            <w:r>
              <w:rPr>
                <w:rFonts w:cs="Arial" w:hint="eastAsia"/>
                <w:bCs/>
                <w:sz w:val="18"/>
                <w:szCs w:val="18"/>
              </w:rPr>
              <w:t>对冲基金</w:t>
            </w:r>
          </w:p>
        </w:tc>
      </w:tr>
    </w:tbl>
    <w:p w:rsidR="004A4649" w:rsidRPr="001E6E8C" w:rsidRDefault="004A4649" w:rsidP="001E6E8C">
      <w:pPr>
        <w:pStyle w:val="FootnoteNoline"/>
        <w:rPr>
          <w:color w:val="FF6600"/>
        </w:rPr>
      </w:pPr>
      <w:r w:rsidRPr="00561FF0">
        <w:rPr>
          <w:rFonts w:hint="eastAsia"/>
          <w:color w:val="FF6600"/>
        </w:rPr>
        <w:t>来源：凯石财富工场</w:t>
      </w:r>
    </w:p>
    <w:p w:rsidR="008B5C07" w:rsidRDefault="008B5C07" w:rsidP="008B5C07">
      <w:pPr>
        <w:widowControl/>
        <w:spacing w:after="120"/>
        <w:ind w:left="3430"/>
        <w:rPr>
          <w:rFonts w:ascii="Arial" w:hAnsi="Arial" w:cs="Arial"/>
          <w:b/>
          <w:bCs/>
          <w:color w:val="0070C0"/>
          <w:kern w:val="0"/>
          <w:szCs w:val="21"/>
          <w:lang w:val="en-GB"/>
        </w:rPr>
      </w:pPr>
      <w:r>
        <w:rPr>
          <w:rFonts w:ascii="Arial" w:hAnsi="Arial" w:cs="Arial" w:hint="eastAsia"/>
          <w:b/>
          <w:bCs/>
          <w:color w:val="0070C0"/>
          <w:kern w:val="0"/>
          <w:szCs w:val="21"/>
          <w:lang w:val="en-GB"/>
        </w:rPr>
        <w:t>1.2</w:t>
      </w:r>
      <w:r>
        <w:rPr>
          <w:rFonts w:ascii="Arial" w:hAnsi="Arial" w:cs="Arial" w:hint="eastAsia"/>
          <w:b/>
          <w:bCs/>
          <w:color w:val="0070C0"/>
          <w:kern w:val="0"/>
          <w:szCs w:val="21"/>
          <w:lang w:val="en-GB"/>
        </w:rPr>
        <w:t>选股为辅助</w:t>
      </w:r>
      <w:r w:rsidR="00686611">
        <w:rPr>
          <w:rFonts w:ascii="Arial" w:hAnsi="Arial" w:cs="Arial" w:hint="eastAsia"/>
          <w:b/>
          <w:bCs/>
          <w:color w:val="0070C0"/>
          <w:kern w:val="0"/>
          <w:szCs w:val="21"/>
          <w:lang w:val="en-GB"/>
        </w:rPr>
        <w:t>，</w:t>
      </w:r>
      <w:r w:rsidR="00CE5497">
        <w:rPr>
          <w:rFonts w:ascii="Arial" w:hAnsi="Arial" w:cs="Arial" w:hint="eastAsia"/>
          <w:b/>
          <w:bCs/>
          <w:color w:val="0070C0"/>
          <w:kern w:val="0"/>
          <w:szCs w:val="21"/>
          <w:lang w:val="en-GB"/>
        </w:rPr>
        <w:t>货真价实方能</w:t>
      </w:r>
      <w:r w:rsidR="00D2718B">
        <w:rPr>
          <w:rFonts w:ascii="Arial" w:hAnsi="Arial" w:cs="Arial" w:hint="eastAsia"/>
          <w:b/>
          <w:bCs/>
          <w:color w:val="0070C0"/>
          <w:kern w:val="0"/>
          <w:szCs w:val="21"/>
          <w:lang w:val="en-GB"/>
        </w:rPr>
        <w:t>不惧时局</w:t>
      </w:r>
    </w:p>
    <w:p w:rsidR="000B1798" w:rsidRPr="00C565C0" w:rsidRDefault="00305D0E" w:rsidP="00305D0E">
      <w:pPr>
        <w:pStyle w:val="ac"/>
        <w:numPr>
          <w:ilvl w:val="4"/>
          <w:numId w:val="1"/>
        </w:numPr>
        <w:rPr>
          <w:rFonts w:eastAsiaTheme="minorEastAsia"/>
          <w:color w:val="auto"/>
          <w:lang w:val="en-US"/>
        </w:rPr>
      </w:pPr>
      <w:r w:rsidRPr="00E05302">
        <w:rPr>
          <w:rFonts w:eastAsiaTheme="minorEastAsia" w:hint="eastAsia"/>
          <w:color w:val="auto"/>
          <w:lang w:val="en-US"/>
        </w:rPr>
        <w:t>选股能力</w:t>
      </w:r>
      <w:r w:rsidR="004C6C6C">
        <w:rPr>
          <w:rFonts w:eastAsiaTheme="minorEastAsia" w:hint="eastAsia"/>
          <w:color w:val="auto"/>
          <w:lang w:val="en-US"/>
        </w:rPr>
        <w:t>在</w:t>
      </w:r>
      <w:r w:rsidR="004C6C6C">
        <w:rPr>
          <w:rFonts w:eastAsiaTheme="minorEastAsia" w:hint="eastAsia"/>
          <w:color w:val="auto"/>
          <w:lang w:val="en-US"/>
        </w:rPr>
        <w:t>2014</w:t>
      </w:r>
      <w:r w:rsidR="004C6C6C">
        <w:rPr>
          <w:rFonts w:eastAsiaTheme="minorEastAsia" w:hint="eastAsia"/>
          <w:color w:val="auto"/>
          <w:lang w:val="en-US"/>
        </w:rPr>
        <w:t>年退居辅助地位，主要原因在于选股制胜的难度大幅提升。</w:t>
      </w:r>
      <w:r w:rsidR="004C6C6C" w:rsidRPr="00643D65">
        <w:rPr>
          <w:rFonts w:eastAsiaTheme="minorEastAsia" w:hint="eastAsia"/>
          <w:color w:val="auto"/>
        </w:rPr>
        <w:t>随着股价高涨后估值水平的高企，以及时间推移下伪成长股逐步露出</w:t>
      </w:r>
      <w:r w:rsidR="004C6C6C">
        <w:rPr>
          <w:rFonts w:eastAsiaTheme="minorEastAsia" w:hint="eastAsia"/>
          <w:color w:val="auto"/>
        </w:rPr>
        <w:t>“</w:t>
      </w:r>
      <w:r w:rsidR="004C6C6C" w:rsidRPr="00643D65">
        <w:rPr>
          <w:rFonts w:eastAsiaTheme="minorEastAsia" w:hint="eastAsia"/>
          <w:color w:val="auto"/>
        </w:rPr>
        <w:t>狐狸</w:t>
      </w:r>
      <w:r w:rsidR="004C6C6C" w:rsidRPr="00643D65">
        <w:rPr>
          <w:rFonts w:eastAsiaTheme="minorEastAsia" w:hint="eastAsia"/>
          <w:color w:val="auto"/>
        </w:rPr>
        <w:lastRenderedPageBreak/>
        <w:t>尾巴</w:t>
      </w:r>
      <w:r w:rsidR="004C6C6C">
        <w:rPr>
          <w:rFonts w:eastAsiaTheme="minorEastAsia" w:hint="eastAsia"/>
          <w:color w:val="auto"/>
        </w:rPr>
        <w:t>”，成长股</w:t>
      </w:r>
      <w:r w:rsidR="004C6C6C">
        <w:rPr>
          <w:rFonts w:eastAsiaTheme="minorEastAsia" w:hint="eastAsia"/>
          <w:color w:val="auto"/>
        </w:rPr>
        <w:t>/</w:t>
      </w:r>
      <w:r w:rsidR="004C6C6C">
        <w:rPr>
          <w:rFonts w:eastAsiaTheme="minorEastAsia" w:hint="eastAsia"/>
          <w:color w:val="auto"/>
        </w:rPr>
        <w:t>主题投资内部行情恐将分化，</w:t>
      </w:r>
      <w:r w:rsidR="004C6C6C" w:rsidRPr="00643D65">
        <w:rPr>
          <w:rFonts w:eastAsiaTheme="minorEastAsia" w:hint="eastAsia"/>
          <w:color w:val="auto"/>
        </w:rPr>
        <w:t>大小盘股间</w:t>
      </w:r>
      <w:r w:rsidR="004C6C6C">
        <w:rPr>
          <w:rFonts w:eastAsiaTheme="minorEastAsia" w:hint="eastAsia"/>
          <w:color w:val="auto"/>
        </w:rPr>
        <w:t>的风格轮换也将随之</w:t>
      </w:r>
      <w:r w:rsidR="00565A9A">
        <w:rPr>
          <w:rFonts w:eastAsiaTheme="minorEastAsia" w:hint="eastAsia"/>
          <w:color w:val="auto"/>
        </w:rPr>
        <w:t>让位于业绩增长。这</w:t>
      </w:r>
      <w:r w:rsidR="004C6C6C">
        <w:rPr>
          <w:rFonts w:eastAsiaTheme="minorEastAsia" w:hint="eastAsia"/>
          <w:color w:val="auto"/>
        </w:rPr>
        <w:t>意味着明年只有真正具备</w:t>
      </w:r>
      <w:r w:rsidR="004C6C6C" w:rsidRPr="00643D65">
        <w:rPr>
          <w:rFonts w:eastAsiaTheme="minorEastAsia" w:hint="eastAsia"/>
          <w:color w:val="auto"/>
        </w:rPr>
        <w:t>良好业绩及估值</w:t>
      </w:r>
      <w:r w:rsidR="004C6C6C">
        <w:rPr>
          <w:rFonts w:eastAsiaTheme="minorEastAsia" w:hint="eastAsia"/>
          <w:color w:val="auto"/>
        </w:rPr>
        <w:t>优势的个股才有可能</w:t>
      </w:r>
      <w:r w:rsidR="004C6C6C" w:rsidRPr="00643D65">
        <w:rPr>
          <w:rFonts w:eastAsiaTheme="minorEastAsia" w:hint="eastAsia"/>
          <w:color w:val="auto"/>
        </w:rPr>
        <w:t>进一步创</w:t>
      </w:r>
      <w:r w:rsidR="004C6C6C">
        <w:rPr>
          <w:rFonts w:eastAsiaTheme="minorEastAsia" w:hint="eastAsia"/>
          <w:color w:val="auto"/>
        </w:rPr>
        <w:t>出新高</w:t>
      </w:r>
      <w:r w:rsidR="00565A9A">
        <w:rPr>
          <w:rFonts w:eastAsiaTheme="minorEastAsia" w:hint="eastAsia"/>
          <w:color w:val="auto"/>
        </w:rPr>
        <w:t>，对选股型管理人的</w:t>
      </w:r>
      <w:r w:rsidR="00F74B55">
        <w:rPr>
          <w:rFonts w:eastAsiaTheme="minorEastAsia" w:hint="eastAsia"/>
          <w:color w:val="auto"/>
        </w:rPr>
        <w:t>能力提出严峻考验。</w:t>
      </w:r>
      <w:r w:rsidR="00565A9A">
        <w:rPr>
          <w:rFonts w:eastAsiaTheme="minorEastAsia" w:hint="eastAsia"/>
          <w:color w:val="auto"/>
        </w:rPr>
        <w:t>靠“胆大</w:t>
      </w:r>
      <w:r w:rsidR="004C6C6C" w:rsidRPr="00643D65">
        <w:rPr>
          <w:rFonts w:eastAsiaTheme="minorEastAsia" w:hint="eastAsia"/>
          <w:color w:val="auto"/>
        </w:rPr>
        <w:t>”</w:t>
      </w:r>
      <w:r w:rsidR="00565A9A">
        <w:rPr>
          <w:rFonts w:eastAsiaTheme="minorEastAsia" w:hint="eastAsia"/>
          <w:color w:val="auto"/>
        </w:rPr>
        <w:t>重仓豪赌</w:t>
      </w:r>
      <w:r w:rsidR="004C6C6C" w:rsidRPr="00643D65">
        <w:rPr>
          <w:rFonts w:eastAsiaTheme="minorEastAsia" w:hint="eastAsia"/>
          <w:color w:val="auto"/>
        </w:rPr>
        <w:t>的时代一去不复返</w:t>
      </w:r>
      <w:r w:rsidR="001E6E8C">
        <w:rPr>
          <w:rFonts w:eastAsiaTheme="minorEastAsia" w:hint="eastAsia"/>
          <w:color w:val="auto"/>
        </w:rPr>
        <w:t>，而潜心</w:t>
      </w:r>
      <w:r w:rsidR="00A77EB2">
        <w:rPr>
          <w:rFonts w:eastAsiaTheme="minorEastAsia" w:hint="eastAsia"/>
          <w:color w:val="auto"/>
        </w:rPr>
        <w:t>挖掘</w:t>
      </w:r>
      <w:r w:rsidR="001E6E8C">
        <w:rPr>
          <w:rFonts w:eastAsiaTheme="minorEastAsia" w:hint="eastAsia"/>
          <w:color w:val="auto"/>
        </w:rPr>
        <w:t>质地优良个股</w:t>
      </w:r>
      <w:r w:rsidR="00F74B55">
        <w:rPr>
          <w:rFonts w:eastAsiaTheme="minorEastAsia" w:hint="eastAsia"/>
          <w:color w:val="auto"/>
        </w:rPr>
        <w:t>、</w:t>
      </w:r>
      <w:r w:rsidR="00CE5497">
        <w:rPr>
          <w:rFonts w:eastAsiaTheme="minorEastAsia" w:hint="eastAsia"/>
          <w:color w:val="auto"/>
        </w:rPr>
        <w:t>坚持</w:t>
      </w:r>
      <w:r w:rsidR="00F74B55">
        <w:rPr>
          <w:rFonts w:eastAsiaTheme="minorEastAsia" w:hint="eastAsia"/>
          <w:color w:val="auto"/>
        </w:rPr>
        <w:t>基本面驱动投资</w:t>
      </w:r>
      <w:r w:rsidR="001E6E8C">
        <w:rPr>
          <w:rFonts w:eastAsiaTheme="minorEastAsia" w:hint="eastAsia"/>
          <w:color w:val="auto"/>
        </w:rPr>
        <w:t>并注重风控</w:t>
      </w:r>
      <w:r w:rsidR="00A77EB2">
        <w:rPr>
          <w:rFonts w:eastAsiaTheme="minorEastAsia" w:hint="eastAsia"/>
          <w:color w:val="auto"/>
        </w:rPr>
        <w:t>的</w:t>
      </w:r>
      <w:r w:rsidR="00CE5497">
        <w:rPr>
          <w:rFonts w:eastAsiaTheme="minorEastAsia" w:hint="eastAsia"/>
          <w:color w:val="auto"/>
        </w:rPr>
        <w:t>“</w:t>
      </w:r>
      <w:r w:rsidR="00A77EB2">
        <w:rPr>
          <w:rFonts w:eastAsiaTheme="minorEastAsia" w:hint="eastAsia"/>
          <w:color w:val="auto"/>
        </w:rPr>
        <w:t>货真价实</w:t>
      </w:r>
      <w:r w:rsidR="00CE5497">
        <w:rPr>
          <w:rFonts w:eastAsiaTheme="minorEastAsia" w:hint="eastAsia"/>
          <w:color w:val="auto"/>
        </w:rPr>
        <w:t>”</w:t>
      </w:r>
      <w:r w:rsidR="001E6E8C">
        <w:rPr>
          <w:rFonts w:eastAsiaTheme="minorEastAsia" w:hint="eastAsia"/>
          <w:color w:val="auto"/>
        </w:rPr>
        <w:t>型</w:t>
      </w:r>
      <w:r w:rsidR="00CE5497">
        <w:rPr>
          <w:rFonts w:eastAsiaTheme="minorEastAsia" w:hint="eastAsia"/>
          <w:color w:val="auto"/>
        </w:rPr>
        <w:t>择</w:t>
      </w:r>
      <w:r w:rsidR="001E6E8C">
        <w:rPr>
          <w:rFonts w:eastAsiaTheme="minorEastAsia" w:hint="eastAsia"/>
          <w:color w:val="auto"/>
        </w:rPr>
        <w:t>股</w:t>
      </w:r>
      <w:r w:rsidR="00CE5497">
        <w:rPr>
          <w:rFonts w:eastAsiaTheme="minorEastAsia" w:hint="eastAsia"/>
          <w:color w:val="auto"/>
        </w:rPr>
        <w:t>选手，业绩必然经得起时间检验，具备穿越牛熊的长期稳健定力，</w:t>
      </w:r>
      <w:r w:rsidR="00A77EB2">
        <w:rPr>
          <w:rFonts w:eastAsiaTheme="minorEastAsia" w:hint="eastAsia"/>
          <w:color w:val="auto"/>
        </w:rPr>
        <w:t>方能入选</w:t>
      </w:r>
      <w:r w:rsidR="00A77EB2">
        <w:rPr>
          <w:rFonts w:eastAsiaTheme="minorEastAsia" w:hint="eastAsia"/>
          <w:color w:val="auto"/>
        </w:rPr>
        <w:t>2014</w:t>
      </w:r>
      <w:r w:rsidR="00A77EB2">
        <w:rPr>
          <w:rFonts w:eastAsiaTheme="minorEastAsia" w:hint="eastAsia"/>
          <w:color w:val="auto"/>
        </w:rPr>
        <w:t>年对冲基金投资组合。</w:t>
      </w:r>
      <w:r w:rsidR="00CE5497">
        <w:rPr>
          <w:rFonts w:eastAsiaTheme="minorEastAsia" w:hint="eastAsia"/>
          <w:color w:val="auto"/>
        </w:rPr>
        <w:t>对于这</w:t>
      </w:r>
      <w:r w:rsidR="00C565C0" w:rsidRPr="00C565C0">
        <w:rPr>
          <w:rFonts w:eastAsiaTheme="minorEastAsia" w:hint="eastAsia"/>
          <w:color w:val="auto"/>
        </w:rPr>
        <w:t>些</w:t>
      </w:r>
      <w:r w:rsidR="00CE5497">
        <w:rPr>
          <w:rFonts w:eastAsiaTheme="minorEastAsia" w:hint="eastAsia"/>
          <w:color w:val="auto"/>
        </w:rPr>
        <w:t>真正的选股型</w:t>
      </w:r>
      <w:r w:rsidR="001E6E8C">
        <w:rPr>
          <w:rFonts w:eastAsiaTheme="minorEastAsia" w:hint="eastAsia"/>
          <w:color w:val="auto"/>
        </w:rPr>
        <w:t>管理人</w:t>
      </w:r>
      <w:r w:rsidR="007F39C9">
        <w:rPr>
          <w:rFonts w:eastAsiaTheme="minorEastAsia" w:hint="eastAsia"/>
          <w:color w:val="auto"/>
          <w:lang w:val="en-US"/>
        </w:rPr>
        <w:t>，</w:t>
      </w:r>
      <w:r w:rsidR="00CE5497">
        <w:rPr>
          <w:rFonts w:eastAsiaTheme="minorEastAsia" w:hint="eastAsia"/>
          <w:color w:val="auto"/>
        </w:rPr>
        <w:t>投资者</w:t>
      </w:r>
      <w:r w:rsidR="00C565C0" w:rsidRPr="00C565C0">
        <w:rPr>
          <w:rFonts w:eastAsiaTheme="minorEastAsia" w:hint="eastAsia"/>
          <w:color w:val="auto"/>
        </w:rPr>
        <w:t>无需</w:t>
      </w:r>
      <w:r w:rsidR="001E6E8C">
        <w:rPr>
          <w:rFonts w:eastAsiaTheme="minorEastAsia" w:hint="eastAsia"/>
          <w:color w:val="auto"/>
        </w:rPr>
        <w:t>担忧</w:t>
      </w:r>
      <w:r w:rsidR="00C565C0" w:rsidRPr="00C565C0">
        <w:rPr>
          <w:rFonts w:eastAsiaTheme="minorEastAsia" w:hint="eastAsia"/>
          <w:color w:val="auto"/>
        </w:rPr>
        <w:t>择时</w:t>
      </w:r>
      <w:r w:rsidR="007F39C9">
        <w:rPr>
          <w:rFonts w:eastAsiaTheme="minorEastAsia" w:hint="eastAsia"/>
          <w:color w:val="auto"/>
          <w:lang w:val="en-US"/>
        </w:rPr>
        <w:t>，</w:t>
      </w:r>
      <w:r w:rsidR="00CE5497">
        <w:rPr>
          <w:rFonts w:eastAsiaTheme="minorEastAsia" w:hint="eastAsia"/>
          <w:color w:val="auto"/>
          <w:lang w:val="en-US"/>
        </w:rPr>
        <w:t>可在时局瞬息变动中相对放心地持有。</w:t>
      </w:r>
    </w:p>
    <w:p w:rsidR="00305D0E" w:rsidRDefault="00BC4211" w:rsidP="00305D0E">
      <w:pPr>
        <w:pStyle w:val="ac"/>
        <w:numPr>
          <w:ilvl w:val="4"/>
          <w:numId w:val="1"/>
        </w:numPr>
        <w:rPr>
          <w:rFonts w:eastAsiaTheme="minorEastAsia"/>
          <w:color w:val="auto"/>
          <w:lang w:val="en-US"/>
        </w:rPr>
      </w:pPr>
      <w:r>
        <w:rPr>
          <w:rFonts w:eastAsiaTheme="minorEastAsia" w:hint="eastAsia"/>
          <w:color w:val="auto"/>
          <w:lang w:val="en-US"/>
        </w:rPr>
        <w:t>凯石工场通过量化方式对众多选股型管理人长期持续的选股效果进行比较</w:t>
      </w:r>
      <w:r w:rsidR="00A4672C">
        <w:rPr>
          <w:rFonts w:eastAsiaTheme="minorEastAsia" w:hint="eastAsia"/>
          <w:color w:val="auto"/>
          <w:lang w:val="en-US"/>
        </w:rPr>
        <w:t>，甄选出</w:t>
      </w:r>
      <w:r w:rsidR="000B1798">
        <w:rPr>
          <w:rFonts w:eastAsiaTheme="minorEastAsia" w:hint="eastAsia"/>
          <w:color w:val="auto"/>
        </w:rPr>
        <w:t>近一年、近两年、近三年各考察期</w:t>
      </w:r>
      <w:r>
        <w:rPr>
          <w:rFonts w:eastAsiaTheme="minorEastAsia" w:hint="eastAsia"/>
          <w:color w:val="auto"/>
        </w:rPr>
        <w:t>内</w:t>
      </w:r>
      <w:r w:rsidR="000B1798" w:rsidRPr="000E24E4">
        <w:rPr>
          <w:rFonts w:eastAsiaTheme="minorEastAsia" w:hint="eastAsia"/>
          <w:color w:val="auto"/>
        </w:rPr>
        <w:t>风险调整后收益</w:t>
      </w:r>
      <w:r w:rsidR="00321430">
        <w:rPr>
          <w:rFonts w:eastAsiaTheme="minorEastAsia" w:hint="eastAsia"/>
          <w:color w:val="auto"/>
        </w:rPr>
        <w:t>（夏普比率）</w:t>
      </w:r>
      <w:r w:rsidR="000B1798" w:rsidRPr="000E24E4">
        <w:rPr>
          <w:rFonts w:eastAsiaTheme="minorEastAsia" w:hint="eastAsia"/>
          <w:color w:val="auto"/>
        </w:rPr>
        <w:t>排名均在</w:t>
      </w:r>
      <w:r w:rsidR="00321430">
        <w:rPr>
          <w:rFonts w:eastAsiaTheme="minorEastAsia" w:hint="eastAsia"/>
          <w:color w:val="auto"/>
        </w:rPr>
        <w:t>同业</w:t>
      </w:r>
      <w:r w:rsidR="000B1798" w:rsidRPr="000E24E4">
        <w:rPr>
          <w:rFonts w:eastAsiaTheme="minorEastAsia" w:hint="eastAsia"/>
          <w:color w:val="auto"/>
        </w:rPr>
        <w:t>前</w:t>
      </w:r>
      <w:r w:rsidR="00321430">
        <w:rPr>
          <w:rFonts w:eastAsiaTheme="minorEastAsia" w:hint="eastAsia"/>
          <w:color w:val="auto"/>
        </w:rPr>
        <w:t>1/3</w:t>
      </w:r>
      <w:r w:rsidR="00A4672C">
        <w:rPr>
          <w:rFonts w:eastAsiaTheme="minorEastAsia" w:hint="eastAsia"/>
          <w:color w:val="auto"/>
        </w:rPr>
        <w:t>，</w:t>
      </w:r>
      <w:r w:rsidR="00321430">
        <w:rPr>
          <w:rFonts w:eastAsiaTheme="minorEastAsia" w:hint="eastAsia"/>
          <w:color w:val="auto"/>
        </w:rPr>
        <w:t>并且</w:t>
      </w:r>
      <w:r>
        <w:rPr>
          <w:rFonts w:eastAsiaTheme="minorEastAsia" w:hint="eastAsia"/>
          <w:color w:val="auto"/>
        </w:rPr>
        <w:t>长期（三年期）被凯石评为</w:t>
      </w:r>
      <w:r w:rsidR="001E6E8C">
        <w:rPr>
          <w:rFonts w:eastAsiaTheme="minorEastAsia" w:hint="eastAsia"/>
          <w:color w:val="auto"/>
        </w:rPr>
        <w:t>五星级</w:t>
      </w:r>
      <w:r>
        <w:rPr>
          <w:rFonts w:eastAsiaTheme="minorEastAsia" w:hint="eastAsia"/>
          <w:color w:val="auto"/>
        </w:rPr>
        <w:t>的产品</w:t>
      </w:r>
      <w:r w:rsidR="00A4672C">
        <w:rPr>
          <w:rFonts w:eastAsiaTheme="minorEastAsia" w:hint="eastAsia"/>
          <w:color w:val="auto"/>
        </w:rPr>
        <w:t>，再结合凯石工场实地调研后的定性评价，综合评定出鼎锋、朱雀、明曜、</w:t>
      </w:r>
      <w:r w:rsidR="00B735BB">
        <w:rPr>
          <w:rFonts w:eastAsiaTheme="minorEastAsia" w:hint="eastAsia"/>
          <w:color w:val="auto"/>
        </w:rPr>
        <w:t>泽熙、</w:t>
      </w:r>
      <w:r w:rsidR="00A4672C">
        <w:rPr>
          <w:rFonts w:eastAsiaTheme="minorEastAsia" w:hint="eastAsia"/>
          <w:color w:val="auto"/>
        </w:rPr>
        <w:t>景林、精熙这</w:t>
      </w:r>
      <w:r w:rsidR="001B3430">
        <w:rPr>
          <w:rFonts w:eastAsiaTheme="minorEastAsia" w:hint="eastAsia"/>
          <w:color w:val="auto"/>
        </w:rPr>
        <w:t>6</w:t>
      </w:r>
      <w:r>
        <w:rPr>
          <w:rFonts w:eastAsiaTheme="minorEastAsia" w:hint="eastAsia"/>
          <w:color w:val="auto"/>
        </w:rPr>
        <w:t>家管理人</w:t>
      </w:r>
      <w:r w:rsidR="00A4672C">
        <w:rPr>
          <w:rFonts w:eastAsiaTheme="minorEastAsia" w:hint="eastAsia"/>
          <w:color w:val="auto"/>
        </w:rPr>
        <w:t>及其</w:t>
      </w:r>
      <w:r>
        <w:rPr>
          <w:rFonts w:eastAsiaTheme="minorEastAsia" w:hint="eastAsia"/>
          <w:color w:val="auto"/>
        </w:rPr>
        <w:t>代表产品</w:t>
      </w:r>
      <w:r w:rsidR="00F13155">
        <w:rPr>
          <w:rFonts w:eastAsiaTheme="minorEastAsia" w:hint="eastAsia"/>
          <w:color w:val="auto"/>
          <w:lang w:val="en-US"/>
        </w:rPr>
        <w:t>。</w:t>
      </w:r>
      <w:r w:rsidR="00EC6724">
        <w:rPr>
          <w:rFonts w:eastAsiaTheme="minorEastAsia" w:hint="eastAsia"/>
          <w:color w:val="auto"/>
          <w:lang w:val="en-US"/>
        </w:rPr>
        <w:t>鉴于这部分产品具备稳固的选股竞争力和</w:t>
      </w:r>
      <w:r w:rsidR="00EC6724">
        <w:rPr>
          <w:rFonts w:ascii="Calibri" w:eastAsia="宋体" w:hAnsi="Calibri" w:hint="eastAsia"/>
        </w:rPr>
        <w:t>良好的业绩持续性，</w:t>
      </w:r>
      <w:r w:rsidR="00EC6724">
        <w:rPr>
          <w:rFonts w:eastAsiaTheme="minorEastAsia" w:hint="eastAsia"/>
          <w:color w:val="auto"/>
          <w:lang w:val="en-US"/>
        </w:rPr>
        <w:t>投资者</w:t>
      </w:r>
      <w:r w:rsidR="00EC6724">
        <w:rPr>
          <w:rFonts w:ascii="Calibri" w:eastAsia="宋体" w:hAnsi="Calibri" w:hint="eastAsia"/>
        </w:rPr>
        <w:t>可将其作为</w:t>
      </w:r>
      <w:r w:rsidR="00EC6724">
        <w:rPr>
          <w:rFonts w:ascii="Calibri" w:eastAsia="宋体" w:hAnsi="Calibri" w:hint="eastAsia"/>
        </w:rPr>
        <w:t>2014</w:t>
      </w:r>
      <w:r w:rsidR="00EC6724">
        <w:rPr>
          <w:rFonts w:ascii="Calibri" w:eastAsia="宋体" w:hAnsi="Calibri" w:hint="eastAsia"/>
        </w:rPr>
        <w:t>年以至长期对冲基金组合的战略配置品种，进行持续投资。</w:t>
      </w:r>
    </w:p>
    <w:tbl>
      <w:tblPr>
        <w:tblW w:w="7867" w:type="dxa"/>
        <w:tblInd w:w="2977"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843"/>
        <w:gridCol w:w="850"/>
        <w:gridCol w:w="851"/>
        <w:gridCol w:w="850"/>
        <w:gridCol w:w="851"/>
        <w:gridCol w:w="850"/>
        <w:gridCol w:w="841"/>
        <w:gridCol w:w="931"/>
      </w:tblGrid>
      <w:tr w:rsidR="001E6E8C" w:rsidTr="001B3430">
        <w:trPr>
          <w:cantSplit/>
          <w:trHeight w:val="65"/>
        </w:trPr>
        <w:tc>
          <w:tcPr>
            <w:tcW w:w="7867" w:type="dxa"/>
            <w:gridSpan w:val="8"/>
            <w:tcBorders>
              <w:bottom w:val="single" w:sz="6" w:space="0" w:color="FF6600"/>
            </w:tcBorders>
            <w:shd w:val="clear" w:color="auto" w:fill="auto"/>
            <w:vAlign w:val="center"/>
          </w:tcPr>
          <w:p w:rsidR="001E6E8C" w:rsidRPr="00656031" w:rsidRDefault="001E6E8C" w:rsidP="0090090A">
            <w:pPr>
              <w:pStyle w:val="SubTitleLargeTable"/>
              <w:pBdr>
                <w:top w:val="none" w:sz="0" w:space="0" w:color="auto"/>
              </w:pBdr>
              <w:rPr>
                <w:rFonts w:ascii="宋体" w:eastAsia="宋体" w:hAnsi="宋体"/>
                <w:b w:val="0"/>
                <w:color w:val="FF6600"/>
              </w:rPr>
            </w:pPr>
            <w:r w:rsidRPr="001E6E8C">
              <w:rPr>
                <w:rFonts w:eastAsiaTheme="minorEastAsia"/>
                <w:color w:val="FF6600"/>
              </w:rPr>
              <w:t>图表</w:t>
            </w:r>
            <w:r w:rsidRPr="001E6E8C">
              <w:rPr>
                <w:rFonts w:eastAsiaTheme="minorEastAsia" w:hint="eastAsia"/>
                <w:color w:val="FF6600"/>
              </w:rPr>
              <w:t>1</w:t>
            </w:r>
            <w:r w:rsidR="00321430">
              <w:rPr>
                <w:rFonts w:eastAsiaTheme="minorEastAsia" w:hint="eastAsia"/>
                <w:color w:val="FF6600"/>
              </w:rPr>
              <w:t>3</w:t>
            </w:r>
            <w:r w:rsidRPr="001E6E8C">
              <w:rPr>
                <w:rFonts w:eastAsiaTheme="minorEastAsia" w:hint="eastAsia"/>
                <w:color w:val="FF6600"/>
              </w:rPr>
              <w:t>：</w:t>
            </w:r>
            <w:r w:rsidR="00BC4211">
              <w:rPr>
                <w:rFonts w:eastAsiaTheme="minorEastAsia" w:hint="eastAsia"/>
                <w:color w:val="FF6600"/>
              </w:rPr>
              <w:t>选股型管理人代表产品各阶段收益情况</w:t>
            </w:r>
          </w:p>
        </w:tc>
      </w:tr>
      <w:tr w:rsidR="00BC4211" w:rsidTr="00E376CA">
        <w:trPr>
          <w:cantSplit/>
          <w:trHeight w:val="357"/>
        </w:trPr>
        <w:tc>
          <w:tcPr>
            <w:tcW w:w="1843" w:type="dxa"/>
            <w:vMerge w:val="restart"/>
            <w:tcBorders>
              <w:right w:val="single" w:sz="6" w:space="0" w:color="FF6600"/>
            </w:tcBorders>
            <w:shd w:val="clear" w:color="auto" w:fill="FDE9D9" w:themeFill="accent6" w:themeFillTint="33"/>
            <w:vAlign w:val="center"/>
          </w:tcPr>
          <w:p w:rsidR="001B3430" w:rsidRDefault="00BC4211" w:rsidP="0090090A">
            <w:pPr>
              <w:snapToGrid w:val="0"/>
              <w:spacing w:line="10" w:lineRule="atLeast"/>
              <w:jc w:val="center"/>
              <w:rPr>
                <w:rFonts w:ascii="宋体" w:eastAsia="宋体" w:hAnsi="宋体"/>
                <w:b/>
                <w:sz w:val="18"/>
                <w:szCs w:val="18"/>
              </w:rPr>
            </w:pPr>
            <w:r w:rsidRPr="001B3430">
              <w:rPr>
                <w:rFonts w:ascii="宋体" w:eastAsia="宋体" w:hAnsi="宋体"/>
                <w:b/>
                <w:sz w:val="18"/>
                <w:szCs w:val="18"/>
              </w:rPr>
              <w:t>选股型管理人</w:t>
            </w:r>
          </w:p>
          <w:p w:rsidR="00BC4211" w:rsidRPr="001B3430" w:rsidRDefault="00BC4211" w:rsidP="0090090A">
            <w:pPr>
              <w:snapToGrid w:val="0"/>
              <w:spacing w:line="10" w:lineRule="atLeast"/>
              <w:jc w:val="center"/>
              <w:rPr>
                <w:rFonts w:ascii="宋体" w:eastAsia="宋体" w:hAnsi="宋体"/>
                <w:b/>
                <w:sz w:val="18"/>
                <w:szCs w:val="18"/>
              </w:rPr>
            </w:pPr>
            <w:r w:rsidRPr="001B3430">
              <w:rPr>
                <w:rFonts w:ascii="宋体" w:eastAsia="宋体" w:hAnsi="宋体"/>
                <w:b/>
                <w:sz w:val="18"/>
                <w:szCs w:val="18"/>
              </w:rPr>
              <w:t>代表产品</w:t>
            </w:r>
          </w:p>
        </w:tc>
        <w:tc>
          <w:tcPr>
            <w:tcW w:w="1701" w:type="dxa"/>
            <w:gridSpan w:val="2"/>
            <w:tcBorders>
              <w:left w:val="single" w:sz="6" w:space="0" w:color="FF6600"/>
              <w:right w:val="single" w:sz="6" w:space="0" w:color="FF6600"/>
            </w:tcBorders>
            <w:shd w:val="clear" w:color="auto" w:fill="FDE9D9" w:themeFill="accent6" w:themeFillTint="33"/>
            <w:vAlign w:val="center"/>
          </w:tcPr>
          <w:p w:rsidR="00BC4211" w:rsidRPr="001B3430" w:rsidRDefault="00BC4211" w:rsidP="0090090A">
            <w:pPr>
              <w:snapToGrid w:val="0"/>
              <w:spacing w:line="10" w:lineRule="atLeast"/>
              <w:jc w:val="center"/>
              <w:rPr>
                <w:rFonts w:ascii="宋体" w:eastAsia="宋体" w:hAnsi="宋体"/>
                <w:b/>
                <w:sz w:val="18"/>
                <w:szCs w:val="18"/>
              </w:rPr>
            </w:pPr>
            <w:r w:rsidRPr="001B3430">
              <w:rPr>
                <w:rFonts w:ascii="宋体" w:eastAsia="宋体" w:hAnsi="宋体"/>
                <w:b/>
                <w:sz w:val="18"/>
                <w:szCs w:val="18"/>
              </w:rPr>
              <w:t>近一年</w:t>
            </w:r>
          </w:p>
        </w:tc>
        <w:tc>
          <w:tcPr>
            <w:tcW w:w="1701" w:type="dxa"/>
            <w:gridSpan w:val="2"/>
            <w:tcBorders>
              <w:left w:val="single" w:sz="6" w:space="0" w:color="FF6600"/>
              <w:right w:val="single" w:sz="6" w:space="0" w:color="FF6600"/>
            </w:tcBorders>
            <w:shd w:val="clear" w:color="auto" w:fill="FDE9D9" w:themeFill="accent6" w:themeFillTint="33"/>
            <w:vAlign w:val="center"/>
          </w:tcPr>
          <w:p w:rsidR="00BC4211" w:rsidRPr="001B3430" w:rsidRDefault="00BC4211" w:rsidP="0090090A">
            <w:pPr>
              <w:snapToGrid w:val="0"/>
              <w:spacing w:line="10" w:lineRule="atLeast"/>
              <w:jc w:val="center"/>
              <w:rPr>
                <w:rFonts w:ascii="宋体" w:eastAsia="宋体" w:hAnsi="宋体"/>
                <w:b/>
                <w:sz w:val="18"/>
                <w:szCs w:val="18"/>
              </w:rPr>
            </w:pPr>
            <w:r w:rsidRPr="001B3430">
              <w:rPr>
                <w:rFonts w:ascii="宋体" w:eastAsia="宋体" w:hAnsi="宋体"/>
                <w:b/>
                <w:sz w:val="18"/>
                <w:szCs w:val="18"/>
              </w:rPr>
              <w:t>近两年</w:t>
            </w:r>
          </w:p>
        </w:tc>
        <w:tc>
          <w:tcPr>
            <w:tcW w:w="1691" w:type="dxa"/>
            <w:gridSpan w:val="2"/>
            <w:tcBorders>
              <w:left w:val="single" w:sz="6" w:space="0" w:color="FF6600"/>
              <w:right w:val="single" w:sz="6" w:space="0" w:color="FF6600"/>
            </w:tcBorders>
            <w:shd w:val="clear" w:color="auto" w:fill="FDE9D9" w:themeFill="accent6" w:themeFillTint="33"/>
            <w:vAlign w:val="center"/>
          </w:tcPr>
          <w:p w:rsidR="00BC4211" w:rsidRPr="001B3430" w:rsidRDefault="00BC4211" w:rsidP="0090090A">
            <w:pPr>
              <w:snapToGrid w:val="0"/>
              <w:spacing w:line="10" w:lineRule="atLeast"/>
              <w:jc w:val="center"/>
              <w:rPr>
                <w:rFonts w:ascii="宋体" w:eastAsia="宋体" w:hAnsi="宋体"/>
                <w:b/>
                <w:sz w:val="18"/>
                <w:szCs w:val="18"/>
              </w:rPr>
            </w:pPr>
            <w:r w:rsidRPr="001B3430">
              <w:rPr>
                <w:rFonts w:ascii="宋体" w:eastAsia="宋体" w:hAnsi="宋体"/>
                <w:b/>
                <w:sz w:val="18"/>
                <w:szCs w:val="18"/>
              </w:rPr>
              <w:t>近三年</w:t>
            </w:r>
          </w:p>
        </w:tc>
        <w:tc>
          <w:tcPr>
            <w:tcW w:w="931" w:type="dxa"/>
            <w:vMerge w:val="restart"/>
            <w:tcBorders>
              <w:left w:val="single" w:sz="6" w:space="0" w:color="FF6600"/>
            </w:tcBorders>
            <w:shd w:val="clear" w:color="auto" w:fill="FDE9D9" w:themeFill="accent6" w:themeFillTint="33"/>
            <w:vAlign w:val="center"/>
          </w:tcPr>
          <w:p w:rsidR="00BC4211" w:rsidRPr="001B3430" w:rsidRDefault="00BC4211" w:rsidP="00BC4211">
            <w:pPr>
              <w:snapToGrid w:val="0"/>
              <w:spacing w:line="10" w:lineRule="atLeast"/>
              <w:jc w:val="center"/>
              <w:rPr>
                <w:rFonts w:ascii="宋体" w:eastAsia="宋体" w:hAnsi="宋体"/>
                <w:b/>
                <w:sz w:val="18"/>
                <w:szCs w:val="18"/>
              </w:rPr>
            </w:pPr>
            <w:r w:rsidRPr="001B3430">
              <w:rPr>
                <w:rFonts w:ascii="宋体" w:eastAsia="宋体" w:hAnsi="宋体"/>
                <w:b/>
                <w:sz w:val="18"/>
                <w:szCs w:val="18"/>
              </w:rPr>
              <w:t>凯石工场</w:t>
            </w:r>
          </w:p>
          <w:p w:rsidR="00BC4211" w:rsidRPr="001B3430" w:rsidRDefault="00BC4211" w:rsidP="00BC4211">
            <w:pPr>
              <w:snapToGrid w:val="0"/>
              <w:spacing w:line="10" w:lineRule="atLeast"/>
              <w:jc w:val="center"/>
              <w:rPr>
                <w:rFonts w:ascii="宋体" w:eastAsia="宋体" w:hAnsi="宋体"/>
                <w:b/>
                <w:sz w:val="18"/>
                <w:szCs w:val="18"/>
              </w:rPr>
            </w:pPr>
            <w:r w:rsidRPr="001B3430">
              <w:rPr>
                <w:rFonts w:ascii="宋体" w:eastAsia="宋体" w:hAnsi="宋体"/>
                <w:b/>
                <w:sz w:val="18"/>
                <w:szCs w:val="18"/>
              </w:rPr>
              <w:t>三年期</w:t>
            </w:r>
          </w:p>
          <w:p w:rsidR="00BC4211" w:rsidRPr="00BC4211" w:rsidRDefault="00BC4211" w:rsidP="00BC4211">
            <w:pPr>
              <w:snapToGrid w:val="0"/>
              <w:spacing w:line="10" w:lineRule="atLeast"/>
              <w:jc w:val="center"/>
              <w:rPr>
                <w:rFonts w:ascii="宋体" w:eastAsia="宋体" w:hAnsi="宋体"/>
                <w:sz w:val="18"/>
                <w:szCs w:val="18"/>
              </w:rPr>
            </w:pPr>
            <w:r w:rsidRPr="001B3430">
              <w:rPr>
                <w:rFonts w:ascii="宋体" w:eastAsia="宋体" w:hAnsi="宋体"/>
                <w:b/>
                <w:sz w:val="18"/>
                <w:szCs w:val="18"/>
              </w:rPr>
              <w:t>管理人评级</w:t>
            </w:r>
          </w:p>
        </w:tc>
      </w:tr>
      <w:tr w:rsidR="001B3430" w:rsidTr="00E376CA">
        <w:trPr>
          <w:cantSplit/>
          <w:trHeight w:val="351"/>
        </w:trPr>
        <w:tc>
          <w:tcPr>
            <w:tcW w:w="1843" w:type="dxa"/>
            <w:vMerge/>
            <w:tcBorders>
              <w:right w:val="single" w:sz="6" w:space="0" w:color="FF6600"/>
            </w:tcBorders>
            <w:shd w:val="clear" w:color="auto" w:fill="FDE9D9" w:themeFill="accent6" w:themeFillTint="33"/>
            <w:vAlign w:val="center"/>
          </w:tcPr>
          <w:p w:rsidR="001B3430" w:rsidRPr="001B3430" w:rsidRDefault="001B3430" w:rsidP="0090090A">
            <w:pPr>
              <w:snapToGrid w:val="0"/>
              <w:spacing w:line="10" w:lineRule="atLeast"/>
              <w:jc w:val="center"/>
              <w:rPr>
                <w:rFonts w:ascii="宋体" w:eastAsia="宋体" w:hAnsi="宋体"/>
                <w:b/>
                <w:sz w:val="18"/>
                <w:szCs w:val="18"/>
              </w:rPr>
            </w:pPr>
          </w:p>
        </w:tc>
        <w:tc>
          <w:tcPr>
            <w:tcW w:w="850" w:type="dxa"/>
            <w:tcBorders>
              <w:left w:val="single" w:sz="6" w:space="0" w:color="FF6600"/>
              <w:right w:val="single" w:sz="6" w:space="0" w:color="FF6600"/>
            </w:tcBorders>
            <w:shd w:val="clear" w:color="auto" w:fill="FDE9D9" w:themeFill="accent6" w:themeFillTint="33"/>
            <w:vAlign w:val="center"/>
          </w:tcPr>
          <w:p w:rsidR="001B3430" w:rsidRPr="001B3430" w:rsidRDefault="001B3430" w:rsidP="0090090A">
            <w:pPr>
              <w:snapToGrid w:val="0"/>
              <w:spacing w:line="10" w:lineRule="atLeast"/>
              <w:jc w:val="center"/>
              <w:rPr>
                <w:rFonts w:ascii="宋体" w:eastAsia="宋体" w:hAnsi="宋体"/>
                <w:b/>
                <w:sz w:val="18"/>
                <w:szCs w:val="18"/>
              </w:rPr>
            </w:pPr>
            <w:r w:rsidRPr="001B3430">
              <w:rPr>
                <w:rFonts w:ascii="宋体" w:eastAsia="宋体" w:hAnsi="宋体"/>
                <w:b/>
                <w:sz w:val="18"/>
                <w:szCs w:val="18"/>
              </w:rPr>
              <w:t>夏普比率</w:t>
            </w:r>
          </w:p>
        </w:tc>
        <w:tc>
          <w:tcPr>
            <w:tcW w:w="851" w:type="dxa"/>
            <w:tcBorders>
              <w:left w:val="single" w:sz="6" w:space="0" w:color="FF6600"/>
              <w:right w:val="single" w:sz="6" w:space="0" w:color="FF6600"/>
            </w:tcBorders>
            <w:shd w:val="clear" w:color="auto" w:fill="FDE9D9" w:themeFill="accent6" w:themeFillTint="33"/>
            <w:vAlign w:val="center"/>
          </w:tcPr>
          <w:p w:rsidR="001B3430" w:rsidRPr="001B3430" w:rsidRDefault="001B3430" w:rsidP="0090090A">
            <w:pPr>
              <w:snapToGrid w:val="0"/>
              <w:spacing w:line="10" w:lineRule="atLeast"/>
              <w:jc w:val="center"/>
              <w:rPr>
                <w:rFonts w:ascii="宋体" w:eastAsia="宋体" w:hAnsi="宋体"/>
                <w:b/>
                <w:sz w:val="18"/>
                <w:szCs w:val="18"/>
              </w:rPr>
            </w:pPr>
            <w:r w:rsidRPr="001B3430">
              <w:rPr>
                <w:rFonts w:ascii="宋体" w:eastAsia="宋体" w:hAnsi="宋体"/>
                <w:b/>
                <w:sz w:val="18"/>
                <w:szCs w:val="18"/>
              </w:rPr>
              <w:t>排名</w:t>
            </w:r>
          </w:p>
        </w:tc>
        <w:tc>
          <w:tcPr>
            <w:tcW w:w="850" w:type="dxa"/>
            <w:tcBorders>
              <w:left w:val="single" w:sz="6" w:space="0" w:color="FF6600"/>
              <w:right w:val="single" w:sz="6" w:space="0" w:color="FF6600"/>
            </w:tcBorders>
            <w:shd w:val="clear" w:color="auto" w:fill="FDE9D9" w:themeFill="accent6" w:themeFillTint="33"/>
            <w:vAlign w:val="center"/>
          </w:tcPr>
          <w:p w:rsidR="001B3430" w:rsidRPr="001B3430" w:rsidRDefault="001B3430" w:rsidP="0090090A">
            <w:pPr>
              <w:snapToGrid w:val="0"/>
              <w:spacing w:line="10" w:lineRule="atLeast"/>
              <w:jc w:val="center"/>
              <w:rPr>
                <w:rFonts w:ascii="宋体" w:eastAsia="宋体" w:hAnsi="宋体"/>
                <w:b/>
                <w:sz w:val="18"/>
                <w:szCs w:val="18"/>
              </w:rPr>
            </w:pPr>
            <w:r w:rsidRPr="001B3430">
              <w:rPr>
                <w:rFonts w:ascii="宋体" w:eastAsia="宋体" w:hAnsi="宋体"/>
                <w:b/>
                <w:sz w:val="18"/>
                <w:szCs w:val="18"/>
              </w:rPr>
              <w:t>夏普比率</w:t>
            </w:r>
          </w:p>
        </w:tc>
        <w:tc>
          <w:tcPr>
            <w:tcW w:w="851" w:type="dxa"/>
            <w:tcBorders>
              <w:left w:val="single" w:sz="6" w:space="0" w:color="FF6600"/>
              <w:right w:val="single" w:sz="6" w:space="0" w:color="FF6600"/>
            </w:tcBorders>
            <w:shd w:val="clear" w:color="auto" w:fill="FDE9D9" w:themeFill="accent6" w:themeFillTint="33"/>
            <w:vAlign w:val="center"/>
          </w:tcPr>
          <w:p w:rsidR="001B3430" w:rsidRPr="001B3430" w:rsidRDefault="001B3430" w:rsidP="0090090A">
            <w:pPr>
              <w:snapToGrid w:val="0"/>
              <w:spacing w:line="10" w:lineRule="atLeast"/>
              <w:jc w:val="center"/>
              <w:rPr>
                <w:rFonts w:ascii="宋体" w:eastAsia="宋体" w:hAnsi="宋体"/>
                <w:b/>
                <w:sz w:val="18"/>
                <w:szCs w:val="18"/>
              </w:rPr>
            </w:pPr>
            <w:r w:rsidRPr="001B3430">
              <w:rPr>
                <w:rFonts w:ascii="宋体" w:eastAsia="宋体" w:hAnsi="宋体"/>
                <w:b/>
                <w:sz w:val="18"/>
                <w:szCs w:val="18"/>
              </w:rPr>
              <w:t>排名</w:t>
            </w:r>
          </w:p>
        </w:tc>
        <w:tc>
          <w:tcPr>
            <w:tcW w:w="850" w:type="dxa"/>
            <w:tcBorders>
              <w:left w:val="single" w:sz="6" w:space="0" w:color="FF6600"/>
              <w:right w:val="single" w:sz="6" w:space="0" w:color="FF6600"/>
            </w:tcBorders>
            <w:shd w:val="clear" w:color="auto" w:fill="FDE9D9" w:themeFill="accent6" w:themeFillTint="33"/>
            <w:vAlign w:val="center"/>
          </w:tcPr>
          <w:p w:rsidR="001B3430" w:rsidRPr="001B3430" w:rsidRDefault="001B3430" w:rsidP="0090090A">
            <w:pPr>
              <w:snapToGrid w:val="0"/>
              <w:spacing w:line="10" w:lineRule="atLeast"/>
              <w:jc w:val="center"/>
              <w:rPr>
                <w:rFonts w:ascii="宋体" w:eastAsia="宋体" w:hAnsi="宋体"/>
                <w:b/>
                <w:sz w:val="18"/>
                <w:szCs w:val="18"/>
              </w:rPr>
            </w:pPr>
            <w:r w:rsidRPr="001B3430">
              <w:rPr>
                <w:rFonts w:ascii="宋体" w:eastAsia="宋体" w:hAnsi="宋体"/>
                <w:b/>
                <w:sz w:val="18"/>
                <w:szCs w:val="18"/>
              </w:rPr>
              <w:t>夏普比率</w:t>
            </w:r>
          </w:p>
        </w:tc>
        <w:tc>
          <w:tcPr>
            <w:tcW w:w="841" w:type="dxa"/>
            <w:tcBorders>
              <w:left w:val="single" w:sz="6" w:space="0" w:color="FF6600"/>
              <w:right w:val="single" w:sz="6" w:space="0" w:color="FF6600"/>
            </w:tcBorders>
            <w:shd w:val="clear" w:color="auto" w:fill="FDE9D9" w:themeFill="accent6" w:themeFillTint="33"/>
            <w:vAlign w:val="center"/>
          </w:tcPr>
          <w:p w:rsidR="001B3430" w:rsidRPr="001B3430" w:rsidRDefault="001B3430" w:rsidP="0090090A">
            <w:pPr>
              <w:snapToGrid w:val="0"/>
              <w:spacing w:line="10" w:lineRule="atLeast"/>
              <w:jc w:val="center"/>
              <w:rPr>
                <w:rFonts w:ascii="宋体" w:eastAsia="宋体" w:hAnsi="宋体"/>
                <w:b/>
                <w:sz w:val="18"/>
                <w:szCs w:val="18"/>
              </w:rPr>
            </w:pPr>
            <w:r w:rsidRPr="001B3430">
              <w:rPr>
                <w:rFonts w:ascii="宋体" w:eastAsia="宋体" w:hAnsi="宋体"/>
                <w:b/>
                <w:sz w:val="18"/>
                <w:szCs w:val="18"/>
              </w:rPr>
              <w:t>排名</w:t>
            </w:r>
          </w:p>
        </w:tc>
        <w:tc>
          <w:tcPr>
            <w:tcW w:w="931" w:type="dxa"/>
            <w:vMerge/>
            <w:tcBorders>
              <w:left w:val="single" w:sz="6" w:space="0" w:color="FF6600"/>
            </w:tcBorders>
            <w:shd w:val="clear" w:color="auto" w:fill="FDE9D9" w:themeFill="accent6" w:themeFillTint="33"/>
            <w:vAlign w:val="center"/>
          </w:tcPr>
          <w:p w:rsidR="001B3430" w:rsidRPr="00BC4211" w:rsidRDefault="001B3430" w:rsidP="0090090A">
            <w:pPr>
              <w:snapToGrid w:val="0"/>
              <w:spacing w:line="10" w:lineRule="atLeast"/>
              <w:jc w:val="center"/>
              <w:rPr>
                <w:rFonts w:ascii="宋体" w:eastAsia="宋体" w:hAnsi="宋体"/>
                <w:sz w:val="18"/>
                <w:szCs w:val="18"/>
              </w:rPr>
            </w:pPr>
          </w:p>
        </w:tc>
      </w:tr>
      <w:tr w:rsidR="001B3430" w:rsidTr="002F05A2">
        <w:trPr>
          <w:cantSplit/>
          <w:trHeight w:val="351"/>
        </w:trPr>
        <w:tc>
          <w:tcPr>
            <w:tcW w:w="1843" w:type="dxa"/>
            <w:tcBorders>
              <w:right w:val="single" w:sz="6" w:space="0" w:color="FF6600"/>
            </w:tcBorders>
            <w:shd w:val="clear" w:color="auto" w:fill="auto"/>
            <w:vAlign w:val="center"/>
          </w:tcPr>
          <w:p w:rsidR="001B3430" w:rsidRPr="001B3430" w:rsidRDefault="001B3430" w:rsidP="005314D9">
            <w:pPr>
              <w:snapToGrid w:val="0"/>
              <w:jc w:val="center"/>
              <w:rPr>
                <w:rFonts w:ascii="Arial" w:eastAsia="宋体" w:hAnsi="Arial" w:cs="Arial"/>
                <w:sz w:val="18"/>
                <w:szCs w:val="18"/>
              </w:rPr>
            </w:pPr>
            <w:r w:rsidRPr="001B3430">
              <w:rPr>
                <w:rFonts w:ascii="Arial" w:hAnsi="Arial" w:cs="Arial"/>
                <w:sz w:val="18"/>
                <w:szCs w:val="18"/>
              </w:rPr>
              <w:t>交银国信</w:t>
            </w:r>
            <w:r w:rsidRPr="001B3430">
              <w:rPr>
                <w:rFonts w:ascii="Arial" w:hAnsi="Arial" w:cs="Arial"/>
                <w:sz w:val="18"/>
                <w:szCs w:val="18"/>
              </w:rPr>
              <w:t>•</w:t>
            </w:r>
            <w:r w:rsidRPr="001B3430">
              <w:rPr>
                <w:rFonts w:ascii="Arial" w:hAnsi="Arial" w:cs="Arial"/>
                <w:sz w:val="18"/>
                <w:szCs w:val="18"/>
              </w:rPr>
              <w:t>鼎锋成长一期</w:t>
            </w:r>
          </w:p>
        </w:tc>
        <w:tc>
          <w:tcPr>
            <w:tcW w:w="850" w:type="dxa"/>
            <w:tcBorders>
              <w:left w:val="single" w:sz="6" w:space="0" w:color="FF6600"/>
              <w:right w:val="single" w:sz="6" w:space="0" w:color="FF6600"/>
            </w:tcBorders>
            <w:shd w:val="clear" w:color="auto" w:fill="auto"/>
            <w:vAlign w:val="center"/>
          </w:tcPr>
          <w:p w:rsidR="001B3430" w:rsidRPr="001B3430" w:rsidRDefault="001B3430" w:rsidP="005314D9">
            <w:pPr>
              <w:snapToGrid w:val="0"/>
              <w:jc w:val="center"/>
              <w:rPr>
                <w:rFonts w:ascii="Arial" w:hAnsi="Arial" w:cs="Arial"/>
                <w:sz w:val="18"/>
                <w:szCs w:val="18"/>
              </w:rPr>
            </w:pPr>
            <w:r w:rsidRPr="001B3430">
              <w:rPr>
                <w:rFonts w:ascii="Arial" w:hAnsi="Arial" w:cs="Arial" w:hint="eastAsia"/>
                <w:sz w:val="18"/>
                <w:szCs w:val="18"/>
              </w:rPr>
              <w:t xml:space="preserve">1.89 </w:t>
            </w:r>
          </w:p>
        </w:tc>
        <w:tc>
          <w:tcPr>
            <w:tcW w:w="851" w:type="dxa"/>
            <w:tcBorders>
              <w:left w:val="single" w:sz="6" w:space="0" w:color="FF6600"/>
              <w:right w:val="single" w:sz="6" w:space="0" w:color="FF6600"/>
            </w:tcBorders>
            <w:shd w:val="clear" w:color="auto" w:fill="auto"/>
            <w:vAlign w:val="center"/>
          </w:tcPr>
          <w:p w:rsidR="001B3430" w:rsidRPr="001B3430" w:rsidRDefault="004207BC" w:rsidP="005314D9">
            <w:pPr>
              <w:snapToGrid w:val="0"/>
              <w:spacing w:line="10" w:lineRule="atLeast"/>
              <w:jc w:val="center"/>
              <w:rPr>
                <w:rFonts w:ascii="Arial" w:hAnsi="Arial" w:cs="Arial"/>
                <w:sz w:val="18"/>
                <w:szCs w:val="18"/>
              </w:rPr>
            </w:pPr>
            <w:r>
              <w:rPr>
                <w:rFonts w:ascii="Arial" w:hAnsi="Arial" w:cs="Arial" w:hint="eastAsia"/>
                <w:sz w:val="18"/>
                <w:szCs w:val="18"/>
              </w:rPr>
              <w:t>65</w:t>
            </w:r>
            <w:r w:rsidR="001B3430" w:rsidRPr="001B3430">
              <w:rPr>
                <w:rFonts w:ascii="Arial" w:hAnsi="Arial" w:cs="Arial" w:hint="eastAsia"/>
                <w:sz w:val="18"/>
                <w:szCs w:val="18"/>
              </w:rPr>
              <w:t>/733</w:t>
            </w:r>
          </w:p>
        </w:tc>
        <w:tc>
          <w:tcPr>
            <w:tcW w:w="850" w:type="dxa"/>
            <w:tcBorders>
              <w:left w:val="single" w:sz="6" w:space="0" w:color="FF6600"/>
              <w:right w:val="single" w:sz="6" w:space="0" w:color="FF6600"/>
            </w:tcBorders>
            <w:shd w:val="clear" w:color="auto" w:fill="auto"/>
            <w:vAlign w:val="center"/>
          </w:tcPr>
          <w:p w:rsidR="001B3430" w:rsidRPr="001B3430" w:rsidRDefault="008236A6" w:rsidP="005314D9">
            <w:pPr>
              <w:snapToGrid w:val="0"/>
              <w:spacing w:line="10" w:lineRule="atLeast"/>
              <w:jc w:val="center"/>
              <w:rPr>
                <w:rFonts w:ascii="Arial" w:hAnsi="Arial" w:cs="Arial"/>
                <w:sz w:val="18"/>
                <w:szCs w:val="18"/>
              </w:rPr>
            </w:pPr>
            <w:r>
              <w:rPr>
                <w:rFonts w:ascii="Arial" w:hAnsi="Arial" w:cs="Arial" w:hint="eastAsia"/>
                <w:sz w:val="18"/>
                <w:szCs w:val="18"/>
              </w:rPr>
              <w:t>1.61</w:t>
            </w:r>
          </w:p>
        </w:tc>
        <w:tc>
          <w:tcPr>
            <w:tcW w:w="851" w:type="dxa"/>
            <w:tcBorders>
              <w:left w:val="single" w:sz="6" w:space="0" w:color="FF6600"/>
              <w:right w:val="single" w:sz="6" w:space="0" w:color="FF6600"/>
            </w:tcBorders>
            <w:shd w:val="clear" w:color="auto" w:fill="auto"/>
            <w:vAlign w:val="center"/>
          </w:tcPr>
          <w:p w:rsidR="001B3430" w:rsidRPr="001B3430" w:rsidRDefault="008236A6" w:rsidP="005314D9">
            <w:pPr>
              <w:snapToGrid w:val="0"/>
              <w:spacing w:line="10" w:lineRule="atLeast"/>
              <w:jc w:val="center"/>
              <w:rPr>
                <w:rFonts w:ascii="Arial" w:hAnsi="Arial" w:cs="Arial"/>
                <w:sz w:val="18"/>
                <w:szCs w:val="18"/>
              </w:rPr>
            </w:pPr>
            <w:r>
              <w:rPr>
                <w:rFonts w:ascii="Arial" w:hAnsi="Arial" w:cs="Arial" w:hint="eastAsia"/>
                <w:sz w:val="18"/>
                <w:szCs w:val="18"/>
              </w:rPr>
              <w:t>11</w:t>
            </w:r>
            <w:r w:rsidR="002F05A2">
              <w:rPr>
                <w:rFonts w:ascii="Arial" w:hAnsi="Arial" w:cs="Arial" w:hint="eastAsia"/>
                <w:sz w:val="18"/>
                <w:szCs w:val="18"/>
              </w:rPr>
              <w:t>/652</w:t>
            </w:r>
          </w:p>
        </w:tc>
        <w:tc>
          <w:tcPr>
            <w:tcW w:w="850" w:type="dxa"/>
            <w:tcBorders>
              <w:left w:val="single" w:sz="6" w:space="0" w:color="FF6600"/>
              <w:right w:val="single" w:sz="6" w:space="0" w:color="FF6600"/>
            </w:tcBorders>
            <w:shd w:val="clear" w:color="auto" w:fill="auto"/>
            <w:vAlign w:val="center"/>
          </w:tcPr>
          <w:p w:rsidR="001B3430" w:rsidRPr="001B3430" w:rsidRDefault="008236A6" w:rsidP="005314D9">
            <w:pPr>
              <w:snapToGrid w:val="0"/>
              <w:spacing w:line="10" w:lineRule="atLeast"/>
              <w:jc w:val="center"/>
              <w:rPr>
                <w:rFonts w:ascii="Arial" w:hAnsi="Arial" w:cs="Arial"/>
                <w:sz w:val="18"/>
                <w:szCs w:val="18"/>
              </w:rPr>
            </w:pPr>
            <w:r>
              <w:rPr>
                <w:rFonts w:ascii="Arial" w:hAnsi="Arial" w:cs="Arial" w:hint="eastAsia"/>
                <w:sz w:val="18"/>
                <w:szCs w:val="18"/>
              </w:rPr>
              <w:t>0.44</w:t>
            </w:r>
          </w:p>
        </w:tc>
        <w:tc>
          <w:tcPr>
            <w:tcW w:w="841" w:type="dxa"/>
            <w:tcBorders>
              <w:left w:val="single" w:sz="6" w:space="0" w:color="FF6600"/>
              <w:right w:val="single" w:sz="6" w:space="0" w:color="FF6600"/>
            </w:tcBorders>
            <w:shd w:val="clear" w:color="auto" w:fill="auto"/>
            <w:vAlign w:val="center"/>
          </w:tcPr>
          <w:p w:rsidR="001B3430" w:rsidRPr="001B3430" w:rsidRDefault="008236A6" w:rsidP="005314D9">
            <w:pPr>
              <w:snapToGrid w:val="0"/>
              <w:spacing w:line="10" w:lineRule="atLeast"/>
              <w:jc w:val="center"/>
              <w:rPr>
                <w:rFonts w:ascii="Arial" w:hAnsi="Arial" w:cs="Arial"/>
                <w:sz w:val="18"/>
                <w:szCs w:val="18"/>
              </w:rPr>
            </w:pPr>
            <w:r>
              <w:rPr>
                <w:rFonts w:ascii="Arial" w:hAnsi="Arial" w:cs="Arial" w:hint="eastAsia"/>
                <w:sz w:val="18"/>
                <w:szCs w:val="18"/>
              </w:rPr>
              <w:t>44</w:t>
            </w:r>
            <w:r w:rsidR="002F05A2">
              <w:rPr>
                <w:rFonts w:ascii="Arial" w:hAnsi="Arial" w:cs="Arial" w:hint="eastAsia"/>
                <w:sz w:val="18"/>
                <w:szCs w:val="18"/>
              </w:rPr>
              <w:t>/449</w:t>
            </w:r>
          </w:p>
        </w:tc>
        <w:tc>
          <w:tcPr>
            <w:tcW w:w="931" w:type="dxa"/>
            <w:tcBorders>
              <w:left w:val="single" w:sz="6" w:space="0" w:color="FF6600"/>
            </w:tcBorders>
            <w:shd w:val="clear" w:color="auto" w:fill="auto"/>
            <w:vAlign w:val="center"/>
          </w:tcPr>
          <w:p w:rsidR="001B3430" w:rsidRPr="00721C58" w:rsidRDefault="001B3430" w:rsidP="005314D9">
            <w:pPr>
              <w:snapToGrid w:val="0"/>
              <w:spacing w:line="10" w:lineRule="atLeast"/>
              <w:jc w:val="center"/>
              <w:rPr>
                <w:rFonts w:ascii="宋体" w:eastAsia="宋体" w:hAnsi="宋体"/>
                <w:sz w:val="18"/>
                <w:szCs w:val="18"/>
              </w:rPr>
            </w:pPr>
            <w:r w:rsidRPr="00721C58">
              <w:rPr>
                <w:rFonts w:ascii="宋体" w:eastAsia="宋体" w:hAnsi="宋体" w:hint="eastAsia"/>
                <w:sz w:val="18"/>
                <w:szCs w:val="18"/>
              </w:rPr>
              <w:t>★★★★★</w:t>
            </w:r>
          </w:p>
        </w:tc>
      </w:tr>
      <w:tr w:rsidR="001B3430" w:rsidTr="002F05A2">
        <w:trPr>
          <w:cantSplit/>
          <w:trHeight w:val="351"/>
        </w:trPr>
        <w:tc>
          <w:tcPr>
            <w:tcW w:w="1843" w:type="dxa"/>
            <w:tcBorders>
              <w:right w:val="single" w:sz="6" w:space="0" w:color="FF6600"/>
            </w:tcBorders>
            <w:shd w:val="clear" w:color="auto" w:fill="auto"/>
            <w:vAlign w:val="center"/>
          </w:tcPr>
          <w:p w:rsidR="001B3430" w:rsidRPr="001B3430" w:rsidRDefault="001B3430" w:rsidP="005314D9">
            <w:pPr>
              <w:snapToGrid w:val="0"/>
              <w:jc w:val="center"/>
              <w:rPr>
                <w:rFonts w:ascii="Arial" w:eastAsia="宋体" w:hAnsi="Arial" w:cs="Arial"/>
                <w:sz w:val="18"/>
                <w:szCs w:val="18"/>
              </w:rPr>
            </w:pPr>
            <w:r w:rsidRPr="001B3430">
              <w:rPr>
                <w:rFonts w:ascii="Arial" w:hAnsi="Arial" w:cs="Arial"/>
                <w:sz w:val="18"/>
                <w:szCs w:val="18"/>
              </w:rPr>
              <w:t>联华信托</w:t>
            </w:r>
            <w:r w:rsidRPr="001B3430">
              <w:rPr>
                <w:rFonts w:ascii="Arial" w:hAnsi="Arial" w:cs="Arial"/>
                <w:sz w:val="18"/>
                <w:szCs w:val="18"/>
              </w:rPr>
              <w:t>•</w:t>
            </w:r>
            <w:r w:rsidRPr="001B3430">
              <w:rPr>
                <w:rFonts w:ascii="Arial" w:hAnsi="Arial" w:cs="Arial"/>
                <w:sz w:val="18"/>
                <w:szCs w:val="18"/>
              </w:rPr>
              <w:t>朱雀</w:t>
            </w:r>
            <w:r w:rsidRPr="001B3430">
              <w:rPr>
                <w:rFonts w:ascii="Arial" w:hAnsi="Arial" w:cs="Arial"/>
                <w:sz w:val="18"/>
                <w:szCs w:val="18"/>
              </w:rPr>
              <w:t>18</w:t>
            </w:r>
            <w:r w:rsidRPr="001B3430">
              <w:rPr>
                <w:rFonts w:ascii="Arial" w:hAnsi="Arial" w:cs="Arial"/>
                <w:sz w:val="18"/>
                <w:szCs w:val="18"/>
              </w:rPr>
              <w:t>期</w:t>
            </w:r>
            <w:r w:rsidRPr="001B3430">
              <w:rPr>
                <w:rFonts w:ascii="Arial" w:hAnsi="Arial" w:cs="Arial"/>
                <w:sz w:val="18"/>
                <w:szCs w:val="18"/>
              </w:rPr>
              <w:t>(</w:t>
            </w:r>
            <w:r w:rsidRPr="001B3430">
              <w:rPr>
                <w:rFonts w:ascii="Arial" w:hAnsi="Arial" w:cs="Arial"/>
                <w:sz w:val="18"/>
                <w:szCs w:val="18"/>
              </w:rPr>
              <w:t>大消费行业精选</w:t>
            </w:r>
            <w:r w:rsidRPr="001B3430">
              <w:rPr>
                <w:rFonts w:ascii="Arial" w:hAnsi="Arial" w:cs="Arial"/>
                <w:sz w:val="18"/>
                <w:szCs w:val="18"/>
              </w:rPr>
              <w:t>)</w:t>
            </w:r>
          </w:p>
        </w:tc>
        <w:tc>
          <w:tcPr>
            <w:tcW w:w="850" w:type="dxa"/>
            <w:tcBorders>
              <w:left w:val="single" w:sz="6" w:space="0" w:color="FF6600"/>
              <w:right w:val="single" w:sz="6" w:space="0" w:color="FF6600"/>
            </w:tcBorders>
            <w:shd w:val="clear" w:color="auto" w:fill="auto"/>
            <w:vAlign w:val="center"/>
          </w:tcPr>
          <w:p w:rsidR="001B3430" w:rsidRPr="001B3430" w:rsidRDefault="00077228" w:rsidP="005314D9">
            <w:pPr>
              <w:snapToGrid w:val="0"/>
              <w:jc w:val="center"/>
              <w:rPr>
                <w:rFonts w:ascii="Arial" w:hAnsi="Arial" w:cs="Arial"/>
                <w:sz w:val="18"/>
                <w:szCs w:val="18"/>
              </w:rPr>
            </w:pPr>
            <w:r>
              <w:rPr>
                <w:rFonts w:ascii="Arial" w:hAnsi="Arial" w:cs="Arial" w:hint="eastAsia"/>
                <w:sz w:val="18"/>
                <w:szCs w:val="18"/>
              </w:rPr>
              <w:t>2.43</w:t>
            </w:r>
          </w:p>
        </w:tc>
        <w:tc>
          <w:tcPr>
            <w:tcW w:w="851" w:type="dxa"/>
            <w:tcBorders>
              <w:left w:val="single" w:sz="6" w:space="0" w:color="FF6600"/>
              <w:right w:val="single" w:sz="6" w:space="0" w:color="FF6600"/>
            </w:tcBorders>
            <w:shd w:val="clear" w:color="auto" w:fill="auto"/>
            <w:vAlign w:val="center"/>
          </w:tcPr>
          <w:p w:rsidR="001B3430" w:rsidRPr="001B3430" w:rsidRDefault="00077228" w:rsidP="005314D9">
            <w:pPr>
              <w:snapToGrid w:val="0"/>
              <w:jc w:val="center"/>
              <w:rPr>
                <w:rFonts w:ascii="Arial" w:hAnsi="Arial" w:cs="Arial"/>
                <w:sz w:val="18"/>
                <w:szCs w:val="18"/>
              </w:rPr>
            </w:pPr>
            <w:r>
              <w:rPr>
                <w:rFonts w:ascii="Arial" w:hAnsi="Arial" w:cs="Arial" w:hint="eastAsia"/>
                <w:sz w:val="18"/>
                <w:szCs w:val="18"/>
              </w:rPr>
              <w:t>16</w:t>
            </w:r>
            <w:r w:rsidR="001B3430" w:rsidRPr="001B3430">
              <w:rPr>
                <w:rFonts w:ascii="Arial" w:hAnsi="Arial" w:cs="Arial" w:hint="eastAsia"/>
                <w:sz w:val="18"/>
                <w:szCs w:val="18"/>
              </w:rPr>
              <w:t>/733</w:t>
            </w:r>
          </w:p>
        </w:tc>
        <w:tc>
          <w:tcPr>
            <w:tcW w:w="850" w:type="dxa"/>
            <w:tcBorders>
              <w:left w:val="single" w:sz="6" w:space="0" w:color="FF6600"/>
              <w:right w:val="single" w:sz="6" w:space="0" w:color="FF6600"/>
            </w:tcBorders>
            <w:shd w:val="clear" w:color="auto" w:fill="auto"/>
            <w:vAlign w:val="center"/>
          </w:tcPr>
          <w:p w:rsidR="001B3430" w:rsidRPr="001B3430" w:rsidRDefault="008236A6" w:rsidP="005314D9">
            <w:pPr>
              <w:snapToGrid w:val="0"/>
              <w:jc w:val="center"/>
              <w:rPr>
                <w:rFonts w:ascii="Arial" w:hAnsi="Arial" w:cs="Arial"/>
                <w:sz w:val="18"/>
                <w:szCs w:val="18"/>
              </w:rPr>
            </w:pPr>
            <w:r>
              <w:rPr>
                <w:rFonts w:ascii="Arial" w:hAnsi="Arial" w:cs="Arial" w:hint="eastAsia"/>
                <w:sz w:val="18"/>
                <w:szCs w:val="18"/>
              </w:rPr>
              <w:t>1.09</w:t>
            </w:r>
          </w:p>
        </w:tc>
        <w:tc>
          <w:tcPr>
            <w:tcW w:w="851" w:type="dxa"/>
            <w:tcBorders>
              <w:left w:val="single" w:sz="6" w:space="0" w:color="FF6600"/>
              <w:right w:val="single" w:sz="6" w:space="0" w:color="FF6600"/>
            </w:tcBorders>
            <w:shd w:val="clear" w:color="auto" w:fill="auto"/>
            <w:vAlign w:val="center"/>
          </w:tcPr>
          <w:p w:rsidR="001B3430" w:rsidRPr="001B3430" w:rsidRDefault="008236A6" w:rsidP="005314D9">
            <w:pPr>
              <w:snapToGrid w:val="0"/>
              <w:jc w:val="center"/>
              <w:rPr>
                <w:rFonts w:ascii="Arial" w:hAnsi="Arial" w:cs="Arial"/>
                <w:sz w:val="18"/>
                <w:szCs w:val="18"/>
              </w:rPr>
            </w:pPr>
            <w:r>
              <w:rPr>
                <w:rFonts w:ascii="Arial" w:hAnsi="Arial" w:cs="Arial" w:hint="eastAsia"/>
                <w:sz w:val="18"/>
                <w:szCs w:val="18"/>
              </w:rPr>
              <w:t>56</w:t>
            </w:r>
            <w:r w:rsidR="002F05A2">
              <w:rPr>
                <w:rFonts w:ascii="Arial" w:hAnsi="Arial" w:cs="Arial" w:hint="eastAsia"/>
                <w:sz w:val="18"/>
                <w:szCs w:val="18"/>
              </w:rPr>
              <w:t>/652</w:t>
            </w:r>
          </w:p>
        </w:tc>
        <w:tc>
          <w:tcPr>
            <w:tcW w:w="850" w:type="dxa"/>
            <w:tcBorders>
              <w:left w:val="single" w:sz="6" w:space="0" w:color="FF6600"/>
              <w:right w:val="single" w:sz="6" w:space="0" w:color="FF6600"/>
            </w:tcBorders>
            <w:shd w:val="clear" w:color="auto" w:fill="auto"/>
            <w:vAlign w:val="center"/>
          </w:tcPr>
          <w:p w:rsidR="001B3430" w:rsidRPr="001B3430" w:rsidRDefault="0081568F" w:rsidP="005314D9">
            <w:pPr>
              <w:snapToGrid w:val="0"/>
              <w:jc w:val="center"/>
              <w:rPr>
                <w:rFonts w:ascii="Arial" w:hAnsi="Arial" w:cs="Arial"/>
                <w:sz w:val="18"/>
                <w:szCs w:val="18"/>
              </w:rPr>
            </w:pPr>
            <w:r>
              <w:rPr>
                <w:rFonts w:ascii="Arial" w:hAnsi="Arial" w:cs="Arial" w:hint="eastAsia"/>
                <w:sz w:val="18"/>
                <w:szCs w:val="18"/>
              </w:rPr>
              <w:t>0.32</w:t>
            </w:r>
          </w:p>
        </w:tc>
        <w:tc>
          <w:tcPr>
            <w:tcW w:w="841" w:type="dxa"/>
            <w:tcBorders>
              <w:left w:val="single" w:sz="6" w:space="0" w:color="FF6600"/>
              <w:right w:val="single" w:sz="6" w:space="0" w:color="FF6600"/>
            </w:tcBorders>
            <w:shd w:val="clear" w:color="auto" w:fill="auto"/>
            <w:vAlign w:val="center"/>
          </w:tcPr>
          <w:p w:rsidR="001B3430" w:rsidRPr="001B3430" w:rsidRDefault="0081568F" w:rsidP="005314D9">
            <w:pPr>
              <w:snapToGrid w:val="0"/>
              <w:jc w:val="center"/>
              <w:rPr>
                <w:rFonts w:ascii="Arial" w:hAnsi="Arial" w:cs="Arial"/>
                <w:sz w:val="18"/>
                <w:szCs w:val="18"/>
              </w:rPr>
            </w:pPr>
            <w:r>
              <w:rPr>
                <w:rFonts w:ascii="Arial" w:hAnsi="Arial" w:cs="Arial" w:hint="eastAsia"/>
                <w:sz w:val="18"/>
                <w:szCs w:val="18"/>
              </w:rPr>
              <w:t>49</w:t>
            </w:r>
            <w:r w:rsidR="002F05A2">
              <w:rPr>
                <w:rFonts w:ascii="Arial" w:hAnsi="Arial" w:cs="Arial" w:hint="eastAsia"/>
                <w:sz w:val="18"/>
                <w:szCs w:val="18"/>
              </w:rPr>
              <w:t>/449</w:t>
            </w:r>
          </w:p>
        </w:tc>
        <w:tc>
          <w:tcPr>
            <w:tcW w:w="931" w:type="dxa"/>
            <w:tcBorders>
              <w:left w:val="single" w:sz="6" w:space="0" w:color="FF6600"/>
            </w:tcBorders>
            <w:shd w:val="clear" w:color="auto" w:fill="auto"/>
            <w:vAlign w:val="center"/>
          </w:tcPr>
          <w:p w:rsidR="001B3430" w:rsidRPr="004A4649" w:rsidRDefault="001B3430" w:rsidP="005314D9">
            <w:pPr>
              <w:snapToGrid w:val="0"/>
              <w:spacing w:line="10" w:lineRule="atLeast"/>
              <w:jc w:val="center"/>
              <w:rPr>
                <w:rFonts w:ascii="宋体" w:eastAsia="宋体" w:hAnsi="宋体"/>
                <w:sz w:val="18"/>
                <w:szCs w:val="18"/>
              </w:rPr>
            </w:pPr>
            <w:r w:rsidRPr="00721C58">
              <w:rPr>
                <w:rFonts w:ascii="宋体" w:eastAsia="宋体" w:hAnsi="宋体" w:hint="eastAsia"/>
                <w:sz w:val="18"/>
                <w:szCs w:val="18"/>
              </w:rPr>
              <w:t>★★★★★</w:t>
            </w:r>
          </w:p>
        </w:tc>
      </w:tr>
      <w:tr w:rsidR="0055350B" w:rsidTr="002F05A2">
        <w:trPr>
          <w:cantSplit/>
          <w:trHeight w:val="351"/>
        </w:trPr>
        <w:tc>
          <w:tcPr>
            <w:tcW w:w="1843" w:type="dxa"/>
            <w:tcBorders>
              <w:right w:val="single" w:sz="6" w:space="0" w:color="FF6600"/>
            </w:tcBorders>
            <w:shd w:val="clear" w:color="auto" w:fill="auto"/>
            <w:vAlign w:val="center"/>
          </w:tcPr>
          <w:p w:rsidR="0055350B" w:rsidRPr="001B3430" w:rsidRDefault="0055350B" w:rsidP="005314D9">
            <w:pPr>
              <w:snapToGrid w:val="0"/>
              <w:jc w:val="center"/>
              <w:rPr>
                <w:rFonts w:ascii="Arial" w:eastAsia="宋体" w:hAnsi="Arial" w:cs="Arial"/>
                <w:sz w:val="18"/>
                <w:szCs w:val="18"/>
              </w:rPr>
            </w:pPr>
            <w:r w:rsidRPr="001B3430">
              <w:rPr>
                <w:rFonts w:ascii="Arial" w:hAnsi="Arial" w:cs="Arial"/>
                <w:sz w:val="18"/>
                <w:szCs w:val="18"/>
              </w:rPr>
              <w:t>中信信托</w:t>
            </w:r>
            <w:r w:rsidRPr="001B3430">
              <w:rPr>
                <w:rFonts w:ascii="Arial" w:hAnsi="Arial" w:cs="Arial"/>
                <w:sz w:val="18"/>
                <w:szCs w:val="18"/>
              </w:rPr>
              <w:t>•</w:t>
            </w:r>
            <w:r w:rsidRPr="001B3430">
              <w:rPr>
                <w:rFonts w:ascii="Arial" w:hAnsi="Arial" w:cs="Arial"/>
                <w:sz w:val="18"/>
                <w:szCs w:val="18"/>
              </w:rPr>
              <w:t>明曜</w:t>
            </w:r>
            <w:r w:rsidRPr="001B3430">
              <w:rPr>
                <w:rFonts w:ascii="Arial" w:hAnsi="Arial" w:cs="Arial"/>
                <w:sz w:val="18"/>
                <w:szCs w:val="18"/>
              </w:rPr>
              <w:t>1</w:t>
            </w:r>
            <w:r w:rsidRPr="001B3430">
              <w:rPr>
                <w:rFonts w:ascii="Arial" w:hAnsi="Arial" w:cs="Arial"/>
                <w:sz w:val="18"/>
                <w:szCs w:val="18"/>
              </w:rPr>
              <w:t>期</w:t>
            </w:r>
          </w:p>
        </w:tc>
        <w:tc>
          <w:tcPr>
            <w:tcW w:w="850"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2.35</w:t>
            </w:r>
          </w:p>
        </w:tc>
        <w:tc>
          <w:tcPr>
            <w:tcW w:w="851"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20</w:t>
            </w:r>
            <w:r w:rsidRPr="001B3430">
              <w:rPr>
                <w:rFonts w:ascii="Arial" w:hAnsi="Arial" w:cs="Arial" w:hint="eastAsia"/>
                <w:sz w:val="18"/>
                <w:szCs w:val="18"/>
              </w:rPr>
              <w:t>/733</w:t>
            </w:r>
          </w:p>
        </w:tc>
        <w:tc>
          <w:tcPr>
            <w:tcW w:w="850"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0.87</w:t>
            </w:r>
          </w:p>
        </w:tc>
        <w:tc>
          <w:tcPr>
            <w:tcW w:w="851"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91/652</w:t>
            </w:r>
          </w:p>
        </w:tc>
        <w:tc>
          <w:tcPr>
            <w:tcW w:w="850"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0.53</w:t>
            </w:r>
          </w:p>
        </w:tc>
        <w:tc>
          <w:tcPr>
            <w:tcW w:w="841"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38/449</w:t>
            </w:r>
          </w:p>
        </w:tc>
        <w:tc>
          <w:tcPr>
            <w:tcW w:w="931" w:type="dxa"/>
            <w:tcBorders>
              <w:left w:val="single" w:sz="6" w:space="0" w:color="FF6600"/>
            </w:tcBorders>
            <w:shd w:val="clear" w:color="auto" w:fill="auto"/>
            <w:vAlign w:val="center"/>
          </w:tcPr>
          <w:p w:rsidR="0055350B" w:rsidRPr="00BC4211" w:rsidRDefault="0055350B" w:rsidP="005314D9">
            <w:pPr>
              <w:snapToGrid w:val="0"/>
              <w:spacing w:line="10" w:lineRule="atLeast"/>
              <w:jc w:val="center"/>
              <w:rPr>
                <w:rFonts w:ascii="宋体" w:eastAsia="宋体" w:hAnsi="宋体"/>
                <w:sz w:val="18"/>
                <w:szCs w:val="18"/>
              </w:rPr>
            </w:pPr>
            <w:r w:rsidRPr="00721C58">
              <w:rPr>
                <w:rFonts w:ascii="宋体" w:eastAsia="宋体" w:hAnsi="宋体" w:hint="eastAsia"/>
                <w:sz w:val="18"/>
                <w:szCs w:val="18"/>
              </w:rPr>
              <w:t>★★★★★</w:t>
            </w:r>
          </w:p>
        </w:tc>
      </w:tr>
      <w:tr w:rsidR="0055350B" w:rsidTr="002F05A2">
        <w:trPr>
          <w:cantSplit/>
          <w:trHeight w:val="351"/>
        </w:trPr>
        <w:tc>
          <w:tcPr>
            <w:tcW w:w="1843" w:type="dxa"/>
            <w:tcBorders>
              <w:right w:val="single" w:sz="6" w:space="0" w:color="FF6600"/>
            </w:tcBorders>
            <w:shd w:val="clear" w:color="auto" w:fill="auto"/>
            <w:vAlign w:val="center"/>
          </w:tcPr>
          <w:p w:rsidR="0055350B" w:rsidRPr="001B3430" w:rsidRDefault="0055350B" w:rsidP="005314D9">
            <w:pPr>
              <w:snapToGrid w:val="0"/>
              <w:jc w:val="center"/>
              <w:rPr>
                <w:rFonts w:ascii="Arial" w:eastAsia="宋体" w:hAnsi="Arial" w:cs="Arial"/>
                <w:sz w:val="18"/>
                <w:szCs w:val="18"/>
              </w:rPr>
            </w:pPr>
            <w:r w:rsidRPr="001B3430">
              <w:rPr>
                <w:rFonts w:ascii="Arial" w:hAnsi="Arial" w:cs="Arial"/>
                <w:sz w:val="18"/>
                <w:szCs w:val="18"/>
              </w:rPr>
              <w:t>山东信托</w:t>
            </w:r>
            <w:r w:rsidRPr="001B3430">
              <w:rPr>
                <w:rFonts w:ascii="Arial" w:hAnsi="Arial" w:cs="Arial"/>
                <w:sz w:val="18"/>
                <w:szCs w:val="18"/>
              </w:rPr>
              <w:t>-</w:t>
            </w:r>
            <w:r w:rsidRPr="001B3430">
              <w:rPr>
                <w:rFonts w:ascii="Arial" w:hAnsi="Arial" w:cs="Arial"/>
                <w:sz w:val="18"/>
                <w:szCs w:val="18"/>
              </w:rPr>
              <w:t>泽熙瑞金</w:t>
            </w:r>
            <w:r w:rsidRPr="001B3430">
              <w:rPr>
                <w:rFonts w:ascii="Arial" w:hAnsi="Arial" w:cs="Arial"/>
                <w:sz w:val="18"/>
                <w:szCs w:val="18"/>
              </w:rPr>
              <w:t>1</w:t>
            </w:r>
            <w:r w:rsidRPr="001B3430">
              <w:rPr>
                <w:rFonts w:ascii="Arial" w:hAnsi="Arial" w:cs="Arial"/>
                <w:sz w:val="18"/>
                <w:szCs w:val="18"/>
              </w:rPr>
              <w:t>号</w:t>
            </w:r>
          </w:p>
        </w:tc>
        <w:tc>
          <w:tcPr>
            <w:tcW w:w="850"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1.56</w:t>
            </w:r>
          </w:p>
        </w:tc>
        <w:tc>
          <w:tcPr>
            <w:tcW w:w="851"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145</w:t>
            </w:r>
            <w:r w:rsidRPr="001B3430">
              <w:rPr>
                <w:rFonts w:ascii="Arial" w:hAnsi="Arial" w:cs="Arial" w:hint="eastAsia"/>
                <w:sz w:val="18"/>
                <w:szCs w:val="18"/>
              </w:rPr>
              <w:t>/733</w:t>
            </w:r>
          </w:p>
        </w:tc>
        <w:tc>
          <w:tcPr>
            <w:tcW w:w="850"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1.58</w:t>
            </w:r>
          </w:p>
        </w:tc>
        <w:tc>
          <w:tcPr>
            <w:tcW w:w="851"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12/652</w:t>
            </w:r>
          </w:p>
        </w:tc>
        <w:tc>
          <w:tcPr>
            <w:tcW w:w="850"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1.67</w:t>
            </w:r>
          </w:p>
        </w:tc>
        <w:tc>
          <w:tcPr>
            <w:tcW w:w="841"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2/449</w:t>
            </w:r>
          </w:p>
        </w:tc>
        <w:tc>
          <w:tcPr>
            <w:tcW w:w="931" w:type="dxa"/>
            <w:tcBorders>
              <w:left w:val="single" w:sz="6" w:space="0" w:color="FF6600"/>
            </w:tcBorders>
            <w:shd w:val="clear" w:color="auto" w:fill="auto"/>
            <w:vAlign w:val="center"/>
          </w:tcPr>
          <w:p w:rsidR="0055350B" w:rsidRPr="004A4649" w:rsidRDefault="0055350B" w:rsidP="005314D9">
            <w:pPr>
              <w:snapToGrid w:val="0"/>
              <w:spacing w:line="10" w:lineRule="atLeast"/>
              <w:jc w:val="center"/>
              <w:rPr>
                <w:rFonts w:ascii="宋体" w:eastAsia="宋体" w:hAnsi="宋体"/>
                <w:sz w:val="18"/>
                <w:szCs w:val="18"/>
              </w:rPr>
            </w:pPr>
            <w:r w:rsidRPr="00721C58">
              <w:rPr>
                <w:rFonts w:ascii="宋体" w:eastAsia="宋体" w:hAnsi="宋体" w:hint="eastAsia"/>
                <w:sz w:val="18"/>
                <w:szCs w:val="18"/>
              </w:rPr>
              <w:t>★★★★★</w:t>
            </w:r>
          </w:p>
        </w:tc>
      </w:tr>
      <w:tr w:rsidR="0055350B" w:rsidTr="002F05A2">
        <w:trPr>
          <w:cantSplit/>
          <w:trHeight w:val="351"/>
        </w:trPr>
        <w:tc>
          <w:tcPr>
            <w:tcW w:w="1843" w:type="dxa"/>
            <w:tcBorders>
              <w:right w:val="single" w:sz="6" w:space="0" w:color="FF6600"/>
            </w:tcBorders>
            <w:shd w:val="clear" w:color="auto" w:fill="auto"/>
            <w:vAlign w:val="center"/>
          </w:tcPr>
          <w:p w:rsidR="0055350B" w:rsidRPr="001B3430" w:rsidRDefault="0055350B" w:rsidP="005314D9">
            <w:pPr>
              <w:snapToGrid w:val="0"/>
              <w:jc w:val="center"/>
              <w:rPr>
                <w:rFonts w:ascii="Arial" w:eastAsia="宋体" w:hAnsi="Arial" w:cs="Arial"/>
                <w:sz w:val="18"/>
                <w:szCs w:val="18"/>
              </w:rPr>
            </w:pPr>
            <w:r w:rsidRPr="001B3430">
              <w:rPr>
                <w:rFonts w:ascii="Arial" w:hAnsi="Arial" w:cs="Arial"/>
                <w:sz w:val="18"/>
                <w:szCs w:val="18"/>
              </w:rPr>
              <w:t>深国投</w:t>
            </w:r>
            <w:r w:rsidRPr="001B3430">
              <w:rPr>
                <w:rFonts w:ascii="Arial" w:hAnsi="Arial" w:cs="Arial"/>
                <w:sz w:val="18"/>
                <w:szCs w:val="18"/>
              </w:rPr>
              <w:t>•</w:t>
            </w:r>
            <w:r w:rsidRPr="001B3430">
              <w:rPr>
                <w:rFonts w:ascii="Arial" w:hAnsi="Arial" w:cs="Arial"/>
                <w:sz w:val="18"/>
                <w:szCs w:val="18"/>
              </w:rPr>
              <w:t>景林丰收</w:t>
            </w:r>
          </w:p>
        </w:tc>
        <w:tc>
          <w:tcPr>
            <w:tcW w:w="850"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1.37</w:t>
            </w:r>
          </w:p>
        </w:tc>
        <w:tc>
          <w:tcPr>
            <w:tcW w:w="851"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205</w:t>
            </w:r>
            <w:r w:rsidRPr="001B3430">
              <w:rPr>
                <w:rFonts w:ascii="Arial" w:hAnsi="Arial" w:cs="Arial" w:hint="eastAsia"/>
                <w:sz w:val="18"/>
                <w:szCs w:val="18"/>
              </w:rPr>
              <w:t>/733</w:t>
            </w:r>
          </w:p>
        </w:tc>
        <w:tc>
          <w:tcPr>
            <w:tcW w:w="850"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0.92</w:t>
            </w:r>
          </w:p>
        </w:tc>
        <w:tc>
          <w:tcPr>
            <w:tcW w:w="851"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72/652</w:t>
            </w:r>
          </w:p>
        </w:tc>
        <w:tc>
          <w:tcPr>
            <w:tcW w:w="850"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0.53</w:t>
            </w:r>
          </w:p>
        </w:tc>
        <w:tc>
          <w:tcPr>
            <w:tcW w:w="841"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39/449</w:t>
            </w:r>
          </w:p>
        </w:tc>
        <w:tc>
          <w:tcPr>
            <w:tcW w:w="931" w:type="dxa"/>
            <w:tcBorders>
              <w:left w:val="single" w:sz="6" w:space="0" w:color="FF6600"/>
            </w:tcBorders>
            <w:shd w:val="clear" w:color="auto" w:fill="auto"/>
            <w:vAlign w:val="center"/>
          </w:tcPr>
          <w:p w:rsidR="0055350B" w:rsidRPr="004A4649" w:rsidRDefault="0055350B" w:rsidP="005314D9">
            <w:pPr>
              <w:snapToGrid w:val="0"/>
              <w:spacing w:line="10" w:lineRule="atLeast"/>
              <w:jc w:val="center"/>
              <w:rPr>
                <w:rFonts w:ascii="宋体" w:eastAsia="宋体" w:hAnsi="宋体"/>
                <w:sz w:val="18"/>
                <w:szCs w:val="18"/>
              </w:rPr>
            </w:pPr>
            <w:r w:rsidRPr="00721C58">
              <w:rPr>
                <w:rFonts w:ascii="宋体" w:eastAsia="宋体" w:hAnsi="宋体" w:hint="eastAsia"/>
                <w:sz w:val="18"/>
                <w:szCs w:val="18"/>
              </w:rPr>
              <w:t>★★★★★</w:t>
            </w:r>
          </w:p>
        </w:tc>
      </w:tr>
      <w:tr w:rsidR="0055350B" w:rsidTr="002F05A2">
        <w:trPr>
          <w:cantSplit/>
          <w:trHeight w:val="351"/>
        </w:trPr>
        <w:tc>
          <w:tcPr>
            <w:tcW w:w="1843" w:type="dxa"/>
            <w:tcBorders>
              <w:right w:val="single" w:sz="6" w:space="0" w:color="FF6600"/>
            </w:tcBorders>
            <w:shd w:val="clear" w:color="auto" w:fill="auto"/>
            <w:vAlign w:val="center"/>
          </w:tcPr>
          <w:p w:rsidR="0055350B" w:rsidRPr="001B3430" w:rsidRDefault="0055350B" w:rsidP="005314D9">
            <w:pPr>
              <w:snapToGrid w:val="0"/>
              <w:jc w:val="center"/>
              <w:rPr>
                <w:rFonts w:ascii="Arial" w:eastAsia="宋体" w:hAnsi="Arial" w:cs="Arial"/>
                <w:sz w:val="18"/>
                <w:szCs w:val="18"/>
              </w:rPr>
            </w:pPr>
            <w:r w:rsidRPr="001B3430">
              <w:rPr>
                <w:rFonts w:ascii="Arial" w:hAnsi="Arial" w:cs="Arial"/>
                <w:sz w:val="18"/>
                <w:szCs w:val="18"/>
              </w:rPr>
              <w:t>中融</w:t>
            </w:r>
            <w:r w:rsidRPr="001B3430">
              <w:rPr>
                <w:rFonts w:ascii="Arial" w:hAnsi="Arial" w:cs="Arial"/>
                <w:sz w:val="18"/>
                <w:szCs w:val="18"/>
              </w:rPr>
              <w:t>-</w:t>
            </w:r>
            <w:r w:rsidRPr="001B3430">
              <w:rPr>
                <w:rFonts w:ascii="Arial" w:hAnsi="Arial" w:cs="Arial"/>
                <w:sz w:val="18"/>
                <w:szCs w:val="18"/>
              </w:rPr>
              <w:t>精熙</w:t>
            </w:r>
            <w:r w:rsidRPr="001B3430">
              <w:rPr>
                <w:rFonts w:ascii="Arial" w:hAnsi="Arial" w:cs="Arial"/>
                <w:sz w:val="18"/>
                <w:szCs w:val="18"/>
              </w:rPr>
              <w:t>2</w:t>
            </w:r>
            <w:r w:rsidRPr="001B3430">
              <w:rPr>
                <w:rFonts w:ascii="Arial" w:hAnsi="Arial" w:cs="Arial"/>
                <w:sz w:val="18"/>
                <w:szCs w:val="18"/>
              </w:rPr>
              <w:t>期</w:t>
            </w:r>
          </w:p>
        </w:tc>
        <w:tc>
          <w:tcPr>
            <w:tcW w:w="850"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1.59</w:t>
            </w:r>
          </w:p>
        </w:tc>
        <w:tc>
          <w:tcPr>
            <w:tcW w:w="851"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137</w:t>
            </w:r>
            <w:r w:rsidRPr="001B3430">
              <w:rPr>
                <w:rFonts w:ascii="Arial" w:hAnsi="Arial" w:cs="Arial" w:hint="eastAsia"/>
                <w:sz w:val="18"/>
                <w:szCs w:val="18"/>
              </w:rPr>
              <w:t>/733</w:t>
            </w:r>
          </w:p>
        </w:tc>
        <w:tc>
          <w:tcPr>
            <w:tcW w:w="850"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0.67</w:t>
            </w:r>
          </w:p>
        </w:tc>
        <w:tc>
          <w:tcPr>
            <w:tcW w:w="851"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134/652</w:t>
            </w:r>
          </w:p>
        </w:tc>
        <w:tc>
          <w:tcPr>
            <w:tcW w:w="850"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0.49</w:t>
            </w:r>
          </w:p>
        </w:tc>
        <w:tc>
          <w:tcPr>
            <w:tcW w:w="841" w:type="dxa"/>
            <w:tcBorders>
              <w:left w:val="single" w:sz="6" w:space="0" w:color="FF6600"/>
              <w:right w:val="single" w:sz="6" w:space="0" w:color="FF6600"/>
            </w:tcBorders>
            <w:shd w:val="clear" w:color="auto" w:fill="auto"/>
            <w:vAlign w:val="center"/>
          </w:tcPr>
          <w:p w:rsidR="0055350B" w:rsidRPr="001B3430" w:rsidRDefault="0055350B" w:rsidP="005314D9">
            <w:pPr>
              <w:snapToGrid w:val="0"/>
              <w:jc w:val="center"/>
              <w:rPr>
                <w:rFonts w:ascii="Arial" w:hAnsi="Arial" w:cs="Arial"/>
                <w:sz w:val="18"/>
                <w:szCs w:val="18"/>
              </w:rPr>
            </w:pPr>
            <w:r>
              <w:rPr>
                <w:rFonts w:ascii="Arial" w:hAnsi="Arial" w:cs="Arial" w:hint="eastAsia"/>
                <w:sz w:val="18"/>
                <w:szCs w:val="18"/>
              </w:rPr>
              <w:t>41/449</w:t>
            </w:r>
          </w:p>
        </w:tc>
        <w:tc>
          <w:tcPr>
            <w:tcW w:w="931" w:type="dxa"/>
            <w:tcBorders>
              <w:left w:val="single" w:sz="6" w:space="0" w:color="FF6600"/>
            </w:tcBorders>
            <w:shd w:val="clear" w:color="auto" w:fill="auto"/>
            <w:vAlign w:val="center"/>
          </w:tcPr>
          <w:p w:rsidR="0055350B" w:rsidRPr="004A4649" w:rsidRDefault="0055350B" w:rsidP="005314D9">
            <w:pPr>
              <w:snapToGrid w:val="0"/>
              <w:spacing w:line="10" w:lineRule="atLeast"/>
              <w:jc w:val="center"/>
              <w:rPr>
                <w:rFonts w:ascii="宋体" w:eastAsia="宋体" w:hAnsi="宋体"/>
                <w:sz w:val="18"/>
                <w:szCs w:val="18"/>
              </w:rPr>
            </w:pPr>
            <w:r w:rsidRPr="00721C58">
              <w:rPr>
                <w:rFonts w:ascii="宋体" w:eastAsia="宋体" w:hAnsi="宋体" w:hint="eastAsia"/>
                <w:sz w:val="18"/>
                <w:szCs w:val="18"/>
              </w:rPr>
              <w:t>★★★★★</w:t>
            </w:r>
          </w:p>
        </w:tc>
      </w:tr>
      <w:tr w:rsidR="0055350B" w:rsidTr="001B3430">
        <w:trPr>
          <w:cantSplit/>
          <w:trHeight w:val="244"/>
        </w:trPr>
        <w:tc>
          <w:tcPr>
            <w:tcW w:w="7867" w:type="dxa"/>
            <w:gridSpan w:val="8"/>
            <w:shd w:val="clear" w:color="auto" w:fill="auto"/>
            <w:vAlign w:val="center"/>
          </w:tcPr>
          <w:p w:rsidR="0055350B" w:rsidRPr="00BC4211" w:rsidRDefault="0055350B" w:rsidP="00BC4211">
            <w:pPr>
              <w:snapToGrid w:val="0"/>
              <w:spacing w:line="10" w:lineRule="atLeast"/>
              <w:jc w:val="left"/>
              <w:rPr>
                <w:rFonts w:ascii="宋体" w:eastAsia="宋体" w:hAnsi="宋体"/>
                <w:sz w:val="18"/>
                <w:szCs w:val="18"/>
              </w:rPr>
            </w:pPr>
            <w:r w:rsidRPr="004A1E34">
              <w:rPr>
                <w:rFonts w:cs="Arial" w:hint="eastAsia"/>
                <w:bCs/>
                <w:sz w:val="18"/>
                <w:szCs w:val="18"/>
              </w:rPr>
              <w:t>注：仅</w:t>
            </w:r>
            <w:r>
              <w:rPr>
                <w:rFonts w:cs="Arial" w:hint="eastAsia"/>
                <w:bCs/>
                <w:sz w:val="18"/>
                <w:szCs w:val="18"/>
              </w:rPr>
              <w:t>针对</w:t>
            </w:r>
            <w:r w:rsidRPr="004A1E34">
              <w:rPr>
                <w:rFonts w:cs="Arial" w:hint="eastAsia"/>
                <w:bCs/>
                <w:sz w:val="18"/>
                <w:szCs w:val="18"/>
              </w:rPr>
              <w:t>股票多头策略</w:t>
            </w:r>
            <w:r>
              <w:rPr>
                <w:rFonts w:cs="Arial" w:hint="eastAsia"/>
                <w:bCs/>
                <w:sz w:val="18"/>
                <w:szCs w:val="18"/>
              </w:rPr>
              <w:t>对冲基金</w:t>
            </w:r>
          </w:p>
        </w:tc>
      </w:tr>
    </w:tbl>
    <w:p w:rsidR="001E6E8C" w:rsidRPr="00656031" w:rsidRDefault="001E6E8C" w:rsidP="001E6E8C">
      <w:pPr>
        <w:pStyle w:val="FootnoteNoline"/>
        <w:rPr>
          <w:color w:val="FF6600"/>
        </w:rPr>
      </w:pPr>
      <w:r w:rsidRPr="00656031">
        <w:rPr>
          <w:rFonts w:hint="eastAsia"/>
          <w:color w:val="FF6600"/>
        </w:rPr>
        <w:t>来源：凯石财富工场</w:t>
      </w:r>
    </w:p>
    <w:p w:rsidR="008B5C07" w:rsidRPr="00E05302" w:rsidRDefault="008B5C07" w:rsidP="008B5C07">
      <w:pPr>
        <w:widowControl/>
        <w:spacing w:after="120"/>
        <w:ind w:left="3430"/>
      </w:pPr>
      <w:r>
        <w:rPr>
          <w:rFonts w:ascii="Arial" w:hAnsi="Arial" w:cs="Arial" w:hint="eastAsia"/>
          <w:b/>
          <w:bCs/>
          <w:color w:val="0070C0"/>
          <w:kern w:val="0"/>
          <w:szCs w:val="21"/>
          <w:lang w:val="en-GB"/>
        </w:rPr>
        <w:t>2.</w:t>
      </w:r>
      <w:r w:rsidRPr="008B5C07">
        <w:rPr>
          <w:rFonts w:ascii="Arial" w:hAnsi="Arial" w:cs="Arial" w:hint="eastAsia"/>
          <w:b/>
          <w:bCs/>
          <w:color w:val="0070C0"/>
          <w:kern w:val="0"/>
          <w:szCs w:val="21"/>
          <w:lang w:val="en-GB"/>
        </w:rPr>
        <w:t xml:space="preserve"> </w:t>
      </w:r>
      <w:r w:rsidR="00687268">
        <w:rPr>
          <w:rFonts w:ascii="Arial" w:hAnsi="Arial" w:cs="Arial" w:hint="eastAsia"/>
          <w:b/>
          <w:bCs/>
          <w:color w:val="0070C0"/>
          <w:kern w:val="0"/>
          <w:szCs w:val="21"/>
          <w:lang w:val="en-GB"/>
        </w:rPr>
        <w:t>提升</w:t>
      </w:r>
      <w:r w:rsidR="004D2D49">
        <w:rPr>
          <w:rFonts w:ascii="Arial" w:hAnsi="Arial" w:cs="Arial" w:hint="eastAsia"/>
          <w:b/>
          <w:bCs/>
          <w:color w:val="0070C0"/>
          <w:kern w:val="0"/>
          <w:szCs w:val="21"/>
          <w:lang w:val="en-GB"/>
        </w:rPr>
        <w:t>进攻性，主题投资“</w:t>
      </w:r>
      <w:r>
        <w:rPr>
          <w:rFonts w:ascii="Arial" w:hAnsi="Arial" w:cs="Arial" w:hint="eastAsia"/>
          <w:b/>
          <w:bCs/>
          <w:color w:val="0070C0"/>
          <w:kern w:val="0"/>
          <w:szCs w:val="21"/>
          <w:lang w:val="en-GB"/>
        </w:rPr>
        <w:t>大消费</w:t>
      </w:r>
      <w:r w:rsidR="004D2D49">
        <w:rPr>
          <w:rFonts w:ascii="Arial" w:hAnsi="Arial" w:cs="Arial" w:hint="eastAsia"/>
          <w:b/>
          <w:bCs/>
          <w:color w:val="0070C0"/>
          <w:kern w:val="0"/>
          <w:szCs w:val="21"/>
          <w:lang w:val="en-GB"/>
        </w:rPr>
        <w:t>+</w:t>
      </w:r>
      <w:r w:rsidR="004D2D49">
        <w:rPr>
          <w:rFonts w:ascii="Arial" w:hAnsi="Arial" w:cs="Arial" w:hint="eastAsia"/>
          <w:b/>
          <w:bCs/>
          <w:color w:val="0070C0"/>
          <w:kern w:val="0"/>
          <w:szCs w:val="21"/>
          <w:lang w:val="en-GB"/>
        </w:rPr>
        <w:t>改革”</w:t>
      </w:r>
    </w:p>
    <w:p w:rsidR="005510DC" w:rsidRPr="00BA2366" w:rsidRDefault="005510DC" w:rsidP="005510DC">
      <w:pPr>
        <w:pStyle w:val="ac"/>
        <w:numPr>
          <w:ilvl w:val="4"/>
          <w:numId w:val="1"/>
        </w:numPr>
        <w:rPr>
          <w:rFonts w:eastAsiaTheme="minorEastAsia"/>
          <w:color w:val="auto"/>
          <w:lang w:val="en-US"/>
        </w:rPr>
      </w:pPr>
      <w:r>
        <w:rPr>
          <w:rFonts w:eastAsiaTheme="minorEastAsia" w:hint="eastAsia"/>
          <w:color w:val="auto"/>
          <w:lang w:val="en-US"/>
        </w:rPr>
        <w:t>从提升组合进攻性的角度，凯石工场建议</w:t>
      </w:r>
      <w:r w:rsidRPr="00037860">
        <w:rPr>
          <w:rFonts w:eastAsiaTheme="minorEastAsia" w:hint="eastAsia"/>
          <w:color w:val="auto"/>
          <w:lang w:val="en-US"/>
        </w:rPr>
        <w:t>投资者可在</w:t>
      </w:r>
      <w:r>
        <w:rPr>
          <w:rFonts w:eastAsiaTheme="minorEastAsia" w:hint="eastAsia"/>
          <w:color w:val="auto"/>
          <w:lang w:val="en-US"/>
        </w:rPr>
        <w:t>2014</w:t>
      </w:r>
      <w:r>
        <w:rPr>
          <w:rFonts w:eastAsiaTheme="minorEastAsia" w:hint="eastAsia"/>
          <w:color w:val="auto"/>
          <w:lang w:val="en-US"/>
        </w:rPr>
        <w:t>年顺应“主题投资年”的特点，在遵循核心配置逻辑的基础上</w:t>
      </w:r>
      <w:r w:rsidRPr="00037860">
        <w:rPr>
          <w:rFonts w:eastAsiaTheme="minorEastAsia" w:hint="eastAsia"/>
          <w:color w:val="auto"/>
          <w:lang w:val="en-US"/>
        </w:rPr>
        <w:t>提高组合中</w:t>
      </w:r>
      <w:r>
        <w:rPr>
          <w:rFonts w:eastAsiaTheme="minorEastAsia" w:hint="eastAsia"/>
          <w:color w:val="auto"/>
          <w:lang w:val="en-US"/>
        </w:rPr>
        <w:t>擅于捕捉热点、投资偏好契合市场特征</w:t>
      </w:r>
      <w:r w:rsidRPr="00037860">
        <w:rPr>
          <w:rFonts w:eastAsiaTheme="minorEastAsia" w:hint="eastAsia"/>
          <w:color w:val="auto"/>
          <w:lang w:val="en-US"/>
        </w:rPr>
        <w:t>的产品配置比例</w:t>
      </w:r>
      <w:r>
        <w:rPr>
          <w:rFonts w:eastAsiaTheme="minorEastAsia" w:hint="eastAsia"/>
          <w:color w:val="auto"/>
          <w:lang w:val="en-US"/>
        </w:rPr>
        <w:t>，从而有效提高组合向上波动的弹性</w:t>
      </w:r>
      <w:r w:rsidR="00A61438">
        <w:rPr>
          <w:rFonts w:eastAsiaTheme="minorEastAsia" w:hint="eastAsia"/>
          <w:color w:val="auto"/>
          <w:lang w:val="en-US"/>
        </w:rPr>
        <w:t>。</w:t>
      </w:r>
      <w:r>
        <w:rPr>
          <w:rFonts w:eastAsiaTheme="minorEastAsia" w:hint="eastAsia"/>
          <w:color w:val="auto"/>
        </w:rPr>
        <w:t>同时建议密切跟踪主题的轮动情况，动态调整组合中不同风格及投资偏好的品种比例，即以投资者的“二度择时”来实现主动出击、防控风险的目标</w:t>
      </w:r>
      <w:r w:rsidRPr="00822525">
        <w:rPr>
          <w:rFonts w:eastAsiaTheme="minorEastAsia" w:hint="eastAsia"/>
          <w:color w:val="auto"/>
        </w:rPr>
        <w:t>。</w:t>
      </w:r>
    </w:p>
    <w:p w:rsidR="00E05302" w:rsidRPr="00BA2366" w:rsidRDefault="00BA2366" w:rsidP="00BA2366">
      <w:pPr>
        <w:pStyle w:val="ac"/>
        <w:numPr>
          <w:ilvl w:val="4"/>
          <w:numId w:val="1"/>
        </w:numPr>
        <w:rPr>
          <w:rFonts w:eastAsiaTheme="minorEastAsia"/>
          <w:color w:val="auto"/>
          <w:lang w:val="en-US"/>
        </w:rPr>
      </w:pPr>
      <w:r>
        <w:rPr>
          <w:rFonts w:eastAsiaTheme="minorEastAsia" w:hint="eastAsia"/>
          <w:color w:val="auto"/>
          <w:lang w:val="en-US"/>
        </w:rPr>
        <w:t>2014</w:t>
      </w:r>
      <w:r>
        <w:rPr>
          <w:rFonts w:eastAsiaTheme="minorEastAsia" w:hint="eastAsia"/>
          <w:color w:val="auto"/>
          <w:lang w:val="en-US"/>
        </w:rPr>
        <w:t>年被誉为“主题投资年”。就</w:t>
      </w:r>
      <w:r w:rsidRPr="00E05302">
        <w:rPr>
          <w:rFonts w:eastAsiaTheme="minorEastAsia" w:hint="eastAsia"/>
          <w:color w:val="auto"/>
          <w:lang w:val="en-US"/>
        </w:rPr>
        <w:t>盈利增长角度</w:t>
      </w:r>
      <w:r>
        <w:rPr>
          <w:rFonts w:eastAsiaTheme="minorEastAsia" w:hint="eastAsia"/>
          <w:color w:val="auto"/>
          <w:lang w:val="en-US"/>
        </w:rPr>
        <w:t>来看</w:t>
      </w:r>
      <w:r w:rsidRPr="00E05302">
        <w:rPr>
          <w:rFonts w:eastAsiaTheme="minorEastAsia" w:hint="eastAsia"/>
          <w:color w:val="auto"/>
          <w:lang w:val="en-US"/>
        </w:rPr>
        <w:t>，与</w:t>
      </w:r>
      <w:r w:rsidRPr="00E05302">
        <w:rPr>
          <w:rFonts w:eastAsiaTheme="minorEastAsia"/>
          <w:color w:val="auto"/>
          <w:lang w:val="en-US"/>
        </w:rPr>
        <w:t>2013</w:t>
      </w:r>
      <w:r w:rsidRPr="00E05302">
        <w:rPr>
          <w:rFonts w:eastAsiaTheme="minorEastAsia" w:hint="eastAsia"/>
          <w:color w:val="auto"/>
          <w:lang w:val="en-US"/>
        </w:rPr>
        <w:t>年以电力、钢铁、石化、地产、可选消费等行业拉动上市公司整体的盈利增长不同，</w:t>
      </w:r>
      <w:r w:rsidRPr="00E05302">
        <w:rPr>
          <w:rFonts w:eastAsiaTheme="minorEastAsia"/>
          <w:color w:val="auto"/>
          <w:lang w:val="en-US"/>
        </w:rPr>
        <w:t>2014</w:t>
      </w:r>
      <w:r w:rsidRPr="00E05302">
        <w:rPr>
          <w:rFonts w:eastAsiaTheme="minorEastAsia" w:hint="eastAsia"/>
          <w:color w:val="auto"/>
          <w:lang w:val="en-US"/>
        </w:rPr>
        <w:t>年大众消费品（如农业、医药、食品饮料等）以及部分制造业（如家电等）有望恢复增长。而且，在景气度回升的同时，上述行业的估值处于相对合理水平。从改革主题角度出发，</w:t>
      </w:r>
      <w:r w:rsidR="005E7F41">
        <w:rPr>
          <w:rFonts w:eastAsiaTheme="minorEastAsia" w:hint="eastAsia"/>
          <w:color w:val="auto"/>
          <w:lang w:val="en-US"/>
        </w:rPr>
        <w:t>重点关注军工安防、国企改革、金融改革、土地改革、资源改革、自贸区等等</w:t>
      </w:r>
      <w:r w:rsidRPr="00E05302">
        <w:rPr>
          <w:rFonts w:eastAsiaTheme="minorEastAsia" w:hint="eastAsia"/>
          <w:color w:val="auto"/>
          <w:lang w:val="en-US"/>
        </w:rPr>
        <w:t>领域</w:t>
      </w:r>
      <w:r>
        <w:rPr>
          <w:rFonts w:eastAsiaTheme="minorEastAsia" w:hint="eastAsia"/>
          <w:color w:val="auto"/>
          <w:lang w:val="en-US"/>
        </w:rPr>
        <w:t>。凯石工场在对冲基金中甄选出</w:t>
      </w:r>
      <w:r w:rsidR="005E7F41">
        <w:rPr>
          <w:rFonts w:eastAsiaTheme="minorEastAsia" w:hint="eastAsia"/>
          <w:color w:val="auto"/>
          <w:lang w:val="en-US"/>
        </w:rPr>
        <w:t>部分</w:t>
      </w:r>
      <w:r w:rsidR="00E05302" w:rsidRPr="00BA2366">
        <w:rPr>
          <w:rFonts w:eastAsiaTheme="minorEastAsia" w:hint="eastAsia"/>
          <w:color w:val="auto"/>
          <w:lang w:val="en-US"/>
        </w:rPr>
        <w:t>重点投资上述领域</w:t>
      </w:r>
      <w:r>
        <w:rPr>
          <w:rFonts w:eastAsiaTheme="minorEastAsia" w:hint="eastAsia"/>
          <w:color w:val="auto"/>
          <w:lang w:val="en-US"/>
        </w:rPr>
        <w:t>的绩优品种</w:t>
      </w:r>
      <w:r w:rsidR="00E05302" w:rsidRPr="00BA2366">
        <w:rPr>
          <w:rFonts w:eastAsiaTheme="minorEastAsia" w:hint="eastAsia"/>
          <w:color w:val="auto"/>
          <w:lang w:val="en-US"/>
        </w:rPr>
        <w:t>，</w:t>
      </w:r>
      <w:r>
        <w:rPr>
          <w:rFonts w:eastAsiaTheme="minorEastAsia" w:hint="eastAsia"/>
          <w:color w:val="auto"/>
          <w:lang w:val="en-US"/>
        </w:rPr>
        <w:t>包括</w:t>
      </w:r>
      <w:r w:rsidR="005C14FC" w:rsidRPr="00BA2366">
        <w:rPr>
          <w:rFonts w:eastAsiaTheme="minorEastAsia" w:hint="eastAsia"/>
          <w:color w:val="auto"/>
          <w:lang w:val="en-US"/>
        </w:rPr>
        <w:t>联华信托•朱雀</w:t>
      </w:r>
      <w:r w:rsidR="005C14FC" w:rsidRPr="00BA2366">
        <w:rPr>
          <w:rFonts w:eastAsiaTheme="minorEastAsia" w:hint="eastAsia"/>
          <w:color w:val="auto"/>
          <w:lang w:val="en-US"/>
        </w:rPr>
        <w:t>18</w:t>
      </w:r>
      <w:r w:rsidR="005C14FC" w:rsidRPr="00BA2366">
        <w:rPr>
          <w:rFonts w:eastAsiaTheme="minorEastAsia" w:hint="eastAsia"/>
          <w:color w:val="auto"/>
          <w:lang w:val="en-US"/>
        </w:rPr>
        <w:t>期</w:t>
      </w:r>
      <w:r w:rsidR="005C14FC" w:rsidRPr="00BA2366">
        <w:rPr>
          <w:rFonts w:eastAsiaTheme="minorEastAsia" w:hint="eastAsia"/>
          <w:color w:val="auto"/>
          <w:lang w:val="en-US"/>
        </w:rPr>
        <w:t>(</w:t>
      </w:r>
      <w:r w:rsidR="005C14FC" w:rsidRPr="00BA2366">
        <w:rPr>
          <w:rFonts w:eastAsiaTheme="minorEastAsia" w:hint="eastAsia"/>
          <w:color w:val="auto"/>
          <w:lang w:val="en-US"/>
        </w:rPr>
        <w:t>大消费行业精选</w:t>
      </w:r>
      <w:r w:rsidR="005C14FC" w:rsidRPr="00BA2366">
        <w:rPr>
          <w:rFonts w:eastAsiaTheme="minorEastAsia" w:hint="eastAsia"/>
          <w:color w:val="auto"/>
          <w:lang w:val="en-US"/>
        </w:rPr>
        <w:t>)</w:t>
      </w:r>
      <w:r w:rsidR="002E7852">
        <w:rPr>
          <w:rFonts w:eastAsiaTheme="minorEastAsia" w:hint="eastAsia"/>
          <w:color w:val="auto"/>
          <w:lang w:val="en-US"/>
        </w:rPr>
        <w:t>，</w:t>
      </w:r>
      <w:r w:rsidR="005B2382" w:rsidRPr="00BA2366">
        <w:rPr>
          <w:rFonts w:eastAsiaTheme="minorEastAsia" w:hint="eastAsia"/>
          <w:color w:val="auto"/>
          <w:lang w:val="en-US"/>
        </w:rPr>
        <w:t>以及专注</w:t>
      </w:r>
      <w:r w:rsidR="00471688" w:rsidRPr="00BA2366">
        <w:rPr>
          <w:rFonts w:eastAsiaTheme="minorEastAsia" w:hint="eastAsia"/>
          <w:color w:val="auto"/>
          <w:lang w:val="en-US"/>
        </w:rPr>
        <w:t>新兴产业大消费板块的</w:t>
      </w:r>
      <w:r w:rsidR="00883F2E" w:rsidRPr="00BA2366">
        <w:rPr>
          <w:rFonts w:eastAsiaTheme="minorEastAsia" w:hint="eastAsia"/>
          <w:color w:val="auto"/>
          <w:lang w:val="en-US"/>
        </w:rPr>
        <w:t>尚雅、</w:t>
      </w:r>
      <w:r w:rsidR="00471688" w:rsidRPr="00BA2366">
        <w:rPr>
          <w:rFonts w:eastAsiaTheme="minorEastAsia" w:hint="eastAsia"/>
          <w:color w:val="auto"/>
          <w:lang w:val="en-US"/>
        </w:rPr>
        <w:t>淡水泉</w:t>
      </w:r>
      <w:r w:rsidR="002E7852">
        <w:rPr>
          <w:rFonts w:eastAsiaTheme="minorEastAsia" w:hint="eastAsia"/>
          <w:color w:val="auto"/>
          <w:lang w:val="en-US"/>
        </w:rPr>
        <w:t>、鼎诺</w:t>
      </w:r>
      <w:r w:rsidR="00E05302" w:rsidRPr="00BA2366">
        <w:rPr>
          <w:rFonts w:eastAsiaTheme="minorEastAsia" w:hint="eastAsia"/>
          <w:color w:val="auto"/>
          <w:lang w:val="en-US"/>
        </w:rPr>
        <w:t>等</w:t>
      </w:r>
      <w:r w:rsidR="002E7852">
        <w:rPr>
          <w:rFonts w:eastAsiaTheme="minorEastAsia" w:hint="eastAsia"/>
          <w:color w:val="auto"/>
          <w:lang w:val="en-US"/>
        </w:rPr>
        <w:t>管理人的代表产品</w:t>
      </w:r>
      <w:r w:rsidR="00E05302" w:rsidRPr="00BA2366">
        <w:rPr>
          <w:rFonts w:eastAsiaTheme="minorEastAsia" w:hint="eastAsia"/>
          <w:color w:val="auto"/>
          <w:lang w:val="en-US"/>
        </w:rPr>
        <w:t>。</w:t>
      </w:r>
    </w:p>
    <w:p w:rsidR="004D2D49" w:rsidRPr="002C0A65" w:rsidRDefault="004D2D49" w:rsidP="004D2D49">
      <w:pPr>
        <w:widowControl/>
        <w:spacing w:after="120"/>
        <w:ind w:left="3430"/>
      </w:pPr>
      <w:r>
        <w:rPr>
          <w:rFonts w:ascii="Arial" w:hAnsi="Arial" w:cs="Arial" w:hint="eastAsia"/>
          <w:b/>
          <w:bCs/>
          <w:color w:val="0070C0"/>
          <w:kern w:val="0"/>
          <w:szCs w:val="21"/>
          <w:lang w:val="en-GB"/>
        </w:rPr>
        <w:t>3</w:t>
      </w:r>
      <w:r w:rsidRPr="004D2D49">
        <w:rPr>
          <w:rFonts w:ascii="Arial" w:hAnsi="Arial" w:cs="Arial" w:hint="eastAsia"/>
          <w:b/>
          <w:bCs/>
          <w:color w:val="0070C0"/>
          <w:kern w:val="0"/>
          <w:szCs w:val="21"/>
          <w:lang w:val="en-GB"/>
        </w:rPr>
        <w:t xml:space="preserve">. </w:t>
      </w:r>
      <w:r w:rsidR="00687268">
        <w:rPr>
          <w:rFonts w:ascii="Arial" w:hAnsi="Arial" w:cs="Arial" w:hint="eastAsia"/>
          <w:b/>
          <w:bCs/>
          <w:color w:val="0070C0"/>
          <w:kern w:val="0"/>
          <w:szCs w:val="21"/>
          <w:lang w:val="en-GB"/>
        </w:rPr>
        <w:t>增强防御性，多选分散持有</w:t>
      </w:r>
      <w:r w:rsidR="00687268">
        <w:rPr>
          <w:rFonts w:ascii="Arial" w:hAnsi="Arial" w:cs="Arial" w:hint="eastAsia"/>
          <w:b/>
          <w:bCs/>
          <w:color w:val="0070C0"/>
          <w:kern w:val="0"/>
          <w:szCs w:val="21"/>
          <w:lang w:val="en-GB"/>
        </w:rPr>
        <w:t>+</w:t>
      </w:r>
      <w:r w:rsidR="00DB3C60">
        <w:rPr>
          <w:rFonts w:ascii="Arial" w:hAnsi="Arial" w:cs="Arial" w:hint="eastAsia"/>
          <w:b/>
          <w:bCs/>
          <w:color w:val="0070C0"/>
          <w:kern w:val="0"/>
          <w:szCs w:val="21"/>
          <w:lang w:val="en-GB"/>
        </w:rPr>
        <w:t>策略</w:t>
      </w:r>
      <w:r w:rsidR="00687268">
        <w:rPr>
          <w:rFonts w:ascii="Arial" w:hAnsi="Arial" w:cs="Arial" w:hint="eastAsia"/>
          <w:b/>
          <w:bCs/>
          <w:color w:val="0070C0"/>
          <w:kern w:val="0"/>
          <w:szCs w:val="21"/>
          <w:lang w:val="en-GB"/>
        </w:rPr>
        <w:t>平衡</w:t>
      </w:r>
      <w:r w:rsidR="00DB3C60">
        <w:rPr>
          <w:rFonts w:ascii="Arial" w:hAnsi="Arial" w:cs="Arial" w:hint="eastAsia"/>
          <w:b/>
          <w:bCs/>
          <w:color w:val="0070C0"/>
          <w:kern w:val="0"/>
          <w:szCs w:val="21"/>
          <w:lang w:val="en-GB"/>
        </w:rPr>
        <w:t>搭配</w:t>
      </w:r>
    </w:p>
    <w:p w:rsidR="00ED6825" w:rsidRDefault="00AA091E" w:rsidP="0033731B">
      <w:pPr>
        <w:pStyle w:val="ac"/>
        <w:numPr>
          <w:ilvl w:val="4"/>
          <w:numId w:val="1"/>
        </w:numPr>
        <w:spacing w:after="163"/>
        <w:rPr>
          <w:rFonts w:eastAsiaTheme="minorEastAsia"/>
          <w:color w:val="auto"/>
        </w:rPr>
      </w:pPr>
      <w:r w:rsidRPr="00AA091E">
        <w:rPr>
          <w:rFonts w:eastAsiaTheme="minorEastAsia" w:hint="eastAsia"/>
          <w:color w:val="auto"/>
        </w:rPr>
        <w:t>尽管</w:t>
      </w:r>
      <w:r w:rsidR="00FE4F73">
        <w:rPr>
          <w:rFonts w:eastAsiaTheme="minorEastAsia" w:hint="eastAsia"/>
          <w:color w:val="auto"/>
        </w:rPr>
        <w:t>明年预计投资机会丰富，但轮动加快恐令热点“秒变风险”，结合央行严控融资总额下的流动性紧张，以及</w:t>
      </w:r>
      <w:r w:rsidR="00FE4F73">
        <w:rPr>
          <w:rFonts w:ascii="Calibri" w:eastAsia="宋体" w:hAnsi="Calibri" w:hint="eastAsia"/>
        </w:rPr>
        <w:t>IPO</w:t>
      </w:r>
      <w:r w:rsidR="00FE4F73">
        <w:rPr>
          <w:rFonts w:ascii="Calibri" w:eastAsia="宋体" w:hAnsi="Calibri" w:hint="eastAsia"/>
        </w:rPr>
        <w:t>重启和</w:t>
      </w:r>
      <w:r w:rsidR="00FE4F73">
        <w:rPr>
          <w:rFonts w:eastAsiaTheme="minorEastAsia" w:hint="eastAsia"/>
          <w:color w:val="auto"/>
        </w:rPr>
        <w:t>中小盘股估值泡沫挤出等因素，对冲基金组合的风险控制环节不可掉以轻心。</w:t>
      </w:r>
      <w:r w:rsidR="00ED6825">
        <w:rPr>
          <w:rFonts w:eastAsiaTheme="minorEastAsia" w:hint="eastAsia"/>
          <w:color w:val="auto"/>
        </w:rPr>
        <w:t>凯石</w:t>
      </w:r>
      <w:r w:rsidRPr="00AA091E">
        <w:rPr>
          <w:rFonts w:eastAsiaTheme="minorEastAsia" w:hint="eastAsia"/>
          <w:color w:val="auto"/>
        </w:rPr>
        <w:t>建议投资者</w:t>
      </w:r>
      <w:r w:rsidR="00ED6825">
        <w:rPr>
          <w:rFonts w:eastAsiaTheme="minorEastAsia" w:hint="eastAsia"/>
          <w:color w:val="auto"/>
        </w:rPr>
        <w:t>在</w:t>
      </w:r>
      <w:r w:rsidRPr="00AA091E">
        <w:rPr>
          <w:rFonts w:eastAsiaTheme="minorEastAsia" w:hint="eastAsia"/>
          <w:color w:val="auto"/>
        </w:rPr>
        <w:t>遵循核心逻辑进行投资</w:t>
      </w:r>
      <w:r w:rsidR="00ED6825">
        <w:rPr>
          <w:rFonts w:eastAsiaTheme="minorEastAsia" w:hint="eastAsia"/>
          <w:color w:val="auto"/>
        </w:rPr>
        <w:t>的基础上，依据自身风险承受水平，采取“</w:t>
      </w:r>
      <w:r w:rsidR="00ED6825" w:rsidRPr="00ED6825">
        <w:rPr>
          <w:rFonts w:eastAsiaTheme="minorEastAsia" w:hint="eastAsia"/>
          <w:color w:val="auto"/>
        </w:rPr>
        <w:t>多选分散持有</w:t>
      </w:r>
      <w:r w:rsidR="00ED6825" w:rsidRPr="00ED6825">
        <w:rPr>
          <w:rFonts w:eastAsiaTheme="minorEastAsia" w:hint="eastAsia"/>
          <w:color w:val="auto"/>
        </w:rPr>
        <w:t>+</w:t>
      </w:r>
      <w:r w:rsidR="00ED6825" w:rsidRPr="00ED6825">
        <w:rPr>
          <w:rFonts w:eastAsiaTheme="minorEastAsia" w:hint="eastAsia"/>
          <w:color w:val="auto"/>
        </w:rPr>
        <w:t>策略平衡搭配</w:t>
      </w:r>
      <w:r w:rsidR="00ED6825">
        <w:rPr>
          <w:rFonts w:eastAsiaTheme="minorEastAsia" w:hint="eastAsia"/>
          <w:color w:val="auto"/>
        </w:rPr>
        <w:t>”的方法</w:t>
      </w:r>
      <w:r w:rsidR="00F9769B">
        <w:rPr>
          <w:rFonts w:eastAsiaTheme="minorEastAsia" w:hint="eastAsia"/>
          <w:color w:val="auto"/>
        </w:rPr>
        <w:t>，</w:t>
      </w:r>
      <w:r w:rsidR="00F9769B" w:rsidRPr="00AA091E">
        <w:rPr>
          <w:rFonts w:eastAsiaTheme="minorEastAsia" w:hint="eastAsia"/>
          <w:color w:val="auto"/>
        </w:rPr>
        <w:t>通过</w:t>
      </w:r>
      <w:r w:rsidR="00F9769B">
        <w:rPr>
          <w:rFonts w:eastAsiaTheme="minorEastAsia" w:hint="eastAsia"/>
          <w:color w:val="auto"/>
        </w:rPr>
        <w:t>组合中</w:t>
      </w:r>
      <w:r w:rsidR="002D6DB3">
        <w:rPr>
          <w:rFonts w:eastAsiaTheme="minorEastAsia" w:hint="eastAsia"/>
          <w:color w:val="auto"/>
        </w:rPr>
        <w:t>产品数量、</w:t>
      </w:r>
      <w:r w:rsidR="00F9769B">
        <w:rPr>
          <w:rFonts w:eastAsiaTheme="minorEastAsia" w:hint="eastAsia"/>
          <w:color w:val="auto"/>
        </w:rPr>
        <w:t>投资偏好、</w:t>
      </w:r>
      <w:r w:rsidR="00F9769B" w:rsidRPr="00AA091E">
        <w:rPr>
          <w:rFonts w:eastAsiaTheme="minorEastAsia" w:hint="eastAsia"/>
          <w:color w:val="auto"/>
        </w:rPr>
        <w:t>风格特征、风险水平和投资策略等的多样化</w:t>
      </w:r>
      <w:r w:rsidR="00557815">
        <w:rPr>
          <w:rFonts w:eastAsiaTheme="minorEastAsia" w:hint="eastAsia"/>
          <w:color w:val="auto"/>
        </w:rPr>
        <w:t>，来达到</w:t>
      </w:r>
      <w:r w:rsidR="00ED6825">
        <w:rPr>
          <w:rFonts w:eastAsiaTheme="minorEastAsia" w:hint="eastAsia"/>
          <w:color w:val="auto"/>
        </w:rPr>
        <w:t>降低组合投资风险敞口</w:t>
      </w:r>
      <w:r w:rsidR="00557815">
        <w:rPr>
          <w:rFonts w:eastAsiaTheme="minorEastAsia" w:hint="eastAsia"/>
          <w:color w:val="auto"/>
        </w:rPr>
        <w:t>的目的</w:t>
      </w:r>
      <w:r w:rsidR="00ED6825">
        <w:rPr>
          <w:rFonts w:eastAsiaTheme="minorEastAsia" w:hint="eastAsia"/>
          <w:color w:val="auto"/>
        </w:rPr>
        <w:t>。</w:t>
      </w:r>
    </w:p>
    <w:p w:rsidR="008904B9" w:rsidRDefault="00190667" w:rsidP="0033731B">
      <w:pPr>
        <w:pStyle w:val="ac"/>
        <w:numPr>
          <w:ilvl w:val="4"/>
          <w:numId w:val="1"/>
        </w:numPr>
        <w:spacing w:after="163"/>
        <w:rPr>
          <w:rFonts w:eastAsiaTheme="minorEastAsia"/>
          <w:color w:val="auto"/>
        </w:rPr>
      </w:pPr>
      <w:r w:rsidRPr="00ED6825">
        <w:rPr>
          <w:rFonts w:eastAsiaTheme="minorEastAsia" w:hint="eastAsia"/>
          <w:color w:val="auto"/>
        </w:rPr>
        <w:lastRenderedPageBreak/>
        <w:t>多选分散持有</w:t>
      </w:r>
      <w:r>
        <w:rPr>
          <w:rFonts w:eastAsiaTheme="minorEastAsia" w:hint="eastAsia"/>
          <w:color w:val="auto"/>
        </w:rPr>
        <w:t>：</w:t>
      </w:r>
      <w:r w:rsidR="00ED6825">
        <w:rPr>
          <w:rFonts w:eastAsiaTheme="minorEastAsia" w:hint="eastAsia"/>
          <w:color w:val="auto"/>
        </w:rPr>
        <w:t>投资者可在配置前文中凯石推荐产品的基础上，直接通过增加组合基金数量的方式，有效降低</w:t>
      </w:r>
      <w:r w:rsidR="00035A34">
        <w:rPr>
          <w:rFonts w:eastAsiaTheme="minorEastAsia" w:hint="eastAsia"/>
          <w:color w:val="auto"/>
        </w:rPr>
        <w:t>组合的贝塔系数和</w:t>
      </w:r>
      <w:r w:rsidR="00ED6825">
        <w:rPr>
          <w:rFonts w:eastAsiaTheme="minorEastAsia" w:hint="eastAsia"/>
          <w:color w:val="auto"/>
        </w:rPr>
        <w:t>产品间相关性，</w:t>
      </w:r>
      <w:r w:rsidR="00926E43">
        <w:rPr>
          <w:rFonts w:eastAsiaTheme="minorEastAsia" w:hint="eastAsia"/>
          <w:color w:val="auto"/>
        </w:rPr>
        <w:t>达到适度分散</w:t>
      </w:r>
      <w:r w:rsidR="00ED6825">
        <w:rPr>
          <w:rFonts w:eastAsiaTheme="minorEastAsia" w:hint="eastAsia"/>
          <w:color w:val="auto"/>
        </w:rPr>
        <w:t>组合风险</w:t>
      </w:r>
      <w:r w:rsidR="00926E43">
        <w:rPr>
          <w:rFonts w:eastAsiaTheme="minorEastAsia" w:hint="eastAsia"/>
          <w:color w:val="auto"/>
        </w:rPr>
        <w:t>的目标</w:t>
      </w:r>
      <w:r w:rsidR="00ED6825">
        <w:rPr>
          <w:rFonts w:eastAsiaTheme="minorEastAsia" w:hint="eastAsia"/>
          <w:color w:val="auto"/>
        </w:rPr>
        <w:t>。</w:t>
      </w:r>
      <w:r w:rsidR="00AA091E" w:rsidRPr="00AA091E">
        <w:rPr>
          <w:rFonts w:eastAsiaTheme="minorEastAsia" w:hint="eastAsia"/>
          <w:color w:val="auto"/>
        </w:rPr>
        <w:t>针对市场节奏的变化也可结合自身</w:t>
      </w:r>
      <w:r w:rsidR="008904B9">
        <w:rPr>
          <w:rFonts w:eastAsiaTheme="minorEastAsia" w:hint="eastAsia"/>
          <w:color w:val="auto"/>
        </w:rPr>
        <w:t>对业绩波动的承受能力，阶段性地调整</w:t>
      </w:r>
      <w:r w:rsidR="008904B9" w:rsidRPr="00AA091E">
        <w:rPr>
          <w:rFonts w:eastAsiaTheme="minorEastAsia" w:hint="eastAsia"/>
          <w:color w:val="auto"/>
        </w:rPr>
        <w:t>组合配置</w:t>
      </w:r>
      <w:r w:rsidR="00C5110A">
        <w:rPr>
          <w:rFonts w:eastAsiaTheme="minorEastAsia" w:hint="eastAsia"/>
          <w:color w:val="auto"/>
        </w:rPr>
        <w:t>以</w:t>
      </w:r>
      <w:r w:rsidR="00EC4F6C">
        <w:rPr>
          <w:rFonts w:eastAsiaTheme="minorEastAsia" w:hint="eastAsia"/>
          <w:color w:val="auto"/>
        </w:rPr>
        <w:t>规避</w:t>
      </w:r>
      <w:r w:rsidR="00A714E9">
        <w:rPr>
          <w:rFonts w:eastAsiaTheme="minorEastAsia" w:hint="eastAsia"/>
          <w:color w:val="auto"/>
        </w:rPr>
        <w:t>风险</w:t>
      </w:r>
      <w:r w:rsidR="008904B9">
        <w:rPr>
          <w:rFonts w:eastAsiaTheme="minorEastAsia" w:hint="eastAsia"/>
          <w:color w:val="auto"/>
        </w:rPr>
        <w:t>。</w:t>
      </w:r>
    </w:p>
    <w:p w:rsidR="00ED6825" w:rsidRDefault="00ED6825" w:rsidP="0033731B">
      <w:pPr>
        <w:pStyle w:val="ac"/>
        <w:numPr>
          <w:ilvl w:val="4"/>
          <w:numId w:val="1"/>
        </w:numPr>
        <w:spacing w:after="163"/>
        <w:rPr>
          <w:rFonts w:eastAsiaTheme="minorEastAsia"/>
          <w:color w:val="auto"/>
        </w:rPr>
      </w:pPr>
      <w:r>
        <w:rPr>
          <w:rFonts w:eastAsiaTheme="minorEastAsia" w:hint="eastAsia"/>
          <w:color w:val="auto"/>
        </w:rPr>
        <w:t>策略平衡搭配：</w:t>
      </w:r>
      <w:r w:rsidR="0090419B">
        <w:rPr>
          <w:rFonts w:eastAsiaTheme="minorEastAsia" w:hint="eastAsia"/>
          <w:color w:val="auto"/>
        </w:rPr>
        <w:t>对于</w:t>
      </w:r>
      <w:r w:rsidR="00190667">
        <w:rPr>
          <w:rFonts w:eastAsiaTheme="minorEastAsia" w:hint="eastAsia"/>
          <w:color w:val="auto"/>
        </w:rPr>
        <w:t>风险偏好属于中低水平的投资者</w:t>
      </w:r>
      <w:r w:rsidR="0090419B">
        <w:rPr>
          <w:rFonts w:eastAsiaTheme="minorEastAsia" w:hint="eastAsia"/>
          <w:color w:val="auto"/>
        </w:rPr>
        <w:t>，</w:t>
      </w:r>
      <w:r w:rsidR="00190667">
        <w:rPr>
          <w:rFonts w:eastAsiaTheme="minorEastAsia" w:hint="eastAsia"/>
          <w:color w:val="auto"/>
        </w:rPr>
        <w:t>2014</w:t>
      </w:r>
      <w:r w:rsidR="00190667">
        <w:rPr>
          <w:rFonts w:eastAsiaTheme="minorEastAsia" w:hint="eastAsia"/>
          <w:color w:val="auto"/>
        </w:rPr>
        <w:t>年</w:t>
      </w:r>
      <w:r w:rsidR="0090419B">
        <w:rPr>
          <w:rFonts w:eastAsiaTheme="minorEastAsia" w:hint="eastAsia"/>
          <w:color w:val="auto"/>
        </w:rPr>
        <w:t>的对冲基金组合中可</w:t>
      </w:r>
      <w:r w:rsidR="00190667">
        <w:rPr>
          <w:rFonts w:eastAsiaTheme="minorEastAsia" w:hint="eastAsia"/>
          <w:color w:val="auto"/>
        </w:rPr>
        <w:t>适当搭配</w:t>
      </w:r>
      <w:r w:rsidR="00DA4FD5">
        <w:rPr>
          <w:rFonts w:eastAsiaTheme="minorEastAsia" w:hint="eastAsia"/>
          <w:color w:val="auto"/>
        </w:rPr>
        <w:t>多元创新策略</w:t>
      </w:r>
      <w:r w:rsidR="00190667">
        <w:rPr>
          <w:rFonts w:eastAsiaTheme="minorEastAsia" w:hint="eastAsia"/>
          <w:color w:val="auto"/>
        </w:rPr>
        <w:t>品种，</w:t>
      </w:r>
      <w:r w:rsidR="0090419B">
        <w:rPr>
          <w:rFonts w:eastAsiaTheme="minorEastAsia" w:hint="eastAsia"/>
          <w:color w:val="auto"/>
        </w:rPr>
        <w:t>通过</w:t>
      </w:r>
      <w:r w:rsidR="0090419B">
        <w:rPr>
          <w:rFonts w:ascii="Calibri" w:eastAsia="宋体" w:hAnsi="Calibri" w:hint="eastAsia"/>
        </w:rPr>
        <w:t>动态调整组合中中低风险产品以及与市场相关性极低的策略类型比例，从而</w:t>
      </w:r>
      <w:r w:rsidR="00A61438">
        <w:rPr>
          <w:rFonts w:ascii="Calibri" w:eastAsia="宋体" w:hAnsi="Calibri" w:hint="eastAsia"/>
        </w:rPr>
        <w:t>中和</w:t>
      </w:r>
      <w:r w:rsidR="0090419B">
        <w:rPr>
          <w:rFonts w:ascii="Calibri" w:eastAsia="宋体" w:hAnsi="Calibri" w:hint="eastAsia"/>
        </w:rPr>
        <w:t>组合风险。</w:t>
      </w:r>
      <w:r w:rsidR="00DA4FD5">
        <w:rPr>
          <w:rFonts w:ascii="Calibri" w:eastAsia="宋体" w:hAnsi="Calibri" w:hint="eastAsia"/>
        </w:rPr>
        <w:t>例如</w:t>
      </w:r>
      <w:r w:rsidR="00DA4FD5" w:rsidRPr="00DA4FD5">
        <w:rPr>
          <w:rFonts w:ascii="Calibri" w:eastAsia="宋体" w:hAnsi="Calibri" w:hint="eastAsia"/>
        </w:rPr>
        <w:t>市场中性策略</w:t>
      </w:r>
      <w:r w:rsidR="00DA4FD5">
        <w:rPr>
          <w:rFonts w:ascii="Calibri" w:eastAsia="宋体" w:hAnsi="Calibri" w:hint="eastAsia"/>
        </w:rPr>
        <w:t>通过对冲操作降低产品贝塔值，以期达到最大限度规避系统性风险的效果；</w:t>
      </w:r>
      <w:r w:rsidR="00DA4FD5" w:rsidRPr="00DA4FD5">
        <w:rPr>
          <w:rFonts w:ascii="Calibri" w:eastAsia="宋体" w:hAnsi="Calibri" w:hint="eastAsia"/>
        </w:rPr>
        <w:t>相对价值策略中的高频交易产品</w:t>
      </w:r>
      <w:r w:rsidR="00DA4FD5">
        <w:rPr>
          <w:rFonts w:ascii="Calibri" w:eastAsia="宋体" w:hAnsi="Calibri" w:hint="eastAsia"/>
        </w:rPr>
        <w:t>能够实现把握热点与及时止损并重；</w:t>
      </w:r>
      <w:r w:rsidR="00DA4FD5" w:rsidRPr="00DA4FD5">
        <w:rPr>
          <w:rFonts w:ascii="Calibri" w:eastAsia="宋体" w:hAnsi="Calibri" w:hint="eastAsia"/>
        </w:rPr>
        <w:t>期现套利品种</w:t>
      </w:r>
      <w:r w:rsidR="00DA4FD5">
        <w:rPr>
          <w:rFonts w:ascii="Calibri" w:eastAsia="宋体" w:hAnsi="Calibri" w:hint="eastAsia"/>
        </w:rPr>
        <w:t>风控效果良好。</w:t>
      </w:r>
      <w:r w:rsidR="0090419B" w:rsidRPr="00547939">
        <w:rPr>
          <w:rFonts w:ascii="Calibri" w:eastAsia="宋体" w:hAnsi="Calibri" w:hint="eastAsia"/>
        </w:rPr>
        <w:t>具体</w:t>
      </w:r>
      <w:r w:rsidR="0090419B">
        <w:rPr>
          <w:rFonts w:ascii="Calibri" w:eastAsia="宋体" w:hAnsi="Calibri" w:hint="eastAsia"/>
        </w:rPr>
        <w:t>产品方面，根据我们对</w:t>
      </w:r>
      <w:r w:rsidR="0090419B" w:rsidRPr="00547939">
        <w:rPr>
          <w:rFonts w:ascii="Calibri" w:eastAsia="宋体" w:hAnsi="Calibri" w:hint="eastAsia"/>
        </w:rPr>
        <w:t>管理人的持续跟踪了解，建议</w:t>
      </w:r>
      <w:r w:rsidR="00D62B40">
        <w:rPr>
          <w:rFonts w:ascii="Calibri" w:eastAsia="宋体" w:hAnsi="Calibri" w:hint="eastAsia"/>
        </w:rPr>
        <w:t>重点</w:t>
      </w:r>
      <w:r w:rsidR="0090419B" w:rsidRPr="00547939">
        <w:rPr>
          <w:rFonts w:ascii="Calibri" w:eastAsia="宋体" w:hAnsi="Calibri" w:hint="eastAsia"/>
        </w:rPr>
        <w:t>关注</w:t>
      </w:r>
      <w:r w:rsidR="00D62B40">
        <w:rPr>
          <w:rFonts w:ascii="Calibri" w:eastAsia="宋体" w:hAnsi="Calibri" w:hint="eastAsia"/>
        </w:rPr>
        <w:t>重阳携手</w:t>
      </w:r>
      <w:r w:rsidR="00D62B40" w:rsidRPr="00D62B40">
        <w:rPr>
          <w:rFonts w:ascii="Calibri" w:eastAsia="宋体" w:hAnsi="Calibri" w:hint="eastAsia"/>
        </w:rPr>
        <w:t>国泰君安</w:t>
      </w:r>
      <w:r w:rsidR="00D62B40">
        <w:rPr>
          <w:rFonts w:ascii="Calibri" w:eastAsia="宋体" w:hAnsi="Calibri" w:hint="eastAsia"/>
        </w:rPr>
        <w:t>成立的市场中性策略产品“</w:t>
      </w:r>
      <w:r w:rsidR="00D62B40" w:rsidRPr="00D62B40">
        <w:rPr>
          <w:rFonts w:ascii="Calibri" w:eastAsia="宋体" w:hAnsi="Calibri" w:hint="eastAsia"/>
        </w:rPr>
        <w:t>君享重阳阿尔法对冲一号</w:t>
      </w:r>
      <w:r w:rsidR="00D62B40">
        <w:rPr>
          <w:rFonts w:ascii="Calibri" w:eastAsia="宋体" w:hAnsi="Calibri" w:hint="eastAsia"/>
        </w:rPr>
        <w:t>”，以及尊嘉、盈融达</w:t>
      </w:r>
      <w:r w:rsidR="0090419B" w:rsidRPr="00547939">
        <w:rPr>
          <w:rFonts w:ascii="Calibri" w:eastAsia="宋体" w:hAnsi="Calibri" w:hint="eastAsia"/>
        </w:rPr>
        <w:t>等管理人旗下产品</w:t>
      </w:r>
      <w:r w:rsidR="0090419B">
        <w:rPr>
          <w:rFonts w:ascii="Calibri" w:eastAsia="宋体" w:hAnsi="Calibri" w:hint="eastAsia"/>
        </w:rPr>
        <w:t>。</w:t>
      </w:r>
      <w:r w:rsidR="00F9769B" w:rsidRPr="000E24E4">
        <w:rPr>
          <w:rFonts w:eastAsiaTheme="minorEastAsia" w:hint="eastAsia"/>
          <w:color w:val="auto"/>
        </w:rPr>
        <w:t>固定收益策略</w:t>
      </w:r>
      <w:r w:rsidR="00F9769B">
        <w:rPr>
          <w:rFonts w:eastAsiaTheme="minorEastAsia" w:hint="eastAsia"/>
          <w:color w:val="auto"/>
        </w:rPr>
        <w:t>因明年债市预计机会寥寥</w:t>
      </w:r>
      <w:r w:rsidR="00F9769B" w:rsidRPr="000E24E4">
        <w:rPr>
          <w:rFonts w:eastAsiaTheme="minorEastAsia" w:hint="eastAsia"/>
          <w:color w:val="auto"/>
        </w:rPr>
        <w:t>，配置价值不高。</w:t>
      </w:r>
    </w:p>
    <w:p w:rsidR="00F74B55" w:rsidRPr="00F74B55" w:rsidRDefault="00F74B55" w:rsidP="00F74B55">
      <w:pPr>
        <w:widowControl/>
        <w:spacing w:after="120"/>
        <w:ind w:left="3430"/>
        <w:rPr>
          <w:rFonts w:ascii="Arial" w:hAnsi="Arial" w:cs="Arial"/>
          <w:b/>
          <w:bCs/>
          <w:color w:val="0070C0"/>
          <w:kern w:val="0"/>
          <w:sz w:val="24"/>
          <w:szCs w:val="24"/>
          <w:lang w:val="en-GB"/>
        </w:rPr>
      </w:pPr>
      <w:r>
        <w:rPr>
          <w:rFonts w:ascii="Arial" w:hAnsi="Arial" w:cs="Arial"/>
          <w:b/>
          <w:bCs/>
          <w:color w:val="0070C0"/>
          <w:kern w:val="0"/>
          <w:sz w:val="24"/>
          <w:szCs w:val="24"/>
          <w:lang w:val="en-GB"/>
        </w:rPr>
        <w:t>四、</w:t>
      </w:r>
      <w:r w:rsidRPr="00AE3A97">
        <w:rPr>
          <w:rFonts w:ascii="Arial" w:hAnsi="Arial" w:cs="Arial"/>
          <w:b/>
          <w:bCs/>
          <w:color w:val="0070C0"/>
          <w:kern w:val="0"/>
          <w:sz w:val="24"/>
          <w:szCs w:val="24"/>
          <w:lang w:val="en-GB"/>
        </w:rPr>
        <w:t>2014</w:t>
      </w:r>
      <w:r w:rsidR="007B4E3D">
        <w:rPr>
          <w:rFonts w:ascii="Arial" w:hAnsi="Arial" w:cs="Arial"/>
          <w:b/>
          <w:bCs/>
          <w:color w:val="0070C0"/>
          <w:kern w:val="0"/>
          <w:sz w:val="24"/>
          <w:szCs w:val="24"/>
          <w:lang w:val="en-GB"/>
        </w:rPr>
        <w:t>年凯石工场</w:t>
      </w:r>
      <w:r w:rsidR="0083234E">
        <w:rPr>
          <w:rFonts w:ascii="Arial" w:hAnsi="Arial" w:cs="Arial"/>
          <w:b/>
          <w:bCs/>
          <w:color w:val="0070C0"/>
          <w:kern w:val="0"/>
          <w:sz w:val="24"/>
          <w:szCs w:val="24"/>
          <w:lang w:val="en-GB"/>
        </w:rPr>
        <w:t>核心</w:t>
      </w:r>
      <w:r w:rsidR="007B4E3D">
        <w:rPr>
          <w:rFonts w:ascii="Arial" w:hAnsi="Arial" w:cs="Arial"/>
          <w:b/>
          <w:bCs/>
          <w:color w:val="0070C0"/>
          <w:kern w:val="0"/>
          <w:sz w:val="24"/>
          <w:szCs w:val="24"/>
          <w:lang w:val="en-GB"/>
        </w:rPr>
        <w:t>对冲基金池</w:t>
      </w:r>
    </w:p>
    <w:p w:rsidR="00F74B55" w:rsidRDefault="00F74B55" w:rsidP="004F2B10">
      <w:pPr>
        <w:pStyle w:val="ac"/>
        <w:numPr>
          <w:ilvl w:val="4"/>
          <w:numId w:val="1"/>
        </w:numPr>
        <w:spacing w:after="163"/>
        <w:rPr>
          <w:rFonts w:eastAsiaTheme="minorEastAsia"/>
          <w:color w:val="auto"/>
        </w:rPr>
      </w:pPr>
      <w:r>
        <w:rPr>
          <w:rFonts w:eastAsiaTheme="minorEastAsia" w:hint="eastAsia"/>
          <w:color w:val="auto"/>
        </w:rPr>
        <w:t>展博：</w:t>
      </w:r>
      <w:r w:rsidRPr="00F74B55">
        <w:rPr>
          <w:rFonts w:eastAsiaTheme="minorEastAsia" w:hint="eastAsia"/>
          <w:color w:val="auto"/>
        </w:rPr>
        <w:t>灵活投资、主动择时，整个投研团队在实际投资中对市场的敏感性较高，依据经济运行周期和基本面的变化判断市</w:t>
      </w:r>
      <w:r w:rsidR="00D10852">
        <w:rPr>
          <w:rFonts w:eastAsiaTheme="minorEastAsia" w:hint="eastAsia"/>
          <w:color w:val="auto"/>
        </w:rPr>
        <w:t>场运行趋势，选择契合当前市场环境的标的灵活投资。实际运作中</w:t>
      </w:r>
      <w:r w:rsidRPr="00F74B55">
        <w:rPr>
          <w:rFonts w:eastAsiaTheme="minorEastAsia" w:hint="eastAsia"/>
          <w:color w:val="auto"/>
        </w:rPr>
        <w:t>更多关注短期投资机会，高频交易把握股价波动，并根据市场风格的变化调整自己的投资侧重点，积极参与事件驱动型的主题投资机会。对于灵活风格所伴随的潜在风险，公司主要通过仓位和止损来进行控制。</w:t>
      </w:r>
    </w:p>
    <w:p w:rsidR="00F74B55" w:rsidRPr="008E1BF0" w:rsidRDefault="00F74B55" w:rsidP="004F2B10">
      <w:pPr>
        <w:pStyle w:val="ac"/>
        <w:numPr>
          <w:ilvl w:val="4"/>
          <w:numId w:val="1"/>
        </w:numPr>
        <w:spacing w:after="163"/>
        <w:rPr>
          <w:rFonts w:eastAsiaTheme="minorEastAsia"/>
          <w:color w:val="auto"/>
        </w:rPr>
      </w:pPr>
      <w:r w:rsidRPr="008E1BF0">
        <w:rPr>
          <w:rFonts w:eastAsiaTheme="minorEastAsia" w:hint="eastAsia"/>
          <w:color w:val="auto"/>
        </w:rPr>
        <w:t>博颐：坚持在基本面研究驱动投资的基础上进行组合管理，以追求收益</w:t>
      </w:r>
      <w:r w:rsidRPr="008E1BF0">
        <w:rPr>
          <w:rFonts w:eastAsiaTheme="minorEastAsia" w:hint="eastAsia"/>
          <w:color w:val="auto"/>
        </w:rPr>
        <w:t>/</w:t>
      </w:r>
      <w:r w:rsidRPr="008E1BF0">
        <w:rPr>
          <w:rFonts w:eastAsiaTheme="minorEastAsia" w:hint="eastAsia"/>
          <w:color w:val="auto"/>
        </w:rPr>
        <w:t>损失的最优化。目前</w:t>
      </w:r>
      <w:r w:rsidR="00D10852" w:rsidRPr="008E1BF0">
        <w:rPr>
          <w:rFonts w:eastAsiaTheme="minorEastAsia" w:hint="eastAsia"/>
          <w:color w:val="auto"/>
        </w:rPr>
        <w:t>旗下产品均采用完全复制策略。</w:t>
      </w:r>
      <w:r w:rsidRPr="008E1BF0">
        <w:rPr>
          <w:rFonts w:eastAsiaTheme="minorEastAsia" w:hint="eastAsia"/>
          <w:color w:val="auto"/>
        </w:rPr>
        <w:t>与短期投资机会相比，更重视对于具备中长期投资价值的行业个股的把握，因而持股期限往往较长。偏好消费、医药等成长性较好的行业。在对系统性风险的控制方面，博颐引入了股指期货空头头寸，特别是当前在对后市相对谨慎的判断下，通过股指期货空头降低了组合的净仓位水平。</w:t>
      </w:r>
    </w:p>
    <w:p w:rsidR="00F74B55" w:rsidRDefault="00F74B55" w:rsidP="004F2B10">
      <w:pPr>
        <w:pStyle w:val="ac"/>
        <w:numPr>
          <w:ilvl w:val="4"/>
          <w:numId w:val="1"/>
        </w:numPr>
        <w:spacing w:after="163"/>
        <w:rPr>
          <w:rFonts w:eastAsiaTheme="minorEastAsia"/>
          <w:color w:val="auto"/>
        </w:rPr>
      </w:pPr>
      <w:r>
        <w:rPr>
          <w:rFonts w:eastAsiaTheme="minorEastAsia" w:hint="eastAsia"/>
          <w:color w:val="auto"/>
        </w:rPr>
        <w:t>理成：</w:t>
      </w:r>
      <w:r w:rsidRPr="00F74B55">
        <w:rPr>
          <w:rFonts w:eastAsiaTheme="minorEastAsia" w:hint="eastAsia"/>
          <w:color w:val="auto"/>
        </w:rPr>
        <w:t>比较重视自身投资理念、操作风格的持续性。始终遵循长期基本面驱动的价值投资理念，同时适当关注市场的短期博弈机会，操作风格适度积极，在把握中国</w:t>
      </w:r>
      <w:r w:rsidR="00D10852">
        <w:rPr>
          <w:rFonts w:eastAsiaTheme="minorEastAsia" w:hint="eastAsia"/>
          <w:color w:val="auto"/>
        </w:rPr>
        <w:t>经济转型脉络的基础上灵活配置。遵从严格的基本面驱动投资原则，选择具有良好基本面支撑、未来发展趋势向好的行业、股票进行</w:t>
      </w:r>
      <w:r w:rsidRPr="00F74B55">
        <w:rPr>
          <w:rFonts w:eastAsiaTheme="minorEastAsia" w:hint="eastAsia"/>
          <w:color w:val="auto"/>
        </w:rPr>
        <w:t>投资。倡导用产业角度看问题，投资自己熟悉的领域，不太追逐市场热点，较少集中配置。</w:t>
      </w:r>
    </w:p>
    <w:p w:rsidR="001B459E" w:rsidRPr="000335D5" w:rsidRDefault="001B459E" w:rsidP="001B459E">
      <w:pPr>
        <w:pStyle w:val="ac"/>
        <w:numPr>
          <w:ilvl w:val="4"/>
          <w:numId w:val="1"/>
        </w:numPr>
        <w:spacing w:after="163"/>
        <w:rPr>
          <w:rFonts w:eastAsiaTheme="minorEastAsia"/>
          <w:color w:val="auto"/>
        </w:rPr>
      </w:pPr>
      <w:r w:rsidRPr="001B459E">
        <w:rPr>
          <w:rFonts w:eastAsia="宋体" w:hint="eastAsia"/>
          <w:color w:val="auto"/>
          <w:lang w:val="en-US"/>
        </w:rPr>
        <w:t>世诚：专注投资长三角地区的代表中国经济发展方向的先进制造业、现代服务业、大消费行业以及新兴战略行业中的有品牌、有优秀管理能力、营销能力和自主创新能力的上市公司，公司投资领域与我国经济转型的大背景相契合。</w:t>
      </w:r>
    </w:p>
    <w:p w:rsidR="000335D5" w:rsidRPr="000335D5" w:rsidRDefault="000335D5" w:rsidP="000335D5">
      <w:pPr>
        <w:pStyle w:val="ac"/>
        <w:numPr>
          <w:ilvl w:val="4"/>
          <w:numId w:val="1"/>
        </w:numPr>
        <w:spacing w:after="163"/>
        <w:rPr>
          <w:rFonts w:eastAsiaTheme="minorEastAsia"/>
          <w:color w:val="auto"/>
        </w:rPr>
      </w:pPr>
      <w:r>
        <w:rPr>
          <w:rFonts w:eastAsiaTheme="minorEastAsia" w:hint="eastAsia"/>
          <w:color w:val="auto"/>
        </w:rPr>
        <w:t>鼎锋：</w:t>
      </w:r>
      <w:r w:rsidRPr="00B735BB">
        <w:rPr>
          <w:rFonts w:eastAsiaTheme="minorEastAsia" w:hint="eastAsia"/>
          <w:color w:val="auto"/>
        </w:rPr>
        <w:t>主张自主研究与卖方研究相结合，注重与上市公司或是同业基金进行沟通交流。所管理的产品投资标的主</w:t>
      </w:r>
      <w:r>
        <w:rPr>
          <w:rFonts w:eastAsiaTheme="minorEastAsia" w:hint="eastAsia"/>
          <w:color w:val="auto"/>
        </w:rPr>
        <w:t>要来自于核心股票池，仅根据具体投资经理的风格差异而略有不同。</w:t>
      </w:r>
      <w:r w:rsidRPr="00B735BB">
        <w:rPr>
          <w:rFonts w:eastAsiaTheme="minorEastAsia" w:hint="eastAsia"/>
          <w:color w:val="auto"/>
        </w:rPr>
        <w:t>坚持以价值投资为核心，适当参与主题投资机会，能够应对市场变化进行策略的灵活调整。而良好的选股能力和择时能力成就了其灵活风格在实际运作中的有效性。</w:t>
      </w:r>
    </w:p>
    <w:p w:rsidR="00E56099" w:rsidRDefault="00E56099" w:rsidP="004F2B10">
      <w:pPr>
        <w:pStyle w:val="ac"/>
        <w:numPr>
          <w:ilvl w:val="4"/>
          <w:numId w:val="1"/>
        </w:numPr>
        <w:spacing w:after="163"/>
        <w:rPr>
          <w:rFonts w:eastAsiaTheme="minorEastAsia"/>
          <w:color w:val="auto"/>
        </w:rPr>
      </w:pPr>
      <w:r w:rsidRPr="00E56099">
        <w:rPr>
          <w:rFonts w:eastAsiaTheme="minorEastAsia" w:hint="eastAsia"/>
          <w:color w:val="auto"/>
        </w:rPr>
        <w:t>朱雀：注重个股选择，在所覆盖领域中挖掘投资机遇，选择优势公司分享长期可持续回报。比较强调风控，产品收益表现相对稳定，在震荡波动中践行了稳健的操作风格。公司投研团队实力较强，核心成员均有多年证券投资研究经验。</w:t>
      </w:r>
    </w:p>
    <w:p w:rsidR="001B459E" w:rsidRPr="001B459E" w:rsidRDefault="001B459E" w:rsidP="001B459E">
      <w:pPr>
        <w:pStyle w:val="ac"/>
        <w:numPr>
          <w:ilvl w:val="4"/>
          <w:numId w:val="1"/>
        </w:numPr>
        <w:spacing w:after="163"/>
        <w:rPr>
          <w:lang w:val="en-US"/>
        </w:rPr>
      </w:pPr>
      <w:r w:rsidRPr="001B459E">
        <w:rPr>
          <w:rFonts w:eastAsia="宋体" w:hint="eastAsia"/>
          <w:color w:val="auto"/>
          <w:lang w:val="en-US"/>
        </w:rPr>
        <w:t>明曜：倡导用实业投资的眼光选择投资标的，发掘在经济转型与结构调整中能够胜出的持续高成长的优势行业和龙头企业。股票仓位比较适中，不侧重做行业轮动和热点投资，主要选择自己了解、确定性较强的个股进行投资，通过前端投资标的的筛选在事前进行风险控制。</w:t>
      </w:r>
    </w:p>
    <w:p w:rsidR="000335D5" w:rsidRDefault="000335D5" w:rsidP="000335D5">
      <w:pPr>
        <w:pStyle w:val="ac"/>
        <w:numPr>
          <w:ilvl w:val="4"/>
          <w:numId w:val="1"/>
        </w:numPr>
        <w:spacing w:after="163"/>
        <w:rPr>
          <w:rFonts w:eastAsiaTheme="minorEastAsia"/>
          <w:color w:val="auto"/>
        </w:rPr>
      </w:pPr>
      <w:r w:rsidRPr="00E56099">
        <w:rPr>
          <w:rFonts w:eastAsiaTheme="minorEastAsia" w:hint="eastAsia"/>
          <w:color w:val="auto"/>
        </w:rPr>
        <w:t>景林：投资决定大多是基于对公司的基本面分析和股票的估值。对公司进行估值时注重的是其行业结构和公司在产业价值链中的地位，偏好进入门槛较</w:t>
      </w:r>
      <w:r w:rsidRPr="00E56099">
        <w:rPr>
          <w:rFonts w:eastAsiaTheme="minorEastAsia" w:hint="eastAsia"/>
          <w:color w:val="auto"/>
        </w:rPr>
        <w:lastRenderedPageBreak/>
        <w:t>高、与供应商和客户谈判能力强、且管理层积极向上且富有能力的公司。旗下产品中长期收益稳定。</w:t>
      </w:r>
    </w:p>
    <w:p w:rsidR="000335D5" w:rsidRPr="000335D5" w:rsidRDefault="000335D5" w:rsidP="000335D5">
      <w:pPr>
        <w:pStyle w:val="ac"/>
        <w:numPr>
          <w:ilvl w:val="4"/>
          <w:numId w:val="1"/>
        </w:numPr>
        <w:spacing w:after="163"/>
        <w:rPr>
          <w:rFonts w:eastAsiaTheme="minorEastAsia"/>
          <w:color w:val="auto"/>
        </w:rPr>
      </w:pPr>
      <w:r w:rsidRPr="000335D5">
        <w:rPr>
          <w:rFonts w:eastAsia="宋体" w:hint="eastAsia"/>
          <w:color w:val="auto"/>
        </w:rPr>
        <w:t>精熙：操作风格较为灵活，注重选股与选时的结合，坚持从宏观面、政策面、资金面和基本面等四个角度进行综合分析，择机配置股票资产，投资组合持股比较分散。</w:t>
      </w:r>
    </w:p>
    <w:p w:rsidR="00B735BB" w:rsidRDefault="00B735BB" w:rsidP="004F2B10">
      <w:pPr>
        <w:pStyle w:val="ac"/>
        <w:numPr>
          <w:ilvl w:val="4"/>
          <w:numId w:val="1"/>
        </w:numPr>
        <w:spacing w:after="163"/>
        <w:rPr>
          <w:rFonts w:eastAsiaTheme="minorEastAsia" w:hint="eastAsia"/>
          <w:color w:val="auto"/>
        </w:rPr>
      </w:pPr>
      <w:r>
        <w:rPr>
          <w:rFonts w:eastAsiaTheme="minorEastAsia" w:hint="eastAsia"/>
          <w:color w:val="auto"/>
        </w:rPr>
        <w:t>尚雅：</w:t>
      </w:r>
      <w:r w:rsidRPr="00B735BB">
        <w:rPr>
          <w:rFonts w:eastAsiaTheme="minorEastAsia" w:hint="eastAsia"/>
          <w:color w:val="auto"/>
        </w:rPr>
        <w:t>积极关注经济发展需要及政策支持下的战略新兴行业，通过配置相关产业背景的研究人员，对其中细分领域进行独立深入的分析，把握新兴产业当中的板块轮动行情。在公司内部推行“全员风控”，</w:t>
      </w:r>
      <w:r w:rsidR="00E56099">
        <w:rPr>
          <w:rFonts w:eastAsiaTheme="minorEastAsia" w:hint="eastAsia"/>
          <w:color w:val="auto"/>
        </w:rPr>
        <w:t>每个部门的风控员一旦在自己的范畴内发现风险</w:t>
      </w:r>
      <w:r w:rsidRPr="00B735BB">
        <w:rPr>
          <w:rFonts w:eastAsiaTheme="minorEastAsia" w:hint="eastAsia"/>
          <w:color w:val="auto"/>
        </w:rPr>
        <w:t>都要第一时间提交风控报告。在净值管理上，也设置了强制的风控线。</w:t>
      </w:r>
    </w:p>
    <w:p w:rsidR="00C87240" w:rsidRPr="008E1BF0" w:rsidRDefault="00C87240" w:rsidP="00C87240">
      <w:pPr>
        <w:pStyle w:val="ac"/>
        <w:numPr>
          <w:ilvl w:val="4"/>
          <w:numId w:val="1"/>
        </w:numPr>
        <w:spacing w:after="163"/>
        <w:rPr>
          <w:rFonts w:eastAsiaTheme="minorEastAsia"/>
          <w:color w:val="auto"/>
        </w:rPr>
      </w:pPr>
      <w:r>
        <w:rPr>
          <w:rFonts w:eastAsiaTheme="minorEastAsia" w:hint="eastAsia"/>
          <w:color w:val="auto"/>
        </w:rPr>
        <w:t>鼎诺：</w:t>
      </w:r>
      <w:r w:rsidRPr="008E1BF0">
        <w:rPr>
          <w:rFonts w:eastAsiaTheme="minorEastAsia" w:hint="eastAsia"/>
          <w:color w:val="auto"/>
        </w:rPr>
        <w:t>重视价值投资，以自下而上挖掘上市公司成长价值并长期持有作为核心投资理念。实际运作中，鼎诺也贯彻了这一理念，</w:t>
      </w:r>
      <w:r>
        <w:rPr>
          <w:rFonts w:eastAsiaTheme="minorEastAsia" w:hint="eastAsia"/>
          <w:color w:val="auto"/>
        </w:rPr>
        <w:t>在核心股票组合的构建上</w:t>
      </w:r>
      <w:r w:rsidRPr="008E1BF0">
        <w:rPr>
          <w:rFonts w:eastAsiaTheme="minorEastAsia" w:hint="eastAsia"/>
          <w:color w:val="auto"/>
        </w:rPr>
        <w:t>强调基本面研究，致力于寻找公司质地优良、成长空间较大的优势股票，以分享其业绩上升带来的回报。在投资组合配置中，不论是行业还是个股投资方面涉足范围均较广，但对于核心领域投资相对集中，优选个股集中投资特征鲜明。当然，在自下而上选股的同时，公司也会结合市场趋势进行一定的阶段操作。</w:t>
      </w:r>
    </w:p>
    <w:p w:rsidR="00F74B55" w:rsidRDefault="008E1BF0" w:rsidP="004F2B10">
      <w:pPr>
        <w:pStyle w:val="ac"/>
        <w:numPr>
          <w:ilvl w:val="4"/>
          <w:numId w:val="1"/>
        </w:numPr>
        <w:spacing w:after="163"/>
        <w:rPr>
          <w:rFonts w:eastAsiaTheme="minorEastAsia"/>
          <w:color w:val="auto"/>
        </w:rPr>
      </w:pPr>
      <w:r>
        <w:rPr>
          <w:rFonts w:eastAsiaTheme="minorEastAsia" w:hint="eastAsia"/>
          <w:color w:val="auto"/>
        </w:rPr>
        <w:t>重阳：</w:t>
      </w:r>
      <w:r w:rsidR="00C87240">
        <w:rPr>
          <w:rFonts w:eastAsiaTheme="minorEastAsia" w:hint="eastAsia"/>
          <w:color w:val="auto"/>
        </w:rPr>
        <w:t>综合类</w:t>
      </w:r>
      <w:r>
        <w:rPr>
          <w:rFonts w:eastAsiaTheme="minorEastAsia" w:hint="eastAsia"/>
          <w:color w:val="auto"/>
        </w:rPr>
        <w:t>选手</w:t>
      </w:r>
      <w:r w:rsidR="00C87240">
        <w:rPr>
          <w:rFonts w:eastAsiaTheme="minorEastAsia" w:hint="eastAsia"/>
          <w:color w:val="auto"/>
        </w:rPr>
        <w:t>。</w:t>
      </w:r>
      <w:r w:rsidRPr="008E1BF0">
        <w:rPr>
          <w:rFonts w:eastAsiaTheme="minorEastAsia" w:hint="eastAsia"/>
          <w:color w:val="auto"/>
        </w:rPr>
        <w:t>崇尚中长期价值投资，将“发现并投资确定的低估成长公司”作为投资研究的第一目标。产品持股期限普遍较长，重点关注具有估值优势并且兼具持续成长能力的投资标的，通过挖掘被市场冷落的股票实现基于中长期判断下的逆向投资，行业配置和个股投资都相对集中，持股数量也比较有限。</w:t>
      </w:r>
      <w:r>
        <w:rPr>
          <w:rFonts w:eastAsiaTheme="minorEastAsia" w:hint="eastAsia"/>
          <w:color w:val="auto"/>
        </w:rPr>
        <w:t>优秀的选股能力令集中投资效果理想</w:t>
      </w:r>
      <w:r w:rsidRPr="008E1BF0">
        <w:rPr>
          <w:rFonts w:eastAsiaTheme="minorEastAsia" w:hint="eastAsia"/>
          <w:color w:val="auto"/>
        </w:rPr>
        <w:t>，中长期收益稳定持续。</w:t>
      </w:r>
      <w:r>
        <w:rPr>
          <w:rFonts w:eastAsiaTheme="minorEastAsia" w:hint="eastAsia"/>
          <w:color w:val="auto"/>
        </w:rPr>
        <w:t>2012</w:t>
      </w:r>
      <w:r>
        <w:rPr>
          <w:rFonts w:eastAsiaTheme="minorEastAsia" w:hint="eastAsia"/>
          <w:color w:val="auto"/>
        </w:rPr>
        <w:t>年</w:t>
      </w:r>
      <w:r w:rsidR="002D64B4">
        <w:rPr>
          <w:rFonts w:eastAsiaTheme="minorEastAsia" w:hint="eastAsia"/>
          <w:color w:val="auto"/>
        </w:rPr>
        <w:t>底</w:t>
      </w:r>
      <w:r>
        <w:rPr>
          <w:rFonts w:eastAsiaTheme="minorEastAsia" w:hint="eastAsia"/>
          <w:color w:val="auto"/>
        </w:rPr>
        <w:t>，重阳联手国泰君安资管</w:t>
      </w:r>
      <w:r w:rsidR="002D64B4">
        <w:rPr>
          <w:rFonts w:eastAsiaTheme="minorEastAsia" w:hint="eastAsia"/>
          <w:color w:val="auto"/>
        </w:rPr>
        <w:t>成立</w:t>
      </w:r>
      <w:r>
        <w:rPr>
          <w:rFonts w:eastAsiaTheme="minorEastAsia" w:hint="eastAsia"/>
          <w:color w:val="auto"/>
        </w:rPr>
        <w:t>了“</w:t>
      </w:r>
      <w:r w:rsidRPr="00D62B40">
        <w:rPr>
          <w:rFonts w:ascii="Calibri" w:eastAsia="宋体" w:hAnsi="Calibri" w:hint="eastAsia"/>
        </w:rPr>
        <w:t>君享重阳阿尔法对冲一号</w:t>
      </w:r>
      <w:r>
        <w:rPr>
          <w:rFonts w:ascii="Calibri" w:eastAsia="宋体" w:hAnsi="Calibri" w:hint="eastAsia"/>
        </w:rPr>
        <w:t>”，</w:t>
      </w:r>
      <w:r w:rsidR="002D64B4">
        <w:rPr>
          <w:rFonts w:ascii="Calibri" w:eastAsia="宋体" w:hAnsi="Calibri" w:hint="eastAsia"/>
        </w:rPr>
        <w:t>开启对冲基金与券商资管合作先河。</w:t>
      </w:r>
      <w:r w:rsidR="00267329">
        <w:rPr>
          <w:rFonts w:ascii="Calibri" w:eastAsia="宋体" w:hAnsi="Calibri" w:hint="eastAsia"/>
        </w:rPr>
        <w:t>该产品</w:t>
      </w:r>
      <w:r w:rsidR="00267329" w:rsidRPr="00B4683A">
        <w:rPr>
          <w:rFonts w:eastAsiaTheme="minorEastAsia" w:hint="eastAsia"/>
          <w:color w:val="auto"/>
        </w:rPr>
        <w:t>采用市场中性策略，</w:t>
      </w:r>
      <w:r w:rsidR="00B4683A" w:rsidRPr="00B4683A">
        <w:rPr>
          <w:rFonts w:eastAsiaTheme="minorEastAsia" w:hint="eastAsia"/>
          <w:color w:val="auto"/>
        </w:rPr>
        <w:t>今年</w:t>
      </w:r>
      <w:r w:rsidR="00B4683A" w:rsidRPr="00B4683A">
        <w:rPr>
          <w:rFonts w:eastAsiaTheme="minorEastAsia" w:hint="eastAsia"/>
          <w:color w:val="auto"/>
        </w:rPr>
        <w:t>1~11</w:t>
      </w:r>
      <w:r w:rsidR="00B4683A" w:rsidRPr="00B4683A">
        <w:rPr>
          <w:rFonts w:eastAsiaTheme="minorEastAsia" w:hint="eastAsia"/>
          <w:color w:val="auto"/>
        </w:rPr>
        <w:t>月</w:t>
      </w:r>
      <w:r w:rsidR="00267329" w:rsidRPr="00B4683A">
        <w:rPr>
          <w:rFonts w:eastAsiaTheme="minorEastAsia" w:hint="eastAsia"/>
          <w:color w:val="auto"/>
        </w:rPr>
        <w:t>累计收益达</w:t>
      </w:r>
      <w:r w:rsidR="00267329" w:rsidRPr="00B4683A">
        <w:rPr>
          <w:rFonts w:eastAsiaTheme="minorEastAsia" w:hint="eastAsia"/>
          <w:color w:val="auto"/>
        </w:rPr>
        <w:t>47.22%</w:t>
      </w:r>
      <w:r w:rsidR="00267329" w:rsidRPr="00B4683A">
        <w:rPr>
          <w:rFonts w:eastAsiaTheme="minorEastAsia" w:hint="eastAsia"/>
          <w:color w:val="auto"/>
        </w:rPr>
        <w:t>。</w:t>
      </w:r>
      <w:r w:rsidR="002D64B4" w:rsidRPr="00B4683A">
        <w:rPr>
          <w:rFonts w:eastAsiaTheme="minorEastAsia" w:hint="eastAsia"/>
          <w:color w:val="auto"/>
        </w:rPr>
        <w:t>重阳作为管理人展现出精准</w:t>
      </w:r>
      <w:r w:rsidR="00267329" w:rsidRPr="00B4683A">
        <w:rPr>
          <w:rFonts w:eastAsiaTheme="minorEastAsia" w:hint="eastAsia"/>
          <w:color w:val="auto"/>
        </w:rPr>
        <w:t>的</w:t>
      </w:r>
      <w:r w:rsidR="002D64B4" w:rsidRPr="00B4683A">
        <w:rPr>
          <w:rFonts w:eastAsiaTheme="minorEastAsia" w:hint="eastAsia"/>
          <w:color w:val="auto"/>
        </w:rPr>
        <w:t>选股水平和果断</w:t>
      </w:r>
      <w:r w:rsidR="00B4683A">
        <w:rPr>
          <w:rFonts w:eastAsiaTheme="minorEastAsia" w:hint="eastAsia"/>
          <w:color w:val="auto"/>
        </w:rPr>
        <w:t>的</w:t>
      </w:r>
      <w:r w:rsidR="002D64B4" w:rsidRPr="00B4683A">
        <w:rPr>
          <w:rFonts w:eastAsiaTheme="minorEastAsia" w:hint="eastAsia"/>
          <w:color w:val="auto"/>
        </w:rPr>
        <w:t>风控手腕。</w:t>
      </w:r>
    </w:p>
    <w:p w:rsidR="00B10000" w:rsidRDefault="00B10000">
      <w:pPr>
        <w:widowControl/>
        <w:jc w:val="left"/>
        <w:rPr>
          <w:rFonts w:ascii="Arial" w:eastAsia="楷体_GB2312" w:hAnsi="Arial" w:cs="Times New Roman"/>
          <w:b/>
          <w:kern w:val="0"/>
          <w:szCs w:val="20"/>
          <w:lang w:val="en-GB"/>
        </w:rPr>
      </w:pPr>
      <w:r>
        <w:rPr>
          <w:rFonts w:ascii="Arial" w:eastAsia="楷体_GB2312" w:hAnsi="Arial"/>
          <w:b/>
          <w:kern w:val="0"/>
          <w:szCs w:val="20"/>
          <w:lang w:val="en-GB"/>
        </w:rPr>
        <w:br w:type="page"/>
      </w:r>
    </w:p>
    <w:p w:rsidR="00B10000" w:rsidRPr="00AE3A97" w:rsidRDefault="00B10000" w:rsidP="00B10000">
      <w:pPr>
        <w:pStyle w:val="ab"/>
        <w:spacing w:after="312"/>
        <w:rPr>
          <w:rFonts w:asciiTheme="minorEastAsia" w:eastAsiaTheme="minorEastAsia" w:hAnsiTheme="minorEastAsia"/>
          <w:b/>
          <w:sz w:val="21"/>
          <w:szCs w:val="21"/>
        </w:rPr>
      </w:pPr>
      <w:r w:rsidRPr="00AE3A97">
        <w:rPr>
          <w:rFonts w:asciiTheme="minorEastAsia" w:eastAsiaTheme="minorEastAsia" w:hAnsiTheme="minorEastAsia" w:hint="eastAsia"/>
          <w:b/>
          <w:kern w:val="0"/>
          <w:sz w:val="21"/>
          <w:szCs w:val="20"/>
          <w:lang w:val="en-GB"/>
        </w:rPr>
        <w:lastRenderedPageBreak/>
        <w:t>特别声明：</w:t>
      </w:r>
    </w:p>
    <w:p w:rsidR="00B10000" w:rsidRPr="00AE3A97" w:rsidRDefault="00B10000" w:rsidP="00C87240">
      <w:pPr>
        <w:pStyle w:val="ab"/>
        <w:spacing w:beforeLines="50" w:after="312"/>
        <w:rPr>
          <w:rFonts w:asciiTheme="minorEastAsia" w:eastAsiaTheme="minorEastAsia" w:hAnsiTheme="minorEastAsia"/>
          <w:kern w:val="0"/>
          <w:sz w:val="21"/>
          <w:szCs w:val="20"/>
          <w:lang w:val="en-GB"/>
        </w:rPr>
      </w:pPr>
      <w:r w:rsidRPr="00AE3A97">
        <w:rPr>
          <w:rFonts w:asciiTheme="minorEastAsia" w:eastAsiaTheme="minorEastAsia" w:hAnsiTheme="minorEastAsia"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AE3A97" w:rsidRDefault="00B10000" w:rsidP="00C87240">
      <w:pPr>
        <w:pStyle w:val="ab"/>
        <w:spacing w:beforeLines="50" w:after="312"/>
        <w:rPr>
          <w:rFonts w:asciiTheme="minorEastAsia" w:eastAsiaTheme="minorEastAsia" w:hAnsiTheme="minorEastAsia"/>
          <w:kern w:val="0"/>
          <w:sz w:val="21"/>
          <w:szCs w:val="20"/>
          <w:lang w:val="en-GB"/>
        </w:rPr>
      </w:pPr>
      <w:r w:rsidRPr="00AE3A97">
        <w:rPr>
          <w:rFonts w:asciiTheme="minorEastAsia" w:eastAsiaTheme="minorEastAsia" w:hAnsiTheme="minorEastAsia"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AE3A97" w:rsidRDefault="00B10000" w:rsidP="00C87240">
      <w:pPr>
        <w:pStyle w:val="ab"/>
        <w:spacing w:beforeLines="50" w:after="312"/>
        <w:rPr>
          <w:rFonts w:asciiTheme="minorEastAsia" w:eastAsiaTheme="minorEastAsia" w:hAnsiTheme="minorEastAsia"/>
          <w:kern w:val="0"/>
          <w:sz w:val="21"/>
          <w:szCs w:val="20"/>
          <w:lang w:val="en-GB"/>
        </w:rPr>
      </w:pPr>
      <w:r w:rsidRPr="00AE3A97">
        <w:rPr>
          <w:rFonts w:asciiTheme="minorEastAsia" w:eastAsiaTheme="minorEastAsia" w:hAnsiTheme="minorEastAsia"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B10000" w:rsidRDefault="00B10000">
      <w:pPr>
        <w:rPr>
          <w:lang w:val="en-GB"/>
        </w:rPr>
      </w:pPr>
    </w:p>
    <w:sectPr w:rsidR="00B10000" w:rsidRPr="00B10000" w:rsidSect="00656031">
      <w:headerReference w:type="default" r:id="rId18"/>
      <w:footerReference w:type="default" r:id="rId19"/>
      <w:headerReference w:type="first" r:id="rId20"/>
      <w:footerReference w:type="first" r:id="rId21"/>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227" w:rsidRDefault="005E5227" w:rsidP="00B10000">
      <w:r>
        <w:separator/>
      </w:r>
    </w:p>
  </w:endnote>
  <w:endnote w:type="continuationSeparator" w:id="1">
    <w:p w:rsidR="005E5227" w:rsidRDefault="005E5227"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KaiTi_GB2312">
    <w:altName w:val="MS Gothic"/>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0A" w:rsidRDefault="00720108">
    <w:pPr>
      <w:pStyle w:val="a5"/>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90090A">
              <w:rPr>
                <w:lang w:val="zh-CN"/>
              </w:rPr>
              <w:t xml:space="preserve"> </w:t>
            </w:r>
            <w:r>
              <w:rPr>
                <w:b/>
                <w:sz w:val="24"/>
                <w:szCs w:val="24"/>
              </w:rPr>
              <w:fldChar w:fldCharType="begin"/>
            </w:r>
            <w:r w:rsidR="0090090A">
              <w:rPr>
                <w:b/>
              </w:rPr>
              <w:instrText>PAGE</w:instrText>
            </w:r>
            <w:r>
              <w:rPr>
                <w:b/>
                <w:sz w:val="24"/>
                <w:szCs w:val="24"/>
              </w:rPr>
              <w:fldChar w:fldCharType="separate"/>
            </w:r>
            <w:r w:rsidR="00C87240">
              <w:rPr>
                <w:b/>
                <w:noProof/>
              </w:rPr>
              <w:t>9</w:t>
            </w:r>
            <w:r>
              <w:rPr>
                <w:b/>
                <w:sz w:val="24"/>
                <w:szCs w:val="24"/>
              </w:rPr>
              <w:fldChar w:fldCharType="end"/>
            </w:r>
            <w:r w:rsidR="0090090A">
              <w:rPr>
                <w:lang w:val="zh-CN"/>
              </w:rPr>
              <w:t xml:space="preserve"> / </w:t>
            </w:r>
            <w:r>
              <w:rPr>
                <w:b/>
                <w:sz w:val="24"/>
                <w:szCs w:val="24"/>
              </w:rPr>
              <w:fldChar w:fldCharType="begin"/>
            </w:r>
            <w:r w:rsidR="0090090A">
              <w:rPr>
                <w:b/>
              </w:rPr>
              <w:instrText>NUMPAGES</w:instrText>
            </w:r>
            <w:r>
              <w:rPr>
                <w:b/>
                <w:sz w:val="24"/>
                <w:szCs w:val="24"/>
              </w:rPr>
              <w:fldChar w:fldCharType="separate"/>
            </w:r>
            <w:r w:rsidR="00C87240">
              <w:rPr>
                <w:b/>
                <w:noProof/>
              </w:rPr>
              <w:t>11</w:t>
            </w:r>
            <w:r>
              <w:rPr>
                <w:b/>
                <w:sz w:val="24"/>
                <w:szCs w:val="24"/>
              </w:rPr>
              <w:fldChar w:fldCharType="end"/>
            </w:r>
          </w:sdtContent>
        </w:sdt>
      </w:sdtContent>
    </w:sdt>
  </w:p>
  <w:p w:rsidR="0090090A" w:rsidRDefault="0090090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90090A" w:rsidRDefault="00720108">
            <w:pPr>
              <w:pStyle w:val="a5"/>
              <w:jc w:val="center"/>
            </w:pPr>
            <w:r>
              <w:pict>
                <v:rect id="_x0000_i1029" style="width:571.2pt;height:2pt" o:hralign="center" o:hrstd="t" o:hrnoshade="t" o:hr="t" fillcolor="#e7a631" stroked="f"/>
              </w:pict>
            </w:r>
            <w:r w:rsidR="0090090A">
              <w:rPr>
                <w:lang w:val="zh-CN"/>
              </w:rPr>
              <w:t xml:space="preserve"> </w:t>
            </w:r>
            <w:r>
              <w:rPr>
                <w:b/>
                <w:sz w:val="24"/>
                <w:szCs w:val="24"/>
              </w:rPr>
              <w:fldChar w:fldCharType="begin"/>
            </w:r>
            <w:r w:rsidR="0090090A">
              <w:rPr>
                <w:b/>
              </w:rPr>
              <w:instrText>PAGE</w:instrText>
            </w:r>
            <w:r>
              <w:rPr>
                <w:b/>
                <w:sz w:val="24"/>
                <w:szCs w:val="24"/>
              </w:rPr>
              <w:fldChar w:fldCharType="separate"/>
            </w:r>
            <w:r w:rsidR="00C87240">
              <w:rPr>
                <w:b/>
                <w:noProof/>
              </w:rPr>
              <w:t>1</w:t>
            </w:r>
            <w:r>
              <w:rPr>
                <w:b/>
                <w:sz w:val="24"/>
                <w:szCs w:val="24"/>
              </w:rPr>
              <w:fldChar w:fldCharType="end"/>
            </w:r>
            <w:r w:rsidR="0090090A">
              <w:rPr>
                <w:lang w:val="zh-CN"/>
              </w:rPr>
              <w:t xml:space="preserve"> / </w:t>
            </w:r>
            <w:r>
              <w:rPr>
                <w:b/>
                <w:sz w:val="24"/>
                <w:szCs w:val="24"/>
              </w:rPr>
              <w:fldChar w:fldCharType="begin"/>
            </w:r>
            <w:r w:rsidR="0090090A">
              <w:rPr>
                <w:b/>
              </w:rPr>
              <w:instrText>NUMPAGES</w:instrText>
            </w:r>
            <w:r>
              <w:rPr>
                <w:b/>
                <w:sz w:val="24"/>
                <w:szCs w:val="24"/>
              </w:rPr>
              <w:fldChar w:fldCharType="separate"/>
            </w:r>
            <w:r w:rsidR="00C87240">
              <w:rPr>
                <w:b/>
                <w:noProof/>
              </w:rPr>
              <w:t>11</w:t>
            </w:r>
            <w:r>
              <w:rPr>
                <w:b/>
                <w:sz w:val="24"/>
                <w:szCs w:val="24"/>
              </w:rPr>
              <w:fldChar w:fldCharType="end"/>
            </w:r>
          </w:p>
        </w:sdtContent>
      </w:sdt>
    </w:sdtContent>
  </w:sdt>
  <w:p w:rsidR="0090090A" w:rsidRDefault="0090090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227" w:rsidRDefault="005E5227" w:rsidP="00B10000">
      <w:r>
        <w:separator/>
      </w:r>
    </w:p>
  </w:footnote>
  <w:footnote w:type="continuationSeparator" w:id="1">
    <w:p w:rsidR="005E5227" w:rsidRDefault="005E5227"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0A" w:rsidRDefault="00720108" w:rsidP="00B10000">
    <w:pPr>
      <w:pStyle w:val="a4"/>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90090A" w:rsidRDefault="00720108" w:rsidP="00B10000">
                  <w:pPr>
                    <w:pStyle w:val="12"/>
                  </w:pPr>
                  <w:r w:rsidRPr="007201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75pt;height:32.2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90090A" w:rsidRPr="006E0F3C" w:rsidRDefault="0090090A" w:rsidP="00B10000">
                  <w:pPr>
                    <w:pStyle w:val="2"/>
                  </w:pPr>
                  <w:r>
                    <w:rPr>
                      <w:rFonts w:hint="eastAsia"/>
                    </w:rPr>
                    <w:t>2014</w:t>
                  </w:r>
                  <w:r w:rsidRPr="006E0F3C">
                    <w:rPr>
                      <w:rFonts w:hint="eastAsia"/>
                    </w:rPr>
                    <w:t>年</w:t>
                  </w:r>
                  <w:r w:rsidR="006E746A">
                    <w:rPr>
                      <w:rFonts w:hint="eastAsia"/>
                    </w:rPr>
                    <w:t>度</w:t>
                  </w:r>
                  <w:r>
                    <w:rPr>
                      <w:rFonts w:hint="eastAsia"/>
                    </w:rPr>
                    <w:t>对冲基金</w:t>
                  </w:r>
                  <w:r w:rsidRPr="006E0F3C">
                    <w:rPr>
                      <w:rFonts w:hint="eastAsia"/>
                    </w:rPr>
                    <w:t>投资策略</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0A" w:rsidRDefault="00720108" w:rsidP="00C87240">
    <w:pPr>
      <w:pStyle w:val="a4"/>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90090A" w:rsidRDefault="00C87240" w:rsidP="00B10000">
                  <w:pPr>
                    <w:pStyle w:val="a7"/>
                  </w:pPr>
                  <w:r w:rsidRPr="0072010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90090A" w:rsidRPr="006E0F3C" w:rsidRDefault="0090090A" w:rsidP="008840A4">
                  <w:pPr>
                    <w:pStyle w:val="a6"/>
                    <w:spacing w:after="240"/>
                  </w:pPr>
                  <w:r w:rsidRPr="006E0F3C">
                    <w:rPr>
                      <w:rFonts w:hint="eastAsia"/>
                    </w:rPr>
                    <w:t>凯石工场研究报告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90090A" w:rsidRPr="006E0F3C" w:rsidRDefault="0090090A" w:rsidP="00B10000">
                  <w:pPr>
                    <w:pStyle w:val="a8"/>
                    <w:jc w:val="right"/>
                  </w:pPr>
                  <w:r w:rsidRPr="006E0F3C">
                    <w:rPr>
                      <w:rFonts w:hint="eastAsia"/>
                    </w:rPr>
                    <w:t>2013年</w:t>
                  </w:r>
                  <w:r w:rsidR="006E746A">
                    <w:rPr>
                      <w:rFonts w:hint="eastAsia"/>
                    </w:rPr>
                    <w:t>12</w:t>
                  </w:r>
                  <w:r w:rsidRPr="006E0F3C">
                    <w:rPr>
                      <w:rFonts w:hint="eastAsia"/>
                    </w:rPr>
                    <w:t>月</w:t>
                  </w:r>
                  <w:r w:rsidR="006E746A">
                    <w:rPr>
                      <w:rFonts w:hint="eastAsia"/>
                    </w:rPr>
                    <w:t>20</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90090A" w:rsidRDefault="00EA7197" w:rsidP="00B10000">
                  <w:pPr>
                    <w:pStyle w:val="a9"/>
                    <w:jc w:val="right"/>
                  </w:pPr>
                  <w:r>
                    <w:rPr>
                      <w:rFonts w:hint="eastAsia"/>
                    </w:rPr>
                    <w:t>超额收益重在择时，</w:t>
                  </w:r>
                  <w:r w:rsidR="00C0041C">
                    <w:rPr>
                      <w:rFonts w:hint="eastAsia"/>
                    </w:rPr>
                    <w:t>主题投资轮动提速</w:t>
                  </w:r>
                </w:p>
                <w:p w:rsidR="0090090A" w:rsidRPr="00624366" w:rsidRDefault="00EA7197" w:rsidP="00B10000">
                  <w:pPr>
                    <w:pStyle w:val="a9"/>
                    <w:jc w:val="right"/>
                    <w:rPr>
                      <w:sz w:val="28"/>
                      <w:szCs w:val="28"/>
                    </w:rPr>
                  </w:pPr>
                  <w:r>
                    <w:rPr>
                      <w:rFonts w:hint="eastAsia"/>
                      <w:sz w:val="28"/>
                      <w:szCs w:val="28"/>
                    </w:rPr>
                    <w:t>2014年度对冲基金投资策略</w:t>
                  </w:r>
                </w:p>
              </w:txbxContent>
            </v:textbox>
          </v:shape>
          <v:shape id="_x0000_s1030" type="#_x0000_t202" style="position:absolute;left:3246;top:2578;width:7993;height:627" strokecolor="white">
            <v:textbox style="mso-next-textbox:#_x0000_s1030">
              <w:txbxContent>
                <w:p w:rsidR="00560418" w:rsidRDefault="006E746A" w:rsidP="00B10000">
                  <w:pPr>
                    <w:pStyle w:val="aa"/>
                  </w:pPr>
                  <w:r>
                    <w:rPr>
                      <w:rFonts w:hint="eastAsia"/>
                    </w:rPr>
                    <w:t>杨舒</w:t>
                  </w:r>
                  <w:r w:rsidR="0090090A" w:rsidRPr="006E0F3C">
                    <w:rPr>
                      <w:rFonts w:hint="eastAsia"/>
                    </w:rPr>
                    <w:t xml:space="preserve"> </w:t>
                  </w:r>
                  <w:r>
                    <w:rPr>
                      <w:rFonts w:hint="eastAsia"/>
                    </w:rPr>
                    <w:t>高级</w:t>
                  </w:r>
                  <w:r w:rsidR="0090090A" w:rsidRPr="006E0F3C">
                    <w:rPr>
                      <w:rFonts w:hint="eastAsia"/>
                    </w:rPr>
                    <w:t>分析师</w:t>
                  </w:r>
                </w:p>
                <w:p w:rsidR="0090090A" w:rsidRPr="006E0F3C" w:rsidRDefault="00560418" w:rsidP="00B10000">
                  <w:pPr>
                    <w:pStyle w:val="aa"/>
                  </w:pPr>
                  <w:r>
                    <w:rPr>
                      <w:rFonts w:hint="eastAsia"/>
                    </w:rPr>
                    <w:t>张剑辉 首席分析师</w:t>
                  </w:r>
                  <w:r w:rsidR="0090090A" w:rsidRPr="006E0F3C">
                    <w:rPr>
                      <w:rFonts w:hint="eastAsia"/>
                    </w:rPr>
                    <w:t xml:space="preserve"> </w:t>
                  </w: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492E213B"/>
    <w:multiLevelType w:val="hybridMultilevel"/>
    <w:tmpl w:val="0944B180"/>
    <w:lvl w:ilvl="0" w:tplc="03E61236">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4C37709"/>
    <w:multiLevelType w:val="hybridMultilevel"/>
    <w:tmpl w:val="E6284CB2"/>
    <w:lvl w:ilvl="0" w:tplc="AE881A2C">
      <w:start w:val="1"/>
      <w:numFmt w:val="bullet"/>
      <w:pStyle w:val="a"/>
      <w:lvlText w:val=""/>
      <w:lvlJc w:val="left"/>
      <w:pPr>
        <w:tabs>
          <w:tab w:val="num" w:pos="340"/>
        </w:tabs>
        <w:ind w:left="340" w:hanging="34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4">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5">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6">
    <w:nsid w:val="75E64BC3"/>
    <w:multiLevelType w:val="hybridMultilevel"/>
    <w:tmpl w:val="574C58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3"/>
  </w:num>
  <w:num w:numId="6">
    <w:abstractNumId w:val="5"/>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0000"/>
    <w:rsid w:val="00000497"/>
    <w:rsid w:val="00007500"/>
    <w:rsid w:val="00010E0A"/>
    <w:rsid w:val="00015F4F"/>
    <w:rsid w:val="00016844"/>
    <w:rsid w:val="0002053F"/>
    <w:rsid w:val="00023797"/>
    <w:rsid w:val="00023D85"/>
    <w:rsid w:val="000335D5"/>
    <w:rsid w:val="00034C20"/>
    <w:rsid w:val="00035A34"/>
    <w:rsid w:val="000372CF"/>
    <w:rsid w:val="00037860"/>
    <w:rsid w:val="00043F27"/>
    <w:rsid w:val="0004440D"/>
    <w:rsid w:val="000458BD"/>
    <w:rsid w:val="00051772"/>
    <w:rsid w:val="00053BCB"/>
    <w:rsid w:val="00055FFB"/>
    <w:rsid w:val="000658B3"/>
    <w:rsid w:val="00066B00"/>
    <w:rsid w:val="00066DEB"/>
    <w:rsid w:val="0007165B"/>
    <w:rsid w:val="000757D0"/>
    <w:rsid w:val="00077228"/>
    <w:rsid w:val="00083E73"/>
    <w:rsid w:val="000A3091"/>
    <w:rsid w:val="000A5340"/>
    <w:rsid w:val="000B1798"/>
    <w:rsid w:val="000B32F4"/>
    <w:rsid w:val="000C57E2"/>
    <w:rsid w:val="000C7381"/>
    <w:rsid w:val="000D3A19"/>
    <w:rsid w:val="000E24E4"/>
    <w:rsid w:val="000E26EB"/>
    <w:rsid w:val="001004F0"/>
    <w:rsid w:val="0010362C"/>
    <w:rsid w:val="001076B0"/>
    <w:rsid w:val="0011414C"/>
    <w:rsid w:val="0011633B"/>
    <w:rsid w:val="00127813"/>
    <w:rsid w:val="00133D88"/>
    <w:rsid w:val="00135554"/>
    <w:rsid w:val="00140E0F"/>
    <w:rsid w:val="001468A0"/>
    <w:rsid w:val="00147FEC"/>
    <w:rsid w:val="00155025"/>
    <w:rsid w:val="00157A1D"/>
    <w:rsid w:val="00157A48"/>
    <w:rsid w:val="0016423D"/>
    <w:rsid w:val="00175A45"/>
    <w:rsid w:val="00176E76"/>
    <w:rsid w:val="00180F9D"/>
    <w:rsid w:val="001872F7"/>
    <w:rsid w:val="00190667"/>
    <w:rsid w:val="00193430"/>
    <w:rsid w:val="001A0B24"/>
    <w:rsid w:val="001B3078"/>
    <w:rsid w:val="001B3430"/>
    <w:rsid w:val="001B459E"/>
    <w:rsid w:val="001C5DEF"/>
    <w:rsid w:val="001D161F"/>
    <w:rsid w:val="001D1936"/>
    <w:rsid w:val="001D2097"/>
    <w:rsid w:val="001E6DB1"/>
    <w:rsid w:val="001E6E8C"/>
    <w:rsid w:val="001F3E7F"/>
    <w:rsid w:val="001F5618"/>
    <w:rsid w:val="001F6BE6"/>
    <w:rsid w:val="00204BB1"/>
    <w:rsid w:val="00205BED"/>
    <w:rsid w:val="00210C4C"/>
    <w:rsid w:val="00217710"/>
    <w:rsid w:val="002273F2"/>
    <w:rsid w:val="00230A7A"/>
    <w:rsid w:val="0023472C"/>
    <w:rsid w:val="0025073C"/>
    <w:rsid w:val="00250E9A"/>
    <w:rsid w:val="0025603E"/>
    <w:rsid w:val="00267329"/>
    <w:rsid w:val="00271473"/>
    <w:rsid w:val="002718AB"/>
    <w:rsid w:val="00282595"/>
    <w:rsid w:val="0029703D"/>
    <w:rsid w:val="002A03EE"/>
    <w:rsid w:val="002A192D"/>
    <w:rsid w:val="002B1C0F"/>
    <w:rsid w:val="002B417A"/>
    <w:rsid w:val="002B62DE"/>
    <w:rsid w:val="002C0A65"/>
    <w:rsid w:val="002C236E"/>
    <w:rsid w:val="002C2DD4"/>
    <w:rsid w:val="002C7ECE"/>
    <w:rsid w:val="002D083C"/>
    <w:rsid w:val="002D10E4"/>
    <w:rsid w:val="002D64B4"/>
    <w:rsid w:val="002D6DB3"/>
    <w:rsid w:val="002D7911"/>
    <w:rsid w:val="002E014C"/>
    <w:rsid w:val="002E3E70"/>
    <w:rsid w:val="002E7852"/>
    <w:rsid w:val="002F05A2"/>
    <w:rsid w:val="002F5599"/>
    <w:rsid w:val="002F6937"/>
    <w:rsid w:val="00302398"/>
    <w:rsid w:val="00305D0E"/>
    <w:rsid w:val="003065AE"/>
    <w:rsid w:val="003127E6"/>
    <w:rsid w:val="00313A31"/>
    <w:rsid w:val="00321430"/>
    <w:rsid w:val="003216D5"/>
    <w:rsid w:val="003257A3"/>
    <w:rsid w:val="00325810"/>
    <w:rsid w:val="0033093A"/>
    <w:rsid w:val="00330B6C"/>
    <w:rsid w:val="0033731B"/>
    <w:rsid w:val="00343E0A"/>
    <w:rsid w:val="00354EC0"/>
    <w:rsid w:val="003560F9"/>
    <w:rsid w:val="00360EB8"/>
    <w:rsid w:val="0036245A"/>
    <w:rsid w:val="00362625"/>
    <w:rsid w:val="003629A1"/>
    <w:rsid w:val="00363BFA"/>
    <w:rsid w:val="00365DB6"/>
    <w:rsid w:val="00375C17"/>
    <w:rsid w:val="00383651"/>
    <w:rsid w:val="00383870"/>
    <w:rsid w:val="003942F8"/>
    <w:rsid w:val="003A0DBF"/>
    <w:rsid w:val="003A153C"/>
    <w:rsid w:val="003A2340"/>
    <w:rsid w:val="003A29D4"/>
    <w:rsid w:val="003A33F2"/>
    <w:rsid w:val="003A6147"/>
    <w:rsid w:val="003A7828"/>
    <w:rsid w:val="003A7F48"/>
    <w:rsid w:val="003B4F8F"/>
    <w:rsid w:val="003C0300"/>
    <w:rsid w:val="003C20CF"/>
    <w:rsid w:val="003C5B0B"/>
    <w:rsid w:val="003E0227"/>
    <w:rsid w:val="003E2908"/>
    <w:rsid w:val="003E661B"/>
    <w:rsid w:val="003F0974"/>
    <w:rsid w:val="003F685A"/>
    <w:rsid w:val="00404423"/>
    <w:rsid w:val="00411104"/>
    <w:rsid w:val="00416B4E"/>
    <w:rsid w:val="004207BC"/>
    <w:rsid w:val="00434A13"/>
    <w:rsid w:val="00437970"/>
    <w:rsid w:val="004410ED"/>
    <w:rsid w:val="00441545"/>
    <w:rsid w:val="00444005"/>
    <w:rsid w:val="00445588"/>
    <w:rsid w:val="00450EC4"/>
    <w:rsid w:val="00461EF4"/>
    <w:rsid w:val="00462A8C"/>
    <w:rsid w:val="00463AD2"/>
    <w:rsid w:val="00466267"/>
    <w:rsid w:val="00471688"/>
    <w:rsid w:val="00475BE4"/>
    <w:rsid w:val="004774C8"/>
    <w:rsid w:val="00486443"/>
    <w:rsid w:val="004945ED"/>
    <w:rsid w:val="004977EF"/>
    <w:rsid w:val="004A1E34"/>
    <w:rsid w:val="004A4649"/>
    <w:rsid w:val="004A78CC"/>
    <w:rsid w:val="004B4064"/>
    <w:rsid w:val="004C64FB"/>
    <w:rsid w:val="004C6C6C"/>
    <w:rsid w:val="004D2D49"/>
    <w:rsid w:val="004D39C0"/>
    <w:rsid w:val="004D3E53"/>
    <w:rsid w:val="004E5DBE"/>
    <w:rsid w:val="004E7331"/>
    <w:rsid w:val="004F2B10"/>
    <w:rsid w:val="00507AD2"/>
    <w:rsid w:val="005130CB"/>
    <w:rsid w:val="005215BF"/>
    <w:rsid w:val="00523508"/>
    <w:rsid w:val="0052478C"/>
    <w:rsid w:val="00525418"/>
    <w:rsid w:val="00525D3A"/>
    <w:rsid w:val="00525D83"/>
    <w:rsid w:val="005264EB"/>
    <w:rsid w:val="00526B7F"/>
    <w:rsid w:val="005314D9"/>
    <w:rsid w:val="0053769B"/>
    <w:rsid w:val="00537A32"/>
    <w:rsid w:val="0054635F"/>
    <w:rsid w:val="005473F3"/>
    <w:rsid w:val="005510DC"/>
    <w:rsid w:val="0055350B"/>
    <w:rsid w:val="00555D99"/>
    <w:rsid w:val="0055631C"/>
    <w:rsid w:val="00557815"/>
    <w:rsid w:val="0056002E"/>
    <w:rsid w:val="00560418"/>
    <w:rsid w:val="00561462"/>
    <w:rsid w:val="00561FF0"/>
    <w:rsid w:val="005621A8"/>
    <w:rsid w:val="0056419C"/>
    <w:rsid w:val="00565A9A"/>
    <w:rsid w:val="00567DD4"/>
    <w:rsid w:val="00576574"/>
    <w:rsid w:val="005824A3"/>
    <w:rsid w:val="005829CC"/>
    <w:rsid w:val="00592A87"/>
    <w:rsid w:val="00592D83"/>
    <w:rsid w:val="0059675E"/>
    <w:rsid w:val="005A65E3"/>
    <w:rsid w:val="005A7352"/>
    <w:rsid w:val="005B2382"/>
    <w:rsid w:val="005B2DF0"/>
    <w:rsid w:val="005C14FC"/>
    <w:rsid w:val="005C6AB7"/>
    <w:rsid w:val="005D1D91"/>
    <w:rsid w:val="005D5C0B"/>
    <w:rsid w:val="005D7413"/>
    <w:rsid w:val="005E1BC4"/>
    <w:rsid w:val="005E5227"/>
    <w:rsid w:val="005E7F41"/>
    <w:rsid w:val="006047C4"/>
    <w:rsid w:val="00611F92"/>
    <w:rsid w:val="006204E6"/>
    <w:rsid w:val="006209CB"/>
    <w:rsid w:val="00620F26"/>
    <w:rsid w:val="00622B12"/>
    <w:rsid w:val="00623C62"/>
    <w:rsid w:val="006356F6"/>
    <w:rsid w:val="00643D65"/>
    <w:rsid w:val="00656031"/>
    <w:rsid w:val="00662FBE"/>
    <w:rsid w:val="00663243"/>
    <w:rsid w:val="00671DC1"/>
    <w:rsid w:val="006729FB"/>
    <w:rsid w:val="0067491E"/>
    <w:rsid w:val="0068234D"/>
    <w:rsid w:val="00685E70"/>
    <w:rsid w:val="00686611"/>
    <w:rsid w:val="00687268"/>
    <w:rsid w:val="006A1E79"/>
    <w:rsid w:val="006D220E"/>
    <w:rsid w:val="006D6613"/>
    <w:rsid w:val="006E2BDE"/>
    <w:rsid w:val="006E746A"/>
    <w:rsid w:val="006F2CDE"/>
    <w:rsid w:val="006F6566"/>
    <w:rsid w:val="00704683"/>
    <w:rsid w:val="00715FA9"/>
    <w:rsid w:val="00720108"/>
    <w:rsid w:val="00721C58"/>
    <w:rsid w:val="007256D1"/>
    <w:rsid w:val="00727535"/>
    <w:rsid w:val="007367A7"/>
    <w:rsid w:val="007503A7"/>
    <w:rsid w:val="00751405"/>
    <w:rsid w:val="00757921"/>
    <w:rsid w:val="00757EEF"/>
    <w:rsid w:val="00761E34"/>
    <w:rsid w:val="0077219B"/>
    <w:rsid w:val="00772CF0"/>
    <w:rsid w:val="007749DA"/>
    <w:rsid w:val="007801AA"/>
    <w:rsid w:val="0078365B"/>
    <w:rsid w:val="00786B6C"/>
    <w:rsid w:val="0079678D"/>
    <w:rsid w:val="007A517D"/>
    <w:rsid w:val="007B41E5"/>
    <w:rsid w:val="007B4E3D"/>
    <w:rsid w:val="007C543A"/>
    <w:rsid w:val="007C6A4E"/>
    <w:rsid w:val="007C783B"/>
    <w:rsid w:val="007D005A"/>
    <w:rsid w:val="007D36B8"/>
    <w:rsid w:val="007D4AE9"/>
    <w:rsid w:val="007E52A3"/>
    <w:rsid w:val="007F2BE2"/>
    <w:rsid w:val="007F39C9"/>
    <w:rsid w:val="0080756A"/>
    <w:rsid w:val="0081385D"/>
    <w:rsid w:val="0081568F"/>
    <w:rsid w:val="00822525"/>
    <w:rsid w:val="008236A6"/>
    <w:rsid w:val="0083234E"/>
    <w:rsid w:val="00844D2D"/>
    <w:rsid w:val="008452CF"/>
    <w:rsid w:val="008507E5"/>
    <w:rsid w:val="00853B0C"/>
    <w:rsid w:val="00855479"/>
    <w:rsid w:val="00865CC7"/>
    <w:rsid w:val="00883F2E"/>
    <w:rsid w:val="008840A4"/>
    <w:rsid w:val="008843B0"/>
    <w:rsid w:val="0088467E"/>
    <w:rsid w:val="00884FE0"/>
    <w:rsid w:val="008904B9"/>
    <w:rsid w:val="0089232A"/>
    <w:rsid w:val="00892334"/>
    <w:rsid w:val="00892CEC"/>
    <w:rsid w:val="008942BC"/>
    <w:rsid w:val="008A009F"/>
    <w:rsid w:val="008B5C07"/>
    <w:rsid w:val="008C1D4A"/>
    <w:rsid w:val="008C204D"/>
    <w:rsid w:val="008C7842"/>
    <w:rsid w:val="008E1BF0"/>
    <w:rsid w:val="008E5C98"/>
    <w:rsid w:val="008E72B6"/>
    <w:rsid w:val="0090090A"/>
    <w:rsid w:val="00902052"/>
    <w:rsid w:val="0090419B"/>
    <w:rsid w:val="00916F13"/>
    <w:rsid w:val="00923453"/>
    <w:rsid w:val="00926E43"/>
    <w:rsid w:val="0093544A"/>
    <w:rsid w:val="00940403"/>
    <w:rsid w:val="00941D94"/>
    <w:rsid w:val="00945E2B"/>
    <w:rsid w:val="009641BB"/>
    <w:rsid w:val="00972F13"/>
    <w:rsid w:val="00985486"/>
    <w:rsid w:val="00985927"/>
    <w:rsid w:val="00991217"/>
    <w:rsid w:val="009927B6"/>
    <w:rsid w:val="00993227"/>
    <w:rsid w:val="00997ADA"/>
    <w:rsid w:val="009A5288"/>
    <w:rsid w:val="009B31D2"/>
    <w:rsid w:val="009B64F1"/>
    <w:rsid w:val="009D1CF9"/>
    <w:rsid w:val="009D1FAD"/>
    <w:rsid w:val="009D4E9B"/>
    <w:rsid w:val="009D6463"/>
    <w:rsid w:val="009D6471"/>
    <w:rsid w:val="009E18EC"/>
    <w:rsid w:val="009E5FB4"/>
    <w:rsid w:val="009F1905"/>
    <w:rsid w:val="00A001F4"/>
    <w:rsid w:val="00A02BD3"/>
    <w:rsid w:val="00A060E1"/>
    <w:rsid w:val="00A070A5"/>
    <w:rsid w:val="00A12139"/>
    <w:rsid w:val="00A14C8D"/>
    <w:rsid w:val="00A15E37"/>
    <w:rsid w:val="00A2289D"/>
    <w:rsid w:val="00A24C03"/>
    <w:rsid w:val="00A262BA"/>
    <w:rsid w:val="00A26BFC"/>
    <w:rsid w:val="00A3480C"/>
    <w:rsid w:val="00A4672C"/>
    <w:rsid w:val="00A47E41"/>
    <w:rsid w:val="00A52805"/>
    <w:rsid w:val="00A54B64"/>
    <w:rsid w:val="00A54C38"/>
    <w:rsid w:val="00A61438"/>
    <w:rsid w:val="00A6321C"/>
    <w:rsid w:val="00A65066"/>
    <w:rsid w:val="00A714E9"/>
    <w:rsid w:val="00A77EB2"/>
    <w:rsid w:val="00A85503"/>
    <w:rsid w:val="00A90541"/>
    <w:rsid w:val="00AA091E"/>
    <w:rsid w:val="00AA13C7"/>
    <w:rsid w:val="00AA35BA"/>
    <w:rsid w:val="00AA7BC4"/>
    <w:rsid w:val="00AB0BDF"/>
    <w:rsid w:val="00AC610B"/>
    <w:rsid w:val="00AE3A97"/>
    <w:rsid w:val="00AE4171"/>
    <w:rsid w:val="00AE5997"/>
    <w:rsid w:val="00AE7CBD"/>
    <w:rsid w:val="00AF3FFB"/>
    <w:rsid w:val="00AF572E"/>
    <w:rsid w:val="00AF7729"/>
    <w:rsid w:val="00AF7E0C"/>
    <w:rsid w:val="00B048B2"/>
    <w:rsid w:val="00B10000"/>
    <w:rsid w:val="00B10473"/>
    <w:rsid w:val="00B147B8"/>
    <w:rsid w:val="00B1506A"/>
    <w:rsid w:val="00B2453E"/>
    <w:rsid w:val="00B26A08"/>
    <w:rsid w:val="00B26AFC"/>
    <w:rsid w:val="00B3416D"/>
    <w:rsid w:val="00B442F6"/>
    <w:rsid w:val="00B4598D"/>
    <w:rsid w:val="00B4683A"/>
    <w:rsid w:val="00B469AA"/>
    <w:rsid w:val="00B46E7A"/>
    <w:rsid w:val="00B51942"/>
    <w:rsid w:val="00B525A7"/>
    <w:rsid w:val="00B572C0"/>
    <w:rsid w:val="00B6321F"/>
    <w:rsid w:val="00B67EFC"/>
    <w:rsid w:val="00B735BB"/>
    <w:rsid w:val="00B77D0D"/>
    <w:rsid w:val="00B82D97"/>
    <w:rsid w:val="00B85564"/>
    <w:rsid w:val="00B87B41"/>
    <w:rsid w:val="00B934C4"/>
    <w:rsid w:val="00BA0506"/>
    <w:rsid w:val="00BA1E19"/>
    <w:rsid w:val="00BA2366"/>
    <w:rsid w:val="00BA68E5"/>
    <w:rsid w:val="00BB0393"/>
    <w:rsid w:val="00BB7DFE"/>
    <w:rsid w:val="00BC1651"/>
    <w:rsid w:val="00BC4211"/>
    <w:rsid w:val="00BC698D"/>
    <w:rsid w:val="00BD1637"/>
    <w:rsid w:val="00BD22CD"/>
    <w:rsid w:val="00BD4FCD"/>
    <w:rsid w:val="00BE39ED"/>
    <w:rsid w:val="00BF52C5"/>
    <w:rsid w:val="00C0041C"/>
    <w:rsid w:val="00C15A53"/>
    <w:rsid w:val="00C21E42"/>
    <w:rsid w:val="00C27647"/>
    <w:rsid w:val="00C40729"/>
    <w:rsid w:val="00C41423"/>
    <w:rsid w:val="00C41B5F"/>
    <w:rsid w:val="00C4218C"/>
    <w:rsid w:val="00C50573"/>
    <w:rsid w:val="00C5110A"/>
    <w:rsid w:val="00C565C0"/>
    <w:rsid w:val="00C60DFB"/>
    <w:rsid w:val="00C6465C"/>
    <w:rsid w:val="00C75BBC"/>
    <w:rsid w:val="00C76163"/>
    <w:rsid w:val="00C76C88"/>
    <w:rsid w:val="00C806CE"/>
    <w:rsid w:val="00C87240"/>
    <w:rsid w:val="00C95DE6"/>
    <w:rsid w:val="00CA4048"/>
    <w:rsid w:val="00CB087B"/>
    <w:rsid w:val="00CC15C8"/>
    <w:rsid w:val="00CC1E1B"/>
    <w:rsid w:val="00CD0F14"/>
    <w:rsid w:val="00CD2710"/>
    <w:rsid w:val="00CD2753"/>
    <w:rsid w:val="00CD5CCD"/>
    <w:rsid w:val="00CE3DFE"/>
    <w:rsid w:val="00CE5497"/>
    <w:rsid w:val="00CE590B"/>
    <w:rsid w:val="00D0103B"/>
    <w:rsid w:val="00D02C92"/>
    <w:rsid w:val="00D03369"/>
    <w:rsid w:val="00D041EE"/>
    <w:rsid w:val="00D10490"/>
    <w:rsid w:val="00D10852"/>
    <w:rsid w:val="00D10F27"/>
    <w:rsid w:val="00D11CD3"/>
    <w:rsid w:val="00D17F29"/>
    <w:rsid w:val="00D2130F"/>
    <w:rsid w:val="00D24BA7"/>
    <w:rsid w:val="00D2718B"/>
    <w:rsid w:val="00D33654"/>
    <w:rsid w:val="00D35251"/>
    <w:rsid w:val="00D46770"/>
    <w:rsid w:val="00D53CE0"/>
    <w:rsid w:val="00D61F21"/>
    <w:rsid w:val="00D62B40"/>
    <w:rsid w:val="00D70820"/>
    <w:rsid w:val="00D7095E"/>
    <w:rsid w:val="00D74725"/>
    <w:rsid w:val="00D7760F"/>
    <w:rsid w:val="00D832AF"/>
    <w:rsid w:val="00D8677B"/>
    <w:rsid w:val="00D8722C"/>
    <w:rsid w:val="00D96FFA"/>
    <w:rsid w:val="00D971B6"/>
    <w:rsid w:val="00DA4FD5"/>
    <w:rsid w:val="00DA6DF8"/>
    <w:rsid w:val="00DA72C5"/>
    <w:rsid w:val="00DA7C3D"/>
    <w:rsid w:val="00DB3C60"/>
    <w:rsid w:val="00DB570C"/>
    <w:rsid w:val="00DC469F"/>
    <w:rsid w:val="00DC49EF"/>
    <w:rsid w:val="00DD0D70"/>
    <w:rsid w:val="00DD0F24"/>
    <w:rsid w:val="00DD5ADB"/>
    <w:rsid w:val="00DF0E10"/>
    <w:rsid w:val="00DF50A4"/>
    <w:rsid w:val="00E04E2B"/>
    <w:rsid w:val="00E05302"/>
    <w:rsid w:val="00E11890"/>
    <w:rsid w:val="00E13DFD"/>
    <w:rsid w:val="00E145F6"/>
    <w:rsid w:val="00E215E0"/>
    <w:rsid w:val="00E24573"/>
    <w:rsid w:val="00E253D0"/>
    <w:rsid w:val="00E275B2"/>
    <w:rsid w:val="00E2777C"/>
    <w:rsid w:val="00E277B0"/>
    <w:rsid w:val="00E301FE"/>
    <w:rsid w:val="00E3068A"/>
    <w:rsid w:val="00E35117"/>
    <w:rsid w:val="00E35B94"/>
    <w:rsid w:val="00E371A9"/>
    <w:rsid w:val="00E376CA"/>
    <w:rsid w:val="00E406D2"/>
    <w:rsid w:val="00E4337C"/>
    <w:rsid w:val="00E46E7B"/>
    <w:rsid w:val="00E51A9E"/>
    <w:rsid w:val="00E56099"/>
    <w:rsid w:val="00E62E44"/>
    <w:rsid w:val="00E748EB"/>
    <w:rsid w:val="00E74F8C"/>
    <w:rsid w:val="00E75150"/>
    <w:rsid w:val="00E774DB"/>
    <w:rsid w:val="00E86A56"/>
    <w:rsid w:val="00E86E28"/>
    <w:rsid w:val="00E93470"/>
    <w:rsid w:val="00E93D12"/>
    <w:rsid w:val="00EA0FC0"/>
    <w:rsid w:val="00EA7197"/>
    <w:rsid w:val="00EC03FC"/>
    <w:rsid w:val="00EC4F6C"/>
    <w:rsid w:val="00EC6724"/>
    <w:rsid w:val="00ED4B2E"/>
    <w:rsid w:val="00ED6825"/>
    <w:rsid w:val="00EE0416"/>
    <w:rsid w:val="00EE6D33"/>
    <w:rsid w:val="00EF17C0"/>
    <w:rsid w:val="00EF17DD"/>
    <w:rsid w:val="00F02250"/>
    <w:rsid w:val="00F13155"/>
    <w:rsid w:val="00F146F3"/>
    <w:rsid w:val="00F245D1"/>
    <w:rsid w:val="00F309B4"/>
    <w:rsid w:val="00F5356C"/>
    <w:rsid w:val="00F53796"/>
    <w:rsid w:val="00F65DB1"/>
    <w:rsid w:val="00F70D4D"/>
    <w:rsid w:val="00F74B55"/>
    <w:rsid w:val="00F8095F"/>
    <w:rsid w:val="00F81278"/>
    <w:rsid w:val="00F84E19"/>
    <w:rsid w:val="00F922F8"/>
    <w:rsid w:val="00F95763"/>
    <w:rsid w:val="00F9769B"/>
    <w:rsid w:val="00FA2DA9"/>
    <w:rsid w:val="00FB06D7"/>
    <w:rsid w:val="00FB23CE"/>
    <w:rsid w:val="00FC51C9"/>
    <w:rsid w:val="00FE402D"/>
    <w:rsid w:val="00FE4F73"/>
    <w:rsid w:val="00FE55BB"/>
    <w:rsid w:val="00FF51BF"/>
    <w:rsid w:val="00FF5720"/>
    <w:rsid w:val="00FF64FD"/>
    <w:rsid w:val="00FF6AB3"/>
    <w:rsid w:val="00FF7943"/>
    <w:rsid w:val="00FF7A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614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B10000"/>
    <w:rPr>
      <w:sz w:val="18"/>
      <w:szCs w:val="18"/>
    </w:rPr>
  </w:style>
  <w:style w:type="paragraph" w:styleId="a5">
    <w:name w:val="footer"/>
    <w:basedOn w:val="a0"/>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1"/>
    <w:link w:val="a5"/>
    <w:uiPriority w:val="99"/>
    <w:rsid w:val="00B10000"/>
    <w:rPr>
      <w:sz w:val="18"/>
      <w:szCs w:val="18"/>
    </w:rPr>
  </w:style>
  <w:style w:type="paragraph" w:customStyle="1" w:styleId="a6">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1"/>
    <w:link w:val="a6"/>
    <w:rsid w:val="00B10000"/>
    <w:rPr>
      <w:rFonts w:ascii="Calibri" w:eastAsia="华文新魏" w:hAnsi="Calibri" w:cs="Times New Roman"/>
      <w:sz w:val="24"/>
    </w:rPr>
  </w:style>
  <w:style w:type="paragraph" w:customStyle="1" w:styleId="a7">
    <w:name w:val="页眉图片"/>
    <w:basedOn w:val="a4"/>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7"/>
    <w:rsid w:val="00B10000"/>
    <w:rPr>
      <w:rFonts w:ascii="Calibri" w:eastAsia="宋体" w:hAnsi="Calibri" w:cs="Times New Roman"/>
      <w:noProof/>
    </w:rPr>
  </w:style>
  <w:style w:type="paragraph" w:customStyle="1" w:styleId="a8">
    <w:name w:val="页眉处日期"/>
    <w:basedOn w:val="a0"/>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9">
    <w:name w:val="页眉副标题"/>
    <w:basedOn w:val="a0"/>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1"/>
    <w:link w:val="a8"/>
    <w:rsid w:val="00B10000"/>
    <w:rPr>
      <w:rFonts w:ascii="华文隶书" w:eastAsia="华文隶书" w:hAnsi="Calibri" w:cs="Times New Roman"/>
      <w:b/>
      <w:sz w:val="24"/>
      <w:szCs w:val="24"/>
    </w:rPr>
  </w:style>
  <w:style w:type="character" w:customStyle="1" w:styleId="Char4">
    <w:name w:val="页眉副标题 Char"/>
    <w:basedOn w:val="a1"/>
    <w:link w:val="a9"/>
    <w:rsid w:val="00B10000"/>
    <w:rPr>
      <w:rFonts w:ascii="华文隶书" w:eastAsia="华文隶书" w:hAnsi="Calibri" w:cs="Times New Roman"/>
      <w:sz w:val="36"/>
      <w:szCs w:val="36"/>
    </w:rPr>
  </w:style>
  <w:style w:type="paragraph" w:customStyle="1" w:styleId="aa">
    <w:name w:val="页眉的分析师"/>
    <w:basedOn w:val="a0"/>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1"/>
    <w:link w:val="aa"/>
    <w:rsid w:val="00B10000"/>
    <w:rPr>
      <w:rFonts w:ascii="华文新魏" w:eastAsia="华文新魏" w:hAnsi="Calibri" w:cs="Times New Roman"/>
      <w:szCs w:val="21"/>
    </w:rPr>
  </w:style>
  <w:style w:type="paragraph" w:customStyle="1" w:styleId="12">
    <w:name w:val="页眉12"/>
    <w:basedOn w:val="a4"/>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b">
    <w:name w:val="特别声明格式"/>
    <w:basedOn w:val="a0"/>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1"/>
    <w:link w:val="ab"/>
    <w:rsid w:val="00B10000"/>
    <w:rPr>
      <w:rFonts w:ascii="华文隶书" w:eastAsia="华文隶书" w:hAnsi="Calibri" w:cs="Times New Roman"/>
      <w:sz w:val="28"/>
    </w:rPr>
  </w:style>
  <w:style w:type="paragraph" w:styleId="ac">
    <w:name w:val="Body Text"/>
    <w:basedOn w:val="a0"/>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1"/>
    <w:link w:val="ac"/>
    <w:rsid w:val="00B10000"/>
    <w:rPr>
      <w:rFonts w:ascii="Arial" w:eastAsia="楷体_GB2312" w:hAnsi="Arial" w:cs="Times New Roman"/>
      <w:color w:val="000000"/>
      <w:kern w:val="0"/>
      <w:szCs w:val="20"/>
      <w:lang w:val="en-GB"/>
    </w:rPr>
  </w:style>
  <w:style w:type="paragraph" w:customStyle="1" w:styleId="FootnoteNoline">
    <w:name w:val="FootnoteNoline"/>
    <w:basedOn w:val="a0"/>
    <w:next w:val="ac"/>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d">
    <w:name w:val="Balloon Text"/>
    <w:basedOn w:val="a0"/>
    <w:link w:val="Char8"/>
    <w:uiPriority w:val="99"/>
    <w:semiHidden/>
    <w:unhideWhenUsed/>
    <w:rsid w:val="008840A4"/>
    <w:rPr>
      <w:sz w:val="18"/>
      <w:szCs w:val="18"/>
    </w:rPr>
  </w:style>
  <w:style w:type="character" w:customStyle="1" w:styleId="Char8">
    <w:name w:val="批注框文本 Char"/>
    <w:basedOn w:val="a1"/>
    <w:link w:val="ad"/>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e">
    <w:name w:val="List Paragraph"/>
    <w:basedOn w:val="a0"/>
    <w:uiPriority w:val="34"/>
    <w:qFormat/>
    <w:rsid w:val="00023D85"/>
    <w:pPr>
      <w:ind w:firstLineChars="200" w:firstLine="420"/>
    </w:pPr>
  </w:style>
  <w:style w:type="paragraph" w:customStyle="1" w:styleId="a">
    <w:name w:val="封面正文带项目符"/>
    <w:basedOn w:val="a0"/>
    <w:link w:val="CharChar"/>
    <w:rsid w:val="00AF3FFB"/>
    <w:pPr>
      <w:widowControl/>
      <w:numPr>
        <w:numId w:val="4"/>
      </w:numPr>
      <w:tabs>
        <w:tab w:val="clear" w:pos="340"/>
      </w:tabs>
      <w:spacing w:after="60" w:line="280" w:lineRule="exact"/>
    </w:pPr>
    <w:rPr>
      <w:rFonts w:ascii="Arial" w:hAnsi="Arial" w:cs="Arial"/>
      <w:color w:val="000000"/>
    </w:rPr>
  </w:style>
  <w:style w:type="character" w:customStyle="1" w:styleId="CharChar">
    <w:name w:val="封面正文带项目符 Char Char"/>
    <w:basedOn w:val="a1"/>
    <w:link w:val="a"/>
    <w:rsid w:val="0002053F"/>
    <w:rPr>
      <w:rFonts w:ascii="Arial" w:hAnsi="Arial" w:cs="Arial"/>
      <w:color w:val="000000"/>
    </w:rPr>
  </w:style>
  <w:style w:type="paragraph" w:customStyle="1" w:styleId="SourceLarge">
    <w:name w:val="SourceLarge"/>
    <w:rsid w:val="00E277B0"/>
    <w:pPr>
      <w:tabs>
        <w:tab w:val="left" w:pos="5216"/>
        <w:tab w:val="right" w:pos="9866"/>
      </w:tabs>
      <w:suppressAutoHyphens/>
      <w:spacing w:line="160" w:lineRule="atLeast"/>
    </w:pPr>
    <w:rPr>
      <w:rFonts w:ascii="LucidaSans" w:eastAsia="宋体" w:hAnsi="LucidaSans" w:cs="Times New Roman"/>
      <w:kern w:val="0"/>
      <w:sz w:val="12"/>
      <w:szCs w:val="12"/>
      <w:lang w:val="en-GB"/>
    </w:rPr>
  </w:style>
  <w:style w:type="paragraph" w:customStyle="1" w:styleId="BulletCoverpage">
    <w:name w:val="Bullet Cover page"/>
    <w:basedOn w:val="a0"/>
    <w:rsid w:val="00E277B0"/>
    <w:pPr>
      <w:widowControl/>
      <w:numPr>
        <w:numId w:val="6"/>
      </w:numPr>
      <w:suppressAutoHyphens/>
      <w:spacing w:after="200" w:line="240" w:lineRule="atLeast"/>
    </w:pPr>
    <w:rPr>
      <w:rFonts w:ascii="Arial" w:eastAsia="楷体_GB2312" w:hAnsi="Arial" w:cs="Times New Roman"/>
      <w:kern w:val="0"/>
      <w:sz w:val="18"/>
      <w:szCs w:val="20"/>
      <w:lang w:val="en-GB"/>
    </w:rPr>
  </w:style>
  <w:style w:type="paragraph" w:customStyle="1" w:styleId="1">
    <w:name w:val="模板标题1（段前分页）"/>
    <w:basedOn w:val="a0"/>
    <w:next w:val="a0"/>
    <w:rsid w:val="00F02250"/>
    <w:pPr>
      <w:pageBreakBefore/>
      <w:widowControl/>
      <w:spacing w:after="240" w:line="300" w:lineRule="exact"/>
      <w:ind w:left="3402"/>
      <w:outlineLvl w:val="0"/>
    </w:pPr>
    <w:rPr>
      <w:rFonts w:ascii="Arial" w:eastAsia="楷体_GB2312" w:hAnsi="Arial" w:cs="Times New Roman"/>
      <w:b/>
      <w:bCs/>
      <w:color w:val="01659D"/>
      <w:kern w:val="0"/>
      <w:sz w:val="24"/>
      <w:szCs w:val="20"/>
      <w:lang w:val="en-GB"/>
    </w:rPr>
  </w:style>
</w:styles>
</file>

<file path=word/webSettings.xml><?xml version="1.0" encoding="utf-8"?>
<w:webSettings xmlns:r="http://schemas.openxmlformats.org/officeDocument/2006/relationships" xmlns:w="http://schemas.openxmlformats.org/wordprocessingml/2006/main">
  <w:divs>
    <w:div w:id="262421885">
      <w:bodyDiv w:val="1"/>
      <w:marLeft w:val="180"/>
      <w:marRight w:val="180"/>
      <w:marTop w:val="180"/>
      <w:marBottom w:val="180"/>
      <w:divBdr>
        <w:top w:val="none" w:sz="0" w:space="0" w:color="auto"/>
        <w:left w:val="none" w:sz="0" w:space="0" w:color="auto"/>
        <w:bottom w:val="none" w:sz="0" w:space="0" w:color="auto"/>
        <w:right w:val="none" w:sz="0" w:space="0" w:color="auto"/>
      </w:divBdr>
    </w:div>
    <w:div w:id="562639452">
      <w:bodyDiv w:val="1"/>
      <w:marLeft w:val="0"/>
      <w:marRight w:val="0"/>
      <w:marTop w:val="0"/>
      <w:marBottom w:val="0"/>
      <w:divBdr>
        <w:top w:val="none" w:sz="0" w:space="0" w:color="auto"/>
        <w:left w:val="none" w:sz="0" w:space="0" w:color="auto"/>
        <w:bottom w:val="none" w:sz="0" w:space="0" w:color="auto"/>
        <w:right w:val="none" w:sz="0" w:space="0" w:color="auto"/>
      </w:divBdr>
    </w:div>
    <w:div w:id="976252982">
      <w:bodyDiv w:val="1"/>
      <w:marLeft w:val="180"/>
      <w:marRight w:val="180"/>
      <w:marTop w:val="180"/>
      <w:marBottom w:val="180"/>
      <w:divBdr>
        <w:top w:val="none" w:sz="0" w:space="0" w:color="auto"/>
        <w:left w:val="none" w:sz="0" w:space="0" w:color="auto"/>
        <w:bottom w:val="none" w:sz="0" w:space="0" w:color="auto"/>
        <w:right w:val="none" w:sz="0" w:space="0" w:color="auto"/>
      </w:divBdr>
    </w:div>
    <w:div w:id="1509253160">
      <w:bodyDiv w:val="1"/>
      <w:marLeft w:val="180"/>
      <w:marRight w:val="180"/>
      <w:marTop w:val="180"/>
      <w:marBottom w:val="18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6F90B-2AD1-4E02-B38F-A0282D98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TotalTime>
  <Pages>11</Pages>
  <Words>1904</Words>
  <Characters>10859</Characters>
  <Application>Microsoft Office Word</Application>
  <DocSecurity>0</DocSecurity>
  <Lines>90</Lines>
  <Paragraphs>25</Paragraphs>
  <ScaleCrop>false</ScaleCrop>
  <Company/>
  <LinksUpToDate>false</LinksUpToDate>
  <CharactersWithSpaces>12738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shanghai vstone</dc:creator>
  <cp:lastModifiedBy>shanghai vstone</cp:lastModifiedBy>
  <cp:revision>454</cp:revision>
  <dcterms:created xsi:type="dcterms:W3CDTF">2013-12-23T03:11:00Z</dcterms:created>
  <dcterms:modified xsi:type="dcterms:W3CDTF">2013-12-27T09:03:00Z</dcterms:modified>
</cp:coreProperties>
</file>