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000" w:rsidRPr="00B30055" w:rsidRDefault="00B30055" w:rsidP="00104736">
      <w:pPr>
        <w:widowControl/>
        <w:spacing w:after="120"/>
        <w:ind w:left="3430"/>
        <w:rPr>
          <w:rFonts w:ascii="Arial" w:hAnsi="Arial" w:cs="Times New Roman"/>
          <w:b/>
          <w:bCs/>
          <w:color w:val="0070C0"/>
          <w:kern w:val="0"/>
          <w:sz w:val="24"/>
          <w:szCs w:val="20"/>
          <w:lang w:val="en-GB"/>
        </w:rPr>
      </w:pPr>
      <w:r w:rsidRPr="00104736">
        <w:rPr>
          <w:rFonts w:ascii="Arial" w:eastAsia="楷体_GB2312" w:hAnsi="Arial" w:hint="eastAsia"/>
          <w:b/>
          <w:bCs/>
          <w:color w:val="0070C0"/>
          <w:kern w:val="0"/>
          <w:sz w:val="24"/>
          <w:szCs w:val="20"/>
          <w:lang w:val="en-GB"/>
        </w:rPr>
        <w:t>导语</w:t>
      </w:r>
    </w:p>
    <w:p w:rsidR="00B10000" w:rsidRDefault="00C9278F" w:rsidP="00C9278F">
      <w:pPr>
        <w:pStyle w:val="ab"/>
        <w:spacing w:after="163"/>
        <w:rPr>
          <w:rFonts w:eastAsiaTheme="minorEastAsia"/>
          <w:szCs w:val="21"/>
        </w:rPr>
      </w:pPr>
      <w:r>
        <w:rPr>
          <w:rFonts w:hint="eastAsia"/>
          <w:color w:val="auto"/>
        </w:rPr>
        <w:t>过去的一个月，</w:t>
      </w:r>
      <w:r w:rsidRPr="00C737A4">
        <w:rPr>
          <w:rFonts w:hint="eastAsia"/>
          <w:color w:val="auto"/>
        </w:rPr>
        <w:t>宏观、政策、资金面均不利于市场走势</w:t>
      </w:r>
      <w:r>
        <w:rPr>
          <w:rFonts w:hint="eastAsia"/>
          <w:color w:val="auto"/>
        </w:rPr>
        <w:t>，而</w:t>
      </w:r>
      <w:r>
        <w:rPr>
          <w:rFonts w:hint="eastAsia"/>
          <w:szCs w:val="21"/>
        </w:rPr>
        <w:t>对冲基金</w:t>
      </w:r>
      <w:proofErr w:type="gramStart"/>
      <w:r>
        <w:rPr>
          <w:rFonts w:eastAsiaTheme="minorEastAsia" w:hint="eastAsia"/>
          <w:szCs w:val="21"/>
        </w:rPr>
        <w:t>快速调仓换股</w:t>
      </w:r>
      <w:proofErr w:type="gramEnd"/>
      <w:r>
        <w:rPr>
          <w:rFonts w:eastAsiaTheme="minorEastAsia" w:hint="eastAsia"/>
          <w:szCs w:val="21"/>
        </w:rPr>
        <w:t>，并未被中小盘的杀跌潮拖累，</w:t>
      </w:r>
      <w:r w:rsidR="00891D61">
        <w:rPr>
          <w:rFonts w:eastAsiaTheme="minorEastAsia" w:hint="eastAsia"/>
          <w:szCs w:val="21"/>
        </w:rPr>
        <w:t>股票多头策略产品平均</w:t>
      </w:r>
      <w:r w:rsidR="00891D61">
        <w:rPr>
          <w:rFonts w:eastAsiaTheme="minorEastAsia" w:hint="eastAsia"/>
          <w:szCs w:val="21"/>
        </w:rPr>
        <w:t>-2.01%</w:t>
      </w:r>
      <w:r w:rsidR="00891D61">
        <w:rPr>
          <w:rFonts w:eastAsiaTheme="minorEastAsia" w:hint="eastAsia"/>
          <w:szCs w:val="21"/>
        </w:rPr>
        <w:t>的业绩与沪深</w:t>
      </w:r>
      <w:r w:rsidR="00891D61">
        <w:rPr>
          <w:rFonts w:eastAsiaTheme="minorEastAsia" w:hint="eastAsia"/>
          <w:szCs w:val="21"/>
        </w:rPr>
        <w:t>300</w:t>
      </w:r>
      <w:r w:rsidR="00891D61">
        <w:rPr>
          <w:rFonts w:eastAsiaTheme="minorEastAsia" w:hint="eastAsia"/>
          <w:szCs w:val="21"/>
        </w:rPr>
        <w:t>基本持平，亦好于同期</w:t>
      </w:r>
      <w:proofErr w:type="gramStart"/>
      <w:r w:rsidR="00891D61">
        <w:rPr>
          <w:rFonts w:eastAsiaTheme="minorEastAsia" w:hint="eastAsia"/>
          <w:szCs w:val="21"/>
        </w:rPr>
        <w:t>偏股类公</w:t>
      </w:r>
      <w:proofErr w:type="gramEnd"/>
      <w:r w:rsidR="00891D61">
        <w:rPr>
          <w:rFonts w:eastAsiaTheme="minorEastAsia" w:hint="eastAsia"/>
          <w:szCs w:val="21"/>
        </w:rPr>
        <w:t>募基金</w:t>
      </w:r>
      <w:r>
        <w:rPr>
          <w:rFonts w:eastAsiaTheme="minorEastAsia" w:hint="eastAsia"/>
          <w:szCs w:val="21"/>
        </w:rPr>
        <w:t>。</w:t>
      </w:r>
      <w:r w:rsidR="00891D61">
        <w:rPr>
          <w:rFonts w:eastAsiaTheme="minorEastAsia" w:hint="eastAsia"/>
          <w:szCs w:val="21"/>
        </w:rPr>
        <w:t>当月领跑的多为</w:t>
      </w:r>
      <w:r w:rsidR="00891D61" w:rsidRPr="006465B5">
        <w:rPr>
          <w:rFonts w:ascii="宋体" w:eastAsia="宋体" w:hAnsi="宋体" w:cs="宋体" w:hint="eastAsia"/>
          <w:szCs w:val="21"/>
        </w:rPr>
        <w:t>老牌</w:t>
      </w:r>
      <w:r w:rsidR="00891D61">
        <w:rPr>
          <w:rFonts w:ascii="宋体" w:eastAsia="宋体" w:hAnsi="宋体" w:cs="宋体" w:hint="eastAsia"/>
          <w:szCs w:val="21"/>
        </w:rPr>
        <w:t>知名基金如涌峰、尚雅</w:t>
      </w:r>
      <w:r w:rsidR="00E612B5">
        <w:rPr>
          <w:rFonts w:ascii="宋体" w:eastAsia="宋体" w:hAnsi="宋体" w:cs="宋体" w:hint="eastAsia"/>
          <w:szCs w:val="21"/>
        </w:rPr>
        <w:t>、重阳</w:t>
      </w:r>
      <w:r w:rsidR="00891D61">
        <w:rPr>
          <w:rFonts w:ascii="宋体" w:eastAsia="宋体" w:hAnsi="宋体" w:cs="宋体" w:hint="eastAsia"/>
          <w:szCs w:val="21"/>
        </w:rPr>
        <w:t>等，</w:t>
      </w:r>
      <w:r w:rsidR="00E612B5">
        <w:rPr>
          <w:rFonts w:eastAsiaTheme="minorEastAsia" w:hint="eastAsia"/>
          <w:szCs w:val="21"/>
        </w:rPr>
        <w:t>此外</w:t>
      </w:r>
      <w:r w:rsidR="00891D61">
        <w:rPr>
          <w:rFonts w:hint="eastAsia"/>
          <w:szCs w:val="21"/>
        </w:rPr>
        <w:t>排名靠前的有部分产品历史净值波动颇大，在</w:t>
      </w:r>
      <w:proofErr w:type="gramStart"/>
      <w:r w:rsidR="00891D61">
        <w:rPr>
          <w:rFonts w:hint="eastAsia"/>
          <w:szCs w:val="21"/>
        </w:rPr>
        <w:t>凯石工场</w:t>
      </w:r>
      <w:proofErr w:type="gramEnd"/>
      <w:r w:rsidR="00891D61">
        <w:rPr>
          <w:rFonts w:hint="eastAsia"/>
          <w:szCs w:val="21"/>
        </w:rPr>
        <w:t>风险评价中基本处于“高风险”、“中高风险”等级。</w:t>
      </w:r>
    </w:p>
    <w:p w:rsidR="00E612B5" w:rsidRDefault="00542C3B" w:rsidP="00C9278F">
      <w:pPr>
        <w:pStyle w:val="ab"/>
        <w:spacing w:after="163"/>
        <w:rPr>
          <w:rFonts w:eastAsiaTheme="minorEastAsia"/>
          <w:szCs w:val="21"/>
        </w:rPr>
      </w:pPr>
      <w:proofErr w:type="gramStart"/>
      <w:r>
        <w:rPr>
          <w:rFonts w:hint="eastAsia"/>
          <w:szCs w:val="21"/>
        </w:rPr>
        <w:t>凯石工场</w:t>
      </w:r>
      <w:proofErr w:type="gramEnd"/>
      <w:r>
        <w:rPr>
          <w:rFonts w:hint="eastAsia"/>
          <w:szCs w:val="21"/>
        </w:rPr>
        <w:t>对冲基金调研显示，</w:t>
      </w:r>
      <w:r w:rsidR="00E612B5">
        <w:rPr>
          <w:rFonts w:eastAsiaTheme="minorEastAsia" w:hint="eastAsia"/>
          <w:color w:val="auto"/>
        </w:rPr>
        <w:t>对于“后三中全会”时期市场走向，</w:t>
      </w:r>
      <w:r w:rsidR="00E612B5">
        <w:rPr>
          <w:rFonts w:hint="eastAsia"/>
          <w:szCs w:val="21"/>
        </w:rPr>
        <w:t>管理人大多认为深化改革的</w:t>
      </w:r>
      <w:r w:rsidR="00E612B5" w:rsidRPr="007F5356">
        <w:rPr>
          <w:rFonts w:hint="eastAsia"/>
          <w:szCs w:val="21"/>
        </w:rPr>
        <w:t>政策预期在短期集中反映，长期利好短期化，最终还是会回到基本面的业绩上面，因此预期反弹可持续到</w:t>
      </w:r>
      <w:r w:rsidR="00E612B5" w:rsidRPr="007F5356">
        <w:rPr>
          <w:szCs w:val="21"/>
        </w:rPr>
        <w:t>11</w:t>
      </w:r>
      <w:r w:rsidR="00E612B5" w:rsidRPr="007F5356">
        <w:rPr>
          <w:rFonts w:hint="eastAsia"/>
          <w:szCs w:val="21"/>
        </w:rPr>
        <w:t>月底，</w:t>
      </w:r>
      <w:r w:rsidR="00E612B5">
        <w:rPr>
          <w:rFonts w:hint="eastAsia"/>
          <w:szCs w:val="21"/>
        </w:rPr>
        <w:t>而</w:t>
      </w:r>
      <w:r w:rsidR="00E612B5" w:rsidRPr="007F5356">
        <w:rPr>
          <w:szCs w:val="21"/>
        </w:rPr>
        <w:t>12</w:t>
      </w:r>
      <w:r w:rsidR="00E612B5" w:rsidRPr="007F5356">
        <w:rPr>
          <w:rFonts w:hint="eastAsia"/>
          <w:szCs w:val="21"/>
        </w:rPr>
        <w:t>月谨慎。金融去杠杆尚未结束，中长期资金面仍然偏紧，市场短期依旧是结构性行情。具体板块，</w:t>
      </w:r>
      <w:r w:rsidR="00E612B5">
        <w:rPr>
          <w:rFonts w:hint="eastAsia"/>
          <w:szCs w:val="21"/>
        </w:rPr>
        <w:t>受基金经理</w:t>
      </w:r>
      <w:r w:rsidR="00E612B5" w:rsidRPr="007F5356">
        <w:rPr>
          <w:rFonts w:hint="eastAsia"/>
          <w:szCs w:val="21"/>
        </w:rPr>
        <w:t>关注</w:t>
      </w:r>
      <w:r w:rsidR="00E612B5">
        <w:rPr>
          <w:rFonts w:hint="eastAsia"/>
          <w:szCs w:val="21"/>
        </w:rPr>
        <w:t>较多的是</w:t>
      </w:r>
      <w:r w:rsidR="00E612B5" w:rsidRPr="007F5356">
        <w:rPr>
          <w:rFonts w:hint="eastAsia"/>
          <w:szCs w:val="21"/>
        </w:rPr>
        <w:t>军工、土改、环保、低估值的保险以及有修复行情的白酒。</w:t>
      </w:r>
    </w:p>
    <w:p w:rsidR="00E612B5" w:rsidRPr="00E612B5" w:rsidRDefault="00E612B5" w:rsidP="00C9278F">
      <w:pPr>
        <w:pStyle w:val="ab"/>
        <w:spacing w:after="163"/>
        <w:rPr>
          <w:rFonts w:eastAsiaTheme="minorEastAsia"/>
          <w:color w:val="auto"/>
        </w:rPr>
      </w:pPr>
      <w:proofErr w:type="gramStart"/>
      <w:r>
        <w:rPr>
          <w:rFonts w:eastAsiaTheme="minorEastAsia" w:hint="eastAsia"/>
          <w:lang w:val="en-US"/>
        </w:rPr>
        <w:t>凯石工场</w:t>
      </w:r>
      <w:proofErr w:type="gramEnd"/>
      <w:r>
        <w:rPr>
          <w:rFonts w:eastAsiaTheme="minorEastAsia" w:hint="eastAsia"/>
          <w:lang w:val="en-US"/>
        </w:rPr>
        <w:t>的短期策略延续在四季度对冲基金策略中提出的“精选</w:t>
      </w:r>
      <w:r w:rsidRPr="00C101E9">
        <w:rPr>
          <w:rFonts w:eastAsiaTheme="minorEastAsia" w:hint="eastAsia"/>
          <w:lang w:val="en-US"/>
        </w:rPr>
        <w:t>个股</w:t>
      </w:r>
      <w:r>
        <w:rPr>
          <w:rFonts w:eastAsiaTheme="minorEastAsia" w:hint="eastAsia"/>
          <w:lang w:val="en-US"/>
        </w:rPr>
        <w:t>”</w:t>
      </w:r>
      <w:r>
        <w:rPr>
          <w:rFonts w:eastAsiaTheme="minorEastAsia" w:hint="eastAsia"/>
          <w:lang w:val="en-US"/>
        </w:rPr>
        <w:t>+</w:t>
      </w:r>
      <w:r>
        <w:rPr>
          <w:rFonts w:eastAsiaTheme="minorEastAsia" w:hint="eastAsia"/>
          <w:lang w:val="en-US"/>
        </w:rPr>
        <w:t>“</w:t>
      </w:r>
      <w:r w:rsidRPr="00C101E9">
        <w:rPr>
          <w:rFonts w:eastAsiaTheme="minorEastAsia" w:hint="eastAsia"/>
          <w:lang w:val="en-US"/>
        </w:rPr>
        <w:t>主题投资</w:t>
      </w:r>
      <w:r w:rsidR="00542C3B">
        <w:rPr>
          <w:rFonts w:eastAsiaTheme="minorEastAsia" w:hint="eastAsia"/>
          <w:lang w:val="en-US"/>
        </w:rPr>
        <w:t>”双轮驱动投资，</w:t>
      </w:r>
      <w:r>
        <w:rPr>
          <w:rFonts w:eastAsiaTheme="minorEastAsia" w:hint="eastAsia"/>
          <w:lang w:val="en-US"/>
        </w:rPr>
        <w:t>建议投资者重点关注对低估值个股侧重投资的</w:t>
      </w:r>
      <w:r w:rsidRPr="00C101E9">
        <w:rPr>
          <w:rFonts w:eastAsiaTheme="minorEastAsia" w:hint="eastAsia"/>
          <w:lang w:val="en-US"/>
        </w:rPr>
        <w:t>重阳</w:t>
      </w:r>
      <w:r>
        <w:rPr>
          <w:rFonts w:eastAsiaTheme="minorEastAsia" w:hint="eastAsia"/>
          <w:lang w:val="en-US"/>
        </w:rPr>
        <w:t>，坚持成长风格、灵活参与</w:t>
      </w:r>
      <w:r w:rsidRPr="00C101E9">
        <w:rPr>
          <w:rFonts w:eastAsiaTheme="minorEastAsia" w:hint="eastAsia"/>
          <w:lang w:val="en-US"/>
        </w:rPr>
        <w:t>主题投资</w:t>
      </w:r>
      <w:r>
        <w:rPr>
          <w:rFonts w:eastAsiaTheme="minorEastAsia" w:hint="eastAsia"/>
          <w:lang w:val="en-US"/>
        </w:rPr>
        <w:t>的鼎锋，以及</w:t>
      </w:r>
      <w:r w:rsidRPr="00C101E9">
        <w:rPr>
          <w:rFonts w:eastAsiaTheme="minorEastAsia" w:hint="eastAsia"/>
          <w:lang w:val="en-US"/>
        </w:rPr>
        <w:t>偏好未来</w:t>
      </w:r>
      <w:r w:rsidRPr="00C101E9">
        <w:rPr>
          <w:rFonts w:eastAsiaTheme="minorEastAsia"/>
          <w:lang w:val="en-US"/>
        </w:rPr>
        <w:t>3</w:t>
      </w:r>
      <w:r w:rsidRPr="00C101E9">
        <w:rPr>
          <w:rFonts w:eastAsiaTheme="minorEastAsia" w:hint="eastAsia"/>
          <w:lang w:val="en-US"/>
        </w:rPr>
        <w:t>年年均增速</w:t>
      </w:r>
      <w:r w:rsidRPr="00C101E9">
        <w:rPr>
          <w:rFonts w:eastAsiaTheme="minorEastAsia"/>
          <w:lang w:val="en-US"/>
        </w:rPr>
        <w:t>30%</w:t>
      </w:r>
      <w:r>
        <w:rPr>
          <w:rFonts w:eastAsiaTheme="minorEastAsia" w:hint="eastAsia"/>
          <w:lang w:val="en-US"/>
        </w:rPr>
        <w:t>以上</w:t>
      </w:r>
      <w:r w:rsidRPr="00C101E9">
        <w:rPr>
          <w:rFonts w:eastAsiaTheme="minorEastAsia" w:hint="eastAsia"/>
          <w:lang w:val="en-US"/>
        </w:rPr>
        <w:t>高成长公司</w:t>
      </w:r>
      <w:r>
        <w:rPr>
          <w:rFonts w:eastAsiaTheme="minorEastAsia" w:hint="eastAsia"/>
          <w:lang w:val="en-US"/>
        </w:rPr>
        <w:t>的明</w:t>
      </w:r>
      <w:proofErr w:type="gramStart"/>
      <w:r>
        <w:rPr>
          <w:rFonts w:eastAsiaTheme="minorEastAsia" w:hint="eastAsia"/>
          <w:lang w:val="en-US"/>
        </w:rPr>
        <w:t>曜</w:t>
      </w:r>
      <w:proofErr w:type="gramEnd"/>
      <w:r>
        <w:rPr>
          <w:rFonts w:eastAsiaTheme="minorEastAsia" w:hint="eastAsia"/>
          <w:lang w:val="en-US"/>
        </w:rPr>
        <w:t>等。</w:t>
      </w:r>
    </w:p>
    <w:p w:rsidR="00B30055" w:rsidRPr="002E440A" w:rsidRDefault="00B30055" w:rsidP="00B30055">
      <w:pPr>
        <w:widowControl/>
        <w:spacing w:after="120"/>
        <w:ind w:left="3430"/>
      </w:pPr>
      <w:r w:rsidRPr="00F210A0">
        <w:rPr>
          <w:rFonts w:ascii="Arial" w:eastAsia="楷体_GB2312" w:hAnsi="Arial" w:hint="eastAsia"/>
          <w:b/>
          <w:bCs/>
          <w:color w:val="0070C0"/>
          <w:kern w:val="0"/>
          <w:sz w:val="24"/>
          <w:szCs w:val="20"/>
          <w:lang w:val="en-GB"/>
        </w:rPr>
        <w:t>一、行业最新动态</w:t>
      </w:r>
    </w:p>
    <w:p w:rsidR="00B30055" w:rsidRPr="002E440A" w:rsidRDefault="00472FF3" w:rsidP="00B30055">
      <w:pPr>
        <w:widowControl/>
        <w:spacing w:after="120"/>
        <w:ind w:left="3430"/>
        <w:rPr>
          <w:rFonts w:ascii="Arial" w:eastAsia="楷体_GB2312" w:hAnsi="Arial"/>
          <w:b/>
          <w:bCs/>
          <w:color w:val="0070C0"/>
          <w:kern w:val="0"/>
          <w:szCs w:val="21"/>
          <w:lang w:val="en-GB"/>
        </w:rPr>
      </w:pPr>
      <w:r>
        <w:rPr>
          <w:rFonts w:ascii="宋体" w:eastAsia="宋体" w:hAnsi="宋体" w:cs="宋体" w:hint="eastAsia"/>
          <w:b/>
          <w:bCs/>
          <w:color w:val="0070C0"/>
          <w:kern w:val="0"/>
          <w:szCs w:val="21"/>
          <w:lang w:val="en-GB"/>
        </w:rPr>
        <w:t>对冲基金纳入监管又</w:t>
      </w:r>
      <w:r w:rsidR="00B30055" w:rsidRPr="00F210A0">
        <w:rPr>
          <w:rFonts w:ascii="宋体" w:eastAsia="宋体" w:hAnsi="宋体" w:cs="宋体" w:hint="eastAsia"/>
          <w:b/>
          <w:bCs/>
          <w:color w:val="0070C0"/>
          <w:kern w:val="0"/>
          <w:szCs w:val="21"/>
          <w:lang w:val="en-GB"/>
        </w:rPr>
        <w:t>进一步</w:t>
      </w:r>
    </w:p>
    <w:p w:rsidR="00B30055" w:rsidRPr="003D4C8E" w:rsidRDefault="00B30055" w:rsidP="00B30055">
      <w:pPr>
        <w:pStyle w:val="ab"/>
        <w:numPr>
          <w:ilvl w:val="4"/>
          <w:numId w:val="4"/>
        </w:numPr>
        <w:spacing w:after="163"/>
        <w:rPr>
          <w:color w:val="auto"/>
        </w:rPr>
      </w:pPr>
      <w:r w:rsidRPr="00D52421">
        <w:rPr>
          <w:szCs w:val="21"/>
        </w:rPr>
        <w:t>11</w:t>
      </w:r>
      <w:r w:rsidRPr="00D52421">
        <w:rPr>
          <w:rFonts w:hint="eastAsia"/>
          <w:szCs w:val="21"/>
        </w:rPr>
        <w:t>月</w:t>
      </w:r>
      <w:r w:rsidRPr="00D52421">
        <w:rPr>
          <w:szCs w:val="21"/>
        </w:rPr>
        <w:t>18</w:t>
      </w:r>
      <w:r w:rsidRPr="00D52421">
        <w:rPr>
          <w:rFonts w:hint="eastAsia"/>
          <w:szCs w:val="21"/>
        </w:rPr>
        <w:t>日，中国证监会基金</w:t>
      </w:r>
      <w:proofErr w:type="gramStart"/>
      <w:r w:rsidRPr="00D52421">
        <w:rPr>
          <w:rFonts w:hint="eastAsia"/>
          <w:szCs w:val="21"/>
        </w:rPr>
        <w:t>监管部</w:t>
      </w:r>
      <w:proofErr w:type="gramEnd"/>
      <w:r w:rsidRPr="00D52421">
        <w:rPr>
          <w:rFonts w:hint="eastAsia"/>
          <w:szCs w:val="21"/>
        </w:rPr>
        <w:t>私募基金工作小组组长刘健钧在深圳透露，证监会研究起草统一的私募</w:t>
      </w:r>
      <w:r>
        <w:rPr>
          <w:rFonts w:ascii="宋体" w:eastAsia="宋体" w:hAnsi="宋体" w:cs="宋体" w:hint="eastAsia"/>
          <w:szCs w:val="21"/>
        </w:rPr>
        <w:t>工场</w:t>
      </w:r>
      <w:r w:rsidRPr="00D52421">
        <w:rPr>
          <w:rFonts w:hint="eastAsia"/>
          <w:szCs w:val="21"/>
        </w:rPr>
        <w:t>基金管理法规目前已经形成初步草案，正在征求</w:t>
      </w:r>
      <w:r w:rsidRPr="00D52421">
        <w:rPr>
          <w:szCs w:val="21"/>
        </w:rPr>
        <w:t>13</w:t>
      </w:r>
      <w:r w:rsidRPr="00D52421">
        <w:rPr>
          <w:rFonts w:hint="eastAsia"/>
          <w:szCs w:val="21"/>
        </w:rPr>
        <w:t>个部委的意见。在新基金法实施近半年后，国内对冲基金纳入监管的进程终于又往前推进了一步。</w:t>
      </w:r>
    </w:p>
    <w:p w:rsidR="00B30055" w:rsidRPr="00204172" w:rsidRDefault="00B30055" w:rsidP="00B30055">
      <w:pPr>
        <w:pStyle w:val="ab"/>
        <w:numPr>
          <w:ilvl w:val="4"/>
          <w:numId w:val="4"/>
        </w:numPr>
        <w:spacing w:after="163"/>
        <w:rPr>
          <w:color w:val="auto"/>
        </w:rPr>
      </w:pPr>
      <w:proofErr w:type="gramStart"/>
      <w:r w:rsidRPr="003D4C8E">
        <w:rPr>
          <w:rFonts w:hint="eastAsia"/>
          <w:b/>
          <w:szCs w:val="21"/>
        </w:rPr>
        <w:t>凯</w:t>
      </w:r>
      <w:proofErr w:type="gramEnd"/>
      <w:r w:rsidRPr="003D4C8E">
        <w:rPr>
          <w:rFonts w:hint="eastAsia"/>
          <w:b/>
          <w:szCs w:val="21"/>
        </w:rPr>
        <w:t>石点评：</w:t>
      </w:r>
      <w:r w:rsidRPr="00D52421">
        <w:rPr>
          <w:rFonts w:hint="eastAsia"/>
          <w:szCs w:val="21"/>
        </w:rPr>
        <w:t>私募管理办法对于对冲基金行业的积极意义不言而喻：监管不再缺位，行业运作更加规范，有助于树立行业公信力，也有利于消除行业发展的桎梏，如股指期货商品期货衍生工具放开等。而行业的规范化也会引发业内洗牌。此外，对冲基金亟需具备自身独特优势和鲜明投资风格，以避免未来和公</w:t>
      </w:r>
      <w:proofErr w:type="gramStart"/>
      <w:r w:rsidRPr="00D52421">
        <w:rPr>
          <w:rFonts w:hint="eastAsia"/>
          <w:szCs w:val="21"/>
        </w:rPr>
        <w:t>募基金</w:t>
      </w:r>
      <w:proofErr w:type="gramEnd"/>
      <w:r w:rsidRPr="00D52421">
        <w:rPr>
          <w:rFonts w:hint="eastAsia"/>
          <w:szCs w:val="21"/>
        </w:rPr>
        <w:t>的同质化。</w:t>
      </w:r>
    </w:p>
    <w:p w:rsidR="00B30055" w:rsidRPr="00204172" w:rsidRDefault="00B30055" w:rsidP="00B30055">
      <w:pPr>
        <w:widowControl/>
        <w:spacing w:after="120"/>
        <w:ind w:left="3430"/>
        <w:rPr>
          <w:rFonts w:eastAsia="楷体_GB2312"/>
          <w:szCs w:val="20"/>
        </w:rPr>
      </w:pPr>
      <w:r>
        <w:rPr>
          <w:rFonts w:ascii="宋体" w:eastAsia="宋体" w:hAnsi="宋体" w:cs="宋体" w:hint="eastAsia"/>
          <w:b/>
          <w:bCs/>
          <w:color w:val="0070C0"/>
          <w:kern w:val="0"/>
          <w:szCs w:val="21"/>
          <w:lang w:val="en-GB"/>
        </w:rPr>
        <w:t>对冲基金管理人解读市场</w:t>
      </w:r>
    </w:p>
    <w:p w:rsidR="00B30055" w:rsidRPr="007F5356" w:rsidRDefault="007440A8" w:rsidP="00B30055">
      <w:pPr>
        <w:pStyle w:val="ab"/>
        <w:numPr>
          <w:ilvl w:val="4"/>
          <w:numId w:val="4"/>
        </w:numPr>
        <w:spacing w:after="163"/>
        <w:rPr>
          <w:szCs w:val="21"/>
        </w:rPr>
      </w:pPr>
      <w:r>
        <w:rPr>
          <w:rFonts w:hint="eastAsia"/>
          <w:szCs w:val="21"/>
        </w:rPr>
        <w:t>据</w:t>
      </w:r>
      <w:proofErr w:type="gramStart"/>
      <w:r>
        <w:rPr>
          <w:rFonts w:hint="eastAsia"/>
          <w:szCs w:val="21"/>
        </w:rPr>
        <w:t>凯石工场</w:t>
      </w:r>
      <w:proofErr w:type="gramEnd"/>
      <w:r>
        <w:rPr>
          <w:rFonts w:hint="eastAsia"/>
          <w:szCs w:val="21"/>
        </w:rPr>
        <w:t>调研</w:t>
      </w:r>
      <w:r w:rsidR="000A1F25">
        <w:rPr>
          <w:rFonts w:hint="eastAsia"/>
          <w:szCs w:val="21"/>
        </w:rPr>
        <w:t>跟踪</w:t>
      </w:r>
      <w:r>
        <w:rPr>
          <w:rFonts w:hint="eastAsia"/>
          <w:szCs w:val="21"/>
        </w:rPr>
        <w:t>显示，对冲基金管理人大多认为三中全会深化改革的</w:t>
      </w:r>
      <w:r w:rsidR="00B30055" w:rsidRPr="007F5356">
        <w:rPr>
          <w:rFonts w:hint="eastAsia"/>
          <w:szCs w:val="21"/>
        </w:rPr>
        <w:t>政策预期在短期集中反映，长期利好短期化，最终还是会回到基本面的业绩上面，因此预期反弹可持续到</w:t>
      </w:r>
      <w:r w:rsidR="00B30055" w:rsidRPr="007F5356">
        <w:rPr>
          <w:szCs w:val="21"/>
        </w:rPr>
        <w:t>11</w:t>
      </w:r>
      <w:r w:rsidR="00B30055" w:rsidRPr="007F5356">
        <w:rPr>
          <w:rFonts w:hint="eastAsia"/>
          <w:szCs w:val="21"/>
        </w:rPr>
        <w:t>月底，</w:t>
      </w:r>
      <w:r>
        <w:rPr>
          <w:rFonts w:hint="eastAsia"/>
          <w:szCs w:val="21"/>
        </w:rPr>
        <w:t>而</w:t>
      </w:r>
      <w:r w:rsidR="00B30055" w:rsidRPr="007F5356">
        <w:rPr>
          <w:szCs w:val="21"/>
        </w:rPr>
        <w:t>12</w:t>
      </w:r>
      <w:r w:rsidR="00B30055" w:rsidRPr="007F5356">
        <w:rPr>
          <w:rFonts w:hint="eastAsia"/>
          <w:szCs w:val="21"/>
        </w:rPr>
        <w:t>月谨慎。金融去杠杆尚未结束，中长期资金面仍然偏紧，市场短期依旧是结构性行情。具体板块，</w:t>
      </w:r>
      <w:r>
        <w:rPr>
          <w:rFonts w:hint="eastAsia"/>
          <w:szCs w:val="21"/>
        </w:rPr>
        <w:t>受</w:t>
      </w:r>
      <w:r w:rsidR="00B30055" w:rsidRPr="007F5356">
        <w:rPr>
          <w:rFonts w:hint="eastAsia"/>
          <w:szCs w:val="21"/>
        </w:rPr>
        <w:t>关注</w:t>
      </w:r>
      <w:r>
        <w:rPr>
          <w:rFonts w:hint="eastAsia"/>
          <w:szCs w:val="21"/>
        </w:rPr>
        <w:t>较多的是</w:t>
      </w:r>
      <w:r w:rsidR="00B30055" w:rsidRPr="007F5356">
        <w:rPr>
          <w:rFonts w:hint="eastAsia"/>
          <w:szCs w:val="21"/>
        </w:rPr>
        <w:t>军工、土改、环保、低估值的保险以及有修复行情的白酒。</w:t>
      </w:r>
    </w:p>
    <w:p w:rsidR="00B30055" w:rsidRPr="007F5356" w:rsidRDefault="00B30055" w:rsidP="00B30055">
      <w:pPr>
        <w:pStyle w:val="ab"/>
        <w:numPr>
          <w:ilvl w:val="0"/>
          <w:numId w:val="5"/>
        </w:numPr>
        <w:spacing w:after="163"/>
        <w:rPr>
          <w:szCs w:val="21"/>
        </w:rPr>
      </w:pPr>
      <w:r w:rsidRPr="007F5356">
        <w:rPr>
          <w:rFonts w:hint="eastAsia"/>
          <w:szCs w:val="21"/>
        </w:rPr>
        <w:t>资金面：央行在</w:t>
      </w:r>
      <w:r w:rsidR="000A1F25">
        <w:rPr>
          <w:rFonts w:eastAsiaTheme="minorEastAsia" w:hint="eastAsia"/>
          <w:szCs w:val="21"/>
        </w:rPr>
        <w:t>11</w:t>
      </w:r>
      <w:r w:rsidR="000A1F25">
        <w:rPr>
          <w:rFonts w:eastAsiaTheme="minorEastAsia" w:hint="eastAsia"/>
          <w:szCs w:val="21"/>
        </w:rPr>
        <w:t>月第三</w:t>
      </w:r>
      <w:r w:rsidRPr="007F5356">
        <w:rPr>
          <w:rFonts w:hint="eastAsia"/>
          <w:szCs w:val="21"/>
        </w:rPr>
        <w:t>周</w:t>
      </w:r>
      <w:r w:rsidR="000A1F25">
        <w:rPr>
          <w:rFonts w:hint="eastAsia"/>
          <w:szCs w:val="21"/>
        </w:rPr>
        <w:t>的周</w:t>
      </w:r>
      <w:r w:rsidRPr="007F5356">
        <w:rPr>
          <w:rFonts w:hint="eastAsia"/>
          <w:szCs w:val="21"/>
        </w:rPr>
        <w:t>二和周四分别进行</w:t>
      </w:r>
      <w:r w:rsidRPr="007F5356">
        <w:rPr>
          <w:szCs w:val="21"/>
        </w:rPr>
        <w:t>350</w:t>
      </w:r>
      <w:r w:rsidRPr="007F5356">
        <w:rPr>
          <w:rFonts w:hint="eastAsia"/>
          <w:szCs w:val="21"/>
        </w:rPr>
        <w:t>亿</w:t>
      </w:r>
      <w:r w:rsidRPr="007F5356">
        <w:rPr>
          <w:szCs w:val="21"/>
        </w:rPr>
        <w:t>7</w:t>
      </w:r>
      <w:r w:rsidRPr="007F5356">
        <w:rPr>
          <w:rFonts w:hint="eastAsia"/>
          <w:szCs w:val="21"/>
        </w:rPr>
        <w:t>天和</w:t>
      </w:r>
      <w:r w:rsidRPr="007F5356">
        <w:rPr>
          <w:szCs w:val="21"/>
        </w:rPr>
        <w:t>300</w:t>
      </w:r>
      <w:r w:rsidRPr="007F5356">
        <w:rPr>
          <w:rFonts w:hint="eastAsia"/>
          <w:szCs w:val="21"/>
        </w:rPr>
        <w:t>亿</w:t>
      </w:r>
      <w:r w:rsidRPr="007F5356">
        <w:rPr>
          <w:szCs w:val="21"/>
        </w:rPr>
        <w:t>14</w:t>
      </w:r>
      <w:r w:rsidRPr="007F5356">
        <w:rPr>
          <w:rFonts w:hint="eastAsia"/>
          <w:szCs w:val="21"/>
        </w:rPr>
        <w:t>天逆回购，市场担心的流动性偏紧问题由于回购利率的下行而得到缓解。但从央行货币政策调控的思路看，公开市场操作只是为了</w:t>
      </w:r>
      <w:proofErr w:type="gramStart"/>
      <w:r w:rsidRPr="007F5356">
        <w:rPr>
          <w:rFonts w:hint="eastAsia"/>
          <w:szCs w:val="21"/>
        </w:rPr>
        <w:t>平抑短期</w:t>
      </w:r>
      <w:proofErr w:type="gramEnd"/>
      <w:r w:rsidRPr="007F5356">
        <w:rPr>
          <w:rFonts w:hint="eastAsia"/>
          <w:szCs w:val="21"/>
        </w:rPr>
        <w:t>资金价格的飙升，资金面不会有根本性好转。</w:t>
      </w:r>
    </w:p>
    <w:p w:rsidR="00B30055" w:rsidRPr="00B30055" w:rsidRDefault="00B30055" w:rsidP="00B30055">
      <w:pPr>
        <w:pStyle w:val="ab"/>
        <w:numPr>
          <w:ilvl w:val="0"/>
          <w:numId w:val="5"/>
        </w:numPr>
        <w:spacing w:after="163"/>
        <w:rPr>
          <w:szCs w:val="21"/>
        </w:rPr>
      </w:pPr>
      <w:r w:rsidRPr="007F5356">
        <w:rPr>
          <w:rFonts w:hint="eastAsia"/>
          <w:szCs w:val="21"/>
        </w:rPr>
        <w:t>主题投资：三中全会决定涉及若干主题，军工是此次</w:t>
      </w:r>
      <w:proofErr w:type="gramStart"/>
      <w:r w:rsidRPr="007F5356">
        <w:rPr>
          <w:rFonts w:hint="eastAsia"/>
          <w:szCs w:val="21"/>
        </w:rPr>
        <w:t>会议最超预期</w:t>
      </w:r>
      <w:proofErr w:type="gramEnd"/>
      <w:r w:rsidRPr="007F5356">
        <w:rPr>
          <w:rFonts w:hint="eastAsia"/>
          <w:szCs w:val="21"/>
        </w:rPr>
        <w:t>的一项，成立国家安全委员会将会带来增量投资，相关板块有巨大机会。国</w:t>
      </w:r>
      <w:r w:rsidRPr="007F5356">
        <w:rPr>
          <w:rFonts w:hint="eastAsia"/>
          <w:szCs w:val="21"/>
        </w:rPr>
        <w:lastRenderedPageBreak/>
        <w:t>企改革需要自下而上看，通过各地国资委沟通改革思路，挖掘竞争力强、在相关领域可称为平台的国企，或者可能成为壳资源的小、差公司。国企改革以上海为试点，北京、山东、安徽、江浙等都会全面铺开，上海国资</w:t>
      </w:r>
      <w:proofErr w:type="gramStart"/>
      <w:r w:rsidRPr="007F5356">
        <w:rPr>
          <w:rFonts w:hint="eastAsia"/>
          <w:szCs w:val="21"/>
        </w:rPr>
        <w:t>委相当</w:t>
      </w:r>
      <w:proofErr w:type="gramEnd"/>
      <w:r w:rsidRPr="007F5356">
        <w:rPr>
          <w:rFonts w:hint="eastAsia"/>
          <w:szCs w:val="21"/>
        </w:rPr>
        <w:t>多模式未来都有可能成为各地模版，包括可能借鉴“淡马锡模式”组建若干国有资本运营公司，支持有条件国有企业改组为国有资本投资公司，划拨现有国有企业股权，根据不同职能特性，分别制定各类基金的出资方式、经营目标和考核机制等。环保是未来相当长时间不变的主题。二胎政策短期有影响，长期增量较小。</w:t>
      </w:r>
    </w:p>
    <w:p w:rsidR="007810C5" w:rsidRDefault="007810C5" w:rsidP="00B10000">
      <w:pPr>
        <w:widowControl/>
        <w:spacing w:after="120"/>
        <w:ind w:left="3430"/>
        <w:rPr>
          <w:rFonts w:ascii="Arial" w:hAnsi="Arial"/>
          <w:b/>
          <w:bCs/>
          <w:color w:val="0070C0"/>
          <w:kern w:val="0"/>
          <w:sz w:val="24"/>
          <w:szCs w:val="20"/>
          <w:lang w:val="en-GB"/>
        </w:rPr>
      </w:pPr>
      <w:r w:rsidRPr="007810C5">
        <w:rPr>
          <w:rFonts w:ascii="Arial" w:eastAsia="楷体_GB2312" w:hAnsi="Arial" w:hint="eastAsia"/>
          <w:b/>
          <w:bCs/>
          <w:color w:val="0070C0"/>
          <w:kern w:val="0"/>
          <w:sz w:val="24"/>
          <w:szCs w:val="20"/>
          <w:lang w:val="en-GB"/>
        </w:rPr>
        <w:t>二</w:t>
      </w:r>
      <w:r w:rsidRPr="00F210A0">
        <w:rPr>
          <w:rFonts w:ascii="Arial" w:eastAsia="楷体_GB2312" w:hAnsi="Arial" w:hint="eastAsia"/>
          <w:b/>
          <w:bCs/>
          <w:color w:val="0070C0"/>
          <w:kern w:val="0"/>
          <w:sz w:val="24"/>
          <w:szCs w:val="20"/>
          <w:lang w:val="en-GB"/>
        </w:rPr>
        <w:t>、</w:t>
      </w:r>
      <w:r w:rsidRPr="007810C5">
        <w:rPr>
          <w:rFonts w:ascii="Arial" w:eastAsia="楷体_GB2312" w:hAnsi="Arial" w:hint="eastAsia"/>
          <w:b/>
          <w:bCs/>
          <w:color w:val="0070C0"/>
          <w:kern w:val="0"/>
          <w:sz w:val="24"/>
          <w:szCs w:val="20"/>
          <w:lang w:val="en-GB"/>
        </w:rPr>
        <w:t>发行市场概况</w:t>
      </w:r>
    </w:p>
    <w:p w:rsidR="00B10000" w:rsidRPr="001C36F6" w:rsidRDefault="003678AF" w:rsidP="00B10000">
      <w:pPr>
        <w:widowControl/>
        <w:spacing w:after="120"/>
        <w:ind w:left="3430"/>
        <w:rPr>
          <w:rFonts w:ascii="Arial" w:hAnsi="Arial"/>
          <w:b/>
          <w:bCs/>
          <w:color w:val="0070C0"/>
          <w:kern w:val="0"/>
          <w:szCs w:val="21"/>
          <w:lang w:val="en-GB"/>
        </w:rPr>
      </w:pPr>
      <w:r>
        <w:rPr>
          <w:rFonts w:ascii="Arial" w:eastAsia="楷体_GB2312" w:hAnsi="Arial" w:hint="eastAsia"/>
          <w:b/>
          <w:bCs/>
          <w:color w:val="0070C0"/>
          <w:kern w:val="0"/>
          <w:szCs w:val="21"/>
          <w:lang w:val="en-GB"/>
        </w:rPr>
        <w:t>“黄金周”影响发行量，</w:t>
      </w:r>
      <w:r w:rsidR="00576BED">
        <w:rPr>
          <w:rFonts w:ascii="宋体" w:eastAsia="宋体" w:hAnsi="宋体" w:cs="宋体" w:hint="eastAsia"/>
          <w:b/>
          <w:bCs/>
          <w:color w:val="0070C0"/>
          <w:kern w:val="0"/>
          <w:szCs w:val="21"/>
          <w:lang w:val="en-GB"/>
        </w:rPr>
        <w:t>债券</w:t>
      </w:r>
      <w:r w:rsidR="00AC09E6">
        <w:rPr>
          <w:rFonts w:ascii="宋体" w:eastAsia="宋体" w:hAnsi="宋体" w:cs="宋体" w:hint="eastAsia"/>
          <w:b/>
          <w:bCs/>
          <w:color w:val="0070C0"/>
          <w:kern w:val="0"/>
          <w:szCs w:val="21"/>
          <w:lang w:val="en-GB"/>
        </w:rPr>
        <w:t>类增量有回温</w:t>
      </w:r>
    </w:p>
    <w:p w:rsidR="00B10000" w:rsidRPr="0074607E" w:rsidRDefault="007440A8" w:rsidP="0074607E">
      <w:pPr>
        <w:pStyle w:val="ab"/>
        <w:numPr>
          <w:ilvl w:val="4"/>
          <w:numId w:val="1"/>
        </w:numPr>
        <w:spacing w:after="163"/>
        <w:rPr>
          <w:color w:val="auto"/>
        </w:rPr>
      </w:pPr>
      <w:r w:rsidRPr="007440A8">
        <w:rPr>
          <w:rFonts w:hint="eastAsia"/>
          <w:color w:val="auto"/>
        </w:rPr>
        <w:t>10</w:t>
      </w:r>
      <w:r w:rsidRPr="00485316">
        <w:rPr>
          <w:rFonts w:hint="eastAsia"/>
          <w:color w:val="auto"/>
        </w:rPr>
        <w:t>月份受</w:t>
      </w:r>
      <w:proofErr w:type="gramStart"/>
      <w:r w:rsidRPr="00485316">
        <w:rPr>
          <w:rFonts w:hint="eastAsia"/>
          <w:color w:val="auto"/>
        </w:rPr>
        <w:t>黄金周</w:t>
      </w:r>
      <w:proofErr w:type="gramEnd"/>
      <w:r w:rsidRPr="00485316">
        <w:rPr>
          <w:rFonts w:hint="eastAsia"/>
          <w:color w:val="auto"/>
        </w:rPr>
        <w:t>长假</w:t>
      </w:r>
      <w:r w:rsidR="003678AF" w:rsidRPr="00485316">
        <w:rPr>
          <w:rFonts w:hint="eastAsia"/>
          <w:color w:val="auto"/>
        </w:rPr>
        <w:t>、</w:t>
      </w:r>
      <w:r w:rsidRPr="00485316">
        <w:rPr>
          <w:rFonts w:hint="eastAsia"/>
          <w:color w:val="auto"/>
        </w:rPr>
        <w:t>市场</w:t>
      </w:r>
      <w:r w:rsidR="003678AF" w:rsidRPr="00485316">
        <w:rPr>
          <w:rFonts w:hint="eastAsia"/>
          <w:color w:val="auto"/>
        </w:rPr>
        <w:t>情绪有所转冷</w:t>
      </w:r>
      <w:r w:rsidRPr="00485316">
        <w:rPr>
          <w:rFonts w:hint="eastAsia"/>
          <w:color w:val="auto"/>
        </w:rPr>
        <w:t>等</w:t>
      </w:r>
      <w:r w:rsidR="003678AF" w:rsidRPr="00485316">
        <w:rPr>
          <w:rFonts w:hint="eastAsia"/>
          <w:color w:val="auto"/>
        </w:rPr>
        <w:t>因素</w:t>
      </w:r>
      <w:r w:rsidRPr="00485316">
        <w:rPr>
          <w:rFonts w:hint="eastAsia"/>
          <w:color w:val="auto"/>
        </w:rPr>
        <w:t>影响，</w:t>
      </w:r>
      <w:r w:rsidR="003678AF" w:rsidRPr="00485316">
        <w:rPr>
          <w:rFonts w:hint="eastAsia"/>
          <w:color w:val="auto"/>
        </w:rPr>
        <w:t>对冲基金</w:t>
      </w:r>
      <w:r w:rsidRPr="00485316">
        <w:rPr>
          <w:rFonts w:hint="eastAsia"/>
          <w:color w:val="auto"/>
        </w:rPr>
        <w:t>单月发行量较上月出现小幅下降。</w:t>
      </w:r>
      <w:r w:rsidR="00485316" w:rsidRPr="00485316">
        <w:rPr>
          <w:rFonts w:hint="eastAsia"/>
          <w:color w:val="auto"/>
        </w:rPr>
        <w:t>全月共发行</w:t>
      </w:r>
      <w:r w:rsidR="00485316" w:rsidRPr="00485316">
        <w:rPr>
          <w:rFonts w:hint="eastAsia"/>
          <w:color w:val="auto"/>
        </w:rPr>
        <w:t>34</w:t>
      </w:r>
      <w:r w:rsidR="00485316" w:rsidRPr="00485316">
        <w:rPr>
          <w:rFonts w:hint="eastAsia"/>
          <w:color w:val="auto"/>
        </w:rPr>
        <w:t>只产品</w:t>
      </w:r>
      <w:r w:rsidR="00E94478">
        <w:rPr>
          <w:rFonts w:hint="eastAsia"/>
          <w:color w:val="auto"/>
        </w:rPr>
        <w:t>（基于</w:t>
      </w:r>
      <w:proofErr w:type="gramStart"/>
      <w:r w:rsidR="00E94478">
        <w:rPr>
          <w:rFonts w:hint="eastAsia"/>
          <w:color w:val="auto"/>
        </w:rPr>
        <w:t>凯石工场较</w:t>
      </w:r>
      <w:proofErr w:type="gramEnd"/>
      <w:r w:rsidR="00E94478">
        <w:rPr>
          <w:rFonts w:hint="eastAsia"/>
          <w:color w:val="auto"/>
        </w:rPr>
        <w:t>严格的统计口径）</w:t>
      </w:r>
      <w:r w:rsidR="00485316" w:rsidRPr="00485316">
        <w:rPr>
          <w:rFonts w:hint="eastAsia"/>
          <w:color w:val="auto"/>
        </w:rPr>
        <w:t>，环比减少</w:t>
      </w:r>
      <w:r w:rsidR="00485316" w:rsidRPr="00485316">
        <w:rPr>
          <w:rFonts w:hint="eastAsia"/>
          <w:color w:val="auto"/>
        </w:rPr>
        <w:t>13%</w:t>
      </w:r>
      <w:r w:rsidR="00485316" w:rsidRPr="00485316">
        <w:rPr>
          <w:rFonts w:hint="eastAsia"/>
          <w:color w:val="auto"/>
        </w:rPr>
        <w:t>。</w:t>
      </w:r>
      <w:r w:rsidR="00485316">
        <w:rPr>
          <w:rFonts w:hint="eastAsia"/>
          <w:color w:val="auto"/>
        </w:rPr>
        <w:t>分策略来看，</w:t>
      </w:r>
      <w:r w:rsidR="00485316" w:rsidRPr="00485316">
        <w:rPr>
          <w:rFonts w:hint="eastAsia"/>
          <w:color w:val="auto"/>
        </w:rPr>
        <w:t>管理型股票多头策略依旧占据主流</w:t>
      </w:r>
      <w:r w:rsidR="00485316">
        <w:rPr>
          <w:rFonts w:hint="eastAsia"/>
          <w:color w:val="auto"/>
        </w:rPr>
        <w:t>；值得注意的是</w:t>
      </w:r>
      <w:r w:rsidR="001C36F6">
        <w:rPr>
          <w:rFonts w:hint="eastAsia"/>
          <w:color w:val="auto"/>
        </w:rPr>
        <w:t>，</w:t>
      </w:r>
      <w:r w:rsidR="00485316" w:rsidRPr="00485316">
        <w:rPr>
          <w:rFonts w:hint="eastAsia"/>
          <w:color w:val="auto"/>
        </w:rPr>
        <w:t>固定收益策略</w:t>
      </w:r>
      <w:r w:rsidR="00576BED">
        <w:rPr>
          <w:rFonts w:hint="eastAsia"/>
          <w:color w:val="auto"/>
        </w:rPr>
        <w:t>（即债券型）</w:t>
      </w:r>
      <w:r w:rsidR="001C36F6">
        <w:rPr>
          <w:rFonts w:eastAsiaTheme="minorEastAsia" w:hint="eastAsia"/>
          <w:color w:val="auto"/>
        </w:rPr>
        <w:t>9</w:t>
      </w:r>
      <w:r w:rsidR="001C36F6">
        <w:rPr>
          <w:rFonts w:eastAsiaTheme="minorEastAsia" w:hint="eastAsia"/>
          <w:color w:val="auto"/>
        </w:rPr>
        <w:t>月增量仅</w:t>
      </w:r>
      <w:r w:rsidR="001C36F6">
        <w:rPr>
          <w:rFonts w:eastAsiaTheme="minorEastAsia" w:hint="eastAsia"/>
          <w:color w:val="auto"/>
        </w:rPr>
        <w:t>2</w:t>
      </w:r>
      <w:r w:rsidR="001C36F6">
        <w:rPr>
          <w:rFonts w:eastAsiaTheme="minorEastAsia" w:hint="eastAsia"/>
          <w:color w:val="auto"/>
        </w:rPr>
        <w:t>只而</w:t>
      </w:r>
      <w:r w:rsidR="001C36F6">
        <w:rPr>
          <w:rFonts w:eastAsiaTheme="minorEastAsia" w:hint="eastAsia"/>
          <w:color w:val="auto"/>
        </w:rPr>
        <w:t>10</w:t>
      </w:r>
      <w:r w:rsidR="001C36F6">
        <w:rPr>
          <w:rFonts w:eastAsiaTheme="minorEastAsia" w:hint="eastAsia"/>
          <w:color w:val="auto"/>
        </w:rPr>
        <w:t>月份</w:t>
      </w:r>
      <w:r w:rsidR="00485316" w:rsidRPr="00485316">
        <w:rPr>
          <w:rFonts w:hint="eastAsia"/>
          <w:color w:val="auto"/>
        </w:rPr>
        <w:t>发行</w:t>
      </w:r>
      <w:r w:rsidR="001C36F6">
        <w:rPr>
          <w:rFonts w:hint="eastAsia"/>
          <w:color w:val="auto"/>
        </w:rPr>
        <w:t>了</w:t>
      </w:r>
      <w:r w:rsidR="00485316" w:rsidRPr="00485316">
        <w:rPr>
          <w:rFonts w:hint="eastAsia"/>
          <w:color w:val="auto"/>
        </w:rPr>
        <w:t>10</w:t>
      </w:r>
      <w:r w:rsidR="00485316" w:rsidRPr="00485316">
        <w:rPr>
          <w:rFonts w:hint="eastAsia"/>
          <w:color w:val="auto"/>
        </w:rPr>
        <w:t>只</w:t>
      </w:r>
      <w:r w:rsidR="001C36F6">
        <w:rPr>
          <w:rFonts w:hint="eastAsia"/>
          <w:color w:val="auto"/>
        </w:rPr>
        <w:t>，</w:t>
      </w:r>
      <w:r w:rsidR="00AC09E6">
        <w:rPr>
          <w:rFonts w:hint="eastAsia"/>
          <w:color w:val="auto"/>
        </w:rPr>
        <w:t>大有回温之势；</w:t>
      </w:r>
      <w:r w:rsidR="00485316">
        <w:rPr>
          <w:rFonts w:hint="eastAsia"/>
          <w:color w:val="auto"/>
        </w:rPr>
        <w:t>其中</w:t>
      </w:r>
      <w:proofErr w:type="gramStart"/>
      <w:r w:rsidR="00485316" w:rsidRPr="00485316">
        <w:rPr>
          <w:rFonts w:hint="eastAsia"/>
          <w:color w:val="auto"/>
        </w:rPr>
        <w:t>佑瑞持</w:t>
      </w:r>
      <w:r w:rsidR="00172781">
        <w:rPr>
          <w:rFonts w:hint="eastAsia"/>
          <w:color w:val="auto"/>
        </w:rPr>
        <w:t>投资</w:t>
      </w:r>
      <w:proofErr w:type="gramEnd"/>
      <w:r w:rsidR="00485316">
        <w:rPr>
          <w:rFonts w:hint="eastAsia"/>
          <w:color w:val="auto"/>
        </w:rPr>
        <w:t>一口气成立了</w:t>
      </w:r>
      <w:r w:rsidR="00485316">
        <w:rPr>
          <w:rFonts w:eastAsiaTheme="minorEastAsia" w:hint="eastAsia"/>
          <w:color w:val="auto"/>
        </w:rPr>
        <w:t>8</w:t>
      </w:r>
      <w:r w:rsidR="00485316">
        <w:rPr>
          <w:rFonts w:eastAsiaTheme="minorEastAsia" w:hint="eastAsia"/>
          <w:color w:val="auto"/>
        </w:rPr>
        <w:t>只，</w:t>
      </w:r>
      <w:r w:rsidR="00172781">
        <w:rPr>
          <w:rFonts w:eastAsiaTheme="minorEastAsia" w:hint="eastAsia"/>
          <w:color w:val="auto"/>
        </w:rPr>
        <w:t>另</w:t>
      </w:r>
      <w:r w:rsidR="00172781">
        <w:rPr>
          <w:rFonts w:eastAsiaTheme="minorEastAsia" w:hint="eastAsia"/>
          <w:color w:val="auto"/>
        </w:rPr>
        <w:t>2</w:t>
      </w:r>
      <w:r w:rsidR="00172781">
        <w:rPr>
          <w:rFonts w:eastAsiaTheme="minorEastAsia" w:hint="eastAsia"/>
          <w:color w:val="auto"/>
        </w:rPr>
        <w:t>只为</w:t>
      </w:r>
      <w:proofErr w:type="gramStart"/>
      <w:r w:rsidR="00172781">
        <w:rPr>
          <w:rFonts w:eastAsiaTheme="minorEastAsia" w:hint="eastAsia"/>
          <w:color w:val="auto"/>
        </w:rPr>
        <w:t>鹏扬投资</w:t>
      </w:r>
      <w:proofErr w:type="gramEnd"/>
      <w:r w:rsidR="00172781">
        <w:rPr>
          <w:rFonts w:eastAsiaTheme="minorEastAsia" w:hint="eastAsia"/>
          <w:color w:val="auto"/>
        </w:rPr>
        <w:t>名下</w:t>
      </w:r>
      <w:r w:rsidR="00485316" w:rsidRPr="00485316">
        <w:rPr>
          <w:rFonts w:hint="eastAsia"/>
          <w:color w:val="auto"/>
        </w:rPr>
        <w:t>。</w:t>
      </w:r>
    </w:p>
    <w:tbl>
      <w:tblPr>
        <w:tblW w:w="7442" w:type="dxa"/>
        <w:tblInd w:w="3402" w:type="dxa"/>
        <w:tblBorders>
          <w:top w:val="single" w:sz="6" w:space="0" w:color="FF6600"/>
          <w:bottom w:val="single" w:sz="6" w:space="0" w:color="FF6600"/>
          <w:insideH w:val="single" w:sz="6" w:space="0" w:color="FF6600"/>
        </w:tblBorders>
        <w:tblLayout w:type="fixed"/>
        <w:tblCellMar>
          <w:left w:w="0" w:type="dxa"/>
          <w:right w:w="0" w:type="dxa"/>
        </w:tblCellMar>
        <w:tblLook w:val="0000"/>
      </w:tblPr>
      <w:tblGrid>
        <w:gridCol w:w="7442"/>
      </w:tblGrid>
      <w:tr w:rsidR="00656031" w:rsidTr="00656031">
        <w:trPr>
          <w:cantSplit/>
          <w:trHeight w:val="65"/>
        </w:trPr>
        <w:tc>
          <w:tcPr>
            <w:tcW w:w="7442" w:type="dxa"/>
            <w:shd w:val="clear" w:color="auto" w:fill="auto"/>
            <w:vAlign w:val="center"/>
          </w:tcPr>
          <w:p w:rsidR="00656031" w:rsidRPr="00485316" w:rsidRDefault="00656031" w:rsidP="00656031">
            <w:pPr>
              <w:pStyle w:val="SubTitleLargeTable"/>
              <w:pBdr>
                <w:top w:val="none" w:sz="0" w:space="0" w:color="auto"/>
              </w:pBdr>
              <w:rPr>
                <w:rFonts w:ascii="宋体" w:eastAsiaTheme="minorEastAsia" w:hAnsi="宋体"/>
                <w:b w:val="0"/>
                <w:color w:val="FF6600"/>
              </w:rPr>
            </w:pPr>
            <w:r w:rsidRPr="00656031">
              <w:rPr>
                <w:color w:val="FF6600"/>
              </w:rPr>
              <w:t>图表</w:t>
            </w:r>
            <w:r w:rsidR="00A214EE">
              <w:rPr>
                <w:rFonts w:eastAsiaTheme="minorEastAsia" w:hint="eastAsia"/>
                <w:color w:val="FF6600"/>
              </w:rPr>
              <w:t>1</w:t>
            </w:r>
            <w:r w:rsidRPr="00656031">
              <w:rPr>
                <w:rFonts w:hint="eastAsia"/>
                <w:color w:val="FF6600"/>
              </w:rPr>
              <w:t>：</w:t>
            </w:r>
            <w:r w:rsidR="00485316">
              <w:rPr>
                <w:rFonts w:eastAsiaTheme="minorEastAsia" w:hint="eastAsia"/>
                <w:color w:val="FF6600"/>
              </w:rPr>
              <w:t>10</w:t>
            </w:r>
            <w:r w:rsidR="00485316">
              <w:rPr>
                <w:rFonts w:eastAsiaTheme="minorEastAsia" w:hint="eastAsia"/>
                <w:color w:val="FF6600"/>
              </w:rPr>
              <w:t>月份对冲基金发行概览</w:t>
            </w:r>
          </w:p>
        </w:tc>
      </w:tr>
      <w:tr w:rsidR="008840A4" w:rsidTr="00656031">
        <w:trPr>
          <w:cantSplit/>
          <w:trHeight w:val="3169"/>
        </w:trPr>
        <w:tc>
          <w:tcPr>
            <w:tcW w:w="7442" w:type="dxa"/>
            <w:shd w:val="clear" w:color="auto" w:fill="auto"/>
            <w:vAlign w:val="center"/>
          </w:tcPr>
          <w:p w:rsidR="008840A4" w:rsidRPr="00921371" w:rsidRDefault="00485316" w:rsidP="00705C81">
            <w:pPr>
              <w:snapToGrid w:val="0"/>
              <w:spacing w:line="10" w:lineRule="atLeast"/>
              <w:jc w:val="center"/>
              <w:rPr>
                <w:rFonts w:ascii="宋体" w:eastAsia="宋体" w:hAnsi="宋体"/>
                <w:b/>
              </w:rPr>
            </w:pPr>
            <w:r w:rsidRPr="00485316">
              <w:rPr>
                <w:rFonts w:ascii="宋体" w:eastAsia="宋体" w:hAnsi="宋体"/>
                <w:b/>
                <w:noProof/>
              </w:rPr>
              <w:drawing>
                <wp:inline distT="0" distB="0" distL="0" distR="0">
                  <wp:extent cx="4095750" cy="2152650"/>
                  <wp:effectExtent l="19050" t="0" r="1905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rsidR="008840A4" w:rsidRPr="00656031" w:rsidRDefault="008840A4" w:rsidP="00C806CE">
      <w:pPr>
        <w:pStyle w:val="FootnoteNoline"/>
        <w:rPr>
          <w:color w:val="FF6600"/>
        </w:rPr>
      </w:pPr>
      <w:r w:rsidRPr="00656031">
        <w:rPr>
          <w:rFonts w:hint="eastAsia"/>
          <w:color w:val="FF6600"/>
        </w:rPr>
        <w:t>来源：</w:t>
      </w:r>
      <w:proofErr w:type="gramStart"/>
      <w:r w:rsidR="00C806CE" w:rsidRPr="00656031">
        <w:rPr>
          <w:rFonts w:hint="eastAsia"/>
          <w:color w:val="FF6600"/>
        </w:rPr>
        <w:t>凯</w:t>
      </w:r>
      <w:proofErr w:type="gramEnd"/>
      <w:r w:rsidR="00C806CE" w:rsidRPr="00656031">
        <w:rPr>
          <w:rFonts w:hint="eastAsia"/>
          <w:color w:val="FF6600"/>
        </w:rPr>
        <w:t>石财富工场</w:t>
      </w:r>
    </w:p>
    <w:p w:rsidR="00C737A4" w:rsidRPr="00D92CE8" w:rsidRDefault="00C737A4" w:rsidP="00D92CE8">
      <w:pPr>
        <w:widowControl/>
        <w:spacing w:after="120"/>
        <w:ind w:left="3430"/>
        <w:rPr>
          <w:rFonts w:ascii="Arial" w:eastAsia="楷体_GB2312" w:hAnsi="Arial"/>
          <w:b/>
          <w:bCs/>
          <w:color w:val="0070C0"/>
          <w:kern w:val="0"/>
          <w:sz w:val="24"/>
          <w:szCs w:val="20"/>
          <w:lang w:val="en-GB"/>
        </w:rPr>
      </w:pPr>
      <w:r w:rsidRPr="00D92CE8">
        <w:rPr>
          <w:rFonts w:ascii="Arial" w:eastAsia="楷体_GB2312" w:hAnsi="Arial" w:hint="eastAsia"/>
          <w:b/>
          <w:bCs/>
          <w:color w:val="0070C0"/>
          <w:kern w:val="0"/>
          <w:sz w:val="24"/>
          <w:szCs w:val="20"/>
          <w:lang w:val="en-GB"/>
        </w:rPr>
        <w:t>三、月度业绩回顾</w:t>
      </w:r>
    </w:p>
    <w:p w:rsidR="00C737A4" w:rsidRDefault="002A3C38" w:rsidP="00C737A4">
      <w:pPr>
        <w:widowControl/>
        <w:spacing w:after="120"/>
        <w:ind w:left="3430"/>
        <w:rPr>
          <w:rFonts w:ascii="宋体" w:eastAsia="宋体" w:hAnsi="宋体" w:cs="宋体"/>
          <w:b/>
          <w:bCs/>
          <w:color w:val="0070C0"/>
          <w:kern w:val="0"/>
          <w:szCs w:val="21"/>
          <w:lang w:val="en-GB"/>
        </w:rPr>
      </w:pPr>
      <w:r>
        <w:rPr>
          <w:rFonts w:ascii="宋体" w:eastAsia="宋体" w:hAnsi="宋体" w:cs="宋体" w:hint="eastAsia"/>
          <w:b/>
          <w:bCs/>
          <w:color w:val="0070C0"/>
          <w:kern w:val="0"/>
          <w:szCs w:val="21"/>
          <w:lang w:val="en-GB"/>
        </w:rPr>
        <w:t>创业</w:t>
      </w:r>
      <w:proofErr w:type="gramStart"/>
      <w:r>
        <w:rPr>
          <w:rFonts w:ascii="宋体" w:eastAsia="宋体" w:hAnsi="宋体" w:cs="宋体" w:hint="eastAsia"/>
          <w:b/>
          <w:bCs/>
          <w:color w:val="0070C0"/>
          <w:kern w:val="0"/>
          <w:szCs w:val="21"/>
          <w:lang w:val="en-GB"/>
        </w:rPr>
        <w:t>板</w:t>
      </w:r>
      <w:r w:rsidR="00557295">
        <w:rPr>
          <w:rFonts w:ascii="宋体" w:eastAsia="宋体" w:hAnsi="宋体" w:cs="宋体" w:hint="eastAsia"/>
          <w:b/>
          <w:bCs/>
          <w:color w:val="0070C0"/>
          <w:kern w:val="0"/>
          <w:szCs w:val="21"/>
          <w:lang w:val="en-GB"/>
        </w:rPr>
        <w:t>遭</w:t>
      </w:r>
      <w:r>
        <w:rPr>
          <w:rFonts w:ascii="宋体" w:eastAsia="宋体" w:hAnsi="宋体" w:cs="宋体" w:hint="eastAsia"/>
          <w:b/>
          <w:bCs/>
          <w:color w:val="0070C0"/>
          <w:kern w:val="0"/>
          <w:szCs w:val="21"/>
          <w:lang w:val="en-GB"/>
        </w:rPr>
        <w:t>深幅</w:t>
      </w:r>
      <w:proofErr w:type="gramEnd"/>
      <w:r>
        <w:rPr>
          <w:rFonts w:ascii="宋体" w:eastAsia="宋体" w:hAnsi="宋体" w:cs="宋体" w:hint="eastAsia"/>
          <w:b/>
          <w:bCs/>
          <w:color w:val="0070C0"/>
          <w:kern w:val="0"/>
          <w:szCs w:val="21"/>
          <w:lang w:val="en-GB"/>
        </w:rPr>
        <w:t>回调</w:t>
      </w:r>
      <w:r w:rsidR="00757751">
        <w:rPr>
          <w:rFonts w:ascii="宋体" w:eastAsia="宋体" w:hAnsi="宋体" w:cs="宋体" w:hint="eastAsia"/>
          <w:b/>
          <w:bCs/>
          <w:color w:val="0070C0"/>
          <w:kern w:val="0"/>
          <w:szCs w:val="21"/>
          <w:lang w:val="en-GB"/>
        </w:rPr>
        <w:t>，对冲基金未受重创</w:t>
      </w:r>
    </w:p>
    <w:p w:rsidR="00C806CE" w:rsidRPr="00200D9D" w:rsidRDefault="00C737A4" w:rsidP="00200D9D">
      <w:pPr>
        <w:pStyle w:val="ab"/>
        <w:numPr>
          <w:ilvl w:val="4"/>
          <w:numId w:val="1"/>
        </w:numPr>
        <w:spacing w:after="163"/>
        <w:rPr>
          <w:color w:val="auto"/>
        </w:rPr>
      </w:pPr>
      <w:r w:rsidRPr="00C737A4">
        <w:rPr>
          <w:rFonts w:hint="eastAsia"/>
          <w:color w:val="auto"/>
        </w:rPr>
        <w:t>10</w:t>
      </w:r>
      <w:r w:rsidRPr="00C737A4">
        <w:rPr>
          <w:rFonts w:hint="eastAsia"/>
          <w:color w:val="auto"/>
        </w:rPr>
        <w:t>月</w:t>
      </w:r>
      <w:r w:rsidR="00D549CA">
        <w:rPr>
          <w:rFonts w:hint="eastAsia"/>
          <w:color w:val="auto"/>
        </w:rPr>
        <w:t>份</w:t>
      </w:r>
      <w:r w:rsidR="00D549CA" w:rsidRPr="00C737A4">
        <w:rPr>
          <w:rFonts w:hint="eastAsia"/>
          <w:color w:val="auto"/>
        </w:rPr>
        <w:t>宏观、政策、资金面均不利于市场走势</w:t>
      </w:r>
      <w:r w:rsidR="00D549CA">
        <w:rPr>
          <w:rFonts w:hint="eastAsia"/>
          <w:color w:val="auto"/>
        </w:rPr>
        <w:t>：</w:t>
      </w:r>
      <w:r w:rsidRPr="00C737A4">
        <w:rPr>
          <w:rFonts w:hint="eastAsia"/>
          <w:color w:val="auto"/>
        </w:rPr>
        <w:t>宏观数据</w:t>
      </w:r>
      <w:r w:rsidR="00D549CA">
        <w:rPr>
          <w:rFonts w:ascii="宋体" w:hAnsi="宋体" w:hint="eastAsia"/>
          <w:szCs w:val="21"/>
        </w:rPr>
        <w:t>显示经济增长动力</w:t>
      </w:r>
      <w:r w:rsidR="00D549CA" w:rsidRPr="0070214C">
        <w:rPr>
          <w:rFonts w:ascii="宋体" w:hAnsi="宋体" w:hint="eastAsia"/>
          <w:szCs w:val="21"/>
        </w:rPr>
        <w:t>不足</w:t>
      </w:r>
      <w:r w:rsidR="00D549CA">
        <w:rPr>
          <w:rFonts w:hint="eastAsia"/>
          <w:color w:val="auto"/>
        </w:rPr>
        <w:t>；</w:t>
      </w:r>
      <w:r w:rsidRPr="00C737A4">
        <w:rPr>
          <w:rFonts w:hint="eastAsia"/>
          <w:color w:val="auto"/>
        </w:rPr>
        <w:t>市场</w:t>
      </w:r>
      <w:proofErr w:type="gramStart"/>
      <w:r w:rsidR="00D549CA">
        <w:rPr>
          <w:rFonts w:hint="eastAsia"/>
          <w:color w:val="auto"/>
        </w:rPr>
        <w:t>恐</w:t>
      </w:r>
      <w:proofErr w:type="gramEnd"/>
      <w:r w:rsidR="00D549CA">
        <w:rPr>
          <w:rFonts w:hint="eastAsia"/>
          <w:color w:val="auto"/>
        </w:rPr>
        <w:t>政策红利不及</w:t>
      </w:r>
      <w:r w:rsidRPr="00C737A4">
        <w:rPr>
          <w:rFonts w:hint="eastAsia"/>
          <w:color w:val="auto"/>
        </w:rPr>
        <w:t>预期，</w:t>
      </w:r>
      <w:r w:rsidR="009413BB">
        <w:rPr>
          <w:rFonts w:hint="eastAsia"/>
          <w:color w:val="auto"/>
        </w:rPr>
        <w:t>在三中全会前持仓观望</w:t>
      </w:r>
      <w:r w:rsidRPr="00C737A4">
        <w:rPr>
          <w:rFonts w:hint="eastAsia"/>
          <w:color w:val="auto"/>
        </w:rPr>
        <w:t>；央行净回笼资金</w:t>
      </w:r>
      <w:r w:rsidRPr="00C737A4">
        <w:rPr>
          <w:rFonts w:hint="eastAsia"/>
          <w:color w:val="auto"/>
        </w:rPr>
        <w:t>404</w:t>
      </w:r>
      <w:r w:rsidR="00D549CA">
        <w:rPr>
          <w:rFonts w:hint="eastAsia"/>
          <w:color w:val="auto"/>
        </w:rPr>
        <w:t>亿元，市场资金面偏紧。诸多因素导致</w:t>
      </w:r>
      <w:r w:rsidRPr="00C737A4">
        <w:rPr>
          <w:rFonts w:hint="eastAsia"/>
          <w:color w:val="auto"/>
        </w:rPr>
        <w:t>沪深</w:t>
      </w:r>
      <w:r w:rsidRPr="00C737A4">
        <w:rPr>
          <w:rFonts w:hint="eastAsia"/>
          <w:color w:val="auto"/>
        </w:rPr>
        <w:t>300</w:t>
      </w:r>
      <w:r w:rsidRPr="00C737A4">
        <w:rPr>
          <w:rFonts w:hint="eastAsia"/>
          <w:color w:val="auto"/>
        </w:rPr>
        <w:t>全月下跌</w:t>
      </w:r>
      <w:r w:rsidRPr="00C737A4">
        <w:rPr>
          <w:rFonts w:hint="eastAsia"/>
          <w:color w:val="auto"/>
        </w:rPr>
        <w:t>1.47%</w:t>
      </w:r>
      <w:r w:rsidRPr="00C737A4">
        <w:rPr>
          <w:rFonts w:hint="eastAsia"/>
          <w:color w:val="auto"/>
        </w:rPr>
        <w:t>，</w:t>
      </w:r>
      <w:proofErr w:type="gramStart"/>
      <w:r w:rsidRPr="00C737A4">
        <w:rPr>
          <w:rFonts w:hint="eastAsia"/>
          <w:color w:val="auto"/>
        </w:rPr>
        <w:t>跑输全球</w:t>
      </w:r>
      <w:proofErr w:type="gramEnd"/>
      <w:r w:rsidRPr="00C737A4">
        <w:rPr>
          <w:rFonts w:hint="eastAsia"/>
          <w:color w:val="auto"/>
        </w:rPr>
        <w:t>主要股指</w:t>
      </w:r>
      <w:r w:rsidR="00D549CA">
        <w:rPr>
          <w:rFonts w:hint="eastAsia"/>
          <w:color w:val="auto"/>
        </w:rPr>
        <w:t>。从风格看，创业板指调整幅度较大，</w:t>
      </w:r>
      <w:r w:rsidR="00D549CA" w:rsidRPr="00C737A4">
        <w:rPr>
          <w:rFonts w:hint="eastAsia"/>
          <w:color w:val="auto"/>
        </w:rPr>
        <w:t>单月下跌</w:t>
      </w:r>
      <w:r w:rsidR="00D549CA" w:rsidRPr="00C737A4">
        <w:rPr>
          <w:rFonts w:hint="eastAsia"/>
          <w:color w:val="auto"/>
        </w:rPr>
        <w:t>9.68%</w:t>
      </w:r>
      <w:r w:rsidR="00D549CA" w:rsidRPr="00C737A4">
        <w:rPr>
          <w:rFonts w:hint="eastAsia"/>
          <w:color w:val="auto"/>
        </w:rPr>
        <w:t>，</w:t>
      </w:r>
      <w:r w:rsidR="00D549CA">
        <w:rPr>
          <w:rFonts w:hint="eastAsia"/>
          <w:color w:val="auto"/>
        </w:rPr>
        <w:t>今年以来</w:t>
      </w:r>
      <w:proofErr w:type="gramStart"/>
      <w:r w:rsidR="00D549CA">
        <w:rPr>
          <w:rFonts w:hint="eastAsia"/>
          <w:color w:val="auto"/>
        </w:rPr>
        <w:t>首次跑输</w:t>
      </w:r>
      <w:proofErr w:type="gramEnd"/>
      <w:r w:rsidR="00D549CA">
        <w:rPr>
          <w:rFonts w:hint="eastAsia"/>
          <w:color w:val="auto"/>
        </w:rPr>
        <w:t>主板和中小板。</w:t>
      </w:r>
      <w:r w:rsidRPr="00C737A4">
        <w:rPr>
          <w:rFonts w:hint="eastAsia"/>
          <w:color w:val="auto"/>
        </w:rPr>
        <w:t>从行业看，</w:t>
      </w:r>
      <w:r w:rsidRPr="00C737A4">
        <w:rPr>
          <w:rFonts w:hint="eastAsia"/>
          <w:color w:val="auto"/>
        </w:rPr>
        <w:t>29</w:t>
      </w:r>
      <w:r w:rsidRPr="00C737A4">
        <w:rPr>
          <w:rFonts w:hint="eastAsia"/>
          <w:color w:val="auto"/>
        </w:rPr>
        <w:t>个中信</w:t>
      </w:r>
      <w:proofErr w:type="gramStart"/>
      <w:r w:rsidRPr="00C737A4">
        <w:rPr>
          <w:rFonts w:hint="eastAsia"/>
          <w:color w:val="auto"/>
        </w:rPr>
        <w:t>一级行业</w:t>
      </w:r>
      <w:proofErr w:type="gramEnd"/>
      <w:r w:rsidRPr="00C737A4">
        <w:rPr>
          <w:rFonts w:hint="eastAsia"/>
          <w:color w:val="auto"/>
        </w:rPr>
        <w:t>仅</w:t>
      </w:r>
      <w:r w:rsidRPr="00C737A4">
        <w:rPr>
          <w:rFonts w:hint="eastAsia"/>
          <w:color w:val="auto"/>
        </w:rPr>
        <w:t>7</w:t>
      </w:r>
      <w:r w:rsidR="00D549CA">
        <w:rPr>
          <w:rFonts w:hint="eastAsia"/>
          <w:color w:val="auto"/>
        </w:rPr>
        <w:t>个行业飘红，依次</w:t>
      </w:r>
      <w:r w:rsidRPr="00C737A4">
        <w:rPr>
          <w:rFonts w:hint="eastAsia"/>
          <w:color w:val="auto"/>
        </w:rPr>
        <w:t>为家电、石油石化、电力及公用事业、农林牧渔、建材、机械、银行，仅家电涨幅超过</w:t>
      </w:r>
      <w:r w:rsidRPr="00C737A4">
        <w:rPr>
          <w:rFonts w:hint="eastAsia"/>
          <w:color w:val="auto"/>
        </w:rPr>
        <w:t>10%</w:t>
      </w:r>
      <w:r w:rsidRPr="00C737A4">
        <w:rPr>
          <w:rFonts w:hint="eastAsia"/>
          <w:color w:val="auto"/>
        </w:rPr>
        <w:t>；</w:t>
      </w:r>
      <w:r w:rsidR="00D549CA">
        <w:rPr>
          <w:rFonts w:hint="eastAsia"/>
          <w:color w:val="auto"/>
        </w:rPr>
        <w:t>垫底的</w:t>
      </w:r>
      <w:r w:rsidRPr="00C737A4">
        <w:rPr>
          <w:rFonts w:hint="eastAsia"/>
          <w:color w:val="auto"/>
        </w:rPr>
        <w:t>传媒</w:t>
      </w:r>
      <w:r w:rsidR="00D549CA">
        <w:rPr>
          <w:rFonts w:hint="eastAsia"/>
          <w:color w:val="auto"/>
        </w:rPr>
        <w:t>板块</w:t>
      </w:r>
      <w:r w:rsidRPr="00C737A4">
        <w:rPr>
          <w:rFonts w:hint="eastAsia"/>
          <w:color w:val="auto"/>
        </w:rPr>
        <w:t>单月跌幅高达</w:t>
      </w:r>
      <w:r w:rsidRPr="00C737A4">
        <w:rPr>
          <w:rFonts w:hint="eastAsia"/>
          <w:color w:val="auto"/>
        </w:rPr>
        <w:t>22.75%</w:t>
      </w:r>
      <w:r w:rsidR="00D549CA">
        <w:rPr>
          <w:rFonts w:hint="eastAsia"/>
          <w:color w:val="auto"/>
        </w:rPr>
        <w:t>，</w:t>
      </w:r>
      <w:r w:rsidRPr="00C737A4">
        <w:rPr>
          <w:rFonts w:hint="eastAsia"/>
          <w:color w:val="auto"/>
        </w:rPr>
        <w:t>通信、医药、电子元器件、有色金属、餐饮旅游跌幅</w:t>
      </w:r>
      <w:r w:rsidR="00D549CA">
        <w:rPr>
          <w:rFonts w:hint="eastAsia"/>
          <w:color w:val="auto"/>
        </w:rPr>
        <w:t>均</w:t>
      </w:r>
      <w:r w:rsidRPr="00C737A4">
        <w:rPr>
          <w:rFonts w:hint="eastAsia"/>
          <w:color w:val="auto"/>
        </w:rPr>
        <w:t>超过</w:t>
      </w:r>
      <w:r w:rsidRPr="00C737A4">
        <w:rPr>
          <w:rFonts w:hint="eastAsia"/>
          <w:color w:val="auto"/>
        </w:rPr>
        <w:t>6%</w:t>
      </w:r>
      <w:r w:rsidRPr="00C737A4">
        <w:rPr>
          <w:rFonts w:hint="eastAsia"/>
          <w:color w:val="auto"/>
        </w:rPr>
        <w:t>。</w:t>
      </w:r>
    </w:p>
    <w:tbl>
      <w:tblPr>
        <w:tblW w:w="10771" w:type="dxa"/>
        <w:tblLayout w:type="fixed"/>
        <w:tblCellMar>
          <w:left w:w="0" w:type="dxa"/>
          <w:right w:w="0" w:type="dxa"/>
        </w:tblCellMar>
        <w:tblLook w:val="0000"/>
      </w:tblPr>
      <w:tblGrid>
        <w:gridCol w:w="5272"/>
        <w:gridCol w:w="227"/>
        <w:gridCol w:w="5272"/>
      </w:tblGrid>
      <w:tr w:rsidR="00656031" w:rsidRPr="00837084" w:rsidTr="003629A1">
        <w:trPr>
          <w:cantSplit/>
          <w:trHeight w:val="368"/>
        </w:trPr>
        <w:tc>
          <w:tcPr>
            <w:tcW w:w="5272" w:type="dxa"/>
            <w:tcBorders>
              <w:top w:val="single" w:sz="6" w:space="0" w:color="FF6600"/>
              <w:bottom w:val="single" w:sz="6" w:space="0" w:color="FF6600"/>
            </w:tcBorders>
            <w:shd w:val="clear" w:color="auto" w:fill="auto"/>
            <w:vAlign w:val="center"/>
          </w:tcPr>
          <w:p w:rsidR="00656031" w:rsidRPr="00D549CA" w:rsidRDefault="003629A1" w:rsidP="003629A1">
            <w:pPr>
              <w:pStyle w:val="SubTitleLargeTable"/>
              <w:pBdr>
                <w:top w:val="none" w:sz="0" w:space="0" w:color="auto"/>
              </w:pBdr>
              <w:rPr>
                <w:rFonts w:eastAsiaTheme="minorEastAsia"/>
              </w:rPr>
            </w:pPr>
            <w:r w:rsidRPr="00656031">
              <w:rPr>
                <w:color w:val="FF6600"/>
              </w:rPr>
              <w:lastRenderedPageBreak/>
              <w:t>图表</w:t>
            </w:r>
            <w:r w:rsidR="00A214EE">
              <w:rPr>
                <w:rFonts w:eastAsiaTheme="minorEastAsia" w:hint="eastAsia"/>
                <w:color w:val="FF6600"/>
              </w:rPr>
              <w:t>2</w:t>
            </w:r>
            <w:r w:rsidRPr="00656031">
              <w:rPr>
                <w:rFonts w:hint="eastAsia"/>
                <w:color w:val="FF6600"/>
              </w:rPr>
              <w:t>：</w:t>
            </w:r>
            <w:r w:rsidR="00D549CA">
              <w:rPr>
                <w:rFonts w:eastAsiaTheme="minorEastAsia" w:hint="eastAsia"/>
                <w:color w:val="FF6600"/>
              </w:rPr>
              <w:t>10</w:t>
            </w:r>
            <w:r w:rsidR="00D549CA">
              <w:rPr>
                <w:rFonts w:eastAsiaTheme="minorEastAsia" w:hint="eastAsia"/>
                <w:color w:val="FF6600"/>
              </w:rPr>
              <w:t>月份全球各大指数涨跌对比</w:t>
            </w:r>
          </w:p>
        </w:tc>
        <w:tc>
          <w:tcPr>
            <w:tcW w:w="227" w:type="dxa"/>
            <w:vAlign w:val="center"/>
          </w:tcPr>
          <w:p w:rsidR="00656031" w:rsidRPr="00837084" w:rsidRDefault="00656031" w:rsidP="00705C81">
            <w:pPr>
              <w:jc w:val="center"/>
            </w:pPr>
          </w:p>
        </w:tc>
        <w:tc>
          <w:tcPr>
            <w:tcW w:w="5272" w:type="dxa"/>
            <w:tcBorders>
              <w:top w:val="single" w:sz="6" w:space="0" w:color="FF6600"/>
              <w:bottom w:val="single" w:sz="6" w:space="0" w:color="FF6600"/>
            </w:tcBorders>
            <w:shd w:val="clear" w:color="auto" w:fill="auto"/>
            <w:vAlign w:val="center"/>
          </w:tcPr>
          <w:p w:rsidR="00656031" w:rsidRPr="00D549CA" w:rsidRDefault="003629A1" w:rsidP="003629A1">
            <w:pPr>
              <w:pStyle w:val="SubTitleLargeTable"/>
              <w:pBdr>
                <w:top w:val="none" w:sz="0" w:space="0" w:color="auto"/>
              </w:pBdr>
              <w:rPr>
                <w:rFonts w:eastAsiaTheme="minorEastAsia"/>
              </w:rPr>
            </w:pPr>
            <w:r w:rsidRPr="00656031">
              <w:rPr>
                <w:color w:val="FF6600"/>
              </w:rPr>
              <w:t>图表</w:t>
            </w:r>
            <w:r w:rsidR="00A214EE">
              <w:rPr>
                <w:rFonts w:eastAsiaTheme="minorEastAsia" w:hint="eastAsia"/>
                <w:color w:val="FF6600"/>
              </w:rPr>
              <w:t>3</w:t>
            </w:r>
            <w:r w:rsidRPr="00656031">
              <w:rPr>
                <w:rFonts w:hint="eastAsia"/>
                <w:color w:val="FF6600"/>
              </w:rPr>
              <w:t>：</w:t>
            </w:r>
            <w:r w:rsidR="00D549CA">
              <w:rPr>
                <w:rFonts w:eastAsiaTheme="minorEastAsia" w:hint="eastAsia"/>
                <w:color w:val="FF6600"/>
              </w:rPr>
              <w:t>10</w:t>
            </w:r>
            <w:r w:rsidR="00D549CA">
              <w:rPr>
                <w:rFonts w:eastAsiaTheme="minorEastAsia" w:hint="eastAsia"/>
                <w:color w:val="FF6600"/>
              </w:rPr>
              <w:t>月份中信</w:t>
            </w:r>
            <w:proofErr w:type="gramStart"/>
            <w:r w:rsidR="00D549CA">
              <w:rPr>
                <w:rFonts w:eastAsiaTheme="minorEastAsia" w:hint="eastAsia"/>
                <w:color w:val="FF6600"/>
              </w:rPr>
              <w:t>一级行业</w:t>
            </w:r>
            <w:proofErr w:type="gramEnd"/>
            <w:r w:rsidR="00D549CA">
              <w:rPr>
                <w:rFonts w:eastAsiaTheme="minorEastAsia" w:hint="eastAsia"/>
                <w:color w:val="FF6600"/>
              </w:rPr>
              <w:t>涨跌对比</w:t>
            </w:r>
          </w:p>
        </w:tc>
      </w:tr>
      <w:tr w:rsidR="008840A4" w:rsidRPr="00837084" w:rsidTr="00D549CA">
        <w:trPr>
          <w:cantSplit/>
          <w:trHeight w:val="3444"/>
        </w:trPr>
        <w:tc>
          <w:tcPr>
            <w:tcW w:w="5272" w:type="dxa"/>
            <w:tcBorders>
              <w:top w:val="single" w:sz="6" w:space="0" w:color="FF6600"/>
              <w:bottom w:val="single" w:sz="6" w:space="0" w:color="FF6600"/>
            </w:tcBorders>
            <w:shd w:val="clear" w:color="auto" w:fill="auto"/>
            <w:vAlign w:val="center"/>
          </w:tcPr>
          <w:p w:rsidR="008840A4" w:rsidRDefault="00B30055" w:rsidP="00705C81">
            <w:pPr>
              <w:jc w:val="center"/>
            </w:pPr>
            <w:r w:rsidRPr="00B30055">
              <w:rPr>
                <w:rFonts w:hint="eastAsia"/>
                <w:noProof/>
              </w:rPr>
              <w:drawing>
                <wp:inline distT="0" distB="0" distL="0" distR="0">
                  <wp:extent cx="3152775" cy="2133600"/>
                  <wp:effectExtent l="19050" t="0" r="9525"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152775" cy="2133600"/>
                          </a:xfrm>
                          <a:prstGeom prst="rect">
                            <a:avLst/>
                          </a:prstGeom>
                          <a:noFill/>
                          <a:ln w="9525">
                            <a:noFill/>
                            <a:miter lim="800000"/>
                            <a:headEnd/>
                            <a:tailEnd/>
                          </a:ln>
                        </pic:spPr>
                      </pic:pic>
                    </a:graphicData>
                  </a:graphic>
                </wp:inline>
              </w:drawing>
            </w:r>
          </w:p>
        </w:tc>
        <w:tc>
          <w:tcPr>
            <w:tcW w:w="227" w:type="dxa"/>
            <w:vAlign w:val="center"/>
          </w:tcPr>
          <w:p w:rsidR="008840A4" w:rsidRPr="00837084" w:rsidRDefault="008840A4" w:rsidP="00705C81">
            <w:pPr>
              <w:jc w:val="center"/>
            </w:pPr>
          </w:p>
        </w:tc>
        <w:tc>
          <w:tcPr>
            <w:tcW w:w="5272" w:type="dxa"/>
            <w:tcBorders>
              <w:top w:val="single" w:sz="6" w:space="0" w:color="FF6600"/>
              <w:bottom w:val="single" w:sz="6" w:space="0" w:color="FF6600"/>
            </w:tcBorders>
            <w:shd w:val="clear" w:color="auto" w:fill="auto"/>
            <w:vAlign w:val="center"/>
          </w:tcPr>
          <w:p w:rsidR="008840A4" w:rsidRPr="00F12D44" w:rsidRDefault="00B30055" w:rsidP="00705C81">
            <w:pPr>
              <w:jc w:val="center"/>
            </w:pPr>
            <w:r w:rsidRPr="00B30055">
              <w:rPr>
                <w:noProof/>
              </w:rPr>
              <w:drawing>
                <wp:inline distT="0" distB="0" distL="0" distR="0">
                  <wp:extent cx="3155315" cy="2014855"/>
                  <wp:effectExtent l="19050" t="0" r="26035" b="4445"/>
                  <wp:docPr id="10" name="图表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rsidR="008840A4" w:rsidRDefault="008840A4" w:rsidP="003629A1">
      <w:pPr>
        <w:pStyle w:val="FootnoteNoline"/>
        <w:ind w:left="0"/>
        <w:jc w:val="left"/>
      </w:pPr>
      <w:r w:rsidRPr="003629A1">
        <w:rPr>
          <w:rFonts w:hint="eastAsia"/>
          <w:color w:val="FF6600"/>
        </w:rPr>
        <w:t>来源：</w:t>
      </w:r>
      <w:proofErr w:type="gramStart"/>
      <w:r w:rsidR="00C806CE" w:rsidRPr="003629A1">
        <w:rPr>
          <w:rFonts w:hint="eastAsia"/>
          <w:color w:val="FF6600"/>
        </w:rPr>
        <w:t>凯</w:t>
      </w:r>
      <w:proofErr w:type="gramEnd"/>
      <w:r w:rsidR="00C806CE" w:rsidRPr="003629A1">
        <w:rPr>
          <w:rFonts w:hint="eastAsia"/>
          <w:color w:val="FF6600"/>
        </w:rPr>
        <w:t>石财富工场</w:t>
      </w:r>
      <w:r>
        <w:rPr>
          <w:rFonts w:hint="eastAsia"/>
        </w:rPr>
        <w:t xml:space="preserve"> </w:t>
      </w:r>
    </w:p>
    <w:p w:rsidR="00622694" w:rsidRPr="00622694" w:rsidRDefault="007B61B8" w:rsidP="00200D9D">
      <w:pPr>
        <w:pStyle w:val="ab"/>
        <w:numPr>
          <w:ilvl w:val="4"/>
          <w:numId w:val="4"/>
        </w:numPr>
        <w:spacing w:after="163"/>
        <w:rPr>
          <w:szCs w:val="21"/>
        </w:rPr>
      </w:pPr>
      <w:r>
        <w:rPr>
          <w:rFonts w:hint="eastAsia"/>
          <w:szCs w:val="21"/>
        </w:rPr>
        <w:t>对冲基金</w:t>
      </w:r>
      <w:r w:rsidR="00E94478">
        <w:rPr>
          <w:rFonts w:hint="eastAsia"/>
          <w:szCs w:val="21"/>
        </w:rPr>
        <w:t>虽</w:t>
      </w:r>
      <w:r>
        <w:rPr>
          <w:rFonts w:hint="eastAsia"/>
          <w:szCs w:val="21"/>
        </w:rPr>
        <w:t>整体具备较明显中小盘风格，</w:t>
      </w:r>
      <w:r w:rsidR="00E94478">
        <w:rPr>
          <w:rFonts w:hint="eastAsia"/>
          <w:szCs w:val="21"/>
        </w:rPr>
        <w:t>但</w:t>
      </w:r>
      <w:r>
        <w:rPr>
          <w:rFonts w:eastAsiaTheme="minorEastAsia" w:hint="eastAsia"/>
          <w:szCs w:val="21"/>
        </w:rPr>
        <w:t>10</w:t>
      </w:r>
      <w:r>
        <w:rPr>
          <w:rFonts w:eastAsiaTheme="minorEastAsia" w:hint="eastAsia"/>
          <w:szCs w:val="21"/>
        </w:rPr>
        <w:t>月份</w:t>
      </w:r>
      <w:proofErr w:type="gramStart"/>
      <w:r w:rsidR="001D6576">
        <w:rPr>
          <w:rFonts w:eastAsiaTheme="minorEastAsia" w:hint="eastAsia"/>
          <w:szCs w:val="21"/>
        </w:rPr>
        <w:t>快速调仓换股</w:t>
      </w:r>
      <w:proofErr w:type="gramEnd"/>
      <w:r w:rsidR="00E94478">
        <w:rPr>
          <w:rFonts w:eastAsiaTheme="minorEastAsia" w:hint="eastAsia"/>
          <w:szCs w:val="21"/>
        </w:rPr>
        <w:t>，</w:t>
      </w:r>
      <w:r>
        <w:rPr>
          <w:rFonts w:eastAsiaTheme="minorEastAsia" w:hint="eastAsia"/>
          <w:szCs w:val="21"/>
        </w:rPr>
        <w:t>并未被中小盘</w:t>
      </w:r>
      <w:r w:rsidR="00E94478">
        <w:rPr>
          <w:rFonts w:eastAsiaTheme="minorEastAsia" w:hint="eastAsia"/>
          <w:szCs w:val="21"/>
        </w:rPr>
        <w:t>的杀跌潮拖累，</w:t>
      </w:r>
      <w:r w:rsidR="002E6C55">
        <w:rPr>
          <w:rFonts w:eastAsiaTheme="minorEastAsia" w:hint="eastAsia"/>
          <w:szCs w:val="21"/>
        </w:rPr>
        <w:t>股票多头策略产品</w:t>
      </w:r>
      <w:r w:rsidR="00E94478">
        <w:rPr>
          <w:rFonts w:eastAsiaTheme="minorEastAsia" w:hint="eastAsia"/>
          <w:szCs w:val="21"/>
        </w:rPr>
        <w:t>平均</w:t>
      </w:r>
      <w:r w:rsidR="00E94478">
        <w:rPr>
          <w:rFonts w:eastAsiaTheme="minorEastAsia" w:hint="eastAsia"/>
          <w:szCs w:val="21"/>
        </w:rPr>
        <w:t>-2.01%</w:t>
      </w:r>
      <w:r w:rsidR="00E94478">
        <w:rPr>
          <w:rFonts w:eastAsiaTheme="minorEastAsia" w:hint="eastAsia"/>
          <w:szCs w:val="21"/>
        </w:rPr>
        <w:t>的业绩与沪深</w:t>
      </w:r>
      <w:r w:rsidR="00E94478">
        <w:rPr>
          <w:rFonts w:eastAsiaTheme="minorEastAsia" w:hint="eastAsia"/>
          <w:szCs w:val="21"/>
        </w:rPr>
        <w:t>300</w:t>
      </w:r>
      <w:r w:rsidR="00E94478">
        <w:rPr>
          <w:rFonts w:eastAsiaTheme="minorEastAsia" w:hint="eastAsia"/>
          <w:szCs w:val="21"/>
        </w:rPr>
        <w:t>基本持平，亦好于同期</w:t>
      </w:r>
      <w:proofErr w:type="gramStart"/>
      <w:r w:rsidR="00E94478">
        <w:rPr>
          <w:rFonts w:eastAsiaTheme="minorEastAsia" w:hint="eastAsia"/>
          <w:szCs w:val="21"/>
        </w:rPr>
        <w:t>偏股类公</w:t>
      </w:r>
      <w:proofErr w:type="gramEnd"/>
      <w:r w:rsidR="00E94478">
        <w:rPr>
          <w:rFonts w:eastAsiaTheme="minorEastAsia" w:hint="eastAsia"/>
          <w:szCs w:val="21"/>
        </w:rPr>
        <w:t>募基金。</w:t>
      </w:r>
    </w:p>
    <w:tbl>
      <w:tblPr>
        <w:tblW w:w="7442" w:type="dxa"/>
        <w:tblInd w:w="3402" w:type="dxa"/>
        <w:tblBorders>
          <w:top w:val="single" w:sz="6" w:space="0" w:color="FF6600"/>
          <w:bottom w:val="single" w:sz="6" w:space="0" w:color="FF6600"/>
          <w:insideH w:val="single" w:sz="6" w:space="0" w:color="FF6600"/>
        </w:tblBorders>
        <w:tblLayout w:type="fixed"/>
        <w:tblCellMar>
          <w:left w:w="0" w:type="dxa"/>
          <w:right w:w="0" w:type="dxa"/>
        </w:tblCellMar>
        <w:tblLook w:val="0000"/>
      </w:tblPr>
      <w:tblGrid>
        <w:gridCol w:w="7442"/>
      </w:tblGrid>
      <w:tr w:rsidR="00622694" w:rsidTr="00920E96">
        <w:trPr>
          <w:cantSplit/>
          <w:trHeight w:val="65"/>
        </w:trPr>
        <w:tc>
          <w:tcPr>
            <w:tcW w:w="7442" w:type="dxa"/>
            <w:shd w:val="clear" w:color="auto" w:fill="auto"/>
            <w:vAlign w:val="center"/>
          </w:tcPr>
          <w:p w:rsidR="00622694" w:rsidRPr="001201B9" w:rsidRDefault="00622694" w:rsidP="00920E96">
            <w:pPr>
              <w:pStyle w:val="SubTitleLargeTable"/>
              <w:pBdr>
                <w:top w:val="none" w:sz="0" w:space="0" w:color="auto"/>
              </w:pBdr>
              <w:rPr>
                <w:rFonts w:ascii="宋体" w:eastAsiaTheme="minorEastAsia" w:hAnsi="宋体"/>
                <w:b w:val="0"/>
                <w:color w:val="FF6600"/>
              </w:rPr>
            </w:pPr>
            <w:r w:rsidRPr="00656031">
              <w:rPr>
                <w:rFonts w:ascii="宋体" w:eastAsia="宋体" w:hAnsi="宋体" w:cs="宋体" w:hint="eastAsia"/>
                <w:color w:val="FF6600"/>
              </w:rPr>
              <w:t>图表</w:t>
            </w:r>
            <w:r w:rsidR="003C328F">
              <w:rPr>
                <w:rFonts w:eastAsiaTheme="minorEastAsia" w:hint="eastAsia"/>
                <w:color w:val="FF6600"/>
              </w:rPr>
              <w:t>4</w:t>
            </w:r>
            <w:r w:rsidRPr="00656031">
              <w:rPr>
                <w:rFonts w:ascii="宋体" w:eastAsia="宋体" w:hAnsi="宋体" w:cs="宋体" w:hint="eastAsia"/>
                <w:color w:val="FF6600"/>
              </w:rPr>
              <w:t>：</w:t>
            </w:r>
            <w:r w:rsidR="001201B9">
              <w:rPr>
                <w:rFonts w:eastAsiaTheme="minorEastAsia" w:hint="eastAsia"/>
                <w:color w:val="FF6600"/>
              </w:rPr>
              <w:t>10</w:t>
            </w:r>
            <w:r w:rsidR="001201B9">
              <w:rPr>
                <w:rFonts w:eastAsiaTheme="minorEastAsia" w:hint="eastAsia"/>
                <w:color w:val="FF6600"/>
              </w:rPr>
              <w:t>月份各指数及</w:t>
            </w:r>
            <w:r w:rsidR="003C328F">
              <w:rPr>
                <w:rFonts w:eastAsiaTheme="minorEastAsia" w:hint="eastAsia"/>
                <w:color w:val="FF6600"/>
              </w:rPr>
              <w:t>各类金融产品涨跌对比</w:t>
            </w:r>
          </w:p>
        </w:tc>
      </w:tr>
      <w:tr w:rsidR="00622694" w:rsidTr="00920E96">
        <w:trPr>
          <w:cantSplit/>
          <w:trHeight w:val="3169"/>
        </w:trPr>
        <w:tc>
          <w:tcPr>
            <w:tcW w:w="7442" w:type="dxa"/>
            <w:shd w:val="clear" w:color="auto" w:fill="auto"/>
            <w:vAlign w:val="center"/>
          </w:tcPr>
          <w:p w:rsidR="00622694" w:rsidRPr="00921371" w:rsidRDefault="00A8660A" w:rsidP="00920E96">
            <w:pPr>
              <w:snapToGrid w:val="0"/>
              <w:spacing w:line="10" w:lineRule="atLeast"/>
              <w:jc w:val="center"/>
              <w:rPr>
                <w:rFonts w:ascii="宋体" w:eastAsia="宋体" w:hAnsi="宋体"/>
                <w:b/>
              </w:rPr>
            </w:pPr>
            <w:r w:rsidRPr="00A8660A">
              <w:rPr>
                <w:rFonts w:ascii="宋体" w:eastAsia="宋体" w:hAnsi="宋体"/>
                <w:b/>
                <w:noProof/>
              </w:rPr>
              <w:drawing>
                <wp:inline distT="0" distB="0" distL="0" distR="0">
                  <wp:extent cx="4705350" cy="2609850"/>
                  <wp:effectExtent l="19050" t="0" r="19050" b="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rsidR="00622694" w:rsidRPr="00656031" w:rsidRDefault="00622694" w:rsidP="00622694">
      <w:pPr>
        <w:pStyle w:val="FootnoteNoline"/>
        <w:rPr>
          <w:color w:val="FF6600"/>
        </w:rPr>
      </w:pPr>
      <w:r w:rsidRPr="00656031">
        <w:rPr>
          <w:rFonts w:ascii="宋体" w:eastAsia="宋体" w:hAnsi="宋体" w:cs="宋体" w:hint="eastAsia"/>
          <w:color w:val="FF6600"/>
        </w:rPr>
        <w:t>来源：</w:t>
      </w:r>
      <w:proofErr w:type="gramStart"/>
      <w:r w:rsidRPr="00656031">
        <w:rPr>
          <w:rFonts w:ascii="宋体" w:eastAsia="宋体" w:hAnsi="宋体" w:cs="宋体" w:hint="eastAsia"/>
          <w:color w:val="FF6600"/>
        </w:rPr>
        <w:t>凯</w:t>
      </w:r>
      <w:proofErr w:type="gramEnd"/>
      <w:r w:rsidRPr="00656031">
        <w:rPr>
          <w:rFonts w:ascii="宋体" w:eastAsia="宋体" w:hAnsi="宋体" w:cs="宋体" w:hint="eastAsia"/>
          <w:color w:val="FF6600"/>
        </w:rPr>
        <w:t>石财富工场</w:t>
      </w:r>
    </w:p>
    <w:p w:rsidR="008A624E" w:rsidRPr="008A624E" w:rsidRDefault="008A624E" w:rsidP="008A624E">
      <w:pPr>
        <w:pStyle w:val="ab"/>
        <w:spacing w:after="163"/>
        <w:rPr>
          <w:szCs w:val="21"/>
        </w:rPr>
      </w:pPr>
      <w:r>
        <w:rPr>
          <w:rFonts w:ascii="宋体" w:eastAsia="宋体" w:hAnsi="宋体" w:cs="宋体" w:hint="eastAsia"/>
          <w:b/>
          <w:bCs/>
          <w:color w:val="0070C0"/>
          <w:szCs w:val="21"/>
        </w:rPr>
        <w:t>绩优者风险偏高，蓝</w:t>
      </w:r>
      <w:proofErr w:type="gramStart"/>
      <w:r>
        <w:rPr>
          <w:rFonts w:ascii="宋体" w:eastAsia="宋体" w:hAnsi="宋体" w:cs="宋体" w:hint="eastAsia"/>
          <w:b/>
          <w:bCs/>
          <w:color w:val="0070C0"/>
          <w:szCs w:val="21"/>
        </w:rPr>
        <w:t>筹派创造</w:t>
      </w:r>
      <w:proofErr w:type="gramEnd"/>
      <w:r>
        <w:rPr>
          <w:rFonts w:ascii="宋体" w:eastAsia="宋体" w:hAnsi="宋体" w:cs="宋体" w:hint="eastAsia"/>
          <w:b/>
          <w:bCs/>
          <w:color w:val="0070C0"/>
          <w:szCs w:val="21"/>
        </w:rPr>
        <w:t>佳绩</w:t>
      </w:r>
    </w:p>
    <w:p w:rsidR="00607450" w:rsidRPr="00607450" w:rsidRDefault="002E6C55" w:rsidP="00200D9D">
      <w:pPr>
        <w:pStyle w:val="ab"/>
        <w:numPr>
          <w:ilvl w:val="4"/>
          <w:numId w:val="4"/>
        </w:numPr>
        <w:spacing w:after="163"/>
        <w:rPr>
          <w:szCs w:val="21"/>
        </w:rPr>
      </w:pPr>
      <w:r>
        <w:rPr>
          <w:rFonts w:hint="eastAsia"/>
          <w:szCs w:val="21"/>
        </w:rPr>
        <w:t>股票多头策略</w:t>
      </w:r>
      <w:r>
        <w:rPr>
          <w:rFonts w:hint="eastAsia"/>
          <w:szCs w:val="21"/>
        </w:rPr>
        <w:t>-</w:t>
      </w:r>
      <w:r w:rsidR="00E94478">
        <w:rPr>
          <w:rFonts w:hint="eastAsia"/>
          <w:szCs w:val="21"/>
        </w:rPr>
        <w:t>管理型对冲基金</w:t>
      </w:r>
      <w:r w:rsidR="00200D9D" w:rsidRPr="006E138D">
        <w:rPr>
          <w:rFonts w:hint="eastAsia"/>
          <w:szCs w:val="21"/>
        </w:rPr>
        <w:t>10</w:t>
      </w:r>
      <w:r w:rsidR="00200D9D" w:rsidRPr="006E138D">
        <w:rPr>
          <w:rFonts w:hint="eastAsia"/>
          <w:szCs w:val="21"/>
        </w:rPr>
        <w:t>月</w:t>
      </w:r>
      <w:r w:rsidR="00E94478">
        <w:rPr>
          <w:rFonts w:hint="eastAsia"/>
          <w:szCs w:val="21"/>
        </w:rPr>
        <w:t>份平均收益</w:t>
      </w:r>
      <w:r w:rsidR="00200D9D" w:rsidRPr="006E138D">
        <w:rPr>
          <w:rFonts w:hint="eastAsia"/>
          <w:szCs w:val="21"/>
        </w:rPr>
        <w:t>-1.95%</w:t>
      </w:r>
      <w:r w:rsidR="00200D9D" w:rsidRPr="006E138D">
        <w:rPr>
          <w:rFonts w:hint="eastAsia"/>
          <w:szCs w:val="21"/>
        </w:rPr>
        <w:t>。</w:t>
      </w:r>
      <w:r w:rsidR="005A05FA">
        <w:rPr>
          <w:rFonts w:hint="eastAsia"/>
          <w:szCs w:val="21"/>
        </w:rPr>
        <w:t>据</w:t>
      </w:r>
      <w:proofErr w:type="gramStart"/>
      <w:r w:rsidR="00E94478">
        <w:rPr>
          <w:rFonts w:hint="eastAsia"/>
          <w:szCs w:val="21"/>
        </w:rPr>
        <w:t>凯石工场</w:t>
      </w:r>
      <w:proofErr w:type="gramEnd"/>
      <w:r w:rsidR="005A05FA">
        <w:rPr>
          <w:rFonts w:hint="eastAsia"/>
          <w:szCs w:val="21"/>
        </w:rPr>
        <w:t>统计显示，约三成产品实现</w:t>
      </w:r>
      <w:r>
        <w:rPr>
          <w:rFonts w:hint="eastAsia"/>
          <w:szCs w:val="21"/>
        </w:rPr>
        <w:t>正收益，</w:t>
      </w:r>
      <w:r w:rsidR="00200D9D" w:rsidRPr="006E138D">
        <w:rPr>
          <w:rFonts w:hint="eastAsia"/>
          <w:szCs w:val="21"/>
        </w:rPr>
        <w:t>8</w:t>
      </w:r>
      <w:r w:rsidR="005A05FA">
        <w:rPr>
          <w:rFonts w:hint="eastAsia"/>
          <w:szCs w:val="21"/>
        </w:rPr>
        <w:t>只涨幅</w:t>
      </w:r>
      <w:r w:rsidR="00200D9D" w:rsidRPr="006E138D">
        <w:rPr>
          <w:rFonts w:hint="eastAsia"/>
          <w:szCs w:val="21"/>
        </w:rPr>
        <w:t>超过</w:t>
      </w:r>
      <w:r w:rsidR="00200D9D" w:rsidRPr="006E138D">
        <w:rPr>
          <w:rFonts w:hint="eastAsia"/>
          <w:szCs w:val="21"/>
        </w:rPr>
        <w:t>10%</w:t>
      </w:r>
      <w:r w:rsidR="00200D9D" w:rsidRPr="006E138D">
        <w:rPr>
          <w:rFonts w:hint="eastAsia"/>
          <w:szCs w:val="21"/>
        </w:rPr>
        <w:t>，</w:t>
      </w:r>
      <w:r w:rsidR="005A05FA">
        <w:rPr>
          <w:rFonts w:hint="eastAsia"/>
          <w:szCs w:val="21"/>
        </w:rPr>
        <w:t>约有五成产品的收益率落在</w:t>
      </w:r>
      <w:r w:rsidR="005A05FA">
        <w:rPr>
          <w:rFonts w:hint="eastAsia"/>
          <w:szCs w:val="21"/>
        </w:rPr>
        <w:t>-</w:t>
      </w:r>
      <w:r w:rsidR="005A05FA">
        <w:rPr>
          <w:rFonts w:eastAsiaTheme="minorEastAsia" w:hint="eastAsia"/>
          <w:szCs w:val="21"/>
        </w:rPr>
        <w:t>5%~0%</w:t>
      </w:r>
      <w:r w:rsidR="005A05FA">
        <w:rPr>
          <w:rFonts w:eastAsiaTheme="minorEastAsia" w:hint="eastAsia"/>
          <w:szCs w:val="21"/>
        </w:rPr>
        <w:t>区间。</w:t>
      </w:r>
      <w:r w:rsidR="000F36A6">
        <w:rPr>
          <w:rFonts w:eastAsiaTheme="minorEastAsia" w:hint="eastAsia"/>
          <w:szCs w:val="21"/>
        </w:rPr>
        <w:t>当月领跑的多为</w:t>
      </w:r>
      <w:r w:rsidR="000F36A6" w:rsidRPr="006465B5">
        <w:rPr>
          <w:rFonts w:ascii="宋体" w:eastAsia="宋体" w:hAnsi="宋体" w:cs="宋体" w:hint="eastAsia"/>
          <w:szCs w:val="21"/>
        </w:rPr>
        <w:t>老牌</w:t>
      </w:r>
      <w:r w:rsidR="00EB2176">
        <w:rPr>
          <w:rFonts w:ascii="宋体" w:eastAsia="宋体" w:hAnsi="宋体" w:cs="宋体" w:hint="eastAsia"/>
          <w:szCs w:val="21"/>
        </w:rPr>
        <w:t>知名</w:t>
      </w:r>
      <w:r>
        <w:rPr>
          <w:rFonts w:ascii="宋体" w:eastAsia="宋体" w:hAnsi="宋体" w:cs="宋体" w:hint="eastAsia"/>
          <w:szCs w:val="21"/>
        </w:rPr>
        <w:t>基金</w:t>
      </w:r>
      <w:r w:rsidR="00891D61">
        <w:rPr>
          <w:rFonts w:ascii="宋体" w:eastAsia="宋体" w:hAnsi="宋体" w:cs="宋体" w:hint="eastAsia"/>
          <w:szCs w:val="21"/>
        </w:rPr>
        <w:t>，涌峰、</w:t>
      </w:r>
      <w:r w:rsidR="000F36A6">
        <w:rPr>
          <w:rFonts w:ascii="宋体" w:eastAsia="宋体" w:hAnsi="宋体" w:cs="宋体" w:hint="eastAsia"/>
          <w:szCs w:val="21"/>
        </w:rPr>
        <w:t>尚雅</w:t>
      </w:r>
      <w:r w:rsidR="000F36A6" w:rsidRPr="006465B5">
        <w:rPr>
          <w:rFonts w:ascii="宋体" w:eastAsia="宋体" w:hAnsi="宋体" w:cs="宋体" w:hint="eastAsia"/>
          <w:szCs w:val="21"/>
        </w:rPr>
        <w:t>分别有</w:t>
      </w:r>
      <w:r w:rsidR="000F36A6" w:rsidRPr="000F36A6">
        <w:rPr>
          <w:szCs w:val="21"/>
        </w:rPr>
        <w:t>5</w:t>
      </w:r>
      <w:r w:rsidR="000F36A6" w:rsidRPr="000F36A6">
        <w:rPr>
          <w:rFonts w:hint="eastAsia"/>
          <w:szCs w:val="21"/>
        </w:rPr>
        <w:t>只、</w:t>
      </w:r>
      <w:r w:rsidR="000F36A6" w:rsidRPr="000F36A6">
        <w:rPr>
          <w:rFonts w:hint="eastAsia"/>
          <w:szCs w:val="21"/>
        </w:rPr>
        <w:t>2</w:t>
      </w:r>
      <w:r w:rsidR="000F36A6" w:rsidRPr="000F36A6">
        <w:rPr>
          <w:rFonts w:hint="eastAsia"/>
          <w:szCs w:val="21"/>
        </w:rPr>
        <w:t>只产品业绩排名居前</w:t>
      </w:r>
      <w:r w:rsidR="000F36A6" w:rsidRPr="000F36A6">
        <w:rPr>
          <w:rFonts w:hint="eastAsia"/>
          <w:szCs w:val="21"/>
        </w:rPr>
        <w:t>20</w:t>
      </w:r>
      <w:r w:rsidR="00891D61">
        <w:rPr>
          <w:rFonts w:hint="eastAsia"/>
          <w:szCs w:val="21"/>
        </w:rPr>
        <w:t>，</w:t>
      </w:r>
      <w:r w:rsidR="00891D61">
        <w:rPr>
          <w:rFonts w:eastAsiaTheme="minorEastAsia" w:hint="eastAsia"/>
          <w:szCs w:val="21"/>
        </w:rPr>
        <w:t>股市的风格逆转亦促成了重阳等蓝</w:t>
      </w:r>
      <w:proofErr w:type="gramStart"/>
      <w:r w:rsidR="00891D61">
        <w:rPr>
          <w:rFonts w:eastAsiaTheme="minorEastAsia" w:hint="eastAsia"/>
          <w:szCs w:val="21"/>
        </w:rPr>
        <w:t>筹风格</w:t>
      </w:r>
      <w:proofErr w:type="gramEnd"/>
      <w:r w:rsidR="00891D61">
        <w:rPr>
          <w:rFonts w:eastAsiaTheme="minorEastAsia" w:hint="eastAsia"/>
          <w:szCs w:val="21"/>
        </w:rPr>
        <w:t>基金的佳绩。</w:t>
      </w:r>
      <w:r w:rsidR="00C9278F">
        <w:rPr>
          <w:rFonts w:hint="eastAsia"/>
          <w:szCs w:val="21"/>
        </w:rPr>
        <w:t>值得注意的是，月度排名靠前的</w:t>
      </w:r>
      <w:r w:rsidR="00891D61">
        <w:rPr>
          <w:rFonts w:hint="eastAsia"/>
          <w:szCs w:val="21"/>
        </w:rPr>
        <w:t>有</w:t>
      </w:r>
      <w:r w:rsidR="00C9278F">
        <w:rPr>
          <w:rFonts w:hint="eastAsia"/>
          <w:szCs w:val="21"/>
        </w:rPr>
        <w:t>部分产品</w:t>
      </w:r>
      <w:r w:rsidR="00891D61">
        <w:rPr>
          <w:rFonts w:hint="eastAsia"/>
          <w:szCs w:val="21"/>
        </w:rPr>
        <w:t>历史净值波动颇大</w:t>
      </w:r>
      <w:r w:rsidR="000F36A6">
        <w:rPr>
          <w:rFonts w:hint="eastAsia"/>
          <w:szCs w:val="21"/>
        </w:rPr>
        <w:t>，在</w:t>
      </w:r>
      <w:proofErr w:type="gramStart"/>
      <w:r w:rsidR="000F36A6">
        <w:rPr>
          <w:rFonts w:hint="eastAsia"/>
          <w:szCs w:val="21"/>
        </w:rPr>
        <w:t>凯石工场</w:t>
      </w:r>
      <w:proofErr w:type="gramEnd"/>
      <w:r w:rsidR="000F36A6">
        <w:rPr>
          <w:rFonts w:hint="eastAsia"/>
          <w:szCs w:val="21"/>
        </w:rPr>
        <w:t>风险评价中基本处于“高风险”、“中高风险”等级。</w:t>
      </w:r>
    </w:p>
    <w:p w:rsidR="00607450" w:rsidRPr="00607450" w:rsidRDefault="005A05FA" w:rsidP="00607450">
      <w:pPr>
        <w:pStyle w:val="ab"/>
        <w:numPr>
          <w:ilvl w:val="0"/>
          <w:numId w:val="5"/>
        </w:numPr>
        <w:spacing w:after="163"/>
        <w:rPr>
          <w:szCs w:val="21"/>
        </w:rPr>
      </w:pPr>
      <w:r w:rsidRPr="00607450">
        <w:rPr>
          <w:rFonts w:hint="eastAsia"/>
          <w:szCs w:val="21"/>
        </w:rPr>
        <w:t>深国投•尚雅</w:t>
      </w:r>
      <w:r w:rsidRPr="00607450">
        <w:rPr>
          <w:rFonts w:hint="eastAsia"/>
          <w:szCs w:val="21"/>
        </w:rPr>
        <w:t>2</w:t>
      </w:r>
      <w:r w:rsidRPr="00607450">
        <w:rPr>
          <w:rFonts w:hint="eastAsia"/>
          <w:szCs w:val="21"/>
        </w:rPr>
        <w:t>期以</w:t>
      </w:r>
      <w:r w:rsidR="00200D9D" w:rsidRPr="00607450">
        <w:rPr>
          <w:rFonts w:hint="eastAsia"/>
          <w:szCs w:val="21"/>
        </w:rPr>
        <w:t>14.67%</w:t>
      </w:r>
      <w:r w:rsidRPr="00607450">
        <w:rPr>
          <w:rFonts w:hint="eastAsia"/>
          <w:szCs w:val="21"/>
        </w:rPr>
        <w:t>的收益拔得头筹</w:t>
      </w:r>
      <w:r w:rsidR="00607450">
        <w:rPr>
          <w:rFonts w:hint="eastAsia"/>
          <w:szCs w:val="21"/>
        </w:rPr>
        <w:t>。</w:t>
      </w:r>
      <w:r w:rsidRPr="00607450">
        <w:rPr>
          <w:rFonts w:hint="eastAsia"/>
          <w:szCs w:val="21"/>
        </w:rPr>
        <w:t>该产品运作近</w:t>
      </w:r>
      <w:r w:rsidRPr="00607450">
        <w:rPr>
          <w:rFonts w:hint="eastAsia"/>
          <w:szCs w:val="21"/>
        </w:rPr>
        <w:t>6</w:t>
      </w:r>
      <w:r w:rsidRPr="00607450">
        <w:rPr>
          <w:rFonts w:hint="eastAsia"/>
          <w:szCs w:val="21"/>
        </w:rPr>
        <w:t>年</w:t>
      </w:r>
      <w:r w:rsidR="00200D9D" w:rsidRPr="00607450">
        <w:rPr>
          <w:rFonts w:hint="eastAsia"/>
          <w:szCs w:val="21"/>
        </w:rPr>
        <w:t>，</w:t>
      </w:r>
      <w:r w:rsidRPr="00607450">
        <w:rPr>
          <w:rFonts w:hint="eastAsia"/>
          <w:szCs w:val="21"/>
        </w:rPr>
        <w:t>累积收益</w:t>
      </w:r>
      <w:r w:rsidR="005766CD" w:rsidRPr="00607450">
        <w:rPr>
          <w:rFonts w:hint="eastAsia"/>
          <w:szCs w:val="21"/>
        </w:rPr>
        <w:t>42</w:t>
      </w:r>
      <w:r w:rsidRPr="00607450">
        <w:rPr>
          <w:rFonts w:hint="eastAsia"/>
          <w:szCs w:val="21"/>
        </w:rPr>
        <w:t>%</w:t>
      </w:r>
      <w:r w:rsidRPr="00607450">
        <w:rPr>
          <w:rFonts w:hint="eastAsia"/>
          <w:szCs w:val="21"/>
        </w:rPr>
        <w:t>，然而</w:t>
      </w:r>
      <w:r w:rsidR="00200D9D" w:rsidRPr="00607450">
        <w:rPr>
          <w:rFonts w:hint="eastAsia"/>
          <w:szCs w:val="21"/>
        </w:rPr>
        <w:t>2012</w:t>
      </w:r>
      <w:r w:rsidRPr="00607450">
        <w:rPr>
          <w:rFonts w:hint="eastAsia"/>
          <w:szCs w:val="21"/>
        </w:rPr>
        <w:t>年</w:t>
      </w:r>
      <w:r w:rsidR="00200D9D" w:rsidRPr="00607450">
        <w:rPr>
          <w:rFonts w:hint="eastAsia"/>
          <w:szCs w:val="21"/>
        </w:rPr>
        <w:t>排名居后</w:t>
      </w:r>
      <w:r w:rsidR="00200D9D" w:rsidRPr="00607450">
        <w:rPr>
          <w:rFonts w:hint="eastAsia"/>
          <w:szCs w:val="21"/>
        </w:rPr>
        <w:t>10%</w:t>
      </w:r>
      <w:r w:rsidR="005766CD" w:rsidRPr="00607450">
        <w:rPr>
          <w:rFonts w:hint="eastAsia"/>
          <w:szCs w:val="21"/>
        </w:rPr>
        <w:t>，历史净值波动</w:t>
      </w:r>
      <w:r w:rsidRPr="00607450">
        <w:rPr>
          <w:rFonts w:hint="eastAsia"/>
          <w:szCs w:val="21"/>
        </w:rPr>
        <w:t>偏</w:t>
      </w:r>
      <w:r w:rsidR="00200D9D" w:rsidRPr="00607450">
        <w:rPr>
          <w:rFonts w:hint="eastAsia"/>
          <w:szCs w:val="21"/>
        </w:rPr>
        <w:t>大</w:t>
      </w:r>
      <w:r w:rsidR="005766CD" w:rsidRPr="00607450">
        <w:rPr>
          <w:rFonts w:hint="eastAsia"/>
          <w:szCs w:val="21"/>
        </w:rPr>
        <w:t>，在</w:t>
      </w:r>
      <w:proofErr w:type="gramStart"/>
      <w:r w:rsidR="005766CD" w:rsidRPr="00607450">
        <w:rPr>
          <w:rFonts w:hint="eastAsia"/>
          <w:szCs w:val="21"/>
        </w:rPr>
        <w:t>凯</w:t>
      </w:r>
      <w:proofErr w:type="gramEnd"/>
      <w:r w:rsidR="005766CD" w:rsidRPr="00607450">
        <w:rPr>
          <w:rFonts w:hint="eastAsia"/>
          <w:szCs w:val="21"/>
        </w:rPr>
        <w:t>石对冲基金风险评价中被评为“高风险”等级</w:t>
      </w:r>
      <w:r w:rsidR="00200D9D" w:rsidRPr="00607450">
        <w:rPr>
          <w:rFonts w:hint="eastAsia"/>
          <w:szCs w:val="21"/>
        </w:rPr>
        <w:t>。除尚雅</w:t>
      </w:r>
      <w:r w:rsidR="00200D9D" w:rsidRPr="00607450">
        <w:rPr>
          <w:rFonts w:hint="eastAsia"/>
          <w:szCs w:val="21"/>
        </w:rPr>
        <w:t>2</w:t>
      </w:r>
      <w:r w:rsidR="00200D9D" w:rsidRPr="00607450">
        <w:rPr>
          <w:rFonts w:hint="eastAsia"/>
          <w:szCs w:val="21"/>
        </w:rPr>
        <w:t>期以外，</w:t>
      </w:r>
      <w:r w:rsidR="005766CD" w:rsidRPr="00607450">
        <w:rPr>
          <w:rFonts w:hint="eastAsia"/>
          <w:szCs w:val="21"/>
        </w:rPr>
        <w:t>尚雅</w:t>
      </w:r>
      <w:r w:rsidR="00200D9D" w:rsidRPr="00607450">
        <w:rPr>
          <w:rFonts w:hint="eastAsia"/>
          <w:szCs w:val="21"/>
        </w:rPr>
        <w:t>另有</w:t>
      </w:r>
      <w:r w:rsidR="00200D9D" w:rsidRPr="00607450">
        <w:rPr>
          <w:rFonts w:hint="eastAsia"/>
          <w:szCs w:val="21"/>
        </w:rPr>
        <w:t>6</w:t>
      </w:r>
      <w:r w:rsidR="00200D9D" w:rsidRPr="00607450">
        <w:rPr>
          <w:rFonts w:hint="eastAsia"/>
          <w:szCs w:val="21"/>
        </w:rPr>
        <w:t>只产品</w:t>
      </w:r>
      <w:r w:rsidR="005766CD" w:rsidRPr="00607450">
        <w:rPr>
          <w:rFonts w:hint="eastAsia"/>
          <w:szCs w:val="21"/>
        </w:rPr>
        <w:t>10</w:t>
      </w:r>
      <w:r w:rsidR="005766CD" w:rsidRPr="00607450">
        <w:rPr>
          <w:rFonts w:hint="eastAsia"/>
          <w:szCs w:val="21"/>
        </w:rPr>
        <w:t>月份</w:t>
      </w:r>
      <w:r w:rsidR="00200D9D" w:rsidRPr="00607450">
        <w:rPr>
          <w:rFonts w:hint="eastAsia"/>
          <w:szCs w:val="21"/>
        </w:rPr>
        <w:t>收益率超过</w:t>
      </w:r>
      <w:r w:rsidR="00200D9D" w:rsidRPr="00607450">
        <w:rPr>
          <w:rFonts w:hint="eastAsia"/>
          <w:szCs w:val="21"/>
        </w:rPr>
        <w:t>7%</w:t>
      </w:r>
      <w:r w:rsidR="00200D9D" w:rsidRPr="00607450">
        <w:rPr>
          <w:rFonts w:hint="eastAsia"/>
          <w:szCs w:val="21"/>
        </w:rPr>
        <w:t>。</w:t>
      </w:r>
      <w:r w:rsidR="005766CD" w:rsidRPr="00607450">
        <w:rPr>
          <w:rFonts w:hint="eastAsia"/>
          <w:szCs w:val="21"/>
        </w:rPr>
        <w:t>作为国内对冲基金的老牌选手，尚雅多年来积极关注政策支持下的战略新兴行业，配置相关产业背景的研究人员以对其中细分领域进行独立深入的分析，对于新兴产业当中的板块轮</w:t>
      </w:r>
      <w:proofErr w:type="gramStart"/>
      <w:r w:rsidR="005766CD" w:rsidRPr="00607450">
        <w:rPr>
          <w:rFonts w:hint="eastAsia"/>
          <w:szCs w:val="21"/>
        </w:rPr>
        <w:t>动行情</w:t>
      </w:r>
      <w:proofErr w:type="gramEnd"/>
      <w:r w:rsidR="005766CD" w:rsidRPr="00607450">
        <w:rPr>
          <w:rFonts w:hint="eastAsia"/>
          <w:szCs w:val="21"/>
        </w:rPr>
        <w:t>把握较好。</w:t>
      </w:r>
    </w:p>
    <w:p w:rsidR="00607450" w:rsidRPr="00607450" w:rsidRDefault="00607450" w:rsidP="00607450">
      <w:pPr>
        <w:pStyle w:val="ab"/>
        <w:numPr>
          <w:ilvl w:val="0"/>
          <w:numId w:val="5"/>
        </w:numPr>
        <w:spacing w:after="163"/>
        <w:rPr>
          <w:szCs w:val="21"/>
        </w:rPr>
      </w:pPr>
      <w:r>
        <w:rPr>
          <w:rFonts w:hint="eastAsia"/>
          <w:szCs w:val="21"/>
        </w:rPr>
        <w:lastRenderedPageBreak/>
        <w:t>涨幅紧随其后的</w:t>
      </w:r>
      <w:r w:rsidR="00200D9D" w:rsidRPr="00607450">
        <w:rPr>
          <w:rFonts w:hint="eastAsia"/>
          <w:szCs w:val="21"/>
        </w:rPr>
        <w:t>西安信托</w:t>
      </w:r>
      <w:proofErr w:type="gramStart"/>
      <w:r w:rsidR="00200D9D" w:rsidRPr="00607450">
        <w:rPr>
          <w:rFonts w:hint="eastAsia"/>
          <w:szCs w:val="21"/>
        </w:rPr>
        <w:t>•鸿逸</w:t>
      </w:r>
      <w:r w:rsidR="00200D9D" w:rsidRPr="00607450">
        <w:rPr>
          <w:rFonts w:hint="eastAsia"/>
          <w:szCs w:val="21"/>
        </w:rPr>
        <w:t>1</w:t>
      </w:r>
      <w:r w:rsidR="00200D9D" w:rsidRPr="00607450">
        <w:rPr>
          <w:rFonts w:hint="eastAsia"/>
          <w:szCs w:val="21"/>
        </w:rPr>
        <w:t>号</w:t>
      </w:r>
      <w:proofErr w:type="gramEnd"/>
      <w:r>
        <w:rPr>
          <w:rFonts w:hint="eastAsia"/>
          <w:szCs w:val="21"/>
        </w:rPr>
        <w:t>月度收益</w:t>
      </w:r>
      <w:r>
        <w:rPr>
          <w:rFonts w:eastAsiaTheme="minorEastAsia" w:hint="eastAsia"/>
          <w:szCs w:val="21"/>
        </w:rPr>
        <w:t>14.37%</w:t>
      </w:r>
      <w:r>
        <w:rPr>
          <w:rFonts w:eastAsiaTheme="minorEastAsia" w:hint="eastAsia"/>
          <w:szCs w:val="21"/>
        </w:rPr>
        <w:t>，同样属于“高风险”等级，业绩波动较大。该产品</w:t>
      </w:r>
      <w:r w:rsidRPr="00607450">
        <w:rPr>
          <w:rFonts w:hint="eastAsia"/>
          <w:szCs w:val="21"/>
        </w:rPr>
        <w:t>成立于</w:t>
      </w:r>
      <w:r w:rsidRPr="00607450">
        <w:rPr>
          <w:rFonts w:hint="eastAsia"/>
          <w:szCs w:val="21"/>
        </w:rPr>
        <w:t>2010</w:t>
      </w:r>
      <w:r w:rsidRPr="00607450">
        <w:rPr>
          <w:rFonts w:hint="eastAsia"/>
          <w:szCs w:val="21"/>
        </w:rPr>
        <w:t>年底，</w:t>
      </w:r>
      <w:r w:rsidRPr="00607450">
        <w:rPr>
          <w:rFonts w:hint="eastAsia"/>
          <w:szCs w:val="21"/>
        </w:rPr>
        <w:t>2011</w:t>
      </w:r>
      <w:r w:rsidRPr="00607450">
        <w:rPr>
          <w:rFonts w:hint="eastAsia"/>
          <w:szCs w:val="21"/>
        </w:rPr>
        <w:t>年和</w:t>
      </w:r>
      <w:r w:rsidRPr="00607450">
        <w:rPr>
          <w:rFonts w:hint="eastAsia"/>
          <w:szCs w:val="21"/>
        </w:rPr>
        <w:t>2012</w:t>
      </w:r>
      <w:r w:rsidRPr="00607450">
        <w:rPr>
          <w:rFonts w:hint="eastAsia"/>
          <w:szCs w:val="21"/>
        </w:rPr>
        <w:t>年收益率分别为</w:t>
      </w:r>
      <w:r w:rsidRPr="00607450">
        <w:rPr>
          <w:rFonts w:hint="eastAsia"/>
          <w:szCs w:val="21"/>
        </w:rPr>
        <w:t>-38.76%</w:t>
      </w:r>
      <w:r w:rsidRPr="00607450">
        <w:rPr>
          <w:rFonts w:hint="eastAsia"/>
          <w:szCs w:val="21"/>
        </w:rPr>
        <w:t>和</w:t>
      </w:r>
      <w:r w:rsidRPr="00607450">
        <w:rPr>
          <w:rFonts w:hint="eastAsia"/>
          <w:szCs w:val="21"/>
        </w:rPr>
        <w:t>-19.77%</w:t>
      </w:r>
      <w:r w:rsidRPr="00607450">
        <w:rPr>
          <w:rFonts w:hint="eastAsia"/>
          <w:szCs w:val="21"/>
        </w:rPr>
        <w:t>，排名居后</w:t>
      </w:r>
      <w:r w:rsidRPr="00607450">
        <w:rPr>
          <w:rFonts w:hint="eastAsia"/>
          <w:szCs w:val="21"/>
        </w:rPr>
        <w:t>5%</w:t>
      </w:r>
      <w:r w:rsidRPr="00607450">
        <w:rPr>
          <w:rFonts w:hint="eastAsia"/>
          <w:szCs w:val="21"/>
        </w:rPr>
        <w:t>，</w:t>
      </w:r>
      <w:r>
        <w:rPr>
          <w:rFonts w:hint="eastAsia"/>
          <w:szCs w:val="21"/>
        </w:rPr>
        <w:t>而</w:t>
      </w:r>
      <w:r w:rsidRPr="00607450">
        <w:rPr>
          <w:rFonts w:hint="eastAsia"/>
          <w:szCs w:val="21"/>
        </w:rPr>
        <w:t>今年</w:t>
      </w:r>
      <w:r>
        <w:rPr>
          <w:rFonts w:eastAsiaTheme="minorEastAsia" w:hint="eastAsia"/>
          <w:szCs w:val="21"/>
        </w:rPr>
        <w:t>10</w:t>
      </w:r>
      <w:r>
        <w:rPr>
          <w:rFonts w:eastAsiaTheme="minorEastAsia" w:hint="eastAsia"/>
          <w:szCs w:val="21"/>
        </w:rPr>
        <w:t>个月</w:t>
      </w:r>
      <w:r>
        <w:rPr>
          <w:rFonts w:hint="eastAsia"/>
          <w:szCs w:val="21"/>
        </w:rPr>
        <w:t>以来累计回报</w:t>
      </w:r>
      <w:r w:rsidRPr="00607450">
        <w:rPr>
          <w:rFonts w:hint="eastAsia"/>
          <w:szCs w:val="21"/>
        </w:rPr>
        <w:t>率</w:t>
      </w:r>
      <w:r>
        <w:rPr>
          <w:rFonts w:hint="eastAsia"/>
          <w:szCs w:val="21"/>
        </w:rPr>
        <w:t>达到</w:t>
      </w:r>
      <w:r w:rsidRPr="00607450">
        <w:rPr>
          <w:rFonts w:hint="eastAsia"/>
          <w:szCs w:val="21"/>
        </w:rPr>
        <w:t>98.88%</w:t>
      </w:r>
      <w:r>
        <w:rPr>
          <w:rFonts w:hint="eastAsia"/>
          <w:szCs w:val="21"/>
        </w:rPr>
        <w:t>，位居同业第二，大有与</w:t>
      </w:r>
      <w:proofErr w:type="gramStart"/>
      <w:r>
        <w:rPr>
          <w:rFonts w:hint="eastAsia"/>
          <w:szCs w:val="21"/>
        </w:rPr>
        <w:t>创势翔</w:t>
      </w:r>
      <w:proofErr w:type="gramEnd"/>
      <w:r>
        <w:rPr>
          <w:rFonts w:hint="eastAsia"/>
          <w:szCs w:val="21"/>
        </w:rPr>
        <w:t>争夺年度冠军之势</w:t>
      </w:r>
      <w:r w:rsidRPr="00607450">
        <w:rPr>
          <w:rFonts w:hint="eastAsia"/>
          <w:szCs w:val="21"/>
        </w:rPr>
        <w:t>。</w:t>
      </w:r>
    </w:p>
    <w:p w:rsidR="00200D9D" w:rsidRPr="00607450" w:rsidRDefault="00155ED0" w:rsidP="00607450">
      <w:pPr>
        <w:pStyle w:val="ab"/>
        <w:numPr>
          <w:ilvl w:val="0"/>
          <w:numId w:val="5"/>
        </w:numPr>
        <w:spacing w:after="163"/>
        <w:rPr>
          <w:szCs w:val="21"/>
        </w:rPr>
      </w:pPr>
      <w:r w:rsidRPr="00155ED0">
        <w:rPr>
          <w:rFonts w:ascii="宋体" w:eastAsia="宋体" w:hAnsi="宋体" w:cs="宋体" w:hint="eastAsia"/>
          <w:szCs w:val="21"/>
        </w:rPr>
        <w:t>伴随</w:t>
      </w:r>
      <w:r w:rsidRPr="00155ED0">
        <w:rPr>
          <w:rFonts w:hint="eastAsia"/>
          <w:szCs w:val="21"/>
        </w:rPr>
        <w:t>10</w:t>
      </w:r>
      <w:r w:rsidRPr="00155ED0">
        <w:rPr>
          <w:rFonts w:ascii="宋体" w:eastAsia="宋体" w:hAnsi="宋体" w:cs="宋体" w:hint="eastAsia"/>
          <w:szCs w:val="21"/>
        </w:rPr>
        <w:t>月以来股市风格逆转，部分蓝</w:t>
      </w:r>
      <w:proofErr w:type="gramStart"/>
      <w:r w:rsidRPr="00155ED0">
        <w:rPr>
          <w:rFonts w:ascii="宋体" w:eastAsia="宋体" w:hAnsi="宋体" w:cs="宋体" w:hint="eastAsia"/>
          <w:szCs w:val="21"/>
        </w:rPr>
        <w:t>筹板块</w:t>
      </w:r>
      <w:proofErr w:type="gramEnd"/>
      <w:r w:rsidRPr="00155ED0">
        <w:rPr>
          <w:rFonts w:ascii="宋体" w:eastAsia="宋体" w:hAnsi="宋体" w:cs="宋体" w:hint="eastAsia"/>
          <w:szCs w:val="21"/>
        </w:rPr>
        <w:t>表现抢眼，</w:t>
      </w:r>
      <w:r w:rsidR="00046A25">
        <w:rPr>
          <w:rFonts w:ascii="宋体" w:eastAsia="宋体" w:hAnsi="宋体" w:cs="宋体" w:hint="eastAsia"/>
          <w:szCs w:val="21"/>
        </w:rPr>
        <w:t>蓝</w:t>
      </w:r>
      <w:proofErr w:type="gramStart"/>
      <w:r w:rsidR="00046A25">
        <w:rPr>
          <w:rFonts w:ascii="宋体" w:eastAsia="宋体" w:hAnsi="宋体" w:cs="宋体" w:hint="eastAsia"/>
          <w:szCs w:val="21"/>
        </w:rPr>
        <w:t>筹风格</w:t>
      </w:r>
      <w:proofErr w:type="gramEnd"/>
      <w:r w:rsidR="002E6C55">
        <w:rPr>
          <w:rFonts w:ascii="宋体" w:eastAsia="宋体" w:hAnsi="宋体" w:cs="宋体" w:hint="eastAsia"/>
          <w:szCs w:val="21"/>
        </w:rPr>
        <w:t>对冲基金的</w:t>
      </w:r>
      <w:r w:rsidRPr="00155ED0">
        <w:rPr>
          <w:rFonts w:ascii="宋体" w:eastAsia="宋体" w:hAnsi="宋体" w:cs="宋体" w:hint="eastAsia"/>
          <w:szCs w:val="21"/>
        </w:rPr>
        <w:t>领头羊重阳系列</w:t>
      </w:r>
      <w:r w:rsidR="00A40C21">
        <w:rPr>
          <w:rFonts w:ascii="宋体" w:eastAsia="宋体" w:hAnsi="宋体" w:cs="宋体" w:hint="eastAsia"/>
          <w:szCs w:val="21"/>
        </w:rPr>
        <w:t>跻身前列</w:t>
      </w:r>
      <w:r w:rsidRPr="00155ED0">
        <w:rPr>
          <w:rFonts w:ascii="宋体" w:eastAsia="宋体" w:hAnsi="宋体" w:cs="宋体" w:hint="eastAsia"/>
          <w:szCs w:val="21"/>
        </w:rPr>
        <w:t>，</w:t>
      </w:r>
      <w:r w:rsidR="00A40C21" w:rsidRPr="00A40C21">
        <w:rPr>
          <w:rFonts w:hint="eastAsia"/>
          <w:szCs w:val="21"/>
        </w:rPr>
        <w:t>华润信托·重阳</w:t>
      </w:r>
      <w:r w:rsidR="00A40C21" w:rsidRPr="00A40C21">
        <w:rPr>
          <w:rFonts w:hint="eastAsia"/>
          <w:szCs w:val="21"/>
        </w:rPr>
        <w:t>7</w:t>
      </w:r>
      <w:r w:rsidR="00A40C21" w:rsidRPr="00A40C21">
        <w:rPr>
          <w:rFonts w:hint="eastAsia"/>
          <w:szCs w:val="21"/>
        </w:rPr>
        <w:t>期、上信</w:t>
      </w:r>
      <w:r w:rsidR="00A40C21" w:rsidRPr="00A40C21">
        <w:rPr>
          <w:rFonts w:hint="eastAsia"/>
          <w:szCs w:val="21"/>
        </w:rPr>
        <w:t>-</w:t>
      </w:r>
      <w:r w:rsidR="00A40C21" w:rsidRPr="00A40C21">
        <w:rPr>
          <w:rFonts w:hint="eastAsia"/>
          <w:szCs w:val="21"/>
        </w:rPr>
        <w:t>重阳</w:t>
      </w:r>
      <w:r w:rsidR="00A40C21" w:rsidRPr="00A40C21">
        <w:rPr>
          <w:rFonts w:hint="eastAsia"/>
          <w:szCs w:val="21"/>
        </w:rPr>
        <w:t>5</w:t>
      </w:r>
      <w:r w:rsidR="00A40C21" w:rsidRPr="00A40C21">
        <w:rPr>
          <w:rFonts w:hint="eastAsia"/>
          <w:szCs w:val="21"/>
        </w:rPr>
        <w:t>期</w:t>
      </w:r>
      <w:r w:rsidRPr="00A40C21">
        <w:rPr>
          <w:rFonts w:hint="eastAsia"/>
          <w:szCs w:val="21"/>
        </w:rPr>
        <w:t>分别</w:t>
      </w:r>
      <w:r w:rsidR="00A40C21">
        <w:rPr>
          <w:rFonts w:hint="eastAsia"/>
          <w:szCs w:val="21"/>
        </w:rPr>
        <w:t>斩获</w:t>
      </w:r>
      <w:r w:rsidR="00A40C21">
        <w:rPr>
          <w:rFonts w:eastAsiaTheme="minorEastAsia" w:hint="eastAsia"/>
          <w:szCs w:val="21"/>
        </w:rPr>
        <w:t>14.06%</w:t>
      </w:r>
      <w:r w:rsidR="00A40C21">
        <w:rPr>
          <w:rFonts w:eastAsiaTheme="minorEastAsia" w:hint="eastAsia"/>
          <w:szCs w:val="21"/>
        </w:rPr>
        <w:t>、</w:t>
      </w:r>
      <w:r w:rsidR="00A40C21">
        <w:rPr>
          <w:rFonts w:eastAsiaTheme="minorEastAsia" w:hint="eastAsia"/>
          <w:szCs w:val="21"/>
        </w:rPr>
        <w:t>13.29%</w:t>
      </w:r>
      <w:r w:rsidR="00A40C21">
        <w:rPr>
          <w:rFonts w:eastAsiaTheme="minorEastAsia" w:hint="eastAsia"/>
          <w:szCs w:val="21"/>
        </w:rPr>
        <w:t>的收益。</w:t>
      </w:r>
      <w:proofErr w:type="gramStart"/>
      <w:r w:rsidR="00046A25">
        <w:rPr>
          <w:rFonts w:hint="eastAsia"/>
          <w:szCs w:val="21"/>
        </w:rPr>
        <w:t>重阳</w:t>
      </w:r>
      <w:r w:rsidR="00200D9D" w:rsidRPr="00607450">
        <w:rPr>
          <w:rFonts w:hint="eastAsia"/>
          <w:szCs w:val="21"/>
        </w:rPr>
        <w:t>目前</w:t>
      </w:r>
      <w:proofErr w:type="gramEnd"/>
      <w:r w:rsidR="00200D9D" w:rsidRPr="00607450">
        <w:rPr>
          <w:rFonts w:hint="eastAsia"/>
          <w:szCs w:val="21"/>
        </w:rPr>
        <w:t>有</w:t>
      </w:r>
      <w:r w:rsidR="00200D9D" w:rsidRPr="00607450">
        <w:rPr>
          <w:rFonts w:hint="eastAsia"/>
          <w:szCs w:val="21"/>
        </w:rPr>
        <w:t>13</w:t>
      </w:r>
      <w:r w:rsidR="00200D9D" w:rsidRPr="00607450">
        <w:rPr>
          <w:rFonts w:hint="eastAsia"/>
          <w:szCs w:val="21"/>
        </w:rPr>
        <w:t>只产品在运行，</w:t>
      </w:r>
      <w:r w:rsidR="00046A25">
        <w:rPr>
          <w:rFonts w:hint="eastAsia"/>
          <w:szCs w:val="21"/>
        </w:rPr>
        <w:t>月度</w:t>
      </w:r>
      <w:r w:rsidR="00200D9D" w:rsidRPr="00607450">
        <w:rPr>
          <w:rFonts w:hint="eastAsia"/>
          <w:szCs w:val="21"/>
        </w:rPr>
        <w:t>收益率都在</w:t>
      </w:r>
      <w:r w:rsidR="00200D9D" w:rsidRPr="00607450">
        <w:rPr>
          <w:rFonts w:hint="eastAsia"/>
          <w:szCs w:val="21"/>
        </w:rPr>
        <w:t>5-10%</w:t>
      </w:r>
      <w:r w:rsidR="00200D9D" w:rsidRPr="00607450">
        <w:rPr>
          <w:rFonts w:hint="eastAsia"/>
          <w:szCs w:val="21"/>
        </w:rPr>
        <w:t>的区间范围内，产品间的分化较小。</w:t>
      </w:r>
    </w:p>
    <w:p w:rsidR="00200D9D" w:rsidRPr="008B5C41" w:rsidRDefault="002E6C55" w:rsidP="00200D9D">
      <w:pPr>
        <w:pStyle w:val="ab"/>
        <w:numPr>
          <w:ilvl w:val="4"/>
          <w:numId w:val="4"/>
        </w:numPr>
        <w:spacing w:after="163"/>
        <w:rPr>
          <w:szCs w:val="21"/>
        </w:rPr>
      </w:pPr>
      <w:r>
        <w:rPr>
          <w:rFonts w:hint="eastAsia"/>
          <w:szCs w:val="21"/>
        </w:rPr>
        <w:t>股票多头策略</w:t>
      </w:r>
      <w:r>
        <w:rPr>
          <w:rFonts w:hint="eastAsia"/>
          <w:szCs w:val="21"/>
        </w:rPr>
        <w:t>-</w:t>
      </w:r>
      <w:r>
        <w:rPr>
          <w:rFonts w:hint="eastAsia"/>
          <w:szCs w:val="21"/>
        </w:rPr>
        <w:t>分级型对冲基金</w:t>
      </w:r>
      <w:r w:rsidR="00200D9D" w:rsidRPr="006E138D">
        <w:rPr>
          <w:szCs w:val="21"/>
        </w:rPr>
        <w:t>10</w:t>
      </w:r>
      <w:r w:rsidR="00200D9D" w:rsidRPr="006E138D">
        <w:rPr>
          <w:rFonts w:hint="eastAsia"/>
          <w:szCs w:val="21"/>
        </w:rPr>
        <w:t>月平均业绩</w:t>
      </w:r>
      <w:r w:rsidR="00200D9D" w:rsidRPr="006E138D">
        <w:rPr>
          <w:szCs w:val="21"/>
        </w:rPr>
        <w:t>-2.84%</w:t>
      </w:r>
      <w:r w:rsidR="00200D9D" w:rsidRPr="006E138D">
        <w:rPr>
          <w:rFonts w:hint="eastAsia"/>
          <w:szCs w:val="21"/>
        </w:rPr>
        <w:t>。纳入</w:t>
      </w:r>
      <w:proofErr w:type="gramStart"/>
      <w:r>
        <w:rPr>
          <w:rFonts w:hint="eastAsia"/>
          <w:szCs w:val="21"/>
        </w:rPr>
        <w:t>凯石</w:t>
      </w:r>
      <w:r w:rsidR="00200D9D" w:rsidRPr="006E138D">
        <w:rPr>
          <w:rFonts w:hint="eastAsia"/>
          <w:szCs w:val="21"/>
        </w:rPr>
        <w:t>统计</w:t>
      </w:r>
      <w:proofErr w:type="gramEnd"/>
      <w:r w:rsidR="00200D9D" w:rsidRPr="006E138D">
        <w:rPr>
          <w:rFonts w:hint="eastAsia"/>
          <w:szCs w:val="21"/>
        </w:rPr>
        <w:t>的产品中</w:t>
      </w:r>
      <w:r>
        <w:rPr>
          <w:rFonts w:hint="eastAsia"/>
          <w:szCs w:val="21"/>
        </w:rPr>
        <w:t>约两成</w:t>
      </w:r>
      <w:r w:rsidR="00200D9D" w:rsidRPr="006E138D">
        <w:rPr>
          <w:rFonts w:hint="eastAsia"/>
          <w:szCs w:val="21"/>
        </w:rPr>
        <w:t>为投资者创造了正收益，仅</w:t>
      </w:r>
      <w:r w:rsidR="00200D9D" w:rsidRPr="006E138D">
        <w:rPr>
          <w:szCs w:val="21"/>
        </w:rPr>
        <w:t>1</w:t>
      </w:r>
      <w:r>
        <w:rPr>
          <w:rFonts w:hint="eastAsia"/>
          <w:szCs w:val="21"/>
        </w:rPr>
        <w:t>只涨幅</w:t>
      </w:r>
      <w:r w:rsidR="00200D9D" w:rsidRPr="006E138D">
        <w:rPr>
          <w:rFonts w:hint="eastAsia"/>
          <w:szCs w:val="21"/>
        </w:rPr>
        <w:t>超过</w:t>
      </w:r>
      <w:r w:rsidR="00200D9D" w:rsidRPr="006E138D">
        <w:rPr>
          <w:szCs w:val="21"/>
        </w:rPr>
        <w:t>5%</w:t>
      </w:r>
      <w:r w:rsidR="00200D9D" w:rsidRPr="006E138D">
        <w:rPr>
          <w:rFonts w:hint="eastAsia"/>
          <w:szCs w:val="21"/>
        </w:rPr>
        <w:t>。收益率最低为</w:t>
      </w:r>
      <w:r w:rsidR="00200D9D" w:rsidRPr="006E138D">
        <w:rPr>
          <w:szCs w:val="21"/>
        </w:rPr>
        <w:t>-14.91%</w:t>
      </w:r>
      <w:r w:rsidR="00200D9D" w:rsidRPr="006E138D">
        <w:rPr>
          <w:rFonts w:hint="eastAsia"/>
          <w:szCs w:val="21"/>
        </w:rPr>
        <w:t>，最高为</w:t>
      </w:r>
      <w:r w:rsidR="00200D9D" w:rsidRPr="006E138D">
        <w:rPr>
          <w:szCs w:val="21"/>
        </w:rPr>
        <w:t>6.73%</w:t>
      </w:r>
      <w:r w:rsidR="00200D9D" w:rsidRPr="006E138D">
        <w:rPr>
          <w:rFonts w:hint="eastAsia"/>
          <w:szCs w:val="21"/>
        </w:rPr>
        <w:t>，为山东信托•长金三号所获得。</w:t>
      </w:r>
    </w:p>
    <w:p w:rsidR="00C806CE" w:rsidRPr="000508EF" w:rsidRDefault="002E6C55" w:rsidP="000508EF">
      <w:pPr>
        <w:pStyle w:val="ab"/>
        <w:numPr>
          <w:ilvl w:val="4"/>
          <w:numId w:val="4"/>
        </w:numPr>
        <w:spacing w:after="163"/>
        <w:rPr>
          <w:szCs w:val="21"/>
        </w:rPr>
      </w:pPr>
      <w:r>
        <w:rPr>
          <w:rFonts w:hint="eastAsia"/>
          <w:szCs w:val="21"/>
        </w:rPr>
        <w:t>其他策略对冲基金</w:t>
      </w:r>
      <w:r w:rsidR="00200D9D" w:rsidRPr="006E138D">
        <w:rPr>
          <w:szCs w:val="21"/>
        </w:rPr>
        <w:t>10</w:t>
      </w:r>
      <w:r w:rsidR="00200D9D" w:rsidRPr="006E138D">
        <w:rPr>
          <w:rFonts w:hint="eastAsia"/>
          <w:szCs w:val="21"/>
        </w:rPr>
        <w:t>月平均收益</w:t>
      </w:r>
      <w:r w:rsidR="00200D9D" w:rsidRPr="006E138D">
        <w:rPr>
          <w:szCs w:val="21"/>
        </w:rPr>
        <w:t>-0.52%</w:t>
      </w:r>
      <w:r w:rsidR="00200D9D" w:rsidRPr="006E138D">
        <w:rPr>
          <w:rFonts w:hint="eastAsia"/>
          <w:szCs w:val="21"/>
        </w:rPr>
        <w:t>，</w:t>
      </w:r>
      <w:r>
        <w:rPr>
          <w:rFonts w:hint="eastAsia"/>
          <w:szCs w:val="21"/>
        </w:rPr>
        <w:t>因与市场相关度极低，下行环境中</w:t>
      </w:r>
      <w:r w:rsidR="00200D9D" w:rsidRPr="006E138D">
        <w:rPr>
          <w:rFonts w:hint="eastAsia"/>
          <w:szCs w:val="21"/>
        </w:rPr>
        <w:t>跑</w:t>
      </w:r>
      <w:proofErr w:type="gramStart"/>
      <w:r w:rsidR="00200D9D" w:rsidRPr="006E138D">
        <w:rPr>
          <w:rFonts w:hint="eastAsia"/>
          <w:szCs w:val="21"/>
        </w:rPr>
        <w:t>赢传统</w:t>
      </w:r>
      <w:proofErr w:type="gramEnd"/>
      <w:r>
        <w:rPr>
          <w:rFonts w:hint="eastAsia"/>
          <w:szCs w:val="21"/>
        </w:rPr>
        <w:t>的股票多头策略</w:t>
      </w:r>
      <w:r w:rsidR="00200D9D" w:rsidRPr="006E138D">
        <w:rPr>
          <w:rFonts w:hint="eastAsia"/>
          <w:szCs w:val="21"/>
        </w:rPr>
        <w:t>。</w:t>
      </w:r>
      <w:r>
        <w:rPr>
          <w:rFonts w:hint="eastAsia"/>
          <w:szCs w:val="21"/>
        </w:rPr>
        <w:t>同样地，下跌环境中低风险策略品种业绩表现优于高风险策略品种。但低风险策略中的相对价值策略、市场中性策略虽保住了绝对收益，但</w:t>
      </w:r>
      <w:proofErr w:type="gramStart"/>
      <w:r>
        <w:rPr>
          <w:rFonts w:hint="eastAsia"/>
          <w:szCs w:val="21"/>
        </w:rPr>
        <w:t>收益率</w:t>
      </w:r>
      <w:r w:rsidR="00200D9D" w:rsidRPr="006E138D">
        <w:rPr>
          <w:rFonts w:hint="eastAsia"/>
          <w:szCs w:val="21"/>
        </w:rPr>
        <w:t>年化后</w:t>
      </w:r>
      <w:proofErr w:type="gramEnd"/>
      <w:r w:rsidR="00200D9D" w:rsidRPr="006E138D">
        <w:rPr>
          <w:rFonts w:hint="eastAsia"/>
          <w:szCs w:val="21"/>
        </w:rPr>
        <w:t>不及银行存款。</w:t>
      </w:r>
    </w:p>
    <w:tbl>
      <w:tblPr>
        <w:tblW w:w="11483" w:type="dxa"/>
        <w:tblInd w:w="-426" w:type="dxa"/>
        <w:tblBorders>
          <w:top w:val="single" w:sz="6" w:space="0" w:color="FF6600"/>
          <w:bottom w:val="single" w:sz="6" w:space="0" w:color="FF6600"/>
          <w:insideH w:val="single" w:sz="6" w:space="0" w:color="FF6600"/>
        </w:tblBorders>
        <w:tblLayout w:type="fixed"/>
        <w:tblCellMar>
          <w:left w:w="0" w:type="dxa"/>
          <w:right w:w="0" w:type="dxa"/>
        </w:tblCellMar>
        <w:tblLook w:val="0000"/>
      </w:tblPr>
      <w:tblGrid>
        <w:gridCol w:w="610"/>
        <w:gridCol w:w="611"/>
        <w:gridCol w:w="705"/>
        <w:gridCol w:w="705"/>
        <w:gridCol w:w="705"/>
        <w:gridCol w:w="679"/>
        <w:gridCol w:w="679"/>
        <w:gridCol w:w="679"/>
        <w:gridCol w:w="679"/>
        <w:gridCol w:w="679"/>
        <w:gridCol w:w="679"/>
        <w:gridCol w:w="679"/>
        <w:gridCol w:w="679"/>
        <w:gridCol w:w="679"/>
        <w:gridCol w:w="679"/>
        <w:gridCol w:w="679"/>
        <w:gridCol w:w="678"/>
      </w:tblGrid>
      <w:tr w:rsidR="0007052A" w:rsidTr="00014D59">
        <w:trPr>
          <w:cantSplit/>
          <w:trHeight w:val="335"/>
        </w:trPr>
        <w:tc>
          <w:tcPr>
            <w:tcW w:w="11483" w:type="dxa"/>
            <w:gridSpan w:val="17"/>
            <w:tcBorders>
              <w:bottom w:val="single" w:sz="6" w:space="0" w:color="FF6600"/>
            </w:tcBorders>
            <w:shd w:val="clear" w:color="auto" w:fill="auto"/>
            <w:vAlign w:val="center"/>
          </w:tcPr>
          <w:p w:rsidR="0007052A" w:rsidRPr="0007259C" w:rsidRDefault="0007052A" w:rsidP="008B3EE4">
            <w:pPr>
              <w:pStyle w:val="SubTitleLargeTable"/>
              <w:pBdr>
                <w:top w:val="none" w:sz="0" w:space="0" w:color="auto"/>
              </w:pBdr>
              <w:rPr>
                <w:rFonts w:ascii="宋体" w:eastAsia="宋体" w:hAnsi="宋体"/>
                <w:b w:val="0"/>
              </w:rPr>
            </w:pPr>
            <w:r w:rsidRPr="00656031">
              <w:rPr>
                <w:color w:val="FF6600"/>
              </w:rPr>
              <w:t>图表</w:t>
            </w:r>
            <w:r w:rsidR="009D5ADD">
              <w:rPr>
                <w:rFonts w:eastAsiaTheme="minorEastAsia" w:hint="eastAsia"/>
                <w:color w:val="FF6600"/>
              </w:rPr>
              <w:t>5</w:t>
            </w:r>
            <w:r w:rsidRPr="00656031">
              <w:rPr>
                <w:rFonts w:hint="eastAsia"/>
                <w:color w:val="FF6600"/>
              </w:rPr>
              <w:t>：</w:t>
            </w:r>
            <w:r w:rsidR="009D5ADD" w:rsidRPr="009D5ADD">
              <w:rPr>
                <w:rFonts w:eastAsiaTheme="minorEastAsia" w:hint="eastAsia"/>
                <w:color w:val="FF6600"/>
              </w:rPr>
              <w:t>各策略对冲基金各阶段业绩概览</w:t>
            </w:r>
          </w:p>
        </w:tc>
      </w:tr>
      <w:tr w:rsidR="00362C12" w:rsidRPr="00362C12" w:rsidTr="00137D07">
        <w:trPr>
          <w:cantSplit/>
          <w:trHeight w:val="470"/>
        </w:trPr>
        <w:tc>
          <w:tcPr>
            <w:tcW w:w="1277" w:type="dxa"/>
            <w:gridSpan w:val="2"/>
            <w:vMerge w:val="restart"/>
            <w:tcBorders>
              <w:right w:val="single" w:sz="6" w:space="0" w:color="FF6600"/>
            </w:tcBorders>
            <w:shd w:val="clear" w:color="auto" w:fill="auto"/>
            <w:vAlign w:val="center"/>
          </w:tcPr>
          <w:p w:rsidR="00362C12" w:rsidRPr="00014D59" w:rsidRDefault="00362C12" w:rsidP="00362C12">
            <w:pPr>
              <w:spacing w:line="10" w:lineRule="atLeast"/>
              <w:jc w:val="center"/>
              <w:rPr>
                <w:sz w:val="18"/>
                <w:szCs w:val="18"/>
              </w:rPr>
            </w:pPr>
          </w:p>
        </w:tc>
        <w:tc>
          <w:tcPr>
            <w:tcW w:w="737" w:type="dxa"/>
            <w:vMerge w:val="restart"/>
            <w:tcBorders>
              <w:left w:val="single" w:sz="6" w:space="0" w:color="FF6600"/>
              <w:right w:val="single" w:sz="6" w:space="0" w:color="FF6600"/>
            </w:tcBorders>
            <w:shd w:val="clear" w:color="auto" w:fill="auto"/>
            <w:vAlign w:val="center"/>
          </w:tcPr>
          <w:p w:rsidR="00362C12" w:rsidRPr="00014D59" w:rsidRDefault="00362C12" w:rsidP="00362C12">
            <w:pPr>
              <w:jc w:val="center"/>
              <w:rPr>
                <w:rFonts w:ascii="宋体" w:eastAsia="宋体" w:hAnsi="宋体"/>
                <w:b/>
                <w:bCs/>
                <w:color w:val="000000"/>
                <w:sz w:val="18"/>
                <w:szCs w:val="18"/>
              </w:rPr>
            </w:pPr>
            <w:r w:rsidRPr="00014D59">
              <w:rPr>
                <w:rFonts w:ascii="宋体" w:eastAsia="宋体" w:hAnsi="宋体" w:hint="eastAsia"/>
                <w:b/>
                <w:bCs/>
                <w:color w:val="000000"/>
                <w:sz w:val="18"/>
                <w:szCs w:val="18"/>
              </w:rPr>
              <w:t>近一月</w:t>
            </w:r>
          </w:p>
        </w:tc>
        <w:tc>
          <w:tcPr>
            <w:tcW w:w="737" w:type="dxa"/>
            <w:vMerge w:val="restart"/>
            <w:tcBorders>
              <w:left w:val="single" w:sz="6" w:space="0" w:color="FF6600"/>
              <w:right w:val="single" w:sz="6" w:space="0" w:color="FF6600"/>
            </w:tcBorders>
            <w:shd w:val="clear" w:color="auto" w:fill="auto"/>
            <w:vAlign w:val="center"/>
          </w:tcPr>
          <w:p w:rsidR="00362C12" w:rsidRPr="00014D59" w:rsidRDefault="00362C12" w:rsidP="00362C12">
            <w:pPr>
              <w:jc w:val="center"/>
              <w:rPr>
                <w:rFonts w:ascii="宋体" w:eastAsia="宋体" w:hAnsi="宋体"/>
                <w:b/>
                <w:bCs/>
                <w:color w:val="000000"/>
                <w:sz w:val="18"/>
                <w:szCs w:val="18"/>
              </w:rPr>
            </w:pPr>
            <w:r w:rsidRPr="00014D59">
              <w:rPr>
                <w:rFonts w:ascii="宋体" w:eastAsia="宋体" w:hAnsi="宋体" w:hint="eastAsia"/>
                <w:b/>
                <w:bCs/>
                <w:color w:val="000000"/>
                <w:sz w:val="18"/>
                <w:szCs w:val="18"/>
              </w:rPr>
              <w:t>近一季</w:t>
            </w:r>
          </w:p>
        </w:tc>
        <w:tc>
          <w:tcPr>
            <w:tcW w:w="737" w:type="dxa"/>
            <w:vMerge w:val="restart"/>
            <w:tcBorders>
              <w:left w:val="single" w:sz="6" w:space="0" w:color="FF6600"/>
              <w:right w:val="single" w:sz="6" w:space="0" w:color="FF6600"/>
            </w:tcBorders>
            <w:shd w:val="clear" w:color="auto" w:fill="auto"/>
            <w:vAlign w:val="center"/>
          </w:tcPr>
          <w:p w:rsidR="00362C12" w:rsidRPr="00014D59" w:rsidRDefault="00362C12" w:rsidP="00362C12">
            <w:pPr>
              <w:jc w:val="center"/>
              <w:rPr>
                <w:rFonts w:ascii="宋体" w:eastAsia="宋体" w:hAnsi="宋体"/>
                <w:b/>
                <w:bCs/>
                <w:color w:val="000000"/>
                <w:sz w:val="18"/>
                <w:szCs w:val="18"/>
              </w:rPr>
            </w:pPr>
            <w:r w:rsidRPr="00014D59">
              <w:rPr>
                <w:rFonts w:ascii="宋体" w:eastAsia="宋体" w:hAnsi="宋体" w:hint="eastAsia"/>
                <w:b/>
                <w:bCs/>
                <w:color w:val="000000"/>
                <w:sz w:val="18"/>
                <w:szCs w:val="18"/>
              </w:rPr>
              <w:t>今年</w:t>
            </w:r>
          </w:p>
          <w:p w:rsidR="00362C12" w:rsidRPr="00014D59" w:rsidRDefault="00362C12" w:rsidP="00362C12">
            <w:pPr>
              <w:jc w:val="center"/>
              <w:rPr>
                <w:rFonts w:ascii="宋体" w:eastAsia="宋体" w:hAnsi="宋体"/>
                <w:b/>
                <w:bCs/>
                <w:color w:val="000000"/>
                <w:sz w:val="18"/>
                <w:szCs w:val="18"/>
              </w:rPr>
            </w:pPr>
            <w:r w:rsidRPr="00014D59">
              <w:rPr>
                <w:rFonts w:ascii="宋体" w:eastAsia="宋体" w:hAnsi="宋体" w:hint="eastAsia"/>
                <w:b/>
                <w:bCs/>
                <w:color w:val="000000"/>
                <w:sz w:val="18"/>
                <w:szCs w:val="18"/>
              </w:rPr>
              <w:t>以来</w:t>
            </w:r>
          </w:p>
        </w:tc>
        <w:tc>
          <w:tcPr>
            <w:tcW w:w="709" w:type="dxa"/>
            <w:gridSpan w:val="4"/>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宋体" w:eastAsia="宋体" w:hAnsi="宋体" w:cs="宋体"/>
                <w:b/>
                <w:bCs/>
                <w:color w:val="000000"/>
                <w:sz w:val="18"/>
                <w:szCs w:val="18"/>
              </w:rPr>
            </w:pPr>
            <w:r w:rsidRPr="00362C12">
              <w:rPr>
                <w:rFonts w:ascii="宋体" w:eastAsia="宋体" w:hAnsi="宋体" w:hint="eastAsia"/>
                <w:b/>
                <w:bCs/>
                <w:color w:val="000000"/>
                <w:sz w:val="18"/>
                <w:szCs w:val="18"/>
              </w:rPr>
              <w:t>近一年</w:t>
            </w:r>
          </w:p>
        </w:tc>
        <w:tc>
          <w:tcPr>
            <w:tcW w:w="709" w:type="dxa"/>
            <w:gridSpan w:val="4"/>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宋体" w:eastAsia="宋体" w:hAnsi="宋体" w:cs="宋体"/>
                <w:b/>
                <w:bCs/>
                <w:color w:val="000000"/>
                <w:sz w:val="18"/>
                <w:szCs w:val="18"/>
              </w:rPr>
            </w:pPr>
            <w:r w:rsidRPr="00362C12">
              <w:rPr>
                <w:rFonts w:ascii="宋体" w:eastAsia="宋体" w:hAnsi="宋体" w:hint="eastAsia"/>
                <w:b/>
                <w:bCs/>
                <w:color w:val="000000"/>
                <w:sz w:val="18"/>
                <w:szCs w:val="18"/>
              </w:rPr>
              <w:t>近两年</w:t>
            </w:r>
          </w:p>
        </w:tc>
        <w:tc>
          <w:tcPr>
            <w:tcW w:w="709" w:type="dxa"/>
            <w:gridSpan w:val="4"/>
            <w:tcBorders>
              <w:left w:val="single" w:sz="6" w:space="0" w:color="FF6600"/>
            </w:tcBorders>
            <w:shd w:val="clear" w:color="auto" w:fill="auto"/>
            <w:vAlign w:val="center"/>
          </w:tcPr>
          <w:p w:rsidR="00362C12" w:rsidRPr="00362C12" w:rsidRDefault="00362C12" w:rsidP="00362C12">
            <w:pPr>
              <w:jc w:val="center"/>
              <w:rPr>
                <w:rFonts w:ascii="宋体" w:eastAsia="宋体" w:hAnsi="宋体" w:cs="宋体"/>
                <w:b/>
                <w:bCs/>
                <w:color w:val="000000"/>
                <w:sz w:val="18"/>
                <w:szCs w:val="18"/>
              </w:rPr>
            </w:pPr>
            <w:r w:rsidRPr="00362C12">
              <w:rPr>
                <w:rFonts w:ascii="宋体" w:eastAsia="宋体" w:hAnsi="宋体" w:hint="eastAsia"/>
                <w:b/>
                <w:bCs/>
                <w:color w:val="000000"/>
                <w:sz w:val="18"/>
                <w:szCs w:val="18"/>
              </w:rPr>
              <w:t>近三年</w:t>
            </w:r>
          </w:p>
        </w:tc>
      </w:tr>
      <w:tr w:rsidR="00362C12" w:rsidRPr="00362C12" w:rsidTr="00137D07">
        <w:trPr>
          <w:cantSplit/>
          <w:trHeight w:val="470"/>
        </w:trPr>
        <w:tc>
          <w:tcPr>
            <w:tcW w:w="1277" w:type="dxa"/>
            <w:gridSpan w:val="2"/>
            <w:vMerge/>
            <w:tcBorders>
              <w:right w:val="single" w:sz="6" w:space="0" w:color="FF6600"/>
            </w:tcBorders>
            <w:shd w:val="clear" w:color="auto" w:fill="auto"/>
            <w:vAlign w:val="center"/>
          </w:tcPr>
          <w:p w:rsidR="00362C12" w:rsidRPr="00014D59" w:rsidRDefault="00362C12" w:rsidP="00362C12">
            <w:pPr>
              <w:jc w:val="center"/>
              <w:rPr>
                <w:rFonts w:ascii="宋体" w:eastAsia="宋体" w:hAnsi="宋体"/>
                <w:b/>
                <w:sz w:val="18"/>
                <w:szCs w:val="18"/>
              </w:rPr>
            </w:pPr>
          </w:p>
        </w:tc>
        <w:tc>
          <w:tcPr>
            <w:tcW w:w="737" w:type="dxa"/>
            <w:vMerge/>
            <w:tcBorders>
              <w:left w:val="single" w:sz="6" w:space="0" w:color="FF6600"/>
              <w:right w:val="single" w:sz="6" w:space="0" w:color="FF6600"/>
            </w:tcBorders>
            <w:shd w:val="clear" w:color="auto" w:fill="auto"/>
            <w:vAlign w:val="center"/>
          </w:tcPr>
          <w:p w:rsidR="00362C12" w:rsidRPr="00014D59" w:rsidRDefault="00362C12" w:rsidP="00362C12">
            <w:pPr>
              <w:jc w:val="center"/>
              <w:rPr>
                <w:rFonts w:ascii="宋体" w:eastAsia="宋体" w:hAnsi="宋体"/>
                <w:b/>
                <w:sz w:val="18"/>
                <w:szCs w:val="18"/>
              </w:rPr>
            </w:pPr>
          </w:p>
        </w:tc>
        <w:tc>
          <w:tcPr>
            <w:tcW w:w="737" w:type="dxa"/>
            <w:vMerge/>
            <w:tcBorders>
              <w:left w:val="single" w:sz="6" w:space="0" w:color="FF6600"/>
              <w:right w:val="single" w:sz="6" w:space="0" w:color="FF6600"/>
            </w:tcBorders>
            <w:shd w:val="clear" w:color="auto" w:fill="auto"/>
            <w:vAlign w:val="center"/>
          </w:tcPr>
          <w:p w:rsidR="00362C12" w:rsidRPr="00014D59" w:rsidRDefault="00362C12" w:rsidP="00362C12">
            <w:pPr>
              <w:jc w:val="center"/>
              <w:rPr>
                <w:rFonts w:ascii="宋体" w:eastAsia="宋体" w:hAnsi="宋体"/>
                <w:b/>
                <w:sz w:val="18"/>
                <w:szCs w:val="18"/>
              </w:rPr>
            </w:pPr>
          </w:p>
        </w:tc>
        <w:tc>
          <w:tcPr>
            <w:tcW w:w="737" w:type="dxa"/>
            <w:vMerge/>
            <w:tcBorders>
              <w:left w:val="single" w:sz="6" w:space="0" w:color="FF6600"/>
              <w:right w:val="single" w:sz="6" w:space="0" w:color="FF6600"/>
            </w:tcBorders>
            <w:shd w:val="clear" w:color="auto" w:fill="auto"/>
            <w:vAlign w:val="center"/>
          </w:tcPr>
          <w:p w:rsidR="00362C12" w:rsidRPr="00014D59" w:rsidRDefault="00362C12" w:rsidP="00362C12">
            <w:pPr>
              <w:jc w:val="center"/>
              <w:rPr>
                <w:rFonts w:ascii="宋体" w:eastAsia="宋体" w:hAnsi="宋体"/>
                <w:b/>
                <w:sz w:val="18"/>
                <w:szCs w:val="18"/>
              </w:rPr>
            </w:pPr>
          </w:p>
        </w:tc>
        <w:tc>
          <w:tcPr>
            <w:tcW w:w="709"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宋体" w:eastAsia="宋体" w:hAnsi="宋体" w:cs="宋体"/>
                <w:b/>
                <w:bCs/>
                <w:color w:val="000000"/>
                <w:sz w:val="18"/>
                <w:szCs w:val="18"/>
              </w:rPr>
            </w:pPr>
            <w:r w:rsidRPr="00362C12">
              <w:rPr>
                <w:rFonts w:ascii="宋体" w:eastAsia="宋体" w:hAnsi="宋体" w:hint="eastAsia"/>
                <w:b/>
                <w:bCs/>
                <w:color w:val="000000"/>
                <w:sz w:val="18"/>
                <w:szCs w:val="18"/>
              </w:rPr>
              <w:t>收益率</w:t>
            </w:r>
          </w:p>
        </w:tc>
        <w:tc>
          <w:tcPr>
            <w:tcW w:w="709" w:type="dxa"/>
            <w:tcBorders>
              <w:left w:val="single" w:sz="6" w:space="0" w:color="FF6600"/>
              <w:right w:val="single" w:sz="6" w:space="0" w:color="FF6600"/>
            </w:tcBorders>
            <w:shd w:val="clear" w:color="auto" w:fill="auto"/>
            <w:vAlign w:val="center"/>
          </w:tcPr>
          <w:p w:rsidR="00137D07" w:rsidRDefault="00362C12" w:rsidP="00362C12">
            <w:pPr>
              <w:jc w:val="center"/>
              <w:rPr>
                <w:rFonts w:ascii="宋体" w:eastAsia="宋体" w:hAnsi="宋体"/>
                <w:b/>
                <w:bCs/>
                <w:color w:val="000000"/>
                <w:sz w:val="18"/>
                <w:szCs w:val="18"/>
              </w:rPr>
            </w:pPr>
            <w:r w:rsidRPr="00362C12">
              <w:rPr>
                <w:rFonts w:ascii="宋体" w:eastAsia="宋体" w:hAnsi="宋体" w:hint="eastAsia"/>
                <w:b/>
                <w:bCs/>
                <w:color w:val="000000"/>
                <w:sz w:val="18"/>
                <w:szCs w:val="18"/>
              </w:rPr>
              <w:t>夏普</w:t>
            </w:r>
          </w:p>
          <w:p w:rsidR="00362C12" w:rsidRPr="00362C12" w:rsidRDefault="00362C12" w:rsidP="00362C12">
            <w:pPr>
              <w:jc w:val="center"/>
              <w:rPr>
                <w:rFonts w:ascii="宋体" w:eastAsia="宋体" w:hAnsi="宋体" w:cs="宋体"/>
                <w:b/>
                <w:bCs/>
                <w:color w:val="000000"/>
                <w:sz w:val="18"/>
                <w:szCs w:val="18"/>
              </w:rPr>
            </w:pPr>
            <w:r w:rsidRPr="00362C12">
              <w:rPr>
                <w:rFonts w:ascii="宋体" w:eastAsia="宋体" w:hAnsi="宋体" w:hint="eastAsia"/>
                <w:b/>
                <w:bCs/>
                <w:color w:val="000000"/>
                <w:sz w:val="18"/>
                <w:szCs w:val="18"/>
              </w:rPr>
              <w:t>比率</w:t>
            </w:r>
          </w:p>
        </w:tc>
        <w:tc>
          <w:tcPr>
            <w:tcW w:w="709"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宋体" w:eastAsia="宋体" w:hAnsi="宋体" w:cs="宋体"/>
                <w:b/>
                <w:bCs/>
                <w:color w:val="000000"/>
                <w:sz w:val="18"/>
                <w:szCs w:val="18"/>
              </w:rPr>
            </w:pPr>
            <w:r w:rsidRPr="00362C12">
              <w:rPr>
                <w:rFonts w:ascii="宋体" w:eastAsia="宋体" w:hAnsi="宋体" w:hint="eastAsia"/>
                <w:b/>
                <w:bCs/>
                <w:color w:val="000000"/>
                <w:sz w:val="18"/>
                <w:szCs w:val="18"/>
              </w:rPr>
              <w:t>标准差</w:t>
            </w:r>
          </w:p>
        </w:tc>
        <w:tc>
          <w:tcPr>
            <w:tcW w:w="709" w:type="dxa"/>
            <w:tcBorders>
              <w:left w:val="single" w:sz="6" w:space="0" w:color="FF6600"/>
              <w:right w:val="single" w:sz="6" w:space="0" w:color="FF6600"/>
            </w:tcBorders>
            <w:shd w:val="clear" w:color="auto" w:fill="auto"/>
            <w:vAlign w:val="center"/>
          </w:tcPr>
          <w:p w:rsidR="00137D07" w:rsidRDefault="00362C12" w:rsidP="00362C12">
            <w:pPr>
              <w:jc w:val="center"/>
              <w:rPr>
                <w:rFonts w:ascii="宋体" w:eastAsia="宋体" w:hAnsi="宋体"/>
                <w:b/>
                <w:bCs/>
                <w:color w:val="000000"/>
                <w:sz w:val="18"/>
                <w:szCs w:val="18"/>
              </w:rPr>
            </w:pPr>
            <w:r>
              <w:rPr>
                <w:rFonts w:ascii="宋体" w:eastAsia="宋体" w:hAnsi="宋体" w:hint="eastAsia"/>
                <w:b/>
                <w:bCs/>
                <w:color w:val="000000"/>
                <w:sz w:val="18"/>
                <w:szCs w:val="18"/>
              </w:rPr>
              <w:t>下行</w:t>
            </w:r>
          </w:p>
          <w:p w:rsidR="00362C12" w:rsidRPr="00362C12" w:rsidRDefault="00362C12" w:rsidP="00362C12">
            <w:pPr>
              <w:jc w:val="center"/>
              <w:rPr>
                <w:rFonts w:ascii="宋体" w:eastAsia="宋体" w:hAnsi="宋体" w:cs="宋体"/>
                <w:b/>
                <w:bCs/>
                <w:color w:val="000000"/>
                <w:sz w:val="18"/>
                <w:szCs w:val="18"/>
              </w:rPr>
            </w:pPr>
            <w:r>
              <w:rPr>
                <w:rFonts w:ascii="宋体" w:eastAsia="宋体" w:hAnsi="宋体" w:hint="eastAsia"/>
                <w:b/>
                <w:bCs/>
                <w:color w:val="000000"/>
                <w:sz w:val="18"/>
                <w:szCs w:val="18"/>
              </w:rPr>
              <w:t>风险</w:t>
            </w:r>
          </w:p>
        </w:tc>
        <w:tc>
          <w:tcPr>
            <w:tcW w:w="709" w:type="dxa"/>
            <w:tcBorders>
              <w:left w:val="single" w:sz="6" w:space="0" w:color="FF6600"/>
              <w:right w:val="single" w:sz="6" w:space="0" w:color="FF6600"/>
            </w:tcBorders>
            <w:shd w:val="clear" w:color="auto" w:fill="auto"/>
            <w:vAlign w:val="center"/>
          </w:tcPr>
          <w:p w:rsidR="00362C12" w:rsidRPr="00362C12" w:rsidRDefault="00362C12" w:rsidP="00920E96">
            <w:pPr>
              <w:jc w:val="center"/>
              <w:rPr>
                <w:rFonts w:ascii="宋体" w:eastAsia="宋体" w:hAnsi="宋体" w:cs="宋体"/>
                <w:b/>
                <w:bCs/>
                <w:color w:val="000000"/>
                <w:sz w:val="18"/>
                <w:szCs w:val="18"/>
              </w:rPr>
            </w:pPr>
            <w:r w:rsidRPr="00362C12">
              <w:rPr>
                <w:rFonts w:ascii="宋体" w:eastAsia="宋体" w:hAnsi="宋体" w:hint="eastAsia"/>
                <w:b/>
                <w:bCs/>
                <w:color w:val="000000"/>
                <w:sz w:val="18"/>
                <w:szCs w:val="18"/>
              </w:rPr>
              <w:t>收益率</w:t>
            </w:r>
          </w:p>
        </w:tc>
        <w:tc>
          <w:tcPr>
            <w:tcW w:w="709" w:type="dxa"/>
            <w:tcBorders>
              <w:left w:val="single" w:sz="6" w:space="0" w:color="FF6600"/>
              <w:right w:val="single" w:sz="6" w:space="0" w:color="FF6600"/>
            </w:tcBorders>
            <w:shd w:val="clear" w:color="auto" w:fill="auto"/>
            <w:vAlign w:val="center"/>
          </w:tcPr>
          <w:p w:rsidR="00137D07" w:rsidRDefault="00362C12" w:rsidP="00920E96">
            <w:pPr>
              <w:jc w:val="center"/>
              <w:rPr>
                <w:rFonts w:ascii="宋体" w:eastAsia="宋体" w:hAnsi="宋体"/>
                <w:b/>
                <w:bCs/>
                <w:color w:val="000000"/>
                <w:sz w:val="18"/>
                <w:szCs w:val="18"/>
              </w:rPr>
            </w:pPr>
            <w:r w:rsidRPr="00362C12">
              <w:rPr>
                <w:rFonts w:ascii="宋体" w:eastAsia="宋体" w:hAnsi="宋体" w:hint="eastAsia"/>
                <w:b/>
                <w:bCs/>
                <w:color w:val="000000"/>
                <w:sz w:val="18"/>
                <w:szCs w:val="18"/>
              </w:rPr>
              <w:t>夏普</w:t>
            </w:r>
          </w:p>
          <w:p w:rsidR="00362C12" w:rsidRPr="00362C12" w:rsidRDefault="00362C12" w:rsidP="00920E96">
            <w:pPr>
              <w:jc w:val="center"/>
              <w:rPr>
                <w:rFonts w:ascii="宋体" w:eastAsia="宋体" w:hAnsi="宋体" w:cs="宋体"/>
                <w:b/>
                <w:bCs/>
                <w:color w:val="000000"/>
                <w:sz w:val="18"/>
                <w:szCs w:val="18"/>
              </w:rPr>
            </w:pPr>
            <w:r w:rsidRPr="00362C12">
              <w:rPr>
                <w:rFonts w:ascii="宋体" w:eastAsia="宋体" w:hAnsi="宋体" w:hint="eastAsia"/>
                <w:b/>
                <w:bCs/>
                <w:color w:val="000000"/>
                <w:sz w:val="18"/>
                <w:szCs w:val="18"/>
              </w:rPr>
              <w:t>比率</w:t>
            </w:r>
          </w:p>
        </w:tc>
        <w:tc>
          <w:tcPr>
            <w:tcW w:w="709" w:type="dxa"/>
            <w:tcBorders>
              <w:left w:val="single" w:sz="6" w:space="0" w:color="FF6600"/>
              <w:right w:val="single" w:sz="6" w:space="0" w:color="FF6600"/>
            </w:tcBorders>
            <w:shd w:val="clear" w:color="auto" w:fill="auto"/>
            <w:vAlign w:val="center"/>
          </w:tcPr>
          <w:p w:rsidR="00362C12" w:rsidRPr="00362C12" w:rsidRDefault="00362C12" w:rsidP="00920E96">
            <w:pPr>
              <w:jc w:val="center"/>
              <w:rPr>
                <w:rFonts w:ascii="宋体" w:eastAsia="宋体" w:hAnsi="宋体" w:cs="宋体"/>
                <w:b/>
                <w:bCs/>
                <w:color w:val="000000"/>
                <w:sz w:val="18"/>
                <w:szCs w:val="18"/>
              </w:rPr>
            </w:pPr>
            <w:r w:rsidRPr="00362C12">
              <w:rPr>
                <w:rFonts w:ascii="宋体" w:eastAsia="宋体" w:hAnsi="宋体" w:hint="eastAsia"/>
                <w:b/>
                <w:bCs/>
                <w:color w:val="000000"/>
                <w:sz w:val="18"/>
                <w:szCs w:val="18"/>
              </w:rPr>
              <w:t>标准差</w:t>
            </w:r>
          </w:p>
        </w:tc>
        <w:tc>
          <w:tcPr>
            <w:tcW w:w="709" w:type="dxa"/>
            <w:tcBorders>
              <w:left w:val="single" w:sz="6" w:space="0" w:color="FF6600"/>
              <w:right w:val="single" w:sz="6" w:space="0" w:color="FF6600"/>
            </w:tcBorders>
            <w:shd w:val="clear" w:color="auto" w:fill="auto"/>
            <w:vAlign w:val="center"/>
          </w:tcPr>
          <w:p w:rsidR="00137D07" w:rsidRDefault="00362C12" w:rsidP="00920E96">
            <w:pPr>
              <w:jc w:val="center"/>
              <w:rPr>
                <w:rFonts w:ascii="宋体" w:eastAsia="宋体" w:hAnsi="宋体"/>
                <w:b/>
                <w:bCs/>
                <w:color w:val="000000"/>
                <w:sz w:val="18"/>
                <w:szCs w:val="18"/>
              </w:rPr>
            </w:pPr>
            <w:r>
              <w:rPr>
                <w:rFonts w:ascii="宋体" w:eastAsia="宋体" w:hAnsi="宋体" w:hint="eastAsia"/>
                <w:b/>
                <w:bCs/>
                <w:color w:val="000000"/>
                <w:sz w:val="18"/>
                <w:szCs w:val="18"/>
              </w:rPr>
              <w:t>下行</w:t>
            </w:r>
          </w:p>
          <w:p w:rsidR="00362C12" w:rsidRPr="00362C12" w:rsidRDefault="00362C12" w:rsidP="00920E96">
            <w:pPr>
              <w:jc w:val="center"/>
              <w:rPr>
                <w:rFonts w:ascii="宋体" w:eastAsia="宋体" w:hAnsi="宋体" w:cs="宋体"/>
                <w:b/>
                <w:bCs/>
                <w:color w:val="000000"/>
                <w:sz w:val="18"/>
                <w:szCs w:val="18"/>
              </w:rPr>
            </w:pPr>
            <w:r>
              <w:rPr>
                <w:rFonts w:ascii="宋体" w:eastAsia="宋体" w:hAnsi="宋体" w:hint="eastAsia"/>
                <w:b/>
                <w:bCs/>
                <w:color w:val="000000"/>
                <w:sz w:val="18"/>
                <w:szCs w:val="18"/>
              </w:rPr>
              <w:t>风险</w:t>
            </w:r>
          </w:p>
        </w:tc>
        <w:tc>
          <w:tcPr>
            <w:tcW w:w="709" w:type="dxa"/>
            <w:tcBorders>
              <w:left w:val="single" w:sz="6" w:space="0" w:color="FF6600"/>
              <w:right w:val="single" w:sz="6" w:space="0" w:color="FF6600"/>
            </w:tcBorders>
            <w:shd w:val="clear" w:color="auto" w:fill="auto"/>
            <w:vAlign w:val="center"/>
          </w:tcPr>
          <w:p w:rsidR="00362C12" w:rsidRPr="00362C12" w:rsidRDefault="00362C12" w:rsidP="00920E96">
            <w:pPr>
              <w:jc w:val="center"/>
              <w:rPr>
                <w:rFonts w:ascii="宋体" w:eastAsia="宋体" w:hAnsi="宋体" w:cs="宋体"/>
                <w:b/>
                <w:bCs/>
                <w:color w:val="000000"/>
                <w:sz w:val="18"/>
                <w:szCs w:val="18"/>
              </w:rPr>
            </w:pPr>
            <w:r w:rsidRPr="00362C12">
              <w:rPr>
                <w:rFonts w:ascii="宋体" w:eastAsia="宋体" w:hAnsi="宋体" w:hint="eastAsia"/>
                <w:b/>
                <w:bCs/>
                <w:color w:val="000000"/>
                <w:sz w:val="18"/>
                <w:szCs w:val="18"/>
              </w:rPr>
              <w:t>收益率</w:t>
            </w:r>
          </w:p>
        </w:tc>
        <w:tc>
          <w:tcPr>
            <w:tcW w:w="709" w:type="dxa"/>
            <w:tcBorders>
              <w:left w:val="single" w:sz="6" w:space="0" w:color="FF6600"/>
              <w:right w:val="single" w:sz="6" w:space="0" w:color="FF6600"/>
            </w:tcBorders>
            <w:shd w:val="clear" w:color="auto" w:fill="auto"/>
            <w:vAlign w:val="center"/>
          </w:tcPr>
          <w:p w:rsidR="00137D07" w:rsidRDefault="00362C12" w:rsidP="00920E96">
            <w:pPr>
              <w:jc w:val="center"/>
              <w:rPr>
                <w:rFonts w:ascii="宋体" w:eastAsia="宋体" w:hAnsi="宋体"/>
                <w:b/>
                <w:bCs/>
                <w:color w:val="000000"/>
                <w:sz w:val="18"/>
                <w:szCs w:val="18"/>
              </w:rPr>
            </w:pPr>
            <w:r w:rsidRPr="00362C12">
              <w:rPr>
                <w:rFonts w:ascii="宋体" w:eastAsia="宋体" w:hAnsi="宋体" w:hint="eastAsia"/>
                <w:b/>
                <w:bCs/>
                <w:color w:val="000000"/>
                <w:sz w:val="18"/>
                <w:szCs w:val="18"/>
              </w:rPr>
              <w:t>夏普</w:t>
            </w:r>
          </w:p>
          <w:p w:rsidR="00362C12" w:rsidRPr="00362C12" w:rsidRDefault="00362C12" w:rsidP="00920E96">
            <w:pPr>
              <w:jc w:val="center"/>
              <w:rPr>
                <w:rFonts w:ascii="宋体" w:eastAsia="宋体" w:hAnsi="宋体" w:cs="宋体"/>
                <w:b/>
                <w:bCs/>
                <w:color w:val="000000"/>
                <w:sz w:val="18"/>
                <w:szCs w:val="18"/>
              </w:rPr>
            </w:pPr>
            <w:r w:rsidRPr="00362C12">
              <w:rPr>
                <w:rFonts w:ascii="宋体" w:eastAsia="宋体" w:hAnsi="宋体" w:hint="eastAsia"/>
                <w:b/>
                <w:bCs/>
                <w:color w:val="000000"/>
                <w:sz w:val="18"/>
                <w:szCs w:val="18"/>
              </w:rPr>
              <w:t>比率</w:t>
            </w:r>
          </w:p>
        </w:tc>
        <w:tc>
          <w:tcPr>
            <w:tcW w:w="709" w:type="dxa"/>
            <w:tcBorders>
              <w:left w:val="single" w:sz="6" w:space="0" w:color="FF6600"/>
              <w:right w:val="single" w:sz="6" w:space="0" w:color="FF6600"/>
            </w:tcBorders>
            <w:shd w:val="clear" w:color="auto" w:fill="auto"/>
            <w:vAlign w:val="center"/>
          </w:tcPr>
          <w:p w:rsidR="00362C12" w:rsidRPr="00362C12" w:rsidRDefault="00362C12" w:rsidP="00920E96">
            <w:pPr>
              <w:jc w:val="center"/>
              <w:rPr>
                <w:rFonts w:ascii="宋体" w:eastAsia="宋体" w:hAnsi="宋体" w:cs="宋体"/>
                <w:b/>
                <w:bCs/>
                <w:color w:val="000000"/>
                <w:sz w:val="18"/>
                <w:szCs w:val="18"/>
              </w:rPr>
            </w:pPr>
            <w:r w:rsidRPr="00362C12">
              <w:rPr>
                <w:rFonts w:ascii="宋体" w:eastAsia="宋体" w:hAnsi="宋体" w:hint="eastAsia"/>
                <w:b/>
                <w:bCs/>
                <w:color w:val="000000"/>
                <w:sz w:val="18"/>
                <w:szCs w:val="18"/>
              </w:rPr>
              <w:t>标准差</w:t>
            </w:r>
          </w:p>
        </w:tc>
        <w:tc>
          <w:tcPr>
            <w:tcW w:w="709" w:type="dxa"/>
            <w:tcBorders>
              <w:left w:val="single" w:sz="6" w:space="0" w:color="FF6600"/>
            </w:tcBorders>
            <w:shd w:val="clear" w:color="auto" w:fill="auto"/>
            <w:vAlign w:val="center"/>
          </w:tcPr>
          <w:p w:rsidR="00137D07" w:rsidRDefault="00362C12" w:rsidP="00920E96">
            <w:pPr>
              <w:jc w:val="center"/>
              <w:rPr>
                <w:rFonts w:ascii="宋体" w:eastAsia="宋体" w:hAnsi="宋体"/>
                <w:b/>
                <w:bCs/>
                <w:color w:val="000000"/>
                <w:sz w:val="18"/>
                <w:szCs w:val="18"/>
              </w:rPr>
            </w:pPr>
            <w:r>
              <w:rPr>
                <w:rFonts w:ascii="宋体" w:eastAsia="宋体" w:hAnsi="宋体" w:hint="eastAsia"/>
                <w:b/>
                <w:bCs/>
                <w:color w:val="000000"/>
                <w:sz w:val="18"/>
                <w:szCs w:val="18"/>
              </w:rPr>
              <w:t>下行</w:t>
            </w:r>
          </w:p>
          <w:p w:rsidR="00362C12" w:rsidRPr="00362C12" w:rsidRDefault="00362C12" w:rsidP="00920E96">
            <w:pPr>
              <w:jc w:val="center"/>
              <w:rPr>
                <w:rFonts w:ascii="宋体" w:eastAsia="宋体" w:hAnsi="宋体" w:cs="宋体"/>
                <w:b/>
                <w:bCs/>
                <w:color w:val="000000"/>
                <w:sz w:val="18"/>
                <w:szCs w:val="18"/>
              </w:rPr>
            </w:pPr>
            <w:r>
              <w:rPr>
                <w:rFonts w:ascii="宋体" w:eastAsia="宋体" w:hAnsi="宋体" w:hint="eastAsia"/>
                <w:b/>
                <w:bCs/>
                <w:color w:val="000000"/>
                <w:sz w:val="18"/>
                <w:szCs w:val="18"/>
              </w:rPr>
              <w:t>风险</w:t>
            </w:r>
          </w:p>
        </w:tc>
      </w:tr>
      <w:tr w:rsidR="00362C12" w:rsidTr="00137D07">
        <w:trPr>
          <w:cantSplit/>
          <w:trHeight w:val="470"/>
        </w:trPr>
        <w:tc>
          <w:tcPr>
            <w:tcW w:w="638" w:type="dxa"/>
            <w:vMerge w:val="restart"/>
            <w:tcBorders>
              <w:right w:val="single" w:sz="6" w:space="0" w:color="FF6600"/>
            </w:tcBorders>
            <w:shd w:val="clear" w:color="auto" w:fill="auto"/>
            <w:vAlign w:val="center"/>
          </w:tcPr>
          <w:p w:rsidR="00362C12" w:rsidRPr="00014D59" w:rsidRDefault="00362C12" w:rsidP="00362C12">
            <w:pPr>
              <w:jc w:val="center"/>
              <w:rPr>
                <w:rFonts w:ascii="宋体" w:eastAsia="宋体" w:hAnsi="宋体"/>
                <w:b/>
                <w:sz w:val="18"/>
                <w:szCs w:val="18"/>
              </w:rPr>
            </w:pPr>
            <w:r>
              <w:rPr>
                <w:rFonts w:ascii="宋体" w:eastAsia="宋体" w:hAnsi="宋体"/>
                <w:b/>
                <w:sz w:val="18"/>
                <w:szCs w:val="18"/>
              </w:rPr>
              <w:t>股票多头策略</w:t>
            </w:r>
          </w:p>
        </w:tc>
        <w:tc>
          <w:tcPr>
            <w:tcW w:w="639" w:type="dxa"/>
            <w:tcBorders>
              <w:right w:val="single" w:sz="6" w:space="0" w:color="FF6600"/>
            </w:tcBorders>
            <w:shd w:val="clear" w:color="auto" w:fill="auto"/>
            <w:vAlign w:val="center"/>
          </w:tcPr>
          <w:p w:rsidR="00362C12" w:rsidRPr="00014D59" w:rsidRDefault="00362C12" w:rsidP="00362C12">
            <w:pPr>
              <w:jc w:val="center"/>
              <w:rPr>
                <w:rFonts w:ascii="宋体" w:eastAsia="宋体" w:hAnsi="宋体"/>
                <w:b/>
                <w:sz w:val="18"/>
                <w:szCs w:val="18"/>
              </w:rPr>
            </w:pPr>
            <w:r>
              <w:rPr>
                <w:rFonts w:ascii="宋体" w:eastAsia="宋体" w:hAnsi="宋体"/>
                <w:b/>
                <w:sz w:val="18"/>
                <w:szCs w:val="18"/>
              </w:rPr>
              <w:t>管理型</w:t>
            </w:r>
          </w:p>
        </w:tc>
        <w:tc>
          <w:tcPr>
            <w:tcW w:w="737"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Theme="minorEastAsia" w:hAnsiTheme="minorEastAsia" w:cs="宋体"/>
                <w:color w:val="FF0000"/>
                <w:sz w:val="18"/>
                <w:szCs w:val="18"/>
              </w:rPr>
            </w:pPr>
            <w:r w:rsidRPr="00362C12">
              <w:rPr>
                <w:rFonts w:asciiTheme="minorEastAsia" w:hAnsiTheme="minorEastAsia" w:hint="eastAsia"/>
                <w:color w:val="FF0000"/>
                <w:sz w:val="18"/>
                <w:szCs w:val="18"/>
              </w:rPr>
              <w:t>-1.95%</w:t>
            </w:r>
          </w:p>
        </w:tc>
        <w:tc>
          <w:tcPr>
            <w:tcW w:w="737"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Theme="minorEastAsia" w:hAnsiTheme="minorEastAsia" w:cs="宋体"/>
                <w:sz w:val="18"/>
                <w:szCs w:val="18"/>
              </w:rPr>
            </w:pPr>
            <w:r w:rsidRPr="00362C12">
              <w:rPr>
                <w:rFonts w:asciiTheme="minorEastAsia" w:hAnsiTheme="minorEastAsia" w:hint="eastAsia"/>
                <w:sz w:val="18"/>
                <w:szCs w:val="18"/>
              </w:rPr>
              <w:t>4.22%</w:t>
            </w:r>
          </w:p>
        </w:tc>
        <w:tc>
          <w:tcPr>
            <w:tcW w:w="737"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Theme="minorEastAsia" w:hAnsiTheme="minorEastAsia" w:cs="宋体"/>
                <w:sz w:val="18"/>
                <w:szCs w:val="18"/>
              </w:rPr>
            </w:pPr>
            <w:r w:rsidRPr="00362C12">
              <w:rPr>
                <w:rFonts w:asciiTheme="minorEastAsia" w:hAnsiTheme="minorEastAsia" w:hint="eastAsia"/>
                <w:sz w:val="18"/>
                <w:szCs w:val="18"/>
              </w:rPr>
              <w:t>12.17%</w:t>
            </w:r>
          </w:p>
        </w:tc>
        <w:tc>
          <w:tcPr>
            <w:tcW w:w="709"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Theme="minorEastAsia" w:hAnsiTheme="minorEastAsia" w:cs="宋体"/>
                <w:sz w:val="18"/>
                <w:szCs w:val="18"/>
              </w:rPr>
            </w:pPr>
            <w:r w:rsidRPr="00362C12">
              <w:rPr>
                <w:rFonts w:asciiTheme="minorEastAsia" w:hAnsiTheme="minorEastAsia" w:hint="eastAsia"/>
                <w:sz w:val="18"/>
                <w:szCs w:val="18"/>
              </w:rPr>
              <w:t>15.44%</w:t>
            </w:r>
          </w:p>
        </w:tc>
        <w:tc>
          <w:tcPr>
            <w:tcW w:w="709"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Theme="minorEastAsia" w:hAnsiTheme="minorEastAsia" w:cs="宋体"/>
                <w:sz w:val="18"/>
                <w:szCs w:val="18"/>
              </w:rPr>
            </w:pPr>
            <w:r w:rsidRPr="00362C12">
              <w:rPr>
                <w:rFonts w:asciiTheme="minorEastAsia" w:hAnsiTheme="minorEastAsia" w:hint="eastAsia"/>
                <w:sz w:val="18"/>
                <w:szCs w:val="18"/>
              </w:rPr>
              <w:t>0.59</w:t>
            </w:r>
          </w:p>
        </w:tc>
        <w:tc>
          <w:tcPr>
            <w:tcW w:w="709"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Theme="minorEastAsia" w:hAnsiTheme="minorEastAsia" w:cs="宋体"/>
                <w:sz w:val="18"/>
                <w:szCs w:val="18"/>
              </w:rPr>
            </w:pPr>
            <w:r w:rsidRPr="00362C12">
              <w:rPr>
                <w:rFonts w:asciiTheme="minorEastAsia" w:hAnsiTheme="minorEastAsia" w:hint="eastAsia"/>
                <w:sz w:val="18"/>
                <w:szCs w:val="18"/>
              </w:rPr>
              <w:t>21.18%</w:t>
            </w:r>
          </w:p>
        </w:tc>
        <w:tc>
          <w:tcPr>
            <w:tcW w:w="709"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Theme="minorEastAsia" w:hAnsiTheme="minorEastAsia" w:cs="宋体"/>
                <w:sz w:val="18"/>
                <w:szCs w:val="18"/>
              </w:rPr>
            </w:pPr>
            <w:r w:rsidRPr="00362C12">
              <w:rPr>
                <w:rFonts w:asciiTheme="minorEastAsia" w:hAnsiTheme="minorEastAsia" w:hint="eastAsia"/>
                <w:sz w:val="18"/>
                <w:szCs w:val="18"/>
              </w:rPr>
              <w:t>21.00%</w:t>
            </w:r>
          </w:p>
        </w:tc>
        <w:tc>
          <w:tcPr>
            <w:tcW w:w="709"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Theme="minorEastAsia" w:hAnsiTheme="minorEastAsia" w:cs="宋体"/>
                <w:sz w:val="18"/>
                <w:szCs w:val="18"/>
              </w:rPr>
            </w:pPr>
            <w:r w:rsidRPr="00362C12">
              <w:rPr>
                <w:rFonts w:asciiTheme="minorEastAsia" w:hAnsiTheme="minorEastAsia" w:hint="eastAsia"/>
                <w:sz w:val="18"/>
                <w:szCs w:val="18"/>
              </w:rPr>
              <w:t>6.44%</w:t>
            </w:r>
          </w:p>
        </w:tc>
        <w:tc>
          <w:tcPr>
            <w:tcW w:w="709"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Theme="minorEastAsia" w:hAnsiTheme="minorEastAsia" w:cs="宋体"/>
                <w:sz w:val="18"/>
                <w:szCs w:val="18"/>
              </w:rPr>
            </w:pPr>
            <w:r w:rsidRPr="00362C12">
              <w:rPr>
                <w:rFonts w:asciiTheme="minorEastAsia" w:hAnsiTheme="minorEastAsia" w:hint="eastAsia"/>
                <w:sz w:val="18"/>
                <w:szCs w:val="18"/>
              </w:rPr>
              <w:t>5.04%</w:t>
            </w:r>
          </w:p>
        </w:tc>
        <w:tc>
          <w:tcPr>
            <w:tcW w:w="709"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Theme="minorEastAsia" w:hAnsiTheme="minorEastAsia" w:cs="宋体"/>
                <w:sz w:val="18"/>
                <w:szCs w:val="18"/>
              </w:rPr>
            </w:pPr>
            <w:r w:rsidRPr="00362C12">
              <w:rPr>
                <w:rFonts w:asciiTheme="minorEastAsia" w:hAnsiTheme="minorEastAsia" w:hint="eastAsia"/>
                <w:sz w:val="18"/>
                <w:szCs w:val="18"/>
              </w:rPr>
              <w:t>26.24%</w:t>
            </w:r>
          </w:p>
        </w:tc>
        <w:tc>
          <w:tcPr>
            <w:tcW w:w="709"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Theme="minorEastAsia" w:hAnsiTheme="minorEastAsia" w:cs="宋体"/>
                <w:sz w:val="18"/>
                <w:szCs w:val="18"/>
              </w:rPr>
            </w:pPr>
            <w:r w:rsidRPr="00362C12">
              <w:rPr>
                <w:rFonts w:asciiTheme="minorEastAsia" w:hAnsiTheme="minorEastAsia" w:hint="eastAsia"/>
                <w:sz w:val="18"/>
                <w:szCs w:val="18"/>
              </w:rPr>
              <w:t>43.93%</w:t>
            </w:r>
          </w:p>
        </w:tc>
        <w:tc>
          <w:tcPr>
            <w:tcW w:w="709" w:type="dxa"/>
            <w:tcBorders>
              <w:left w:val="single" w:sz="6" w:space="0" w:color="FF6600"/>
              <w:right w:val="single" w:sz="6" w:space="0" w:color="FF6600"/>
            </w:tcBorders>
            <w:shd w:val="clear" w:color="auto" w:fill="auto"/>
            <w:vAlign w:val="center"/>
          </w:tcPr>
          <w:p w:rsidR="00362C12" w:rsidRPr="00137D07" w:rsidRDefault="00362C12" w:rsidP="00362C12">
            <w:pPr>
              <w:jc w:val="center"/>
              <w:rPr>
                <w:rFonts w:asciiTheme="minorEastAsia" w:hAnsiTheme="minorEastAsia" w:cs="宋体"/>
                <w:color w:val="FF0000"/>
                <w:sz w:val="18"/>
                <w:szCs w:val="18"/>
              </w:rPr>
            </w:pPr>
            <w:r w:rsidRPr="00137D07">
              <w:rPr>
                <w:rFonts w:asciiTheme="minorEastAsia" w:hAnsiTheme="minorEastAsia" w:hint="eastAsia"/>
                <w:color w:val="FF0000"/>
                <w:sz w:val="18"/>
                <w:szCs w:val="18"/>
              </w:rPr>
              <w:t>-4.94%</w:t>
            </w:r>
          </w:p>
        </w:tc>
        <w:tc>
          <w:tcPr>
            <w:tcW w:w="709" w:type="dxa"/>
            <w:tcBorders>
              <w:left w:val="single" w:sz="6" w:space="0" w:color="FF6600"/>
              <w:right w:val="single" w:sz="6" w:space="0" w:color="FF6600"/>
            </w:tcBorders>
            <w:shd w:val="clear" w:color="auto" w:fill="auto"/>
            <w:vAlign w:val="center"/>
          </w:tcPr>
          <w:p w:rsidR="00362C12" w:rsidRPr="00137D07" w:rsidRDefault="00362C12" w:rsidP="00362C12">
            <w:pPr>
              <w:jc w:val="center"/>
              <w:rPr>
                <w:rFonts w:asciiTheme="minorEastAsia" w:hAnsiTheme="minorEastAsia" w:cs="宋体"/>
                <w:color w:val="FF0000"/>
                <w:sz w:val="18"/>
                <w:szCs w:val="18"/>
              </w:rPr>
            </w:pPr>
            <w:r w:rsidRPr="00137D07">
              <w:rPr>
                <w:rFonts w:asciiTheme="minorEastAsia" w:hAnsiTheme="minorEastAsia" w:hint="eastAsia"/>
                <w:color w:val="FF0000"/>
                <w:sz w:val="18"/>
                <w:szCs w:val="18"/>
              </w:rPr>
              <w:t>-37.02%</w:t>
            </w:r>
          </w:p>
        </w:tc>
        <w:tc>
          <w:tcPr>
            <w:tcW w:w="709"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Theme="minorEastAsia" w:hAnsiTheme="minorEastAsia" w:cs="宋体"/>
                <w:sz w:val="18"/>
                <w:szCs w:val="18"/>
              </w:rPr>
            </w:pPr>
            <w:r w:rsidRPr="00362C12">
              <w:rPr>
                <w:rFonts w:asciiTheme="minorEastAsia" w:hAnsiTheme="minorEastAsia" w:hint="eastAsia"/>
                <w:sz w:val="18"/>
                <w:szCs w:val="18"/>
              </w:rPr>
              <w:t>32.06%</w:t>
            </w:r>
          </w:p>
        </w:tc>
        <w:tc>
          <w:tcPr>
            <w:tcW w:w="709" w:type="dxa"/>
            <w:tcBorders>
              <w:left w:val="single" w:sz="6" w:space="0" w:color="FF6600"/>
            </w:tcBorders>
            <w:shd w:val="clear" w:color="auto" w:fill="auto"/>
            <w:vAlign w:val="center"/>
          </w:tcPr>
          <w:p w:rsidR="00362C12" w:rsidRPr="00362C12" w:rsidRDefault="00362C12" w:rsidP="00362C12">
            <w:pPr>
              <w:jc w:val="center"/>
              <w:rPr>
                <w:rFonts w:asciiTheme="minorEastAsia" w:hAnsiTheme="minorEastAsia" w:cs="宋体"/>
                <w:sz w:val="18"/>
                <w:szCs w:val="18"/>
              </w:rPr>
            </w:pPr>
            <w:r w:rsidRPr="00362C12">
              <w:rPr>
                <w:rFonts w:asciiTheme="minorEastAsia" w:hAnsiTheme="minorEastAsia" w:hint="eastAsia"/>
                <w:sz w:val="18"/>
                <w:szCs w:val="18"/>
              </w:rPr>
              <w:t>74.12%</w:t>
            </w:r>
          </w:p>
        </w:tc>
      </w:tr>
      <w:tr w:rsidR="00362C12" w:rsidTr="00137D07">
        <w:trPr>
          <w:cantSplit/>
          <w:trHeight w:val="470"/>
        </w:trPr>
        <w:tc>
          <w:tcPr>
            <w:tcW w:w="638" w:type="dxa"/>
            <w:vMerge/>
            <w:tcBorders>
              <w:right w:val="single" w:sz="6" w:space="0" w:color="FF6600"/>
            </w:tcBorders>
            <w:shd w:val="clear" w:color="auto" w:fill="auto"/>
            <w:vAlign w:val="center"/>
          </w:tcPr>
          <w:p w:rsidR="00362C12" w:rsidRPr="00014D59" w:rsidRDefault="00362C12" w:rsidP="00362C12">
            <w:pPr>
              <w:jc w:val="center"/>
              <w:rPr>
                <w:rFonts w:ascii="宋体" w:eastAsia="宋体" w:hAnsi="宋体"/>
                <w:b/>
                <w:sz w:val="18"/>
                <w:szCs w:val="18"/>
              </w:rPr>
            </w:pPr>
          </w:p>
        </w:tc>
        <w:tc>
          <w:tcPr>
            <w:tcW w:w="639" w:type="dxa"/>
            <w:tcBorders>
              <w:right w:val="single" w:sz="6" w:space="0" w:color="FF6600"/>
            </w:tcBorders>
            <w:shd w:val="clear" w:color="auto" w:fill="auto"/>
            <w:vAlign w:val="center"/>
          </w:tcPr>
          <w:p w:rsidR="00362C12" w:rsidRPr="00014D59" w:rsidRDefault="00362C12" w:rsidP="00362C12">
            <w:pPr>
              <w:jc w:val="center"/>
              <w:rPr>
                <w:rFonts w:ascii="宋体" w:eastAsia="宋体" w:hAnsi="宋体"/>
                <w:b/>
                <w:sz w:val="18"/>
                <w:szCs w:val="18"/>
              </w:rPr>
            </w:pPr>
            <w:r>
              <w:rPr>
                <w:rFonts w:ascii="宋体" w:eastAsia="宋体" w:hAnsi="宋体"/>
                <w:b/>
                <w:sz w:val="18"/>
                <w:szCs w:val="18"/>
              </w:rPr>
              <w:t>分级型</w:t>
            </w:r>
          </w:p>
        </w:tc>
        <w:tc>
          <w:tcPr>
            <w:tcW w:w="737"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Theme="minorEastAsia" w:hAnsiTheme="minorEastAsia" w:cs="宋体"/>
                <w:color w:val="FF0000"/>
                <w:sz w:val="18"/>
                <w:szCs w:val="18"/>
              </w:rPr>
            </w:pPr>
            <w:r w:rsidRPr="00362C12">
              <w:rPr>
                <w:rFonts w:asciiTheme="minorEastAsia" w:hAnsiTheme="minorEastAsia" w:hint="eastAsia"/>
                <w:color w:val="FF0000"/>
                <w:sz w:val="18"/>
                <w:szCs w:val="18"/>
              </w:rPr>
              <w:t>-2.84%</w:t>
            </w:r>
          </w:p>
        </w:tc>
        <w:tc>
          <w:tcPr>
            <w:tcW w:w="737"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Theme="minorEastAsia" w:hAnsiTheme="minorEastAsia" w:cs="宋体"/>
                <w:sz w:val="18"/>
                <w:szCs w:val="18"/>
              </w:rPr>
            </w:pPr>
            <w:r w:rsidRPr="00362C12">
              <w:rPr>
                <w:rFonts w:asciiTheme="minorEastAsia" w:hAnsiTheme="minorEastAsia" w:hint="eastAsia"/>
                <w:sz w:val="18"/>
                <w:szCs w:val="18"/>
              </w:rPr>
              <w:t>1.31%</w:t>
            </w:r>
          </w:p>
        </w:tc>
        <w:tc>
          <w:tcPr>
            <w:tcW w:w="737"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Theme="minorEastAsia" w:hAnsiTheme="minorEastAsia" w:cs="宋体"/>
                <w:sz w:val="18"/>
                <w:szCs w:val="18"/>
              </w:rPr>
            </w:pPr>
            <w:r w:rsidRPr="00362C12">
              <w:rPr>
                <w:rFonts w:asciiTheme="minorEastAsia" w:hAnsiTheme="minorEastAsia" w:hint="eastAsia"/>
                <w:sz w:val="18"/>
                <w:szCs w:val="18"/>
              </w:rPr>
              <w:t>5.20%</w:t>
            </w:r>
          </w:p>
        </w:tc>
        <w:tc>
          <w:tcPr>
            <w:tcW w:w="709"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Theme="minorEastAsia" w:hAnsiTheme="minorEastAsia" w:cs="宋体"/>
                <w:sz w:val="18"/>
                <w:szCs w:val="18"/>
              </w:rPr>
            </w:pPr>
            <w:r w:rsidRPr="00362C12">
              <w:rPr>
                <w:rFonts w:asciiTheme="minorEastAsia" w:hAnsiTheme="minorEastAsia" w:hint="eastAsia"/>
                <w:sz w:val="18"/>
                <w:szCs w:val="18"/>
              </w:rPr>
              <w:t>10.23%</w:t>
            </w:r>
          </w:p>
        </w:tc>
        <w:tc>
          <w:tcPr>
            <w:tcW w:w="709"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Theme="minorEastAsia" w:hAnsiTheme="minorEastAsia" w:cs="宋体"/>
                <w:sz w:val="18"/>
                <w:szCs w:val="18"/>
              </w:rPr>
            </w:pPr>
            <w:r w:rsidRPr="00362C12">
              <w:rPr>
                <w:rFonts w:asciiTheme="minorEastAsia" w:hAnsiTheme="minorEastAsia" w:hint="eastAsia"/>
                <w:sz w:val="18"/>
                <w:szCs w:val="18"/>
              </w:rPr>
              <w:t>0.37</w:t>
            </w:r>
          </w:p>
        </w:tc>
        <w:tc>
          <w:tcPr>
            <w:tcW w:w="709"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Theme="minorEastAsia" w:hAnsiTheme="minorEastAsia" w:cs="宋体"/>
                <w:sz w:val="18"/>
                <w:szCs w:val="18"/>
              </w:rPr>
            </w:pPr>
            <w:r w:rsidRPr="00362C12">
              <w:rPr>
                <w:rFonts w:asciiTheme="minorEastAsia" w:hAnsiTheme="minorEastAsia" w:hint="eastAsia"/>
                <w:sz w:val="18"/>
                <w:szCs w:val="18"/>
              </w:rPr>
              <w:t>24.17%</w:t>
            </w:r>
          </w:p>
        </w:tc>
        <w:tc>
          <w:tcPr>
            <w:tcW w:w="709"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Theme="minorEastAsia" w:hAnsiTheme="minorEastAsia" w:cs="宋体"/>
                <w:sz w:val="18"/>
                <w:szCs w:val="18"/>
              </w:rPr>
            </w:pPr>
            <w:r w:rsidRPr="00362C12">
              <w:rPr>
                <w:rFonts w:asciiTheme="minorEastAsia" w:hAnsiTheme="minorEastAsia" w:hint="eastAsia"/>
                <w:sz w:val="18"/>
                <w:szCs w:val="18"/>
              </w:rPr>
              <w:t>27.18%</w:t>
            </w:r>
          </w:p>
        </w:tc>
        <w:tc>
          <w:tcPr>
            <w:tcW w:w="709"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Theme="minorEastAsia" w:hAnsiTheme="minorEastAsia" w:cs="宋体"/>
                <w:sz w:val="18"/>
                <w:szCs w:val="18"/>
              </w:rPr>
            </w:pPr>
            <w:r w:rsidRPr="00362C12">
              <w:rPr>
                <w:rFonts w:asciiTheme="minorEastAsia" w:hAnsiTheme="minorEastAsia" w:hint="eastAsia"/>
                <w:sz w:val="18"/>
                <w:szCs w:val="18"/>
              </w:rPr>
              <w:t>2.83%</w:t>
            </w:r>
          </w:p>
        </w:tc>
        <w:tc>
          <w:tcPr>
            <w:tcW w:w="709"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Theme="minorEastAsia" w:hAnsiTheme="minorEastAsia" w:cs="宋体"/>
                <w:sz w:val="18"/>
                <w:szCs w:val="18"/>
              </w:rPr>
            </w:pPr>
            <w:r w:rsidRPr="00362C12">
              <w:rPr>
                <w:rFonts w:asciiTheme="minorEastAsia" w:hAnsiTheme="minorEastAsia" w:hint="eastAsia"/>
                <w:sz w:val="18"/>
                <w:szCs w:val="18"/>
              </w:rPr>
              <w:t>5.09%</w:t>
            </w:r>
          </w:p>
        </w:tc>
        <w:tc>
          <w:tcPr>
            <w:tcW w:w="709"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Theme="minorEastAsia" w:hAnsiTheme="minorEastAsia" w:cs="宋体"/>
                <w:sz w:val="18"/>
                <w:szCs w:val="18"/>
              </w:rPr>
            </w:pPr>
            <w:r w:rsidRPr="00362C12">
              <w:rPr>
                <w:rFonts w:asciiTheme="minorEastAsia" w:hAnsiTheme="minorEastAsia" w:hint="eastAsia"/>
                <w:sz w:val="18"/>
                <w:szCs w:val="18"/>
              </w:rPr>
              <w:t>31.31%</w:t>
            </w:r>
          </w:p>
        </w:tc>
        <w:tc>
          <w:tcPr>
            <w:tcW w:w="709"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Theme="minorEastAsia" w:hAnsiTheme="minorEastAsia" w:cs="宋体"/>
                <w:sz w:val="18"/>
                <w:szCs w:val="18"/>
              </w:rPr>
            </w:pPr>
            <w:r w:rsidRPr="00362C12">
              <w:rPr>
                <w:rFonts w:asciiTheme="minorEastAsia" w:hAnsiTheme="minorEastAsia" w:hint="eastAsia"/>
                <w:sz w:val="18"/>
                <w:szCs w:val="18"/>
              </w:rPr>
              <w:t>56.94%</w:t>
            </w:r>
          </w:p>
        </w:tc>
        <w:tc>
          <w:tcPr>
            <w:tcW w:w="709" w:type="dxa"/>
            <w:tcBorders>
              <w:left w:val="single" w:sz="6" w:space="0" w:color="FF6600"/>
              <w:right w:val="single" w:sz="6" w:space="0" w:color="FF6600"/>
            </w:tcBorders>
            <w:shd w:val="clear" w:color="auto" w:fill="auto"/>
            <w:vAlign w:val="center"/>
          </w:tcPr>
          <w:p w:rsidR="00362C12" w:rsidRPr="00137D07" w:rsidRDefault="00362C12" w:rsidP="00362C12">
            <w:pPr>
              <w:jc w:val="center"/>
              <w:rPr>
                <w:rFonts w:asciiTheme="minorEastAsia" w:hAnsiTheme="minorEastAsia" w:cs="宋体"/>
                <w:color w:val="FF0000"/>
                <w:sz w:val="18"/>
                <w:szCs w:val="18"/>
              </w:rPr>
            </w:pPr>
            <w:r w:rsidRPr="00137D07">
              <w:rPr>
                <w:rFonts w:asciiTheme="minorEastAsia" w:hAnsiTheme="minorEastAsia" w:hint="eastAsia"/>
                <w:color w:val="FF0000"/>
                <w:sz w:val="18"/>
                <w:szCs w:val="18"/>
              </w:rPr>
              <w:t>-7.09%</w:t>
            </w:r>
          </w:p>
        </w:tc>
        <w:tc>
          <w:tcPr>
            <w:tcW w:w="709" w:type="dxa"/>
            <w:tcBorders>
              <w:left w:val="single" w:sz="6" w:space="0" w:color="FF6600"/>
              <w:right w:val="single" w:sz="6" w:space="0" w:color="FF6600"/>
            </w:tcBorders>
            <w:shd w:val="clear" w:color="auto" w:fill="auto"/>
            <w:vAlign w:val="center"/>
          </w:tcPr>
          <w:p w:rsidR="00362C12" w:rsidRPr="00137D07" w:rsidRDefault="00362C12" w:rsidP="00362C12">
            <w:pPr>
              <w:jc w:val="center"/>
              <w:rPr>
                <w:rFonts w:asciiTheme="minorEastAsia" w:hAnsiTheme="minorEastAsia" w:cs="宋体"/>
                <w:color w:val="FF0000"/>
                <w:sz w:val="18"/>
                <w:szCs w:val="18"/>
              </w:rPr>
            </w:pPr>
            <w:r w:rsidRPr="00137D07">
              <w:rPr>
                <w:rFonts w:asciiTheme="minorEastAsia" w:hAnsiTheme="minorEastAsia" w:hint="eastAsia"/>
                <w:color w:val="FF0000"/>
                <w:sz w:val="18"/>
                <w:szCs w:val="18"/>
              </w:rPr>
              <w:t>-27.60%</w:t>
            </w:r>
          </w:p>
        </w:tc>
        <w:tc>
          <w:tcPr>
            <w:tcW w:w="709"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Theme="minorEastAsia" w:hAnsiTheme="minorEastAsia" w:cs="宋体"/>
                <w:sz w:val="18"/>
                <w:szCs w:val="18"/>
              </w:rPr>
            </w:pPr>
            <w:r w:rsidRPr="00362C12">
              <w:rPr>
                <w:rFonts w:asciiTheme="minorEastAsia" w:hAnsiTheme="minorEastAsia" w:hint="eastAsia"/>
                <w:sz w:val="18"/>
                <w:szCs w:val="18"/>
              </w:rPr>
              <w:t>37.16%</w:t>
            </w:r>
          </w:p>
        </w:tc>
        <w:tc>
          <w:tcPr>
            <w:tcW w:w="709" w:type="dxa"/>
            <w:tcBorders>
              <w:left w:val="single" w:sz="6" w:space="0" w:color="FF6600"/>
            </w:tcBorders>
            <w:shd w:val="clear" w:color="auto" w:fill="auto"/>
            <w:vAlign w:val="center"/>
          </w:tcPr>
          <w:p w:rsidR="00362C12" w:rsidRPr="00362C12" w:rsidRDefault="00362C12" w:rsidP="00362C12">
            <w:pPr>
              <w:jc w:val="center"/>
              <w:rPr>
                <w:rFonts w:asciiTheme="minorEastAsia" w:hAnsiTheme="minorEastAsia" w:cs="宋体"/>
                <w:sz w:val="18"/>
                <w:szCs w:val="18"/>
              </w:rPr>
            </w:pPr>
            <w:r w:rsidRPr="00362C12">
              <w:rPr>
                <w:rFonts w:asciiTheme="minorEastAsia" w:hAnsiTheme="minorEastAsia" w:hint="eastAsia"/>
                <w:sz w:val="18"/>
                <w:szCs w:val="18"/>
              </w:rPr>
              <w:t>90.31%</w:t>
            </w:r>
          </w:p>
        </w:tc>
      </w:tr>
      <w:tr w:rsidR="00362C12" w:rsidTr="00137D07">
        <w:trPr>
          <w:cantSplit/>
          <w:trHeight w:val="470"/>
        </w:trPr>
        <w:tc>
          <w:tcPr>
            <w:tcW w:w="1277" w:type="dxa"/>
            <w:gridSpan w:val="2"/>
            <w:tcBorders>
              <w:right w:val="single" w:sz="6" w:space="0" w:color="FF6600"/>
            </w:tcBorders>
            <w:shd w:val="clear" w:color="auto" w:fill="auto"/>
            <w:vAlign w:val="center"/>
          </w:tcPr>
          <w:p w:rsidR="00362C12" w:rsidRPr="00362C12" w:rsidRDefault="00362C12" w:rsidP="00362C12">
            <w:pPr>
              <w:jc w:val="center"/>
              <w:rPr>
                <w:rFonts w:ascii="宋体" w:eastAsia="宋体" w:hAnsi="宋体"/>
                <w:b/>
                <w:sz w:val="18"/>
                <w:szCs w:val="18"/>
              </w:rPr>
            </w:pPr>
            <w:r w:rsidRPr="00362C12">
              <w:rPr>
                <w:rFonts w:ascii="宋体" w:eastAsia="宋体" w:hAnsi="宋体" w:hint="eastAsia"/>
                <w:b/>
                <w:sz w:val="18"/>
                <w:szCs w:val="18"/>
              </w:rPr>
              <w:t>股票对冲策略-市场中性策略</w:t>
            </w:r>
          </w:p>
        </w:tc>
        <w:tc>
          <w:tcPr>
            <w:tcW w:w="737"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宋体" w:eastAsia="宋体" w:hAnsi="宋体"/>
                <w:sz w:val="18"/>
                <w:szCs w:val="18"/>
              </w:rPr>
            </w:pPr>
            <w:r w:rsidRPr="00362C12">
              <w:rPr>
                <w:rFonts w:ascii="宋体" w:eastAsia="宋体" w:hAnsi="宋体" w:hint="eastAsia"/>
                <w:sz w:val="18"/>
                <w:szCs w:val="18"/>
              </w:rPr>
              <w:t>0.16%</w:t>
            </w:r>
          </w:p>
        </w:tc>
        <w:tc>
          <w:tcPr>
            <w:tcW w:w="737"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宋体" w:eastAsia="宋体" w:hAnsi="宋体"/>
                <w:sz w:val="18"/>
                <w:szCs w:val="18"/>
              </w:rPr>
            </w:pPr>
            <w:r w:rsidRPr="00362C12">
              <w:rPr>
                <w:rFonts w:ascii="宋体" w:eastAsia="宋体" w:hAnsi="宋体" w:hint="eastAsia"/>
                <w:sz w:val="18"/>
                <w:szCs w:val="18"/>
              </w:rPr>
              <w:t>0.77%</w:t>
            </w:r>
          </w:p>
        </w:tc>
        <w:tc>
          <w:tcPr>
            <w:tcW w:w="737"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宋体" w:eastAsia="宋体" w:hAnsi="宋体"/>
                <w:sz w:val="18"/>
                <w:szCs w:val="18"/>
              </w:rPr>
            </w:pPr>
            <w:r w:rsidRPr="00362C12">
              <w:rPr>
                <w:rFonts w:ascii="宋体" w:eastAsia="宋体" w:hAnsi="宋体" w:hint="eastAsia"/>
                <w:sz w:val="18"/>
                <w:szCs w:val="18"/>
              </w:rPr>
              <w:t>7.12%</w:t>
            </w:r>
          </w:p>
        </w:tc>
        <w:tc>
          <w:tcPr>
            <w:tcW w:w="709"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宋体" w:eastAsia="宋体" w:hAnsi="宋体"/>
                <w:sz w:val="18"/>
                <w:szCs w:val="18"/>
              </w:rPr>
            </w:pPr>
            <w:r w:rsidRPr="00362C12">
              <w:rPr>
                <w:rFonts w:ascii="宋体" w:eastAsia="宋体" w:hAnsi="宋体" w:hint="eastAsia"/>
                <w:sz w:val="18"/>
                <w:szCs w:val="18"/>
              </w:rPr>
              <w:t>6.20%</w:t>
            </w:r>
          </w:p>
        </w:tc>
        <w:tc>
          <w:tcPr>
            <w:tcW w:w="709"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宋体" w:eastAsia="宋体" w:hAnsi="宋体"/>
                <w:sz w:val="18"/>
                <w:szCs w:val="18"/>
              </w:rPr>
            </w:pPr>
            <w:r w:rsidRPr="00362C12">
              <w:rPr>
                <w:rFonts w:ascii="宋体" w:eastAsia="宋体" w:hAnsi="宋体" w:hint="eastAsia"/>
                <w:sz w:val="18"/>
                <w:szCs w:val="18"/>
              </w:rPr>
              <w:t xml:space="preserve">0.80 </w:t>
            </w:r>
          </w:p>
        </w:tc>
        <w:tc>
          <w:tcPr>
            <w:tcW w:w="709"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宋体" w:eastAsia="宋体" w:hAnsi="宋体"/>
                <w:sz w:val="18"/>
                <w:szCs w:val="18"/>
              </w:rPr>
            </w:pPr>
            <w:r w:rsidRPr="00362C12">
              <w:rPr>
                <w:rFonts w:ascii="宋体" w:eastAsia="宋体" w:hAnsi="宋体" w:hint="eastAsia"/>
                <w:sz w:val="18"/>
                <w:szCs w:val="18"/>
              </w:rPr>
              <w:t>4.53%</w:t>
            </w:r>
          </w:p>
        </w:tc>
        <w:tc>
          <w:tcPr>
            <w:tcW w:w="709"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宋体" w:eastAsia="宋体" w:hAnsi="宋体"/>
                <w:sz w:val="18"/>
                <w:szCs w:val="18"/>
              </w:rPr>
            </w:pPr>
            <w:r w:rsidRPr="00362C12">
              <w:rPr>
                <w:rFonts w:ascii="宋体" w:eastAsia="宋体" w:hAnsi="宋体" w:hint="eastAsia"/>
                <w:sz w:val="18"/>
                <w:szCs w:val="18"/>
              </w:rPr>
              <w:t>3.52%</w:t>
            </w:r>
          </w:p>
        </w:tc>
        <w:tc>
          <w:tcPr>
            <w:tcW w:w="709"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宋体" w:eastAsia="宋体" w:hAnsi="宋体"/>
                <w:sz w:val="18"/>
                <w:szCs w:val="18"/>
              </w:rPr>
            </w:pPr>
            <w:r w:rsidRPr="00362C12">
              <w:rPr>
                <w:rFonts w:ascii="宋体" w:eastAsia="宋体" w:hAnsi="宋体" w:hint="eastAsia"/>
                <w:sz w:val="18"/>
                <w:szCs w:val="18"/>
              </w:rPr>
              <w:t>——</w:t>
            </w:r>
          </w:p>
        </w:tc>
        <w:tc>
          <w:tcPr>
            <w:tcW w:w="709"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宋体" w:eastAsia="宋体" w:hAnsi="宋体"/>
                <w:sz w:val="18"/>
                <w:szCs w:val="18"/>
              </w:rPr>
            </w:pPr>
            <w:r w:rsidRPr="00362C12">
              <w:rPr>
                <w:rFonts w:ascii="宋体" w:eastAsia="宋体" w:hAnsi="宋体" w:hint="eastAsia"/>
                <w:sz w:val="18"/>
                <w:szCs w:val="18"/>
              </w:rPr>
              <w:t>——</w:t>
            </w:r>
          </w:p>
        </w:tc>
        <w:tc>
          <w:tcPr>
            <w:tcW w:w="709"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宋体" w:eastAsia="宋体" w:hAnsi="宋体"/>
                <w:sz w:val="18"/>
                <w:szCs w:val="18"/>
              </w:rPr>
            </w:pPr>
            <w:r w:rsidRPr="00362C12">
              <w:rPr>
                <w:rFonts w:ascii="宋体" w:eastAsia="宋体" w:hAnsi="宋体" w:hint="eastAsia"/>
                <w:sz w:val="18"/>
                <w:szCs w:val="18"/>
              </w:rPr>
              <w:t>——</w:t>
            </w:r>
          </w:p>
        </w:tc>
        <w:tc>
          <w:tcPr>
            <w:tcW w:w="709"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宋体" w:eastAsia="宋体" w:hAnsi="宋体"/>
                <w:sz w:val="18"/>
                <w:szCs w:val="18"/>
              </w:rPr>
            </w:pPr>
            <w:r w:rsidRPr="00362C12">
              <w:rPr>
                <w:rFonts w:ascii="宋体" w:eastAsia="宋体" w:hAnsi="宋体" w:hint="eastAsia"/>
                <w:sz w:val="18"/>
                <w:szCs w:val="18"/>
              </w:rPr>
              <w:t>——</w:t>
            </w:r>
          </w:p>
        </w:tc>
        <w:tc>
          <w:tcPr>
            <w:tcW w:w="709"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宋体" w:eastAsia="宋体" w:hAnsi="宋体"/>
                <w:sz w:val="18"/>
                <w:szCs w:val="18"/>
              </w:rPr>
            </w:pPr>
            <w:r w:rsidRPr="00362C12">
              <w:rPr>
                <w:rFonts w:ascii="宋体" w:eastAsia="宋体" w:hAnsi="宋体" w:hint="eastAsia"/>
                <w:sz w:val="18"/>
                <w:szCs w:val="18"/>
              </w:rPr>
              <w:t>——</w:t>
            </w:r>
          </w:p>
        </w:tc>
        <w:tc>
          <w:tcPr>
            <w:tcW w:w="709"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宋体" w:eastAsia="宋体" w:hAnsi="宋体"/>
                <w:sz w:val="18"/>
                <w:szCs w:val="18"/>
              </w:rPr>
            </w:pPr>
            <w:r w:rsidRPr="00362C12">
              <w:rPr>
                <w:rFonts w:ascii="宋体" w:eastAsia="宋体" w:hAnsi="宋体" w:hint="eastAsia"/>
                <w:sz w:val="18"/>
                <w:szCs w:val="18"/>
              </w:rPr>
              <w:t>——</w:t>
            </w:r>
          </w:p>
        </w:tc>
        <w:tc>
          <w:tcPr>
            <w:tcW w:w="709"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宋体" w:eastAsia="宋体" w:hAnsi="宋体"/>
                <w:sz w:val="18"/>
                <w:szCs w:val="18"/>
              </w:rPr>
            </w:pPr>
            <w:r w:rsidRPr="00362C12">
              <w:rPr>
                <w:rFonts w:ascii="宋体" w:eastAsia="宋体" w:hAnsi="宋体" w:hint="eastAsia"/>
                <w:sz w:val="18"/>
                <w:szCs w:val="18"/>
              </w:rPr>
              <w:t>——</w:t>
            </w:r>
          </w:p>
        </w:tc>
        <w:tc>
          <w:tcPr>
            <w:tcW w:w="709" w:type="dxa"/>
            <w:tcBorders>
              <w:left w:val="single" w:sz="6" w:space="0" w:color="FF6600"/>
            </w:tcBorders>
            <w:shd w:val="clear" w:color="auto" w:fill="auto"/>
            <w:vAlign w:val="center"/>
          </w:tcPr>
          <w:p w:rsidR="00362C12" w:rsidRPr="00362C12" w:rsidRDefault="00362C12" w:rsidP="00362C12">
            <w:pPr>
              <w:jc w:val="center"/>
              <w:rPr>
                <w:rFonts w:ascii="宋体" w:eastAsia="宋体" w:hAnsi="宋体"/>
                <w:sz w:val="18"/>
                <w:szCs w:val="18"/>
              </w:rPr>
            </w:pPr>
            <w:r w:rsidRPr="00362C12">
              <w:rPr>
                <w:rFonts w:ascii="宋体" w:eastAsia="宋体" w:hAnsi="宋体" w:hint="eastAsia"/>
                <w:sz w:val="18"/>
                <w:szCs w:val="18"/>
              </w:rPr>
              <w:t>——</w:t>
            </w:r>
          </w:p>
        </w:tc>
      </w:tr>
      <w:tr w:rsidR="00362C12" w:rsidTr="00137D07">
        <w:trPr>
          <w:cantSplit/>
          <w:trHeight w:val="470"/>
        </w:trPr>
        <w:tc>
          <w:tcPr>
            <w:tcW w:w="1277" w:type="dxa"/>
            <w:gridSpan w:val="2"/>
            <w:tcBorders>
              <w:right w:val="single" w:sz="6" w:space="0" w:color="FF6600"/>
            </w:tcBorders>
            <w:shd w:val="clear" w:color="auto" w:fill="auto"/>
            <w:vAlign w:val="center"/>
          </w:tcPr>
          <w:p w:rsidR="00362C12" w:rsidRPr="00362C12" w:rsidRDefault="00362C12" w:rsidP="00362C12">
            <w:pPr>
              <w:jc w:val="center"/>
              <w:rPr>
                <w:rFonts w:ascii="宋体" w:eastAsia="宋体" w:hAnsi="宋体"/>
                <w:b/>
                <w:sz w:val="18"/>
                <w:szCs w:val="18"/>
              </w:rPr>
            </w:pPr>
            <w:r w:rsidRPr="00362C12">
              <w:rPr>
                <w:rFonts w:ascii="宋体" w:eastAsia="宋体" w:hAnsi="宋体" w:hint="eastAsia"/>
                <w:b/>
                <w:sz w:val="18"/>
                <w:szCs w:val="18"/>
              </w:rPr>
              <w:t>相对价值策略-相对价值套利策略</w:t>
            </w:r>
          </w:p>
        </w:tc>
        <w:tc>
          <w:tcPr>
            <w:tcW w:w="737"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宋体" w:eastAsia="宋体" w:hAnsi="宋体"/>
                <w:sz w:val="18"/>
                <w:szCs w:val="18"/>
              </w:rPr>
            </w:pPr>
            <w:r w:rsidRPr="00362C12">
              <w:rPr>
                <w:rFonts w:ascii="宋体" w:eastAsia="宋体" w:hAnsi="宋体" w:hint="eastAsia"/>
                <w:sz w:val="18"/>
                <w:szCs w:val="18"/>
              </w:rPr>
              <w:t>0.07%</w:t>
            </w:r>
          </w:p>
        </w:tc>
        <w:tc>
          <w:tcPr>
            <w:tcW w:w="737"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宋体" w:eastAsia="宋体" w:hAnsi="宋体"/>
                <w:sz w:val="18"/>
                <w:szCs w:val="18"/>
              </w:rPr>
            </w:pPr>
            <w:r w:rsidRPr="00362C12">
              <w:rPr>
                <w:rFonts w:ascii="宋体" w:eastAsia="宋体" w:hAnsi="宋体" w:hint="eastAsia"/>
                <w:sz w:val="18"/>
                <w:szCs w:val="18"/>
              </w:rPr>
              <w:t>0.98%</w:t>
            </w:r>
          </w:p>
        </w:tc>
        <w:tc>
          <w:tcPr>
            <w:tcW w:w="737"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宋体" w:eastAsia="宋体" w:hAnsi="宋体"/>
                <w:sz w:val="18"/>
                <w:szCs w:val="18"/>
              </w:rPr>
            </w:pPr>
            <w:r w:rsidRPr="00362C12">
              <w:rPr>
                <w:rFonts w:ascii="宋体" w:eastAsia="宋体" w:hAnsi="宋体" w:hint="eastAsia"/>
                <w:sz w:val="18"/>
                <w:szCs w:val="18"/>
              </w:rPr>
              <w:t>6.11%</w:t>
            </w:r>
          </w:p>
        </w:tc>
        <w:tc>
          <w:tcPr>
            <w:tcW w:w="709"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宋体" w:eastAsia="宋体" w:hAnsi="宋体"/>
                <w:sz w:val="18"/>
                <w:szCs w:val="18"/>
              </w:rPr>
            </w:pPr>
            <w:r w:rsidRPr="00362C12">
              <w:rPr>
                <w:rFonts w:ascii="宋体" w:eastAsia="宋体" w:hAnsi="宋体" w:hint="eastAsia"/>
                <w:sz w:val="18"/>
                <w:szCs w:val="18"/>
              </w:rPr>
              <w:t>5.91%</w:t>
            </w:r>
          </w:p>
        </w:tc>
        <w:tc>
          <w:tcPr>
            <w:tcW w:w="709"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宋体" w:eastAsia="宋体" w:hAnsi="宋体"/>
                <w:sz w:val="18"/>
                <w:szCs w:val="18"/>
              </w:rPr>
            </w:pPr>
            <w:r w:rsidRPr="00362C12">
              <w:rPr>
                <w:rFonts w:ascii="宋体" w:eastAsia="宋体" w:hAnsi="宋体" w:hint="eastAsia"/>
                <w:sz w:val="18"/>
                <w:szCs w:val="18"/>
              </w:rPr>
              <w:t xml:space="preserve">1.64 </w:t>
            </w:r>
          </w:p>
        </w:tc>
        <w:tc>
          <w:tcPr>
            <w:tcW w:w="709"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宋体" w:eastAsia="宋体" w:hAnsi="宋体"/>
                <w:sz w:val="18"/>
                <w:szCs w:val="18"/>
              </w:rPr>
            </w:pPr>
            <w:r w:rsidRPr="00362C12">
              <w:rPr>
                <w:rFonts w:ascii="宋体" w:eastAsia="宋体" w:hAnsi="宋体" w:hint="eastAsia"/>
                <w:sz w:val="18"/>
                <w:szCs w:val="18"/>
              </w:rPr>
              <w:t>4.29%</w:t>
            </w:r>
          </w:p>
        </w:tc>
        <w:tc>
          <w:tcPr>
            <w:tcW w:w="709"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宋体" w:eastAsia="宋体" w:hAnsi="宋体"/>
                <w:sz w:val="18"/>
                <w:szCs w:val="18"/>
              </w:rPr>
            </w:pPr>
            <w:r w:rsidRPr="00362C12">
              <w:rPr>
                <w:rFonts w:ascii="宋体" w:eastAsia="宋体" w:hAnsi="宋体" w:hint="eastAsia"/>
                <w:sz w:val="18"/>
                <w:szCs w:val="18"/>
              </w:rPr>
              <w:t>3.80%</w:t>
            </w:r>
          </w:p>
        </w:tc>
        <w:tc>
          <w:tcPr>
            <w:tcW w:w="709"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宋体" w:eastAsia="宋体" w:hAnsi="宋体"/>
                <w:sz w:val="18"/>
                <w:szCs w:val="18"/>
              </w:rPr>
            </w:pPr>
            <w:r w:rsidRPr="00362C12">
              <w:rPr>
                <w:rFonts w:ascii="宋体" w:eastAsia="宋体" w:hAnsi="宋体" w:hint="eastAsia"/>
                <w:sz w:val="18"/>
                <w:szCs w:val="18"/>
              </w:rPr>
              <w:t>——</w:t>
            </w:r>
          </w:p>
        </w:tc>
        <w:tc>
          <w:tcPr>
            <w:tcW w:w="709"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宋体" w:eastAsia="宋体" w:hAnsi="宋体"/>
                <w:sz w:val="18"/>
                <w:szCs w:val="18"/>
              </w:rPr>
            </w:pPr>
            <w:r w:rsidRPr="00362C12">
              <w:rPr>
                <w:rFonts w:ascii="宋体" w:eastAsia="宋体" w:hAnsi="宋体" w:hint="eastAsia"/>
                <w:sz w:val="18"/>
                <w:szCs w:val="18"/>
              </w:rPr>
              <w:t>——</w:t>
            </w:r>
          </w:p>
        </w:tc>
        <w:tc>
          <w:tcPr>
            <w:tcW w:w="709"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宋体" w:eastAsia="宋体" w:hAnsi="宋体"/>
                <w:sz w:val="18"/>
                <w:szCs w:val="18"/>
              </w:rPr>
            </w:pPr>
            <w:r w:rsidRPr="00362C12">
              <w:rPr>
                <w:rFonts w:ascii="宋体" w:eastAsia="宋体" w:hAnsi="宋体" w:hint="eastAsia"/>
                <w:sz w:val="18"/>
                <w:szCs w:val="18"/>
              </w:rPr>
              <w:t>——</w:t>
            </w:r>
          </w:p>
        </w:tc>
        <w:tc>
          <w:tcPr>
            <w:tcW w:w="709"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宋体" w:eastAsia="宋体" w:hAnsi="宋体"/>
                <w:sz w:val="18"/>
                <w:szCs w:val="18"/>
              </w:rPr>
            </w:pPr>
            <w:r w:rsidRPr="00362C12">
              <w:rPr>
                <w:rFonts w:ascii="宋体" w:eastAsia="宋体" w:hAnsi="宋体" w:hint="eastAsia"/>
                <w:sz w:val="18"/>
                <w:szCs w:val="18"/>
              </w:rPr>
              <w:t>——</w:t>
            </w:r>
          </w:p>
        </w:tc>
        <w:tc>
          <w:tcPr>
            <w:tcW w:w="709"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宋体" w:eastAsia="宋体" w:hAnsi="宋体"/>
                <w:sz w:val="18"/>
                <w:szCs w:val="18"/>
              </w:rPr>
            </w:pPr>
            <w:r w:rsidRPr="00362C12">
              <w:rPr>
                <w:rFonts w:ascii="宋体" w:eastAsia="宋体" w:hAnsi="宋体" w:hint="eastAsia"/>
                <w:sz w:val="18"/>
                <w:szCs w:val="18"/>
              </w:rPr>
              <w:t>——</w:t>
            </w:r>
          </w:p>
        </w:tc>
        <w:tc>
          <w:tcPr>
            <w:tcW w:w="709"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宋体" w:eastAsia="宋体" w:hAnsi="宋体"/>
                <w:sz w:val="18"/>
                <w:szCs w:val="18"/>
              </w:rPr>
            </w:pPr>
            <w:r w:rsidRPr="00362C12">
              <w:rPr>
                <w:rFonts w:ascii="宋体" w:eastAsia="宋体" w:hAnsi="宋体" w:hint="eastAsia"/>
                <w:sz w:val="18"/>
                <w:szCs w:val="18"/>
              </w:rPr>
              <w:t>——</w:t>
            </w:r>
          </w:p>
        </w:tc>
        <w:tc>
          <w:tcPr>
            <w:tcW w:w="709"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宋体" w:eastAsia="宋体" w:hAnsi="宋体"/>
                <w:sz w:val="18"/>
                <w:szCs w:val="18"/>
              </w:rPr>
            </w:pPr>
            <w:r w:rsidRPr="00362C12">
              <w:rPr>
                <w:rFonts w:ascii="宋体" w:eastAsia="宋体" w:hAnsi="宋体" w:hint="eastAsia"/>
                <w:sz w:val="18"/>
                <w:szCs w:val="18"/>
              </w:rPr>
              <w:t>——</w:t>
            </w:r>
          </w:p>
        </w:tc>
        <w:tc>
          <w:tcPr>
            <w:tcW w:w="709" w:type="dxa"/>
            <w:tcBorders>
              <w:left w:val="single" w:sz="6" w:space="0" w:color="FF6600"/>
            </w:tcBorders>
            <w:shd w:val="clear" w:color="auto" w:fill="auto"/>
            <w:vAlign w:val="center"/>
          </w:tcPr>
          <w:p w:rsidR="00362C12" w:rsidRPr="00362C12" w:rsidRDefault="00362C12" w:rsidP="00362C12">
            <w:pPr>
              <w:jc w:val="center"/>
              <w:rPr>
                <w:rFonts w:ascii="宋体" w:eastAsia="宋体" w:hAnsi="宋体"/>
                <w:sz w:val="18"/>
                <w:szCs w:val="18"/>
              </w:rPr>
            </w:pPr>
            <w:r w:rsidRPr="00362C12">
              <w:rPr>
                <w:rFonts w:ascii="宋体" w:eastAsia="宋体" w:hAnsi="宋体" w:hint="eastAsia"/>
                <w:sz w:val="18"/>
                <w:szCs w:val="18"/>
              </w:rPr>
              <w:t>——</w:t>
            </w:r>
          </w:p>
        </w:tc>
      </w:tr>
      <w:tr w:rsidR="00362C12" w:rsidTr="00137D07">
        <w:trPr>
          <w:cantSplit/>
          <w:trHeight w:val="470"/>
        </w:trPr>
        <w:tc>
          <w:tcPr>
            <w:tcW w:w="1277" w:type="dxa"/>
            <w:gridSpan w:val="2"/>
            <w:tcBorders>
              <w:right w:val="single" w:sz="6" w:space="0" w:color="FF6600"/>
            </w:tcBorders>
            <w:shd w:val="clear" w:color="auto" w:fill="auto"/>
            <w:vAlign w:val="center"/>
          </w:tcPr>
          <w:p w:rsidR="00362C12" w:rsidRPr="00362C12" w:rsidRDefault="00362C12" w:rsidP="00362C12">
            <w:pPr>
              <w:jc w:val="center"/>
              <w:rPr>
                <w:rFonts w:ascii="宋体" w:eastAsia="宋体" w:hAnsi="宋体"/>
                <w:b/>
                <w:sz w:val="18"/>
                <w:szCs w:val="18"/>
              </w:rPr>
            </w:pPr>
            <w:r w:rsidRPr="00362C12">
              <w:rPr>
                <w:rFonts w:ascii="宋体" w:eastAsia="宋体" w:hAnsi="宋体" w:hint="eastAsia"/>
                <w:b/>
                <w:sz w:val="18"/>
                <w:szCs w:val="18"/>
              </w:rPr>
              <w:t>固定收益</w:t>
            </w:r>
          </w:p>
          <w:p w:rsidR="00362C12" w:rsidRPr="00362C12" w:rsidRDefault="00362C12" w:rsidP="00362C12">
            <w:pPr>
              <w:jc w:val="center"/>
              <w:rPr>
                <w:rFonts w:ascii="宋体" w:eastAsia="宋体" w:hAnsi="宋体"/>
                <w:b/>
                <w:sz w:val="18"/>
                <w:szCs w:val="18"/>
              </w:rPr>
            </w:pPr>
            <w:r w:rsidRPr="00362C12">
              <w:rPr>
                <w:rFonts w:ascii="宋体" w:eastAsia="宋体" w:hAnsi="宋体" w:hint="eastAsia"/>
                <w:b/>
                <w:sz w:val="18"/>
                <w:szCs w:val="18"/>
              </w:rPr>
              <w:t>策略</w:t>
            </w:r>
          </w:p>
        </w:tc>
        <w:tc>
          <w:tcPr>
            <w:tcW w:w="737"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宋体" w:eastAsia="宋体" w:hAnsi="宋体"/>
                <w:color w:val="FF0000"/>
                <w:sz w:val="18"/>
                <w:szCs w:val="18"/>
              </w:rPr>
            </w:pPr>
            <w:r w:rsidRPr="00362C12">
              <w:rPr>
                <w:rFonts w:ascii="宋体" w:eastAsia="宋体" w:hAnsi="宋体" w:hint="eastAsia"/>
                <w:color w:val="FF0000"/>
                <w:sz w:val="18"/>
                <w:szCs w:val="18"/>
              </w:rPr>
              <w:t>-0.15%</w:t>
            </w:r>
          </w:p>
        </w:tc>
        <w:tc>
          <w:tcPr>
            <w:tcW w:w="737"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宋体" w:eastAsia="宋体" w:hAnsi="宋体"/>
                <w:sz w:val="18"/>
                <w:szCs w:val="18"/>
              </w:rPr>
            </w:pPr>
            <w:r w:rsidRPr="00362C12">
              <w:rPr>
                <w:rFonts w:ascii="宋体" w:eastAsia="宋体" w:hAnsi="宋体" w:hint="eastAsia"/>
                <w:sz w:val="18"/>
                <w:szCs w:val="18"/>
              </w:rPr>
              <w:t>0.44%</w:t>
            </w:r>
          </w:p>
        </w:tc>
        <w:tc>
          <w:tcPr>
            <w:tcW w:w="737"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宋体" w:eastAsia="宋体" w:hAnsi="宋体"/>
                <w:sz w:val="18"/>
                <w:szCs w:val="18"/>
              </w:rPr>
            </w:pPr>
            <w:r w:rsidRPr="00362C12">
              <w:rPr>
                <w:rFonts w:ascii="宋体" w:eastAsia="宋体" w:hAnsi="宋体" w:hint="eastAsia"/>
                <w:sz w:val="18"/>
                <w:szCs w:val="18"/>
              </w:rPr>
              <w:t>1.91%</w:t>
            </w:r>
          </w:p>
        </w:tc>
        <w:tc>
          <w:tcPr>
            <w:tcW w:w="709"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宋体" w:eastAsia="宋体" w:hAnsi="宋体"/>
                <w:sz w:val="18"/>
                <w:szCs w:val="18"/>
              </w:rPr>
            </w:pPr>
            <w:r w:rsidRPr="00362C12">
              <w:rPr>
                <w:rFonts w:ascii="宋体" w:eastAsia="宋体" w:hAnsi="宋体" w:hint="eastAsia"/>
                <w:sz w:val="18"/>
                <w:szCs w:val="18"/>
              </w:rPr>
              <w:t>3.47%</w:t>
            </w:r>
          </w:p>
        </w:tc>
        <w:tc>
          <w:tcPr>
            <w:tcW w:w="709"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宋体" w:eastAsia="宋体" w:hAnsi="宋体"/>
                <w:sz w:val="18"/>
                <w:szCs w:val="18"/>
              </w:rPr>
            </w:pPr>
            <w:r w:rsidRPr="00362C12">
              <w:rPr>
                <w:rFonts w:ascii="宋体" w:eastAsia="宋体" w:hAnsi="宋体" w:hint="eastAsia"/>
                <w:sz w:val="18"/>
                <w:szCs w:val="18"/>
              </w:rPr>
              <w:t xml:space="preserve">0.02 </w:t>
            </w:r>
          </w:p>
        </w:tc>
        <w:tc>
          <w:tcPr>
            <w:tcW w:w="709"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宋体" w:eastAsia="宋体" w:hAnsi="宋体"/>
                <w:sz w:val="18"/>
                <w:szCs w:val="18"/>
              </w:rPr>
            </w:pPr>
            <w:r w:rsidRPr="00362C12">
              <w:rPr>
                <w:rFonts w:ascii="宋体" w:eastAsia="宋体" w:hAnsi="宋体" w:hint="eastAsia"/>
                <w:sz w:val="18"/>
                <w:szCs w:val="18"/>
              </w:rPr>
              <w:t>6.24%</w:t>
            </w:r>
          </w:p>
        </w:tc>
        <w:tc>
          <w:tcPr>
            <w:tcW w:w="709"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宋体" w:eastAsia="宋体" w:hAnsi="宋体"/>
                <w:sz w:val="18"/>
                <w:szCs w:val="18"/>
              </w:rPr>
            </w:pPr>
            <w:r w:rsidRPr="00362C12">
              <w:rPr>
                <w:rFonts w:ascii="宋体" w:eastAsia="宋体" w:hAnsi="宋体" w:hint="eastAsia"/>
                <w:sz w:val="18"/>
                <w:szCs w:val="18"/>
              </w:rPr>
              <w:t>5.82%</w:t>
            </w:r>
          </w:p>
        </w:tc>
        <w:tc>
          <w:tcPr>
            <w:tcW w:w="709"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宋体" w:eastAsia="宋体" w:hAnsi="宋体"/>
                <w:sz w:val="18"/>
                <w:szCs w:val="18"/>
              </w:rPr>
            </w:pPr>
            <w:r w:rsidRPr="00362C12">
              <w:rPr>
                <w:rFonts w:ascii="宋体" w:eastAsia="宋体" w:hAnsi="宋体" w:hint="eastAsia"/>
                <w:sz w:val="18"/>
                <w:szCs w:val="18"/>
              </w:rPr>
              <w:t>——</w:t>
            </w:r>
          </w:p>
        </w:tc>
        <w:tc>
          <w:tcPr>
            <w:tcW w:w="709"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宋体" w:eastAsia="宋体" w:hAnsi="宋体"/>
                <w:sz w:val="18"/>
                <w:szCs w:val="18"/>
              </w:rPr>
            </w:pPr>
            <w:r w:rsidRPr="00362C12">
              <w:rPr>
                <w:rFonts w:ascii="宋体" w:eastAsia="宋体" w:hAnsi="宋体" w:hint="eastAsia"/>
                <w:sz w:val="18"/>
                <w:szCs w:val="18"/>
              </w:rPr>
              <w:t>——</w:t>
            </w:r>
          </w:p>
        </w:tc>
        <w:tc>
          <w:tcPr>
            <w:tcW w:w="709"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宋体" w:eastAsia="宋体" w:hAnsi="宋体"/>
                <w:sz w:val="18"/>
                <w:szCs w:val="18"/>
              </w:rPr>
            </w:pPr>
            <w:r w:rsidRPr="00362C12">
              <w:rPr>
                <w:rFonts w:ascii="宋体" w:eastAsia="宋体" w:hAnsi="宋体" w:hint="eastAsia"/>
                <w:sz w:val="18"/>
                <w:szCs w:val="18"/>
              </w:rPr>
              <w:t>——</w:t>
            </w:r>
          </w:p>
        </w:tc>
        <w:tc>
          <w:tcPr>
            <w:tcW w:w="709"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宋体" w:eastAsia="宋体" w:hAnsi="宋体"/>
                <w:sz w:val="18"/>
                <w:szCs w:val="18"/>
              </w:rPr>
            </w:pPr>
            <w:r w:rsidRPr="00362C12">
              <w:rPr>
                <w:rFonts w:ascii="宋体" w:eastAsia="宋体" w:hAnsi="宋体" w:hint="eastAsia"/>
                <w:sz w:val="18"/>
                <w:szCs w:val="18"/>
              </w:rPr>
              <w:t>——</w:t>
            </w:r>
          </w:p>
        </w:tc>
        <w:tc>
          <w:tcPr>
            <w:tcW w:w="709"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宋体" w:eastAsia="宋体" w:hAnsi="宋体"/>
                <w:sz w:val="18"/>
                <w:szCs w:val="18"/>
              </w:rPr>
            </w:pPr>
            <w:r w:rsidRPr="00362C12">
              <w:rPr>
                <w:rFonts w:ascii="宋体" w:eastAsia="宋体" w:hAnsi="宋体" w:hint="eastAsia"/>
                <w:sz w:val="18"/>
                <w:szCs w:val="18"/>
              </w:rPr>
              <w:t>——</w:t>
            </w:r>
          </w:p>
        </w:tc>
        <w:tc>
          <w:tcPr>
            <w:tcW w:w="709"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宋体" w:eastAsia="宋体" w:hAnsi="宋体"/>
                <w:sz w:val="18"/>
                <w:szCs w:val="18"/>
              </w:rPr>
            </w:pPr>
            <w:r w:rsidRPr="00362C12">
              <w:rPr>
                <w:rFonts w:ascii="宋体" w:eastAsia="宋体" w:hAnsi="宋体" w:hint="eastAsia"/>
                <w:sz w:val="18"/>
                <w:szCs w:val="18"/>
              </w:rPr>
              <w:t>——</w:t>
            </w:r>
          </w:p>
        </w:tc>
        <w:tc>
          <w:tcPr>
            <w:tcW w:w="709"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宋体" w:eastAsia="宋体" w:hAnsi="宋体"/>
                <w:sz w:val="18"/>
                <w:szCs w:val="18"/>
              </w:rPr>
            </w:pPr>
            <w:r w:rsidRPr="00362C12">
              <w:rPr>
                <w:rFonts w:ascii="宋体" w:eastAsia="宋体" w:hAnsi="宋体" w:hint="eastAsia"/>
                <w:sz w:val="18"/>
                <w:szCs w:val="18"/>
              </w:rPr>
              <w:t>——</w:t>
            </w:r>
          </w:p>
        </w:tc>
        <w:tc>
          <w:tcPr>
            <w:tcW w:w="709" w:type="dxa"/>
            <w:tcBorders>
              <w:left w:val="single" w:sz="6" w:space="0" w:color="FF6600"/>
            </w:tcBorders>
            <w:shd w:val="clear" w:color="auto" w:fill="auto"/>
            <w:vAlign w:val="center"/>
          </w:tcPr>
          <w:p w:rsidR="00362C12" w:rsidRPr="00362C12" w:rsidRDefault="00362C12" w:rsidP="00362C12">
            <w:pPr>
              <w:jc w:val="center"/>
              <w:rPr>
                <w:rFonts w:ascii="宋体" w:eastAsia="宋体" w:hAnsi="宋体"/>
                <w:sz w:val="18"/>
                <w:szCs w:val="18"/>
              </w:rPr>
            </w:pPr>
            <w:r w:rsidRPr="00362C12">
              <w:rPr>
                <w:rFonts w:ascii="宋体" w:eastAsia="宋体" w:hAnsi="宋体" w:hint="eastAsia"/>
                <w:sz w:val="18"/>
                <w:szCs w:val="18"/>
              </w:rPr>
              <w:t>——</w:t>
            </w:r>
          </w:p>
        </w:tc>
      </w:tr>
      <w:tr w:rsidR="00362C12" w:rsidTr="00137D07">
        <w:trPr>
          <w:cantSplit/>
          <w:trHeight w:val="470"/>
        </w:trPr>
        <w:tc>
          <w:tcPr>
            <w:tcW w:w="1277" w:type="dxa"/>
            <w:gridSpan w:val="2"/>
            <w:tcBorders>
              <w:right w:val="single" w:sz="6" w:space="0" w:color="FF6600"/>
            </w:tcBorders>
            <w:shd w:val="clear" w:color="auto" w:fill="auto"/>
            <w:vAlign w:val="center"/>
          </w:tcPr>
          <w:p w:rsidR="00137D07" w:rsidRDefault="00362C12" w:rsidP="00362C12">
            <w:pPr>
              <w:jc w:val="center"/>
              <w:rPr>
                <w:rFonts w:ascii="宋体" w:eastAsia="宋体" w:hAnsi="宋体"/>
                <w:b/>
                <w:sz w:val="18"/>
                <w:szCs w:val="18"/>
              </w:rPr>
            </w:pPr>
            <w:r w:rsidRPr="00362C12">
              <w:rPr>
                <w:rFonts w:ascii="宋体" w:eastAsia="宋体" w:hAnsi="宋体" w:hint="eastAsia"/>
                <w:b/>
                <w:sz w:val="18"/>
                <w:szCs w:val="18"/>
              </w:rPr>
              <w:t>(全球)宏观</w:t>
            </w:r>
          </w:p>
          <w:p w:rsidR="00362C12" w:rsidRPr="00362C12" w:rsidRDefault="00362C12" w:rsidP="00362C12">
            <w:pPr>
              <w:jc w:val="center"/>
              <w:rPr>
                <w:rFonts w:ascii="宋体" w:eastAsia="宋体" w:hAnsi="宋体"/>
                <w:b/>
                <w:sz w:val="18"/>
                <w:szCs w:val="18"/>
              </w:rPr>
            </w:pPr>
            <w:r w:rsidRPr="00362C12">
              <w:rPr>
                <w:rFonts w:ascii="宋体" w:eastAsia="宋体" w:hAnsi="宋体" w:hint="eastAsia"/>
                <w:b/>
                <w:sz w:val="18"/>
                <w:szCs w:val="18"/>
              </w:rPr>
              <w:t>策略</w:t>
            </w:r>
          </w:p>
        </w:tc>
        <w:tc>
          <w:tcPr>
            <w:tcW w:w="737"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宋体" w:eastAsia="宋体" w:hAnsi="宋体"/>
                <w:color w:val="FF0000"/>
                <w:sz w:val="18"/>
                <w:szCs w:val="18"/>
              </w:rPr>
            </w:pPr>
            <w:r w:rsidRPr="00362C12">
              <w:rPr>
                <w:rFonts w:ascii="宋体" w:eastAsia="宋体" w:hAnsi="宋体" w:hint="eastAsia"/>
                <w:color w:val="FF0000"/>
                <w:sz w:val="18"/>
                <w:szCs w:val="18"/>
              </w:rPr>
              <w:t>-1.51%</w:t>
            </w:r>
          </w:p>
        </w:tc>
        <w:tc>
          <w:tcPr>
            <w:tcW w:w="737"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宋体" w:eastAsia="宋体" w:hAnsi="宋体"/>
                <w:color w:val="FF0000"/>
                <w:sz w:val="18"/>
                <w:szCs w:val="18"/>
              </w:rPr>
            </w:pPr>
            <w:r w:rsidRPr="00362C12">
              <w:rPr>
                <w:rFonts w:ascii="宋体" w:eastAsia="宋体" w:hAnsi="宋体" w:hint="eastAsia"/>
                <w:color w:val="FF0000"/>
                <w:sz w:val="18"/>
                <w:szCs w:val="18"/>
              </w:rPr>
              <w:t>-0.37%</w:t>
            </w:r>
          </w:p>
        </w:tc>
        <w:tc>
          <w:tcPr>
            <w:tcW w:w="737"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宋体" w:eastAsia="宋体" w:hAnsi="宋体"/>
                <w:sz w:val="18"/>
                <w:szCs w:val="18"/>
              </w:rPr>
            </w:pPr>
            <w:r w:rsidRPr="00362C12">
              <w:rPr>
                <w:rFonts w:ascii="宋体" w:eastAsia="宋体" w:hAnsi="宋体" w:hint="eastAsia"/>
                <w:sz w:val="18"/>
                <w:szCs w:val="18"/>
              </w:rPr>
              <w:t>19.30%</w:t>
            </w:r>
          </w:p>
        </w:tc>
        <w:tc>
          <w:tcPr>
            <w:tcW w:w="709"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宋体" w:eastAsia="宋体" w:hAnsi="宋体"/>
                <w:sz w:val="18"/>
                <w:szCs w:val="18"/>
              </w:rPr>
            </w:pPr>
            <w:r w:rsidRPr="00362C12">
              <w:rPr>
                <w:rFonts w:ascii="宋体" w:eastAsia="宋体" w:hAnsi="宋体" w:hint="eastAsia"/>
                <w:sz w:val="18"/>
                <w:szCs w:val="18"/>
              </w:rPr>
              <w:t>33.40%</w:t>
            </w:r>
          </w:p>
        </w:tc>
        <w:tc>
          <w:tcPr>
            <w:tcW w:w="709"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宋体" w:eastAsia="宋体" w:hAnsi="宋体"/>
                <w:sz w:val="18"/>
                <w:szCs w:val="18"/>
              </w:rPr>
            </w:pPr>
            <w:r w:rsidRPr="00362C12">
              <w:rPr>
                <w:rFonts w:ascii="宋体" w:eastAsia="宋体" w:hAnsi="宋体" w:hint="eastAsia"/>
                <w:sz w:val="18"/>
                <w:szCs w:val="18"/>
              </w:rPr>
              <w:t>1.41</w:t>
            </w:r>
          </w:p>
        </w:tc>
        <w:tc>
          <w:tcPr>
            <w:tcW w:w="709"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宋体" w:eastAsia="宋体" w:hAnsi="宋体"/>
                <w:sz w:val="18"/>
                <w:szCs w:val="18"/>
              </w:rPr>
            </w:pPr>
            <w:r w:rsidRPr="00362C12">
              <w:rPr>
                <w:rFonts w:ascii="宋体" w:eastAsia="宋体" w:hAnsi="宋体" w:hint="eastAsia"/>
                <w:sz w:val="18"/>
                <w:szCs w:val="18"/>
              </w:rPr>
              <w:t>20.28%</w:t>
            </w:r>
          </w:p>
        </w:tc>
        <w:tc>
          <w:tcPr>
            <w:tcW w:w="709"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宋体" w:eastAsia="宋体" w:hAnsi="宋体"/>
                <w:sz w:val="18"/>
                <w:szCs w:val="18"/>
              </w:rPr>
            </w:pPr>
            <w:r w:rsidRPr="00362C12">
              <w:rPr>
                <w:rFonts w:ascii="宋体" w:eastAsia="宋体" w:hAnsi="宋体" w:hint="eastAsia"/>
                <w:sz w:val="18"/>
                <w:szCs w:val="18"/>
              </w:rPr>
              <w:t>11.25%</w:t>
            </w:r>
          </w:p>
        </w:tc>
        <w:tc>
          <w:tcPr>
            <w:tcW w:w="709"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宋体" w:eastAsia="宋体" w:hAnsi="宋体"/>
                <w:sz w:val="18"/>
                <w:szCs w:val="18"/>
              </w:rPr>
            </w:pPr>
            <w:r w:rsidRPr="00362C12">
              <w:rPr>
                <w:rFonts w:ascii="宋体" w:eastAsia="宋体" w:hAnsi="宋体" w:hint="eastAsia"/>
                <w:sz w:val="18"/>
                <w:szCs w:val="18"/>
              </w:rPr>
              <w:t>——</w:t>
            </w:r>
          </w:p>
        </w:tc>
        <w:tc>
          <w:tcPr>
            <w:tcW w:w="709"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宋体" w:eastAsia="宋体" w:hAnsi="宋体"/>
                <w:sz w:val="18"/>
                <w:szCs w:val="18"/>
              </w:rPr>
            </w:pPr>
            <w:r w:rsidRPr="00362C12">
              <w:rPr>
                <w:rFonts w:ascii="宋体" w:eastAsia="宋体" w:hAnsi="宋体" w:hint="eastAsia"/>
                <w:sz w:val="18"/>
                <w:szCs w:val="18"/>
              </w:rPr>
              <w:t>——</w:t>
            </w:r>
          </w:p>
        </w:tc>
        <w:tc>
          <w:tcPr>
            <w:tcW w:w="709"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宋体" w:eastAsia="宋体" w:hAnsi="宋体"/>
                <w:sz w:val="18"/>
                <w:szCs w:val="18"/>
              </w:rPr>
            </w:pPr>
            <w:r w:rsidRPr="00362C12">
              <w:rPr>
                <w:rFonts w:ascii="宋体" w:eastAsia="宋体" w:hAnsi="宋体" w:hint="eastAsia"/>
                <w:sz w:val="18"/>
                <w:szCs w:val="18"/>
              </w:rPr>
              <w:t>——</w:t>
            </w:r>
          </w:p>
        </w:tc>
        <w:tc>
          <w:tcPr>
            <w:tcW w:w="709"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宋体" w:eastAsia="宋体" w:hAnsi="宋体"/>
                <w:sz w:val="18"/>
                <w:szCs w:val="18"/>
              </w:rPr>
            </w:pPr>
            <w:r w:rsidRPr="00362C12">
              <w:rPr>
                <w:rFonts w:ascii="宋体" w:eastAsia="宋体" w:hAnsi="宋体" w:hint="eastAsia"/>
                <w:sz w:val="18"/>
                <w:szCs w:val="18"/>
              </w:rPr>
              <w:t>——</w:t>
            </w:r>
          </w:p>
        </w:tc>
        <w:tc>
          <w:tcPr>
            <w:tcW w:w="709"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宋体" w:eastAsia="宋体" w:hAnsi="宋体"/>
                <w:sz w:val="18"/>
                <w:szCs w:val="18"/>
              </w:rPr>
            </w:pPr>
            <w:r w:rsidRPr="00362C12">
              <w:rPr>
                <w:rFonts w:ascii="宋体" w:eastAsia="宋体" w:hAnsi="宋体" w:hint="eastAsia"/>
                <w:sz w:val="18"/>
                <w:szCs w:val="18"/>
              </w:rPr>
              <w:t>——</w:t>
            </w:r>
          </w:p>
        </w:tc>
        <w:tc>
          <w:tcPr>
            <w:tcW w:w="709"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宋体" w:eastAsia="宋体" w:hAnsi="宋体"/>
                <w:sz w:val="18"/>
                <w:szCs w:val="18"/>
              </w:rPr>
            </w:pPr>
            <w:r w:rsidRPr="00362C12">
              <w:rPr>
                <w:rFonts w:ascii="宋体" w:eastAsia="宋体" w:hAnsi="宋体" w:hint="eastAsia"/>
                <w:sz w:val="18"/>
                <w:szCs w:val="18"/>
              </w:rPr>
              <w:t>——</w:t>
            </w:r>
          </w:p>
        </w:tc>
        <w:tc>
          <w:tcPr>
            <w:tcW w:w="709"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宋体" w:eastAsia="宋体" w:hAnsi="宋体"/>
                <w:sz w:val="18"/>
                <w:szCs w:val="18"/>
              </w:rPr>
            </w:pPr>
            <w:r w:rsidRPr="00362C12">
              <w:rPr>
                <w:rFonts w:ascii="宋体" w:eastAsia="宋体" w:hAnsi="宋体" w:hint="eastAsia"/>
                <w:sz w:val="18"/>
                <w:szCs w:val="18"/>
              </w:rPr>
              <w:t>——</w:t>
            </w:r>
          </w:p>
        </w:tc>
        <w:tc>
          <w:tcPr>
            <w:tcW w:w="709" w:type="dxa"/>
            <w:tcBorders>
              <w:left w:val="single" w:sz="6" w:space="0" w:color="FF6600"/>
            </w:tcBorders>
            <w:shd w:val="clear" w:color="auto" w:fill="auto"/>
            <w:vAlign w:val="center"/>
          </w:tcPr>
          <w:p w:rsidR="00362C12" w:rsidRPr="00362C12" w:rsidRDefault="00362C12" w:rsidP="00362C12">
            <w:pPr>
              <w:jc w:val="center"/>
              <w:rPr>
                <w:rFonts w:ascii="宋体" w:eastAsia="宋体" w:hAnsi="宋体"/>
                <w:sz w:val="18"/>
                <w:szCs w:val="18"/>
              </w:rPr>
            </w:pPr>
            <w:r w:rsidRPr="00362C12">
              <w:rPr>
                <w:rFonts w:ascii="宋体" w:eastAsia="宋体" w:hAnsi="宋体" w:hint="eastAsia"/>
                <w:sz w:val="18"/>
                <w:szCs w:val="18"/>
              </w:rPr>
              <w:t>——</w:t>
            </w:r>
          </w:p>
        </w:tc>
      </w:tr>
      <w:tr w:rsidR="00362C12" w:rsidTr="00137D07">
        <w:trPr>
          <w:cantSplit/>
          <w:trHeight w:val="470"/>
        </w:trPr>
        <w:tc>
          <w:tcPr>
            <w:tcW w:w="1277" w:type="dxa"/>
            <w:gridSpan w:val="2"/>
            <w:tcBorders>
              <w:right w:val="single" w:sz="6" w:space="0" w:color="FF6600"/>
            </w:tcBorders>
            <w:shd w:val="clear" w:color="auto" w:fill="auto"/>
            <w:vAlign w:val="center"/>
          </w:tcPr>
          <w:p w:rsidR="00362C12" w:rsidRPr="00362C12" w:rsidRDefault="00362C12" w:rsidP="00362C12">
            <w:pPr>
              <w:jc w:val="center"/>
              <w:rPr>
                <w:rFonts w:ascii="宋体" w:eastAsia="宋体" w:hAnsi="宋体"/>
                <w:b/>
                <w:sz w:val="18"/>
                <w:szCs w:val="18"/>
              </w:rPr>
            </w:pPr>
            <w:r w:rsidRPr="00362C12">
              <w:rPr>
                <w:rFonts w:ascii="宋体" w:eastAsia="宋体" w:hAnsi="宋体" w:hint="eastAsia"/>
                <w:b/>
                <w:sz w:val="18"/>
                <w:szCs w:val="18"/>
              </w:rPr>
              <w:t>事件驱动策略（含定向增发、大宗交易）</w:t>
            </w:r>
          </w:p>
        </w:tc>
        <w:tc>
          <w:tcPr>
            <w:tcW w:w="737"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宋体" w:eastAsia="宋体" w:hAnsi="宋体"/>
                <w:color w:val="FF0000"/>
                <w:sz w:val="18"/>
                <w:szCs w:val="18"/>
              </w:rPr>
            </w:pPr>
            <w:r w:rsidRPr="00362C12">
              <w:rPr>
                <w:rFonts w:ascii="宋体" w:eastAsia="宋体" w:hAnsi="宋体" w:hint="eastAsia"/>
                <w:color w:val="FF0000"/>
                <w:sz w:val="18"/>
                <w:szCs w:val="18"/>
              </w:rPr>
              <w:t>-1.61%</w:t>
            </w:r>
          </w:p>
        </w:tc>
        <w:tc>
          <w:tcPr>
            <w:tcW w:w="737"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宋体" w:eastAsia="宋体" w:hAnsi="宋体"/>
                <w:sz w:val="18"/>
                <w:szCs w:val="18"/>
              </w:rPr>
            </w:pPr>
            <w:r w:rsidRPr="00362C12">
              <w:rPr>
                <w:rFonts w:ascii="宋体" w:eastAsia="宋体" w:hAnsi="宋体" w:hint="eastAsia"/>
                <w:sz w:val="18"/>
                <w:szCs w:val="18"/>
              </w:rPr>
              <w:t>6.43%</w:t>
            </w:r>
          </w:p>
        </w:tc>
        <w:tc>
          <w:tcPr>
            <w:tcW w:w="737"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宋体" w:eastAsia="宋体" w:hAnsi="宋体"/>
                <w:sz w:val="18"/>
                <w:szCs w:val="18"/>
              </w:rPr>
            </w:pPr>
            <w:r w:rsidRPr="00362C12">
              <w:rPr>
                <w:rFonts w:ascii="宋体" w:eastAsia="宋体" w:hAnsi="宋体" w:hint="eastAsia"/>
                <w:sz w:val="18"/>
                <w:szCs w:val="18"/>
              </w:rPr>
              <w:t>18.75%</w:t>
            </w:r>
          </w:p>
        </w:tc>
        <w:tc>
          <w:tcPr>
            <w:tcW w:w="709"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宋体" w:eastAsia="宋体" w:hAnsi="宋体"/>
                <w:sz w:val="18"/>
                <w:szCs w:val="18"/>
              </w:rPr>
            </w:pPr>
            <w:r w:rsidRPr="00362C12">
              <w:rPr>
                <w:rFonts w:ascii="宋体" w:eastAsia="宋体" w:hAnsi="宋体" w:hint="eastAsia"/>
                <w:sz w:val="18"/>
                <w:szCs w:val="18"/>
              </w:rPr>
              <w:t>25.15%</w:t>
            </w:r>
          </w:p>
        </w:tc>
        <w:tc>
          <w:tcPr>
            <w:tcW w:w="709"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宋体" w:eastAsia="宋体" w:hAnsi="宋体"/>
                <w:sz w:val="18"/>
                <w:szCs w:val="18"/>
              </w:rPr>
            </w:pPr>
            <w:r w:rsidRPr="00362C12">
              <w:rPr>
                <w:rFonts w:ascii="宋体" w:eastAsia="宋体" w:hAnsi="宋体" w:hint="eastAsia"/>
                <w:sz w:val="18"/>
                <w:szCs w:val="18"/>
              </w:rPr>
              <w:t>0.64</w:t>
            </w:r>
          </w:p>
        </w:tc>
        <w:tc>
          <w:tcPr>
            <w:tcW w:w="709"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宋体" w:eastAsia="宋体" w:hAnsi="宋体"/>
                <w:sz w:val="18"/>
                <w:szCs w:val="18"/>
              </w:rPr>
            </w:pPr>
            <w:r w:rsidRPr="00362C12">
              <w:rPr>
                <w:rFonts w:ascii="宋体" w:eastAsia="宋体" w:hAnsi="宋体" w:hint="eastAsia"/>
                <w:sz w:val="18"/>
                <w:szCs w:val="18"/>
              </w:rPr>
              <w:t>39.00%</w:t>
            </w:r>
          </w:p>
        </w:tc>
        <w:tc>
          <w:tcPr>
            <w:tcW w:w="709"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宋体" w:eastAsia="宋体" w:hAnsi="宋体"/>
                <w:sz w:val="18"/>
                <w:szCs w:val="18"/>
              </w:rPr>
            </w:pPr>
            <w:r w:rsidRPr="00362C12">
              <w:rPr>
                <w:rFonts w:ascii="宋体" w:eastAsia="宋体" w:hAnsi="宋体" w:hint="eastAsia"/>
                <w:sz w:val="18"/>
                <w:szCs w:val="18"/>
              </w:rPr>
              <w:t>34.61%</w:t>
            </w:r>
          </w:p>
        </w:tc>
        <w:tc>
          <w:tcPr>
            <w:tcW w:w="709"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宋体" w:eastAsia="宋体" w:hAnsi="宋体"/>
                <w:sz w:val="18"/>
                <w:szCs w:val="18"/>
              </w:rPr>
            </w:pPr>
            <w:r w:rsidRPr="00362C12">
              <w:rPr>
                <w:rFonts w:ascii="宋体" w:eastAsia="宋体" w:hAnsi="宋体" w:hint="eastAsia"/>
                <w:sz w:val="18"/>
                <w:szCs w:val="18"/>
              </w:rPr>
              <w:t>——</w:t>
            </w:r>
          </w:p>
        </w:tc>
        <w:tc>
          <w:tcPr>
            <w:tcW w:w="709"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宋体" w:eastAsia="宋体" w:hAnsi="宋体"/>
                <w:sz w:val="18"/>
                <w:szCs w:val="18"/>
              </w:rPr>
            </w:pPr>
            <w:r w:rsidRPr="00362C12">
              <w:rPr>
                <w:rFonts w:ascii="宋体" w:eastAsia="宋体" w:hAnsi="宋体" w:hint="eastAsia"/>
                <w:sz w:val="18"/>
                <w:szCs w:val="18"/>
              </w:rPr>
              <w:t>——</w:t>
            </w:r>
          </w:p>
        </w:tc>
        <w:tc>
          <w:tcPr>
            <w:tcW w:w="709"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宋体" w:eastAsia="宋体" w:hAnsi="宋体"/>
                <w:sz w:val="18"/>
                <w:szCs w:val="18"/>
              </w:rPr>
            </w:pPr>
            <w:r w:rsidRPr="00362C12">
              <w:rPr>
                <w:rFonts w:ascii="宋体" w:eastAsia="宋体" w:hAnsi="宋体" w:hint="eastAsia"/>
                <w:sz w:val="18"/>
                <w:szCs w:val="18"/>
              </w:rPr>
              <w:t>——</w:t>
            </w:r>
          </w:p>
        </w:tc>
        <w:tc>
          <w:tcPr>
            <w:tcW w:w="709"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宋体" w:eastAsia="宋体" w:hAnsi="宋体"/>
                <w:sz w:val="18"/>
                <w:szCs w:val="18"/>
              </w:rPr>
            </w:pPr>
            <w:r w:rsidRPr="00362C12">
              <w:rPr>
                <w:rFonts w:ascii="宋体" w:eastAsia="宋体" w:hAnsi="宋体" w:hint="eastAsia"/>
                <w:sz w:val="18"/>
                <w:szCs w:val="18"/>
              </w:rPr>
              <w:t>——</w:t>
            </w:r>
          </w:p>
        </w:tc>
        <w:tc>
          <w:tcPr>
            <w:tcW w:w="709"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宋体" w:eastAsia="宋体" w:hAnsi="宋体"/>
                <w:sz w:val="18"/>
                <w:szCs w:val="18"/>
              </w:rPr>
            </w:pPr>
            <w:r w:rsidRPr="00362C12">
              <w:rPr>
                <w:rFonts w:ascii="宋体" w:eastAsia="宋体" w:hAnsi="宋体" w:hint="eastAsia"/>
                <w:sz w:val="18"/>
                <w:szCs w:val="18"/>
              </w:rPr>
              <w:t>——</w:t>
            </w:r>
          </w:p>
        </w:tc>
        <w:tc>
          <w:tcPr>
            <w:tcW w:w="709"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宋体" w:eastAsia="宋体" w:hAnsi="宋体"/>
                <w:sz w:val="18"/>
                <w:szCs w:val="18"/>
              </w:rPr>
            </w:pPr>
            <w:r w:rsidRPr="00362C12">
              <w:rPr>
                <w:rFonts w:ascii="宋体" w:eastAsia="宋体" w:hAnsi="宋体" w:hint="eastAsia"/>
                <w:sz w:val="18"/>
                <w:szCs w:val="18"/>
              </w:rPr>
              <w:t>——</w:t>
            </w:r>
          </w:p>
        </w:tc>
        <w:tc>
          <w:tcPr>
            <w:tcW w:w="709" w:type="dxa"/>
            <w:tcBorders>
              <w:left w:val="single" w:sz="6" w:space="0" w:color="FF6600"/>
              <w:right w:val="single" w:sz="6" w:space="0" w:color="FF6600"/>
            </w:tcBorders>
            <w:shd w:val="clear" w:color="auto" w:fill="auto"/>
            <w:vAlign w:val="center"/>
          </w:tcPr>
          <w:p w:rsidR="00362C12" w:rsidRPr="00362C12" w:rsidRDefault="00362C12" w:rsidP="00362C12">
            <w:pPr>
              <w:jc w:val="center"/>
              <w:rPr>
                <w:rFonts w:ascii="宋体" w:eastAsia="宋体" w:hAnsi="宋体"/>
                <w:sz w:val="18"/>
                <w:szCs w:val="18"/>
              </w:rPr>
            </w:pPr>
            <w:r w:rsidRPr="00362C12">
              <w:rPr>
                <w:rFonts w:ascii="宋体" w:eastAsia="宋体" w:hAnsi="宋体" w:hint="eastAsia"/>
                <w:sz w:val="18"/>
                <w:szCs w:val="18"/>
              </w:rPr>
              <w:t>——</w:t>
            </w:r>
          </w:p>
        </w:tc>
        <w:tc>
          <w:tcPr>
            <w:tcW w:w="709" w:type="dxa"/>
            <w:tcBorders>
              <w:left w:val="single" w:sz="6" w:space="0" w:color="FF6600"/>
            </w:tcBorders>
            <w:shd w:val="clear" w:color="auto" w:fill="auto"/>
            <w:vAlign w:val="center"/>
          </w:tcPr>
          <w:p w:rsidR="00362C12" w:rsidRPr="00362C12" w:rsidRDefault="00362C12" w:rsidP="00362C12">
            <w:pPr>
              <w:jc w:val="center"/>
              <w:rPr>
                <w:rFonts w:ascii="宋体" w:eastAsia="宋体" w:hAnsi="宋体"/>
                <w:sz w:val="18"/>
                <w:szCs w:val="18"/>
              </w:rPr>
            </w:pPr>
            <w:r w:rsidRPr="00362C12">
              <w:rPr>
                <w:rFonts w:ascii="宋体" w:eastAsia="宋体" w:hAnsi="宋体" w:hint="eastAsia"/>
                <w:sz w:val="18"/>
                <w:szCs w:val="18"/>
              </w:rPr>
              <w:t>——</w:t>
            </w:r>
          </w:p>
        </w:tc>
      </w:tr>
      <w:tr w:rsidR="00014D59" w:rsidTr="00014D59">
        <w:trPr>
          <w:cantSplit/>
          <w:trHeight w:val="271"/>
        </w:trPr>
        <w:tc>
          <w:tcPr>
            <w:tcW w:w="11483" w:type="dxa"/>
            <w:gridSpan w:val="17"/>
            <w:shd w:val="clear" w:color="auto" w:fill="auto"/>
            <w:vAlign w:val="center"/>
          </w:tcPr>
          <w:p w:rsidR="00014D59" w:rsidRPr="00014D59" w:rsidRDefault="00014D59" w:rsidP="00014D59">
            <w:pPr>
              <w:jc w:val="left"/>
              <w:rPr>
                <w:rFonts w:ascii="宋体" w:eastAsia="宋体" w:hAnsi="宋体"/>
                <w:sz w:val="18"/>
                <w:szCs w:val="18"/>
              </w:rPr>
            </w:pPr>
            <w:r w:rsidRPr="00014D59">
              <w:rPr>
                <w:rFonts w:ascii="宋体" w:eastAsia="宋体" w:hAnsi="宋体" w:hint="eastAsia"/>
                <w:sz w:val="18"/>
                <w:szCs w:val="18"/>
              </w:rPr>
              <w:t>注：除多头策略外，其他策略具有完整年度以上业绩的样本数量相对较少，平均结果仅供参考，且没有区分管理型和分级型等特征。</w:t>
            </w:r>
          </w:p>
        </w:tc>
      </w:tr>
    </w:tbl>
    <w:p w:rsidR="0007052A" w:rsidRPr="003629A1" w:rsidRDefault="0007052A" w:rsidP="0007052A">
      <w:pPr>
        <w:pStyle w:val="FootnoteNoline"/>
        <w:ind w:left="0"/>
        <w:rPr>
          <w:color w:val="FF6600"/>
          <w:lang w:val="en-US"/>
        </w:rPr>
      </w:pPr>
      <w:r w:rsidRPr="003629A1">
        <w:rPr>
          <w:rFonts w:hint="eastAsia"/>
          <w:color w:val="FF6600"/>
          <w:lang w:val="en-US"/>
        </w:rPr>
        <w:t>来源：</w:t>
      </w:r>
      <w:proofErr w:type="gramStart"/>
      <w:r w:rsidRPr="003629A1">
        <w:rPr>
          <w:rFonts w:hint="eastAsia"/>
          <w:color w:val="FF6600"/>
          <w:lang w:val="en-US"/>
        </w:rPr>
        <w:t>凯</w:t>
      </w:r>
      <w:proofErr w:type="gramEnd"/>
      <w:r w:rsidRPr="003629A1">
        <w:rPr>
          <w:rFonts w:hint="eastAsia"/>
          <w:color w:val="FF6600"/>
          <w:lang w:val="en-US"/>
        </w:rPr>
        <w:t>石财富工场</w:t>
      </w:r>
    </w:p>
    <w:tbl>
      <w:tblPr>
        <w:tblW w:w="11483" w:type="dxa"/>
        <w:tblInd w:w="-426" w:type="dxa"/>
        <w:tblBorders>
          <w:top w:val="single" w:sz="6" w:space="0" w:color="FF6600"/>
          <w:bottom w:val="single" w:sz="6" w:space="0" w:color="FF6600"/>
          <w:insideH w:val="single" w:sz="6" w:space="0" w:color="FF6600"/>
        </w:tblBorders>
        <w:tblLayout w:type="fixed"/>
        <w:tblCellMar>
          <w:left w:w="0" w:type="dxa"/>
          <w:right w:w="0" w:type="dxa"/>
        </w:tblCellMar>
        <w:tblLook w:val="0000"/>
      </w:tblPr>
      <w:tblGrid>
        <w:gridCol w:w="1135"/>
        <w:gridCol w:w="1134"/>
        <w:gridCol w:w="851"/>
        <w:gridCol w:w="708"/>
        <w:gridCol w:w="851"/>
        <w:gridCol w:w="709"/>
        <w:gridCol w:w="283"/>
        <w:gridCol w:w="1134"/>
        <w:gridCol w:w="1134"/>
        <w:gridCol w:w="851"/>
        <w:gridCol w:w="708"/>
        <w:gridCol w:w="851"/>
        <w:gridCol w:w="850"/>
        <w:gridCol w:w="284"/>
      </w:tblGrid>
      <w:tr w:rsidR="00EA19D3" w:rsidTr="00EA19D3">
        <w:trPr>
          <w:cantSplit/>
          <w:trHeight w:val="335"/>
        </w:trPr>
        <w:tc>
          <w:tcPr>
            <w:tcW w:w="11483" w:type="dxa"/>
            <w:gridSpan w:val="14"/>
            <w:tcBorders>
              <w:bottom w:val="single" w:sz="6" w:space="0" w:color="FF6600"/>
            </w:tcBorders>
            <w:shd w:val="clear" w:color="auto" w:fill="auto"/>
            <w:vAlign w:val="center"/>
          </w:tcPr>
          <w:p w:rsidR="00EA19D3" w:rsidRPr="00EA19D3" w:rsidRDefault="00EA19D3" w:rsidP="0073421E">
            <w:pPr>
              <w:pStyle w:val="SubTitleLargeTable"/>
              <w:pBdr>
                <w:top w:val="none" w:sz="0" w:space="0" w:color="auto"/>
              </w:pBdr>
              <w:rPr>
                <w:rFonts w:ascii="宋体" w:eastAsiaTheme="minorEastAsia" w:hAnsi="宋体"/>
                <w:b w:val="0"/>
              </w:rPr>
            </w:pPr>
            <w:r w:rsidRPr="00656031">
              <w:rPr>
                <w:color w:val="FF6600"/>
              </w:rPr>
              <w:t>图表</w:t>
            </w:r>
            <w:r>
              <w:rPr>
                <w:rFonts w:eastAsiaTheme="minorEastAsia" w:hint="eastAsia"/>
                <w:color w:val="FF6600"/>
              </w:rPr>
              <w:t>6</w:t>
            </w:r>
            <w:r w:rsidRPr="00656031">
              <w:rPr>
                <w:rFonts w:hint="eastAsia"/>
                <w:color w:val="FF6600"/>
              </w:rPr>
              <w:t>：</w:t>
            </w:r>
            <w:r>
              <w:rPr>
                <w:rFonts w:eastAsiaTheme="minorEastAsia" w:hint="eastAsia"/>
                <w:color w:val="FF6600"/>
              </w:rPr>
              <w:t>10</w:t>
            </w:r>
            <w:r>
              <w:rPr>
                <w:rFonts w:eastAsiaTheme="minorEastAsia" w:hint="eastAsia"/>
                <w:color w:val="FF6600"/>
              </w:rPr>
              <w:t>月份对冲基金涨幅</w:t>
            </w:r>
            <w:r>
              <w:rPr>
                <w:rFonts w:eastAsiaTheme="minorEastAsia" w:hint="eastAsia"/>
                <w:color w:val="FF6600"/>
              </w:rPr>
              <w:t>TOP10</w:t>
            </w:r>
          </w:p>
        </w:tc>
      </w:tr>
      <w:tr w:rsidR="00EA19D3" w:rsidTr="00FE5C5F">
        <w:trPr>
          <w:cantSplit/>
          <w:trHeight w:val="705"/>
        </w:trPr>
        <w:tc>
          <w:tcPr>
            <w:tcW w:w="1135" w:type="dxa"/>
            <w:tcBorders>
              <w:right w:val="single" w:sz="6" w:space="0" w:color="FF6600"/>
            </w:tcBorders>
            <w:shd w:val="clear" w:color="auto" w:fill="FABF8F" w:themeFill="accent6" w:themeFillTint="99"/>
            <w:vAlign w:val="center"/>
          </w:tcPr>
          <w:p w:rsidR="00EA19D3" w:rsidRPr="00EA19D3" w:rsidRDefault="00EA19D3" w:rsidP="0073421E">
            <w:pPr>
              <w:jc w:val="center"/>
              <w:rPr>
                <w:rFonts w:ascii="宋体" w:hAnsi="宋体"/>
                <w:b/>
                <w:bCs/>
                <w:color w:val="000000"/>
                <w:sz w:val="18"/>
                <w:szCs w:val="18"/>
              </w:rPr>
            </w:pPr>
            <w:r w:rsidRPr="00EA19D3">
              <w:rPr>
                <w:rFonts w:ascii="宋体" w:hAnsi="宋体" w:hint="eastAsia"/>
                <w:b/>
                <w:bCs/>
                <w:color w:val="000000"/>
                <w:sz w:val="18"/>
                <w:szCs w:val="18"/>
              </w:rPr>
              <w:t>产品</w:t>
            </w:r>
          </w:p>
          <w:p w:rsidR="00EA19D3" w:rsidRPr="00EA19D3" w:rsidRDefault="00EA19D3" w:rsidP="0073421E">
            <w:pPr>
              <w:jc w:val="center"/>
              <w:rPr>
                <w:rFonts w:ascii="宋体" w:hAnsi="宋体" w:cs="宋体"/>
                <w:b/>
                <w:bCs/>
                <w:color w:val="000000"/>
                <w:sz w:val="18"/>
                <w:szCs w:val="18"/>
              </w:rPr>
            </w:pPr>
            <w:r w:rsidRPr="00EA19D3">
              <w:rPr>
                <w:rFonts w:ascii="宋体" w:hAnsi="宋体" w:hint="eastAsia"/>
                <w:b/>
                <w:bCs/>
                <w:color w:val="000000"/>
                <w:sz w:val="18"/>
                <w:szCs w:val="18"/>
              </w:rPr>
              <w:t>名称</w:t>
            </w:r>
          </w:p>
        </w:tc>
        <w:tc>
          <w:tcPr>
            <w:tcW w:w="1134" w:type="dxa"/>
            <w:tcBorders>
              <w:left w:val="single" w:sz="6" w:space="0" w:color="FF6600"/>
              <w:right w:val="single" w:sz="6" w:space="0" w:color="FF6600"/>
            </w:tcBorders>
            <w:shd w:val="clear" w:color="auto" w:fill="auto"/>
            <w:vAlign w:val="center"/>
          </w:tcPr>
          <w:p w:rsidR="00EA19D3" w:rsidRPr="00EA19D3" w:rsidRDefault="00EA19D3" w:rsidP="0073421E">
            <w:pPr>
              <w:jc w:val="center"/>
              <w:rPr>
                <w:rFonts w:ascii="宋体" w:hAnsi="宋体" w:cs="宋体"/>
                <w:b/>
                <w:bCs/>
                <w:color w:val="000000"/>
                <w:sz w:val="18"/>
                <w:szCs w:val="18"/>
              </w:rPr>
            </w:pPr>
            <w:r w:rsidRPr="00EA19D3">
              <w:rPr>
                <w:rFonts w:ascii="宋体" w:hAnsi="宋体" w:hint="eastAsia"/>
                <w:b/>
                <w:bCs/>
                <w:color w:val="000000"/>
                <w:sz w:val="18"/>
                <w:szCs w:val="18"/>
              </w:rPr>
              <w:t>管理人</w:t>
            </w:r>
          </w:p>
        </w:tc>
        <w:tc>
          <w:tcPr>
            <w:tcW w:w="851" w:type="dxa"/>
            <w:tcBorders>
              <w:left w:val="single" w:sz="6" w:space="0" w:color="FF6600"/>
              <w:right w:val="single" w:sz="6" w:space="0" w:color="FF6600"/>
            </w:tcBorders>
            <w:shd w:val="clear" w:color="auto" w:fill="auto"/>
            <w:vAlign w:val="center"/>
          </w:tcPr>
          <w:p w:rsidR="00EA19D3" w:rsidRPr="00EA19D3" w:rsidRDefault="00EA19D3" w:rsidP="0073421E">
            <w:pPr>
              <w:jc w:val="center"/>
              <w:rPr>
                <w:rFonts w:ascii="宋体" w:hAnsi="宋体"/>
                <w:b/>
                <w:bCs/>
                <w:color w:val="000000"/>
                <w:sz w:val="18"/>
                <w:szCs w:val="18"/>
              </w:rPr>
            </w:pPr>
            <w:r w:rsidRPr="00EA19D3">
              <w:rPr>
                <w:rFonts w:ascii="宋体" w:hAnsi="宋体" w:hint="eastAsia"/>
                <w:b/>
                <w:bCs/>
                <w:color w:val="000000"/>
                <w:sz w:val="18"/>
                <w:szCs w:val="18"/>
              </w:rPr>
              <w:t>策略</w:t>
            </w:r>
          </w:p>
          <w:p w:rsidR="00EA19D3" w:rsidRPr="00EA19D3" w:rsidRDefault="00EA19D3" w:rsidP="0073421E">
            <w:pPr>
              <w:jc w:val="center"/>
              <w:rPr>
                <w:rFonts w:ascii="宋体" w:hAnsi="宋体" w:cs="宋体"/>
                <w:b/>
                <w:bCs/>
                <w:color w:val="000000"/>
                <w:sz w:val="18"/>
                <w:szCs w:val="18"/>
              </w:rPr>
            </w:pPr>
            <w:r w:rsidRPr="00EA19D3">
              <w:rPr>
                <w:rFonts w:ascii="宋体" w:hAnsi="宋体" w:hint="eastAsia"/>
                <w:b/>
                <w:bCs/>
                <w:color w:val="000000"/>
                <w:sz w:val="18"/>
                <w:szCs w:val="18"/>
              </w:rPr>
              <w:t>类型</w:t>
            </w:r>
          </w:p>
        </w:tc>
        <w:tc>
          <w:tcPr>
            <w:tcW w:w="708" w:type="dxa"/>
            <w:tcBorders>
              <w:left w:val="single" w:sz="6" w:space="0" w:color="FF6600"/>
              <w:right w:val="single" w:sz="6" w:space="0" w:color="FF6600"/>
            </w:tcBorders>
            <w:shd w:val="clear" w:color="auto" w:fill="auto"/>
            <w:vAlign w:val="center"/>
          </w:tcPr>
          <w:p w:rsidR="00EA19D3" w:rsidRPr="00EA19D3" w:rsidRDefault="00EA19D3" w:rsidP="0073421E">
            <w:pPr>
              <w:jc w:val="center"/>
              <w:rPr>
                <w:rFonts w:ascii="宋体" w:hAnsi="宋体"/>
                <w:b/>
                <w:bCs/>
                <w:color w:val="000000"/>
                <w:sz w:val="18"/>
                <w:szCs w:val="18"/>
              </w:rPr>
            </w:pPr>
            <w:r w:rsidRPr="00EA19D3">
              <w:rPr>
                <w:rFonts w:ascii="宋体" w:hAnsi="宋体" w:hint="eastAsia"/>
                <w:b/>
                <w:bCs/>
                <w:color w:val="000000"/>
                <w:sz w:val="18"/>
                <w:szCs w:val="18"/>
              </w:rPr>
              <w:t>结构</w:t>
            </w:r>
          </w:p>
          <w:p w:rsidR="00EA19D3" w:rsidRPr="00EA19D3" w:rsidRDefault="00EA19D3" w:rsidP="0073421E">
            <w:pPr>
              <w:jc w:val="center"/>
              <w:rPr>
                <w:rFonts w:ascii="宋体" w:hAnsi="宋体" w:cs="宋体"/>
                <w:b/>
                <w:bCs/>
                <w:color w:val="000000"/>
                <w:sz w:val="18"/>
                <w:szCs w:val="18"/>
              </w:rPr>
            </w:pPr>
            <w:r w:rsidRPr="00EA19D3">
              <w:rPr>
                <w:rFonts w:ascii="宋体" w:hAnsi="宋体" w:hint="eastAsia"/>
                <w:b/>
                <w:bCs/>
                <w:color w:val="000000"/>
                <w:sz w:val="18"/>
                <w:szCs w:val="18"/>
              </w:rPr>
              <w:t>类型</w:t>
            </w:r>
          </w:p>
        </w:tc>
        <w:tc>
          <w:tcPr>
            <w:tcW w:w="851" w:type="dxa"/>
            <w:tcBorders>
              <w:left w:val="single" w:sz="6" w:space="0" w:color="FF6600"/>
              <w:right w:val="single" w:sz="6" w:space="0" w:color="FF6600"/>
            </w:tcBorders>
            <w:shd w:val="clear" w:color="auto" w:fill="auto"/>
            <w:vAlign w:val="center"/>
          </w:tcPr>
          <w:p w:rsidR="00EA19D3" w:rsidRPr="00EA19D3" w:rsidRDefault="00EA19D3" w:rsidP="0073421E">
            <w:pPr>
              <w:jc w:val="center"/>
              <w:rPr>
                <w:rFonts w:ascii="宋体" w:hAnsi="宋体"/>
                <w:b/>
                <w:bCs/>
                <w:color w:val="000000"/>
                <w:sz w:val="18"/>
                <w:szCs w:val="18"/>
              </w:rPr>
            </w:pPr>
            <w:r w:rsidRPr="00EA19D3">
              <w:rPr>
                <w:rFonts w:ascii="宋体" w:hAnsi="宋体" w:hint="eastAsia"/>
                <w:b/>
                <w:bCs/>
                <w:color w:val="000000"/>
                <w:sz w:val="18"/>
                <w:szCs w:val="18"/>
              </w:rPr>
              <w:t>最新</w:t>
            </w:r>
          </w:p>
          <w:p w:rsidR="00EA19D3" w:rsidRPr="00EA19D3" w:rsidRDefault="00EA19D3" w:rsidP="0073421E">
            <w:pPr>
              <w:jc w:val="center"/>
              <w:rPr>
                <w:rFonts w:ascii="宋体" w:hAnsi="宋体" w:cs="宋体"/>
                <w:b/>
                <w:bCs/>
                <w:color w:val="000000"/>
                <w:sz w:val="18"/>
                <w:szCs w:val="18"/>
              </w:rPr>
            </w:pPr>
            <w:r w:rsidRPr="00EA19D3">
              <w:rPr>
                <w:rFonts w:ascii="宋体" w:hAnsi="宋体" w:hint="eastAsia"/>
                <w:b/>
                <w:bCs/>
                <w:color w:val="000000"/>
                <w:sz w:val="18"/>
                <w:szCs w:val="18"/>
              </w:rPr>
              <w:t>净值</w:t>
            </w:r>
          </w:p>
        </w:tc>
        <w:tc>
          <w:tcPr>
            <w:tcW w:w="709" w:type="dxa"/>
            <w:tcBorders>
              <w:left w:val="single" w:sz="6" w:space="0" w:color="FF6600"/>
              <w:right w:val="single" w:sz="6" w:space="0" w:color="FF6600"/>
            </w:tcBorders>
            <w:shd w:val="clear" w:color="auto" w:fill="auto"/>
            <w:vAlign w:val="center"/>
          </w:tcPr>
          <w:p w:rsidR="00EA19D3" w:rsidRPr="00EA19D3" w:rsidRDefault="00EA19D3" w:rsidP="0073421E">
            <w:pPr>
              <w:jc w:val="center"/>
              <w:rPr>
                <w:rFonts w:ascii="宋体" w:hAnsi="宋体"/>
                <w:b/>
                <w:bCs/>
                <w:color w:val="000000"/>
                <w:sz w:val="18"/>
                <w:szCs w:val="18"/>
              </w:rPr>
            </w:pPr>
            <w:r>
              <w:rPr>
                <w:rFonts w:ascii="宋体" w:hAnsi="宋体" w:hint="eastAsia"/>
                <w:b/>
                <w:bCs/>
                <w:color w:val="000000"/>
                <w:sz w:val="18"/>
                <w:szCs w:val="18"/>
              </w:rPr>
              <w:t>10</w:t>
            </w:r>
            <w:r w:rsidRPr="00EA19D3">
              <w:rPr>
                <w:rFonts w:ascii="宋体" w:hAnsi="宋体" w:hint="eastAsia"/>
                <w:b/>
                <w:bCs/>
                <w:color w:val="000000"/>
                <w:sz w:val="18"/>
                <w:szCs w:val="18"/>
              </w:rPr>
              <w:t>月</w:t>
            </w:r>
          </w:p>
          <w:p w:rsidR="00EA19D3" w:rsidRPr="00EA19D3" w:rsidRDefault="00EA19D3" w:rsidP="0073421E">
            <w:pPr>
              <w:jc w:val="center"/>
              <w:rPr>
                <w:rFonts w:ascii="宋体" w:hAnsi="宋体"/>
                <w:b/>
                <w:bCs/>
                <w:color w:val="000000"/>
                <w:sz w:val="18"/>
                <w:szCs w:val="18"/>
              </w:rPr>
            </w:pPr>
            <w:r w:rsidRPr="00EA19D3">
              <w:rPr>
                <w:rFonts w:ascii="宋体" w:hAnsi="宋体" w:hint="eastAsia"/>
                <w:b/>
                <w:bCs/>
                <w:color w:val="000000"/>
                <w:sz w:val="18"/>
                <w:szCs w:val="18"/>
              </w:rPr>
              <w:t>收益</w:t>
            </w:r>
          </w:p>
        </w:tc>
        <w:tc>
          <w:tcPr>
            <w:tcW w:w="283" w:type="dxa"/>
            <w:tcBorders>
              <w:left w:val="single" w:sz="6" w:space="0" w:color="FF6600"/>
              <w:right w:val="single" w:sz="6" w:space="0" w:color="FF6600"/>
            </w:tcBorders>
            <w:shd w:val="clear" w:color="auto" w:fill="auto"/>
            <w:vAlign w:val="center"/>
          </w:tcPr>
          <w:p w:rsidR="00EA19D3" w:rsidRPr="00EA19D3" w:rsidRDefault="00EA19D3" w:rsidP="0073421E">
            <w:pPr>
              <w:jc w:val="center"/>
              <w:rPr>
                <w:rFonts w:ascii="宋体" w:hAnsi="宋体" w:cs="宋体"/>
                <w:b/>
                <w:bCs/>
                <w:color w:val="000000"/>
                <w:sz w:val="18"/>
                <w:szCs w:val="18"/>
              </w:rPr>
            </w:pPr>
            <w:r w:rsidRPr="00EA19D3">
              <w:rPr>
                <w:rFonts w:ascii="宋体" w:hAnsi="宋体" w:hint="eastAsia"/>
                <w:b/>
                <w:bCs/>
                <w:color w:val="000000"/>
                <w:sz w:val="18"/>
                <w:szCs w:val="18"/>
              </w:rPr>
              <w:t>排名</w:t>
            </w:r>
          </w:p>
        </w:tc>
        <w:tc>
          <w:tcPr>
            <w:tcW w:w="1134" w:type="dxa"/>
            <w:tcBorders>
              <w:left w:val="single" w:sz="6" w:space="0" w:color="FF6600"/>
              <w:right w:val="single" w:sz="6" w:space="0" w:color="FF6600"/>
            </w:tcBorders>
            <w:shd w:val="clear" w:color="auto" w:fill="FABF8F" w:themeFill="accent6" w:themeFillTint="99"/>
            <w:vAlign w:val="center"/>
          </w:tcPr>
          <w:p w:rsidR="00EA19D3" w:rsidRPr="00EA19D3" w:rsidRDefault="00EA19D3" w:rsidP="0073421E">
            <w:pPr>
              <w:jc w:val="center"/>
              <w:rPr>
                <w:rFonts w:ascii="宋体" w:hAnsi="宋体"/>
                <w:b/>
                <w:bCs/>
                <w:color w:val="000000"/>
                <w:sz w:val="18"/>
                <w:szCs w:val="18"/>
              </w:rPr>
            </w:pPr>
            <w:r w:rsidRPr="00EA19D3">
              <w:rPr>
                <w:rFonts w:ascii="宋体" w:hAnsi="宋体" w:hint="eastAsia"/>
                <w:b/>
                <w:bCs/>
                <w:color w:val="000000"/>
                <w:sz w:val="18"/>
                <w:szCs w:val="18"/>
              </w:rPr>
              <w:t>产品</w:t>
            </w:r>
          </w:p>
          <w:p w:rsidR="00EA19D3" w:rsidRPr="00EA19D3" w:rsidRDefault="00EA19D3" w:rsidP="0073421E">
            <w:pPr>
              <w:jc w:val="center"/>
              <w:rPr>
                <w:rFonts w:ascii="宋体" w:hAnsi="宋体" w:cs="宋体"/>
                <w:b/>
                <w:bCs/>
                <w:color w:val="000000"/>
                <w:sz w:val="18"/>
                <w:szCs w:val="18"/>
              </w:rPr>
            </w:pPr>
            <w:r w:rsidRPr="00EA19D3">
              <w:rPr>
                <w:rFonts w:ascii="宋体" w:hAnsi="宋体" w:hint="eastAsia"/>
                <w:b/>
                <w:bCs/>
                <w:color w:val="000000"/>
                <w:sz w:val="18"/>
                <w:szCs w:val="18"/>
              </w:rPr>
              <w:t>名称</w:t>
            </w:r>
          </w:p>
        </w:tc>
        <w:tc>
          <w:tcPr>
            <w:tcW w:w="1134" w:type="dxa"/>
            <w:tcBorders>
              <w:left w:val="single" w:sz="6" w:space="0" w:color="FF6600"/>
              <w:right w:val="single" w:sz="6" w:space="0" w:color="FF6600"/>
            </w:tcBorders>
            <w:shd w:val="clear" w:color="auto" w:fill="auto"/>
            <w:vAlign w:val="center"/>
          </w:tcPr>
          <w:p w:rsidR="00EA19D3" w:rsidRPr="00EA19D3" w:rsidRDefault="00EA19D3" w:rsidP="0073421E">
            <w:pPr>
              <w:jc w:val="center"/>
              <w:rPr>
                <w:rFonts w:ascii="宋体" w:hAnsi="宋体" w:cs="宋体"/>
                <w:b/>
                <w:bCs/>
                <w:color w:val="000000"/>
                <w:sz w:val="18"/>
                <w:szCs w:val="18"/>
              </w:rPr>
            </w:pPr>
            <w:r w:rsidRPr="00EA19D3">
              <w:rPr>
                <w:rFonts w:ascii="宋体" w:hAnsi="宋体" w:hint="eastAsia"/>
                <w:b/>
                <w:bCs/>
                <w:color w:val="000000"/>
                <w:sz w:val="18"/>
                <w:szCs w:val="18"/>
              </w:rPr>
              <w:t>管理人</w:t>
            </w:r>
          </w:p>
        </w:tc>
        <w:tc>
          <w:tcPr>
            <w:tcW w:w="851" w:type="dxa"/>
            <w:tcBorders>
              <w:left w:val="single" w:sz="6" w:space="0" w:color="FF6600"/>
              <w:right w:val="single" w:sz="6" w:space="0" w:color="FF6600"/>
            </w:tcBorders>
            <w:shd w:val="clear" w:color="auto" w:fill="auto"/>
            <w:vAlign w:val="center"/>
          </w:tcPr>
          <w:p w:rsidR="00EA19D3" w:rsidRPr="00EA19D3" w:rsidRDefault="00EA19D3" w:rsidP="0073421E">
            <w:pPr>
              <w:jc w:val="center"/>
              <w:rPr>
                <w:rFonts w:ascii="宋体" w:hAnsi="宋体"/>
                <w:b/>
                <w:bCs/>
                <w:color w:val="000000"/>
                <w:sz w:val="18"/>
                <w:szCs w:val="18"/>
              </w:rPr>
            </w:pPr>
            <w:r w:rsidRPr="00EA19D3">
              <w:rPr>
                <w:rFonts w:ascii="宋体" w:hAnsi="宋体" w:hint="eastAsia"/>
                <w:b/>
                <w:bCs/>
                <w:color w:val="000000"/>
                <w:sz w:val="18"/>
                <w:szCs w:val="18"/>
              </w:rPr>
              <w:t>策略</w:t>
            </w:r>
          </w:p>
          <w:p w:rsidR="00EA19D3" w:rsidRPr="00EA19D3" w:rsidRDefault="00EA19D3" w:rsidP="0073421E">
            <w:pPr>
              <w:jc w:val="center"/>
              <w:rPr>
                <w:rFonts w:ascii="宋体" w:hAnsi="宋体" w:cs="宋体"/>
                <w:b/>
                <w:bCs/>
                <w:color w:val="000000"/>
                <w:sz w:val="18"/>
                <w:szCs w:val="18"/>
              </w:rPr>
            </w:pPr>
            <w:r w:rsidRPr="00EA19D3">
              <w:rPr>
                <w:rFonts w:ascii="宋体" w:hAnsi="宋体" w:hint="eastAsia"/>
                <w:b/>
                <w:bCs/>
                <w:color w:val="000000"/>
                <w:sz w:val="18"/>
                <w:szCs w:val="18"/>
              </w:rPr>
              <w:t>类型</w:t>
            </w:r>
          </w:p>
        </w:tc>
        <w:tc>
          <w:tcPr>
            <w:tcW w:w="708" w:type="dxa"/>
            <w:tcBorders>
              <w:left w:val="single" w:sz="6" w:space="0" w:color="FF6600"/>
              <w:right w:val="single" w:sz="6" w:space="0" w:color="FF6600"/>
            </w:tcBorders>
            <w:shd w:val="clear" w:color="auto" w:fill="auto"/>
            <w:vAlign w:val="center"/>
          </w:tcPr>
          <w:p w:rsidR="00EA19D3" w:rsidRPr="00EA19D3" w:rsidRDefault="00EA19D3" w:rsidP="0073421E">
            <w:pPr>
              <w:jc w:val="center"/>
              <w:rPr>
                <w:rFonts w:ascii="宋体" w:hAnsi="宋体"/>
                <w:b/>
                <w:bCs/>
                <w:color w:val="000000"/>
                <w:sz w:val="18"/>
                <w:szCs w:val="18"/>
              </w:rPr>
            </w:pPr>
            <w:r w:rsidRPr="00EA19D3">
              <w:rPr>
                <w:rFonts w:ascii="宋体" w:hAnsi="宋体" w:hint="eastAsia"/>
                <w:b/>
                <w:bCs/>
                <w:color w:val="000000"/>
                <w:sz w:val="18"/>
                <w:szCs w:val="18"/>
              </w:rPr>
              <w:t>结构</w:t>
            </w:r>
          </w:p>
          <w:p w:rsidR="00EA19D3" w:rsidRPr="00EA19D3" w:rsidRDefault="00EA19D3" w:rsidP="0073421E">
            <w:pPr>
              <w:jc w:val="center"/>
              <w:rPr>
                <w:rFonts w:ascii="宋体" w:hAnsi="宋体" w:cs="宋体"/>
                <w:b/>
                <w:bCs/>
                <w:color w:val="000000"/>
                <w:sz w:val="18"/>
                <w:szCs w:val="18"/>
              </w:rPr>
            </w:pPr>
            <w:r w:rsidRPr="00EA19D3">
              <w:rPr>
                <w:rFonts w:ascii="宋体" w:hAnsi="宋体" w:hint="eastAsia"/>
                <w:b/>
                <w:bCs/>
                <w:color w:val="000000"/>
                <w:sz w:val="18"/>
                <w:szCs w:val="18"/>
              </w:rPr>
              <w:t>类型</w:t>
            </w:r>
          </w:p>
        </w:tc>
        <w:tc>
          <w:tcPr>
            <w:tcW w:w="851" w:type="dxa"/>
            <w:tcBorders>
              <w:left w:val="single" w:sz="6" w:space="0" w:color="FF6600"/>
              <w:right w:val="single" w:sz="6" w:space="0" w:color="FF6600"/>
            </w:tcBorders>
            <w:shd w:val="clear" w:color="auto" w:fill="auto"/>
            <w:vAlign w:val="center"/>
          </w:tcPr>
          <w:p w:rsidR="00EA19D3" w:rsidRPr="00EA19D3" w:rsidRDefault="00EA19D3" w:rsidP="0073421E">
            <w:pPr>
              <w:jc w:val="center"/>
              <w:rPr>
                <w:rFonts w:ascii="宋体" w:hAnsi="宋体"/>
                <w:b/>
                <w:bCs/>
                <w:color w:val="000000"/>
                <w:sz w:val="18"/>
                <w:szCs w:val="18"/>
              </w:rPr>
            </w:pPr>
            <w:r w:rsidRPr="00EA19D3">
              <w:rPr>
                <w:rFonts w:ascii="宋体" w:hAnsi="宋体" w:hint="eastAsia"/>
                <w:b/>
                <w:bCs/>
                <w:color w:val="000000"/>
                <w:sz w:val="18"/>
                <w:szCs w:val="18"/>
              </w:rPr>
              <w:t>最新</w:t>
            </w:r>
          </w:p>
          <w:p w:rsidR="00EA19D3" w:rsidRPr="00EA19D3" w:rsidRDefault="00EA19D3" w:rsidP="0073421E">
            <w:pPr>
              <w:jc w:val="center"/>
              <w:rPr>
                <w:rFonts w:ascii="宋体" w:hAnsi="宋体" w:cs="宋体"/>
                <w:b/>
                <w:bCs/>
                <w:color w:val="000000"/>
                <w:sz w:val="18"/>
                <w:szCs w:val="18"/>
              </w:rPr>
            </w:pPr>
            <w:r w:rsidRPr="00EA19D3">
              <w:rPr>
                <w:rFonts w:ascii="宋体" w:hAnsi="宋体" w:hint="eastAsia"/>
                <w:b/>
                <w:bCs/>
                <w:color w:val="000000"/>
                <w:sz w:val="18"/>
                <w:szCs w:val="18"/>
              </w:rPr>
              <w:t>净值</w:t>
            </w:r>
          </w:p>
        </w:tc>
        <w:tc>
          <w:tcPr>
            <w:tcW w:w="850" w:type="dxa"/>
            <w:tcBorders>
              <w:left w:val="single" w:sz="6" w:space="0" w:color="FF6600"/>
              <w:right w:val="single" w:sz="6" w:space="0" w:color="FF6600"/>
            </w:tcBorders>
            <w:shd w:val="clear" w:color="auto" w:fill="auto"/>
            <w:vAlign w:val="center"/>
          </w:tcPr>
          <w:p w:rsidR="00EA19D3" w:rsidRPr="00EA19D3" w:rsidRDefault="00EA19D3" w:rsidP="0073421E">
            <w:pPr>
              <w:jc w:val="center"/>
              <w:rPr>
                <w:rFonts w:ascii="宋体" w:hAnsi="宋体"/>
                <w:b/>
                <w:bCs/>
                <w:color w:val="000000"/>
                <w:sz w:val="18"/>
                <w:szCs w:val="18"/>
              </w:rPr>
            </w:pPr>
            <w:r>
              <w:rPr>
                <w:rFonts w:ascii="宋体" w:hAnsi="宋体" w:hint="eastAsia"/>
                <w:b/>
                <w:bCs/>
                <w:color w:val="000000"/>
                <w:sz w:val="18"/>
                <w:szCs w:val="18"/>
              </w:rPr>
              <w:t>10</w:t>
            </w:r>
            <w:r w:rsidRPr="00EA19D3">
              <w:rPr>
                <w:rFonts w:ascii="宋体" w:hAnsi="宋体" w:hint="eastAsia"/>
                <w:b/>
                <w:bCs/>
                <w:color w:val="000000"/>
                <w:sz w:val="18"/>
                <w:szCs w:val="18"/>
              </w:rPr>
              <w:t>月</w:t>
            </w:r>
          </w:p>
          <w:p w:rsidR="00EA19D3" w:rsidRPr="00EA19D3" w:rsidRDefault="00EA19D3" w:rsidP="0073421E">
            <w:pPr>
              <w:jc w:val="center"/>
              <w:rPr>
                <w:rFonts w:ascii="宋体" w:hAnsi="宋体"/>
                <w:b/>
                <w:bCs/>
                <w:color w:val="000000"/>
                <w:sz w:val="18"/>
                <w:szCs w:val="18"/>
              </w:rPr>
            </w:pPr>
            <w:r w:rsidRPr="00EA19D3">
              <w:rPr>
                <w:rFonts w:ascii="宋体" w:hAnsi="宋体" w:hint="eastAsia"/>
                <w:b/>
                <w:bCs/>
                <w:color w:val="000000"/>
                <w:sz w:val="18"/>
                <w:szCs w:val="18"/>
              </w:rPr>
              <w:t>收益</w:t>
            </w:r>
          </w:p>
        </w:tc>
        <w:tc>
          <w:tcPr>
            <w:tcW w:w="284" w:type="dxa"/>
            <w:tcBorders>
              <w:left w:val="single" w:sz="6" w:space="0" w:color="FF6600"/>
            </w:tcBorders>
            <w:shd w:val="clear" w:color="auto" w:fill="auto"/>
            <w:vAlign w:val="center"/>
          </w:tcPr>
          <w:p w:rsidR="00EA19D3" w:rsidRPr="00EA19D3" w:rsidRDefault="00EA19D3" w:rsidP="0073421E">
            <w:pPr>
              <w:jc w:val="center"/>
              <w:rPr>
                <w:rFonts w:ascii="宋体" w:hAnsi="宋体" w:cs="宋体"/>
                <w:b/>
                <w:bCs/>
                <w:color w:val="000000"/>
                <w:sz w:val="18"/>
                <w:szCs w:val="18"/>
              </w:rPr>
            </w:pPr>
            <w:r w:rsidRPr="00EA19D3">
              <w:rPr>
                <w:rFonts w:ascii="宋体" w:hAnsi="宋体" w:hint="eastAsia"/>
                <w:b/>
                <w:bCs/>
                <w:color w:val="000000"/>
                <w:sz w:val="18"/>
                <w:szCs w:val="18"/>
              </w:rPr>
              <w:t>排名</w:t>
            </w:r>
          </w:p>
        </w:tc>
      </w:tr>
      <w:tr w:rsidR="00FE5C5F" w:rsidTr="00FE5C5F">
        <w:trPr>
          <w:cantSplit/>
          <w:trHeight w:val="705"/>
        </w:trPr>
        <w:tc>
          <w:tcPr>
            <w:tcW w:w="1135" w:type="dxa"/>
            <w:tcBorders>
              <w:right w:val="single" w:sz="6" w:space="0" w:color="FF6600"/>
            </w:tcBorders>
            <w:shd w:val="clear" w:color="auto" w:fill="FABF8F" w:themeFill="accent6" w:themeFillTint="99"/>
            <w:vAlign w:val="center"/>
          </w:tcPr>
          <w:p w:rsidR="00FE5C5F" w:rsidRPr="00A22DB9" w:rsidRDefault="00FE5C5F">
            <w:pPr>
              <w:jc w:val="center"/>
              <w:rPr>
                <w:rFonts w:asciiTheme="minorEastAsia" w:hAnsiTheme="minorEastAsia" w:cs="宋体"/>
                <w:bCs/>
                <w:sz w:val="18"/>
                <w:szCs w:val="18"/>
              </w:rPr>
            </w:pPr>
            <w:r w:rsidRPr="00A22DB9">
              <w:rPr>
                <w:rFonts w:asciiTheme="minorEastAsia" w:hAnsiTheme="minorEastAsia" w:hint="eastAsia"/>
                <w:bCs/>
                <w:sz w:val="18"/>
                <w:szCs w:val="18"/>
              </w:rPr>
              <w:t>深国投•尚雅2期</w:t>
            </w:r>
          </w:p>
        </w:tc>
        <w:tc>
          <w:tcPr>
            <w:tcW w:w="1134" w:type="dxa"/>
            <w:tcBorders>
              <w:left w:val="single" w:sz="6" w:space="0" w:color="FF6600"/>
              <w:right w:val="single" w:sz="6" w:space="0" w:color="FF6600"/>
            </w:tcBorders>
            <w:shd w:val="clear" w:color="auto" w:fill="auto"/>
            <w:vAlign w:val="center"/>
          </w:tcPr>
          <w:p w:rsidR="00FE5C5F" w:rsidRPr="00A22DB9" w:rsidRDefault="00FE5C5F">
            <w:pPr>
              <w:jc w:val="center"/>
              <w:rPr>
                <w:rFonts w:asciiTheme="minorEastAsia" w:hAnsiTheme="minorEastAsia" w:cs="宋体"/>
                <w:bCs/>
                <w:sz w:val="18"/>
                <w:szCs w:val="18"/>
              </w:rPr>
            </w:pPr>
            <w:r w:rsidRPr="00A22DB9">
              <w:rPr>
                <w:rFonts w:asciiTheme="minorEastAsia" w:hAnsiTheme="minorEastAsia" w:hint="eastAsia"/>
                <w:bCs/>
                <w:sz w:val="18"/>
                <w:szCs w:val="18"/>
              </w:rPr>
              <w:t>上海尚雅投资管理有限公司</w:t>
            </w:r>
          </w:p>
        </w:tc>
        <w:tc>
          <w:tcPr>
            <w:tcW w:w="851" w:type="dxa"/>
            <w:tcBorders>
              <w:left w:val="single" w:sz="6" w:space="0" w:color="FF6600"/>
              <w:right w:val="single" w:sz="6" w:space="0" w:color="FF6600"/>
            </w:tcBorders>
            <w:shd w:val="clear" w:color="auto" w:fill="auto"/>
            <w:vAlign w:val="center"/>
          </w:tcPr>
          <w:p w:rsidR="00FE5C5F" w:rsidRPr="00A22DB9" w:rsidRDefault="00FE5C5F">
            <w:pPr>
              <w:jc w:val="center"/>
              <w:rPr>
                <w:rFonts w:asciiTheme="minorEastAsia" w:hAnsiTheme="minorEastAsia" w:cs="宋体"/>
                <w:bCs/>
                <w:sz w:val="18"/>
                <w:szCs w:val="18"/>
              </w:rPr>
            </w:pPr>
            <w:r w:rsidRPr="00A22DB9">
              <w:rPr>
                <w:rFonts w:asciiTheme="minorEastAsia" w:hAnsiTheme="minorEastAsia" w:hint="eastAsia"/>
                <w:bCs/>
                <w:sz w:val="18"/>
                <w:szCs w:val="18"/>
              </w:rPr>
              <w:t>股票多头策略</w:t>
            </w:r>
          </w:p>
        </w:tc>
        <w:tc>
          <w:tcPr>
            <w:tcW w:w="708" w:type="dxa"/>
            <w:tcBorders>
              <w:left w:val="single" w:sz="6" w:space="0" w:color="FF6600"/>
              <w:right w:val="single" w:sz="6" w:space="0" w:color="FF6600"/>
            </w:tcBorders>
            <w:shd w:val="clear" w:color="auto" w:fill="auto"/>
            <w:vAlign w:val="center"/>
          </w:tcPr>
          <w:p w:rsidR="00FE5C5F" w:rsidRPr="00A22DB9" w:rsidRDefault="00FE5C5F">
            <w:pPr>
              <w:jc w:val="center"/>
              <w:rPr>
                <w:rFonts w:asciiTheme="minorEastAsia" w:hAnsiTheme="minorEastAsia" w:cs="宋体"/>
                <w:bCs/>
                <w:sz w:val="18"/>
                <w:szCs w:val="18"/>
              </w:rPr>
            </w:pPr>
            <w:r w:rsidRPr="00A22DB9">
              <w:rPr>
                <w:rFonts w:asciiTheme="minorEastAsia" w:hAnsiTheme="minorEastAsia" w:hint="eastAsia"/>
                <w:bCs/>
                <w:sz w:val="18"/>
                <w:szCs w:val="18"/>
              </w:rPr>
              <w:t>管理型</w:t>
            </w:r>
          </w:p>
        </w:tc>
        <w:tc>
          <w:tcPr>
            <w:tcW w:w="851" w:type="dxa"/>
            <w:tcBorders>
              <w:left w:val="single" w:sz="6" w:space="0" w:color="FF6600"/>
              <w:right w:val="single" w:sz="6" w:space="0" w:color="FF6600"/>
            </w:tcBorders>
            <w:shd w:val="clear" w:color="auto" w:fill="auto"/>
            <w:vAlign w:val="center"/>
          </w:tcPr>
          <w:p w:rsidR="00FE5C5F" w:rsidRPr="00FE5C5F" w:rsidRDefault="00FE5C5F" w:rsidP="00FE5C5F">
            <w:pPr>
              <w:jc w:val="center"/>
              <w:rPr>
                <w:rFonts w:asciiTheme="minorEastAsia" w:hAnsiTheme="minorEastAsia" w:cs="宋体"/>
                <w:sz w:val="18"/>
                <w:szCs w:val="18"/>
              </w:rPr>
            </w:pPr>
            <w:r w:rsidRPr="00FE5C5F">
              <w:rPr>
                <w:rFonts w:asciiTheme="minorEastAsia" w:hAnsiTheme="minorEastAsia" w:hint="eastAsia"/>
                <w:sz w:val="18"/>
                <w:szCs w:val="18"/>
              </w:rPr>
              <w:t>141.99</w:t>
            </w:r>
          </w:p>
        </w:tc>
        <w:tc>
          <w:tcPr>
            <w:tcW w:w="709" w:type="dxa"/>
            <w:tcBorders>
              <w:left w:val="single" w:sz="6" w:space="0" w:color="FF6600"/>
              <w:right w:val="single" w:sz="6" w:space="0" w:color="FF6600"/>
            </w:tcBorders>
            <w:shd w:val="clear" w:color="auto" w:fill="auto"/>
            <w:vAlign w:val="center"/>
          </w:tcPr>
          <w:p w:rsidR="00FE5C5F" w:rsidRPr="00FE5C5F" w:rsidRDefault="00FE5C5F" w:rsidP="00FE5C5F">
            <w:pPr>
              <w:jc w:val="center"/>
              <w:rPr>
                <w:rFonts w:asciiTheme="minorEastAsia" w:hAnsiTheme="minorEastAsia" w:cs="宋体"/>
                <w:sz w:val="18"/>
                <w:szCs w:val="18"/>
              </w:rPr>
            </w:pPr>
            <w:r w:rsidRPr="00FE5C5F">
              <w:rPr>
                <w:rFonts w:asciiTheme="minorEastAsia" w:hAnsiTheme="minorEastAsia" w:hint="eastAsia"/>
                <w:sz w:val="18"/>
                <w:szCs w:val="18"/>
              </w:rPr>
              <w:t>14.67%</w:t>
            </w:r>
          </w:p>
        </w:tc>
        <w:tc>
          <w:tcPr>
            <w:tcW w:w="283" w:type="dxa"/>
            <w:tcBorders>
              <w:left w:val="single" w:sz="6" w:space="0" w:color="FF6600"/>
              <w:right w:val="single" w:sz="6" w:space="0" w:color="FF6600"/>
            </w:tcBorders>
            <w:shd w:val="clear" w:color="auto" w:fill="auto"/>
            <w:vAlign w:val="center"/>
          </w:tcPr>
          <w:p w:rsidR="00FE5C5F" w:rsidRPr="00EA19D3" w:rsidRDefault="00FE5C5F" w:rsidP="0073421E">
            <w:pPr>
              <w:jc w:val="center"/>
              <w:rPr>
                <w:rFonts w:ascii="宋体" w:eastAsia="宋体" w:hAnsi="宋体"/>
                <w:sz w:val="18"/>
                <w:szCs w:val="18"/>
              </w:rPr>
            </w:pPr>
            <w:r w:rsidRPr="00EA19D3">
              <w:rPr>
                <w:rFonts w:ascii="宋体" w:eastAsia="宋体" w:hAnsi="宋体" w:hint="eastAsia"/>
                <w:sz w:val="18"/>
                <w:szCs w:val="18"/>
              </w:rPr>
              <w:t>1</w:t>
            </w:r>
          </w:p>
        </w:tc>
        <w:tc>
          <w:tcPr>
            <w:tcW w:w="1134" w:type="dxa"/>
            <w:tcBorders>
              <w:left w:val="single" w:sz="6" w:space="0" w:color="FF6600"/>
              <w:right w:val="single" w:sz="6" w:space="0" w:color="FF6600"/>
            </w:tcBorders>
            <w:shd w:val="clear" w:color="auto" w:fill="FABF8F" w:themeFill="accent6" w:themeFillTint="99"/>
            <w:vAlign w:val="center"/>
          </w:tcPr>
          <w:p w:rsidR="00FE5C5F" w:rsidRPr="00A22DB9" w:rsidRDefault="00FE5C5F">
            <w:pPr>
              <w:jc w:val="center"/>
              <w:rPr>
                <w:rFonts w:ascii="宋体" w:eastAsia="宋体" w:hAnsi="宋体" w:cs="宋体"/>
                <w:bCs/>
                <w:sz w:val="18"/>
                <w:szCs w:val="18"/>
              </w:rPr>
            </w:pPr>
            <w:r w:rsidRPr="00A22DB9">
              <w:rPr>
                <w:rFonts w:hint="eastAsia"/>
                <w:bCs/>
                <w:sz w:val="18"/>
                <w:szCs w:val="18"/>
              </w:rPr>
              <w:t>华宝信托</w:t>
            </w:r>
            <w:r w:rsidRPr="00A22DB9">
              <w:rPr>
                <w:rFonts w:hint="eastAsia"/>
                <w:bCs/>
                <w:sz w:val="18"/>
                <w:szCs w:val="18"/>
              </w:rPr>
              <w:t>-</w:t>
            </w:r>
            <w:proofErr w:type="gramStart"/>
            <w:r w:rsidRPr="00A22DB9">
              <w:rPr>
                <w:rFonts w:hint="eastAsia"/>
                <w:bCs/>
                <w:sz w:val="18"/>
                <w:szCs w:val="18"/>
              </w:rPr>
              <w:t>六禾财富</w:t>
            </w:r>
            <w:proofErr w:type="gramEnd"/>
            <w:r w:rsidRPr="00A22DB9">
              <w:rPr>
                <w:rFonts w:hint="eastAsia"/>
                <w:bCs/>
                <w:sz w:val="18"/>
                <w:szCs w:val="18"/>
              </w:rPr>
              <w:t>越秀</w:t>
            </w:r>
          </w:p>
        </w:tc>
        <w:tc>
          <w:tcPr>
            <w:tcW w:w="1134" w:type="dxa"/>
            <w:tcBorders>
              <w:left w:val="single" w:sz="6" w:space="0" w:color="FF6600"/>
              <w:right w:val="single" w:sz="6" w:space="0" w:color="FF6600"/>
            </w:tcBorders>
            <w:shd w:val="clear" w:color="auto" w:fill="auto"/>
            <w:vAlign w:val="center"/>
          </w:tcPr>
          <w:p w:rsidR="00FE5C5F" w:rsidRPr="00A22DB9" w:rsidRDefault="00FE5C5F">
            <w:pPr>
              <w:jc w:val="center"/>
              <w:rPr>
                <w:rFonts w:ascii="宋体" w:eastAsia="宋体" w:hAnsi="宋体" w:cs="宋体"/>
                <w:bCs/>
                <w:sz w:val="18"/>
                <w:szCs w:val="18"/>
              </w:rPr>
            </w:pPr>
            <w:r w:rsidRPr="00A22DB9">
              <w:rPr>
                <w:rFonts w:hint="eastAsia"/>
                <w:bCs/>
                <w:sz w:val="18"/>
                <w:szCs w:val="18"/>
              </w:rPr>
              <w:t>上海六禾投资有限公司</w:t>
            </w:r>
          </w:p>
        </w:tc>
        <w:tc>
          <w:tcPr>
            <w:tcW w:w="851" w:type="dxa"/>
            <w:tcBorders>
              <w:left w:val="single" w:sz="6" w:space="0" w:color="FF6600"/>
              <w:right w:val="single" w:sz="6" w:space="0" w:color="FF6600"/>
            </w:tcBorders>
            <w:shd w:val="clear" w:color="auto" w:fill="auto"/>
            <w:vAlign w:val="center"/>
          </w:tcPr>
          <w:p w:rsidR="00FE5C5F" w:rsidRPr="00A22DB9" w:rsidRDefault="00FE5C5F">
            <w:pPr>
              <w:jc w:val="center"/>
              <w:rPr>
                <w:rFonts w:ascii="宋体" w:eastAsia="宋体" w:hAnsi="宋体" w:cs="宋体"/>
                <w:bCs/>
                <w:sz w:val="18"/>
                <w:szCs w:val="18"/>
              </w:rPr>
            </w:pPr>
            <w:r w:rsidRPr="00A22DB9">
              <w:rPr>
                <w:rFonts w:hint="eastAsia"/>
                <w:bCs/>
                <w:sz w:val="18"/>
                <w:szCs w:val="18"/>
              </w:rPr>
              <w:t>股票多头策略</w:t>
            </w:r>
          </w:p>
        </w:tc>
        <w:tc>
          <w:tcPr>
            <w:tcW w:w="708" w:type="dxa"/>
            <w:tcBorders>
              <w:left w:val="single" w:sz="6" w:space="0" w:color="FF6600"/>
              <w:right w:val="single" w:sz="6" w:space="0" w:color="FF6600"/>
            </w:tcBorders>
            <w:shd w:val="clear" w:color="auto" w:fill="auto"/>
            <w:vAlign w:val="center"/>
          </w:tcPr>
          <w:p w:rsidR="00FE5C5F" w:rsidRPr="00A22DB9" w:rsidRDefault="00FE5C5F">
            <w:pPr>
              <w:jc w:val="center"/>
              <w:rPr>
                <w:rFonts w:asciiTheme="minorEastAsia" w:hAnsiTheme="minorEastAsia"/>
                <w:sz w:val="18"/>
                <w:szCs w:val="18"/>
              </w:rPr>
            </w:pPr>
            <w:r w:rsidRPr="00A22DB9">
              <w:rPr>
                <w:rFonts w:asciiTheme="minorEastAsia" w:hAnsiTheme="minorEastAsia" w:hint="eastAsia"/>
                <w:sz w:val="18"/>
                <w:szCs w:val="18"/>
              </w:rPr>
              <w:t>管理型</w:t>
            </w:r>
          </w:p>
        </w:tc>
        <w:tc>
          <w:tcPr>
            <w:tcW w:w="851" w:type="dxa"/>
            <w:tcBorders>
              <w:left w:val="single" w:sz="6" w:space="0" w:color="FF6600"/>
              <w:right w:val="single" w:sz="6" w:space="0" w:color="FF6600"/>
            </w:tcBorders>
            <w:shd w:val="clear" w:color="auto" w:fill="auto"/>
            <w:vAlign w:val="center"/>
          </w:tcPr>
          <w:p w:rsidR="00FE5C5F" w:rsidRPr="00FE5C5F" w:rsidRDefault="00FE5C5F">
            <w:pPr>
              <w:jc w:val="center"/>
              <w:rPr>
                <w:rFonts w:asciiTheme="minorEastAsia" w:hAnsiTheme="minorEastAsia" w:cs="宋体"/>
                <w:sz w:val="18"/>
                <w:szCs w:val="18"/>
              </w:rPr>
            </w:pPr>
            <w:r w:rsidRPr="00FE5C5F">
              <w:rPr>
                <w:rFonts w:asciiTheme="minorEastAsia" w:hAnsiTheme="minorEastAsia" w:hint="eastAsia"/>
                <w:sz w:val="18"/>
                <w:szCs w:val="18"/>
              </w:rPr>
              <w:t xml:space="preserve">0.9047 </w:t>
            </w:r>
          </w:p>
        </w:tc>
        <w:tc>
          <w:tcPr>
            <w:tcW w:w="850" w:type="dxa"/>
            <w:tcBorders>
              <w:left w:val="single" w:sz="6" w:space="0" w:color="FF6600"/>
              <w:right w:val="single" w:sz="6" w:space="0" w:color="FF6600"/>
            </w:tcBorders>
            <w:shd w:val="clear" w:color="auto" w:fill="auto"/>
            <w:vAlign w:val="center"/>
          </w:tcPr>
          <w:p w:rsidR="00FE5C5F" w:rsidRPr="00FE5C5F" w:rsidRDefault="00FE5C5F">
            <w:pPr>
              <w:jc w:val="center"/>
              <w:rPr>
                <w:rFonts w:asciiTheme="minorEastAsia" w:hAnsiTheme="minorEastAsia" w:cs="宋体"/>
                <w:sz w:val="18"/>
                <w:szCs w:val="18"/>
              </w:rPr>
            </w:pPr>
            <w:r w:rsidRPr="00FE5C5F">
              <w:rPr>
                <w:rFonts w:asciiTheme="minorEastAsia" w:hAnsiTheme="minorEastAsia" w:hint="eastAsia"/>
                <w:sz w:val="18"/>
                <w:szCs w:val="18"/>
              </w:rPr>
              <w:t>11.50%</w:t>
            </w:r>
          </w:p>
        </w:tc>
        <w:tc>
          <w:tcPr>
            <w:tcW w:w="284" w:type="dxa"/>
            <w:tcBorders>
              <w:left w:val="single" w:sz="6" w:space="0" w:color="FF6600"/>
            </w:tcBorders>
            <w:shd w:val="clear" w:color="auto" w:fill="auto"/>
            <w:vAlign w:val="center"/>
          </w:tcPr>
          <w:p w:rsidR="00FE5C5F" w:rsidRPr="00EA19D3" w:rsidRDefault="00FE5C5F" w:rsidP="0073421E">
            <w:pPr>
              <w:jc w:val="center"/>
              <w:rPr>
                <w:rFonts w:ascii="宋体" w:eastAsia="宋体" w:hAnsi="宋体"/>
                <w:sz w:val="18"/>
                <w:szCs w:val="18"/>
              </w:rPr>
            </w:pPr>
            <w:r w:rsidRPr="00EA19D3">
              <w:rPr>
                <w:rFonts w:ascii="宋体" w:eastAsia="宋体" w:hAnsi="宋体" w:hint="eastAsia"/>
                <w:sz w:val="18"/>
                <w:szCs w:val="18"/>
              </w:rPr>
              <w:t>6</w:t>
            </w:r>
          </w:p>
        </w:tc>
      </w:tr>
      <w:tr w:rsidR="00FE5C5F" w:rsidTr="00FE5C5F">
        <w:trPr>
          <w:cantSplit/>
          <w:trHeight w:val="705"/>
        </w:trPr>
        <w:tc>
          <w:tcPr>
            <w:tcW w:w="1135" w:type="dxa"/>
            <w:tcBorders>
              <w:right w:val="single" w:sz="6" w:space="0" w:color="FF6600"/>
            </w:tcBorders>
            <w:shd w:val="clear" w:color="auto" w:fill="FABF8F" w:themeFill="accent6" w:themeFillTint="99"/>
            <w:vAlign w:val="center"/>
          </w:tcPr>
          <w:p w:rsidR="00FE5C5F" w:rsidRPr="00A22DB9" w:rsidRDefault="00FE5C5F">
            <w:pPr>
              <w:jc w:val="center"/>
              <w:rPr>
                <w:rFonts w:asciiTheme="minorEastAsia" w:hAnsiTheme="minorEastAsia" w:cs="宋体"/>
                <w:bCs/>
                <w:sz w:val="18"/>
                <w:szCs w:val="18"/>
              </w:rPr>
            </w:pPr>
            <w:r w:rsidRPr="00A22DB9">
              <w:rPr>
                <w:rFonts w:asciiTheme="minorEastAsia" w:hAnsiTheme="minorEastAsia" w:hint="eastAsia"/>
                <w:bCs/>
                <w:sz w:val="18"/>
                <w:szCs w:val="18"/>
              </w:rPr>
              <w:lastRenderedPageBreak/>
              <w:t>西安信托</w:t>
            </w:r>
            <w:proofErr w:type="gramStart"/>
            <w:r w:rsidRPr="00A22DB9">
              <w:rPr>
                <w:rFonts w:asciiTheme="minorEastAsia" w:hAnsiTheme="minorEastAsia" w:hint="eastAsia"/>
                <w:bCs/>
                <w:sz w:val="18"/>
                <w:szCs w:val="18"/>
              </w:rPr>
              <w:t>•鸿逸1号</w:t>
            </w:r>
            <w:proofErr w:type="gramEnd"/>
          </w:p>
        </w:tc>
        <w:tc>
          <w:tcPr>
            <w:tcW w:w="1134" w:type="dxa"/>
            <w:tcBorders>
              <w:left w:val="single" w:sz="6" w:space="0" w:color="FF6600"/>
              <w:right w:val="single" w:sz="6" w:space="0" w:color="FF6600"/>
            </w:tcBorders>
            <w:shd w:val="clear" w:color="auto" w:fill="auto"/>
            <w:vAlign w:val="center"/>
          </w:tcPr>
          <w:p w:rsidR="00FE5C5F" w:rsidRPr="00A22DB9" w:rsidRDefault="00FE5C5F">
            <w:pPr>
              <w:jc w:val="center"/>
              <w:rPr>
                <w:rFonts w:asciiTheme="minorEastAsia" w:hAnsiTheme="minorEastAsia" w:cs="宋体"/>
                <w:bCs/>
                <w:sz w:val="18"/>
                <w:szCs w:val="18"/>
              </w:rPr>
            </w:pPr>
            <w:r w:rsidRPr="00A22DB9">
              <w:rPr>
                <w:rFonts w:asciiTheme="minorEastAsia" w:hAnsiTheme="minorEastAsia" w:hint="eastAsia"/>
                <w:bCs/>
                <w:sz w:val="18"/>
                <w:szCs w:val="18"/>
              </w:rPr>
              <w:t>上海鸿逸投资管理有限公司</w:t>
            </w:r>
          </w:p>
        </w:tc>
        <w:tc>
          <w:tcPr>
            <w:tcW w:w="851" w:type="dxa"/>
            <w:tcBorders>
              <w:left w:val="single" w:sz="6" w:space="0" w:color="FF6600"/>
              <w:right w:val="single" w:sz="6" w:space="0" w:color="FF6600"/>
            </w:tcBorders>
            <w:shd w:val="clear" w:color="auto" w:fill="auto"/>
            <w:vAlign w:val="center"/>
          </w:tcPr>
          <w:p w:rsidR="00FE5C5F" w:rsidRPr="00A22DB9" w:rsidRDefault="00FE5C5F">
            <w:pPr>
              <w:jc w:val="center"/>
              <w:rPr>
                <w:rFonts w:asciiTheme="minorEastAsia" w:hAnsiTheme="minorEastAsia" w:cs="宋体"/>
                <w:bCs/>
                <w:sz w:val="18"/>
                <w:szCs w:val="18"/>
              </w:rPr>
            </w:pPr>
            <w:r w:rsidRPr="00A22DB9">
              <w:rPr>
                <w:rFonts w:asciiTheme="minorEastAsia" w:hAnsiTheme="minorEastAsia" w:hint="eastAsia"/>
                <w:bCs/>
                <w:sz w:val="18"/>
                <w:szCs w:val="18"/>
              </w:rPr>
              <w:t>股票多头策略</w:t>
            </w:r>
          </w:p>
        </w:tc>
        <w:tc>
          <w:tcPr>
            <w:tcW w:w="708" w:type="dxa"/>
            <w:tcBorders>
              <w:left w:val="single" w:sz="6" w:space="0" w:color="FF6600"/>
              <w:right w:val="single" w:sz="6" w:space="0" w:color="FF6600"/>
            </w:tcBorders>
            <w:shd w:val="clear" w:color="auto" w:fill="auto"/>
            <w:vAlign w:val="center"/>
          </w:tcPr>
          <w:p w:rsidR="00FE5C5F" w:rsidRPr="00A22DB9" w:rsidRDefault="00FE5C5F">
            <w:pPr>
              <w:jc w:val="center"/>
              <w:rPr>
                <w:rFonts w:asciiTheme="minorEastAsia" w:hAnsiTheme="minorEastAsia" w:cs="宋体"/>
                <w:bCs/>
                <w:sz w:val="18"/>
                <w:szCs w:val="18"/>
              </w:rPr>
            </w:pPr>
            <w:r w:rsidRPr="00A22DB9">
              <w:rPr>
                <w:rFonts w:asciiTheme="minorEastAsia" w:hAnsiTheme="minorEastAsia" w:hint="eastAsia"/>
                <w:bCs/>
                <w:sz w:val="18"/>
                <w:szCs w:val="18"/>
              </w:rPr>
              <w:t>管理型</w:t>
            </w:r>
          </w:p>
        </w:tc>
        <w:tc>
          <w:tcPr>
            <w:tcW w:w="851" w:type="dxa"/>
            <w:tcBorders>
              <w:left w:val="single" w:sz="6" w:space="0" w:color="FF6600"/>
              <w:right w:val="single" w:sz="6" w:space="0" w:color="FF6600"/>
            </w:tcBorders>
            <w:shd w:val="clear" w:color="auto" w:fill="auto"/>
            <w:vAlign w:val="center"/>
          </w:tcPr>
          <w:p w:rsidR="00FE5C5F" w:rsidRPr="00FE5C5F" w:rsidRDefault="00FE5C5F" w:rsidP="00FE5C5F">
            <w:pPr>
              <w:jc w:val="center"/>
              <w:rPr>
                <w:rFonts w:asciiTheme="minorEastAsia" w:hAnsiTheme="minorEastAsia" w:cs="宋体"/>
                <w:sz w:val="18"/>
                <w:szCs w:val="18"/>
              </w:rPr>
            </w:pPr>
            <w:r w:rsidRPr="00FE5C5F">
              <w:rPr>
                <w:rFonts w:asciiTheme="minorEastAsia" w:hAnsiTheme="minorEastAsia" w:hint="eastAsia"/>
                <w:sz w:val="18"/>
                <w:szCs w:val="18"/>
              </w:rPr>
              <w:t>0.9771</w:t>
            </w:r>
          </w:p>
        </w:tc>
        <w:tc>
          <w:tcPr>
            <w:tcW w:w="709" w:type="dxa"/>
            <w:tcBorders>
              <w:left w:val="single" w:sz="6" w:space="0" w:color="FF6600"/>
              <w:right w:val="single" w:sz="6" w:space="0" w:color="FF6600"/>
            </w:tcBorders>
            <w:shd w:val="clear" w:color="auto" w:fill="auto"/>
            <w:vAlign w:val="center"/>
          </w:tcPr>
          <w:p w:rsidR="00FE5C5F" w:rsidRPr="00FE5C5F" w:rsidRDefault="00FE5C5F" w:rsidP="00FE5C5F">
            <w:pPr>
              <w:jc w:val="center"/>
              <w:rPr>
                <w:rFonts w:asciiTheme="minorEastAsia" w:hAnsiTheme="minorEastAsia" w:cs="宋体"/>
                <w:sz w:val="18"/>
                <w:szCs w:val="18"/>
              </w:rPr>
            </w:pPr>
            <w:r w:rsidRPr="00FE5C5F">
              <w:rPr>
                <w:rFonts w:asciiTheme="minorEastAsia" w:hAnsiTheme="minorEastAsia" w:hint="eastAsia"/>
                <w:sz w:val="18"/>
                <w:szCs w:val="18"/>
              </w:rPr>
              <w:t>14.37%</w:t>
            </w:r>
          </w:p>
        </w:tc>
        <w:tc>
          <w:tcPr>
            <w:tcW w:w="283" w:type="dxa"/>
            <w:tcBorders>
              <w:left w:val="single" w:sz="6" w:space="0" w:color="FF6600"/>
              <w:right w:val="single" w:sz="6" w:space="0" w:color="FF6600"/>
            </w:tcBorders>
            <w:shd w:val="clear" w:color="auto" w:fill="auto"/>
            <w:vAlign w:val="center"/>
          </w:tcPr>
          <w:p w:rsidR="00FE5C5F" w:rsidRPr="00EA19D3" w:rsidRDefault="00FE5C5F" w:rsidP="0073421E">
            <w:pPr>
              <w:jc w:val="center"/>
              <w:rPr>
                <w:rFonts w:ascii="宋体" w:eastAsia="宋体" w:hAnsi="宋体"/>
                <w:sz w:val="18"/>
                <w:szCs w:val="18"/>
              </w:rPr>
            </w:pPr>
            <w:r w:rsidRPr="00EA19D3">
              <w:rPr>
                <w:rFonts w:ascii="宋体" w:eastAsia="宋体" w:hAnsi="宋体" w:hint="eastAsia"/>
                <w:sz w:val="18"/>
                <w:szCs w:val="18"/>
              </w:rPr>
              <w:t>2</w:t>
            </w:r>
          </w:p>
        </w:tc>
        <w:tc>
          <w:tcPr>
            <w:tcW w:w="1134" w:type="dxa"/>
            <w:tcBorders>
              <w:left w:val="single" w:sz="6" w:space="0" w:color="FF6600"/>
              <w:right w:val="single" w:sz="6" w:space="0" w:color="FF6600"/>
            </w:tcBorders>
            <w:shd w:val="clear" w:color="auto" w:fill="FABF8F" w:themeFill="accent6" w:themeFillTint="99"/>
            <w:vAlign w:val="center"/>
          </w:tcPr>
          <w:p w:rsidR="00FE5C5F" w:rsidRPr="00A22DB9" w:rsidRDefault="00FE5C5F">
            <w:pPr>
              <w:jc w:val="center"/>
              <w:rPr>
                <w:rFonts w:ascii="宋体" w:eastAsia="宋体" w:hAnsi="宋体" w:cs="宋体"/>
                <w:bCs/>
                <w:sz w:val="18"/>
                <w:szCs w:val="18"/>
              </w:rPr>
            </w:pPr>
            <w:proofErr w:type="gramStart"/>
            <w:r w:rsidRPr="00A22DB9">
              <w:rPr>
                <w:rFonts w:hint="eastAsia"/>
                <w:bCs/>
                <w:sz w:val="18"/>
                <w:szCs w:val="18"/>
              </w:rPr>
              <w:t>云国投</w:t>
            </w:r>
            <w:proofErr w:type="gramEnd"/>
            <w:r w:rsidRPr="00A22DB9">
              <w:rPr>
                <w:rFonts w:hint="eastAsia"/>
                <w:bCs/>
                <w:sz w:val="18"/>
                <w:szCs w:val="18"/>
              </w:rPr>
              <w:t>-</w:t>
            </w:r>
            <w:r w:rsidRPr="00A22DB9">
              <w:rPr>
                <w:rFonts w:hint="eastAsia"/>
                <w:bCs/>
                <w:sz w:val="18"/>
                <w:szCs w:val="18"/>
              </w:rPr>
              <w:t>中国龙精选（三）</w:t>
            </w:r>
          </w:p>
        </w:tc>
        <w:tc>
          <w:tcPr>
            <w:tcW w:w="1134" w:type="dxa"/>
            <w:tcBorders>
              <w:left w:val="single" w:sz="6" w:space="0" w:color="FF6600"/>
              <w:right w:val="single" w:sz="6" w:space="0" w:color="FF6600"/>
            </w:tcBorders>
            <w:shd w:val="clear" w:color="auto" w:fill="auto"/>
            <w:vAlign w:val="center"/>
          </w:tcPr>
          <w:p w:rsidR="00FE5C5F" w:rsidRPr="00A22DB9" w:rsidRDefault="00FE5C5F">
            <w:pPr>
              <w:jc w:val="center"/>
              <w:rPr>
                <w:rFonts w:ascii="宋体" w:eastAsia="宋体" w:hAnsi="宋体" w:cs="宋体"/>
                <w:bCs/>
                <w:sz w:val="18"/>
                <w:szCs w:val="18"/>
              </w:rPr>
            </w:pPr>
            <w:r w:rsidRPr="00A22DB9">
              <w:rPr>
                <w:rFonts w:hint="eastAsia"/>
                <w:bCs/>
                <w:sz w:val="18"/>
                <w:szCs w:val="18"/>
              </w:rPr>
              <w:t>上海涌峰投资管理有限公司</w:t>
            </w:r>
          </w:p>
        </w:tc>
        <w:tc>
          <w:tcPr>
            <w:tcW w:w="851" w:type="dxa"/>
            <w:tcBorders>
              <w:left w:val="single" w:sz="6" w:space="0" w:color="FF6600"/>
              <w:right w:val="single" w:sz="6" w:space="0" w:color="FF6600"/>
            </w:tcBorders>
            <w:shd w:val="clear" w:color="auto" w:fill="auto"/>
            <w:vAlign w:val="center"/>
          </w:tcPr>
          <w:p w:rsidR="00FE5C5F" w:rsidRPr="00A22DB9" w:rsidRDefault="00FE5C5F">
            <w:pPr>
              <w:jc w:val="center"/>
              <w:rPr>
                <w:rFonts w:ascii="宋体" w:eastAsia="宋体" w:hAnsi="宋体" w:cs="宋体"/>
                <w:bCs/>
                <w:sz w:val="18"/>
                <w:szCs w:val="18"/>
              </w:rPr>
            </w:pPr>
            <w:r w:rsidRPr="00A22DB9">
              <w:rPr>
                <w:rFonts w:hint="eastAsia"/>
                <w:bCs/>
                <w:sz w:val="18"/>
                <w:szCs w:val="18"/>
              </w:rPr>
              <w:t>股票多头策略</w:t>
            </w:r>
          </w:p>
        </w:tc>
        <w:tc>
          <w:tcPr>
            <w:tcW w:w="708" w:type="dxa"/>
            <w:tcBorders>
              <w:left w:val="single" w:sz="6" w:space="0" w:color="FF6600"/>
              <w:right w:val="single" w:sz="6" w:space="0" w:color="FF6600"/>
            </w:tcBorders>
            <w:shd w:val="clear" w:color="auto" w:fill="auto"/>
            <w:vAlign w:val="center"/>
          </w:tcPr>
          <w:p w:rsidR="00FE5C5F" w:rsidRPr="00A22DB9" w:rsidRDefault="00FE5C5F">
            <w:pPr>
              <w:jc w:val="center"/>
              <w:rPr>
                <w:rFonts w:asciiTheme="minorEastAsia" w:hAnsiTheme="minorEastAsia"/>
                <w:sz w:val="18"/>
                <w:szCs w:val="18"/>
              </w:rPr>
            </w:pPr>
            <w:r w:rsidRPr="00A22DB9">
              <w:rPr>
                <w:rFonts w:asciiTheme="minorEastAsia" w:hAnsiTheme="minorEastAsia" w:hint="eastAsia"/>
                <w:sz w:val="18"/>
                <w:szCs w:val="18"/>
              </w:rPr>
              <w:t>管理型</w:t>
            </w:r>
          </w:p>
        </w:tc>
        <w:tc>
          <w:tcPr>
            <w:tcW w:w="851" w:type="dxa"/>
            <w:tcBorders>
              <w:left w:val="single" w:sz="6" w:space="0" w:color="FF6600"/>
              <w:right w:val="single" w:sz="6" w:space="0" w:color="FF6600"/>
            </w:tcBorders>
            <w:shd w:val="clear" w:color="auto" w:fill="auto"/>
            <w:vAlign w:val="center"/>
          </w:tcPr>
          <w:p w:rsidR="00FE5C5F" w:rsidRPr="00FE5C5F" w:rsidRDefault="00FE5C5F">
            <w:pPr>
              <w:jc w:val="center"/>
              <w:rPr>
                <w:rFonts w:asciiTheme="minorEastAsia" w:hAnsiTheme="minorEastAsia" w:cs="宋体"/>
                <w:sz w:val="18"/>
                <w:szCs w:val="18"/>
              </w:rPr>
            </w:pPr>
            <w:r w:rsidRPr="00FE5C5F">
              <w:rPr>
                <w:rFonts w:asciiTheme="minorEastAsia" w:hAnsiTheme="minorEastAsia" w:hint="eastAsia"/>
                <w:sz w:val="18"/>
                <w:szCs w:val="18"/>
              </w:rPr>
              <w:t xml:space="preserve">0.9875 </w:t>
            </w:r>
          </w:p>
        </w:tc>
        <w:tc>
          <w:tcPr>
            <w:tcW w:w="850" w:type="dxa"/>
            <w:tcBorders>
              <w:left w:val="single" w:sz="6" w:space="0" w:color="FF6600"/>
              <w:right w:val="single" w:sz="6" w:space="0" w:color="FF6600"/>
            </w:tcBorders>
            <w:shd w:val="clear" w:color="auto" w:fill="auto"/>
            <w:vAlign w:val="center"/>
          </w:tcPr>
          <w:p w:rsidR="00FE5C5F" w:rsidRPr="00FE5C5F" w:rsidRDefault="00FE5C5F">
            <w:pPr>
              <w:jc w:val="center"/>
              <w:rPr>
                <w:rFonts w:asciiTheme="minorEastAsia" w:hAnsiTheme="minorEastAsia" w:cs="宋体"/>
                <w:sz w:val="18"/>
                <w:szCs w:val="18"/>
              </w:rPr>
            </w:pPr>
            <w:r w:rsidRPr="00FE5C5F">
              <w:rPr>
                <w:rFonts w:asciiTheme="minorEastAsia" w:hAnsiTheme="minorEastAsia" w:hint="eastAsia"/>
                <w:sz w:val="18"/>
                <w:szCs w:val="18"/>
              </w:rPr>
              <w:t>10.35%</w:t>
            </w:r>
          </w:p>
        </w:tc>
        <w:tc>
          <w:tcPr>
            <w:tcW w:w="284" w:type="dxa"/>
            <w:tcBorders>
              <w:left w:val="single" w:sz="6" w:space="0" w:color="FF6600"/>
            </w:tcBorders>
            <w:shd w:val="clear" w:color="auto" w:fill="auto"/>
            <w:vAlign w:val="center"/>
          </w:tcPr>
          <w:p w:rsidR="00FE5C5F" w:rsidRPr="00EA19D3" w:rsidRDefault="00FE5C5F" w:rsidP="0073421E">
            <w:pPr>
              <w:jc w:val="center"/>
              <w:rPr>
                <w:rFonts w:ascii="宋体" w:eastAsia="宋体" w:hAnsi="宋体"/>
                <w:sz w:val="18"/>
                <w:szCs w:val="18"/>
              </w:rPr>
            </w:pPr>
            <w:r w:rsidRPr="00EA19D3">
              <w:rPr>
                <w:rFonts w:ascii="宋体" w:eastAsia="宋体" w:hAnsi="宋体" w:hint="eastAsia"/>
                <w:sz w:val="18"/>
                <w:szCs w:val="18"/>
              </w:rPr>
              <w:t>7</w:t>
            </w:r>
          </w:p>
        </w:tc>
      </w:tr>
      <w:tr w:rsidR="00FE5C5F" w:rsidTr="00FE5C5F">
        <w:trPr>
          <w:cantSplit/>
          <w:trHeight w:val="705"/>
        </w:trPr>
        <w:tc>
          <w:tcPr>
            <w:tcW w:w="1135" w:type="dxa"/>
            <w:tcBorders>
              <w:right w:val="single" w:sz="6" w:space="0" w:color="FF6600"/>
            </w:tcBorders>
            <w:shd w:val="clear" w:color="auto" w:fill="FABF8F" w:themeFill="accent6" w:themeFillTint="99"/>
            <w:vAlign w:val="center"/>
          </w:tcPr>
          <w:p w:rsidR="00FE5C5F" w:rsidRPr="00A22DB9" w:rsidRDefault="00FE5C5F">
            <w:pPr>
              <w:jc w:val="center"/>
              <w:rPr>
                <w:rFonts w:asciiTheme="minorEastAsia" w:hAnsiTheme="minorEastAsia" w:cs="宋体"/>
                <w:bCs/>
                <w:sz w:val="18"/>
                <w:szCs w:val="18"/>
              </w:rPr>
            </w:pPr>
            <w:r w:rsidRPr="00A22DB9">
              <w:rPr>
                <w:rFonts w:asciiTheme="minorEastAsia" w:hAnsiTheme="minorEastAsia" w:hint="eastAsia"/>
                <w:bCs/>
                <w:sz w:val="18"/>
                <w:szCs w:val="18"/>
              </w:rPr>
              <w:t>华润信托·重阳7期</w:t>
            </w:r>
          </w:p>
        </w:tc>
        <w:tc>
          <w:tcPr>
            <w:tcW w:w="1134" w:type="dxa"/>
            <w:tcBorders>
              <w:left w:val="single" w:sz="6" w:space="0" w:color="FF6600"/>
              <w:right w:val="single" w:sz="6" w:space="0" w:color="FF6600"/>
            </w:tcBorders>
            <w:shd w:val="clear" w:color="auto" w:fill="auto"/>
            <w:vAlign w:val="center"/>
          </w:tcPr>
          <w:p w:rsidR="00FE5C5F" w:rsidRPr="00A22DB9" w:rsidRDefault="00FE5C5F">
            <w:pPr>
              <w:jc w:val="center"/>
              <w:rPr>
                <w:rFonts w:asciiTheme="minorEastAsia" w:hAnsiTheme="minorEastAsia" w:cs="宋体"/>
                <w:bCs/>
                <w:sz w:val="18"/>
                <w:szCs w:val="18"/>
              </w:rPr>
            </w:pPr>
            <w:r w:rsidRPr="00A22DB9">
              <w:rPr>
                <w:rFonts w:asciiTheme="minorEastAsia" w:hAnsiTheme="minorEastAsia" w:hint="eastAsia"/>
                <w:bCs/>
                <w:sz w:val="18"/>
                <w:szCs w:val="18"/>
              </w:rPr>
              <w:t>上海重阳投资管理有限公司</w:t>
            </w:r>
          </w:p>
        </w:tc>
        <w:tc>
          <w:tcPr>
            <w:tcW w:w="851" w:type="dxa"/>
            <w:tcBorders>
              <w:left w:val="single" w:sz="6" w:space="0" w:color="FF6600"/>
              <w:right w:val="single" w:sz="6" w:space="0" w:color="FF6600"/>
            </w:tcBorders>
            <w:shd w:val="clear" w:color="auto" w:fill="auto"/>
            <w:vAlign w:val="center"/>
          </w:tcPr>
          <w:p w:rsidR="00FE5C5F" w:rsidRPr="00A22DB9" w:rsidRDefault="00FE5C5F">
            <w:pPr>
              <w:jc w:val="center"/>
              <w:rPr>
                <w:rFonts w:asciiTheme="minorEastAsia" w:hAnsiTheme="minorEastAsia" w:cs="宋体"/>
                <w:bCs/>
                <w:sz w:val="18"/>
                <w:szCs w:val="18"/>
              </w:rPr>
            </w:pPr>
            <w:r w:rsidRPr="00A22DB9">
              <w:rPr>
                <w:rFonts w:asciiTheme="minorEastAsia" w:hAnsiTheme="minorEastAsia" w:hint="eastAsia"/>
                <w:bCs/>
                <w:sz w:val="18"/>
                <w:szCs w:val="18"/>
              </w:rPr>
              <w:t>股票多头策略</w:t>
            </w:r>
          </w:p>
        </w:tc>
        <w:tc>
          <w:tcPr>
            <w:tcW w:w="708" w:type="dxa"/>
            <w:tcBorders>
              <w:left w:val="single" w:sz="6" w:space="0" w:color="FF6600"/>
              <w:right w:val="single" w:sz="6" w:space="0" w:color="FF6600"/>
            </w:tcBorders>
            <w:shd w:val="clear" w:color="auto" w:fill="auto"/>
            <w:vAlign w:val="center"/>
          </w:tcPr>
          <w:p w:rsidR="00FE5C5F" w:rsidRPr="00A22DB9" w:rsidRDefault="00FE5C5F">
            <w:pPr>
              <w:jc w:val="center"/>
              <w:rPr>
                <w:rFonts w:asciiTheme="minorEastAsia" w:hAnsiTheme="minorEastAsia" w:cs="宋体"/>
                <w:bCs/>
                <w:sz w:val="18"/>
                <w:szCs w:val="18"/>
              </w:rPr>
            </w:pPr>
            <w:r w:rsidRPr="00A22DB9">
              <w:rPr>
                <w:rFonts w:asciiTheme="minorEastAsia" w:hAnsiTheme="minorEastAsia" w:hint="eastAsia"/>
                <w:bCs/>
                <w:sz w:val="18"/>
                <w:szCs w:val="18"/>
              </w:rPr>
              <w:t>管理型</w:t>
            </w:r>
          </w:p>
        </w:tc>
        <w:tc>
          <w:tcPr>
            <w:tcW w:w="851" w:type="dxa"/>
            <w:tcBorders>
              <w:left w:val="single" w:sz="6" w:space="0" w:color="FF6600"/>
              <w:right w:val="single" w:sz="6" w:space="0" w:color="FF6600"/>
            </w:tcBorders>
            <w:shd w:val="clear" w:color="auto" w:fill="auto"/>
            <w:vAlign w:val="center"/>
          </w:tcPr>
          <w:p w:rsidR="00FE5C5F" w:rsidRPr="00FE5C5F" w:rsidRDefault="00FE5C5F" w:rsidP="00FE5C5F">
            <w:pPr>
              <w:jc w:val="center"/>
              <w:rPr>
                <w:rFonts w:asciiTheme="minorEastAsia" w:hAnsiTheme="minorEastAsia" w:cs="宋体"/>
                <w:sz w:val="18"/>
                <w:szCs w:val="18"/>
              </w:rPr>
            </w:pPr>
            <w:r w:rsidRPr="00FE5C5F">
              <w:rPr>
                <w:rFonts w:asciiTheme="minorEastAsia" w:hAnsiTheme="minorEastAsia" w:hint="eastAsia"/>
                <w:sz w:val="18"/>
                <w:szCs w:val="18"/>
              </w:rPr>
              <w:t>120.94</w:t>
            </w:r>
          </w:p>
        </w:tc>
        <w:tc>
          <w:tcPr>
            <w:tcW w:w="709" w:type="dxa"/>
            <w:tcBorders>
              <w:left w:val="single" w:sz="6" w:space="0" w:color="FF6600"/>
              <w:right w:val="single" w:sz="6" w:space="0" w:color="FF6600"/>
            </w:tcBorders>
            <w:shd w:val="clear" w:color="auto" w:fill="auto"/>
            <w:vAlign w:val="center"/>
          </w:tcPr>
          <w:p w:rsidR="00FE5C5F" w:rsidRPr="00FE5C5F" w:rsidRDefault="00FE5C5F" w:rsidP="00FE5C5F">
            <w:pPr>
              <w:jc w:val="center"/>
              <w:rPr>
                <w:rFonts w:asciiTheme="minorEastAsia" w:hAnsiTheme="minorEastAsia" w:cs="宋体"/>
                <w:sz w:val="18"/>
                <w:szCs w:val="18"/>
              </w:rPr>
            </w:pPr>
            <w:r w:rsidRPr="00FE5C5F">
              <w:rPr>
                <w:rFonts w:asciiTheme="minorEastAsia" w:hAnsiTheme="minorEastAsia" w:hint="eastAsia"/>
                <w:sz w:val="18"/>
                <w:szCs w:val="18"/>
              </w:rPr>
              <w:t>14.06%</w:t>
            </w:r>
          </w:p>
        </w:tc>
        <w:tc>
          <w:tcPr>
            <w:tcW w:w="283" w:type="dxa"/>
            <w:tcBorders>
              <w:left w:val="single" w:sz="6" w:space="0" w:color="FF6600"/>
              <w:right w:val="single" w:sz="6" w:space="0" w:color="FF6600"/>
            </w:tcBorders>
            <w:shd w:val="clear" w:color="auto" w:fill="auto"/>
            <w:vAlign w:val="center"/>
          </w:tcPr>
          <w:p w:rsidR="00FE5C5F" w:rsidRPr="00EA19D3" w:rsidRDefault="00FE5C5F" w:rsidP="0073421E">
            <w:pPr>
              <w:jc w:val="center"/>
              <w:rPr>
                <w:rFonts w:ascii="宋体" w:eastAsia="宋体" w:hAnsi="宋体"/>
                <w:sz w:val="18"/>
                <w:szCs w:val="18"/>
              </w:rPr>
            </w:pPr>
            <w:r w:rsidRPr="00EA19D3">
              <w:rPr>
                <w:rFonts w:ascii="宋体" w:eastAsia="宋体" w:hAnsi="宋体" w:hint="eastAsia"/>
                <w:sz w:val="18"/>
                <w:szCs w:val="18"/>
              </w:rPr>
              <w:t>3</w:t>
            </w:r>
          </w:p>
        </w:tc>
        <w:tc>
          <w:tcPr>
            <w:tcW w:w="1134" w:type="dxa"/>
            <w:tcBorders>
              <w:left w:val="single" w:sz="6" w:space="0" w:color="FF6600"/>
              <w:right w:val="single" w:sz="6" w:space="0" w:color="FF6600"/>
            </w:tcBorders>
            <w:shd w:val="clear" w:color="auto" w:fill="FABF8F" w:themeFill="accent6" w:themeFillTint="99"/>
            <w:vAlign w:val="center"/>
          </w:tcPr>
          <w:p w:rsidR="00FE5C5F" w:rsidRPr="00A22DB9" w:rsidRDefault="00FE5C5F">
            <w:pPr>
              <w:jc w:val="center"/>
              <w:rPr>
                <w:rFonts w:ascii="宋体" w:eastAsia="宋体" w:hAnsi="宋体" w:cs="宋体"/>
                <w:bCs/>
                <w:sz w:val="18"/>
                <w:szCs w:val="18"/>
              </w:rPr>
            </w:pPr>
            <w:proofErr w:type="gramStart"/>
            <w:r w:rsidRPr="00A22DB9">
              <w:rPr>
                <w:rFonts w:hint="eastAsia"/>
                <w:bCs/>
                <w:sz w:val="18"/>
                <w:szCs w:val="18"/>
              </w:rPr>
              <w:t>中融</w:t>
            </w:r>
            <w:r w:rsidRPr="00A22DB9">
              <w:rPr>
                <w:rFonts w:hint="eastAsia"/>
                <w:bCs/>
                <w:sz w:val="18"/>
                <w:szCs w:val="18"/>
              </w:rPr>
              <w:t>-</w:t>
            </w:r>
            <w:r w:rsidRPr="00A22DB9">
              <w:rPr>
                <w:rFonts w:hint="eastAsia"/>
                <w:bCs/>
                <w:sz w:val="18"/>
                <w:szCs w:val="18"/>
              </w:rPr>
              <w:t>谦石</w:t>
            </w:r>
            <w:proofErr w:type="gramEnd"/>
            <w:r w:rsidRPr="00A22DB9">
              <w:rPr>
                <w:rFonts w:hint="eastAsia"/>
                <w:bCs/>
                <w:sz w:val="18"/>
                <w:szCs w:val="18"/>
              </w:rPr>
              <w:t>1</w:t>
            </w:r>
            <w:r w:rsidRPr="00A22DB9">
              <w:rPr>
                <w:rFonts w:hint="eastAsia"/>
                <w:bCs/>
                <w:sz w:val="18"/>
                <w:szCs w:val="18"/>
              </w:rPr>
              <w:t>号</w:t>
            </w:r>
          </w:p>
        </w:tc>
        <w:tc>
          <w:tcPr>
            <w:tcW w:w="1134" w:type="dxa"/>
            <w:tcBorders>
              <w:left w:val="single" w:sz="6" w:space="0" w:color="FF6600"/>
              <w:right w:val="single" w:sz="6" w:space="0" w:color="FF6600"/>
            </w:tcBorders>
            <w:shd w:val="clear" w:color="auto" w:fill="auto"/>
            <w:vAlign w:val="center"/>
          </w:tcPr>
          <w:p w:rsidR="00FE5C5F" w:rsidRPr="00A22DB9" w:rsidRDefault="00FE5C5F">
            <w:pPr>
              <w:jc w:val="center"/>
              <w:rPr>
                <w:rFonts w:ascii="宋体" w:eastAsia="宋体" w:hAnsi="宋体" w:cs="宋体"/>
                <w:bCs/>
                <w:sz w:val="18"/>
                <w:szCs w:val="18"/>
              </w:rPr>
            </w:pPr>
            <w:r w:rsidRPr="00A22DB9">
              <w:rPr>
                <w:rFonts w:hint="eastAsia"/>
                <w:bCs/>
                <w:sz w:val="18"/>
                <w:szCs w:val="18"/>
              </w:rPr>
              <w:t>上海谦石投资管理有限公司</w:t>
            </w:r>
          </w:p>
        </w:tc>
        <w:tc>
          <w:tcPr>
            <w:tcW w:w="851" w:type="dxa"/>
            <w:tcBorders>
              <w:left w:val="single" w:sz="6" w:space="0" w:color="FF6600"/>
              <w:right w:val="single" w:sz="6" w:space="0" w:color="FF6600"/>
            </w:tcBorders>
            <w:shd w:val="clear" w:color="auto" w:fill="auto"/>
            <w:vAlign w:val="center"/>
          </w:tcPr>
          <w:p w:rsidR="00FE5C5F" w:rsidRPr="00A22DB9" w:rsidRDefault="00FE5C5F">
            <w:pPr>
              <w:jc w:val="center"/>
              <w:rPr>
                <w:rFonts w:ascii="宋体" w:eastAsia="宋体" w:hAnsi="宋体" w:cs="宋体"/>
                <w:bCs/>
                <w:sz w:val="18"/>
                <w:szCs w:val="18"/>
              </w:rPr>
            </w:pPr>
            <w:r w:rsidRPr="00A22DB9">
              <w:rPr>
                <w:rFonts w:hint="eastAsia"/>
                <w:bCs/>
                <w:sz w:val="18"/>
                <w:szCs w:val="18"/>
              </w:rPr>
              <w:t>股票多头策略</w:t>
            </w:r>
          </w:p>
        </w:tc>
        <w:tc>
          <w:tcPr>
            <w:tcW w:w="708" w:type="dxa"/>
            <w:tcBorders>
              <w:left w:val="single" w:sz="6" w:space="0" w:color="FF6600"/>
              <w:right w:val="single" w:sz="6" w:space="0" w:color="FF6600"/>
            </w:tcBorders>
            <w:shd w:val="clear" w:color="auto" w:fill="auto"/>
            <w:vAlign w:val="center"/>
          </w:tcPr>
          <w:p w:rsidR="00FE5C5F" w:rsidRPr="00A22DB9" w:rsidRDefault="00FE5C5F">
            <w:pPr>
              <w:jc w:val="center"/>
              <w:rPr>
                <w:rFonts w:asciiTheme="minorEastAsia" w:hAnsiTheme="minorEastAsia"/>
                <w:sz w:val="18"/>
                <w:szCs w:val="18"/>
              </w:rPr>
            </w:pPr>
            <w:r w:rsidRPr="00A22DB9">
              <w:rPr>
                <w:rFonts w:asciiTheme="minorEastAsia" w:hAnsiTheme="minorEastAsia" w:hint="eastAsia"/>
                <w:sz w:val="18"/>
                <w:szCs w:val="18"/>
              </w:rPr>
              <w:t>管理型</w:t>
            </w:r>
          </w:p>
        </w:tc>
        <w:tc>
          <w:tcPr>
            <w:tcW w:w="851" w:type="dxa"/>
            <w:tcBorders>
              <w:left w:val="single" w:sz="6" w:space="0" w:color="FF6600"/>
              <w:right w:val="single" w:sz="6" w:space="0" w:color="FF6600"/>
            </w:tcBorders>
            <w:shd w:val="clear" w:color="auto" w:fill="auto"/>
            <w:vAlign w:val="center"/>
          </w:tcPr>
          <w:p w:rsidR="00FE5C5F" w:rsidRPr="00FE5C5F" w:rsidRDefault="00FE5C5F">
            <w:pPr>
              <w:jc w:val="center"/>
              <w:rPr>
                <w:rFonts w:asciiTheme="minorEastAsia" w:hAnsiTheme="minorEastAsia" w:cs="宋体"/>
                <w:sz w:val="18"/>
                <w:szCs w:val="18"/>
              </w:rPr>
            </w:pPr>
            <w:r w:rsidRPr="00FE5C5F">
              <w:rPr>
                <w:rFonts w:asciiTheme="minorEastAsia" w:hAnsiTheme="minorEastAsia" w:hint="eastAsia"/>
                <w:sz w:val="18"/>
                <w:szCs w:val="18"/>
              </w:rPr>
              <w:t xml:space="preserve">1.4172 </w:t>
            </w:r>
          </w:p>
        </w:tc>
        <w:tc>
          <w:tcPr>
            <w:tcW w:w="850" w:type="dxa"/>
            <w:tcBorders>
              <w:left w:val="single" w:sz="6" w:space="0" w:color="FF6600"/>
              <w:right w:val="single" w:sz="6" w:space="0" w:color="FF6600"/>
            </w:tcBorders>
            <w:shd w:val="clear" w:color="auto" w:fill="auto"/>
            <w:vAlign w:val="center"/>
          </w:tcPr>
          <w:p w:rsidR="00FE5C5F" w:rsidRPr="00FE5C5F" w:rsidRDefault="00FE5C5F">
            <w:pPr>
              <w:jc w:val="center"/>
              <w:rPr>
                <w:rFonts w:asciiTheme="minorEastAsia" w:hAnsiTheme="minorEastAsia" w:cs="宋体"/>
                <w:sz w:val="18"/>
                <w:szCs w:val="18"/>
              </w:rPr>
            </w:pPr>
            <w:r w:rsidRPr="00FE5C5F">
              <w:rPr>
                <w:rFonts w:asciiTheme="minorEastAsia" w:hAnsiTheme="minorEastAsia" w:hint="eastAsia"/>
                <w:sz w:val="18"/>
                <w:szCs w:val="18"/>
              </w:rPr>
              <w:t>10.02%</w:t>
            </w:r>
          </w:p>
        </w:tc>
        <w:tc>
          <w:tcPr>
            <w:tcW w:w="284" w:type="dxa"/>
            <w:tcBorders>
              <w:left w:val="single" w:sz="6" w:space="0" w:color="FF6600"/>
            </w:tcBorders>
            <w:shd w:val="clear" w:color="auto" w:fill="auto"/>
            <w:vAlign w:val="center"/>
          </w:tcPr>
          <w:p w:rsidR="00FE5C5F" w:rsidRPr="00EA19D3" w:rsidRDefault="00FE5C5F" w:rsidP="0073421E">
            <w:pPr>
              <w:jc w:val="center"/>
              <w:rPr>
                <w:rFonts w:ascii="宋体" w:eastAsia="宋体" w:hAnsi="宋体"/>
                <w:sz w:val="18"/>
                <w:szCs w:val="18"/>
              </w:rPr>
            </w:pPr>
            <w:r w:rsidRPr="00EA19D3">
              <w:rPr>
                <w:rFonts w:ascii="宋体" w:eastAsia="宋体" w:hAnsi="宋体" w:hint="eastAsia"/>
                <w:sz w:val="18"/>
                <w:szCs w:val="18"/>
              </w:rPr>
              <w:t>8</w:t>
            </w:r>
          </w:p>
        </w:tc>
      </w:tr>
      <w:tr w:rsidR="00FE5C5F" w:rsidTr="00FE5C5F">
        <w:trPr>
          <w:cantSplit/>
          <w:trHeight w:val="705"/>
        </w:trPr>
        <w:tc>
          <w:tcPr>
            <w:tcW w:w="1135" w:type="dxa"/>
            <w:tcBorders>
              <w:right w:val="single" w:sz="6" w:space="0" w:color="FF6600"/>
            </w:tcBorders>
            <w:shd w:val="clear" w:color="auto" w:fill="FABF8F" w:themeFill="accent6" w:themeFillTint="99"/>
            <w:vAlign w:val="center"/>
          </w:tcPr>
          <w:p w:rsidR="00FE5C5F" w:rsidRPr="00A22DB9" w:rsidRDefault="00FE5C5F">
            <w:pPr>
              <w:jc w:val="center"/>
              <w:rPr>
                <w:rFonts w:asciiTheme="minorEastAsia" w:hAnsiTheme="minorEastAsia" w:cs="宋体"/>
                <w:bCs/>
                <w:sz w:val="18"/>
                <w:szCs w:val="18"/>
              </w:rPr>
            </w:pPr>
            <w:r w:rsidRPr="00A22DB9">
              <w:rPr>
                <w:rFonts w:asciiTheme="minorEastAsia" w:hAnsiTheme="minorEastAsia" w:hint="eastAsia"/>
                <w:bCs/>
                <w:sz w:val="18"/>
                <w:szCs w:val="18"/>
              </w:rPr>
              <w:t>上信-重阳5期</w:t>
            </w:r>
          </w:p>
        </w:tc>
        <w:tc>
          <w:tcPr>
            <w:tcW w:w="1134" w:type="dxa"/>
            <w:tcBorders>
              <w:left w:val="single" w:sz="6" w:space="0" w:color="FF6600"/>
              <w:right w:val="single" w:sz="6" w:space="0" w:color="FF6600"/>
            </w:tcBorders>
            <w:shd w:val="clear" w:color="auto" w:fill="auto"/>
            <w:vAlign w:val="center"/>
          </w:tcPr>
          <w:p w:rsidR="00FE5C5F" w:rsidRPr="00A22DB9" w:rsidRDefault="00FE5C5F">
            <w:pPr>
              <w:jc w:val="center"/>
              <w:rPr>
                <w:rFonts w:asciiTheme="minorEastAsia" w:hAnsiTheme="minorEastAsia" w:cs="宋体"/>
                <w:bCs/>
                <w:sz w:val="18"/>
                <w:szCs w:val="18"/>
              </w:rPr>
            </w:pPr>
            <w:r w:rsidRPr="00A22DB9">
              <w:rPr>
                <w:rFonts w:asciiTheme="minorEastAsia" w:hAnsiTheme="minorEastAsia" w:hint="eastAsia"/>
                <w:bCs/>
                <w:sz w:val="18"/>
                <w:szCs w:val="18"/>
              </w:rPr>
              <w:t>上海重阳投资管理有限公司</w:t>
            </w:r>
          </w:p>
        </w:tc>
        <w:tc>
          <w:tcPr>
            <w:tcW w:w="851" w:type="dxa"/>
            <w:tcBorders>
              <w:left w:val="single" w:sz="6" w:space="0" w:color="FF6600"/>
              <w:right w:val="single" w:sz="6" w:space="0" w:color="FF6600"/>
            </w:tcBorders>
            <w:shd w:val="clear" w:color="auto" w:fill="auto"/>
            <w:vAlign w:val="center"/>
          </w:tcPr>
          <w:p w:rsidR="00FE5C5F" w:rsidRPr="00A22DB9" w:rsidRDefault="00FE5C5F">
            <w:pPr>
              <w:jc w:val="center"/>
              <w:rPr>
                <w:rFonts w:asciiTheme="minorEastAsia" w:hAnsiTheme="minorEastAsia" w:cs="宋体"/>
                <w:bCs/>
                <w:sz w:val="18"/>
                <w:szCs w:val="18"/>
              </w:rPr>
            </w:pPr>
            <w:r w:rsidRPr="00A22DB9">
              <w:rPr>
                <w:rFonts w:asciiTheme="minorEastAsia" w:hAnsiTheme="minorEastAsia" w:hint="eastAsia"/>
                <w:bCs/>
                <w:sz w:val="18"/>
                <w:szCs w:val="18"/>
              </w:rPr>
              <w:t>股票多头策略</w:t>
            </w:r>
          </w:p>
        </w:tc>
        <w:tc>
          <w:tcPr>
            <w:tcW w:w="708" w:type="dxa"/>
            <w:tcBorders>
              <w:left w:val="single" w:sz="6" w:space="0" w:color="FF6600"/>
              <w:right w:val="single" w:sz="6" w:space="0" w:color="FF6600"/>
            </w:tcBorders>
            <w:shd w:val="clear" w:color="auto" w:fill="auto"/>
            <w:vAlign w:val="center"/>
          </w:tcPr>
          <w:p w:rsidR="00FE5C5F" w:rsidRPr="00A22DB9" w:rsidRDefault="00FE5C5F">
            <w:pPr>
              <w:jc w:val="center"/>
              <w:rPr>
                <w:rFonts w:asciiTheme="minorEastAsia" w:hAnsiTheme="minorEastAsia" w:cs="宋体"/>
                <w:bCs/>
                <w:sz w:val="18"/>
                <w:szCs w:val="18"/>
              </w:rPr>
            </w:pPr>
            <w:r w:rsidRPr="00A22DB9">
              <w:rPr>
                <w:rFonts w:asciiTheme="minorEastAsia" w:hAnsiTheme="minorEastAsia" w:hint="eastAsia"/>
                <w:bCs/>
                <w:sz w:val="18"/>
                <w:szCs w:val="18"/>
              </w:rPr>
              <w:t>管理型</w:t>
            </w:r>
          </w:p>
        </w:tc>
        <w:tc>
          <w:tcPr>
            <w:tcW w:w="851" w:type="dxa"/>
            <w:tcBorders>
              <w:left w:val="single" w:sz="6" w:space="0" w:color="FF6600"/>
              <w:right w:val="single" w:sz="6" w:space="0" w:color="FF6600"/>
            </w:tcBorders>
            <w:shd w:val="clear" w:color="auto" w:fill="auto"/>
            <w:vAlign w:val="center"/>
          </w:tcPr>
          <w:p w:rsidR="00FE5C5F" w:rsidRPr="00FE5C5F" w:rsidRDefault="00FE5C5F" w:rsidP="00FE5C5F">
            <w:pPr>
              <w:jc w:val="center"/>
              <w:rPr>
                <w:rFonts w:asciiTheme="minorEastAsia" w:hAnsiTheme="minorEastAsia" w:cs="宋体"/>
                <w:sz w:val="18"/>
                <w:szCs w:val="18"/>
              </w:rPr>
            </w:pPr>
            <w:r w:rsidRPr="00FE5C5F">
              <w:rPr>
                <w:rFonts w:asciiTheme="minorEastAsia" w:hAnsiTheme="minorEastAsia" w:hint="eastAsia"/>
                <w:sz w:val="18"/>
                <w:szCs w:val="18"/>
              </w:rPr>
              <w:t>127.82</w:t>
            </w:r>
          </w:p>
        </w:tc>
        <w:tc>
          <w:tcPr>
            <w:tcW w:w="709" w:type="dxa"/>
            <w:tcBorders>
              <w:left w:val="single" w:sz="6" w:space="0" w:color="FF6600"/>
              <w:right w:val="single" w:sz="6" w:space="0" w:color="FF6600"/>
            </w:tcBorders>
            <w:shd w:val="clear" w:color="auto" w:fill="auto"/>
            <w:vAlign w:val="center"/>
          </w:tcPr>
          <w:p w:rsidR="00FE5C5F" w:rsidRPr="00FE5C5F" w:rsidRDefault="00FE5C5F" w:rsidP="00FE5C5F">
            <w:pPr>
              <w:jc w:val="center"/>
              <w:rPr>
                <w:rFonts w:asciiTheme="minorEastAsia" w:hAnsiTheme="minorEastAsia" w:cs="宋体"/>
                <w:sz w:val="18"/>
                <w:szCs w:val="18"/>
              </w:rPr>
            </w:pPr>
            <w:r w:rsidRPr="00FE5C5F">
              <w:rPr>
                <w:rFonts w:asciiTheme="minorEastAsia" w:hAnsiTheme="minorEastAsia" w:hint="eastAsia"/>
                <w:sz w:val="18"/>
                <w:szCs w:val="18"/>
              </w:rPr>
              <w:t>13.29%</w:t>
            </w:r>
          </w:p>
        </w:tc>
        <w:tc>
          <w:tcPr>
            <w:tcW w:w="283" w:type="dxa"/>
            <w:tcBorders>
              <w:left w:val="single" w:sz="6" w:space="0" w:color="FF6600"/>
              <w:right w:val="single" w:sz="6" w:space="0" w:color="FF6600"/>
            </w:tcBorders>
            <w:shd w:val="clear" w:color="auto" w:fill="auto"/>
            <w:vAlign w:val="center"/>
          </w:tcPr>
          <w:p w:rsidR="00FE5C5F" w:rsidRPr="00EA19D3" w:rsidRDefault="00FE5C5F" w:rsidP="0073421E">
            <w:pPr>
              <w:jc w:val="center"/>
              <w:rPr>
                <w:rFonts w:ascii="宋体" w:eastAsia="宋体" w:hAnsi="宋体"/>
                <w:sz w:val="18"/>
                <w:szCs w:val="18"/>
              </w:rPr>
            </w:pPr>
            <w:r w:rsidRPr="00EA19D3">
              <w:rPr>
                <w:rFonts w:ascii="宋体" w:eastAsia="宋体" w:hAnsi="宋体" w:hint="eastAsia"/>
                <w:sz w:val="18"/>
                <w:szCs w:val="18"/>
              </w:rPr>
              <w:t>4</w:t>
            </w:r>
          </w:p>
        </w:tc>
        <w:tc>
          <w:tcPr>
            <w:tcW w:w="1134" w:type="dxa"/>
            <w:tcBorders>
              <w:left w:val="single" w:sz="6" w:space="0" w:color="FF6600"/>
              <w:right w:val="single" w:sz="6" w:space="0" w:color="FF6600"/>
            </w:tcBorders>
            <w:shd w:val="clear" w:color="auto" w:fill="FABF8F" w:themeFill="accent6" w:themeFillTint="99"/>
            <w:vAlign w:val="center"/>
          </w:tcPr>
          <w:p w:rsidR="00FE5C5F" w:rsidRPr="00A22DB9" w:rsidRDefault="00FE5C5F">
            <w:pPr>
              <w:jc w:val="center"/>
              <w:rPr>
                <w:rFonts w:ascii="宋体" w:eastAsia="宋体" w:hAnsi="宋体" w:cs="宋体"/>
                <w:bCs/>
                <w:sz w:val="18"/>
                <w:szCs w:val="18"/>
              </w:rPr>
            </w:pPr>
            <w:r w:rsidRPr="00A22DB9">
              <w:rPr>
                <w:rFonts w:hint="eastAsia"/>
                <w:bCs/>
                <w:sz w:val="18"/>
                <w:szCs w:val="18"/>
              </w:rPr>
              <w:t>云南信托－中国龙精选</w:t>
            </w:r>
          </w:p>
        </w:tc>
        <w:tc>
          <w:tcPr>
            <w:tcW w:w="1134" w:type="dxa"/>
            <w:tcBorders>
              <w:left w:val="single" w:sz="6" w:space="0" w:color="FF6600"/>
              <w:right w:val="single" w:sz="6" w:space="0" w:color="FF6600"/>
            </w:tcBorders>
            <w:shd w:val="clear" w:color="auto" w:fill="auto"/>
            <w:vAlign w:val="center"/>
          </w:tcPr>
          <w:p w:rsidR="00FE5C5F" w:rsidRPr="00A22DB9" w:rsidRDefault="00FE5C5F">
            <w:pPr>
              <w:jc w:val="center"/>
              <w:rPr>
                <w:rFonts w:ascii="宋体" w:eastAsia="宋体" w:hAnsi="宋体" w:cs="宋体"/>
                <w:bCs/>
                <w:sz w:val="18"/>
                <w:szCs w:val="18"/>
              </w:rPr>
            </w:pPr>
            <w:r w:rsidRPr="00A22DB9">
              <w:rPr>
                <w:rFonts w:hint="eastAsia"/>
                <w:bCs/>
                <w:sz w:val="18"/>
                <w:szCs w:val="18"/>
              </w:rPr>
              <w:t>上海涌峰投资管理有限公司</w:t>
            </w:r>
          </w:p>
        </w:tc>
        <w:tc>
          <w:tcPr>
            <w:tcW w:w="851" w:type="dxa"/>
            <w:tcBorders>
              <w:left w:val="single" w:sz="6" w:space="0" w:color="FF6600"/>
              <w:right w:val="single" w:sz="6" w:space="0" w:color="FF6600"/>
            </w:tcBorders>
            <w:shd w:val="clear" w:color="auto" w:fill="auto"/>
            <w:vAlign w:val="center"/>
          </w:tcPr>
          <w:p w:rsidR="00FE5C5F" w:rsidRPr="00A22DB9" w:rsidRDefault="00FE5C5F">
            <w:pPr>
              <w:jc w:val="center"/>
              <w:rPr>
                <w:rFonts w:ascii="宋体" w:eastAsia="宋体" w:hAnsi="宋体" w:cs="宋体"/>
                <w:bCs/>
                <w:sz w:val="18"/>
                <w:szCs w:val="18"/>
              </w:rPr>
            </w:pPr>
            <w:r w:rsidRPr="00A22DB9">
              <w:rPr>
                <w:rFonts w:hint="eastAsia"/>
                <w:bCs/>
                <w:sz w:val="18"/>
                <w:szCs w:val="18"/>
              </w:rPr>
              <w:t>股票多头策略</w:t>
            </w:r>
          </w:p>
        </w:tc>
        <w:tc>
          <w:tcPr>
            <w:tcW w:w="708" w:type="dxa"/>
            <w:tcBorders>
              <w:left w:val="single" w:sz="6" w:space="0" w:color="FF6600"/>
              <w:right w:val="single" w:sz="6" w:space="0" w:color="FF6600"/>
            </w:tcBorders>
            <w:shd w:val="clear" w:color="auto" w:fill="auto"/>
            <w:vAlign w:val="center"/>
          </w:tcPr>
          <w:p w:rsidR="00FE5C5F" w:rsidRPr="00A22DB9" w:rsidRDefault="00FE5C5F">
            <w:pPr>
              <w:jc w:val="center"/>
              <w:rPr>
                <w:rFonts w:asciiTheme="minorEastAsia" w:hAnsiTheme="minorEastAsia"/>
                <w:sz w:val="18"/>
                <w:szCs w:val="18"/>
              </w:rPr>
            </w:pPr>
            <w:r w:rsidRPr="00A22DB9">
              <w:rPr>
                <w:rFonts w:asciiTheme="minorEastAsia" w:hAnsiTheme="minorEastAsia" w:hint="eastAsia"/>
                <w:sz w:val="18"/>
                <w:szCs w:val="18"/>
              </w:rPr>
              <w:t>管理型</w:t>
            </w:r>
          </w:p>
        </w:tc>
        <w:tc>
          <w:tcPr>
            <w:tcW w:w="851" w:type="dxa"/>
            <w:tcBorders>
              <w:left w:val="single" w:sz="6" w:space="0" w:color="FF6600"/>
              <w:right w:val="single" w:sz="6" w:space="0" w:color="FF6600"/>
            </w:tcBorders>
            <w:shd w:val="clear" w:color="auto" w:fill="auto"/>
            <w:vAlign w:val="center"/>
          </w:tcPr>
          <w:p w:rsidR="00FE5C5F" w:rsidRPr="00FE5C5F" w:rsidRDefault="00FE5C5F">
            <w:pPr>
              <w:jc w:val="center"/>
              <w:rPr>
                <w:rFonts w:asciiTheme="minorEastAsia" w:hAnsiTheme="minorEastAsia" w:cs="宋体"/>
                <w:sz w:val="18"/>
                <w:szCs w:val="18"/>
              </w:rPr>
            </w:pPr>
            <w:r w:rsidRPr="00FE5C5F">
              <w:rPr>
                <w:rFonts w:asciiTheme="minorEastAsia" w:hAnsiTheme="minorEastAsia" w:hint="eastAsia"/>
                <w:sz w:val="18"/>
                <w:szCs w:val="18"/>
              </w:rPr>
              <w:t xml:space="preserve">1.6266 </w:t>
            </w:r>
          </w:p>
        </w:tc>
        <w:tc>
          <w:tcPr>
            <w:tcW w:w="850" w:type="dxa"/>
            <w:tcBorders>
              <w:left w:val="single" w:sz="6" w:space="0" w:color="FF6600"/>
              <w:right w:val="single" w:sz="6" w:space="0" w:color="FF6600"/>
            </w:tcBorders>
            <w:shd w:val="clear" w:color="auto" w:fill="auto"/>
            <w:vAlign w:val="center"/>
          </w:tcPr>
          <w:p w:rsidR="00FE5C5F" w:rsidRPr="00FE5C5F" w:rsidRDefault="00FE5C5F">
            <w:pPr>
              <w:jc w:val="center"/>
              <w:rPr>
                <w:rFonts w:asciiTheme="minorEastAsia" w:hAnsiTheme="minorEastAsia" w:cs="宋体"/>
                <w:sz w:val="18"/>
                <w:szCs w:val="18"/>
              </w:rPr>
            </w:pPr>
            <w:r w:rsidRPr="00FE5C5F">
              <w:rPr>
                <w:rFonts w:asciiTheme="minorEastAsia" w:hAnsiTheme="minorEastAsia" w:hint="eastAsia"/>
                <w:sz w:val="18"/>
                <w:szCs w:val="18"/>
              </w:rPr>
              <w:t>9.99%</w:t>
            </w:r>
          </w:p>
        </w:tc>
        <w:tc>
          <w:tcPr>
            <w:tcW w:w="284" w:type="dxa"/>
            <w:tcBorders>
              <w:left w:val="single" w:sz="6" w:space="0" w:color="FF6600"/>
            </w:tcBorders>
            <w:shd w:val="clear" w:color="auto" w:fill="auto"/>
            <w:vAlign w:val="center"/>
          </w:tcPr>
          <w:p w:rsidR="00FE5C5F" w:rsidRPr="00EA19D3" w:rsidRDefault="00FE5C5F" w:rsidP="0073421E">
            <w:pPr>
              <w:jc w:val="center"/>
              <w:rPr>
                <w:rFonts w:ascii="宋体" w:eastAsia="宋体" w:hAnsi="宋体"/>
                <w:sz w:val="18"/>
                <w:szCs w:val="18"/>
              </w:rPr>
            </w:pPr>
            <w:r w:rsidRPr="00EA19D3">
              <w:rPr>
                <w:rFonts w:ascii="宋体" w:eastAsia="宋体" w:hAnsi="宋体" w:hint="eastAsia"/>
                <w:sz w:val="18"/>
                <w:szCs w:val="18"/>
              </w:rPr>
              <w:t>9</w:t>
            </w:r>
          </w:p>
        </w:tc>
      </w:tr>
      <w:tr w:rsidR="00FE5C5F" w:rsidTr="00FE5C5F">
        <w:trPr>
          <w:cantSplit/>
          <w:trHeight w:val="705"/>
        </w:trPr>
        <w:tc>
          <w:tcPr>
            <w:tcW w:w="1135" w:type="dxa"/>
            <w:tcBorders>
              <w:right w:val="single" w:sz="6" w:space="0" w:color="FF6600"/>
            </w:tcBorders>
            <w:shd w:val="clear" w:color="auto" w:fill="FABF8F" w:themeFill="accent6" w:themeFillTint="99"/>
            <w:vAlign w:val="center"/>
          </w:tcPr>
          <w:p w:rsidR="00FE5C5F" w:rsidRPr="00A22DB9" w:rsidRDefault="00FE5C5F">
            <w:pPr>
              <w:jc w:val="center"/>
              <w:rPr>
                <w:rFonts w:asciiTheme="minorEastAsia" w:hAnsiTheme="minorEastAsia" w:cs="宋体"/>
                <w:bCs/>
                <w:sz w:val="18"/>
                <w:szCs w:val="18"/>
              </w:rPr>
            </w:pPr>
            <w:r w:rsidRPr="00A22DB9">
              <w:rPr>
                <w:rFonts w:asciiTheme="minorEastAsia" w:hAnsiTheme="minorEastAsia" w:hint="eastAsia"/>
                <w:bCs/>
                <w:sz w:val="18"/>
                <w:szCs w:val="18"/>
              </w:rPr>
              <w:t>山东信托-</w:t>
            </w:r>
            <w:proofErr w:type="gramStart"/>
            <w:r w:rsidRPr="00A22DB9">
              <w:rPr>
                <w:rFonts w:asciiTheme="minorEastAsia" w:hAnsiTheme="minorEastAsia" w:hint="eastAsia"/>
                <w:bCs/>
                <w:sz w:val="18"/>
                <w:szCs w:val="18"/>
              </w:rPr>
              <w:t>泽熙瑞金</w:t>
            </w:r>
            <w:proofErr w:type="gramEnd"/>
            <w:r w:rsidRPr="00A22DB9">
              <w:rPr>
                <w:rFonts w:asciiTheme="minorEastAsia" w:hAnsiTheme="minorEastAsia" w:hint="eastAsia"/>
                <w:bCs/>
                <w:sz w:val="18"/>
                <w:szCs w:val="18"/>
              </w:rPr>
              <w:t>1号</w:t>
            </w:r>
          </w:p>
        </w:tc>
        <w:tc>
          <w:tcPr>
            <w:tcW w:w="1134" w:type="dxa"/>
            <w:tcBorders>
              <w:left w:val="single" w:sz="6" w:space="0" w:color="FF6600"/>
              <w:right w:val="single" w:sz="6" w:space="0" w:color="FF6600"/>
            </w:tcBorders>
            <w:shd w:val="clear" w:color="auto" w:fill="auto"/>
            <w:vAlign w:val="center"/>
          </w:tcPr>
          <w:p w:rsidR="00FE5C5F" w:rsidRPr="00A22DB9" w:rsidRDefault="00FE5C5F">
            <w:pPr>
              <w:jc w:val="center"/>
              <w:rPr>
                <w:rFonts w:asciiTheme="minorEastAsia" w:hAnsiTheme="minorEastAsia" w:cs="宋体"/>
                <w:bCs/>
                <w:sz w:val="18"/>
                <w:szCs w:val="18"/>
              </w:rPr>
            </w:pPr>
            <w:r w:rsidRPr="00A22DB9">
              <w:rPr>
                <w:rFonts w:asciiTheme="minorEastAsia" w:hAnsiTheme="minorEastAsia" w:hint="eastAsia"/>
                <w:bCs/>
                <w:sz w:val="18"/>
                <w:szCs w:val="18"/>
              </w:rPr>
              <w:t>上海泽熙投资管理有限公司</w:t>
            </w:r>
          </w:p>
        </w:tc>
        <w:tc>
          <w:tcPr>
            <w:tcW w:w="851" w:type="dxa"/>
            <w:tcBorders>
              <w:left w:val="single" w:sz="6" w:space="0" w:color="FF6600"/>
              <w:right w:val="single" w:sz="6" w:space="0" w:color="FF6600"/>
            </w:tcBorders>
            <w:shd w:val="clear" w:color="auto" w:fill="auto"/>
            <w:vAlign w:val="center"/>
          </w:tcPr>
          <w:p w:rsidR="00FE5C5F" w:rsidRPr="00A22DB9" w:rsidRDefault="00FE5C5F">
            <w:pPr>
              <w:jc w:val="center"/>
              <w:rPr>
                <w:rFonts w:asciiTheme="minorEastAsia" w:hAnsiTheme="minorEastAsia" w:cs="宋体"/>
                <w:bCs/>
                <w:sz w:val="18"/>
                <w:szCs w:val="18"/>
              </w:rPr>
            </w:pPr>
            <w:r w:rsidRPr="00A22DB9">
              <w:rPr>
                <w:rFonts w:asciiTheme="minorEastAsia" w:hAnsiTheme="minorEastAsia" w:hint="eastAsia"/>
                <w:bCs/>
                <w:sz w:val="18"/>
                <w:szCs w:val="18"/>
              </w:rPr>
              <w:t>股票多头策略</w:t>
            </w:r>
          </w:p>
        </w:tc>
        <w:tc>
          <w:tcPr>
            <w:tcW w:w="708" w:type="dxa"/>
            <w:tcBorders>
              <w:left w:val="single" w:sz="6" w:space="0" w:color="FF6600"/>
              <w:right w:val="single" w:sz="6" w:space="0" w:color="FF6600"/>
            </w:tcBorders>
            <w:shd w:val="clear" w:color="auto" w:fill="auto"/>
            <w:vAlign w:val="center"/>
          </w:tcPr>
          <w:p w:rsidR="00FE5C5F" w:rsidRPr="00A22DB9" w:rsidRDefault="00FE5C5F">
            <w:pPr>
              <w:jc w:val="center"/>
              <w:rPr>
                <w:rFonts w:asciiTheme="minorEastAsia" w:hAnsiTheme="minorEastAsia" w:cs="宋体"/>
                <w:bCs/>
                <w:sz w:val="18"/>
                <w:szCs w:val="18"/>
              </w:rPr>
            </w:pPr>
            <w:r w:rsidRPr="00A22DB9">
              <w:rPr>
                <w:rFonts w:asciiTheme="minorEastAsia" w:hAnsiTheme="minorEastAsia" w:hint="eastAsia"/>
                <w:bCs/>
                <w:sz w:val="18"/>
                <w:szCs w:val="18"/>
              </w:rPr>
              <w:t>管理型</w:t>
            </w:r>
          </w:p>
        </w:tc>
        <w:tc>
          <w:tcPr>
            <w:tcW w:w="851" w:type="dxa"/>
            <w:tcBorders>
              <w:left w:val="single" w:sz="6" w:space="0" w:color="FF6600"/>
              <w:right w:val="single" w:sz="6" w:space="0" w:color="FF6600"/>
            </w:tcBorders>
            <w:shd w:val="clear" w:color="auto" w:fill="auto"/>
            <w:vAlign w:val="center"/>
          </w:tcPr>
          <w:p w:rsidR="00FE5C5F" w:rsidRPr="00FE5C5F" w:rsidRDefault="00FE5C5F" w:rsidP="00FE5C5F">
            <w:pPr>
              <w:jc w:val="center"/>
              <w:rPr>
                <w:rFonts w:asciiTheme="minorEastAsia" w:hAnsiTheme="minorEastAsia" w:cs="宋体"/>
                <w:sz w:val="18"/>
                <w:szCs w:val="18"/>
              </w:rPr>
            </w:pPr>
            <w:r w:rsidRPr="00FE5C5F">
              <w:rPr>
                <w:rFonts w:asciiTheme="minorEastAsia" w:hAnsiTheme="minorEastAsia" w:hint="eastAsia"/>
                <w:sz w:val="18"/>
                <w:szCs w:val="18"/>
              </w:rPr>
              <w:t>2.8111</w:t>
            </w:r>
          </w:p>
        </w:tc>
        <w:tc>
          <w:tcPr>
            <w:tcW w:w="709" w:type="dxa"/>
            <w:tcBorders>
              <w:left w:val="single" w:sz="6" w:space="0" w:color="FF6600"/>
              <w:right w:val="single" w:sz="6" w:space="0" w:color="FF6600"/>
            </w:tcBorders>
            <w:shd w:val="clear" w:color="auto" w:fill="auto"/>
            <w:vAlign w:val="center"/>
          </w:tcPr>
          <w:p w:rsidR="00FE5C5F" w:rsidRPr="00FE5C5F" w:rsidRDefault="00FE5C5F" w:rsidP="00FE5C5F">
            <w:pPr>
              <w:jc w:val="center"/>
              <w:rPr>
                <w:rFonts w:asciiTheme="minorEastAsia" w:hAnsiTheme="minorEastAsia" w:cs="宋体"/>
                <w:sz w:val="18"/>
                <w:szCs w:val="18"/>
              </w:rPr>
            </w:pPr>
            <w:r w:rsidRPr="00FE5C5F">
              <w:rPr>
                <w:rFonts w:asciiTheme="minorEastAsia" w:hAnsiTheme="minorEastAsia" w:hint="eastAsia"/>
                <w:sz w:val="18"/>
                <w:szCs w:val="18"/>
              </w:rPr>
              <w:t>12.55%</w:t>
            </w:r>
          </w:p>
        </w:tc>
        <w:tc>
          <w:tcPr>
            <w:tcW w:w="283" w:type="dxa"/>
            <w:tcBorders>
              <w:left w:val="single" w:sz="6" w:space="0" w:color="FF6600"/>
              <w:right w:val="single" w:sz="6" w:space="0" w:color="FF6600"/>
            </w:tcBorders>
            <w:shd w:val="clear" w:color="auto" w:fill="auto"/>
            <w:vAlign w:val="center"/>
          </w:tcPr>
          <w:p w:rsidR="00FE5C5F" w:rsidRPr="00EA19D3" w:rsidRDefault="00FE5C5F" w:rsidP="0073421E">
            <w:pPr>
              <w:jc w:val="center"/>
              <w:rPr>
                <w:rFonts w:ascii="宋体" w:eastAsia="宋体" w:hAnsi="宋体"/>
                <w:sz w:val="18"/>
                <w:szCs w:val="18"/>
              </w:rPr>
            </w:pPr>
            <w:r w:rsidRPr="00EA19D3">
              <w:rPr>
                <w:rFonts w:ascii="宋体" w:eastAsia="宋体" w:hAnsi="宋体" w:hint="eastAsia"/>
                <w:sz w:val="18"/>
                <w:szCs w:val="18"/>
              </w:rPr>
              <w:t>5</w:t>
            </w:r>
          </w:p>
        </w:tc>
        <w:tc>
          <w:tcPr>
            <w:tcW w:w="1134" w:type="dxa"/>
            <w:tcBorders>
              <w:left w:val="single" w:sz="6" w:space="0" w:color="FF6600"/>
              <w:right w:val="single" w:sz="6" w:space="0" w:color="FF6600"/>
            </w:tcBorders>
            <w:shd w:val="clear" w:color="auto" w:fill="FABF8F" w:themeFill="accent6" w:themeFillTint="99"/>
            <w:vAlign w:val="center"/>
          </w:tcPr>
          <w:p w:rsidR="00FE5C5F" w:rsidRPr="00A22DB9" w:rsidRDefault="00FE5C5F">
            <w:pPr>
              <w:jc w:val="center"/>
              <w:rPr>
                <w:rFonts w:ascii="宋体" w:eastAsia="宋体" w:hAnsi="宋体" w:cs="宋体"/>
                <w:bCs/>
                <w:sz w:val="18"/>
                <w:szCs w:val="18"/>
              </w:rPr>
            </w:pPr>
            <w:r w:rsidRPr="00A22DB9">
              <w:rPr>
                <w:rFonts w:hint="eastAsia"/>
                <w:bCs/>
                <w:sz w:val="18"/>
                <w:szCs w:val="18"/>
              </w:rPr>
              <w:t>云南信托－中国</w:t>
            </w:r>
            <w:proofErr w:type="gramStart"/>
            <w:r w:rsidRPr="00A22DB9">
              <w:rPr>
                <w:rFonts w:hint="eastAsia"/>
                <w:bCs/>
                <w:sz w:val="18"/>
                <w:szCs w:val="18"/>
              </w:rPr>
              <w:t>龙增长</w:t>
            </w:r>
            <w:proofErr w:type="gramEnd"/>
          </w:p>
        </w:tc>
        <w:tc>
          <w:tcPr>
            <w:tcW w:w="1134" w:type="dxa"/>
            <w:tcBorders>
              <w:left w:val="single" w:sz="6" w:space="0" w:color="FF6600"/>
              <w:right w:val="single" w:sz="6" w:space="0" w:color="FF6600"/>
            </w:tcBorders>
            <w:shd w:val="clear" w:color="auto" w:fill="auto"/>
            <w:vAlign w:val="center"/>
          </w:tcPr>
          <w:p w:rsidR="00FE5C5F" w:rsidRPr="00A22DB9" w:rsidRDefault="00FE5C5F">
            <w:pPr>
              <w:jc w:val="center"/>
              <w:rPr>
                <w:rFonts w:ascii="宋体" w:eastAsia="宋体" w:hAnsi="宋体" w:cs="宋体"/>
                <w:bCs/>
                <w:sz w:val="18"/>
                <w:szCs w:val="18"/>
              </w:rPr>
            </w:pPr>
            <w:r w:rsidRPr="00A22DB9">
              <w:rPr>
                <w:rFonts w:hint="eastAsia"/>
                <w:bCs/>
                <w:sz w:val="18"/>
                <w:szCs w:val="18"/>
              </w:rPr>
              <w:t>上海涌峰投资管理有限公司</w:t>
            </w:r>
          </w:p>
        </w:tc>
        <w:tc>
          <w:tcPr>
            <w:tcW w:w="851" w:type="dxa"/>
            <w:tcBorders>
              <w:left w:val="single" w:sz="6" w:space="0" w:color="FF6600"/>
              <w:right w:val="single" w:sz="6" w:space="0" w:color="FF6600"/>
            </w:tcBorders>
            <w:shd w:val="clear" w:color="auto" w:fill="auto"/>
            <w:vAlign w:val="center"/>
          </w:tcPr>
          <w:p w:rsidR="00FE5C5F" w:rsidRPr="00A22DB9" w:rsidRDefault="00FE5C5F">
            <w:pPr>
              <w:jc w:val="center"/>
              <w:rPr>
                <w:rFonts w:ascii="宋体" w:eastAsia="宋体" w:hAnsi="宋体" w:cs="宋体"/>
                <w:bCs/>
                <w:sz w:val="18"/>
                <w:szCs w:val="18"/>
              </w:rPr>
            </w:pPr>
            <w:r w:rsidRPr="00A22DB9">
              <w:rPr>
                <w:rFonts w:hint="eastAsia"/>
                <w:bCs/>
                <w:sz w:val="18"/>
                <w:szCs w:val="18"/>
              </w:rPr>
              <w:t>股票多头策略</w:t>
            </w:r>
          </w:p>
        </w:tc>
        <w:tc>
          <w:tcPr>
            <w:tcW w:w="708" w:type="dxa"/>
            <w:tcBorders>
              <w:left w:val="single" w:sz="6" w:space="0" w:color="FF6600"/>
              <w:right w:val="single" w:sz="6" w:space="0" w:color="FF6600"/>
            </w:tcBorders>
            <w:shd w:val="clear" w:color="auto" w:fill="auto"/>
            <w:vAlign w:val="center"/>
          </w:tcPr>
          <w:p w:rsidR="00FE5C5F" w:rsidRPr="00A22DB9" w:rsidRDefault="00FE5C5F">
            <w:pPr>
              <w:jc w:val="center"/>
              <w:rPr>
                <w:rFonts w:asciiTheme="minorEastAsia" w:hAnsiTheme="minorEastAsia"/>
                <w:sz w:val="18"/>
                <w:szCs w:val="18"/>
              </w:rPr>
            </w:pPr>
            <w:r w:rsidRPr="00A22DB9">
              <w:rPr>
                <w:rFonts w:asciiTheme="minorEastAsia" w:hAnsiTheme="minorEastAsia" w:hint="eastAsia"/>
                <w:sz w:val="18"/>
                <w:szCs w:val="18"/>
              </w:rPr>
              <w:t>管理型</w:t>
            </w:r>
          </w:p>
        </w:tc>
        <w:tc>
          <w:tcPr>
            <w:tcW w:w="851" w:type="dxa"/>
            <w:tcBorders>
              <w:left w:val="single" w:sz="6" w:space="0" w:color="FF6600"/>
              <w:right w:val="single" w:sz="6" w:space="0" w:color="FF6600"/>
            </w:tcBorders>
            <w:shd w:val="clear" w:color="auto" w:fill="auto"/>
            <w:vAlign w:val="center"/>
          </w:tcPr>
          <w:p w:rsidR="00FE5C5F" w:rsidRPr="00FE5C5F" w:rsidRDefault="00FE5C5F">
            <w:pPr>
              <w:jc w:val="center"/>
              <w:rPr>
                <w:rFonts w:asciiTheme="minorEastAsia" w:hAnsiTheme="minorEastAsia" w:cs="宋体"/>
                <w:sz w:val="18"/>
                <w:szCs w:val="18"/>
              </w:rPr>
            </w:pPr>
            <w:r w:rsidRPr="00FE5C5F">
              <w:rPr>
                <w:rFonts w:asciiTheme="minorEastAsia" w:hAnsiTheme="minorEastAsia" w:hint="eastAsia"/>
                <w:sz w:val="18"/>
                <w:szCs w:val="18"/>
              </w:rPr>
              <w:t xml:space="preserve">1.4333 </w:t>
            </w:r>
          </w:p>
        </w:tc>
        <w:tc>
          <w:tcPr>
            <w:tcW w:w="850" w:type="dxa"/>
            <w:tcBorders>
              <w:left w:val="single" w:sz="6" w:space="0" w:color="FF6600"/>
              <w:right w:val="single" w:sz="6" w:space="0" w:color="FF6600"/>
            </w:tcBorders>
            <w:shd w:val="clear" w:color="auto" w:fill="auto"/>
            <w:vAlign w:val="center"/>
          </w:tcPr>
          <w:p w:rsidR="00FE5C5F" w:rsidRPr="00FE5C5F" w:rsidRDefault="00FE5C5F">
            <w:pPr>
              <w:jc w:val="center"/>
              <w:rPr>
                <w:rFonts w:asciiTheme="minorEastAsia" w:hAnsiTheme="minorEastAsia" w:cs="宋体"/>
                <w:sz w:val="18"/>
                <w:szCs w:val="18"/>
              </w:rPr>
            </w:pPr>
            <w:r w:rsidRPr="00FE5C5F">
              <w:rPr>
                <w:rFonts w:asciiTheme="minorEastAsia" w:hAnsiTheme="minorEastAsia" w:hint="eastAsia"/>
                <w:sz w:val="18"/>
                <w:szCs w:val="18"/>
              </w:rPr>
              <w:t>9.94%</w:t>
            </w:r>
          </w:p>
        </w:tc>
        <w:tc>
          <w:tcPr>
            <w:tcW w:w="284" w:type="dxa"/>
            <w:tcBorders>
              <w:left w:val="single" w:sz="6" w:space="0" w:color="FF6600"/>
            </w:tcBorders>
            <w:shd w:val="clear" w:color="auto" w:fill="auto"/>
            <w:vAlign w:val="center"/>
          </w:tcPr>
          <w:p w:rsidR="00FE5C5F" w:rsidRPr="00EA19D3" w:rsidRDefault="00FE5C5F" w:rsidP="0073421E">
            <w:pPr>
              <w:jc w:val="center"/>
              <w:rPr>
                <w:rFonts w:ascii="宋体" w:eastAsia="宋体" w:hAnsi="宋体"/>
                <w:sz w:val="18"/>
                <w:szCs w:val="18"/>
              </w:rPr>
            </w:pPr>
            <w:r w:rsidRPr="00EA19D3">
              <w:rPr>
                <w:rFonts w:ascii="宋体" w:eastAsia="宋体" w:hAnsi="宋体" w:hint="eastAsia"/>
                <w:sz w:val="18"/>
                <w:szCs w:val="18"/>
              </w:rPr>
              <w:t>10</w:t>
            </w:r>
          </w:p>
        </w:tc>
      </w:tr>
    </w:tbl>
    <w:p w:rsidR="00EA19D3" w:rsidRPr="003629A1" w:rsidRDefault="00EA19D3" w:rsidP="00EA19D3">
      <w:pPr>
        <w:pStyle w:val="FootnoteNoline"/>
        <w:ind w:left="0"/>
        <w:rPr>
          <w:color w:val="FF6600"/>
          <w:lang w:val="en-US"/>
        </w:rPr>
      </w:pPr>
      <w:r w:rsidRPr="003629A1">
        <w:rPr>
          <w:rFonts w:hint="eastAsia"/>
          <w:color w:val="FF6600"/>
          <w:lang w:val="en-US"/>
        </w:rPr>
        <w:t>来源：</w:t>
      </w:r>
      <w:proofErr w:type="gramStart"/>
      <w:r w:rsidRPr="003629A1">
        <w:rPr>
          <w:rFonts w:hint="eastAsia"/>
          <w:color w:val="FF6600"/>
          <w:lang w:val="en-US"/>
        </w:rPr>
        <w:t>凯</w:t>
      </w:r>
      <w:proofErr w:type="gramEnd"/>
      <w:r w:rsidRPr="003629A1">
        <w:rPr>
          <w:rFonts w:hint="eastAsia"/>
          <w:color w:val="FF6600"/>
          <w:lang w:val="en-US"/>
        </w:rPr>
        <w:t>石财富工场</w:t>
      </w:r>
    </w:p>
    <w:p w:rsidR="0007052A" w:rsidRPr="00D92CE8" w:rsidRDefault="0007052A" w:rsidP="00D92CE8">
      <w:pPr>
        <w:widowControl/>
        <w:spacing w:after="120"/>
        <w:ind w:left="3430"/>
        <w:rPr>
          <w:rFonts w:ascii="Arial" w:eastAsia="楷体_GB2312" w:hAnsi="Arial"/>
          <w:b/>
          <w:bCs/>
          <w:color w:val="0070C0"/>
          <w:kern w:val="0"/>
          <w:sz w:val="24"/>
          <w:szCs w:val="20"/>
          <w:lang w:val="en-GB"/>
        </w:rPr>
      </w:pPr>
      <w:r w:rsidRPr="00D92CE8">
        <w:rPr>
          <w:rFonts w:ascii="Arial" w:eastAsia="楷体_GB2312" w:hAnsi="Arial" w:hint="eastAsia"/>
          <w:b/>
          <w:bCs/>
          <w:color w:val="0070C0"/>
          <w:kern w:val="0"/>
          <w:sz w:val="24"/>
          <w:szCs w:val="20"/>
          <w:lang w:val="en-GB"/>
        </w:rPr>
        <w:t>四、对冲基金短期策略</w:t>
      </w:r>
    </w:p>
    <w:p w:rsidR="0007052A" w:rsidRPr="00C101E9" w:rsidRDefault="0051766A" w:rsidP="0007052A">
      <w:pPr>
        <w:widowControl/>
        <w:spacing w:after="120"/>
        <w:ind w:left="3430"/>
        <w:rPr>
          <w:rFonts w:ascii="宋体" w:eastAsia="宋体" w:hAnsi="宋体" w:cs="宋体"/>
          <w:b/>
          <w:bCs/>
          <w:color w:val="0070C0"/>
          <w:kern w:val="0"/>
          <w:szCs w:val="21"/>
          <w:lang w:val="en-GB"/>
        </w:rPr>
      </w:pPr>
      <w:r>
        <w:rPr>
          <w:rFonts w:ascii="宋体" w:eastAsia="宋体" w:hAnsi="宋体" w:cs="宋体" w:hint="eastAsia"/>
          <w:b/>
          <w:bCs/>
          <w:color w:val="0070C0"/>
          <w:kern w:val="0"/>
          <w:szCs w:val="21"/>
          <w:lang w:val="en-GB"/>
        </w:rPr>
        <w:t>“</w:t>
      </w:r>
      <w:r w:rsidR="0007052A" w:rsidRPr="00C101E9">
        <w:rPr>
          <w:rFonts w:ascii="宋体" w:eastAsia="宋体" w:hAnsi="宋体" w:cs="宋体" w:hint="eastAsia"/>
          <w:b/>
          <w:bCs/>
          <w:color w:val="0070C0"/>
          <w:kern w:val="0"/>
          <w:szCs w:val="21"/>
          <w:lang w:val="en-GB"/>
        </w:rPr>
        <w:t>精选个股</w:t>
      </w:r>
      <w:r>
        <w:rPr>
          <w:rFonts w:ascii="宋体" w:eastAsia="宋体" w:hAnsi="宋体" w:cs="宋体" w:hint="eastAsia"/>
          <w:b/>
          <w:bCs/>
          <w:color w:val="0070C0"/>
          <w:kern w:val="0"/>
          <w:szCs w:val="21"/>
          <w:lang w:val="en-GB"/>
        </w:rPr>
        <w:t>”+“</w:t>
      </w:r>
      <w:r w:rsidR="0007052A" w:rsidRPr="00C101E9">
        <w:rPr>
          <w:rFonts w:ascii="宋体" w:eastAsia="宋体" w:hAnsi="宋体" w:cs="宋体" w:hint="eastAsia"/>
          <w:b/>
          <w:bCs/>
          <w:color w:val="0070C0"/>
          <w:kern w:val="0"/>
          <w:szCs w:val="21"/>
          <w:lang w:val="en-GB"/>
        </w:rPr>
        <w:t>主题投资</w:t>
      </w:r>
      <w:r>
        <w:rPr>
          <w:rFonts w:ascii="宋体" w:eastAsia="宋体" w:hAnsi="宋体" w:cs="宋体" w:hint="eastAsia"/>
          <w:b/>
          <w:bCs/>
          <w:color w:val="0070C0"/>
          <w:kern w:val="0"/>
          <w:szCs w:val="21"/>
          <w:lang w:val="en-GB"/>
        </w:rPr>
        <w:t>”</w:t>
      </w:r>
    </w:p>
    <w:p w:rsidR="0007052A" w:rsidRPr="00C101E9" w:rsidRDefault="0007052A" w:rsidP="0007052A">
      <w:pPr>
        <w:pStyle w:val="ab"/>
        <w:numPr>
          <w:ilvl w:val="4"/>
          <w:numId w:val="4"/>
        </w:numPr>
        <w:rPr>
          <w:rFonts w:eastAsiaTheme="minorEastAsia"/>
          <w:lang w:val="en-US"/>
        </w:rPr>
      </w:pPr>
      <w:r w:rsidRPr="00C101E9">
        <w:rPr>
          <w:rFonts w:eastAsiaTheme="minorEastAsia"/>
          <w:lang w:val="en-US"/>
        </w:rPr>
        <w:t>10</w:t>
      </w:r>
      <w:r w:rsidRPr="00C101E9">
        <w:rPr>
          <w:rFonts w:eastAsiaTheme="minorEastAsia" w:hint="eastAsia"/>
          <w:lang w:val="en-US"/>
        </w:rPr>
        <w:t>月宏观数据显示经济增长动力不足：中采</w:t>
      </w:r>
      <w:r w:rsidRPr="00C101E9">
        <w:rPr>
          <w:rFonts w:eastAsiaTheme="minorEastAsia"/>
          <w:lang w:val="en-US"/>
        </w:rPr>
        <w:t>PMI</w:t>
      </w:r>
      <w:r w:rsidRPr="00C101E9">
        <w:rPr>
          <w:rFonts w:eastAsiaTheme="minorEastAsia" w:hint="eastAsia"/>
          <w:lang w:val="en-US"/>
        </w:rPr>
        <w:t>为</w:t>
      </w:r>
      <w:r w:rsidRPr="00C101E9">
        <w:rPr>
          <w:rFonts w:eastAsiaTheme="minorEastAsia"/>
          <w:lang w:val="en-US"/>
        </w:rPr>
        <w:t>51.4</w:t>
      </w:r>
      <w:r w:rsidRPr="00C101E9">
        <w:rPr>
          <w:rFonts w:eastAsiaTheme="minorEastAsia" w:hint="eastAsia"/>
          <w:lang w:val="en-US"/>
        </w:rPr>
        <w:t>，环比回升</w:t>
      </w:r>
      <w:r w:rsidRPr="00C101E9">
        <w:rPr>
          <w:rFonts w:eastAsiaTheme="minorEastAsia"/>
          <w:lang w:val="en-US"/>
        </w:rPr>
        <w:t>0.3</w:t>
      </w:r>
      <w:r w:rsidR="00357118">
        <w:rPr>
          <w:rFonts w:eastAsiaTheme="minorEastAsia" w:hint="eastAsia"/>
          <w:lang w:val="en-US"/>
        </w:rPr>
        <w:t>个百分点，但</w:t>
      </w:r>
      <w:r w:rsidRPr="00C101E9">
        <w:rPr>
          <w:rFonts w:eastAsiaTheme="minorEastAsia" w:hint="eastAsia"/>
          <w:lang w:val="en-US"/>
        </w:rPr>
        <w:t>从需求面观察，新订单下滑</w:t>
      </w:r>
      <w:r w:rsidRPr="00C101E9">
        <w:rPr>
          <w:rFonts w:eastAsiaTheme="minorEastAsia"/>
          <w:lang w:val="en-US"/>
        </w:rPr>
        <w:t>0.3</w:t>
      </w:r>
      <w:r w:rsidRPr="00C101E9">
        <w:rPr>
          <w:rFonts w:eastAsiaTheme="minorEastAsia" w:hint="eastAsia"/>
          <w:lang w:val="en-US"/>
        </w:rPr>
        <w:t>个百分点，新出口订单下滑</w:t>
      </w:r>
      <w:r w:rsidRPr="00C101E9">
        <w:rPr>
          <w:rFonts w:eastAsiaTheme="minorEastAsia"/>
          <w:lang w:val="en-US"/>
        </w:rPr>
        <w:t>0.3</w:t>
      </w:r>
      <w:r w:rsidRPr="00C101E9">
        <w:rPr>
          <w:rFonts w:eastAsiaTheme="minorEastAsia" w:hint="eastAsia"/>
          <w:lang w:val="en-US"/>
        </w:rPr>
        <w:t>个百分点，</w:t>
      </w:r>
      <w:r w:rsidR="00357118">
        <w:rPr>
          <w:rFonts w:eastAsiaTheme="minorEastAsia" w:hint="eastAsia"/>
          <w:lang w:val="en-US"/>
        </w:rPr>
        <w:t>显示</w:t>
      </w:r>
      <w:r w:rsidRPr="00C101E9">
        <w:rPr>
          <w:rFonts w:eastAsiaTheme="minorEastAsia" w:hint="eastAsia"/>
          <w:lang w:val="en-US"/>
        </w:rPr>
        <w:t>内需和外需增长乏力。工业增加值</w:t>
      </w:r>
      <w:r w:rsidRPr="00C101E9">
        <w:rPr>
          <w:rFonts w:eastAsiaTheme="minorEastAsia"/>
          <w:lang w:val="en-US"/>
        </w:rPr>
        <w:t>10.3%</w:t>
      </w:r>
      <w:r w:rsidRPr="00C101E9">
        <w:rPr>
          <w:rFonts w:eastAsiaTheme="minorEastAsia" w:hint="eastAsia"/>
          <w:lang w:val="en-US"/>
        </w:rPr>
        <w:t>，高位上行</w:t>
      </w:r>
      <w:r w:rsidRPr="00C101E9">
        <w:rPr>
          <w:rFonts w:eastAsiaTheme="minorEastAsia"/>
          <w:lang w:val="en-US"/>
        </w:rPr>
        <w:t>0.1</w:t>
      </w:r>
      <w:r w:rsidR="00357118">
        <w:rPr>
          <w:rFonts w:eastAsiaTheme="minorEastAsia" w:hint="eastAsia"/>
          <w:lang w:val="en-US"/>
        </w:rPr>
        <w:t>，但采矿业和电力、燃气及水的生产和供应业的增速连续三个月下滑；</w:t>
      </w:r>
      <w:r w:rsidRPr="00C101E9">
        <w:rPr>
          <w:rFonts w:eastAsiaTheme="minorEastAsia" w:hint="eastAsia"/>
          <w:lang w:val="en-US"/>
        </w:rPr>
        <w:t>投资增速较前一月下滑</w:t>
      </w:r>
      <w:r w:rsidRPr="00C101E9">
        <w:rPr>
          <w:rFonts w:eastAsiaTheme="minorEastAsia"/>
          <w:lang w:val="en-US"/>
        </w:rPr>
        <w:t>0.4</w:t>
      </w:r>
      <w:r w:rsidRPr="00C101E9">
        <w:rPr>
          <w:rFonts w:eastAsiaTheme="minorEastAsia" w:hint="eastAsia"/>
          <w:lang w:val="en-US"/>
        </w:rPr>
        <w:t>个百分点；实际消费增速为今年最低水平；</w:t>
      </w:r>
      <w:proofErr w:type="gramStart"/>
      <w:r w:rsidRPr="00C101E9">
        <w:rPr>
          <w:rFonts w:eastAsiaTheme="minorEastAsia" w:hint="eastAsia"/>
          <w:lang w:val="en-US"/>
        </w:rPr>
        <w:t>出口季调后</w:t>
      </w:r>
      <w:proofErr w:type="gramEnd"/>
      <w:r w:rsidRPr="00C101E9">
        <w:rPr>
          <w:rFonts w:eastAsiaTheme="minorEastAsia" w:hint="eastAsia"/>
          <w:lang w:val="en-US"/>
        </w:rPr>
        <w:t>同比增速回落</w:t>
      </w:r>
      <w:r w:rsidRPr="00C101E9">
        <w:rPr>
          <w:rFonts w:eastAsiaTheme="minorEastAsia"/>
          <w:lang w:val="en-US"/>
        </w:rPr>
        <w:t>1.8</w:t>
      </w:r>
      <w:r w:rsidRPr="00C101E9">
        <w:rPr>
          <w:rFonts w:eastAsiaTheme="minorEastAsia" w:hint="eastAsia"/>
          <w:lang w:val="en-US"/>
        </w:rPr>
        <w:t>个百分点，呈现逐月下滑之势；</w:t>
      </w:r>
      <w:proofErr w:type="gramStart"/>
      <w:r w:rsidRPr="00C101E9">
        <w:rPr>
          <w:rFonts w:eastAsiaTheme="minorEastAsia" w:hint="eastAsia"/>
          <w:lang w:val="en-US"/>
        </w:rPr>
        <w:t>进口季调后</w:t>
      </w:r>
      <w:proofErr w:type="gramEnd"/>
      <w:r w:rsidRPr="00C101E9">
        <w:rPr>
          <w:rFonts w:eastAsiaTheme="minorEastAsia" w:hint="eastAsia"/>
          <w:lang w:val="en-US"/>
        </w:rPr>
        <w:t>增速下降</w:t>
      </w:r>
      <w:r w:rsidRPr="00C101E9">
        <w:rPr>
          <w:rFonts w:eastAsiaTheme="minorEastAsia"/>
          <w:lang w:val="en-US"/>
        </w:rPr>
        <w:t>5.4</w:t>
      </w:r>
      <w:r w:rsidRPr="00C101E9">
        <w:rPr>
          <w:rFonts w:eastAsiaTheme="minorEastAsia" w:hint="eastAsia"/>
          <w:lang w:val="en-US"/>
        </w:rPr>
        <w:t>个百分点。社会融资规模</w:t>
      </w:r>
      <w:r w:rsidRPr="00C101E9">
        <w:rPr>
          <w:rFonts w:eastAsiaTheme="minorEastAsia"/>
          <w:lang w:val="en-US"/>
        </w:rPr>
        <w:t>8564</w:t>
      </w:r>
      <w:r w:rsidRPr="00C101E9">
        <w:rPr>
          <w:rFonts w:eastAsiaTheme="minorEastAsia" w:hint="eastAsia"/>
          <w:lang w:val="en-US"/>
        </w:rPr>
        <w:t>亿，大幅下滑</w:t>
      </w:r>
      <w:r w:rsidRPr="00C101E9">
        <w:rPr>
          <w:rFonts w:eastAsiaTheme="minorEastAsia"/>
          <w:lang w:val="en-US"/>
        </w:rPr>
        <w:t>5485</w:t>
      </w:r>
      <w:r w:rsidRPr="00C101E9">
        <w:rPr>
          <w:rFonts w:eastAsiaTheme="minorEastAsia" w:hint="eastAsia"/>
          <w:lang w:val="en-US"/>
        </w:rPr>
        <w:t>亿，收缩幅度高于过去数年。新增信贷</w:t>
      </w:r>
      <w:r w:rsidRPr="00C101E9">
        <w:rPr>
          <w:rFonts w:eastAsiaTheme="minorEastAsia" w:hint="eastAsia"/>
          <w:lang w:val="en-US"/>
        </w:rPr>
        <w:t>5061</w:t>
      </w:r>
      <w:r w:rsidRPr="00C101E9">
        <w:rPr>
          <w:rFonts w:eastAsiaTheme="minorEastAsia" w:hint="eastAsia"/>
          <w:lang w:val="en-US"/>
        </w:rPr>
        <w:t>亿，较</w:t>
      </w:r>
      <w:r w:rsidRPr="00C101E9">
        <w:rPr>
          <w:rFonts w:eastAsiaTheme="minorEastAsia" w:hint="eastAsia"/>
          <w:lang w:val="en-US"/>
        </w:rPr>
        <w:t>9</w:t>
      </w:r>
      <w:r w:rsidRPr="00C101E9">
        <w:rPr>
          <w:rFonts w:eastAsiaTheme="minorEastAsia" w:hint="eastAsia"/>
          <w:lang w:val="en-US"/>
        </w:rPr>
        <w:t>月下滑</w:t>
      </w:r>
      <w:r w:rsidRPr="00C101E9">
        <w:rPr>
          <w:rFonts w:eastAsiaTheme="minorEastAsia" w:hint="eastAsia"/>
          <w:lang w:val="en-US"/>
        </w:rPr>
        <w:t>2809</w:t>
      </w:r>
      <w:r w:rsidRPr="00C101E9">
        <w:rPr>
          <w:rFonts w:eastAsiaTheme="minorEastAsia" w:hint="eastAsia"/>
          <w:lang w:val="en-US"/>
        </w:rPr>
        <w:t>亿，主要为企业方面。整体看，中长期信贷下滑对投资需求存在约束效应；由于当前投资连续</w:t>
      </w:r>
      <w:r w:rsidRPr="00C101E9">
        <w:rPr>
          <w:rFonts w:eastAsiaTheme="minorEastAsia" w:hint="eastAsia"/>
          <w:lang w:val="en-US"/>
        </w:rPr>
        <w:t>2</w:t>
      </w:r>
      <w:r w:rsidRPr="00C101E9">
        <w:rPr>
          <w:rFonts w:eastAsiaTheme="minorEastAsia" w:hint="eastAsia"/>
          <w:lang w:val="en-US"/>
        </w:rPr>
        <w:t>月下滑，如果中长期融资不能提速，</w:t>
      </w:r>
      <w:proofErr w:type="gramStart"/>
      <w:r w:rsidRPr="00C101E9">
        <w:rPr>
          <w:rFonts w:eastAsiaTheme="minorEastAsia" w:hint="eastAsia"/>
          <w:lang w:val="en-US"/>
        </w:rPr>
        <w:t>则需求</w:t>
      </w:r>
      <w:proofErr w:type="gramEnd"/>
      <w:r w:rsidRPr="00C101E9">
        <w:rPr>
          <w:rFonts w:eastAsiaTheme="minorEastAsia" w:hint="eastAsia"/>
          <w:lang w:val="en-US"/>
        </w:rPr>
        <w:t>面下滑持续。</w:t>
      </w:r>
    </w:p>
    <w:p w:rsidR="0007052A" w:rsidRPr="00C101E9" w:rsidRDefault="00297C62" w:rsidP="0007052A">
      <w:pPr>
        <w:pStyle w:val="ab"/>
        <w:numPr>
          <w:ilvl w:val="4"/>
          <w:numId w:val="4"/>
        </w:numPr>
        <w:rPr>
          <w:rFonts w:eastAsiaTheme="minorEastAsia"/>
          <w:lang w:val="en-US"/>
        </w:rPr>
      </w:pPr>
      <w:r>
        <w:rPr>
          <w:rFonts w:hint="eastAsia"/>
        </w:rPr>
        <w:t>十八届三中全会</w:t>
      </w:r>
      <w:proofErr w:type="gramStart"/>
      <w:r>
        <w:rPr>
          <w:rFonts w:hint="eastAsia"/>
        </w:rPr>
        <w:t>公报超</w:t>
      </w:r>
      <w:proofErr w:type="gramEnd"/>
      <w:r>
        <w:rPr>
          <w:rFonts w:hint="eastAsia"/>
        </w:rPr>
        <w:t>预期，短期利好市场，主题投资或卷土重来。</w:t>
      </w:r>
      <w:proofErr w:type="gramStart"/>
      <w:r w:rsidR="0007052A">
        <w:rPr>
          <w:rFonts w:eastAsiaTheme="minorEastAsia" w:hint="eastAsia"/>
          <w:lang w:val="en-US"/>
        </w:rPr>
        <w:t>凯石</w:t>
      </w:r>
      <w:r w:rsidR="0089079A">
        <w:rPr>
          <w:rFonts w:eastAsiaTheme="minorEastAsia" w:hint="eastAsia"/>
          <w:lang w:val="en-US"/>
        </w:rPr>
        <w:t>工场</w:t>
      </w:r>
      <w:proofErr w:type="gramEnd"/>
      <w:r w:rsidR="0007052A" w:rsidRPr="00C101E9">
        <w:rPr>
          <w:rFonts w:eastAsiaTheme="minorEastAsia" w:hint="eastAsia"/>
          <w:lang w:val="en-US"/>
        </w:rPr>
        <w:t>认为</w:t>
      </w:r>
      <w:r w:rsidR="0089079A">
        <w:rPr>
          <w:rFonts w:eastAsiaTheme="minorEastAsia" w:hint="eastAsia"/>
          <w:lang w:val="en-US"/>
        </w:rPr>
        <w:t>，</w:t>
      </w:r>
      <w:r>
        <w:rPr>
          <w:rFonts w:hint="eastAsia"/>
        </w:rPr>
        <w:t>公报对市场总体有正面影响，改革有突破、不激进，整体上维护了市场对改革的正面预期。前期改革主题至</w:t>
      </w:r>
      <w:r>
        <w:rPr>
          <w:rFonts w:eastAsiaTheme="minorEastAsia" w:hint="eastAsia"/>
        </w:rPr>
        <w:t>10</w:t>
      </w:r>
      <w:r>
        <w:rPr>
          <w:rFonts w:eastAsiaTheme="minorEastAsia" w:hint="eastAsia"/>
        </w:rPr>
        <w:t>月</w:t>
      </w:r>
      <w:r>
        <w:rPr>
          <w:rFonts w:hint="eastAsia"/>
        </w:rPr>
        <w:t>已有所“退烧”，此次三中全会基本符合预期、某些方面甚至超预期，政策变量正重新回归稳定趋好。</w:t>
      </w:r>
      <w:r w:rsidRPr="00C101E9">
        <w:rPr>
          <w:rFonts w:eastAsiaTheme="minorEastAsia" w:hint="eastAsia"/>
          <w:lang w:val="en-US"/>
        </w:rPr>
        <w:t>改革指向诸多领域</w:t>
      </w:r>
      <w:r>
        <w:rPr>
          <w:rFonts w:hint="eastAsia"/>
        </w:rPr>
        <w:t>：土地改革</w:t>
      </w:r>
      <w:r w:rsidRPr="00C101E9">
        <w:rPr>
          <w:rFonts w:eastAsiaTheme="minorEastAsia" w:hint="eastAsia"/>
          <w:lang w:val="en-US"/>
        </w:rPr>
        <w:t>（农业）</w:t>
      </w:r>
      <w:r>
        <w:rPr>
          <w:rFonts w:hint="eastAsia"/>
        </w:rPr>
        <w:t>、自贸区、资源改革等主题，文化产业、环境、</w:t>
      </w:r>
      <w:r w:rsidRPr="0040413D">
        <w:rPr>
          <w:rFonts w:hint="eastAsia"/>
        </w:rPr>
        <w:t>国防强军</w:t>
      </w:r>
      <w:r>
        <w:rPr>
          <w:rFonts w:hint="eastAsia"/>
        </w:rPr>
        <w:t>、民生相关（教育、医疗）等行业。从长期看，改革将</w:t>
      </w:r>
      <w:r w:rsidRPr="007F6216">
        <w:rPr>
          <w:rFonts w:hint="eastAsia"/>
        </w:rPr>
        <w:t>提升</w:t>
      </w:r>
      <w:r>
        <w:rPr>
          <w:rFonts w:hint="eastAsia"/>
        </w:rPr>
        <w:t>经济的</w:t>
      </w:r>
      <w:r w:rsidRPr="007F6216">
        <w:rPr>
          <w:rFonts w:hint="eastAsia"/>
        </w:rPr>
        <w:t>长期增长潜力</w:t>
      </w:r>
      <w:r>
        <w:rPr>
          <w:rFonts w:hint="eastAsia"/>
        </w:rPr>
        <w:t>，并对相关重点行业有着深远影响。</w:t>
      </w:r>
      <w:r w:rsidR="0007052A" w:rsidRPr="00C101E9">
        <w:rPr>
          <w:rFonts w:eastAsiaTheme="minorEastAsia" w:hint="eastAsia"/>
          <w:lang w:val="en-US"/>
        </w:rPr>
        <w:t>因此，市场短期可能再次进入主题型机会模式。之所以是</w:t>
      </w:r>
      <w:r>
        <w:rPr>
          <w:rFonts w:eastAsiaTheme="minorEastAsia" w:hint="eastAsia"/>
          <w:lang w:val="en-US"/>
        </w:rPr>
        <w:t>“</w:t>
      </w:r>
      <w:r w:rsidR="0007052A" w:rsidRPr="00C101E9">
        <w:rPr>
          <w:rFonts w:eastAsiaTheme="minorEastAsia" w:hint="eastAsia"/>
          <w:lang w:val="en-US"/>
        </w:rPr>
        <w:t>短期</w:t>
      </w:r>
      <w:r>
        <w:rPr>
          <w:rFonts w:eastAsiaTheme="minorEastAsia" w:hint="eastAsia"/>
          <w:lang w:val="en-US"/>
        </w:rPr>
        <w:t>”，理由是</w:t>
      </w:r>
      <w:r w:rsidR="0007052A" w:rsidRPr="00C101E9">
        <w:rPr>
          <w:rFonts w:eastAsiaTheme="minorEastAsia" w:hint="eastAsia"/>
          <w:lang w:val="en-US"/>
        </w:rPr>
        <w:t>三中全会已经落地，已经不是依靠想象进行发挥的阶段；利率过高的大格局并没有改变，只是会存在</w:t>
      </w:r>
      <w:proofErr w:type="gramStart"/>
      <w:r w:rsidR="0007052A" w:rsidRPr="00C101E9">
        <w:rPr>
          <w:rFonts w:eastAsiaTheme="minorEastAsia" w:hint="eastAsia"/>
          <w:lang w:val="en-US"/>
        </w:rPr>
        <w:t>阶段维稳而已</w:t>
      </w:r>
      <w:proofErr w:type="gramEnd"/>
      <w:r w:rsidR="0007052A" w:rsidRPr="00C101E9">
        <w:rPr>
          <w:rFonts w:eastAsiaTheme="minorEastAsia" w:hint="eastAsia"/>
          <w:lang w:val="en-US"/>
        </w:rPr>
        <w:t>。</w:t>
      </w:r>
    </w:p>
    <w:p w:rsidR="0007052A" w:rsidRDefault="0007052A" w:rsidP="0007052A">
      <w:pPr>
        <w:pStyle w:val="ab"/>
        <w:numPr>
          <w:ilvl w:val="4"/>
          <w:numId w:val="4"/>
        </w:numPr>
        <w:rPr>
          <w:rFonts w:eastAsiaTheme="minorEastAsia"/>
          <w:lang w:val="en-US"/>
        </w:rPr>
      </w:pPr>
      <w:r w:rsidRPr="00C101E9">
        <w:rPr>
          <w:rFonts w:eastAsiaTheme="minorEastAsia" w:hint="eastAsia"/>
          <w:lang w:val="en-US"/>
        </w:rPr>
        <w:t>鉴于主题性机会仍将延续，</w:t>
      </w:r>
      <w:proofErr w:type="gramStart"/>
      <w:r w:rsidR="005E37FE">
        <w:rPr>
          <w:rFonts w:eastAsiaTheme="minorEastAsia" w:hint="eastAsia"/>
          <w:lang w:val="en-US"/>
        </w:rPr>
        <w:t>凯石工场</w:t>
      </w:r>
      <w:proofErr w:type="gramEnd"/>
      <w:r w:rsidR="005E37FE">
        <w:rPr>
          <w:rFonts w:eastAsiaTheme="minorEastAsia" w:hint="eastAsia"/>
          <w:lang w:val="en-US"/>
        </w:rPr>
        <w:t>的短期策略延续在四季度对冲基金策略中提出的“精选</w:t>
      </w:r>
      <w:r w:rsidRPr="00C101E9">
        <w:rPr>
          <w:rFonts w:eastAsiaTheme="minorEastAsia" w:hint="eastAsia"/>
          <w:lang w:val="en-US"/>
        </w:rPr>
        <w:t>个股</w:t>
      </w:r>
      <w:r w:rsidR="005E37FE">
        <w:rPr>
          <w:rFonts w:eastAsiaTheme="minorEastAsia" w:hint="eastAsia"/>
          <w:lang w:val="en-US"/>
        </w:rPr>
        <w:t>”</w:t>
      </w:r>
      <w:r w:rsidR="005E37FE">
        <w:rPr>
          <w:rFonts w:eastAsiaTheme="minorEastAsia" w:hint="eastAsia"/>
          <w:lang w:val="en-US"/>
        </w:rPr>
        <w:t>+</w:t>
      </w:r>
      <w:r w:rsidR="005E37FE">
        <w:rPr>
          <w:rFonts w:eastAsiaTheme="minorEastAsia" w:hint="eastAsia"/>
          <w:lang w:val="en-US"/>
        </w:rPr>
        <w:t>“</w:t>
      </w:r>
      <w:r w:rsidRPr="00C101E9">
        <w:rPr>
          <w:rFonts w:eastAsiaTheme="minorEastAsia" w:hint="eastAsia"/>
          <w:lang w:val="en-US"/>
        </w:rPr>
        <w:t>主题投资</w:t>
      </w:r>
      <w:r w:rsidR="005E37FE">
        <w:rPr>
          <w:rFonts w:eastAsiaTheme="minorEastAsia" w:hint="eastAsia"/>
          <w:lang w:val="en-US"/>
        </w:rPr>
        <w:t>”双轮驱动投资。</w:t>
      </w:r>
      <w:r w:rsidRPr="00C101E9">
        <w:rPr>
          <w:rFonts w:eastAsiaTheme="minorEastAsia" w:hint="eastAsia"/>
          <w:lang w:val="en-US"/>
        </w:rPr>
        <w:t>尽管流动性抑制反弹高度，大盘缺乏持续性行情，但是受益于经济转型、行业景气度高、具备核心竞争力的公司仍然具备长期投资价值。同时，受到政策扶持的行业内个股，仍然具备配置价值。</w:t>
      </w:r>
      <w:r w:rsidR="00121969">
        <w:rPr>
          <w:rFonts w:eastAsiaTheme="minorEastAsia" w:hint="eastAsia"/>
          <w:lang w:val="en-US"/>
        </w:rPr>
        <w:t>因此，</w:t>
      </w:r>
      <w:proofErr w:type="gramStart"/>
      <w:r w:rsidR="004C58C5">
        <w:rPr>
          <w:rFonts w:eastAsiaTheme="minorEastAsia" w:hint="eastAsia"/>
          <w:lang w:val="en-US"/>
        </w:rPr>
        <w:t>凯石工场建议</w:t>
      </w:r>
      <w:proofErr w:type="gramEnd"/>
      <w:r w:rsidR="004C58C5">
        <w:rPr>
          <w:rFonts w:eastAsiaTheme="minorEastAsia" w:hint="eastAsia"/>
          <w:lang w:val="en-US"/>
        </w:rPr>
        <w:t>投资者重点关注</w:t>
      </w:r>
      <w:r w:rsidR="00121969">
        <w:rPr>
          <w:rFonts w:eastAsiaTheme="minorEastAsia" w:hint="eastAsia"/>
          <w:lang w:val="en-US"/>
        </w:rPr>
        <w:t>对低估值个股</w:t>
      </w:r>
      <w:r w:rsidR="004C58C5">
        <w:rPr>
          <w:rFonts w:eastAsiaTheme="minorEastAsia" w:hint="eastAsia"/>
          <w:lang w:val="en-US"/>
        </w:rPr>
        <w:t>侧重</w:t>
      </w:r>
      <w:r w:rsidR="00121969">
        <w:rPr>
          <w:rFonts w:eastAsiaTheme="minorEastAsia" w:hint="eastAsia"/>
          <w:lang w:val="en-US"/>
        </w:rPr>
        <w:t>投资的</w:t>
      </w:r>
      <w:r w:rsidRPr="00C101E9">
        <w:rPr>
          <w:rFonts w:eastAsiaTheme="minorEastAsia" w:hint="eastAsia"/>
          <w:lang w:val="en-US"/>
        </w:rPr>
        <w:t>重阳</w:t>
      </w:r>
      <w:r w:rsidR="00121969">
        <w:rPr>
          <w:rFonts w:eastAsiaTheme="minorEastAsia" w:hint="eastAsia"/>
          <w:lang w:val="en-US"/>
        </w:rPr>
        <w:t>，</w:t>
      </w:r>
      <w:r w:rsidR="004C58C5">
        <w:rPr>
          <w:rFonts w:eastAsiaTheme="minorEastAsia" w:hint="eastAsia"/>
          <w:lang w:val="en-US"/>
        </w:rPr>
        <w:t>坚持成长风格、灵活参与</w:t>
      </w:r>
      <w:r w:rsidR="004C58C5" w:rsidRPr="00C101E9">
        <w:rPr>
          <w:rFonts w:eastAsiaTheme="minorEastAsia" w:hint="eastAsia"/>
          <w:lang w:val="en-US"/>
        </w:rPr>
        <w:t>主题投资</w:t>
      </w:r>
      <w:r w:rsidR="004C58C5">
        <w:rPr>
          <w:rFonts w:eastAsiaTheme="minorEastAsia" w:hint="eastAsia"/>
          <w:lang w:val="en-US"/>
        </w:rPr>
        <w:t>的鼎锋，以及</w:t>
      </w:r>
      <w:r w:rsidRPr="00C101E9">
        <w:rPr>
          <w:rFonts w:eastAsiaTheme="minorEastAsia" w:hint="eastAsia"/>
          <w:lang w:val="en-US"/>
        </w:rPr>
        <w:t>偏好未来</w:t>
      </w:r>
      <w:r w:rsidRPr="00C101E9">
        <w:rPr>
          <w:rFonts w:eastAsiaTheme="minorEastAsia"/>
          <w:lang w:val="en-US"/>
        </w:rPr>
        <w:t>3</w:t>
      </w:r>
      <w:r w:rsidRPr="00C101E9">
        <w:rPr>
          <w:rFonts w:eastAsiaTheme="minorEastAsia" w:hint="eastAsia"/>
          <w:lang w:val="en-US"/>
        </w:rPr>
        <w:t>年年均增速</w:t>
      </w:r>
      <w:r w:rsidRPr="00C101E9">
        <w:rPr>
          <w:rFonts w:eastAsiaTheme="minorEastAsia"/>
          <w:lang w:val="en-US"/>
        </w:rPr>
        <w:t>30%</w:t>
      </w:r>
      <w:r w:rsidR="004C58C5">
        <w:rPr>
          <w:rFonts w:eastAsiaTheme="minorEastAsia" w:hint="eastAsia"/>
          <w:lang w:val="en-US"/>
        </w:rPr>
        <w:t>以上</w:t>
      </w:r>
      <w:r w:rsidRPr="00C101E9">
        <w:rPr>
          <w:rFonts w:eastAsiaTheme="minorEastAsia" w:hint="eastAsia"/>
          <w:lang w:val="en-US"/>
        </w:rPr>
        <w:t>高成长公司</w:t>
      </w:r>
      <w:r w:rsidR="004C58C5">
        <w:rPr>
          <w:rFonts w:eastAsiaTheme="minorEastAsia" w:hint="eastAsia"/>
          <w:lang w:val="en-US"/>
        </w:rPr>
        <w:t>的明</w:t>
      </w:r>
      <w:proofErr w:type="gramStart"/>
      <w:r w:rsidR="004C58C5">
        <w:rPr>
          <w:rFonts w:eastAsiaTheme="minorEastAsia" w:hint="eastAsia"/>
          <w:lang w:val="en-US"/>
        </w:rPr>
        <w:t>曜</w:t>
      </w:r>
      <w:proofErr w:type="gramEnd"/>
      <w:r w:rsidR="004C58C5">
        <w:rPr>
          <w:rFonts w:eastAsiaTheme="minorEastAsia" w:hint="eastAsia"/>
          <w:lang w:val="en-US"/>
        </w:rPr>
        <w:t>等。</w:t>
      </w:r>
    </w:p>
    <w:p w:rsidR="004C58C5" w:rsidRPr="004C58C5" w:rsidRDefault="004C58C5" w:rsidP="004C58C5">
      <w:pPr>
        <w:widowControl/>
        <w:spacing w:after="120"/>
        <w:ind w:left="3430"/>
        <w:rPr>
          <w:rFonts w:ascii="Arial" w:hAnsi="Arial"/>
          <w:b/>
          <w:bCs/>
          <w:color w:val="0070C0"/>
          <w:kern w:val="0"/>
          <w:sz w:val="24"/>
          <w:szCs w:val="20"/>
          <w:lang w:val="en-GB"/>
        </w:rPr>
      </w:pPr>
      <w:r>
        <w:rPr>
          <w:rFonts w:ascii="Arial" w:eastAsia="楷体_GB2312" w:hAnsi="Arial" w:hint="eastAsia"/>
          <w:b/>
          <w:bCs/>
          <w:color w:val="0070C0"/>
          <w:kern w:val="0"/>
          <w:sz w:val="24"/>
          <w:szCs w:val="20"/>
          <w:lang w:val="en-GB"/>
        </w:rPr>
        <w:t>五</w:t>
      </w:r>
      <w:r w:rsidRPr="004C58C5">
        <w:rPr>
          <w:rFonts w:ascii="Arial" w:eastAsia="楷体_GB2312" w:hAnsi="Arial" w:hint="eastAsia"/>
          <w:b/>
          <w:bCs/>
          <w:color w:val="0070C0"/>
          <w:kern w:val="0"/>
          <w:sz w:val="24"/>
          <w:szCs w:val="20"/>
          <w:lang w:val="en-GB"/>
        </w:rPr>
        <w:t>、</w:t>
      </w:r>
      <w:proofErr w:type="gramStart"/>
      <w:r>
        <w:rPr>
          <w:rFonts w:ascii="Arial" w:eastAsia="楷体_GB2312" w:hAnsi="Arial" w:hint="eastAsia"/>
          <w:b/>
          <w:bCs/>
          <w:color w:val="0070C0"/>
          <w:kern w:val="0"/>
          <w:sz w:val="24"/>
          <w:szCs w:val="20"/>
          <w:lang w:val="en-GB"/>
        </w:rPr>
        <w:t>凯</w:t>
      </w:r>
      <w:proofErr w:type="gramEnd"/>
      <w:r>
        <w:rPr>
          <w:rFonts w:ascii="Arial" w:eastAsia="楷体_GB2312" w:hAnsi="Arial" w:hint="eastAsia"/>
          <w:b/>
          <w:bCs/>
          <w:color w:val="0070C0"/>
          <w:kern w:val="0"/>
          <w:sz w:val="24"/>
          <w:szCs w:val="20"/>
          <w:lang w:val="en-GB"/>
        </w:rPr>
        <w:t>石明星基金</w:t>
      </w:r>
    </w:p>
    <w:p w:rsidR="004C58C5" w:rsidRPr="004C58C5" w:rsidRDefault="004C58C5" w:rsidP="004C58C5">
      <w:pPr>
        <w:pStyle w:val="ab"/>
        <w:numPr>
          <w:ilvl w:val="4"/>
          <w:numId w:val="4"/>
        </w:numPr>
        <w:rPr>
          <w:rFonts w:eastAsiaTheme="minorEastAsia"/>
          <w:lang w:val="en-US"/>
        </w:rPr>
      </w:pPr>
      <w:r w:rsidRPr="004C58C5">
        <w:rPr>
          <w:rFonts w:eastAsiaTheme="minorEastAsia" w:hint="eastAsia"/>
          <w:lang w:val="en-US"/>
        </w:rPr>
        <w:t>重阳：风格</w:t>
      </w:r>
      <w:proofErr w:type="gramStart"/>
      <w:r w:rsidRPr="004C58C5">
        <w:rPr>
          <w:rFonts w:eastAsiaTheme="minorEastAsia" w:hint="eastAsia"/>
          <w:lang w:val="en-US"/>
        </w:rPr>
        <w:t>偏大盘蓝</w:t>
      </w:r>
      <w:proofErr w:type="gramEnd"/>
      <w:r w:rsidRPr="004C58C5">
        <w:rPr>
          <w:rFonts w:eastAsiaTheme="minorEastAsia" w:hint="eastAsia"/>
          <w:lang w:val="en-US"/>
        </w:rPr>
        <w:t>筹，注重选股、淡化择时，崇尚中长期价值投资，旗下产品持股期限普遍较长，重点关注具有估值优势并且兼具持续成长能力的投资标的，行业配置和个股投资都相对集中，持股数量也比较有限。良好的选</w:t>
      </w:r>
      <w:proofErr w:type="gramStart"/>
      <w:r w:rsidRPr="004C58C5">
        <w:rPr>
          <w:rFonts w:eastAsiaTheme="minorEastAsia" w:hint="eastAsia"/>
          <w:lang w:val="en-US"/>
        </w:rPr>
        <w:t>股能力</w:t>
      </w:r>
      <w:proofErr w:type="gramEnd"/>
      <w:r w:rsidRPr="004C58C5">
        <w:rPr>
          <w:rFonts w:eastAsiaTheme="minorEastAsia" w:hint="eastAsia"/>
          <w:lang w:val="en-US"/>
        </w:rPr>
        <w:t>使其集中投资的效果较佳，中长期收益稳定持续。投</w:t>
      </w:r>
      <w:proofErr w:type="gramStart"/>
      <w:r w:rsidRPr="004C58C5">
        <w:rPr>
          <w:rFonts w:eastAsiaTheme="minorEastAsia" w:hint="eastAsia"/>
          <w:lang w:val="en-US"/>
        </w:rPr>
        <w:t>研</w:t>
      </w:r>
      <w:proofErr w:type="gramEnd"/>
      <w:r w:rsidRPr="004C58C5">
        <w:rPr>
          <w:rFonts w:eastAsiaTheme="minorEastAsia" w:hint="eastAsia"/>
          <w:lang w:val="en-US"/>
        </w:rPr>
        <w:t>团队核心成员均拥有丰富的投资研究经验并且相对稳定。</w:t>
      </w:r>
    </w:p>
    <w:p w:rsidR="004C58C5" w:rsidRDefault="004C58C5" w:rsidP="004C58C5">
      <w:pPr>
        <w:pStyle w:val="ab"/>
        <w:numPr>
          <w:ilvl w:val="4"/>
          <w:numId w:val="4"/>
        </w:numPr>
        <w:rPr>
          <w:rFonts w:eastAsiaTheme="minorEastAsia"/>
          <w:lang w:val="en-US"/>
        </w:rPr>
      </w:pPr>
      <w:r w:rsidRPr="004C58C5">
        <w:rPr>
          <w:rFonts w:eastAsiaTheme="minorEastAsia" w:hint="eastAsia"/>
          <w:lang w:val="en-US"/>
        </w:rPr>
        <w:t>涌峰：重视对于企业价值的发现能力和规避市场风险的能力。崇尚价值投资，关注个股错误定价所带来的投资机会，在选股时首先看中公司质量，而非一味的追求高增长的</w:t>
      </w:r>
      <w:r w:rsidRPr="004C58C5">
        <w:rPr>
          <w:rFonts w:eastAsiaTheme="minorEastAsia"/>
          <w:lang w:val="en-US"/>
        </w:rPr>
        <w:t>“</w:t>
      </w:r>
      <w:r w:rsidRPr="004C58C5">
        <w:rPr>
          <w:rFonts w:eastAsiaTheme="minorEastAsia" w:hint="eastAsia"/>
          <w:lang w:val="en-US"/>
        </w:rPr>
        <w:t>故事</w:t>
      </w:r>
      <w:r w:rsidRPr="004C58C5">
        <w:rPr>
          <w:rFonts w:eastAsiaTheme="minorEastAsia"/>
          <w:lang w:val="en-US"/>
        </w:rPr>
        <w:t>”</w:t>
      </w:r>
      <w:r w:rsidRPr="004C58C5">
        <w:rPr>
          <w:rFonts w:eastAsiaTheme="minorEastAsia" w:hint="eastAsia"/>
          <w:lang w:val="en-US"/>
        </w:rPr>
        <w:t>。旗下产品中国龙系列长期表现出良好的持续性和稳定性。</w:t>
      </w:r>
    </w:p>
    <w:p w:rsidR="002D0DA8" w:rsidRPr="004C58C5" w:rsidRDefault="002D0DA8" w:rsidP="004C58C5">
      <w:pPr>
        <w:pStyle w:val="ab"/>
        <w:numPr>
          <w:ilvl w:val="4"/>
          <w:numId w:val="4"/>
        </w:numPr>
        <w:rPr>
          <w:rFonts w:eastAsiaTheme="minorEastAsia"/>
          <w:lang w:val="en-US"/>
        </w:rPr>
      </w:pPr>
      <w:r>
        <w:rPr>
          <w:rFonts w:cs="Arial" w:hint="eastAsia"/>
          <w:szCs w:val="21"/>
        </w:rPr>
        <w:lastRenderedPageBreak/>
        <w:t>鼎锋：核心成员具有投资银行和产业投资背景。主张自主研究与卖方研究相结合，注重与上市公司或是同业基金的</w:t>
      </w:r>
      <w:r w:rsidRPr="003341B2">
        <w:rPr>
          <w:rFonts w:cs="Arial" w:hint="eastAsia"/>
          <w:szCs w:val="21"/>
        </w:rPr>
        <w:t>沟通交流。所管理的产品投资标的主要来自于核心股票池，仅根据具体投资经理的风格差异而略有不同。</w:t>
      </w:r>
      <w:r>
        <w:rPr>
          <w:rFonts w:cs="Arial" w:hint="eastAsia"/>
          <w:szCs w:val="21"/>
        </w:rPr>
        <w:t>适当参与主题投资机会，能够应对市场变化进行策略的灵活调整。</w:t>
      </w:r>
      <w:r w:rsidRPr="003341B2">
        <w:rPr>
          <w:rFonts w:cs="Arial" w:hint="eastAsia"/>
          <w:szCs w:val="21"/>
        </w:rPr>
        <w:t>良好的选</w:t>
      </w:r>
      <w:proofErr w:type="gramStart"/>
      <w:r w:rsidRPr="003341B2">
        <w:rPr>
          <w:rFonts w:cs="Arial" w:hint="eastAsia"/>
          <w:szCs w:val="21"/>
        </w:rPr>
        <w:t>股能力</w:t>
      </w:r>
      <w:proofErr w:type="gramEnd"/>
      <w:r w:rsidRPr="003341B2">
        <w:rPr>
          <w:rFonts w:cs="Arial" w:hint="eastAsia"/>
          <w:szCs w:val="21"/>
        </w:rPr>
        <w:t>和择时能力成就了其灵活</w:t>
      </w:r>
      <w:r>
        <w:rPr>
          <w:rFonts w:cs="Arial" w:hint="eastAsia"/>
          <w:szCs w:val="21"/>
        </w:rPr>
        <w:t>的投资</w:t>
      </w:r>
      <w:r w:rsidRPr="003341B2">
        <w:rPr>
          <w:rFonts w:cs="Arial" w:hint="eastAsia"/>
          <w:szCs w:val="21"/>
        </w:rPr>
        <w:t>风格。</w:t>
      </w:r>
    </w:p>
    <w:p w:rsidR="00B10000" w:rsidRPr="0007052A" w:rsidRDefault="007C62C3">
      <w:pPr>
        <w:widowControl/>
        <w:jc w:val="left"/>
        <w:rPr>
          <w:rFonts w:ascii="Arial" w:hAnsi="Arial" w:cs="Times New Roman"/>
          <w:b/>
          <w:kern w:val="0"/>
          <w:szCs w:val="20"/>
          <w:lang w:val="en-GB"/>
        </w:rPr>
      </w:pPr>
      <w:r>
        <w:rPr>
          <w:b/>
          <w:bCs/>
          <w:color w:val="0070C0"/>
          <w:sz w:val="24"/>
        </w:rPr>
        <w:br w:type="page"/>
      </w:r>
    </w:p>
    <w:p w:rsidR="00B10000" w:rsidRPr="00DB3C58" w:rsidRDefault="00B10000" w:rsidP="00B10000">
      <w:pPr>
        <w:pStyle w:val="aa"/>
        <w:spacing w:after="312"/>
        <w:rPr>
          <w:rFonts w:ascii="宋体" w:eastAsia="宋体" w:hAnsi="宋体"/>
          <w:b/>
          <w:sz w:val="21"/>
          <w:szCs w:val="21"/>
        </w:rPr>
      </w:pPr>
      <w:r w:rsidRPr="00DB3C58">
        <w:rPr>
          <w:rFonts w:ascii="Arial" w:eastAsia="楷体_GB2312" w:hAnsi="Arial" w:hint="eastAsia"/>
          <w:b/>
          <w:kern w:val="0"/>
          <w:sz w:val="21"/>
          <w:szCs w:val="20"/>
          <w:lang w:val="en-GB"/>
        </w:rPr>
        <w:lastRenderedPageBreak/>
        <w:t>特别声明：</w:t>
      </w:r>
    </w:p>
    <w:p w:rsidR="00B10000" w:rsidRPr="00DB3C58" w:rsidRDefault="00B10000" w:rsidP="00FE5C5F">
      <w:pPr>
        <w:pStyle w:val="aa"/>
        <w:spacing w:beforeLines="50" w:after="312"/>
        <w:rPr>
          <w:rFonts w:ascii="Arial" w:eastAsia="楷体_GB2312" w:hAnsi="Arial"/>
          <w:kern w:val="0"/>
          <w:sz w:val="21"/>
          <w:szCs w:val="20"/>
          <w:lang w:val="en-GB"/>
        </w:rPr>
      </w:pPr>
      <w:r w:rsidRPr="00DB3C58">
        <w:rPr>
          <w:rFonts w:ascii="Arial" w:eastAsia="楷体_GB2312" w:hAnsi="Arial" w:hint="eastAsia"/>
          <w:kern w:val="0"/>
          <w:sz w:val="21"/>
          <w:szCs w:val="20"/>
          <w:lang w:val="en-GB"/>
        </w:rPr>
        <w:t>本报告中的所有内容版权均属上海凯石财富投资管理有限公司（以下简称“本公司”），未经本公司事先书面授权，不得以任何方式修改、发送或者复制本报告及其所包含的材料、内容。所有本报告中使用的商标、服务标记及标记均为本公司的商标、服务标记及标记。如欲引用或转载本文内容，务必联络本公司研究中心并获得许可，并需注明出处为上海凯石财富投资有限公司研究中心，且不得对本文进行任何有悖原意的引用和删改。</w:t>
      </w:r>
    </w:p>
    <w:p w:rsidR="00B10000" w:rsidRPr="00DB3C58" w:rsidRDefault="00B10000" w:rsidP="00FE5C5F">
      <w:pPr>
        <w:pStyle w:val="aa"/>
        <w:spacing w:beforeLines="50" w:after="312"/>
        <w:rPr>
          <w:rFonts w:ascii="Arial" w:eastAsia="楷体_GB2312" w:hAnsi="Arial"/>
          <w:kern w:val="0"/>
          <w:sz w:val="21"/>
          <w:szCs w:val="20"/>
          <w:lang w:val="en-GB"/>
        </w:rPr>
      </w:pPr>
      <w:r w:rsidRPr="00DB3C58">
        <w:rPr>
          <w:rFonts w:ascii="Arial" w:eastAsia="楷体_GB2312" w:hAnsi="Arial" w:hint="eastAsia"/>
          <w:kern w:val="0"/>
          <w:sz w:val="21"/>
          <w:szCs w:val="20"/>
          <w:lang w:val="en-GB"/>
        </w:rPr>
        <w:t>本报告是基于已公开信息撰写，其所载资料的来源及观点的出处均被本公司认为可靠，但本公司不保证其准确性或完整性。本报告所载的资料、意见及推测反映本公司于最初发布此报告日期当日的判断，其所指的基金或者其他理财产品的价格、价值及投资收入可能会波动，在不同时期，本公司可发出与本报告所载资料、意见及推测不一致的报告。</w:t>
      </w:r>
    </w:p>
    <w:p w:rsidR="00B10000" w:rsidRPr="00DB3C58" w:rsidRDefault="00B10000" w:rsidP="00FE5C5F">
      <w:pPr>
        <w:pStyle w:val="aa"/>
        <w:spacing w:beforeLines="50" w:after="312"/>
        <w:rPr>
          <w:rFonts w:ascii="Arial" w:eastAsia="楷体_GB2312" w:hAnsi="Arial"/>
          <w:kern w:val="0"/>
          <w:sz w:val="21"/>
          <w:szCs w:val="20"/>
          <w:lang w:val="en-GB"/>
        </w:rPr>
      </w:pPr>
      <w:r w:rsidRPr="00DB3C58">
        <w:rPr>
          <w:rFonts w:ascii="Arial" w:eastAsia="楷体_GB2312" w:hAnsi="Arial" w:hint="eastAsia"/>
          <w:kern w:val="0"/>
          <w:sz w:val="21"/>
          <w:szCs w:val="20"/>
          <w:lang w:val="en-GB"/>
        </w:rPr>
        <w:t>本报告所载的除法律或规则规定必须承担的责任外，本公司不对因使用此报告的材料而引致的损失负任何责任。本报告不构成私人咨询建议，也没有考虑到个别客户特殊的投资目标、财务状况或需要。本报告所载的资料、工具、意见及推测只提供给客户做参考之用，并未作为或被是为出售或购买其他投资标的邀请或向他人做出邀请。</w:t>
      </w:r>
    </w:p>
    <w:p w:rsidR="00B10000" w:rsidRPr="00B10000" w:rsidRDefault="00B10000">
      <w:pPr>
        <w:rPr>
          <w:lang w:val="en-GB"/>
        </w:rPr>
      </w:pPr>
    </w:p>
    <w:sectPr w:rsidR="00B10000" w:rsidRPr="00B10000" w:rsidSect="00656031">
      <w:headerReference w:type="default" r:id="rId12"/>
      <w:footerReference w:type="default" r:id="rId13"/>
      <w:headerReference w:type="first" r:id="rId14"/>
      <w:footerReference w:type="first" r:id="rId15"/>
      <w:pgSz w:w="11906" w:h="16838"/>
      <w:pgMar w:top="1440" w:right="624" w:bottom="1440" w:left="624" w:header="850" w:footer="283"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7CA1" w:rsidRDefault="00FC7CA1" w:rsidP="00B10000">
      <w:r>
        <w:separator/>
      </w:r>
    </w:p>
  </w:endnote>
  <w:endnote w:type="continuationSeparator" w:id="0">
    <w:p w:rsidR="00FC7CA1" w:rsidRDefault="00FC7CA1" w:rsidP="00B1000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楷体_GB2312">
    <w:altName w:val="Times New Roman"/>
    <w:charset w:val="00"/>
    <w:family w:val="auto"/>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华文新魏">
    <w:panose1 w:val="02010800040101010101"/>
    <w:charset w:val="86"/>
    <w:family w:val="auto"/>
    <w:pitch w:val="variable"/>
    <w:sig w:usb0="00000001" w:usb1="080F0000" w:usb2="00000010" w:usb3="00000000" w:csb0="00040000" w:csb1="00000000"/>
  </w:font>
  <w:font w:name="华文隶书">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AFF" w:usb1="C0007843" w:usb2="00000009" w:usb3="00000000" w:csb0="000001FF" w:csb1="00000000"/>
  </w:font>
  <w:font w:name="LucidaSans">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000" w:rsidRDefault="00340056">
    <w:pPr>
      <w:pStyle w:val="a4"/>
      <w:jc w:val="center"/>
    </w:pPr>
    <w:r>
      <w:pict>
        <v:rect id="_x0000_i1027" style="width:571.2pt;height:2pt" o:hralign="center" o:hrstd="t" o:hrnoshade="t" o:hr="t" fillcolor="#e7a631" stroked="f"/>
      </w:pict>
    </w:r>
    <w:sdt>
      <w:sdtPr>
        <w:id w:val="31118581"/>
        <w:docPartObj>
          <w:docPartGallery w:val="Page Numbers (Bottom of Page)"/>
          <w:docPartUnique/>
        </w:docPartObj>
      </w:sdtPr>
      <w:sdtContent>
        <w:sdt>
          <w:sdtPr>
            <w:id w:val="31118580"/>
            <w:docPartObj>
              <w:docPartGallery w:val="Page Numbers (Top of Page)"/>
              <w:docPartUnique/>
            </w:docPartObj>
          </w:sdtPr>
          <w:sdtContent>
            <w:r w:rsidR="00B10000">
              <w:rPr>
                <w:lang w:val="zh-CN"/>
              </w:rPr>
              <w:t xml:space="preserve"> </w:t>
            </w:r>
            <w:r>
              <w:rPr>
                <w:b/>
                <w:sz w:val="24"/>
                <w:szCs w:val="24"/>
              </w:rPr>
              <w:fldChar w:fldCharType="begin"/>
            </w:r>
            <w:r w:rsidR="00B10000">
              <w:rPr>
                <w:b/>
              </w:rPr>
              <w:instrText>PAGE</w:instrText>
            </w:r>
            <w:r>
              <w:rPr>
                <w:b/>
                <w:sz w:val="24"/>
                <w:szCs w:val="24"/>
              </w:rPr>
              <w:fldChar w:fldCharType="separate"/>
            </w:r>
            <w:r w:rsidR="00FE5C5F">
              <w:rPr>
                <w:b/>
                <w:noProof/>
              </w:rPr>
              <w:t>4</w:t>
            </w:r>
            <w:r>
              <w:rPr>
                <w:b/>
                <w:sz w:val="24"/>
                <w:szCs w:val="24"/>
              </w:rPr>
              <w:fldChar w:fldCharType="end"/>
            </w:r>
            <w:r w:rsidR="00B10000">
              <w:rPr>
                <w:lang w:val="zh-CN"/>
              </w:rPr>
              <w:t xml:space="preserve"> </w:t>
            </w:r>
            <w:r w:rsidR="00B10000">
              <w:rPr>
                <w:lang w:val="zh-CN"/>
              </w:rPr>
              <w:t xml:space="preserve">/ </w:t>
            </w:r>
            <w:r>
              <w:rPr>
                <w:b/>
                <w:sz w:val="24"/>
                <w:szCs w:val="24"/>
              </w:rPr>
              <w:fldChar w:fldCharType="begin"/>
            </w:r>
            <w:r w:rsidR="00B10000">
              <w:rPr>
                <w:b/>
              </w:rPr>
              <w:instrText>NUMPAGES</w:instrText>
            </w:r>
            <w:r>
              <w:rPr>
                <w:b/>
                <w:sz w:val="24"/>
                <w:szCs w:val="24"/>
              </w:rPr>
              <w:fldChar w:fldCharType="separate"/>
            </w:r>
            <w:r w:rsidR="00FE5C5F">
              <w:rPr>
                <w:b/>
                <w:noProof/>
              </w:rPr>
              <w:t>7</w:t>
            </w:r>
            <w:r>
              <w:rPr>
                <w:b/>
                <w:sz w:val="24"/>
                <w:szCs w:val="24"/>
              </w:rPr>
              <w:fldChar w:fldCharType="end"/>
            </w:r>
          </w:sdtContent>
        </w:sdt>
      </w:sdtContent>
    </w:sdt>
  </w:p>
  <w:p w:rsidR="00B10000" w:rsidRDefault="00B1000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18579"/>
      <w:docPartObj>
        <w:docPartGallery w:val="Page Numbers (Bottom of Page)"/>
        <w:docPartUnique/>
      </w:docPartObj>
    </w:sdtPr>
    <w:sdtContent>
      <w:sdt>
        <w:sdtPr>
          <w:id w:val="171357217"/>
          <w:docPartObj>
            <w:docPartGallery w:val="Page Numbers (Top of Page)"/>
            <w:docPartUnique/>
          </w:docPartObj>
        </w:sdtPr>
        <w:sdtContent>
          <w:p w:rsidR="00B10000" w:rsidRDefault="00340056">
            <w:pPr>
              <w:pStyle w:val="a4"/>
              <w:jc w:val="center"/>
            </w:pPr>
            <w:r>
              <w:pict>
                <v:rect id="_x0000_i1029" style="width:571.2pt;height:2pt" o:hralign="center" o:hrstd="t" o:hrnoshade="t" o:hr="t" fillcolor="#e7a631" stroked="f"/>
              </w:pict>
            </w:r>
            <w:r w:rsidR="00B10000">
              <w:rPr>
                <w:lang w:val="zh-CN"/>
              </w:rPr>
              <w:t xml:space="preserve"> </w:t>
            </w:r>
            <w:r>
              <w:rPr>
                <w:b/>
                <w:sz w:val="24"/>
                <w:szCs w:val="24"/>
              </w:rPr>
              <w:fldChar w:fldCharType="begin"/>
            </w:r>
            <w:r w:rsidR="00B10000">
              <w:rPr>
                <w:b/>
              </w:rPr>
              <w:instrText>PAGE</w:instrText>
            </w:r>
            <w:r>
              <w:rPr>
                <w:b/>
                <w:sz w:val="24"/>
                <w:szCs w:val="24"/>
              </w:rPr>
              <w:fldChar w:fldCharType="separate"/>
            </w:r>
            <w:r w:rsidR="00FE5C5F">
              <w:rPr>
                <w:b/>
                <w:noProof/>
              </w:rPr>
              <w:t>1</w:t>
            </w:r>
            <w:r>
              <w:rPr>
                <w:b/>
                <w:sz w:val="24"/>
                <w:szCs w:val="24"/>
              </w:rPr>
              <w:fldChar w:fldCharType="end"/>
            </w:r>
            <w:r w:rsidR="00B10000">
              <w:rPr>
                <w:lang w:val="zh-CN"/>
              </w:rPr>
              <w:t xml:space="preserve"> / </w:t>
            </w:r>
            <w:r>
              <w:rPr>
                <w:b/>
                <w:sz w:val="24"/>
                <w:szCs w:val="24"/>
              </w:rPr>
              <w:fldChar w:fldCharType="begin"/>
            </w:r>
            <w:r w:rsidR="00B10000">
              <w:rPr>
                <w:b/>
              </w:rPr>
              <w:instrText>NUMPAGES</w:instrText>
            </w:r>
            <w:r>
              <w:rPr>
                <w:b/>
                <w:sz w:val="24"/>
                <w:szCs w:val="24"/>
              </w:rPr>
              <w:fldChar w:fldCharType="separate"/>
            </w:r>
            <w:r w:rsidR="00FE5C5F">
              <w:rPr>
                <w:b/>
                <w:noProof/>
              </w:rPr>
              <w:t>4</w:t>
            </w:r>
            <w:r>
              <w:rPr>
                <w:b/>
                <w:sz w:val="24"/>
                <w:szCs w:val="24"/>
              </w:rPr>
              <w:fldChar w:fldCharType="end"/>
            </w:r>
          </w:p>
        </w:sdtContent>
      </w:sdt>
    </w:sdtContent>
  </w:sdt>
  <w:p w:rsidR="00B10000" w:rsidRDefault="00B1000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7CA1" w:rsidRDefault="00FC7CA1" w:rsidP="00B10000">
      <w:r>
        <w:separator/>
      </w:r>
    </w:p>
  </w:footnote>
  <w:footnote w:type="continuationSeparator" w:id="0">
    <w:p w:rsidR="00FC7CA1" w:rsidRDefault="00FC7CA1" w:rsidP="00B100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000" w:rsidRDefault="00340056" w:rsidP="00B10000">
    <w:pPr>
      <w:pStyle w:val="a3"/>
      <w:pBdr>
        <w:bottom w:val="none" w:sz="0" w:space="0" w:color="auto"/>
      </w:pBdr>
    </w:pPr>
    <w:r>
      <w:rPr>
        <w:noProof/>
      </w:rPr>
      <w:pict>
        <v:group id="_x0000_s1034" style="position:absolute;left:0;text-align:left;margin-left:5.2pt;margin-top:-32.25pt;width:531.2pt;height:37.5pt;z-index:251658240" coordorigin="728,206" coordsize="10624,750">
          <v:shapetype id="_x0000_t202" coordsize="21600,21600" o:spt="202" path="m,l,21600r21600,l21600,xe">
            <v:stroke joinstyle="miter"/>
            <v:path gradientshapeok="t" o:connecttype="rect"/>
          </v:shapetype>
          <v:shape id="_x0000_s1035" type="#_x0000_t202" style="position:absolute;left:728;top:206;width:1336;height:724;mso-width-relative:margin;mso-height-relative:margin" strokecolor="white">
            <v:textbox style="mso-next-textbox:#_x0000_s1035">
              <w:txbxContent>
                <w:p w:rsidR="00B10000" w:rsidRDefault="00340056" w:rsidP="00B10000">
                  <w:pPr>
                    <w:pStyle w:val="12"/>
                  </w:pPr>
                  <w:r w:rsidRPr="0034005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凯石工2.jpg" style="width:45.75pt;height:32.25pt;visibility:visible">
                        <v:imagedata r:id="rId1" o:title="凯石工2"/>
                      </v:shape>
                    </w:pict>
                  </w:r>
                </w:p>
              </w:txbxContent>
            </v:textbox>
          </v:shape>
          <v:shape id="_x0000_s1036" type="#_x0000_t202" style="position:absolute;left:5999;top:542;width:5353;height:414;mso-width-relative:margin;mso-height-relative:margin" strokecolor="white">
            <v:textbox style="mso-next-textbox:#_x0000_s1036">
              <w:txbxContent>
                <w:p w:rsidR="00B10000" w:rsidRPr="006E0F3C" w:rsidRDefault="00B10000" w:rsidP="00B10000">
                  <w:pPr>
                    <w:pStyle w:val="2"/>
                  </w:pPr>
                  <w:r w:rsidRPr="006E0F3C">
                    <w:rPr>
                      <w:rFonts w:hint="eastAsia"/>
                    </w:rPr>
                    <w:t>2013</w:t>
                  </w:r>
                  <w:r w:rsidRPr="006E0F3C">
                    <w:rPr>
                      <w:rFonts w:hint="eastAsia"/>
                    </w:rPr>
                    <w:t>年</w:t>
                  </w:r>
                  <w:r w:rsidR="00B30055">
                    <w:rPr>
                      <w:rFonts w:hint="eastAsia"/>
                    </w:rPr>
                    <w:t>11月对冲基金行业报告</w:t>
                  </w:r>
                </w:p>
              </w:txbxContent>
            </v:textbox>
          </v:shape>
        </v:group>
      </w:pict>
    </w:r>
    <w:r>
      <w:pict>
        <v:rect id="_x0000_i1026" style="width:571.2pt;height:2pt" o:hralign="center" o:hrstd="t" o:hrnoshade="t" o:hr="t" fillcolor="#e7a631"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000" w:rsidRDefault="00340056" w:rsidP="00FE5C5F">
    <w:pPr>
      <w:pStyle w:val="a3"/>
      <w:pBdr>
        <w:bottom w:val="none" w:sz="0" w:space="0" w:color="auto"/>
      </w:pBdr>
      <w:spacing w:afterLines="100"/>
    </w:pPr>
    <w:r>
      <w:pict>
        <v:group id="_x0000_s1025" style="width:532.6pt;height:143.7pt;mso-position-horizontal-relative:char;mso-position-vertical-relative:line" coordorigin="652,331" coordsize="10652,2874">
          <v:shapetype id="_x0000_t202" coordsize="21600,21600" o:spt="202" path="m,l,21600r21600,l21600,xe">
            <v:stroke joinstyle="miter"/>
            <v:path gradientshapeok="t" o:connecttype="rect"/>
          </v:shapetype>
          <v:shape id="_x0000_s1026" type="#_x0000_t202" style="position:absolute;left:652;top:331;width:3664;height:2430;mso-width-relative:margin;mso-height-relative:margin" strokecolor="white">
            <v:textbox style="mso-next-textbox:#_x0000_s1026">
              <w:txbxContent>
                <w:p w:rsidR="00B10000" w:rsidRDefault="00340056" w:rsidP="00B10000">
                  <w:pPr>
                    <w:pStyle w:val="a6"/>
                  </w:pPr>
                  <w:r w:rsidRPr="0034005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i1031" type="#_x0000_t75" alt="凯石工2.jpg" style="width:125.25pt;height:117.75pt;visibility:visible">
                        <v:imagedata r:id="rId1" o:title="凯石工2"/>
                      </v:shape>
                    </w:pict>
                  </w:r>
                </w:p>
              </w:txbxContent>
            </v:textbox>
          </v:shape>
          <v:shape id="_x0000_s1027" type="#_x0000_t202" style="position:absolute;left:881;top:2578;width:2325;height:390" strokecolor="white">
            <v:textbox style="mso-next-textbox:#_x0000_s1027">
              <w:txbxContent>
                <w:p w:rsidR="00B10000" w:rsidRPr="006E0F3C" w:rsidRDefault="00B10000" w:rsidP="008840A4">
                  <w:pPr>
                    <w:pStyle w:val="a5"/>
                    <w:spacing w:after="240"/>
                  </w:pPr>
                  <w:proofErr w:type="gramStart"/>
                  <w:r w:rsidRPr="006E0F3C">
                    <w:rPr>
                      <w:rFonts w:hint="eastAsia"/>
                    </w:rPr>
                    <w:t>凯石工场研究</w:t>
                  </w:r>
                  <w:proofErr w:type="gramEnd"/>
                  <w:r w:rsidRPr="006E0F3C">
                    <w:rPr>
                      <w:rFonts w:hint="eastAsia"/>
                    </w:rPr>
                    <w:t>报告</w:t>
                  </w:r>
                </w:p>
              </w:txbxContent>
            </v:textbox>
          </v:shape>
          <v:shape id="_x0000_s1028" type="#_x0000_t202" style="position:absolute;left:8740;top:609;width:2441;height:475;mso-height-percent:200;mso-height-percent:200;mso-width-relative:margin;mso-height-relative:margin" strokecolor="white">
            <v:textbox style="mso-next-textbox:#_x0000_s1028;mso-fit-shape-to-text:t">
              <w:txbxContent>
                <w:p w:rsidR="00B10000" w:rsidRPr="006E0F3C" w:rsidRDefault="00B10000" w:rsidP="00B10000">
                  <w:pPr>
                    <w:pStyle w:val="a7"/>
                    <w:jc w:val="right"/>
                  </w:pPr>
                  <w:r w:rsidRPr="006E0F3C">
                    <w:rPr>
                      <w:rFonts w:hint="eastAsia"/>
                    </w:rPr>
                    <w:t>2013</w:t>
                  </w:r>
                  <w:r w:rsidRPr="006E0F3C">
                    <w:rPr>
                      <w:rFonts w:hint="eastAsia"/>
                    </w:rPr>
                    <w:t>年11月</w:t>
                  </w:r>
                  <w:r w:rsidR="00797C76">
                    <w:rPr>
                      <w:rFonts w:hint="eastAsia"/>
                    </w:rPr>
                    <w:t>15</w:t>
                  </w:r>
                  <w:r w:rsidRPr="006E0F3C">
                    <w:rPr>
                      <w:rFonts w:hint="eastAsia"/>
                    </w:rPr>
                    <w:t>日</w:t>
                  </w:r>
                </w:p>
              </w:txbxContent>
            </v:textbox>
          </v:shape>
          <v:shape id="_x0000_s1029" type="#_x0000_t202" style="position:absolute;left:3214;top:1377;width:8090;height:1106;mso-height-percent:200;mso-height-percent:200;mso-width-relative:margin;mso-height-relative:margin" strokecolor="white">
            <v:textbox style="mso-next-textbox:#_x0000_s1029;mso-fit-shape-to-text:t">
              <w:txbxContent>
                <w:p w:rsidR="00B10000" w:rsidRDefault="00757751" w:rsidP="00B10000">
                  <w:pPr>
                    <w:pStyle w:val="a8"/>
                    <w:jc w:val="right"/>
                  </w:pPr>
                  <w:r>
                    <w:rPr>
                      <w:rFonts w:hint="eastAsia"/>
                    </w:rPr>
                    <w:t>大跌</w:t>
                  </w:r>
                  <w:r w:rsidR="00B63E8B">
                    <w:rPr>
                      <w:rFonts w:hint="eastAsia"/>
                    </w:rPr>
                    <w:t>中</w:t>
                  </w:r>
                  <w:r>
                    <w:rPr>
                      <w:rFonts w:hint="eastAsia"/>
                    </w:rPr>
                    <w:t>逃过一劫，全会后把握短期机会</w:t>
                  </w:r>
                </w:p>
                <w:p w:rsidR="00B10000" w:rsidRPr="00624366" w:rsidRDefault="00B30055" w:rsidP="00B10000">
                  <w:pPr>
                    <w:pStyle w:val="a8"/>
                    <w:jc w:val="right"/>
                    <w:rPr>
                      <w:sz w:val="28"/>
                      <w:szCs w:val="28"/>
                    </w:rPr>
                  </w:pPr>
                  <w:r w:rsidRPr="006E0F3C">
                    <w:rPr>
                      <w:rFonts w:hint="eastAsia"/>
                    </w:rPr>
                    <w:t>2013</w:t>
                  </w:r>
                  <w:r w:rsidRPr="006E0F3C">
                    <w:rPr>
                      <w:rFonts w:hint="eastAsia"/>
                    </w:rPr>
                    <w:t>年</w:t>
                  </w:r>
                  <w:r>
                    <w:rPr>
                      <w:rFonts w:hint="eastAsia"/>
                    </w:rPr>
                    <w:t>11月对冲基金行业报告</w:t>
                  </w:r>
                </w:p>
              </w:txbxContent>
            </v:textbox>
          </v:shape>
          <v:shape id="_x0000_s1030" type="#_x0000_t202" style="position:absolute;left:3246;top:2578;width:7993;height:627" strokecolor="white">
            <v:textbox style="mso-next-textbox:#_x0000_s1030">
              <w:txbxContent>
                <w:p w:rsidR="00B10000" w:rsidRPr="006E0F3C" w:rsidRDefault="00B30055" w:rsidP="00B10000">
                  <w:pPr>
                    <w:pStyle w:val="a9"/>
                  </w:pPr>
                  <w:proofErr w:type="gramStart"/>
                  <w:r>
                    <w:rPr>
                      <w:rFonts w:hint="eastAsia"/>
                    </w:rPr>
                    <w:t>杨舒</w:t>
                  </w:r>
                  <w:proofErr w:type="gramEnd"/>
                  <w:r w:rsidR="00B10000" w:rsidRPr="006E0F3C">
                    <w:rPr>
                      <w:rFonts w:hint="eastAsia"/>
                    </w:rPr>
                    <w:t xml:space="preserve"> </w:t>
                  </w:r>
                  <w:r>
                    <w:rPr>
                      <w:rFonts w:hint="eastAsia"/>
                    </w:rPr>
                    <w:t>高级</w:t>
                  </w:r>
                  <w:r w:rsidR="00B10000" w:rsidRPr="006E0F3C">
                    <w:rPr>
                      <w:rFonts w:hint="eastAsia"/>
                    </w:rPr>
                    <w:t xml:space="preserve">分析师 </w:t>
                  </w:r>
                </w:p>
              </w:txbxContent>
            </v:textbox>
          </v:shape>
          <w10:wrap type="none"/>
          <w10:anchorlock/>
        </v:group>
      </w:pict>
    </w:r>
    <w:r>
      <w:pict>
        <v:rect id="_x0000_i1028" style="width:571.2pt;height:2pt" o:hralign="center" o:hrstd="t" o:hrnoshade="t" o:hr="t" fillcolor="#e7a631"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14C42"/>
    <w:multiLevelType w:val="singleLevel"/>
    <w:tmpl w:val="B4861D4C"/>
    <w:lvl w:ilvl="0">
      <w:start w:val="1"/>
      <w:numFmt w:val="bullet"/>
      <w:pStyle w:val="CoverBullet"/>
      <w:lvlText w:val=""/>
      <w:lvlJc w:val="left"/>
      <w:pPr>
        <w:tabs>
          <w:tab w:val="num" w:pos="360"/>
        </w:tabs>
        <w:ind w:left="360" w:hanging="360"/>
      </w:pPr>
      <w:rPr>
        <w:rFonts w:ascii="Wingdings" w:hAnsi="Wingdings" w:cs="Times New Roman" w:hint="default"/>
        <w:color w:val="FF0000"/>
        <w:sz w:val="20"/>
        <w:szCs w:val="20"/>
      </w:rPr>
    </w:lvl>
  </w:abstractNum>
  <w:abstractNum w:abstractNumId="1">
    <w:nsid w:val="492C6DD3"/>
    <w:multiLevelType w:val="hybridMultilevel"/>
    <w:tmpl w:val="6B68E90C"/>
    <w:lvl w:ilvl="0" w:tplc="A1E68908">
      <w:start w:val="1"/>
      <w:numFmt w:val="bullet"/>
      <w:lvlText w:val=""/>
      <w:lvlJc w:val="left"/>
      <w:pPr>
        <w:tabs>
          <w:tab w:val="num" w:pos="4329"/>
        </w:tabs>
        <w:ind w:left="3969" w:firstLine="0"/>
      </w:pPr>
      <w:rPr>
        <w:rFonts w:hint="default"/>
        <w:b w:val="0"/>
        <w:i w:val="0"/>
        <w:color w:val="000565"/>
        <w:sz w:val="18"/>
      </w:rPr>
    </w:lvl>
    <w:lvl w:ilvl="1" w:tplc="04090003">
      <w:start w:val="1"/>
      <w:numFmt w:val="bullet"/>
      <w:lvlText w:val=""/>
      <w:lvlJc w:val="left"/>
      <w:pPr>
        <w:tabs>
          <w:tab w:val="num" w:pos="4242"/>
        </w:tabs>
        <w:ind w:left="4242" w:hanging="420"/>
      </w:pPr>
      <w:rPr>
        <w:rFonts w:ascii="Wingdings" w:hAnsi="Wingdings" w:hint="default"/>
      </w:rPr>
    </w:lvl>
    <w:lvl w:ilvl="2" w:tplc="04090005">
      <w:start w:val="1"/>
      <w:numFmt w:val="bullet"/>
      <w:lvlText w:val=""/>
      <w:lvlJc w:val="left"/>
      <w:pPr>
        <w:tabs>
          <w:tab w:val="num" w:pos="4662"/>
        </w:tabs>
        <w:ind w:left="4662" w:hanging="420"/>
      </w:pPr>
      <w:rPr>
        <w:rFonts w:ascii="Wingdings" w:hAnsi="Wingdings" w:hint="default"/>
      </w:rPr>
    </w:lvl>
    <w:lvl w:ilvl="3" w:tplc="04090001">
      <w:start w:val="1"/>
      <w:numFmt w:val="bullet"/>
      <w:lvlText w:val=""/>
      <w:lvlJc w:val="left"/>
      <w:pPr>
        <w:tabs>
          <w:tab w:val="num" w:pos="5082"/>
        </w:tabs>
        <w:ind w:left="5082" w:hanging="420"/>
      </w:pPr>
      <w:rPr>
        <w:rFonts w:ascii="Wingdings" w:hAnsi="Wingdings" w:hint="default"/>
      </w:rPr>
    </w:lvl>
    <w:lvl w:ilvl="4" w:tplc="AC7CA5DC">
      <w:start w:val="1"/>
      <w:numFmt w:val="bullet"/>
      <w:lvlText w:val=""/>
      <w:lvlJc w:val="left"/>
      <w:pPr>
        <w:tabs>
          <w:tab w:val="num" w:pos="3799"/>
        </w:tabs>
        <w:ind w:left="3799" w:hanging="369"/>
      </w:pPr>
      <w:rPr>
        <w:rFonts w:ascii="Wingdings" w:eastAsia="楷体_GB2312" w:hAnsi="Wingdings" w:hint="default"/>
        <w:b w:val="0"/>
        <w:i w:val="0"/>
        <w:color w:val="auto"/>
        <w:sz w:val="18"/>
      </w:rPr>
    </w:lvl>
    <w:lvl w:ilvl="5" w:tplc="04090005">
      <w:start w:val="1"/>
      <w:numFmt w:val="bullet"/>
      <w:lvlText w:val=""/>
      <w:lvlJc w:val="left"/>
      <w:pPr>
        <w:tabs>
          <w:tab w:val="num" w:pos="5922"/>
        </w:tabs>
        <w:ind w:left="5922" w:hanging="420"/>
      </w:pPr>
      <w:rPr>
        <w:rFonts w:ascii="Wingdings" w:hAnsi="Wingdings" w:hint="default"/>
      </w:rPr>
    </w:lvl>
    <w:lvl w:ilvl="6" w:tplc="04090001" w:tentative="1">
      <w:start w:val="1"/>
      <w:numFmt w:val="bullet"/>
      <w:lvlText w:val=""/>
      <w:lvlJc w:val="left"/>
      <w:pPr>
        <w:tabs>
          <w:tab w:val="num" w:pos="6342"/>
        </w:tabs>
        <w:ind w:left="6342" w:hanging="420"/>
      </w:pPr>
      <w:rPr>
        <w:rFonts w:ascii="Wingdings" w:hAnsi="Wingdings" w:hint="default"/>
      </w:rPr>
    </w:lvl>
    <w:lvl w:ilvl="7" w:tplc="04090003">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abstractNum w:abstractNumId="2">
    <w:nsid w:val="5E8271C1"/>
    <w:multiLevelType w:val="hybridMultilevel"/>
    <w:tmpl w:val="6B68E90C"/>
    <w:lvl w:ilvl="0" w:tplc="A1E68908">
      <w:start w:val="1"/>
      <w:numFmt w:val="bullet"/>
      <w:lvlText w:val=""/>
      <w:lvlJc w:val="left"/>
      <w:pPr>
        <w:tabs>
          <w:tab w:val="num" w:pos="4329"/>
        </w:tabs>
        <w:ind w:left="3969" w:firstLine="0"/>
      </w:pPr>
      <w:rPr>
        <w:rFonts w:hint="default"/>
        <w:b w:val="0"/>
        <w:i w:val="0"/>
        <w:color w:val="000565"/>
        <w:sz w:val="18"/>
      </w:rPr>
    </w:lvl>
    <w:lvl w:ilvl="1" w:tplc="04090003">
      <w:start w:val="1"/>
      <w:numFmt w:val="bullet"/>
      <w:lvlText w:val=""/>
      <w:lvlJc w:val="left"/>
      <w:pPr>
        <w:tabs>
          <w:tab w:val="num" w:pos="4242"/>
        </w:tabs>
        <w:ind w:left="4242" w:hanging="420"/>
      </w:pPr>
      <w:rPr>
        <w:rFonts w:ascii="Wingdings" w:hAnsi="Wingdings" w:hint="default"/>
      </w:rPr>
    </w:lvl>
    <w:lvl w:ilvl="2" w:tplc="04090005">
      <w:start w:val="1"/>
      <w:numFmt w:val="bullet"/>
      <w:lvlText w:val=""/>
      <w:lvlJc w:val="left"/>
      <w:pPr>
        <w:tabs>
          <w:tab w:val="num" w:pos="4662"/>
        </w:tabs>
        <w:ind w:left="4662" w:hanging="420"/>
      </w:pPr>
      <w:rPr>
        <w:rFonts w:ascii="Wingdings" w:hAnsi="Wingdings" w:hint="default"/>
      </w:rPr>
    </w:lvl>
    <w:lvl w:ilvl="3" w:tplc="04090001">
      <w:start w:val="1"/>
      <w:numFmt w:val="bullet"/>
      <w:lvlText w:val=""/>
      <w:lvlJc w:val="left"/>
      <w:pPr>
        <w:tabs>
          <w:tab w:val="num" w:pos="5082"/>
        </w:tabs>
        <w:ind w:left="5082" w:hanging="420"/>
      </w:pPr>
      <w:rPr>
        <w:rFonts w:ascii="Wingdings" w:hAnsi="Wingdings" w:hint="default"/>
      </w:rPr>
    </w:lvl>
    <w:lvl w:ilvl="4" w:tplc="31DAFFE0">
      <w:start w:val="1"/>
      <w:numFmt w:val="bullet"/>
      <w:lvlText w:val=""/>
      <w:lvlJc w:val="left"/>
      <w:pPr>
        <w:tabs>
          <w:tab w:val="num" w:pos="3649"/>
        </w:tabs>
        <w:ind w:left="3289" w:firstLine="0"/>
      </w:pPr>
      <w:rPr>
        <w:rFonts w:ascii="Wingdings" w:eastAsia="宋体" w:hAnsi="Wingdings" w:hint="default"/>
        <w:b w:val="0"/>
        <w:i w:val="0"/>
        <w:color w:val="000565"/>
        <w:sz w:val="18"/>
      </w:rPr>
    </w:lvl>
    <w:lvl w:ilvl="5" w:tplc="DDC8F30C">
      <w:start w:val="1"/>
      <w:numFmt w:val="bullet"/>
      <w:lvlText w:val=""/>
      <w:lvlJc w:val="left"/>
      <w:pPr>
        <w:tabs>
          <w:tab w:val="num" w:pos="4139"/>
        </w:tabs>
        <w:ind w:left="4139" w:hanging="368"/>
      </w:pPr>
      <w:rPr>
        <w:rFonts w:ascii="Wingdings 2" w:eastAsia="楷体_GB2312" w:hAnsi="Wingdings 2" w:hint="default"/>
        <w:b w:val="0"/>
        <w:i w:val="0"/>
        <w:sz w:val="18"/>
      </w:rPr>
    </w:lvl>
    <w:lvl w:ilvl="6" w:tplc="04090001" w:tentative="1">
      <w:start w:val="1"/>
      <w:numFmt w:val="bullet"/>
      <w:lvlText w:val=""/>
      <w:lvlJc w:val="left"/>
      <w:pPr>
        <w:tabs>
          <w:tab w:val="num" w:pos="6342"/>
        </w:tabs>
        <w:ind w:left="6342" w:hanging="420"/>
      </w:pPr>
      <w:rPr>
        <w:rFonts w:ascii="Wingdings" w:hAnsi="Wingdings" w:hint="default"/>
      </w:rPr>
    </w:lvl>
    <w:lvl w:ilvl="7" w:tplc="04090003" w:tentative="1">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abstractNum w:abstractNumId="3">
    <w:nsid w:val="7D6434AE"/>
    <w:multiLevelType w:val="hybridMultilevel"/>
    <w:tmpl w:val="5BC062AC"/>
    <w:lvl w:ilvl="0" w:tplc="DDC8F30C">
      <w:start w:val="1"/>
      <w:numFmt w:val="bullet"/>
      <w:lvlText w:val=""/>
      <w:lvlJc w:val="left"/>
      <w:pPr>
        <w:ind w:left="4219" w:hanging="420"/>
      </w:pPr>
      <w:rPr>
        <w:rFonts w:ascii="Wingdings 2" w:eastAsia="楷体_GB2312" w:hAnsi="Wingdings 2" w:hint="default"/>
        <w:b w:val="0"/>
        <w:i w:val="0"/>
        <w:sz w:val="18"/>
      </w:rPr>
    </w:lvl>
    <w:lvl w:ilvl="1" w:tplc="04090003" w:tentative="1">
      <w:start w:val="1"/>
      <w:numFmt w:val="bullet"/>
      <w:lvlText w:val=""/>
      <w:lvlJc w:val="left"/>
      <w:pPr>
        <w:ind w:left="4639" w:hanging="420"/>
      </w:pPr>
      <w:rPr>
        <w:rFonts w:ascii="Wingdings" w:hAnsi="Wingdings" w:hint="default"/>
      </w:rPr>
    </w:lvl>
    <w:lvl w:ilvl="2" w:tplc="04090005" w:tentative="1">
      <w:start w:val="1"/>
      <w:numFmt w:val="bullet"/>
      <w:lvlText w:val=""/>
      <w:lvlJc w:val="left"/>
      <w:pPr>
        <w:ind w:left="5059" w:hanging="420"/>
      </w:pPr>
      <w:rPr>
        <w:rFonts w:ascii="Wingdings" w:hAnsi="Wingdings" w:hint="default"/>
      </w:rPr>
    </w:lvl>
    <w:lvl w:ilvl="3" w:tplc="04090001" w:tentative="1">
      <w:start w:val="1"/>
      <w:numFmt w:val="bullet"/>
      <w:lvlText w:val=""/>
      <w:lvlJc w:val="left"/>
      <w:pPr>
        <w:ind w:left="5479" w:hanging="420"/>
      </w:pPr>
      <w:rPr>
        <w:rFonts w:ascii="Wingdings" w:hAnsi="Wingdings" w:hint="default"/>
      </w:rPr>
    </w:lvl>
    <w:lvl w:ilvl="4" w:tplc="04090003" w:tentative="1">
      <w:start w:val="1"/>
      <w:numFmt w:val="bullet"/>
      <w:lvlText w:val=""/>
      <w:lvlJc w:val="left"/>
      <w:pPr>
        <w:ind w:left="5899" w:hanging="420"/>
      </w:pPr>
      <w:rPr>
        <w:rFonts w:ascii="Wingdings" w:hAnsi="Wingdings" w:hint="default"/>
      </w:rPr>
    </w:lvl>
    <w:lvl w:ilvl="5" w:tplc="04090005" w:tentative="1">
      <w:start w:val="1"/>
      <w:numFmt w:val="bullet"/>
      <w:lvlText w:val=""/>
      <w:lvlJc w:val="left"/>
      <w:pPr>
        <w:ind w:left="6319" w:hanging="420"/>
      </w:pPr>
      <w:rPr>
        <w:rFonts w:ascii="Wingdings" w:hAnsi="Wingdings" w:hint="default"/>
      </w:rPr>
    </w:lvl>
    <w:lvl w:ilvl="6" w:tplc="04090001" w:tentative="1">
      <w:start w:val="1"/>
      <w:numFmt w:val="bullet"/>
      <w:lvlText w:val=""/>
      <w:lvlJc w:val="left"/>
      <w:pPr>
        <w:ind w:left="6739" w:hanging="420"/>
      </w:pPr>
      <w:rPr>
        <w:rFonts w:ascii="Wingdings" w:hAnsi="Wingdings" w:hint="default"/>
      </w:rPr>
    </w:lvl>
    <w:lvl w:ilvl="7" w:tplc="04090003" w:tentative="1">
      <w:start w:val="1"/>
      <w:numFmt w:val="bullet"/>
      <w:lvlText w:val=""/>
      <w:lvlJc w:val="left"/>
      <w:pPr>
        <w:ind w:left="7159" w:hanging="420"/>
      </w:pPr>
      <w:rPr>
        <w:rFonts w:ascii="Wingdings" w:hAnsi="Wingdings" w:hint="default"/>
      </w:rPr>
    </w:lvl>
    <w:lvl w:ilvl="8" w:tplc="04090005" w:tentative="1">
      <w:start w:val="1"/>
      <w:numFmt w:val="bullet"/>
      <w:lvlText w:val=""/>
      <w:lvlJc w:val="left"/>
      <w:pPr>
        <w:ind w:left="7579" w:hanging="420"/>
      </w:pPr>
      <w:rPr>
        <w:rFonts w:ascii="Wingdings" w:hAnsi="Wingdings" w:hint="default"/>
      </w:rPr>
    </w:lvl>
  </w:abstractNum>
  <w:num w:numId="1">
    <w:abstractNumId w:val="1"/>
  </w:num>
  <w:num w:numId="2">
    <w:abstractNumId w:val="2"/>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10000"/>
    <w:rsid w:val="00014D59"/>
    <w:rsid w:val="00015ACA"/>
    <w:rsid w:val="00034C20"/>
    <w:rsid w:val="00046A25"/>
    <w:rsid w:val="000508EF"/>
    <w:rsid w:val="00067B41"/>
    <w:rsid w:val="0007052A"/>
    <w:rsid w:val="00097485"/>
    <w:rsid w:val="000A1F25"/>
    <w:rsid w:val="000B6B40"/>
    <w:rsid w:val="000F36A6"/>
    <w:rsid w:val="00104736"/>
    <w:rsid w:val="001201B9"/>
    <w:rsid w:val="00121969"/>
    <w:rsid w:val="00137D07"/>
    <w:rsid w:val="00155ED0"/>
    <w:rsid w:val="00172781"/>
    <w:rsid w:val="00186A0E"/>
    <w:rsid w:val="001B7053"/>
    <w:rsid w:val="001C36F6"/>
    <w:rsid w:val="001D6576"/>
    <w:rsid w:val="00200D9D"/>
    <w:rsid w:val="00201A9F"/>
    <w:rsid w:val="00291335"/>
    <w:rsid w:val="00297C62"/>
    <w:rsid w:val="002A3C38"/>
    <w:rsid w:val="002D0DA8"/>
    <w:rsid w:val="002E6C55"/>
    <w:rsid w:val="002F3733"/>
    <w:rsid w:val="003167E2"/>
    <w:rsid w:val="00326ED7"/>
    <w:rsid w:val="00340056"/>
    <w:rsid w:val="00357118"/>
    <w:rsid w:val="003629A1"/>
    <w:rsid w:val="00362C12"/>
    <w:rsid w:val="003678AF"/>
    <w:rsid w:val="003A6147"/>
    <w:rsid w:val="003C328F"/>
    <w:rsid w:val="003D1982"/>
    <w:rsid w:val="003D659A"/>
    <w:rsid w:val="003E1DB7"/>
    <w:rsid w:val="004219CC"/>
    <w:rsid w:val="00472FF3"/>
    <w:rsid w:val="00485316"/>
    <w:rsid w:val="00486443"/>
    <w:rsid w:val="004C58C5"/>
    <w:rsid w:val="0051766A"/>
    <w:rsid w:val="00542C3B"/>
    <w:rsid w:val="00557295"/>
    <w:rsid w:val="00561462"/>
    <w:rsid w:val="005766CD"/>
    <w:rsid w:val="00576BED"/>
    <w:rsid w:val="00581950"/>
    <w:rsid w:val="005A05FA"/>
    <w:rsid w:val="005E37FE"/>
    <w:rsid w:val="00607450"/>
    <w:rsid w:val="00622694"/>
    <w:rsid w:val="00623C62"/>
    <w:rsid w:val="006465B5"/>
    <w:rsid w:val="00656031"/>
    <w:rsid w:val="00681C49"/>
    <w:rsid w:val="006B6ED3"/>
    <w:rsid w:val="00737E51"/>
    <w:rsid w:val="007440A8"/>
    <w:rsid w:val="0074607E"/>
    <w:rsid w:val="007467BB"/>
    <w:rsid w:val="00757751"/>
    <w:rsid w:val="007810C5"/>
    <w:rsid w:val="00797C76"/>
    <w:rsid w:val="007B61B8"/>
    <w:rsid w:val="007C62C3"/>
    <w:rsid w:val="00803439"/>
    <w:rsid w:val="0081385D"/>
    <w:rsid w:val="008840A4"/>
    <w:rsid w:val="0089079A"/>
    <w:rsid w:val="00891D61"/>
    <w:rsid w:val="008A581C"/>
    <w:rsid w:val="008A624E"/>
    <w:rsid w:val="008B5C41"/>
    <w:rsid w:val="008D2D17"/>
    <w:rsid w:val="008E4206"/>
    <w:rsid w:val="009413BB"/>
    <w:rsid w:val="0096583A"/>
    <w:rsid w:val="009A42DA"/>
    <w:rsid w:val="009D5ADD"/>
    <w:rsid w:val="009D73D7"/>
    <w:rsid w:val="009F7D94"/>
    <w:rsid w:val="00A214EE"/>
    <w:rsid w:val="00A22DB9"/>
    <w:rsid w:val="00A40C21"/>
    <w:rsid w:val="00A74E54"/>
    <w:rsid w:val="00A8660A"/>
    <w:rsid w:val="00A86866"/>
    <w:rsid w:val="00AC09E6"/>
    <w:rsid w:val="00AE16B0"/>
    <w:rsid w:val="00AE4171"/>
    <w:rsid w:val="00AF5537"/>
    <w:rsid w:val="00B10000"/>
    <w:rsid w:val="00B30055"/>
    <w:rsid w:val="00B61C4D"/>
    <w:rsid w:val="00B63E8B"/>
    <w:rsid w:val="00BA087B"/>
    <w:rsid w:val="00BC718D"/>
    <w:rsid w:val="00C02A66"/>
    <w:rsid w:val="00C737A4"/>
    <w:rsid w:val="00C806CE"/>
    <w:rsid w:val="00C90373"/>
    <w:rsid w:val="00C9278F"/>
    <w:rsid w:val="00C94131"/>
    <w:rsid w:val="00CD1438"/>
    <w:rsid w:val="00D3320C"/>
    <w:rsid w:val="00D546B9"/>
    <w:rsid w:val="00D549CA"/>
    <w:rsid w:val="00D62F88"/>
    <w:rsid w:val="00D92CE8"/>
    <w:rsid w:val="00E612B5"/>
    <w:rsid w:val="00E94478"/>
    <w:rsid w:val="00EA19D3"/>
    <w:rsid w:val="00EB2176"/>
    <w:rsid w:val="00EF2A16"/>
    <w:rsid w:val="00F75406"/>
    <w:rsid w:val="00F95E6D"/>
    <w:rsid w:val="00FC71D2"/>
    <w:rsid w:val="00FC7CA1"/>
    <w:rsid w:val="00FE5C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1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100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10000"/>
    <w:rPr>
      <w:sz w:val="18"/>
      <w:szCs w:val="18"/>
    </w:rPr>
  </w:style>
  <w:style w:type="paragraph" w:styleId="a4">
    <w:name w:val="footer"/>
    <w:basedOn w:val="a"/>
    <w:link w:val="Char0"/>
    <w:uiPriority w:val="99"/>
    <w:unhideWhenUsed/>
    <w:rsid w:val="00B10000"/>
    <w:pPr>
      <w:tabs>
        <w:tab w:val="center" w:pos="4153"/>
        <w:tab w:val="right" w:pos="8306"/>
      </w:tabs>
      <w:snapToGrid w:val="0"/>
      <w:jc w:val="left"/>
    </w:pPr>
    <w:rPr>
      <w:sz w:val="18"/>
      <w:szCs w:val="18"/>
    </w:rPr>
  </w:style>
  <w:style w:type="character" w:customStyle="1" w:styleId="Char0">
    <w:name w:val="页脚 Char"/>
    <w:basedOn w:val="a0"/>
    <w:link w:val="a4"/>
    <w:uiPriority w:val="99"/>
    <w:rsid w:val="00B10000"/>
    <w:rPr>
      <w:sz w:val="18"/>
      <w:szCs w:val="18"/>
    </w:rPr>
  </w:style>
  <w:style w:type="paragraph" w:customStyle="1" w:styleId="a5">
    <w:name w:val="页眉报告名称"/>
    <w:link w:val="Char1"/>
    <w:autoRedefine/>
    <w:qFormat/>
    <w:rsid w:val="00B10000"/>
    <w:pPr>
      <w:spacing w:afterLines="100" w:line="240" w:lineRule="exact"/>
      <w:jc w:val="both"/>
    </w:pPr>
    <w:rPr>
      <w:rFonts w:ascii="Calibri" w:eastAsia="华文新魏" w:hAnsi="Calibri" w:cs="Times New Roman"/>
      <w:sz w:val="24"/>
    </w:rPr>
  </w:style>
  <w:style w:type="character" w:customStyle="1" w:styleId="Char1">
    <w:name w:val="页眉报告名称 Char"/>
    <w:basedOn w:val="a0"/>
    <w:link w:val="a5"/>
    <w:rsid w:val="00B10000"/>
    <w:rPr>
      <w:rFonts w:ascii="Calibri" w:eastAsia="华文新魏" w:hAnsi="Calibri" w:cs="Times New Roman"/>
      <w:sz w:val="24"/>
    </w:rPr>
  </w:style>
  <w:style w:type="paragraph" w:customStyle="1" w:styleId="a6">
    <w:name w:val="页眉图片"/>
    <w:basedOn w:val="a3"/>
    <w:link w:val="Char2"/>
    <w:qFormat/>
    <w:rsid w:val="00B10000"/>
    <w:pPr>
      <w:pBdr>
        <w:bottom w:val="none" w:sz="0" w:space="0" w:color="auto"/>
      </w:pBdr>
      <w:tabs>
        <w:tab w:val="clear" w:pos="4153"/>
        <w:tab w:val="clear" w:pos="8306"/>
        <w:tab w:val="right" w:pos="11424"/>
      </w:tabs>
      <w:jc w:val="left"/>
    </w:pPr>
    <w:rPr>
      <w:rFonts w:ascii="Calibri" w:eastAsia="宋体" w:hAnsi="Calibri" w:cs="Times New Roman"/>
      <w:noProof/>
    </w:rPr>
  </w:style>
  <w:style w:type="character" w:customStyle="1" w:styleId="Char2">
    <w:name w:val="页眉图片 Char"/>
    <w:basedOn w:val="Char"/>
    <w:link w:val="a6"/>
    <w:rsid w:val="00B10000"/>
    <w:rPr>
      <w:rFonts w:ascii="Calibri" w:eastAsia="宋体" w:hAnsi="Calibri" w:cs="Times New Roman"/>
      <w:noProof/>
    </w:rPr>
  </w:style>
  <w:style w:type="paragraph" w:customStyle="1" w:styleId="a7">
    <w:name w:val="页眉处日期"/>
    <w:basedOn w:val="a"/>
    <w:link w:val="Char3"/>
    <w:qFormat/>
    <w:rsid w:val="00B10000"/>
    <w:pPr>
      <w:tabs>
        <w:tab w:val="right" w:pos="11424"/>
      </w:tabs>
      <w:snapToGrid w:val="0"/>
      <w:jc w:val="left"/>
    </w:pPr>
    <w:rPr>
      <w:rFonts w:ascii="华文隶书" w:eastAsia="华文隶书" w:hAnsi="Calibri" w:cs="Times New Roman"/>
      <w:b/>
      <w:sz w:val="24"/>
      <w:szCs w:val="24"/>
    </w:rPr>
  </w:style>
  <w:style w:type="paragraph" w:customStyle="1" w:styleId="a8">
    <w:name w:val="页眉副标题"/>
    <w:basedOn w:val="a"/>
    <w:link w:val="Char4"/>
    <w:qFormat/>
    <w:rsid w:val="00B10000"/>
    <w:pPr>
      <w:tabs>
        <w:tab w:val="right" w:pos="11424"/>
      </w:tabs>
      <w:snapToGrid w:val="0"/>
      <w:jc w:val="left"/>
    </w:pPr>
    <w:rPr>
      <w:rFonts w:ascii="华文隶书" w:eastAsia="华文隶书" w:hAnsi="Calibri" w:cs="Times New Roman"/>
      <w:sz w:val="36"/>
      <w:szCs w:val="36"/>
    </w:rPr>
  </w:style>
  <w:style w:type="character" w:customStyle="1" w:styleId="Char3">
    <w:name w:val="页眉处日期 Char"/>
    <w:basedOn w:val="a0"/>
    <w:link w:val="a7"/>
    <w:rsid w:val="00B10000"/>
    <w:rPr>
      <w:rFonts w:ascii="华文隶书" w:eastAsia="华文隶书" w:hAnsi="Calibri" w:cs="Times New Roman"/>
      <w:b/>
      <w:sz w:val="24"/>
      <w:szCs w:val="24"/>
    </w:rPr>
  </w:style>
  <w:style w:type="character" w:customStyle="1" w:styleId="Char4">
    <w:name w:val="页眉副标题 Char"/>
    <w:basedOn w:val="a0"/>
    <w:link w:val="a8"/>
    <w:rsid w:val="00B10000"/>
    <w:rPr>
      <w:rFonts w:ascii="华文隶书" w:eastAsia="华文隶书" w:hAnsi="Calibri" w:cs="Times New Roman"/>
      <w:sz w:val="36"/>
      <w:szCs w:val="36"/>
    </w:rPr>
  </w:style>
  <w:style w:type="paragraph" w:customStyle="1" w:styleId="a9">
    <w:name w:val="页眉的分析师"/>
    <w:basedOn w:val="a"/>
    <w:link w:val="Char5"/>
    <w:qFormat/>
    <w:rsid w:val="00B10000"/>
    <w:pPr>
      <w:tabs>
        <w:tab w:val="right" w:pos="11424"/>
      </w:tabs>
      <w:snapToGrid w:val="0"/>
      <w:spacing w:line="240" w:lineRule="exact"/>
      <w:jc w:val="right"/>
    </w:pPr>
    <w:rPr>
      <w:rFonts w:ascii="华文新魏" w:eastAsia="华文新魏" w:hAnsi="Calibri" w:cs="Times New Roman"/>
      <w:szCs w:val="21"/>
    </w:rPr>
  </w:style>
  <w:style w:type="character" w:customStyle="1" w:styleId="Char5">
    <w:name w:val="页眉的分析师 Char"/>
    <w:basedOn w:val="a0"/>
    <w:link w:val="a9"/>
    <w:rsid w:val="00B10000"/>
    <w:rPr>
      <w:rFonts w:ascii="华文新魏" w:eastAsia="华文新魏" w:hAnsi="Calibri" w:cs="Times New Roman"/>
      <w:szCs w:val="21"/>
    </w:rPr>
  </w:style>
  <w:style w:type="paragraph" w:customStyle="1" w:styleId="12">
    <w:name w:val="页眉12"/>
    <w:basedOn w:val="a3"/>
    <w:link w:val="12Char"/>
    <w:qFormat/>
    <w:rsid w:val="00B10000"/>
    <w:pPr>
      <w:pBdr>
        <w:bottom w:val="none" w:sz="0" w:space="0" w:color="auto"/>
      </w:pBdr>
      <w:tabs>
        <w:tab w:val="clear" w:pos="4153"/>
        <w:tab w:val="clear" w:pos="8306"/>
        <w:tab w:val="right" w:pos="11424"/>
      </w:tabs>
      <w:jc w:val="left"/>
    </w:pPr>
    <w:rPr>
      <w:rFonts w:ascii="Calibri" w:eastAsia="宋体" w:hAnsi="Calibri" w:cs="Times New Roman"/>
    </w:rPr>
  </w:style>
  <w:style w:type="character" w:customStyle="1" w:styleId="12Char">
    <w:name w:val="页眉12 Char"/>
    <w:basedOn w:val="Char"/>
    <w:link w:val="12"/>
    <w:rsid w:val="00B10000"/>
    <w:rPr>
      <w:rFonts w:ascii="Calibri" w:eastAsia="宋体" w:hAnsi="Calibri" w:cs="Times New Roman"/>
    </w:rPr>
  </w:style>
  <w:style w:type="paragraph" w:customStyle="1" w:styleId="2">
    <w:name w:val="页眉副标题2"/>
    <w:basedOn w:val="12"/>
    <w:link w:val="2Char"/>
    <w:qFormat/>
    <w:rsid w:val="00B10000"/>
    <w:pPr>
      <w:jc w:val="right"/>
    </w:pPr>
    <w:rPr>
      <w:rFonts w:ascii="华文隶书" w:eastAsia="华文隶书"/>
      <w:sz w:val="21"/>
      <w:szCs w:val="21"/>
    </w:rPr>
  </w:style>
  <w:style w:type="character" w:customStyle="1" w:styleId="2Char">
    <w:name w:val="页眉副标题2 Char"/>
    <w:basedOn w:val="12Char"/>
    <w:link w:val="2"/>
    <w:rsid w:val="00B10000"/>
    <w:rPr>
      <w:rFonts w:ascii="华文隶书" w:eastAsia="华文隶书"/>
      <w:szCs w:val="21"/>
    </w:rPr>
  </w:style>
  <w:style w:type="paragraph" w:customStyle="1" w:styleId="aa">
    <w:name w:val="特别声明格式"/>
    <w:basedOn w:val="a"/>
    <w:link w:val="Char6"/>
    <w:qFormat/>
    <w:rsid w:val="00B10000"/>
    <w:pPr>
      <w:spacing w:afterLines="100" w:line="240" w:lineRule="exact"/>
    </w:pPr>
    <w:rPr>
      <w:rFonts w:ascii="华文隶书" w:eastAsia="华文隶书" w:hAnsi="Calibri" w:cs="Times New Roman"/>
      <w:sz w:val="28"/>
    </w:rPr>
  </w:style>
  <w:style w:type="character" w:customStyle="1" w:styleId="Char6">
    <w:name w:val="特别声明格式 Char"/>
    <w:basedOn w:val="a0"/>
    <w:link w:val="aa"/>
    <w:rsid w:val="00B10000"/>
    <w:rPr>
      <w:rFonts w:ascii="华文隶书" w:eastAsia="华文隶书" w:hAnsi="Calibri" w:cs="Times New Roman"/>
      <w:sz w:val="28"/>
    </w:rPr>
  </w:style>
  <w:style w:type="paragraph" w:styleId="ab">
    <w:name w:val="Body Text"/>
    <w:basedOn w:val="a"/>
    <w:link w:val="Char7"/>
    <w:rsid w:val="00B10000"/>
    <w:pPr>
      <w:widowControl/>
      <w:spacing w:after="120" w:line="240" w:lineRule="exact"/>
      <w:ind w:left="3402"/>
    </w:pPr>
    <w:rPr>
      <w:rFonts w:ascii="Arial" w:eastAsia="楷体_GB2312" w:hAnsi="Arial" w:cs="Times New Roman"/>
      <w:color w:val="000000"/>
      <w:kern w:val="0"/>
      <w:szCs w:val="20"/>
      <w:lang w:val="en-GB"/>
    </w:rPr>
  </w:style>
  <w:style w:type="character" w:customStyle="1" w:styleId="Char7">
    <w:name w:val="正文文本 Char"/>
    <w:basedOn w:val="a0"/>
    <w:link w:val="ab"/>
    <w:rsid w:val="00B10000"/>
    <w:rPr>
      <w:rFonts w:ascii="Arial" w:eastAsia="楷体_GB2312" w:hAnsi="Arial" w:cs="Times New Roman"/>
      <w:color w:val="000000"/>
      <w:kern w:val="0"/>
      <w:szCs w:val="20"/>
      <w:lang w:val="en-GB"/>
    </w:rPr>
  </w:style>
  <w:style w:type="paragraph" w:customStyle="1" w:styleId="FootnoteNoline">
    <w:name w:val="FootnoteNoline"/>
    <w:basedOn w:val="a"/>
    <w:next w:val="ab"/>
    <w:rsid w:val="008840A4"/>
    <w:pPr>
      <w:widowControl/>
      <w:tabs>
        <w:tab w:val="right" w:pos="10065"/>
      </w:tabs>
      <w:spacing w:before="40" w:after="160"/>
      <w:ind w:left="3402"/>
    </w:pPr>
    <w:rPr>
      <w:rFonts w:ascii="Arial" w:eastAsia="楷体_GB2312" w:hAnsi="Arial" w:cs="Arial"/>
      <w:color w:val="003765"/>
      <w:kern w:val="0"/>
      <w:sz w:val="15"/>
      <w:szCs w:val="14"/>
      <w:lang w:val="en-GB"/>
    </w:rPr>
  </w:style>
  <w:style w:type="paragraph" w:customStyle="1" w:styleId="SubTitleLargeTable">
    <w:name w:val="SubTitleLargeTable"/>
    <w:rsid w:val="008840A4"/>
    <w:pPr>
      <w:keepNext/>
      <w:pBdr>
        <w:top w:val="single" w:sz="6" w:space="1" w:color="666699"/>
      </w:pBdr>
      <w:suppressAutoHyphens/>
      <w:spacing w:after="40" w:line="240" w:lineRule="atLeast"/>
    </w:pPr>
    <w:rPr>
      <w:rFonts w:ascii="Arial" w:eastAsia="楷体_GB2312" w:hAnsi="Arial" w:cs="Arial"/>
      <w:b/>
      <w:bCs/>
      <w:i/>
      <w:iCs/>
      <w:color w:val="003765"/>
      <w:kern w:val="0"/>
      <w:szCs w:val="21"/>
      <w:lang w:val="en-GB"/>
    </w:rPr>
  </w:style>
  <w:style w:type="paragraph" w:styleId="ac">
    <w:name w:val="Balloon Text"/>
    <w:basedOn w:val="a"/>
    <w:link w:val="Char8"/>
    <w:uiPriority w:val="99"/>
    <w:semiHidden/>
    <w:unhideWhenUsed/>
    <w:rsid w:val="008840A4"/>
    <w:rPr>
      <w:sz w:val="18"/>
      <w:szCs w:val="18"/>
    </w:rPr>
  </w:style>
  <w:style w:type="character" w:customStyle="1" w:styleId="Char8">
    <w:name w:val="批注框文本 Char"/>
    <w:basedOn w:val="a0"/>
    <w:link w:val="ac"/>
    <w:uiPriority w:val="99"/>
    <w:semiHidden/>
    <w:rsid w:val="008840A4"/>
    <w:rPr>
      <w:sz w:val="18"/>
      <w:szCs w:val="18"/>
    </w:rPr>
  </w:style>
  <w:style w:type="paragraph" w:customStyle="1" w:styleId="CoverBullet">
    <w:name w:val="Cover Bullet"/>
    <w:rsid w:val="008840A4"/>
    <w:pPr>
      <w:numPr>
        <w:numId w:val="3"/>
      </w:numPr>
      <w:spacing w:before="120" w:after="120"/>
      <w:ind w:left="357" w:hanging="357"/>
    </w:pPr>
    <w:rPr>
      <w:rFonts w:ascii="LucidaSans" w:eastAsia="宋体" w:hAnsi="LucidaSans" w:cs="Times New Roman"/>
      <w:b/>
      <w:bCs/>
      <w:kern w:val="0"/>
      <w:sz w:val="20"/>
      <w:szCs w:val="20"/>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1" Type="http://schemas.openxmlformats.org/officeDocument/2006/relationships/oleObject" Target="file:///D:\&#20975;&#30707;&#30740;&#31350;\&#20975;&#30707;&#31169;&#21215;&#26376;&#25253;\2013.11\11&#26376;&#26032;&#20135;&#21697;.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31169;&#21215;&#26376;&#25253;\&#31169;&#21215;&#26376;&#2525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20975;&#30707;&#30740;&#31350;\&#20975;&#30707;&#31169;&#21215;&#26376;&#25253;\2013.11\11&#26376;&#26032;&#20135;&#2169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plotArea>
      <c:layout/>
      <c:pieChart>
        <c:varyColors val="1"/>
        <c:ser>
          <c:idx val="0"/>
          <c:order val="0"/>
          <c:dLbls>
            <c:dLbl>
              <c:idx val="1"/>
              <c:layout>
                <c:manualLayout>
                  <c:x val="0.25459317585301833"/>
                  <c:y val="-1.2731481481481483E-2"/>
                </c:manualLayout>
              </c:layout>
              <c:showVal val="1"/>
              <c:showCatName val="1"/>
            </c:dLbl>
            <c:dLbl>
              <c:idx val="2"/>
              <c:layout>
                <c:manualLayout>
                  <c:x val="-4.868766404199489E-3"/>
                  <c:y val="7.7427821522309942E-4"/>
                </c:manualLayout>
              </c:layout>
              <c:showVal val="1"/>
              <c:showCatName val="1"/>
            </c:dLbl>
            <c:dLbl>
              <c:idx val="3"/>
              <c:layout>
                <c:manualLayout>
                  <c:x val="-2.8606736657917787E-2"/>
                  <c:y val="-7.2360746573345083E-2"/>
                </c:manualLayout>
              </c:layout>
              <c:showVal val="1"/>
              <c:showCatName val="1"/>
            </c:dLbl>
            <c:dLbl>
              <c:idx val="5"/>
              <c:layout>
                <c:manualLayout>
                  <c:x val="0.2782217847769029"/>
                  <c:y val="2.4305555555555559E-2"/>
                </c:manualLayout>
              </c:layout>
              <c:showVal val="1"/>
              <c:showCatName val="1"/>
            </c:dLbl>
            <c:showVal val="1"/>
            <c:showCatName val="1"/>
            <c:showLeaderLines val="1"/>
          </c:dLbls>
          <c:cat>
            <c:strRef>
              <c:f>Sheet2!$A$20:$A$25</c:f>
              <c:strCache>
                <c:ptCount val="6"/>
                <c:pt idx="0">
                  <c:v>股票多头策略</c:v>
                </c:pt>
                <c:pt idx="1">
                  <c:v>大宗交易策略</c:v>
                </c:pt>
                <c:pt idx="2">
                  <c:v>市场中性策略</c:v>
                </c:pt>
                <c:pt idx="3">
                  <c:v>相对价值策略</c:v>
                </c:pt>
                <c:pt idx="4">
                  <c:v>固定收益策略</c:v>
                </c:pt>
                <c:pt idx="5">
                  <c:v>定向增发策略</c:v>
                </c:pt>
              </c:strCache>
            </c:strRef>
          </c:cat>
          <c:val>
            <c:numRef>
              <c:f>Sheet2!$B$20:$B$25</c:f>
              <c:numCache>
                <c:formatCode>General</c:formatCode>
                <c:ptCount val="6"/>
                <c:pt idx="0">
                  <c:v>17</c:v>
                </c:pt>
                <c:pt idx="1">
                  <c:v>2</c:v>
                </c:pt>
                <c:pt idx="2">
                  <c:v>2</c:v>
                </c:pt>
                <c:pt idx="3">
                  <c:v>2</c:v>
                </c:pt>
                <c:pt idx="4">
                  <c:v>10</c:v>
                </c:pt>
                <c:pt idx="5">
                  <c:v>1</c:v>
                </c:pt>
              </c:numCache>
            </c:numRef>
          </c:val>
        </c:ser>
        <c:dLbls>
          <c:showVal val="1"/>
          <c:showCatName val="1"/>
        </c:dLbls>
        <c:firstSliceAng val="0"/>
      </c:pieChart>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plotArea>
      <c:layout/>
      <c:barChart>
        <c:barDir val="col"/>
        <c:grouping val="clustered"/>
        <c:ser>
          <c:idx val="0"/>
          <c:order val="0"/>
          <c:cat>
            <c:strRef>
              <c:f>行业指数!$G$2:$G$30</c:f>
              <c:strCache>
                <c:ptCount val="29"/>
                <c:pt idx="0">
                  <c:v>家电</c:v>
                </c:pt>
                <c:pt idx="1">
                  <c:v>石油石化</c:v>
                </c:pt>
                <c:pt idx="2">
                  <c:v>电力及公用事业</c:v>
                </c:pt>
                <c:pt idx="3">
                  <c:v>农林牧渔</c:v>
                </c:pt>
                <c:pt idx="4">
                  <c:v>建材</c:v>
                </c:pt>
                <c:pt idx="5">
                  <c:v>机械</c:v>
                </c:pt>
                <c:pt idx="6">
                  <c:v>银行</c:v>
                </c:pt>
                <c:pt idx="7">
                  <c:v>交通运输</c:v>
                </c:pt>
                <c:pt idx="8">
                  <c:v>建筑</c:v>
                </c:pt>
                <c:pt idx="9">
                  <c:v>电力设备</c:v>
                </c:pt>
                <c:pt idx="10">
                  <c:v>汽车</c:v>
                </c:pt>
                <c:pt idx="11">
                  <c:v>纺织服装</c:v>
                </c:pt>
                <c:pt idx="12">
                  <c:v>钢铁</c:v>
                </c:pt>
                <c:pt idx="13">
                  <c:v>非银行金融</c:v>
                </c:pt>
                <c:pt idx="14">
                  <c:v>房地产</c:v>
                </c:pt>
                <c:pt idx="15">
                  <c:v>国防军工</c:v>
                </c:pt>
                <c:pt idx="16">
                  <c:v>基础化工</c:v>
                </c:pt>
                <c:pt idx="17">
                  <c:v>轻工制造</c:v>
                </c:pt>
                <c:pt idx="18">
                  <c:v>煤炭</c:v>
                </c:pt>
                <c:pt idx="19">
                  <c:v>商贸零售</c:v>
                </c:pt>
                <c:pt idx="20">
                  <c:v>食品饮料</c:v>
                </c:pt>
                <c:pt idx="21">
                  <c:v>计算机</c:v>
                </c:pt>
                <c:pt idx="22">
                  <c:v>餐饮旅游</c:v>
                </c:pt>
                <c:pt idx="23">
                  <c:v>有色金属</c:v>
                </c:pt>
                <c:pt idx="24">
                  <c:v>综合</c:v>
                </c:pt>
                <c:pt idx="25">
                  <c:v>电子元器件</c:v>
                </c:pt>
                <c:pt idx="26">
                  <c:v>医药</c:v>
                </c:pt>
                <c:pt idx="27">
                  <c:v>通信</c:v>
                </c:pt>
                <c:pt idx="28">
                  <c:v>传媒</c:v>
                </c:pt>
              </c:strCache>
            </c:strRef>
          </c:cat>
          <c:val>
            <c:numRef>
              <c:f>行业指数!$H$2:$H$30</c:f>
              <c:numCache>
                <c:formatCode>#,##0.000_ </c:formatCode>
                <c:ptCount val="29"/>
                <c:pt idx="0">
                  <c:v>10.06</c:v>
                </c:pt>
                <c:pt idx="1">
                  <c:v>7.26</c:v>
                </c:pt>
                <c:pt idx="2">
                  <c:v>5.3199999999999985</c:v>
                </c:pt>
                <c:pt idx="3">
                  <c:v>2.17</c:v>
                </c:pt>
                <c:pt idx="4">
                  <c:v>0.74000000000000221</c:v>
                </c:pt>
                <c:pt idx="5">
                  <c:v>0.72000000000000064</c:v>
                </c:pt>
                <c:pt idx="6">
                  <c:v>0.16</c:v>
                </c:pt>
                <c:pt idx="7">
                  <c:v>-0.78</c:v>
                </c:pt>
                <c:pt idx="8">
                  <c:v>-0.8</c:v>
                </c:pt>
                <c:pt idx="9">
                  <c:v>-1.46</c:v>
                </c:pt>
                <c:pt idx="10">
                  <c:v>-1.52</c:v>
                </c:pt>
                <c:pt idx="11">
                  <c:v>-1.6300000000000001</c:v>
                </c:pt>
                <c:pt idx="12">
                  <c:v>-1.74</c:v>
                </c:pt>
                <c:pt idx="13">
                  <c:v>-1.8</c:v>
                </c:pt>
                <c:pt idx="14">
                  <c:v>-2.44</c:v>
                </c:pt>
                <c:pt idx="15">
                  <c:v>-3.42</c:v>
                </c:pt>
                <c:pt idx="16">
                  <c:v>-3.84</c:v>
                </c:pt>
                <c:pt idx="17">
                  <c:v>-3.9899999999999998</c:v>
                </c:pt>
                <c:pt idx="18">
                  <c:v>-4.9400000000000004</c:v>
                </c:pt>
                <c:pt idx="19">
                  <c:v>-5.21</c:v>
                </c:pt>
                <c:pt idx="20">
                  <c:v>-5.26</c:v>
                </c:pt>
                <c:pt idx="21">
                  <c:v>-5.6499999999999995</c:v>
                </c:pt>
                <c:pt idx="22">
                  <c:v>-6.37</c:v>
                </c:pt>
                <c:pt idx="23">
                  <c:v>-6.4700000000000024</c:v>
                </c:pt>
                <c:pt idx="24">
                  <c:v>-6.68</c:v>
                </c:pt>
                <c:pt idx="25">
                  <c:v>-6.83</c:v>
                </c:pt>
                <c:pt idx="26">
                  <c:v>-6.99</c:v>
                </c:pt>
                <c:pt idx="27">
                  <c:v>-7.49</c:v>
                </c:pt>
                <c:pt idx="28">
                  <c:v>-22.75</c:v>
                </c:pt>
              </c:numCache>
            </c:numRef>
          </c:val>
        </c:ser>
        <c:axId val="218286720"/>
        <c:axId val="219235072"/>
      </c:barChart>
      <c:catAx>
        <c:axId val="218286720"/>
        <c:scaling>
          <c:orientation val="minMax"/>
        </c:scaling>
        <c:axPos val="b"/>
        <c:numFmt formatCode="@" sourceLinked="1"/>
        <c:tickLblPos val="low"/>
        <c:txPr>
          <a:bodyPr/>
          <a:lstStyle/>
          <a:p>
            <a:pPr>
              <a:defRPr sz="900">
                <a:latin typeface="+mn-ea"/>
                <a:ea typeface="+mn-ea"/>
              </a:defRPr>
            </a:pPr>
            <a:endParaRPr lang="zh-CN"/>
          </a:p>
        </c:txPr>
        <c:crossAx val="219235072"/>
        <c:crosses val="autoZero"/>
        <c:auto val="1"/>
        <c:lblAlgn val="ctr"/>
        <c:lblOffset val="100"/>
      </c:catAx>
      <c:valAx>
        <c:axId val="219235072"/>
        <c:scaling>
          <c:orientation val="minMax"/>
          <c:max val="10"/>
          <c:min val="-25"/>
        </c:scaling>
        <c:axPos val="l"/>
        <c:numFmt formatCode="#,##0_ " sourceLinked="0"/>
        <c:tickLblPos val="nextTo"/>
        <c:txPr>
          <a:bodyPr/>
          <a:lstStyle/>
          <a:p>
            <a:pPr>
              <a:defRPr sz="900">
                <a:latin typeface="Arial" pitchFamily="34" charset="0"/>
                <a:cs typeface="Arial" pitchFamily="34" charset="0"/>
              </a:defRPr>
            </a:pPr>
            <a:endParaRPr lang="zh-CN"/>
          </a:p>
        </c:txPr>
        <c:crossAx val="218286720"/>
        <c:crosses val="autoZero"/>
        <c:crossBetween val="between"/>
        <c:majorUnit val="5"/>
      </c:valAx>
    </c:plotArea>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plotArea>
      <c:layout/>
      <c:barChart>
        <c:barDir val="bar"/>
        <c:grouping val="clustered"/>
        <c:ser>
          <c:idx val="0"/>
          <c:order val="0"/>
          <c:dPt>
            <c:idx val="2"/>
            <c:spPr>
              <a:solidFill>
                <a:schemeClr val="accent1"/>
              </a:solidFill>
            </c:spPr>
          </c:dPt>
          <c:dPt>
            <c:idx val="3"/>
            <c:spPr>
              <a:solidFill>
                <a:schemeClr val="accent1"/>
              </a:solidFill>
            </c:spPr>
          </c:dPt>
          <c:dPt>
            <c:idx val="4"/>
            <c:spPr>
              <a:solidFill>
                <a:schemeClr val="accent2"/>
              </a:solidFill>
            </c:spPr>
          </c:dPt>
          <c:dPt>
            <c:idx val="5"/>
            <c:spPr>
              <a:solidFill>
                <a:schemeClr val="accent2"/>
              </a:solidFill>
            </c:spPr>
          </c:dPt>
          <c:cat>
            <c:strRef>
              <c:f>Sheet3!$A$1:$A$9</c:f>
              <c:strCache>
                <c:ptCount val="9"/>
                <c:pt idx="0">
                  <c:v>投连险（偏股类-非指数型）</c:v>
                </c:pt>
                <c:pt idx="1">
                  <c:v>券商集合理财（非限定性-小集合）</c:v>
                </c:pt>
                <c:pt idx="2">
                  <c:v>券商集合理财（非限定性-大集合）</c:v>
                </c:pt>
                <c:pt idx="3">
                  <c:v>公募基金（偏股类-非指数型）</c:v>
                </c:pt>
                <c:pt idx="4">
                  <c:v>对冲基金（股票多头策略-分级型）</c:v>
                </c:pt>
                <c:pt idx="5">
                  <c:v>对冲基金（股票多头策略-管理型）</c:v>
                </c:pt>
                <c:pt idx="6">
                  <c:v>创业板指</c:v>
                </c:pt>
                <c:pt idx="7">
                  <c:v>中小板指</c:v>
                </c:pt>
                <c:pt idx="8">
                  <c:v>沪深300</c:v>
                </c:pt>
              </c:strCache>
            </c:strRef>
          </c:cat>
          <c:val>
            <c:numRef>
              <c:f>Sheet3!$B$1:$B$9</c:f>
              <c:numCache>
                <c:formatCode>0.00%</c:formatCode>
                <c:ptCount val="9"/>
                <c:pt idx="0">
                  <c:v>-1.9400000000000042E-2</c:v>
                </c:pt>
                <c:pt idx="1">
                  <c:v>1.1000000000000025E-3</c:v>
                </c:pt>
                <c:pt idx="2">
                  <c:v>-1.1299999999999998E-2</c:v>
                </c:pt>
                <c:pt idx="3">
                  <c:v>-4.3199999999999995E-2</c:v>
                </c:pt>
                <c:pt idx="4">
                  <c:v>-2.8400000000000002E-2</c:v>
                </c:pt>
                <c:pt idx="5">
                  <c:v>-1.9500000000000035E-2</c:v>
                </c:pt>
                <c:pt idx="6">
                  <c:v>-9.6800000000000025E-2</c:v>
                </c:pt>
                <c:pt idx="7">
                  <c:v>-6.6000000000000003E-2</c:v>
                </c:pt>
                <c:pt idx="8">
                  <c:v>-1.4700000000000001E-2</c:v>
                </c:pt>
              </c:numCache>
            </c:numRef>
          </c:val>
        </c:ser>
        <c:axId val="165069184"/>
        <c:axId val="165070720"/>
      </c:barChart>
      <c:catAx>
        <c:axId val="165069184"/>
        <c:scaling>
          <c:orientation val="minMax"/>
        </c:scaling>
        <c:axPos val="l"/>
        <c:tickLblPos val="low"/>
        <c:crossAx val="165070720"/>
        <c:crosses val="autoZero"/>
        <c:auto val="1"/>
        <c:lblAlgn val="ctr"/>
        <c:lblOffset val="100"/>
      </c:catAx>
      <c:valAx>
        <c:axId val="165070720"/>
        <c:scaling>
          <c:orientation val="minMax"/>
        </c:scaling>
        <c:axPos val="b"/>
        <c:majorGridlines/>
        <c:numFmt formatCode="0%" sourceLinked="0"/>
        <c:tickLblPos val="nextTo"/>
        <c:crossAx val="165069184"/>
        <c:crosses val="autoZero"/>
        <c:crossBetween val="between"/>
      </c:valAx>
    </c:plotArea>
    <c:plotVisOnly val="1"/>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D672E8-CFEF-43E6-BC35-692E95BC7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7</Pages>
  <Words>926</Words>
  <Characters>5284</Characters>
  <Application>Microsoft Office Word</Application>
  <DocSecurity>0</DocSecurity>
  <Lines>44</Lines>
  <Paragraphs>12</Paragraphs>
  <ScaleCrop>false</ScaleCrop>
  <Company/>
  <LinksUpToDate>false</LinksUpToDate>
  <CharactersWithSpaces>6198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shanghai vstone</dc:creator>
  <cp:lastModifiedBy>shanghai vstone</cp:lastModifiedBy>
  <cp:revision>93</cp:revision>
  <dcterms:created xsi:type="dcterms:W3CDTF">2013-11-22T08:48:00Z</dcterms:created>
  <dcterms:modified xsi:type="dcterms:W3CDTF">2013-11-26T03:28:00Z</dcterms:modified>
</cp:coreProperties>
</file>