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37" w:tblpY="-2806"/>
        <w:tblW w:w="3888" w:type="dxa"/>
        <w:shd w:val="clear" w:color="auto" w:fill="E0E0E0"/>
        <w:tblLayout w:type="fixed"/>
        <w:tblLook w:val="01E0" w:firstRow="1" w:lastRow="1" w:firstColumn="1" w:lastColumn="1" w:noHBand="0" w:noVBand="0"/>
      </w:tblPr>
      <w:tblGrid>
        <w:gridCol w:w="534"/>
        <w:gridCol w:w="1554"/>
        <w:gridCol w:w="1800"/>
      </w:tblGrid>
      <w:tr w:rsidR="0063384C" w:rsidRPr="00F57D27" w:rsidTr="004D0283">
        <w:trPr>
          <w:trHeight w:val="709"/>
        </w:trPr>
        <w:tc>
          <w:tcPr>
            <w:tcW w:w="534" w:type="dxa"/>
          </w:tcPr>
          <w:p w:rsidR="0063384C" w:rsidRPr="00F57D27" w:rsidRDefault="0063384C" w:rsidP="004D0283">
            <w:pPr>
              <w:rPr>
                <w:rFonts w:eastAsia="楷体_GB2312" w:hint="eastAsia"/>
                <w:b/>
                <w:color w:val="003366"/>
                <w:sz w:val="24"/>
              </w:rPr>
            </w:pPr>
          </w:p>
        </w:tc>
        <w:tc>
          <w:tcPr>
            <w:tcW w:w="1554" w:type="dxa"/>
          </w:tcPr>
          <w:p w:rsidR="0063384C" w:rsidRPr="00F57D27" w:rsidRDefault="0063384C" w:rsidP="004D0283">
            <w:pPr>
              <w:rPr>
                <w:rFonts w:eastAsia="楷体_GB2312"/>
                <w:b/>
                <w:color w:val="003366"/>
                <w:sz w:val="24"/>
              </w:rPr>
            </w:pPr>
          </w:p>
        </w:tc>
        <w:tc>
          <w:tcPr>
            <w:tcW w:w="1800" w:type="dxa"/>
            <w:vAlign w:val="center"/>
          </w:tcPr>
          <w:p w:rsidR="0063384C" w:rsidRPr="00F57D27" w:rsidRDefault="000447EC" w:rsidP="004D0283">
            <w:pPr>
              <w:rPr>
                <w:rFonts w:eastAsia="楷体_GB2312"/>
                <w:b/>
                <w:color w:val="003366"/>
                <w:sz w:val="24"/>
              </w:rPr>
            </w:pPr>
            <w:r>
              <w:rPr>
                <w:rFonts w:ascii="黑体" w:eastAsia="黑体" w:hAnsi="宋体"/>
                <w:b/>
                <w:noProof/>
                <w:color w:val="003366"/>
                <w:sz w:val="24"/>
              </w:rPr>
              <w:pict>
                <v:shapetype id="_x0000_t202" coordsize="21600,21600" o:spt="202" path="m,l,21600r21600,l21600,xe">
                  <v:stroke joinstyle="miter"/>
                  <v:path gradientshapeok="t" o:connecttype="rect"/>
                </v:shapetype>
                <v:shape id="文本框 2" o:spid="_x0000_s1026" type="#_x0000_t202" style="position:absolute;left:0;text-align:left;margin-left:61.5pt;margin-top:18.4pt;width:428.4pt;height:31.2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" fillcolor="#f00000" stroked="f">
                  <v:textbox>
                    <w:txbxContent>
                      <w:p w:rsidR="004D0283" w:rsidRPr="00FC770C" w:rsidRDefault="004D0283" w:rsidP="00EB3B11">
                        <w:pPr>
                          <w:spacing w:before="100" w:beforeAutospacing="1" w:after="100" w:afterAutospacing="1"/>
                          <w:ind w:firstLine="284"/>
                          <w:jc w:val="right"/>
                          <w:rPr>
                            <w:rFonts w:ascii="楷体_GB2312" w:eastAsia="楷体_GB2312" w:hAnsi="宋体-18030" w:cs="宋体-18030"/>
                            <w:b/>
                            <w:color w:val="FFFFFF"/>
                            <w:sz w:val="28"/>
                            <w:szCs w:val="28"/>
                          </w:rPr>
                        </w:pPr>
                        <w:r w:rsidRPr="00FC770C">
                          <w:rPr>
                            <w:rFonts w:ascii="楷体_GB2312" w:eastAsia="楷体_GB2312" w:hAnsi="宋体-18030" w:cs="宋体-18030" w:hint="eastAsia"/>
                            <w:b/>
                            <w:color w:val="FFFFFF"/>
                            <w:sz w:val="28"/>
                            <w:szCs w:val="28"/>
                          </w:rPr>
                          <w:t xml:space="preserve">证券投资基金研究报告/ </w:t>
                        </w:r>
                        <w:r>
                          <w:rPr>
                            <w:rFonts w:ascii="楷体_GB2312" w:eastAsia="楷体_GB2312" w:hAnsi="宋体-18030" w:cs="宋体-18030"/>
                            <w:b/>
                            <w:color w:val="FFFFFF"/>
                            <w:sz w:val="28"/>
                            <w:szCs w:val="28"/>
                          </w:rPr>
                          <w:t>分级</w:t>
                        </w:r>
                        <w:r>
                          <w:rPr>
                            <w:rFonts w:ascii="楷体_GB2312" w:eastAsia="楷体_GB2312" w:hAnsi="宋体-18030" w:cs="宋体-18030" w:hint="eastAsia"/>
                            <w:b/>
                            <w:color w:val="FFFFFF"/>
                            <w:sz w:val="28"/>
                            <w:szCs w:val="28"/>
                          </w:rPr>
                          <w:t>基金</w:t>
                        </w:r>
                      </w:p>
                    </w:txbxContent>
                  </v:textbox>
                </v:shape>
              </w:pict>
            </w:r>
          </w:p>
        </w:tc>
      </w:tr>
      <w:tr w:rsidR="0063384C" w:rsidRPr="00F57D27" w:rsidTr="004D0283">
        <w:trPr>
          <w:trHeight w:val="284"/>
        </w:trPr>
        <w:tc>
          <w:tcPr>
            <w:tcW w:w="534" w:type="dxa"/>
            <w:shd w:val="clear" w:color="auto" w:fill="CDD7FA"/>
          </w:tcPr>
          <w:p w:rsidR="0063384C" w:rsidRPr="00F57D27" w:rsidRDefault="0063384C" w:rsidP="004D0283">
            <w:pPr>
              <w:rPr>
                <w:rFonts w:eastAsia="楷体_GB2312"/>
                <w:b/>
                <w:color w:val="003366"/>
                <w:sz w:val="24"/>
              </w:rPr>
            </w:pPr>
          </w:p>
        </w:tc>
        <w:tc>
          <w:tcPr>
            <w:tcW w:w="3354" w:type="dxa"/>
            <w:gridSpan w:val="2"/>
            <w:shd w:val="clear" w:color="auto" w:fill="CDD7FA"/>
            <w:vAlign w:val="center"/>
          </w:tcPr>
          <w:p w:rsidR="0063384C" w:rsidRPr="00F57D27" w:rsidRDefault="0063384C" w:rsidP="004D0283">
            <w:pPr>
              <w:rPr>
                <w:rFonts w:eastAsia="楷体_GB2312"/>
                <w:b/>
                <w:color w:val="003366"/>
                <w:sz w:val="24"/>
              </w:rPr>
            </w:pPr>
          </w:p>
        </w:tc>
      </w:tr>
      <w:tr w:rsidR="0063384C" w:rsidRPr="00F57D27" w:rsidTr="004D0283">
        <w:trPr>
          <w:trHeight w:val="284"/>
        </w:trPr>
        <w:tc>
          <w:tcPr>
            <w:tcW w:w="534" w:type="dxa"/>
            <w:shd w:val="clear" w:color="auto" w:fill="CDD7FA"/>
          </w:tcPr>
          <w:p w:rsidR="0063384C" w:rsidRPr="00F57D27" w:rsidRDefault="0063384C" w:rsidP="004D0283">
            <w:pPr>
              <w:rPr>
                <w:rFonts w:eastAsia="楷体_GB2312"/>
                <w:b/>
                <w:color w:val="003366"/>
                <w:sz w:val="24"/>
              </w:rPr>
            </w:pPr>
          </w:p>
        </w:tc>
        <w:tc>
          <w:tcPr>
            <w:tcW w:w="3354" w:type="dxa"/>
            <w:gridSpan w:val="2"/>
            <w:shd w:val="clear" w:color="auto" w:fill="CDD7FA"/>
          </w:tcPr>
          <w:p w:rsidR="0063384C" w:rsidRPr="00F57D27" w:rsidRDefault="0063384C" w:rsidP="004D0283">
            <w:pPr>
              <w:rPr>
                <w:rFonts w:eastAsia="楷体_GB2312"/>
                <w:b/>
                <w:color w:val="003366"/>
                <w:sz w:val="24"/>
              </w:rPr>
            </w:pPr>
          </w:p>
        </w:tc>
      </w:tr>
      <w:tr w:rsidR="0063384C" w:rsidRPr="00F57D27" w:rsidTr="004D0283">
        <w:trPr>
          <w:trHeight w:val="2216"/>
        </w:trPr>
        <w:tc>
          <w:tcPr>
            <w:tcW w:w="534" w:type="dxa"/>
            <w:shd w:val="clear" w:color="auto" w:fill="CDD7FA"/>
          </w:tcPr>
          <w:p w:rsidR="0063384C" w:rsidRPr="00F57D27" w:rsidRDefault="0063384C" w:rsidP="004D0283">
            <w:pPr>
              <w:rPr>
                <w:rFonts w:eastAsia="楷体_GB2312"/>
                <w:b/>
                <w:color w:val="003366"/>
                <w:sz w:val="24"/>
              </w:rPr>
            </w:pPr>
          </w:p>
        </w:tc>
        <w:tc>
          <w:tcPr>
            <w:tcW w:w="3354" w:type="dxa"/>
            <w:gridSpan w:val="2"/>
            <w:shd w:val="clear" w:color="auto" w:fill="CDD7FA"/>
          </w:tcPr>
          <w:p w:rsidR="0063384C" w:rsidRPr="00F57D27" w:rsidRDefault="00CB67B6" w:rsidP="004D0283">
            <w:pPr>
              <w:spacing w:line="360" w:lineRule="auto"/>
              <w:rPr>
                <w:rFonts w:eastAsia="楷体_GB2312"/>
                <w:noProof/>
                <w:sz w:val="24"/>
              </w:rPr>
            </w:pPr>
            <w:r>
              <w:rPr>
                <w:rFonts w:eastAsia="楷体_GB2312"/>
                <w:b/>
                <w:noProof/>
                <w:color w:val="003366"/>
                <w:sz w:val="24"/>
              </w:rPr>
              <w:drawing>
                <wp:anchor distT="0" distB="0" distL="114300" distR="114300" simplePos="0" relativeHeight="251661312" behindDoc="0" locked="0" layoutInCell="1" allowOverlap="1">
                  <wp:simplePos x="0" y="0"/>
                  <wp:positionH relativeFrom="column">
                    <wp:posOffset>-233045</wp:posOffset>
                  </wp:positionH>
                  <wp:positionV relativeFrom="paragraph">
                    <wp:posOffset>93345</wp:posOffset>
                  </wp:positionV>
                  <wp:extent cx="1717481" cy="818984"/>
                  <wp:effectExtent l="0" t="0" r="0" b="0"/>
                  <wp:wrapNone/>
                  <wp:docPr id="11"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cstate="print">
                            <a:clrChange>
                              <a:clrFrom>
                                <a:srgbClr val="D2D2FF"/>
                              </a:clrFrom>
                              <a:clrTo>
                                <a:srgbClr val="D2D2FF">
                                  <a:alpha val="0"/>
                                </a:srgbClr>
                              </a:clrTo>
                            </a:clrChange>
                          </a:blip>
                          <a:srcRect/>
                          <a:stretch>
                            <a:fillRect/>
                          </a:stretch>
                        </pic:blipFill>
                        <pic:spPr bwMode="auto">
                          <a:xfrm>
                            <a:off x="0" y="0"/>
                            <a:ext cx="1717481" cy="818984"/>
                          </a:xfrm>
                          <a:prstGeom prst="rect">
                            <a:avLst/>
                          </a:prstGeom>
                          <a:noFill/>
                          <a:ln w="9525">
                            <a:noFill/>
                            <a:miter lim="800000"/>
                            <a:headEnd/>
                            <a:tailEnd/>
                          </a:ln>
                        </pic:spPr>
                      </pic:pic>
                    </a:graphicData>
                  </a:graphic>
                </wp:anchor>
              </w:drawing>
            </w:r>
          </w:p>
        </w:tc>
      </w:tr>
      <w:tr w:rsidR="0063384C" w:rsidRPr="00F57D27" w:rsidTr="004D0283">
        <w:trPr>
          <w:trHeight w:val="457"/>
        </w:trPr>
        <w:tc>
          <w:tcPr>
            <w:tcW w:w="534" w:type="dxa"/>
          </w:tcPr>
          <w:p w:rsidR="0063384C" w:rsidRPr="00D82E82" w:rsidRDefault="0063384C" w:rsidP="004D0283">
            <w:pPr>
              <w:rPr>
                <w:rFonts w:eastAsia="楷体_GB2312"/>
                <w:b/>
                <w:color w:val="003366"/>
              </w:rPr>
            </w:pPr>
          </w:p>
        </w:tc>
        <w:tc>
          <w:tcPr>
            <w:tcW w:w="3354" w:type="dxa"/>
            <w:gridSpan w:val="2"/>
            <w:vAlign w:val="bottom"/>
          </w:tcPr>
          <w:p w:rsidR="0063384C" w:rsidRPr="002D6491" w:rsidRDefault="0063384C" w:rsidP="004D0283">
            <w:pPr>
              <w:spacing w:line="360" w:lineRule="auto"/>
              <w:ind w:left="-288" w:firstLineChars="150" w:firstLine="316"/>
              <w:rPr>
                <w:rFonts w:eastAsia="楷体_GB2312"/>
                <w:b/>
                <w:color w:val="003366"/>
                <w:szCs w:val="21"/>
              </w:rPr>
            </w:pPr>
          </w:p>
        </w:tc>
      </w:tr>
      <w:tr w:rsidR="0063384C" w:rsidRPr="00F57D27" w:rsidTr="004D0283">
        <w:trPr>
          <w:trHeight w:val="284"/>
        </w:trPr>
        <w:tc>
          <w:tcPr>
            <w:tcW w:w="534" w:type="dxa"/>
          </w:tcPr>
          <w:p w:rsidR="0063384C" w:rsidRPr="00F57D27" w:rsidRDefault="0063384C" w:rsidP="004D0283">
            <w:pPr>
              <w:rPr>
                <w:rFonts w:eastAsia="楷体_GB2312"/>
                <w:b/>
                <w:color w:val="003366"/>
                <w:sz w:val="24"/>
              </w:rPr>
            </w:pPr>
          </w:p>
          <w:p w:rsidR="0063384C" w:rsidRPr="00F57D27" w:rsidRDefault="0063384C" w:rsidP="004D0283">
            <w:pPr>
              <w:rPr>
                <w:rFonts w:eastAsia="楷体_GB2312"/>
                <w:b/>
                <w:color w:val="003366"/>
                <w:sz w:val="24"/>
              </w:rPr>
            </w:pPr>
          </w:p>
          <w:p w:rsidR="0063384C" w:rsidRPr="00F57D27" w:rsidRDefault="0063384C" w:rsidP="004D0283">
            <w:pPr>
              <w:rPr>
                <w:rFonts w:eastAsia="楷体_GB2312"/>
                <w:b/>
                <w:color w:val="003366"/>
                <w:sz w:val="24"/>
              </w:rPr>
            </w:pPr>
          </w:p>
        </w:tc>
        <w:tc>
          <w:tcPr>
            <w:tcW w:w="3354" w:type="dxa"/>
            <w:gridSpan w:val="2"/>
            <w:vAlign w:val="center"/>
          </w:tcPr>
          <w:p w:rsidR="0063384C" w:rsidRPr="00CD7632" w:rsidRDefault="0063384C" w:rsidP="0063384C">
            <w:pPr>
              <w:ind w:leftChars="-51" w:rightChars="34" w:right="71" w:hangingChars="51" w:hanging="107"/>
              <w:rPr>
                <w:noProof/>
              </w:rPr>
            </w:pPr>
          </w:p>
        </w:tc>
      </w:tr>
      <w:tr w:rsidR="0063384C" w:rsidRPr="00F57D27" w:rsidTr="004D0283">
        <w:trPr>
          <w:trHeight w:val="284"/>
        </w:trPr>
        <w:tc>
          <w:tcPr>
            <w:tcW w:w="534" w:type="dxa"/>
          </w:tcPr>
          <w:p w:rsidR="0063384C" w:rsidRPr="00F57D27" w:rsidRDefault="0063384C" w:rsidP="004D0283">
            <w:pPr>
              <w:rPr>
                <w:rFonts w:eastAsia="楷体_GB2312"/>
                <w:b/>
                <w:color w:val="003366"/>
                <w:sz w:val="24"/>
              </w:rPr>
            </w:pPr>
          </w:p>
        </w:tc>
        <w:tc>
          <w:tcPr>
            <w:tcW w:w="3354" w:type="dxa"/>
            <w:gridSpan w:val="2"/>
          </w:tcPr>
          <w:p w:rsidR="0063384C" w:rsidRPr="00CD7632" w:rsidRDefault="0063384C" w:rsidP="004D0283">
            <w:pPr>
              <w:rPr>
                <w:rFonts w:eastAsia="楷体_GB2312"/>
                <w:b/>
                <w:color w:val="003366"/>
              </w:rPr>
            </w:pPr>
            <w:r w:rsidRPr="00CD7632">
              <w:rPr>
                <w:rFonts w:eastAsia="楷体_GB2312" w:hint="eastAsia"/>
                <w:b/>
                <w:color w:val="003366"/>
              </w:rPr>
              <w:t>上海证券基金评价研究中心</w:t>
            </w:r>
          </w:p>
          <w:p w:rsidR="0063384C" w:rsidRPr="00CD7632" w:rsidRDefault="0063384C" w:rsidP="004D0283">
            <w:pPr>
              <w:rPr>
                <w:rFonts w:eastAsia="楷体_GB2312"/>
                <w:color w:val="003366"/>
              </w:rPr>
            </w:pPr>
          </w:p>
        </w:tc>
      </w:tr>
      <w:tr w:rsidR="0063384C" w:rsidRPr="00F57D27" w:rsidTr="004D0283">
        <w:trPr>
          <w:trHeight w:val="284"/>
        </w:trPr>
        <w:tc>
          <w:tcPr>
            <w:tcW w:w="534" w:type="dxa"/>
          </w:tcPr>
          <w:p w:rsidR="0063384C" w:rsidRPr="00F57D27" w:rsidRDefault="0063384C" w:rsidP="004D0283">
            <w:pPr>
              <w:rPr>
                <w:rFonts w:eastAsia="楷体_GB2312"/>
                <w:b/>
                <w:color w:val="003366"/>
                <w:sz w:val="24"/>
              </w:rPr>
            </w:pPr>
          </w:p>
        </w:tc>
        <w:tc>
          <w:tcPr>
            <w:tcW w:w="3354" w:type="dxa"/>
            <w:gridSpan w:val="2"/>
          </w:tcPr>
          <w:p w:rsidR="0063384C" w:rsidRPr="00CD7632" w:rsidRDefault="0063384C" w:rsidP="0063384C">
            <w:pPr>
              <w:rPr>
                <w:rFonts w:eastAsia="楷体_GB2312"/>
                <w:b/>
                <w:color w:val="003366"/>
              </w:rPr>
            </w:pPr>
            <w:r>
              <w:rPr>
                <w:rFonts w:eastAsia="楷体_GB2312" w:hint="eastAsia"/>
                <w:b/>
                <w:color w:val="003366"/>
              </w:rPr>
              <w:t>李颖</w:t>
            </w:r>
          </w:p>
          <w:p w:rsidR="0063384C" w:rsidRPr="00D206D3" w:rsidRDefault="0063384C" w:rsidP="0063384C">
            <w:pPr>
              <w:rPr>
                <w:rFonts w:eastAsia="楷体_GB2312"/>
                <w:color w:val="003366"/>
              </w:rPr>
            </w:pPr>
            <w:r w:rsidRPr="00CD7632">
              <w:rPr>
                <w:rFonts w:eastAsia="楷体_GB2312" w:hint="eastAsia"/>
                <w:color w:val="003366"/>
              </w:rPr>
              <w:t>执业证书编号：</w:t>
            </w:r>
            <w:r w:rsidRPr="00CD7632">
              <w:rPr>
                <w:rFonts w:eastAsia="楷体_GB2312"/>
                <w:b/>
                <w:color w:val="003366"/>
                <w:sz w:val="24"/>
              </w:rPr>
              <w:t>S087051</w:t>
            </w:r>
            <w:r>
              <w:rPr>
                <w:rFonts w:eastAsia="楷体_GB2312"/>
                <w:b/>
                <w:color w:val="003366"/>
                <w:sz w:val="24"/>
              </w:rPr>
              <w:t>2110001</w:t>
            </w:r>
            <w:r w:rsidRPr="00D206D3">
              <w:rPr>
                <w:rFonts w:eastAsia="楷体_GB2312" w:hint="eastAsia"/>
                <w:color w:val="003366"/>
              </w:rPr>
              <w:t>邮箱：</w:t>
            </w:r>
            <w:r>
              <w:rPr>
                <w:rFonts w:eastAsia="楷体_GB2312"/>
                <w:color w:val="003366"/>
              </w:rPr>
              <w:t>liying</w:t>
            </w:r>
            <w:r>
              <w:rPr>
                <w:rFonts w:eastAsia="楷体_GB2312" w:hint="eastAsia"/>
                <w:color w:val="003366"/>
              </w:rPr>
              <w:t>@shzq.com</w:t>
            </w:r>
          </w:p>
          <w:p w:rsidR="0063384C" w:rsidRDefault="0063384C" w:rsidP="0063384C">
            <w:pPr>
              <w:rPr>
                <w:rFonts w:eastAsia="楷体_GB2312"/>
                <w:color w:val="003366"/>
              </w:rPr>
            </w:pPr>
            <w:r w:rsidRPr="00D206D3">
              <w:rPr>
                <w:rFonts w:eastAsia="楷体_GB2312" w:hint="eastAsia"/>
                <w:color w:val="003366"/>
              </w:rPr>
              <w:t>电话</w:t>
            </w:r>
            <w:r>
              <w:rPr>
                <w:rFonts w:eastAsia="楷体_GB2312" w:hint="eastAsia"/>
                <w:color w:val="003366"/>
              </w:rPr>
              <w:t>：</w:t>
            </w:r>
            <w:r w:rsidRPr="00D206D3">
              <w:rPr>
                <w:rFonts w:eastAsia="楷体_GB2312" w:hint="eastAsia"/>
                <w:color w:val="003366"/>
              </w:rPr>
              <w:t>（</w:t>
            </w:r>
            <w:r w:rsidRPr="00D206D3">
              <w:rPr>
                <w:rFonts w:eastAsia="楷体_GB2312" w:hint="eastAsia"/>
                <w:color w:val="003366"/>
              </w:rPr>
              <w:t>021</w:t>
            </w:r>
            <w:r w:rsidRPr="00D206D3">
              <w:rPr>
                <w:rFonts w:eastAsia="楷体_GB2312" w:hint="eastAsia"/>
                <w:color w:val="003366"/>
              </w:rPr>
              <w:t>）</w:t>
            </w:r>
            <w:r>
              <w:rPr>
                <w:rFonts w:eastAsia="楷体_GB2312"/>
                <w:color w:val="003366"/>
              </w:rPr>
              <w:t>53686117</w:t>
            </w:r>
          </w:p>
          <w:p w:rsidR="007F5D7A" w:rsidRPr="0063384C" w:rsidRDefault="007F5D7A" w:rsidP="0063384C">
            <w:pPr>
              <w:rPr>
                <w:rFonts w:eastAsia="楷体_GB2312"/>
                <w:b/>
                <w:color w:val="003366"/>
                <w:sz w:val="24"/>
              </w:rPr>
            </w:pPr>
          </w:p>
        </w:tc>
      </w:tr>
      <w:tr w:rsidR="0063384C" w:rsidRPr="00F57D27" w:rsidTr="004D0283">
        <w:trPr>
          <w:trHeight w:val="284"/>
        </w:trPr>
        <w:tc>
          <w:tcPr>
            <w:tcW w:w="534" w:type="dxa"/>
          </w:tcPr>
          <w:p w:rsidR="0063384C" w:rsidRPr="00F57D27" w:rsidRDefault="0063384C" w:rsidP="004D0283">
            <w:pPr>
              <w:rPr>
                <w:rFonts w:eastAsia="楷体_GB2312"/>
                <w:b/>
                <w:color w:val="003366"/>
                <w:sz w:val="24"/>
              </w:rPr>
            </w:pPr>
          </w:p>
        </w:tc>
        <w:tc>
          <w:tcPr>
            <w:tcW w:w="3354" w:type="dxa"/>
            <w:gridSpan w:val="2"/>
          </w:tcPr>
          <w:p w:rsidR="0063384C" w:rsidRDefault="0063384C" w:rsidP="004D0283">
            <w:pPr>
              <w:rPr>
                <w:rFonts w:eastAsia="楷体_GB2312"/>
                <w:b/>
                <w:color w:val="003366"/>
              </w:rPr>
            </w:pPr>
            <w:r w:rsidRPr="00A71B95">
              <w:rPr>
                <w:rFonts w:eastAsia="楷体_GB2312" w:hint="eastAsia"/>
                <w:b/>
                <w:color w:val="003366"/>
              </w:rPr>
              <w:t>闻嘉琦</w:t>
            </w:r>
          </w:p>
          <w:p w:rsidR="0063384C" w:rsidRDefault="0063384C" w:rsidP="004D0283">
            <w:r w:rsidRPr="00CD7632">
              <w:rPr>
                <w:rFonts w:eastAsia="楷体_GB2312" w:hint="eastAsia"/>
                <w:color w:val="003366"/>
              </w:rPr>
              <w:t>执业证书编号：</w:t>
            </w:r>
            <w:r w:rsidRPr="00D206D3">
              <w:rPr>
                <w:rFonts w:eastAsia="楷体_GB2312" w:hint="eastAsia"/>
                <w:b/>
                <w:color w:val="003366"/>
                <w:sz w:val="24"/>
              </w:rPr>
              <w:t>S0870115050013</w:t>
            </w:r>
          </w:p>
          <w:p w:rsidR="0063384C" w:rsidRPr="00D206D3" w:rsidRDefault="0063384C" w:rsidP="004D0283">
            <w:pPr>
              <w:rPr>
                <w:rFonts w:eastAsia="楷体_GB2312"/>
                <w:color w:val="003366"/>
              </w:rPr>
            </w:pPr>
            <w:r w:rsidRPr="00D206D3">
              <w:rPr>
                <w:rFonts w:eastAsia="楷体_GB2312" w:hint="eastAsia"/>
                <w:color w:val="003366"/>
              </w:rPr>
              <w:t>邮箱：</w:t>
            </w:r>
            <w:r>
              <w:rPr>
                <w:rFonts w:eastAsia="楷体_GB2312" w:hint="eastAsia"/>
                <w:color w:val="003366"/>
              </w:rPr>
              <w:t>wenjiaqi@shzq.com</w:t>
            </w:r>
          </w:p>
          <w:p w:rsidR="0063384C" w:rsidRPr="0063384C" w:rsidRDefault="0063384C" w:rsidP="0063384C">
            <w:pPr>
              <w:rPr>
                <w:rFonts w:eastAsia="楷体_GB2312"/>
                <w:b/>
                <w:color w:val="003366"/>
                <w:sz w:val="24"/>
              </w:rPr>
            </w:pPr>
            <w:r w:rsidRPr="00D206D3">
              <w:rPr>
                <w:rFonts w:eastAsia="楷体_GB2312" w:hint="eastAsia"/>
                <w:color w:val="003366"/>
              </w:rPr>
              <w:t>电话</w:t>
            </w:r>
            <w:r>
              <w:rPr>
                <w:rFonts w:eastAsia="楷体_GB2312" w:hint="eastAsia"/>
                <w:color w:val="003366"/>
              </w:rPr>
              <w:t>：</w:t>
            </w:r>
            <w:r w:rsidRPr="00D206D3">
              <w:rPr>
                <w:rFonts w:eastAsia="楷体_GB2312" w:hint="eastAsia"/>
                <w:color w:val="003366"/>
              </w:rPr>
              <w:t>（</w:t>
            </w:r>
            <w:r w:rsidRPr="00D206D3">
              <w:rPr>
                <w:rFonts w:eastAsia="楷体_GB2312" w:hint="eastAsia"/>
                <w:color w:val="003366"/>
              </w:rPr>
              <w:t>021</w:t>
            </w:r>
            <w:r w:rsidRPr="00D206D3">
              <w:rPr>
                <w:rFonts w:eastAsia="楷体_GB2312" w:hint="eastAsia"/>
                <w:color w:val="003366"/>
              </w:rPr>
              <w:t>）</w:t>
            </w:r>
            <w:r>
              <w:rPr>
                <w:rFonts w:eastAsia="楷体_GB2312"/>
                <w:color w:val="003366"/>
              </w:rPr>
              <w:t>53686113</w:t>
            </w:r>
          </w:p>
        </w:tc>
      </w:tr>
      <w:tr w:rsidR="0063384C" w:rsidRPr="00F57D27" w:rsidTr="004D0283">
        <w:trPr>
          <w:trHeight w:val="284"/>
        </w:trPr>
        <w:tc>
          <w:tcPr>
            <w:tcW w:w="534" w:type="dxa"/>
          </w:tcPr>
          <w:p w:rsidR="0063384C" w:rsidRPr="00F57D27" w:rsidRDefault="0063384C" w:rsidP="004D0283">
            <w:pPr>
              <w:rPr>
                <w:rFonts w:eastAsia="楷体_GB2312"/>
                <w:b/>
                <w:color w:val="003366"/>
                <w:sz w:val="24"/>
              </w:rPr>
            </w:pPr>
          </w:p>
        </w:tc>
        <w:tc>
          <w:tcPr>
            <w:tcW w:w="3354" w:type="dxa"/>
            <w:gridSpan w:val="2"/>
          </w:tcPr>
          <w:tbl>
            <w:tblPr>
              <w:tblpPr w:leftFromText="180" w:rightFromText="180" w:vertAnchor="text" w:horzAnchor="page" w:tblpX="37" w:tblpY="-2806"/>
              <w:tblW w:w="3888" w:type="dxa"/>
              <w:shd w:val="clear" w:color="auto" w:fill="E0E0E0"/>
              <w:tblLayout w:type="fixed"/>
              <w:tblLook w:val="01E0" w:firstRow="1" w:lastRow="1" w:firstColumn="1" w:lastColumn="1" w:noHBand="0" w:noVBand="0"/>
            </w:tblPr>
            <w:tblGrid>
              <w:gridCol w:w="3420"/>
              <w:gridCol w:w="468"/>
            </w:tblGrid>
            <w:tr w:rsidR="0063384C" w:rsidRPr="00F57D27" w:rsidTr="004D0283">
              <w:trPr>
                <w:trHeight w:hRule="exact" w:val="284"/>
              </w:trPr>
              <w:tc>
                <w:tcPr>
                  <w:tcW w:w="3888" w:type="dxa"/>
                  <w:gridSpan w:val="2"/>
                </w:tcPr>
                <w:p w:rsidR="0063384C" w:rsidRPr="00F57D27" w:rsidRDefault="0063384C" w:rsidP="00D45450">
                  <w:pPr>
                    <w:pStyle w:val="a6"/>
                    <w:rPr>
                      <w:rFonts w:eastAsia="楷体_GB2312"/>
                      <w:color w:val="003366"/>
                      <w:sz w:val="24"/>
                    </w:rPr>
                  </w:pPr>
                </w:p>
              </w:tc>
            </w:tr>
            <w:tr w:rsidR="0063384C" w:rsidRPr="00F57D27" w:rsidTr="004D0283">
              <w:trPr>
                <w:gridAfter w:val="1"/>
                <w:wAfter w:w="468" w:type="dxa"/>
                <w:trHeight w:hRule="exact" w:val="284"/>
              </w:trPr>
              <w:tc>
                <w:tcPr>
                  <w:tcW w:w="3420" w:type="dxa"/>
                </w:tcPr>
                <w:p w:rsidR="0063384C" w:rsidRPr="00F57D27" w:rsidRDefault="0063384C" w:rsidP="004D0283">
                  <w:pPr>
                    <w:rPr>
                      <w:rFonts w:eastAsia="楷体_GB2312"/>
                      <w:sz w:val="24"/>
                    </w:rPr>
                  </w:pPr>
                </w:p>
              </w:tc>
            </w:tr>
            <w:tr w:rsidR="0063384C" w:rsidRPr="00F57D27" w:rsidTr="004D0283">
              <w:trPr>
                <w:gridAfter w:val="1"/>
                <w:wAfter w:w="468" w:type="dxa"/>
                <w:trHeight w:hRule="exact" w:val="284"/>
              </w:trPr>
              <w:tc>
                <w:tcPr>
                  <w:tcW w:w="3420" w:type="dxa"/>
                </w:tcPr>
                <w:p w:rsidR="00D45450" w:rsidRPr="00B21A03" w:rsidRDefault="00D45450" w:rsidP="00D45450">
                  <w:pPr>
                    <w:pStyle w:val="a6"/>
                    <w:rPr>
                      <w:rFonts w:hAnsi="宋体" w:cs="宋体"/>
                    </w:rPr>
                  </w:pPr>
                  <w:r w:rsidRPr="00F57D27">
                    <w:rPr>
                      <w:rFonts w:eastAsia="黑体" w:hint="eastAsia"/>
                      <w:b/>
                      <w:color w:val="003366"/>
                      <w:sz w:val="24"/>
                    </w:rPr>
                    <w:t>报告</w:t>
                  </w:r>
                  <w:r w:rsidRPr="00F57D27">
                    <w:rPr>
                      <w:rFonts w:eastAsia="黑体"/>
                      <w:b/>
                      <w:color w:val="003366"/>
                      <w:sz w:val="24"/>
                    </w:rPr>
                    <w:t>日期</w:t>
                  </w:r>
                  <w:r w:rsidRPr="00F57D27">
                    <w:rPr>
                      <w:rFonts w:eastAsia="黑体" w:hint="eastAsia"/>
                      <w:b/>
                      <w:color w:val="003366"/>
                      <w:sz w:val="24"/>
                    </w:rPr>
                    <w:t>：</w:t>
                  </w:r>
                  <w:r w:rsidRPr="00582817">
                    <w:rPr>
                      <w:rFonts w:ascii="Times New Roman" w:eastAsia="楷体_GB2312" w:hAnsi="Times New Roman" w:cs="Times New Roman"/>
                      <w:color w:val="003366"/>
                      <w:szCs w:val="24"/>
                    </w:rPr>
                    <w:t>2016</w:t>
                  </w:r>
                  <w:r w:rsidRPr="00582817">
                    <w:rPr>
                      <w:rFonts w:ascii="Times New Roman" w:eastAsia="楷体_GB2312" w:hAnsi="Times New Roman" w:cs="Times New Roman"/>
                      <w:color w:val="003366"/>
                      <w:szCs w:val="24"/>
                    </w:rPr>
                    <w:t>年</w:t>
                  </w:r>
                  <w:r w:rsidR="005009A7">
                    <w:rPr>
                      <w:rFonts w:ascii="Times New Roman" w:eastAsia="楷体_GB2312" w:hAnsi="Times New Roman" w:cs="Times New Roman"/>
                      <w:color w:val="003366"/>
                      <w:szCs w:val="24"/>
                    </w:rPr>
                    <w:t>8</w:t>
                  </w:r>
                  <w:r w:rsidRPr="00582817">
                    <w:rPr>
                      <w:rFonts w:ascii="Times New Roman" w:eastAsia="楷体_GB2312" w:hAnsi="Times New Roman" w:cs="Times New Roman"/>
                      <w:color w:val="003366"/>
                      <w:szCs w:val="24"/>
                    </w:rPr>
                    <w:t>月</w:t>
                  </w:r>
                  <w:r w:rsidR="0095009A">
                    <w:rPr>
                      <w:rFonts w:ascii="Times New Roman" w:eastAsia="楷体_GB2312" w:hAnsi="Times New Roman" w:cs="Times New Roman"/>
                      <w:color w:val="003366"/>
                      <w:szCs w:val="24"/>
                    </w:rPr>
                    <w:t>8</w:t>
                  </w:r>
                  <w:r w:rsidR="00582817">
                    <w:rPr>
                      <w:rFonts w:ascii="Times New Roman" w:eastAsia="楷体_GB2312" w:hAnsi="Times New Roman" w:cs="Times New Roman" w:hint="eastAsia"/>
                      <w:color w:val="003366"/>
                      <w:szCs w:val="24"/>
                    </w:rPr>
                    <w:t>日</w:t>
                  </w:r>
                </w:p>
                <w:p w:rsidR="0063384C" w:rsidRPr="00F57D27" w:rsidRDefault="0063384C" w:rsidP="00D45450">
                  <w:pPr>
                    <w:rPr>
                      <w:rFonts w:ascii="黑体" w:eastAsia="黑体"/>
                      <w:b/>
                      <w:color w:val="003366"/>
                      <w:sz w:val="24"/>
                    </w:rPr>
                  </w:pPr>
                </w:p>
              </w:tc>
            </w:tr>
            <w:tr w:rsidR="0063384C" w:rsidRPr="00F57D27" w:rsidTr="004D0283">
              <w:trPr>
                <w:gridAfter w:val="1"/>
                <w:wAfter w:w="468" w:type="dxa"/>
                <w:trHeight w:hRule="exact" w:val="284"/>
              </w:trPr>
              <w:tc>
                <w:tcPr>
                  <w:tcW w:w="3420" w:type="dxa"/>
                </w:tcPr>
                <w:p w:rsidR="0063384C" w:rsidRPr="00F57D27" w:rsidRDefault="0063384C" w:rsidP="004D0283">
                  <w:pPr>
                    <w:rPr>
                      <w:rFonts w:eastAsia="楷体_GB2312"/>
                      <w:b/>
                      <w:color w:val="003366"/>
                      <w:sz w:val="24"/>
                    </w:rPr>
                  </w:pPr>
                </w:p>
              </w:tc>
            </w:tr>
            <w:tr w:rsidR="0063384C" w:rsidRPr="00F57D27" w:rsidTr="004D0283">
              <w:trPr>
                <w:gridAfter w:val="1"/>
                <w:wAfter w:w="468" w:type="dxa"/>
                <w:trHeight w:hRule="exact" w:val="284"/>
              </w:trPr>
              <w:tc>
                <w:tcPr>
                  <w:tcW w:w="3420" w:type="dxa"/>
                </w:tcPr>
                <w:p w:rsidR="0063384C" w:rsidRPr="00F57D27" w:rsidRDefault="0063384C" w:rsidP="004D0283">
                  <w:pPr>
                    <w:rPr>
                      <w:rFonts w:ascii="黑体" w:eastAsia="黑体"/>
                      <w:b/>
                      <w:color w:val="003366"/>
                      <w:sz w:val="24"/>
                    </w:rPr>
                  </w:pPr>
                  <w:r w:rsidRPr="00F57D27">
                    <w:rPr>
                      <w:rFonts w:eastAsia="黑体" w:hint="eastAsia"/>
                      <w:b/>
                      <w:color w:val="003366"/>
                      <w:sz w:val="24"/>
                    </w:rPr>
                    <w:t>相关报告：</w:t>
                  </w:r>
                </w:p>
              </w:tc>
            </w:tr>
            <w:tr w:rsidR="0063384C" w:rsidRPr="00F57D27" w:rsidTr="004D0283">
              <w:trPr>
                <w:gridAfter w:val="1"/>
                <w:wAfter w:w="468" w:type="dxa"/>
                <w:trHeight w:hRule="exact" w:val="2396"/>
              </w:trPr>
              <w:tc>
                <w:tcPr>
                  <w:tcW w:w="3420" w:type="dxa"/>
                </w:tcPr>
                <w:p w:rsidR="0063384C" w:rsidRPr="00060998" w:rsidRDefault="0063384C" w:rsidP="004D0283">
                  <w:pPr>
                    <w:rPr>
                      <w:rFonts w:eastAsia="楷体_GB2312"/>
                      <w:sz w:val="18"/>
                      <w:szCs w:val="18"/>
                    </w:rPr>
                  </w:pPr>
                </w:p>
                <w:p w:rsidR="0063384C" w:rsidRPr="00E44B3F" w:rsidRDefault="0063384C" w:rsidP="004D0283">
                  <w:pPr>
                    <w:rPr>
                      <w:rFonts w:eastAsia="楷体_GB2312"/>
                      <w:sz w:val="18"/>
                      <w:szCs w:val="18"/>
                    </w:rPr>
                  </w:pPr>
                </w:p>
                <w:p w:rsidR="0063384C" w:rsidRPr="00734602" w:rsidRDefault="0063384C" w:rsidP="004D0283">
                  <w:pPr>
                    <w:rPr>
                      <w:rFonts w:eastAsia="黑体"/>
                      <w:b/>
                      <w:color w:val="003366"/>
                      <w:sz w:val="24"/>
                    </w:rPr>
                  </w:pPr>
                </w:p>
              </w:tc>
            </w:tr>
          </w:tbl>
          <w:p w:rsidR="0063384C" w:rsidRPr="00F57D27" w:rsidRDefault="0063384C" w:rsidP="004D0283">
            <w:pPr>
              <w:rPr>
                <w:rFonts w:eastAsia="楷体_GB2312"/>
                <w:b/>
                <w:color w:val="003366"/>
                <w:sz w:val="28"/>
                <w:szCs w:val="28"/>
              </w:rPr>
            </w:pPr>
          </w:p>
        </w:tc>
      </w:tr>
    </w:tbl>
    <w:p w:rsidR="0063384C" w:rsidRDefault="000447EC" w:rsidP="0063384C">
      <w:pPr>
        <w:numPr>
          <w:ilvl w:val="0"/>
          <w:numId w:val="1"/>
        </w:numPr>
        <w:spacing w:line="360" w:lineRule="auto"/>
        <w:rPr>
          <w:rFonts w:ascii="黑体" w:eastAsia="黑体" w:hAnsi="宋体"/>
          <w:b/>
          <w:color w:val="003366"/>
          <w:sz w:val="24"/>
        </w:rPr>
      </w:pPr>
      <w:r>
        <w:rPr>
          <w:rFonts w:ascii="黑体" w:eastAsia="黑体" w:hAnsi="宋体"/>
          <w:b/>
          <w:noProof/>
          <w:color w:val="003366"/>
          <w:sz w:val="24"/>
        </w:rPr>
        <w:pict>
          <v:shape id="文本框 1" o:spid="_x0000_s1027" type="#_x0000_t202" style="position:absolute;left:0;text-align:left;margin-left:-64.05pt;margin-top:-98.9pt;width:433.35pt;height:161.2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" fillcolor="#00326e" stroked="f">
            <v:textbox>
              <w:txbxContent>
                <w:p w:rsidR="004D0283" w:rsidRDefault="004D0283" w:rsidP="0063384C">
                  <w:pPr>
                    <w:rPr>
                      <w:rFonts w:ascii="宋体-18030" w:eastAsia="宋体-18030" w:hAnsi="宋体-18030" w:cs="宋体-18030"/>
                      <w:szCs w:val="21"/>
                    </w:rPr>
                  </w:pPr>
                </w:p>
                <w:p w:rsidR="004D0283" w:rsidRDefault="004D0283" w:rsidP="0063384C">
                  <w:pPr>
                    <w:rPr>
                      <w:rFonts w:ascii="宋体-18030" w:eastAsia="宋体-18030" w:hAnsi="宋体-18030" w:cs="宋体-18030"/>
                      <w:szCs w:val="21"/>
                    </w:rPr>
                  </w:pPr>
                </w:p>
                <w:p w:rsidR="004D0283" w:rsidRDefault="004D0283" w:rsidP="0063384C">
                  <w:pPr>
                    <w:rPr>
                      <w:rFonts w:ascii="宋体-18030" w:eastAsia="宋体-18030" w:hAnsi="宋体-18030" w:cs="宋体-18030"/>
                      <w:szCs w:val="21"/>
                    </w:rPr>
                  </w:pPr>
                </w:p>
                <w:p w:rsidR="004D0283" w:rsidRDefault="004D0283" w:rsidP="0063384C">
                  <w:pPr>
                    <w:rPr>
                      <w:rFonts w:ascii="宋体-18030" w:eastAsia="宋体-18030" w:hAnsi="宋体-18030" w:cs="宋体-18030"/>
                      <w:szCs w:val="21"/>
                    </w:rPr>
                  </w:pPr>
                </w:p>
                <w:p w:rsidR="004D0283" w:rsidRPr="00C2401C" w:rsidRDefault="004D0283" w:rsidP="0063384C">
                  <w:pPr>
                    <w:rPr>
                      <w:rFonts w:ascii="宋体-18030" w:eastAsia="宋体-18030" w:hAnsi="宋体-18030" w:cs="宋体-18030"/>
                      <w:szCs w:val="21"/>
                    </w:rPr>
                  </w:pPr>
                </w:p>
                <w:p w:rsidR="004D0283" w:rsidRPr="00CB67B6" w:rsidRDefault="00C04EC7" w:rsidP="00F81914">
                  <w:pPr>
                    <w:spacing w:beforeLines="150" w:before="468"/>
                    <w:ind w:rightChars="70" w:right="147"/>
                    <w:jc w:val="center"/>
                    <w:rPr>
                      <w:rFonts w:ascii="黑体" w:eastAsia="黑体" w:hAnsi="宋体" w:cs="宋体-18030"/>
                      <w:b/>
                      <w:color w:val="FFFFFF"/>
                      <w:sz w:val="28"/>
                      <w:szCs w:val="30"/>
                    </w:rPr>
                  </w:pPr>
                  <w:r w:rsidRPr="00C04EC7">
                    <w:rPr>
                      <w:rFonts w:ascii="黑体" w:eastAsia="黑体" w:hAnsi="宋体" w:cs="宋体-18030" w:hint="eastAsia"/>
                      <w:b/>
                      <w:color w:val="FFFFFF"/>
                      <w:sz w:val="28"/>
                      <w:szCs w:val="30"/>
                    </w:rPr>
                    <w:t>近半分级B价格表现弱于净值，多指标折射市场情绪低迷</w:t>
                  </w:r>
                </w:p>
                <w:p w:rsidR="004D0283" w:rsidRPr="004E3270" w:rsidRDefault="004D0283" w:rsidP="0063384C">
                  <w:pPr>
                    <w:wordWrap w:val="0"/>
                    <w:jc w:val="right"/>
                    <w:rPr>
                      <w:rFonts w:ascii="楷体_GB2312" w:eastAsia="楷体_GB2312"/>
                      <w:b/>
                      <w:szCs w:val="21"/>
                    </w:rPr>
                  </w:pPr>
                  <w:r>
                    <w:rPr>
                      <w:rFonts w:ascii="楷体_GB2312" w:eastAsia="楷体_GB2312" w:hint="eastAsia"/>
                      <w:b/>
                      <w:szCs w:val="21"/>
                    </w:rPr>
                    <w:t xml:space="preserve">--分级基金周报   </w:t>
                  </w:r>
                </w:p>
                <w:p w:rsidR="004D0283" w:rsidRPr="00AF7DC8" w:rsidRDefault="004D0283" w:rsidP="0063384C">
                  <w:pPr>
                    <w:spacing w:line="360" w:lineRule="auto"/>
                    <w:jc w:val="center"/>
                    <w:rPr>
                      <w:rFonts w:ascii="黑体" w:eastAsia="黑体" w:hAnsi="宋体" w:cs="宋体-18030"/>
                      <w:b/>
                      <w:color w:val="FFFFFF"/>
                      <w:sz w:val="30"/>
                      <w:szCs w:val="30"/>
                    </w:rPr>
                  </w:pPr>
                </w:p>
              </w:txbxContent>
            </v:textbox>
          </v:shape>
        </w:pict>
      </w:r>
      <w:r w:rsidR="0063384C">
        <w:rPr>
          <w:rFonts w:ascii="黑体" w:eastAsia="黑体" w:hAnsi="宋体"/>
          <w:b/>
          <w:color w:val="003366"/>
          <w:sz w:val="24"/>
        </w:rPr>
        <w:br/>
      </w:r>
    </w:p>
    <w:p w:rsidR="0063384C" w:rsidRDefault="0063384C" w:rsidP="0063384C">
      <w:pPr>
        <w:numPr>
          <w:ilvl w:val="0"/>
          <w:numId w:val="1"/>
        </w:numPr>
        <w:spacing w:line="360" w:lineRule="auto"/>
        <w:rPr>
          <w:rFonts w:ascii="黑体" w:eastAsia="黑体" w:hAnsi="宋体"/>
          <w:b/>
          <w:color w:val="003366"/>
          <w:sz w:val="24"/>
        </w:rPr>
      </w:pPr>
    </w:p>
    <w:p w:rsidR="0063384C" w:rsidRDefault="0063384C" w:rsidP="0063384C">
      <w:pPr>
        <w:rPr>
          <w:rFonts w:ascii="黑体" w:eastAsia="黑体" w:hAnsi="宋体"/>
          <w:b/>
          <w:color w:val="003366"/>
          <w:sz w:val="24"/>
        </w:rPr>
      </w:pPr>
    </w:p>
    <w:p w:rsidR="0037593F" w:rsidRDefault="0037593F" w:rsidP="0063384C">
      <w:pPr>
        <w:rPr>
          <w:rFonts w:ascii="黑体" w:eastAsia="黑体" w:hAnsi="宋体"/>
          <w:b/>
          <w:color w:val="003366"/>
          <w:sz w:val="24"/>
        </w:rPr>
      </w:pPr>
    </w:p>
    <w:p w:rsidR="0037593F" w:rsidRDefault="0063384C" w:rsidP="00486F8A">
      <w:pPr>
        <w:numPr>
          <w:ilvl w:val="0"/>
          <w:numId w:val="1"/>
        </w:numPr>
        <w:spacing w:line="360" w:lineRule="auto"/>
        <w:rPr>
          <w:rFonts w:ascii="黑体" w:eastAsia="黑体" w:hAnsi="宋体"/>
          <w:b/>
          <w:color w:val="003366"/>
          <w:sz w:val="24"/>
        </w:rPr>
      </w:pPr>
      <w:bookmarkStart w:id="0" w:name="_GoBack"/>
      <w:r w:rsidRPr="00A054FE">
        <w:rPr>
          <w:rFonts w:ascii="黑体" w:eastAsia="黑体" w:hAnsi="宋体" w:hint="eastAsia"/>
          <w:b/>
          <w:color w:val="003366"/>
          <w:sz w:val="24"/>
        </w:rPr>
        <w:t>主要观点：</w:t>
      </w:r>
      <w:r w:rsidR="00486F8A">
        <w:rPr>
          <w:rFonts w:ascii="黑体" w:eastAsia="黑体" w:hAnsi="宋体" w:hint="eastAsia"/>
          <w:b/>
          <w:color w:val="003366"/>
          <w:sz w:val="24"/>
        </w:rPr>
        <w:t>、</w:t>
      </w:r>
    </w:p>
    <w:p w:rsidR="00486F8A" w:rsidRPr="00486F8A" w:rsidRDefault="00486F8A" w:rsidP="00486F8A">
      <w:pPr>
        <w:spacing w:line="360" w:lineRule="auto"/>
        <w:ind w:left="425"/>
        <w:rPr>
          <w:rFonts w:ascii="黑体" w:eastAsia="黑体" w:hAnsi="宋体"/>
          <w:b/>
          <w:color w:val="003366"/>
          <w:sz w:val="24"/>
        </w:rPr>
      </w:pPr>
    </w:p>
    <w:p w:rsidR="00DF221E" w:rsidRPr="00C467FE" w:rsidRDefault="00C467FE" w:rsidP="00C467FE">
      <w:pPr>
        <w:pStyle w:val="a7"/>
        <w:numPr>
          <w:ilvl w:val="0"/>
          <w:numId w:val="3"/>
        </w:numPr>
        <w:snapToGrid w:val="0"/>
        <w:spacing w:line="360" w:lineRule="auto"/>
        <w:ind w:firstLineChars="0"/>
        <w:contextualSpacing/>
        <w:rPr>
          <w:rFonts w:ascii="楷体_GB2312" w:eastAsia="楷体_GB2312" w:hAnsi="宋体" w:cs="宋体"/>
          <w:kern w:val="0"/>
          <w:szCs w:val="21"/>
        </w:rPr>
      </w:pPr>
      <w:r w:rsidRPr="00C467FE">
        <w:rPr>
          <w:rFonts w:ascii="楷体_GB2312" w:eastAsia="楷体_GB2312" w:hAnsi="华文楷体" w:hint="eastAsia"/>
        </w:rPr>
        <w:t>当前震荡行情中短期结构性机会较不显著。上周房地产主题基金涨幅居前，</w:t>
      </w:r>
      <w:r w:rsidR="00CE3A38">
        <w:rPr>
          <w:rFonts w:ascii="楷体_GB2312" w:eastAsia="楷体_GB2312" w:hAnsi="华文楷体" w:hint="eastAsia"/>
        </w:rPr>
        <w:t>而</w:t>
      </w:r>
      <w:r w:rsidRPr="00C467FE">
        <w:rPr>
          <w:rFonts w:ascii="楷体_GB2312" w:eastAsia="楷体_GB2312" w:hAnsi="华文楷体" w:hint="eastAsia"/>
        </w:rPr>
        <w:t>之前跌幅较大的信息、军工、新能源类基金并未走出颓势，</w:t>
      </w:r>
      <w:r w:rsidR="00CE3A38">
        <w:rPr>
          <w:rFonts w:ascii="楷体_GB2312" w:eastAsia="楷体_GB2312" w:hAnsi="华文楷体" w:hint="eastAsia"/>
        </w:rPr>
        <w:t>防御性</w:t>
      </w:r>
      <w:r w:rsidRPr="00C467FE">
        <w:rPr>
          <w:rFonts w:ascii="楷体_GB2312" w:eastAsia="楷体_GB2312" w:hAnsi="华文楷体" w:hint="eastAsia"/>
        </w:rPr>
        <w:t>板块出现下跌回补。</w:t>
      </w:r>
    </w:p>
    <w:p w:rsidR="00C467FE" w:rsidRPr="00A90E67" w:rsidRDefault="00C467FE" w:rsidP="00C467FE">
      <w:pPr>
        <w:pStyle w:val="a7"/>
        <w:snapToGrid w:val="0"/>
        <w:spacing w:line="360" w:lineRule="auto"/>
        <w:ind w:left="840" w:firstLineChars="0" w:firstLine="0"/>
        <w:contextualSpacing/>
        <w:rPr>
          <w:rFonts w:ascii="楷体_GB2312" w:eastAsia="楷体_GB2312" w:hAnsi="宋体" w:cs="宋体"/>
          <w:kern w:val="0"/>
          <w:szCs w:val="21"/>
        </w:rPr>
      </w:pPr>
    </w:p>
    <w:p w:rsidR="001F6A1C" w:rsidRDefault="00C467FE" w:rsidP="00C467FE">
      <w:pPr>
        <w:pStyle w:val="a7"/>
        <w:numPr>
          <w:ilvl w:val="0"/>
          <w:numId w:val="3"/>
        </w:numPr>
        <w:snapToGrid w:val="0"/>
        <w:spacing w:line="360" w:lineRule="auto"/>
        <w:ind w:firstLineChars="0"/>
        <w:contextualSpacing/>
        <w:rPr>
          <w:rFonts w:ascii="楷体_GB2312" w:eastAsia="楷体_GB2312" w:hAnsi="宋体" w:cs="宋体"/>
          <w:kern w:val="0"/>
          <w:szCs w:val="21"/>
        </w:rPr>
      </w:pPr>
      <w:r w:rsidRPr="00C467FE">
        <w:rPr>
          <w:rFonts w:ascii="楷体_GB2312" w:eastAsia="楷体_GB2312" w:hAnsi="宋体" w:cs="宋体" w:hint="eastAsia"/>
          <w:kern w:val="0"/>
          <w:szCs w:val="21"/>
        </w:rPr>
        <w:t>近期分级B成交活跃度继续下滑，平均折价2.06%，份额出现小幅增加，或主要是因为套利资金行为所致。多只分级B出现价格表现不及净值的事件，最大偏离度相差6个百分点以上</w:t>
      </w:r>
      <w:r>
        <w:rPr>
          <w:rFonts w:ascii="楷体_GB2312" w:eastAsia="楷体_GB2312" w:hAnsi="宋体" w:cs="宋体" w:hint="eastAsia"/>
          <w:kern w:val="0"/>
          <w:szCs w:val="21"/>
        </w:rPr>
        <w:t>。</w:t>
      </w:r>
      <w:r w:rsidRPr="00C467FE">
        <w:rPr>
          <w:rFonts w:ascii="楷体_GB2312" w:eastAsia="楷体_GB2312" w:hAnsi="宋体" w:cs="宋体" w:hint="eastAsia"/>
          <w:kern w:val="0"/>
          <w:szCs w:val="21"/>
        </w:rPr>
        <w:t>有55只分级B价格表现弱于净值1个百分点以上，均折射出当前市场较低风险偏好的状态。在显著的主题投资机会出现之前，“交易不活跃-定价难以矫正”的正反馈将继续加强分级基金交易的“马太效应”，从而为低成本的市场操纵行为提供环境，其风险值得投资者警惕。</w:t>
      </w:r>
    </w:p>
    <w:p w:rsidR="00C467FE" w:rsidRPr="00C467FE" w:rsidRDefault="00C467FE" w:rsidP="00C467FE">
      <w:pPr>
        <w:snapToGrid w:val="0"/>
        <w:spacing w:line="360" w:lineRule="auto"/>
        <w:contextualSpacing/>
        <w:rPr>
          <w:rFonts w:ascii="楷体_GB2312" w:eastAsia="楷体_GB2312" w:hAnsi="宋体" w:cs="宋体"/>
          <w:kern w:val="0"/>
          <w:szCs w:val="21"/>
        </w:rPr>
      </w:pPr>
    </w:p>
    <w:p w:rsidR="001F6A1C" w:rsidRPr="00A90E67" w:rsidRDefault="00C467FE" w:rsidP="00C467FE">
      <w:pPr>
        <w:pStyle w:val="a7"/>
        <w:numPr>
          <w:ilvl w:val="0"/>
          <w:numId w:val="3"/>
        </w:numPr>
        <w:snapToGrid w:val="0"/>
        <w:spacing w:line="360" w:lineRule="auto"/>
        <w:ind w:firstLineChars="0"/>
        <w:contextualSpacing/>
        <w:rPr>
          <w:rFonts w:ascii="楷体_GB2312" w:eastAsia="楷体_GB2312" w:hAnsi="宋体" w:cs="宋体"/>
          <w:kern w:val="0"/>
          <w:szCs w:val="21"/>
        </w:rPr>
      </w:pPr>
      <w:r w:rsidRPr="00C467FE">
        <w:rPr>
          <w:rFonts w:ascii="楷体_GB2312" w:eastAsia="楷体_GB2312" w:hAnsi="宋体" w:cs="宋体" w:hint="eastAsia"/>
          <w:kern w:val="0"/>
          <w:szCs w:val="21"/>
        </w:rPr>
        <w:t>分级A受到追捧的现实不容忽视，显示出市场仍然看好分级A的走势：一则，分级A收益率虽在下降，但相比债市利率利差仍处于较高位。二则市场对安全资产的需求在增长，分级A</w:t>
      </w:r>
      <w:r w:rsidR="00D600BC">
        <w:rPr>
          <w:rFonts w:ascii="楷体_GB2312" w:eastAsia="楷体_GB2312" w:hAnsi="宋体" w:cs="宋体" w:hint="eastAsia"/>
          <w:kern w:val="0"/>
          <w:szCs w:val="21"/>
        </w:rPr>
        <w:t>无信用风险、收益率相对高的价值不断凸显。</w:t>
      </w:r>
      <w:r w:rsidRPr="00C467FE">
        <w:rPr>
          <w:rFonts w:ascii="楷体_GB2312" w:eastAsia="楷体_GB2312" w:hAnsi="宋体" w:cs="宋体" w:hint="eastAsia"/>
          <w:kern w:val="0"/>
          <w:szCs w:val="21"/>
        </w:rPr>
        <w:t>当前分级A整体多溢价交易，价格上升中多品种出现价升量缩的情况，显示出分级A安全边际不断下降的风险也不容忽视。</w:t>
      </w:r>
    </w:p>
    <w:bookmarkEnd w:id="0"/>
    <w:p w:rsidR="001F6A1C" w:rsidRPr="00CE3745" w:rsidRDefault="001F6A1C" w:rsidP="00582817">
      <w:pPr>
        <w:snapToGrid w:val="0"/>
        <w:spacing w:line="360" w:lineRule="auto"/>
        <w:contextualSpacing/>
        <w:rPr>
          <w:rFonts w:ascii="楷体_GB2312" w:eastAsia="楷体_GB2312" w:hAnsi="宋体" w:cs="宋体"/>
          <w:kern w:val="0"/>
          <w:szCs w:val="21"/>
        </w:rPr>
      </w:pPr>
    </w:p>
    <w:p w:rsidR="0063384C" w:rsidRPr="000B4882" w:rsidRDefault="0063384C" w:rsidP="00F81914">
      <w:pPr>
        <w:spacing w:beforeLines="50" w:before="156" w:afterLines="50" w:after="156"/>
        <w:rPr>
          <w:rFonts w:ascii="楷体_GB2312" w:eastAsia="楷体_GB2312"/>
          <w:noProof/>
          <w:color w:val="000000"/>
        </w:rPr>
        <w:sectPr w:rsidR="0063384C" w:rsidRPr="000B4882" w:rsidSect="004D0283">
          <w:footerReference w:type="even" r:id="rId8"/>
          <w:footerReference w:type="default" r:id="rId9"/>
          <w:pgSz w:w="11906" w:h="16838"/>
          <w:pgMar w:top="851" w:right="567" w:bottom="851" w:left="4536" w:header="851" w:footer="992" w:gutter="0"/>
          <w:cols w:space="425"/>
          <w:docGrid w:type="lines" w:linePitch="312"/>
        </w:sectPr>
      </w:pPr>
    </w:p>
    <w:p w:rsidR="00DA251D" w:rsidRDefault="00DA251D" w:rsidP="00F81914">
      <w:pPr>
        <w:spacing w:beforeLines="50" w:before="156" w:afterLines="50" w:after="156"/>
        <w:rPr>
          <w:rFonts w:ascii="楷体_GB2312" w:eastAsia="楷体_GB2312" w:hAnsi="楷体" w:cs="宋体-18030"/>
          <w:b/>
          <w:bCs/>
          <w:color w:val="003366"/>
          <w:kern w:val="44"/>
          <w:sz w:val="24"/>
        </w:rPr>
      </w:pPr>
    </w:p>
    <w:p w:rsidR="0095009A" w:rsidRDefault="00DA251D" w:rsidP="006C612F">
      <w:pPr>
        <w:spacing w:line="360" w:lineRule="auto"/>
        <w:rPr>
          <w:rFonts w:ascii="楷体_GB2312" w:eastAsia="楷体_GB2312" w:hAnsi="楷体" w:cs="宋体-18030"/>
          <w:b/>
          <w:bCs/>
          <w:color w:val="003366"/>
          <w:kern w:val="44"/>
          <w:sz w:val="24"/>
        </w:rPr>
      </w:pPr>
      <w:r w:rsidRPr="00D90536">
        <w:rPr>
          <w:rFonts w:ascii="楷体_GB2312" w:eastAsia="楷体_GB2312" w:hAnsi="楷体" w:cs="宋体-18030" w:hint="eastAsia"/>
          <w:b/>
          <w:bCs/>
          <w:color w:val="003366"/>
          <w:kern w:val="44"/>
          <w:sz w:val="24"/>
        </w:rPr>
        <w:t>基础市场分析：</w:t>
      </w:r>
    </w:p>
    <w:p w:rsidR="00EB5083" w:rsidRPr="003931C0" w:rsidRDefault="00EB5083" w:rsidP="00EB5083">
      <w:pPr>
        <w:spacing w:line="360" w:lineRule="auto"/>
        <w:ind w:firstLine="435"/>
        <w:rPr>
          <w:rFonts w:ascii="楷体_GB2312" w:eastAsia="楷体_GB2312" w:hAnsi="华文楷体"/>
        </w:rPr>
      </w:pPr>
      <w:r w:rsidRPr="00EB5083">
        <w:rPr>
          <w:rFonts w:ascii="楷体_GB2312" w:eastAsia="楷体_GB2312" w:hAnsi="华文楷体" w:hint="eastAsia"/>
        </w:rPr>
        <w:t>上周分级基金热点版图显示，当前震荡行情中短期结构性机会较不显著。上周房地产主题基金涨幅居前，最大涨幅为鹏华中证800地产（4.59%），其次为有色金属类分级基金；白酒、医药生物等消费类分级基金，以及军工类分级基金回调幅度较大，最大跌幅为招商中证白酒周净值涨跌-3.87%。与前期相比，之前跌幅较大的信息、军工、新能源类基金并未走出颓势，而相对抗跌的消费类板块出现下跌回补。从跟踪</w:t>
      </w:r>
      <w:r w:rsidRPr="003931C0">
        <w:rPr>
          <w:rFonts w:ascii="楷体_GB2312" w:eastAsia="楷体_GB2312" w:hAnsi="华文楷体" w:hint="eastAsia"/>
        </w:rPr>
        <w:t>指数效果来看，当前市场波动较为平缓，被动跟踪指数的操作环境相对较好，分级基金基础份额平均周跟踪误差均较小，没有大幅偏离跟踪指数、损耗分级基金效率的情况。</w:t>
      </w:r>
    </w:p>
    <w:p w:rsidR="00C40319" w:rsidRDefault="00EB5083" w:rsidP="00EB5083">
      <w:pPr>
        <w:spacing w:line="360" w:lineRule="auto"/>
        <w:ind w:firstLine="435"/>
        <w:rPr>
          <w:rFonts w:ascii="楷体_GB2312" w:eastAsia="楷体_GB2312" w:hAnsi="华文楷体"/>
        </w:rPr>
      </w:pPr>
      <w:r w:rsidRPr="003931C0">
        <w:rPr>
          <w:rFonts w:ascii="楷体_GB2312" w:eastAsia="楷体_GB2312" w:hAnsi="华文楷体" w:hint="eastAsia"/>
        </w:rPr>
        <w:t>申万菱信电子行业基金出现一定折价套利机会。从整体折溢价套利来看，8月5日收盘后整体折溢价率1%以上的有4只基金。其中银华中证等权重90基</w:t>
      </w:r>
      <w:r w:rsidRPr="00EB5083">
        <w:rPr>
          <w:rFonts w:ascii="楷体_GB2312" w:eastAsia="楷体_GB2312" w:hAnsi="华文楷体" w:hint="eastAsia"/>
        </w:rPr>
        <w:t>金已连续8月4日和8月5日两个交易日整体溢价2.5%以上，但该基金A份额和B份额区间平均日成交额均在10万元以下，套利难度较大。相对而言，申万菱信电子行业在上周五出现整体折价1.98%，出现一定的套利机会。该基金子份额均有百万级别的日均交易额，场内前端赎回费0.5%，部分券商可实现当日买入合并，按次日净值赎回，但需承担至少两个交易日的市场波动风险。</w:t>
      </w:r>
    </w:p>
    <w:p w:rsidR="00C04EC7" w:rsidRDefault="00C04EC7" w:rsidP="00EB5083">
      <w:pPr>
        <w:spacing w:line="360" w:lineRule="auto"/>
        <w:ind w:firstLine="435"/>
        <w:rPr>
          <w:rFonts w:ascii="楷体_GB2312" w:eastAsia="楷体_GB2312" w:hAnsi="华文楷体"/>
        </w:rPr>
      </w:pPr>
    </w:p>
    <w:tbl>
      <w:tblPr>
        <w:tblW w:w="10977" w:type="dxa"/>
        <w:tblInd w:w="-885" w:type="dxa"/>
        <w:tblBorders>
          <w:top w:val="single" w:sz="12" w:space="0" w:color="767171" w:themeColor="background2" w:themeShade="80"/>
          <w:insideH w:val="single" w:sz="12" w:space="0" w:color="C00000"/>
        </w:tblBorders>
        <w:tblLayout w:type="fixed"/>
        <w:tblLook w:val="04A0" w:firstRow="1" w:lastRow="0" w:firstColumn="1" w:lastColumn="0" w:noHBand="0" w:noVBand="1"/>
      </w:tblPr>
      <w:tblGrid>
        <w:gridCol w:w="5387"/>
        <w:gridCol w:w="5590"/>
      </w:tblGrid>
      <w:tr w:rsidR="00D90536" w:rsidRPr="00FC2D2B" w:rsidTr="004D0283">
        <w:tc>
          <w:tcPr>
            <w:tcW w:w="5387" w:type="dxa"/>
          </w:tcPr>
          <w:p w:rsidR="00D90536" w:rsidRPr="00304FEB" w:rsidRDefault="00D90536" w:rsidP="001E3FC2">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Pr>
                <w:rFonts w:ascii="楷体_GB2312" w:eastAsia="楷体_GB2312" w:hAnsi="楷体"/>
                <w:b/>
                <w:color w:val="000000"/>
                <w:sz w:val="18"/>
                <w:szCs w:val="18"/>
              </w:rPr>
              <w:t>1</w:t>
            </w:r>
            <w:r w:rsidR="005511C8">
              <w:rPr>
                <w:rFonts w:ascii="楷体_GB2312" w:eastAsia="楷体_GB2312" w:hAnsi="楷体" w:hint="eastAsia"/>
                <w:b/>
                <w:color w:val="000000"/>
                <w:sz w:val="18"/>
                <w:szCs w:val="18"/>
              </w:rPr>
              <w:t>.</w:t>
            </w:r>
            <w:r w:rsidR="007F5480">
              <w:rPr>
                <w:rFonts w:ascii="楷体_GB2312" w:eastAsia="楷体_GB2312" w:hAnsi="楷体" w:hint="eastAsia"/>
                <w:b/>
                <w:color w:val="000000"/>
                <w:sz w:val="18"/>
                <w:szCs w:val="18"/>
              </w:rPr>
              <w:t>指数小幅震荡，主板成交活跃度提高</w:t>
            </w:r>
          </w:p>
        </w:tc>
        <w:tc>
          <w:tcPr>
            <w:tcW w:w="5590" w:type="dxa"/>
          </w:tcPr>
          <w:p w:rsidR="00D90536" w:rsidRPr="00C82167" w:rsidRDefault="00D90536" w:rsidP="007F5480">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Pr>
                <w:rFonts w:ascii="楷体_GB2312" w:eastAsia="楷体_GB2312" w:hAnsi="楷体"/>
                <w:b/>
                <w:color w:val="000000"/>
                <w:sz w:val="18"/>
                <w:szCs w:val="18"/>
              </w:rPr>
              <w:t>2</w:t>
            </w:r>
            <w:r w:rsidRPr="00FC2D2B">
              <w:rPr>
                <w:rFonts w:ascii="楷体_GB2312" w:eastAsia="楷体_GB2312" w:hAnsi="楷体" w:hint="eastAsia"/>
                <w:b/>
                <w:color w:val="000000"/>
                <w:sz w:val="18"/>
                <w:szCs w:val="18"/>
              </w:rPr>
              <w:t>.</w:t>
            </w:r>
            <w:r w:rsidR="007F5480">
              <w:rPr>
                <w:rFonts w:ascii="楷体_GB2312" w:eastAsia="楷体_GB2312" w:hAnsi="楷体" w:hint="eastAsia"/>
                <w:b/>
                <w:color w:val="000000"/>
                <w:sz w:val="18"/>
                <w:szCs w:val="18"/>
              </w:rPr>
              <w:t>上周</w:t>
            </w:r>
            <w:r w:rsidR="00D44746">
              <w:rPr>
                <w:rFonts w:ascii="楷体_GB2312" w:eastAsia="楷体_GB2312" w:hAnsi="楷体" w:hint="eastAsia"/>
                <w:b/>
                <w:color w:val="000000"/>
                <w:sz w:val="18"/>
                <w:szCs w:val="18"/>
              </w:rPr>
              <w:t>分级A</w:t>
            </w:r>
            <w:r w:rsidR="007F5480">
              <w:rPr>
                <w:rFonts w:ascii="楷体_GB2312" w:eastAsia="楷体_GB2312" w:hAnsi="楷体" w:hint="eastAsia"/>
                <w:b/>
                <w:color w:val="000000"/>
                <w:sz w:val="18"/>
                <w:szCs w:val="18"/>
              </w:rPr>
              <w:t>成交</w:t>
            </w:r>
            <w:r w:rsidR="007F5480">
              <w:rPr>
                <w:rFonts w:ascii="楷体_GB2312" w:eastAsia="楷体_GB2312" w:hAnsi="楷体"/>
                <w:b/>
                <w:color w:val="000000"/>
                <w:sz w:val="18"/>
                <w:szCs w:val="18"/>
              </w:rPr>
              <w:t>上升</w:t>
            </w:r>
            <w:r w:rsidR="00D44746">
              <w:rPr>
                <w:rFonts w:ascii="楷体_GB2312" w:eastAsia="楷体_GB2312" w:hAnsi="楷体" w:hint="eastAsia"/>
                <w:b/>
                <w:color w:val="000000"/>
                <w:sz w:val="18"/>
                <w:szCs w:val="18"/>
              </w:rPr>
              <w:t>、</w:t>
            </w:r>
            <w:r w:rsidR="007F5480">
              <w:rPr>
                <w:rFonts w:ascii="楷体_GB2312" w:eastAsia="楷体_GB2312" w:hAnsi="楷体" w:hint="eastAsia"/>
                <w:b/>
                <w:color w:val="000000"/>
                <w:sz w:val="18"/>
                <w:szCs w:val="18"/>
              </w:rPr>
              <w:t>分级</w:t>
            </w:r>
            <w:r w:rsidR="00D44746">
              <w:rPr>
                <w:rFonts w:ascii="楷体_GB2312" w:eastAsia="楷体_GB2312" w:hAnsi="楷体" w:hint="eastAsia"/>
                <w:b/>
                <w:color w:val="000000"/>
                <w:sz w:val="18"/>
                <w:szCs w:val="18"/>
              </w:rPr>
              <w:t>B</w:t>
            </w:r>
            <w:r w:rsidR="007F5480">
              <w:rPr>
                <w:rFonts w:ascii="楷体_GB2312" w:eastAsia="楷体_GB2312" w:hAnsi="楷体" w:hint="eastAsia"/>
                <w:b/>
                <w:color w:val="000000"/>
                <w:sz w:val="18"/>
                <w:szCs w:val="18"/>
              </w:rPr>
              <w:t>成交下降</w:t>
            </w:r>
          </w:p>
        </w:tc>
      </w:tr>
      <w:tr w:rsidR="00D90536" w:rsidRPr="00FC2D2B" w:rsidTr="000C57D3">
        <w:trPr>
          <w:trHeight w:val="3272"/>
        </w:trPr>
        <w:tc>
          <w:tcPr>
            <w:tcW w:w="5387" w:type="dxa"/>
          </w:tcPr>
          <w:p w:rsidR="00D90536" w:rsidRPr="00FC2D2B" w:rsidRDefault="0095009A" w:rsidP="004D0283">
            <w:pPr>
              <w:spacing w:line="360" w:lineRule="auto"/>
              <w:ind w:left="1" w:hanging="1"/>
              <w:jc w:val="center"/>
              <w:rPr>
                <w:rFonts w:ascii="楷体_GB2312" w:eastAsia="楷体_GB2312" w:hAnsi="楷体"/>
                <w:color w:val="000000"/>
                <w:sz w:val="18"/>
                <w:szCs w:val="18"/>
              </w:rPr>
            </w:pPr>
            <w:r>
              <w:rPr>
                <w:noProof/>
              </w:rPr>
              <w:drawing>
                <wp:inline distT="0" distB="0" distL="0" distR="0">
                  <wp:extent cx="3283585" cy="2085975"/>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5590" w:type="dxa"/>
          </w:tcPr>
          <w:p w:rsidR="00D90536" w:rsidRPr="00FC2D2B" w:rsidRDefault="000C57D3" w:rsidP="004D0283">
            <w:pPr>
              <w:spacing w:line="360" w:lineRule="auto"/>
              <w:jc w:val="center"/>
              <w:rPr>
                <w:rFonts w:ascii="楷体_GB2312" w:eastAsia="楷体_GB2312" w:hAnsi="楷体"/>
                <w:color w:val="000000"/>
                <w:sz w:val="18"/>
                <w:szCs w:val="18"/>
              </w:rPr>
            </w:pPr>
            <w:r>
              <w:rPr>
                <w:noProof/>
              </w:rPr>
              <w:drawing>
                <wp:inline distT="0" distB="0" distL="0" distR="0">
                  <wp:extent cx="3412490" cy="204724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D90536" w:rsidRPr="00FC2D2B" w:rsidTr="004D0283">
        <w:tc>
          <w:tcPr>
            <w:tcW w:w="10977" w:type="dxa"/>
            <w:gridSpan w:val="2"/>
          </w:tcPr>
          <w:p w:rsidR="00D90536" w:rsidRPr="00205537" w:rsidRDefault="00D90536" w:rsidP="00D90536">
            <w:pPr>
              <w:jc w:val="left"/>
              <w:rPr>
                <w:rFonts w:ascii="楷体_GB2312" w:eastAsia="楷体_GB2312" w:hAnsi="楷体"/>
                <w:color w:val="000000"/>
                <w:sz w:val="18"/>
                <w:szCs w:val="18"/>
              </w:rPr>
            </w:pPr>
            <w:r w:rsidRPr="00205537">
              <w:rPr>
                <w:rFonts w:ascii="楷体_GB2312" w:eastAsia="楷体_GB2312" w:hAnsi="楷体" w:hint="eastAsia"/>
                <w:color w:val="000000"/>
                <w:sz w:val="18"/>
                <w:szCs w:val="18"/>
              </w:rPr>
              <w:t>数据来源：Wind资讯 上海证券基金评价研究中心</w:t>
            </w:r>
          </w:p>
          <w:p w:rsidR="00D90536" w:rsidRPr="00FC2D2B" w:rsidRDefault="00D90536" w:rsidP="00A70874">
            <w:pPr>
              <w:jc w:val="left"/>
              <w:rPr>
                <w:rFonts w:ascii="楷体_GB2312" w:eastAsia="楷体_GB2312" w:hAnsi="楷体"/>
                <w:i/>
                <w:color w:val="000000"/>
                <w:sz w:val="18"/>
                <w:szCs w:val="18"/>
              </w:rPr>
            </w:pPr>
            <w:r w:rsidRPr="00205537">
              <w:rPr>
                <w:rFonts w:ascii="楷体_GB2312" w:eastAsia="楷体_GB2312" w:hAnsi="楷体" w:hint="eastAsia"/>
                <w:color w:val="000000"/>
                <w:sz w:val="18"/>
                <w:szCs w:val="18"/>
              </w:rPr>
              <w:t>数据截至2016年</w:t>
            </w:r>
            <w:r w:rsidR="00A70874">
              <w:rPr>
                <w:rFonts w:ascii="楷体_GB2312" w:eastAsia="楷体_GB2312" w:hAnsi="楷体"/>
                <w:color w:val="000000"/>
                <w:sz w:val="18"/>
                <w:szCs w:val="18"/>
              </w:rPr>
              <w:t>8</w:t>
            </w:r>
            <w:r>
              <w:rPr>
                <w:rFonts w:ascii="楷体_GB2312" w:eastAsia="楷体_GB2312" w:hAnsi="楷体"/>
                <w:color w:val="000000"/>
                <w:sz w:val="18"/>
                <w:szCs w:val="18"/>
              </w:rPr>
              <w:t>月</w:t>
            </w:r>
            <w:r w:rsidR="007F5480">
              <w:rPr>
                <w:rFonts w:ascii="楷体_GB2312" w:eastAsia="楷体_GB2312" w:hAnsi="楷体"/>
                <w:color w:val="000000"/>
                <w:sz w:val="18"/>
                <w:szCs w:val="18"/>
              </w:rPr>
              <w:t>8</w:t>
            </w:r>
            <w:r w:rsidRPr="00205537">
              <w:rPr>
                <w:rFonts w:ascii="楷体_GB2312" w:eastAsia="楷体_GB2312" w:hAnsi="楷体" w:hint="eastAsia"/>
                <w:color w:val="000000"/>
                <w:sz w:val="18"/>
                <w:szCs w:val="18"/>
              </w:rPr>
              <w:t>日</w:t>
            </w:r>
          </w:p>
        </w:tc>
      </w:tr>
    </w:tbl>
    <w:p w:rsidR="00A70874" w:rsidRDefault="00A70874" w:rsidP="00F81914">
      <w:pPr>
        <w:spacing w:beforeLines="50" w:before="156" w:afterLines="50" w:after="156"/>
        <w:rPr>
          <w:rFonts w:ascii="楷体_GB2312" w:eastAsia="楷体_GB2312" w:hAnsi="楷体" w:cs="宋体-18030"/>
          <w:b/>
          <w:bCs/>
          <w:color w:val="003366"/>
          <w:kern w:val="44"/>
          <w:sz w:val="24"/>
        </w:rPr>
      </w:pPr>
    </w:p>
    <w:p w:rsidR="00D01042" w:rsidRDefault="00D01042" w:rsidP="00F81914">
      <w:pPr>
        <w:spacing w:beforeLines="50" w:before="156" w:afterLines="50" w:after="156"/>
        <w:rPr>
          <w:rFonts w:ascii="楷体_GB2312" w:eastAsia="楷体_GB2312" w:hAnsi="楷体" w:cs="宋体-18030"/>
          <w:b/>
          <w:bCs/>
          <w:color w:val="003366"/>
          <w:kern w:val="44"/>
          <w:sz w:val="24"/>
        </w:rPr>
      </w:pPr>
    </w:p>
    <w:p w:rsidR="00D01042" w:rsidRDefault="00D01042" w:rsidP="00F81914">
      <w:pPr>
        <w:spacing w:beforeLines="50" w:before="156" w:afterLines="50" w:after="156"/>
        <w:rPr>
          <w:rFonts w:ascii="楷体_GB2312" w:eastAsia="楷体_GB2312" w:hAnsi="楷体" w:cs="宋体-18030"/>
          <w:b/>
          <w:bCs/>
          <w:color w:val="003366"/>
          <w:kern w:val="44"/>
          <w:sz w:val="24"/>
        </w:rPr>
      </w:pPr>
    </w:p>
    <w:p w:rsidR="00D01042" w:rsidRDefault="00D01042" w:rsidP="00F81914">
      <w:pPr>
        <w:spacing w:beforeLines="50" w:before="156" w:afterLines="50" w:after="156"/>
        <w:rPr>
          <w:rFonts w:ascii="楷体_GB2312" w:eastAsia="楷体_GB2312" w:hAnsi="楷体" w:cs="宋体-18030"/>
          <w:b/>
          <w:bCs/>
          <w:color w:val="003366"/>
          <w:kern w:val="44"/>
          <w:sz w:val="24"/>
        </w:rPr>
      </w:pPr>
    </w:p>
    <w:p w:rsidR="0095009A" w:rsidRPr="00D90536" w:rsidRDefault="0095009A" w:rsidP="00F81914">
      <w:pPr>
        <w:spacing w:beforeLines="50" w:before="156" w:afterLines="50" w:after="156"/>
        <w:rPr>
          <w:rFonts w:ascii="楷体_GB2312" w:eastAsia="楷体_GB2312" w:hAnsi="楷体" w:cs="宋体-18030"/>
          <w:b/>
          <w:bCs/>
          <w:color w:val="003366"/>
          <w:kern w:val="44"/>
          <w:sz w:val="24"/>
        </w:rPr>
      </w:pPr>
    </w:p>
    <w:p w:rsidR="00D90536" w:rsidRDefault="00F81914" w:rsidP="00F81914">
      <w:pPr>
        <w:pStyle w:val="a7"/>
        <w:numPr>
          <w:ilvl w:val="0"/>
          <w:numId w:val="2"/>
        </w:numPr>
        <w:spacing w:beforeLines="50" w:before="156" w:afterLines="50" w:after="156"/>
        <w:ind w:left="1134" w:firstLineChars="0"/>
        <w:rPr>
          <w:rFonts w:ascii="楷体_GB2312" w:eastAsia="楷体_GB2312" w:hAnsi="楷体" w:cs="宋体-18030"/>
          <w:b/>
          <w:bCs/>
          <w:color w:val="003366"/>
          <w:kern w:val="44"/>
          <w:sz w:val="24"/>
        </w:rPr>
      </w:pPr>
      <w:r>
        <w:rPr>
          <w:rFonts w:ascii="楷体_GB2312" w:eastAsia="楷体_GB2312" w:hAnsi="楷体" w:cs="宋体-18030" w:hint="eastAsia"/>
          <w:b/>
          <w:bCs/>
          <w:color w:val="003366"/>
          <w:kern w:val="44"/>
          <w:sz w:val="24"/>
        </w:rPr>
        <w:lastRenderedPageBreak/>
        <w:t>股票</w:t>
      </w:r>
      <w:r w:rsidR="00D90536" w:rsidRPr="009F5778">
        <w:rPr>
          <w:rFonts w:ascii="楷体_GB2312" w:eastAsia="楷体_GB2312" w:hAnsi="楷体" w:cs="宋体-18030"/>
          <w:b/>
          <w:bCs/>
          <w:color w:val="003366"/>
          <w:kern w:val="44"/>
          <w:sz w:val="24"/>
        </w:rPr>
        <w:t>分级</w:t>
      </w:r>
      <w:r w:rsidR="00D90536" w:rsidRPr="009F5778">
        <w:rPr>
          <w:rFonts w:ascii="楷体_GB2312" w:eastAsia="楷体_GB2312" w:hAnsi="楷体" w:cs="宋体-18030" w:hint="eastAsia"/>
          <w:b/>
          <w:bCs/>
          <w:color w:val="003366"/>
          <w:kern w:val="44"/>
          <w:sz w:val="24"/>
        </w:rPr>
        <w:t>B</w:t>
      </w:r>
      <w:r w:rsidR="00D90536" w:rsidRPr="009F5778">
        <w:rPr>
          <w:rFonts w:ascii="楷体_GB2312" w:eastAsia="楷体_GB2312" w:hAnsi="楷体" w:cs="宋体-18030"/>
          <w:b/>
          <w:bCs/>
          <w:color w:val="003366"/>
          <w:kern w:val="44"/>
          <w:sz w:val="24"/>
        </w:rPr>
        <w:t>：</w:t>
      </w:r>
    </w:p>
    <w:p w:rsidR="00EB5083" w:rsidRPr="00EB5083" w:rsidRDefault="00D225BF" w:rsidP="00EB5083">
      <w:pPr>
        <w:spacing w:line="360" w:lineRule="auto"/>
        <w:ind w:firstLineChars="200" w:firstLine="420"/>
        <w:rPr>
          <w:rFonts w:ascii="楷体_GB2312" w:eastAsia="楷体_GB2312"/>
          <w:szCs w:val="21"/>
        </w:rPr>
      </w:pPr>
      <w:r w:rsidRPr="00D225BF">
        <w:rPr>
          <w:rFonts w:ascii="楷体_GB2312" w:eastAsia="楷体_GB2312" w:hint="eastAsia"/>
          <w:szCs w:val="21"/>
        </w:rPr>
        <w:t>近期</w:t>
      </w:r>
      <w:r w:rsidR="00F81914">
        <w:rPr>
          <w:rFonts w:ascii="楷体_GB2312" w:eastAsia="楷体_GB2312" w:hint="eastAsia"/>
          <w:szCs w:val="21"/>
        </w:rPr>
        <w:t>股票</w:t>
      </w:r>
      <w:r w:rsidR="00EB5083" w:rsidRPr="00EB5083">
        <w:rPr>
          <w:rFonts w:ascii="楷体_GB2312" w:eastAsia="楷体_GB2312" w:hint="eastAsia"/>
          <w:szCs w:val="21"/>
        </w:rPr>
        <w:t>分级B成交活跃度继续下滑，平均折价2.06%，份额出现小幅增加，或主要是因为套利资金行为所致。上周分级B日均成交额从前值3866.78万元降至2442.69亿元，场内份额总值由前值722.11亿份小幅增至740.86亿份。上周分级B场内份额变动较大的主要有中融国证钢铁、鹏华中证国防、鹏华中证高铁产业、西部利得中证500和融通中证军工，基金份额增幅均在10%以上，其中鹏华中证国防新增基金份额最多，为5.06亿份。考虑上述基金近两周均持续多日出现1%以上整体折溢价率，资金为了套利进行申购拆分的行为，或是其出现份额增加的重要原因。</w:t>
      </w:r>
    </w:p>
    <w:p w:rsidR="00EB5083" w:rsidRPr="00EB5083" w:rsidRDefault="00EB5083" w:rsidP="00EB5083">
      <w:pPr>
        <w:spacing w:line="360" w:lineRule="auto"/>
        <w:ind w:firstLineChars="200" w:firstLine="420"/>
        <w:rPr>
          <w:rFonts w:ascii="楷体_GB2312" w:eastAsia="楷体_GB2312"/>
          <w:szCs w:val="21"/>
        </w:rPr>
      </w:pPr>
      <w:r w:rsidRPr="00EB5083">
        <w:rPr>
          <w:rFonts w:ascii="楷体_GB2312" w:eastAsia="楷体_GB2312" w:hint="eastAsia"/>
          <w:szCs w:val="21"/>
        </w:rPr>
        <w:t>多只分级B出现价格表现不及净值的事件，最大偏离度相差6个百分点以上。上周市场窄幅波动，但令人惊讶的是</w:t>
      </w:r>
      <w:r w:rsidRPr="00C467FE">
        <w:rPr>
          <w:rFonts w:ascii="楷体_GB2312" w:eastAsia="楷体_GB2312" w:hint="eastAsia"/>
          <w:szCs w:val="21"/>
        </w:rPr>
        <w:t>，有55只分级B价格表现弱于净值1个百分点以上，偏离最大的有融通中证军工B、长盛同辉深证100等权B和西部利得中证500B，价格表现均弱于净值5个百分点以上。</w:t>
      </w:r>
      <w:r w:rsidRPr="00EB5083">
        <w:rPr>
          <w:rFonts w:ascii="楷体_GB2312" w:eastAsia="楷体_GB2312" w:hint="eastAsia"/>
          <w:szCs w:val="21"/>
        </w:rPr>
        <w:t>此类基金中既有成交不活跃的基金产品，也有多只成交量较大的鹏华中证高铁产业B、富国中证移动互联网B等，可见成交不活跃并非分级B价格表现偏离较大的主因。这一现象与分级B出现平均折价2.06%相呼应，均折射出当前市场较低风险偏好的状态。</w:t>
      </w:r>
    </w:p>
    <w:p w:rsidR="00D01042" w:rsidRDefault="00EB5083" w:rsidP="00C467FE">
      <w:pPr>
        <w:spacing w:line="360" w:lineRule="auto"/>
        <w:ind w:firstLineChars="200" w:firstLine="420"/>
        <w:rPr>
          <w:rFonts w:ascii="楷体_GB2312" w:eastAsia="楷体_GB2312"/>
          <w:szCs w:val="21"/>
        </w:rPr>
      </w:pPr>
      <w:r w:rsidRPr="00EB5083">
        <w:rPr>
          <w:rFonts w:ascii="楷体_GB2312" w:eastAsia="楷体_GB2312" w:hint="eastAsia"/>
          <w:szCs w:val="21"/>
        </w:rPr>
        <w:t>在显著的主题投资机会出现之前，“交易不活跃-定价难以矫正”的正反馈将继续加强分级基金交易的“马太效应”，从而为低成本的市场操纵行为提供环境，其风险值得投资者警惕。总体来看，区间子份额交易不活跃的基金更容易出现大幅整体折溢价。如国投瑞银瑞和300、长盛同瑞中证200基金在上周出现高达3%以上整体溢价率，并多个交易日溢价率保持在1%以上，但分级B日均成交量仅在万元左右。可见，对于部分成交非常低不活跃的分级基金，即便是设计了配对转换机制，在基础份额吸引力不强的背景下，仍然难以对子份额给出相对合理的定价，容易提供操纵市场行为的滋生地。</w:t>
      </w:r>
    </w:p>
    <w:p w:rsidR="00C467FE" w:rsidRPr="00C467FE" w:rsidRDefault="00C467FE" w:rsidP="00C467FE">
      <w:pPr>
        <w:spacing w:line="360" w:lineRule="auto"/>
        <w:ind w:firstLineChars="200" w:firstLine="420"/>
        <w:rPr>
          <w:rFonts w:ascii="楷体_GB2312" w:eastAsia="楷体_GB2312"/>
          <w:szCs w:val="21"/>
        </w:rPr>
      </w:pPr>
    </w:p>
    <w:tbl>
      <w:tblPr>
        <w:tblW w:w="10977" w:type="dxa"/>
        <w:tblInd w:w="-885" w:type="dxa"/>
        <w:tblBorders>
          <w:top w:val="single" w:sz="12" w:space="0" w:color="767171" w:themeColor="background2" w:themeShade="80"/>
          <w:insideH w:val="single" w:sz="12" w:space="0" w:color="C00000"/>
        </w:tblBorders>
        <w:tblLayout w:type="fixed"/>
        <w:tblLook w:val="04A0" w:firstRow="1" w:lastRow="0" w:firstColumn="1" w:lastColumn="0" w:noHBand="0" w:noVBand="1"/>
      </w:tblPr>
      <w:tblGrid>
        <w:gridCol w:w="5387"/>
        <w:gridCol w:w="5590"/>
      </w:tblGrid>
      <w:tr w:rsidR="00D90536" w:rsidRPr="00FC2D2B" w:rsidTr="004D0283">
        <w:tc>
          <w:tcPr>
            <w:tcW w:w="5387" w:type="dxa"/>
          </w:tcPr>
          <w:p w:rsidR="00D90536" w:rsidRPr="00304FEB" w:rsidRDefault="00D90536" w:rsidP="00754E6C">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Pr>
                <w:rFonts w:ascii="楷体_GB2312" w:eastAsia="楷体_GB2312" w:hAnsi="楷体"/>
                <w:b/>
                <w:color w:val="000000"/>
                <w:sz w:val="18"/>
                <w:szCs w:val="18"/>
              </w:rPr>
              <w:t>3</w:t>
            </w:r>
            <w:r w:rsidRPr="00FC2D2B">
              <w:rPr>
                <w:rFonts w:ascii="楷体_GB2312" w:eastAsia="楷体_GB2312" w:hAnsi="楷体" w:hint="eastAsia"/>
                <w:b/>
                <w:color w:val="000000"/>
                <w:sz w:val="18"/>
                <w:szCs w:val="18"/>
              </w:rPr>
              <w:t>.</w:t>
            </w:r>
            <w:r w:rsidR="00754E6C">
              <w:rPr>
                <w:rFonts w:ascii="楷体_GB2312" w:eastAsia="楷体_GB2312" w:hAnsi="楷体" w:hint="eastAsia"/>
                <w:b/>
                <w:color w:val="000000"/>
                <w:sz w:val="18"/>
                <w:szCs w:val="18"/>
              </w:rPr>
              <w:t>部分</w:t>
            </w:r>
            <w:r w:rsidR="001E3FC2">
              <w:rPr>
                <w:rFonts w:ascii="楷体_GB2312" w:eastAsia="楷体_GB2312" w:hAnsi="楷体" w:hint="eastAsia"/>
                <w:b/>
                <w:color w:val="000000"/>
                <w:sz w:val="18"/>
                <w:szCs w:val="18"/>
              </w:rPr>
              <w:t>分级B</w:t>
            </w:r>
            <w:r w:rsidR="0095009A">
              <w:rPr>
                <w:rFonts w:ascii="楷体_GB2312" w:eastAsia="楷体_GB2312" w:hAnsi="楷体" w:hint="eastAsia"/>
                <w:b/>
                <w:color w:val="000000"/>
                <w:sz w:val="18"/>
                <w:szCs w:val="18"/>
              </w:rPr>
              <w:t>价格表现</w:t>
            </w:r>
            <w:r w:rsidR="00754E6C">
              <w:rPr>
                <w:rFonts w:ascii="楷体_GB2312" w:eastAsia="楷体_GB2312" w:hAnsi="楷体" w:hint="eastAsia"/>
                <w:b/>
                <w:color w:val="000000"/>
                <w:sz w:val="18"/>
                <w:szCs w:val="18"/>
              </w:rPr>
              <w:t>显著</w:t>
            </w:r>
            <w:r w:rsidR="00756F82">
              <w:rPr>
                <w:rFonts w:ascii="楷体_GB2312" w:eastAsia="楷体_GB2312" w:hAnsi="楷体" w:hint="eastAsia"/>
                <w:b/>
                <w:color w:val="000000"/>
                <w:sz w:val="18"/>
                <w:szCs w:val="18"/>
              </w:rPr>
              <w:t>偏离</w:t>
            </w:r>
            <w:r w:rsidR="0095009A">
              <w:rPr>
                <w:rFonts w:ascii="楷体_GB2312" w:eastAsia="楷体_GB2312" w:hAnsi="楷体" w:hint="eastAsia"/>
                <w:b/>
                <w:color w:val="000000"/>
                <w:sz w:val="18"/>
                <w:szCs w:val="18"/>
              </w:rPr>
              <w:t>净值</w:t>
            </w:r>
            <w:r w:rsidR="00D92D56">
              <w:rPr>
                <w:rFonts w:ascii="楷体_GB2312" w:eastAsia="楷体_GB2312" w:hAnsi="楷体" w:hint="eastAsia"/>
                <w:b/>
                <w:color w:val="000000"/>
                <w:sz w:val="18"/>
                <w:szCs w:val="18"/>
              </w:rPr>
              <w:t>表现</w:t>
            </w:r>
          </w:p>
        </w:tc>
        <w:tc>
          <w:tcPr>
            <w:tcW w:w="5590" w:type="dxa"/>
          </w:tcPr>
          <w:p w:rsidR="00D90536" w:rsidRPr="00C82167" w:rsidRDefault="00D90536" w:rsidP="006F094D">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Pr>
                <w:rFonts w:ascii="楷体_GB2312" w:eastAsia="楷体_GB2312" w:hAnsi="楷体"/>
                <w:b/>
                <w:color w:val="000000"/>
                <w:sz w:val="18"/>
                <w:szCs w:val="18"/>
              </w:rPr>
              <w:t>4</w:t>
            </w:r>
            <w:r w:rsidR="005511C8">
              <w:rPr>
                <w:rFonts w:ascii="楷体_GB2312" w:eastAsia="楷体_GB2312" w:hAnsi="楷体"/>
                <w:b/>
                <w:color w:val="000000"/>
                <w:sz w:val="18"/>
                <w:szCs w:val="18"/>
              </w:rPr>
              <w:t>.</w:t>
            </w:r>
            <w:r w:rsidR="006F094D">
              <w:rPr>
                <w:rFonts w:ascii="楷体_GB2312" w:eastAsia="楷体_GB2312" w:hAnsi="楷体" w:hint="eastAsia"/>
                <w:b/>
                <w:color w:val="000000"/>
                <w:sz w:val="18"/>
                <w:szCs w:val="18"/>
              </w:rPr>
              <w:t>过去五周</w:t>
            </w:r>
            <w:r w:rsidR="00D600BC">
              <w:rPr>
                <w:rFonts w:ascii="楷体_GB2312" w:eastAsia="楷体_GB2312" w:hAnsi="楷体" w:hint="eastAsia"/>
                <w:b/>
                <w:color w:val="000000"/>
                <w:sz w:val="18"/>
                <w:szCs w:val="18"/>
              </w:rPr>
              <w:t>股票</w:t>
            </w:r>
            <w:r w:rsidR="001E3FC2">
              <w:rPr>
                <w:rFonts w:ascii="楷体_GB2312" w:eastAsia="楷体_GB2312" w:hAnsi="楷体" w:hint="eastAsia"/>
                <w:b/>
                <w:color w:val="000000"/>
                <w:sz w:val="18"/>
                <w:szCs w:val="18"/>
              </w:rPr>
              <w:t>分级B</w:t>
            </w:r>
            <w:r w:rsidR="006F094D">
              <w:rPr>
                <w:rFonts w:ascii="楷体_GB2312" w:eastAsia="楷体_GB2312" w:hAnsi="楷体" w:hint="eastAsia"/>
                <w:b/>
                <w:color w:val="000000"/>
                <w:sz w:val="18"/>
                <w:szCs w:val="18"/>
              </w:rPr>
              <w:t>场内份额净流量</w:t>
            </w:r>
            <w:r w:rsidR="007F62DC">
              <w:rPr>
                <w:rFonts w:ascii="楷体_GB2312" w:eastAsia="楷体_GB2312" w:hAnsi="楷体" w:hint="eastAsia"/>
                <w:b/>
                <w:color w:val="000000"/>
                <w:sz w:val="18"/>
                <w:szCs w:val="18"/>
              </w:rPr>
              <w:t>(亿份</w:t>
            </w:r>
            <w:r w:rsidR="007F62DC">
              <w:rPr>
                <w:rFonts w:ascii="楷体_GB2312" w:eastAsia="楷体_GB2312" w:hAnsi="楷体"/>
                <w:b/>
                <w:color w:val="000000"/>
                <w:sz w:val="18"/>
                <w:szCs w:val="18"/>
              </w:rPr>
              <w:t>)</w:t>
            </w:r>
          </w:p>
        </w:tc>
      </w:tr>
      <w:tr w:rsidR="00D90536" w:rsidRPr="00FC2D2B" w:rsidTr="007F5D7A">
        <w:trPr>
          <w:trHeight w:val="3885"/>
        </w:trPr>
        <w:tc>
          <w:tcPr>
            <w:tcW w:w="5387" w:type="dxa"/>
          </w:tcPr>
          <w:p w:rsidR="00D90536" w:rsidRPr="00FC2D2B" w:rsidRDefault="000F77C6" w:rsidP="004D0283">
            <w:pPr>
              <w:spacing w:line="360" w:lineRule="auto"/>
              <w:ind w:left="1" w:hanging="1"/>
              <w:jc w:val="center"/>
              <w:rPr>
                <w:rFonts w:ascii="楷体_GB2312" w:eastAsia="楷体_GB2312" w:hAnsi="楷体"/>
                <w:color w:val="000000"/>
                <w:sz w:val="18"/>
                <w:szCs w:val="18"/>
              </w:rPr>
            </w:pPr>
            <w:r>
              <w:rPr>
                <w:noProof/>
              </w:rPr>
              <w:drawing>
                <wp:inline distT="0" distB="0" distL="0" distR="0">
                  <wp:extent cx="3283585" cy="2381250"/>
                  <wp:effectExtent l="0" t="0" r="12065"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590" w:type="dxa"/>
          </w:tcPr>
          <w:p w:rsidR="00D90536" w:rsidRPr="00FC2D2B" w:rsidRDefault="007F5D7A" w:rsidP="004D0283">
            <w:pPr>
              <w:spacing w:line="360" w:lineRule="auto"/>
              <w:jc w:val="center"/>
              <w:rPr>
                <w:rFonts w:ascii="楷体_GB2312" w:eastAsia="楷体_GB2312" w:hAnsi="楷体"/>
                <w:color w:val="000000"/>
                <w:sz w:val="18"/>
                <w:szCs w:val="18"/>
              </w:rPr>
            </w:pPr>
            <w:r>
              <w:rPr>
                <w:noProof/>
              </w:rPr>
              <w:drawing>
                <wp:inline distT="0" distB="0" distL="0" distR="0">
                  <wp:extent cx="3438525" cy="240030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D90536" w:rsidRPr="00FC2D2B" w:rsidTr="004D0283">
        <w:tc>
          <w:tcPr>
            <w:tcW w:w="10977" w:type="dxa"/>
            <w:gridSpan w:val="2"/>
          </w:tcPr>
          <w:p w:rsidR="00D90536" w:rsidRPr="00205537" w:rsidRDefault="00D90536" w:rsidP="004D0283">
            <w:pPr>
              <w:jc w:val="left"/>
              <w:rPr>
                <w:rFonts w:ascii="楷体_GB2312" w:eastAsia="楷体_GB2312" w:hAnsi="楷体"/>
                <w:color w:val="000000"/>
                <w:sz w:val="18"/>
                <w:szCs w:val="18"/>
              </w:rPr>
            </w:pPr>
            <w:r w:rsidRPr="00205537">
              <w:rPr>
                <w:rFonts w:ascii="楷体_GB2312" w:eastAsia="楷体_GB2312" w:hAnsi="楷体" w:hint="eastAsia"/>
                <w:color w:val="000000"/>
                <w:sz w:val="18"/>
                <w:szCs w:val="18"/>
              </w:rPr>
              <w:lastRenderedPageBreak/>
              <w:t>数据来源：Wind资讯 上海证券基金评价研究中心</w:t>
            </w:r>
          </w:p>
          <w:p w:rsidR="002F5D6E" w:rsidRPr="00D225BF" w:rsidRDefault="00D90536" w:rsidP="001D3EF4">
            <w:pPr>
              <w:jc w:val="left"/>
              <w:rPr>
                <w:rFonts w:ascii="楷体_GB2312" w:eastAsia="楷体_GB2312" w:hAnsi="楷体"/>
                <w:color w:val="000000"/>
                <w:sz w:val="18"/>
                <w:szCs w:val="18"/>
              </w:rPr>
            </w:pPr>
            <w:r w:rsidRPr="00205537">
              <w:rPr>
                <w:rFonts w:ascii="楷体_GB2312" w:eastAsia="楷体_GB2312" w:hAnsi="楷体" w:hint="eastAsia"/>
                <w:color w:val="000000"/>
                <w:sz w:val="18"/>
                <w:szCs w:val="18"/>
              </w:rPr>
              <w:t>数据截至</w:t>
            </w:r>
            <w:r w:rsidR="00D45450">
              <w:rPr>
                <w:rFonts w:ascii="楷体_GB2312" w:eastAsia="楷体_GB2312" w:hAnsi="楷体" w:hint="eastAsia"/>
                <w:color w:val="000000"/>
                <w:sz w:val="18"/>
                <w:szCs w:val="18"/>
              </w:rPr>
              <w:t xml:space="preserve">： </w:t>
            </w:r>
            <w:r w:rsidRPr="00205537">
              <w:rPr>
                <w:rFonts w:ascii="楷体_GB2312" w:eastAsia="楷体_GB2312" w:hAnsi="楷体" w:hint="eastAsia"/>
                <w:color w:val="000000"/>
                <w:sz w:val="18"/>
                <w:szCs w:val="18"/>
              </w:rPr>
              <w:t>2016年</w:t>
            </w:r>
            <w:r w:rsidR="001D3EF4">
              <w:rPr>
                <w:rFonts w:ascii="楷体_GB2312" w:eastAsia="楷体_GB2312" w:hAnsi="楷体"/>
                <w:color w:val="000000"/>
                <w:sz w:val="18"/>
                <w:szCs w:val="18"/>
              </w:rPr>
              <w:t>8</w:t>
            </w:r>
            <w:r>
              <w:rPr>
                <w:rFonts w:ascii="楷体_GB2312" w:eastAsia="楷体_GB2312" w:hAnsi="楷体"/>
                <w:color w:val="000000"/>
                <w:sz w:val="18"/>
                <w:szCs w:val="18"/>
              </w:rPr>
              <w:t>月</w:t>
            </w:r>
            <w:r w:rsidR="00D01042">
              <w:rPr>
                <w:rFonts w:ascii="楷体_GB2312" w:eastAsia="楷体_GB2312" w:hAnsi="楷体"/>
                <w:color w:val="000000"/>
                <w:sz w:val="18"/>
                <w:szCs w:val="18"/>
              </w:rPr>
              <w:t>8</w:t>
            </w:r>
            <w:r w:rsidRPr="00205537">
              <w:rPr>
                <w:rFonts w:ascii="楷体_GB2312" w:eastAsia="楷体_GB2312" w:hAnsi="楷体" w:hint="eastAsia"/>
                <w:color w:val="000000"/>
                <w:sz w:val="18"/>
                <w:szCs w:val="18"/>
              </w:rPr>
              <w:t>日</w:t>
            </w:r>
          </w:p>
        </w:tc>
      </w:tr>
    </w:tbl>
    <w:p w:rsidR="000F77C6" w:rsidRPr="00C40319" w:rsidRDefault="000F77C6" w:rsidP="00D225BF">
      <w:pPr>
        <w:spacing w:line="360" w:lineRule="auto"/>
        <w:rPr>
          <w:rFonts w:ascii="楷体_GB2312" w:eastAsia="楷体_GB2312"/>
          <w:szCs w:val="21"/>
        </w:rPr>
      </w:pPr>
    </w:p>
    <w:tbl>
      <w:tblPr>
        <w:tblW w:w="11766" w:type="dxa"/>
        <w:tblInd w:w="-1276" w:type="dxa"/>
        <w:tblBorders>
          <w:top w:val="single" w:sz="12" w:space="0" w:color="767171" w:themeColor="background2" w:themeShade="80"/>
          <w:insideH w:val="single" w:sz="12" w:space="0" w:color="C00000"/>
        </w:tblBorders>
        <w:tblLayout w:type="fixed"/>
        <w:tblLook w:val="04A0" w:firstRow="1" w:lastRow="0" w:firstColumn="1" w:lastColumn="0" w:noHBand="0" w:noVBand="1"/>
      </w:tblPr>
      <w:tblGrid>
        <w:gridCol w:w="11766"/>
      </w:tblGrid>
      <w:tr w:rsidR="00474CE3" w:rsidRPr="00FC2D2B" w:rsidTr="00474CE3">
        <w:tc>
          <w:tcPr>
            <w:tcW w:w="11766" w:type="dxa"/>
          </w:tcPr>
          <w:p w:rsidR="00474CE3" w:rsidRPr="00474CE3" w:rsidRDefault="00474CE3" w:rsidP="0079245F">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sidR="00D45450">
              <w:rPr>
                <w:rFonts w:ascii="楷体_GB2312" w:eastAsia="楷体_GB2312" w:hAnsi="楷体" w:hint="eastAsia"/>
                <w:b/>
                <w:color w:val="000000"/>
                <w:sz w:val="18"/>
                <w:szCs w:val="18"/>
              </w:rPr>
              <w:t>5</w:t>
            </w:r>
            <w:r w:rsidRPr="00FC2D2B">
              <w:rPr>
                <w:rFonts w:ascii="楷体_GB2312" w:eastAsia="楷体_GB2312" w:hAnsi="楷体" w:hint="eastAsia"/>
                <w:b/>
                <w:color w:val="000000"/>
                <w:sz w:val="18"/>
                <w:szCs w:val="18"/>
              </w:rPr>
              <w:t>.</w:t>
            </w:r>
            <w:r w:rsidR="0079245F" w:rsidRPr="0079245F">
              <w:rPr>
                <w:rFonts w:ascii="楷体_GB2312" w:eastAsia="楷体_GB2312" w:hAnsi="楷体" w:hint="eastAsia"/>
                <w:b/>
                <w:color w:val="000000"/>
                <w:sz w:val="18"/>
                <w:szCs w:val="18"/>
              </w:rPr>
              <w:t>股票分级B跟踪指数周涨跌幅</w:t>
            </w:r>
            <w:r w:rsidR="00C467FE">
              <w:rPr>
                <w:rFonts w:ascii="楷体_GB2312" w:eastAsia="楷体_GB2312" w:hAnsi="楷体" w:hint="eastAsia"/>
                <w:b/>
                <w:color w:val="000000"/>
                <w:sz w:val="18"/>
                <w:szCs w:val="18"/>
              </w:rPr>
              <w:t>——地产狂飙、食品饮料褪色</w:t>
            </w:r>
          </w:p>
        </w:tc>
      </w:tr>
      <w:tr w:rsidR="00474CE3" w:rsidRPr="00FC2D2B" w:rsidTr="007F5D7A">
        <w:trPr>
          <w:trHeight w:val="2664"/>
        </w:trPr>
        <w:tc>
          <w:tcPr>
            <w:tcW w:w="11766" w:type="dxa"/>
          </w:tcPr>
          <w:p w:rsidR="00474CE3" w:rsidRPr="00FC2D2B" w:rsidRDefault="007F5D7A" w:rsidP="004D0283">
            <w:pPr>
              <w:spacing w:line="360" w:lineRule="auto"/>
              <w:jc w:val="center"/>
              <w:rPr>
                <w:rFonts w:ascii="楷体_GB2312" w:eastAsia="楷体_GB2312" w:hAnsi="楷体"/>
                <w:color w:val="000000"/>
                <w:sz w:val="18"/>
                <w:szCs w:val="18"/>
              </w:rPr>
            </w:pPr>
            <w:r>
              <w:rPr>
                <w:noProof/>
              </w:rPr>
              <w:drawing>
                <wp:inline distT="0" distB="0" distL="0" distR="0">
                  <wp:extent cx="7334250" cy="2726055"/>
                  <wp:effectExtent l="0" t="0" r="0" b="1714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7B11CD" w:rsidRPr="00FC2D2B" w:rsidTr="00474CE3">
        <w:tc>
          <w:tcPr>
            <w:tcW w:w="11766" w:type="dxa"/>
          </w:tcPr>
          <w:p w:rsidR="007B11CD" w:rsidRPr="00205537" w:rsidRDefault="007B11CD" w:rsidP="004D0283">
            <w:pPr>
              <w:jc w:val="left"/>
              <w:rPr>
                <w:rFonts w:ascii="楷体_GB2312" w:eastAsia="楷体_GB2312" w:hAnsi="楷体"/>
                <w:color w:val="000000"/>
                <w:sz w:val="18"/>
                <w:szCs w:val="18"/>
              </w:rPr>
            </w:pPr>
            <w:r w:rsidRPr="00205537">
              <w:rPr>
                <w:rFonts w:ascii="楷体_GB2312" w:eastAsia="楷体_GB2312" w:hAnsi="楷体" w:hint="eastAsia"/>
                <w:color w:val="000000"/>
                <w:sz w:val="18"/>
                <w:szCs w:val="18"/>
              </w:rPr>
              <w:t>数据来源：Wind资讯 上海证券基金评价研究中心</w:t>
            </w:r>
          </w:p>
          <w:p w:rsidR="007B11CD" w:rsidRPr="00FC2D2B" w:rsidRDefault="007B11CD" w:rsidP="007F5D7A">
            <w:pPr>
              <w:jc w:val="left"/>
              <w:rPr>
                <w:rFonts w:ascii="楷体_GB2312" w:eastAsia="楷体_GB2312" w:hAnsi="楷体"/>
                <w:i/>
                <w:color w:val="000000"/>
                <w:sz w:val="18"/>
                <w:szCs w:val="18"/>
              </w:rPr>
            </w:pPr>
            <w:r w:rsidRPr="00205537">
              <w:rPr>
                <w:rFonts w:ascii="楷体_GB2312" w:eastAsia="楷体_GB2312" w:hAnsi="楷体" w:hint="eastAsia"/>
                <w:color w:val="000000"/>
                <w:sz w:val="18"/>
                <w:szCs w:val="18"/>
              </w:rPr>
              <w:t>数据截至</w:t>
            </w:r>
            <w:r w:rsidR="00D45450">
              <w:rPr>
                <w:rFonts w:ascii="楷体_GB2312" w:eastAsia="楷体_GB2312" w:hAnsi="楷体" w:hint="eastAsia"/>
                <w:color w:val="000000"/>
                <w:sz w:val="18"/>
                <w:szCs w:val="18"/>
              </w:rPr>
              <w:t xml:space="preserve">： </w:t>
            </w:r>
            <w:r w:rsidRPr="00205537">
              <w:rPr>
                <w:rFonts w:ascii="楷体_GB2312" w:eastAsia="楷体_GB2312" w:hAnsi="楷体" w:hint="eastAsia"/>
                <w:color w:val="000000"/>
                <w:sz w:val="18"/>
                <w:szCs w:val="18"/>
              </w:rPr>
              <w:t>2016年</w:t>
            </w:r>
            <w:r w:rsidR="001D3EF4">
              <w:rPr>
                <w:rFonts w:ascii="楷体_GB2312" w:eastAsia="楷体_GB2312" w:hAnsi="楷体"/>
                <w:color w:val="000000"/>
                <w:sz w:val="18"/>
                <w:szCs w:val="18"/>
              </w:rPr>
              <w:t>8</w:t>
            </w:r>
            <w:r>
              <w:rPr>
                <w:rFonts w:ascii="楷体_GB2312" w:eastAsia="楷体_GB2312" w:hAnsi="楷体"/>
                <w:color w:val="000000"/>
                <w:sz w:val="18"/>
                <w:szCs w:val="18"/>
              </w:rPr>
              <w:t>月</w:t>
            </w:r>
            <w:r w:rsidR="007F5D7A">
              <w:rPr>
                <w:rFonts w:ascii="楷体_GB2312" w:eastAsia="楷体_GB2312" w:hAnsi="楷体"/>
                <w:color w:val="000000"/>
                <w:sz w:val="18"/>
                <w:szCs w:val="18"/>
              </w:rPr>
              <w:t>8</w:t>
            </w:r>
            <w:r w:rsidRPr="00205537">
              <w:rPr>
                <w:rFonts w:ascii="楷体_GB2312" w:eastAsia="楷体_GB2312" w:hAnsi="楷体" w:hint="eastAsia"/>
                <w:color w:val="000000"/>
                <w:sz w:val="18"/>
                <w:szCs w:val="18"/>
              </w:rPr>
              <w:t>日</w:t>
            </w:r>
          </w:p>
        </w:tc>
      </w:tr>
    </w:tbl>
    <w:p w:rsidR="00C467FE" w:rsidRDefault="00C467FE" w:rsidP="00F81914">
      <w:pPr>
        <w:spacing w:beforeLines="50" w:before="156" w:afterLines="50" w:after="156"/>
        <w:rPr>
          <w:rFonts w:ascii="楷体_GB2312" w:eastAsia="楷体_GB2312" w:hAnsi="楷体" w:cs="宋体-18030"/>
          <w:b/>
          <w:bCs/>
          <w:color w:val="003366"/>
          <w:kern w:val="44"/>
          <w:sz w:val="24"/>
        </w:rPr>
      </w:pPr>
    </w:p>
    <w:p w:rsidR="00C467FE" w:rsidRDefault="00C467FE" w:rsidP="00F81914">
      <w:pPr>
        <w:spacing w:beforeLines="50" w:before="156" w:afterLines="50" w:after="156"/>
        <w:rPr>
          <w:rFonts w:ascii="楷体_GB2312" w:eastAsia="楷体_GB2312" w:hAnsi="楷体" w:cs="宋体-18030"/>
          <w:b/>
          <w:bCs/>
          <w:color w:val="003366"/>
          <w:kern w:val="44"/>
          <w:sz w:val="24"/>
        </w:rPr>
      </w:pPr>
    </w:p>
    <w:p w:rsidR="00582817" w:rsidRPr="00582817" w:rsidRDefault="00BC4B95" w:rsidP="00F81914">
      <w:pPr>
        <w:spacing w:beforeLines="50" w:before="156" w:afterLines="50" w:after="156"/>
        <w:rPr>
          <w:rFonts w:ascii="楷体_GB2312" w:eastAsia="楷体_GB2312" w:hAnsi="楷体" w:cs="宋体-18030"/>
          <w:b/>
          <w:bCs/>
          <w:color w:val="003366"/>
          <w:kern w:val="44"/>
          <w:sz w:val="24"/>
        </w:rPr>
      </w:pPr>
      <w:r>
        <w:rPr>
          <w:rFonts w:ascii="楷体_GB2312" w:eastAsia="楷体_GB2312" w:hAnsi="楷体" w:cs="宋体-18030" w:hint="eastAsia"/>
          <w:b/>
          <w:bCs/>
          <w:color w:val="003366"/>
          <w:kern w:val="44"/>
          <w:sz w:val="24"/>
        </w:rPr>
        <w:t>（二</w:t>
      </w:r>
      <w:r>
        <w:rPr>
          <w:rFonts w:ascii="楷体_GB2312" w:eastAsia="楷体_GB2312" w:hAnsi="楷体" w:cs="宋体-18030"/>
          <w:b/>
          <w:bCs/>
          <w:color w:val="003366"/>
          <w:kern w:val="44"/>
          <w:sz w:val="24"/>
        </w:rPr>
        <w:t>）</w:t>
      </w:r>
      <w:r w:rsidR="00D90536" w:rsidRPr="00BC4B95">
        <w:rPr>
          <w:rFonts w:ascii="楷体_GB2312" w:eastAsia="楷体_GB2312" w:hAnsi="楷体" w:cs="宋体-18030"/>
          <w:b/>
          <w:bCs/>
          <w:color w:val="003366"/>
          <w:kern w:val="44"/>
          <w:sz w:val="24"/>
        </w:rPr>
        <w:t>分级</w:t>
      </w:r>
      <w:r w:rsidR="00D90536" w:rsidRPr="00BC4B95">
        <w:rPr>
          <w:rFonts w:ascii="楷体_GB2312" w:eastAsia="楷体_GB2312" w:hAnsi="楷体" w:cs="宋体-18030" w:hint="eastAsia"/>
          <w:b/>
          <w:bCs/>
          <w:color w:val="003366"/>
          <w:kern w:val="44"/>
          <w:sz w:val="24"/>
        </w:rPr>
        <w:t>A</w:t>
      </w:r>
      <w:r w:rsidR="00D90536" w:rsidRPr="00BC4B95">
        <w:rPr>
          <w:rFonts w:ascii="楷体_GB2312" w:eastAsia="楷体_GB2312" w:hAnsi="楷体" w:cs="宋体-18030"/>
          <w:b/>
          <w:bCs/>
          <w:color w:val="003366"/>
          <w:kern w:val="44"/>
          <w:sz w:val="24"/>
        </w:rPr>
        <w:t>：</w:t>
      </w:r>
    </w:p>
    <w:p w:rsidR="007F5D7A" w:rsidRDefault="00EB5083" w:rsidP="00C467FE">
      <w:pPr>
        <w:spacing w:line="360" w:lineRule="auto"/>
        <w:ind w:firstLineChars="200" w:firstLine="420"/>
        <w:rPr>
          <w:rFonts w:ascii="楷体_GB2312" w:eastAsia="楷体_GB2312" w:hAnsi="华文楷体"/>
        </w:rPr>
      </w:pPr>
      <w:r w:rsidRPr="00EB5083">
        <w:rPr>
          <w:rFonts w:ascii="楷体_GB2312" w:eastAsia="楷体_GB2312" w:hAnsi="华文楷体" w:hint="eastAsia"/>
        </w:rPr>
        <w:t>分级A方面，价格平均上涨0.37%，隐含收益率继续走低。上周分级A平均日均成交额为1195.78亿元，维持一定的活跃度。随着价格的不断上涨，分级A平均隐含收益率降至4.73%，不断创下历史新低。其中银华中证90A区间涨幅最大，为6.90%</w:t>
      </w:r>
      <w:r w:rsidR="00486F8A">
        <w:rPr>
          <w:rFonts w:ascii="楷体_GB2312" w:eastAsia="楷体_GB2312" w:hAnsi="华文楷体" w:hint="eastAsia"/>
        </w:rPr>
        <w:t>，带动基础份额出现较高的溢价率，</w:t>
      </w:r>
      <w:r w:rsidRPr="00EB5083">
        <w:rPr>
          <w:rFonts w:ascii="楷体_GB2312" w:eastAsia="楷体_GB2312" w:hAnsi="华文楷体" w:hint="eastAsia"/>
        </w:rPr>
        <w:t>但该基金A份额区间日成交额仅万元，交易不活跃或是涨幅过大的重要原因。</w:t>
      </w:r>
      <w:r w:rsidR="00486F8A">
        <w:rPr>
          <w:rFonts w:ascii="楷体_GB2312" w:eastAsia="楷体_GB2312" w:hAnsi="华文楷体" w:hint="eastAsia"/>
        </w:rPr>
        <w:t>近期</w:t>
      </w:r>
      <w:r w:rsidRPr="00EB5083">
        <w:rPr>
          <w:rFonts w:ascii="楷体_GB2312" w:eastAsia="楷体_GB2312" w:hAnsi="华文楷体" w:hint="eastAsia"/>
        </w:rPr>
        <w:t>分级A受到追捧的现实不容忽视，显示出市场仍然看好分级A的走势：一则，分级A收益率虽在下降，但相比债市利率利差仍处于较高位。二则市场对安全资产的需求在增长，分级A无信用风险</w:t>
      </w:r>
      <w:r w:rsidR="00486F8A">
        <w:rPr>
          <w:rFonts w:ascii="楷体_GB2312" w:eastAsia="楷体_GB2312" w:hAnsi="华文楷体" w:hint="eastAsia"/>
        </w:rPr>
        <w:t>、收益率相对高的价值不断凸显。仍需注意的是</w:t>
      </w:r>
      <w:r w:rsidRPr="00EB5083">
        <w:rPr>
          <w:rFonts w:ascii="楷体_GB2312" w:eastAsia="楷体_GB2312" w:hAnsi="华文楷体" w:hint="eastAsia"/>
        </w:rPr>
        <w:t>当前分级A整体多溢价交易，价格上升中多品种出现价升量缩的情况，显示出分级A</w:t>
      </w:r>
      <w:r w:rsidR="00C467FE">
        <w:rPr>
          <w:rFonts w:ascii="楷体_GB2312" w:eastAsia="楷体_GB2312" w:hAnsi="华文楷体" w:hint="eastAsia"/>
        </w:rPr>
        <w:t>安全边际不断下降的风险也不容忽视。</w:t>
      </w:r>
    </w:p>
    <w:p w:rsidR="00C467FE" w:rsidRDefault="00C467FE" w:rsidP="00C467FE">
      <w:pPr>
        <w:spacing w:line="360" w:lineRule="auto"/>
        <w:ind w:firstLineChars="200" w:firstLine="420"/>
        <w:rPr>
          <w:rFonts w:ascii="楷体_GB2312" w:eastAsia="楷体_GB2312" w:hAnsi="华文楷体"/>
        </w:rPr>
      </w:pPr>
    </w:p>
    <w:p w:rsidR="00C467FE" w:rsidRDefault="00C467FE" w:rsidP="00C467FE">
      <w:pPr>
        <w:spacing w:line="360" w:lineRule="auto"/>
        <w:ind w:firstLineChars="200" w:firstLine="420"/>
        <w:rPr>
          <w:rFonts w:ascii="楷体_GB2312" w:eastAsia="楷体_GB2312" w:hAnsi="华文楷体"/>
        </w:rPr>
      </w:pPr>
    </w:p>
    <w:p w:rsidR="00C467FE" w:rsidRDefault="00C467FE" w:rsidP="00C467FE">
      <w:pPr>
        <w:spacing w:line="360" w:lineRule="auto"/>
        <w:ind w:firstLineChars="200" w:firstLine="420"/>
        <w:rPr>
          <w:rFonts w:ascii="楷体_GB2312" w:eastAsia="楷体_GB2312" w:hAnsi="华文楷体"/>
        </w:rPr>
      </w:pPr>
    </w:p>
    <w:p w:rsidR="00C467FE" w:rsidRPr="002F5D6E" w:rsidRDefault="00C467FE" w:rsidP="00C467FE">
      <w:pPr>
        <w:spacing w:line="360" w:lineRule="auto"/>
        <w:ind w:firstLineChars="200" w:firstLine="420"/>
        <w:rPr>
          <w:rFonts w:ascii="楷体_GB2312" w:eastAsia="楷体_GB2312" w:hAnsi="华文楷体"/>
        </w:rPr>
      </w:pPr>
    </w:p>
    <w:tbl>
      <w:tblPr>
        <w:tblW w:w="10977" w:type="dxa"/>
        <w:tblInd w:w="-885" w:type="dxa"/>
        <w:tblBorders>
          <w:top w:val="single" w:sz="12" w:space="0" w:color="767171" w:themeColor="background2" w:themeShade="80"/>
          <w:insideH w:val="single" w:sz="12" w:space="0" w:color="C00000"/>
        </w:tblBorders>
        <w:tblLayout w:type="fixed"/>
        <w:tblLook w:val="04A0" w:firstRow="1" w:lastRow="0" w:firstColumn="1" w:lastColumn="0" w:noHBand="0" w:noVBand="1"/>
      </w:tblPr>
      <w:tblGrid>
        <w:gridCol w:w="5387"/>
        <w:gridCol w:w="5590"/>
      </w:tblGrid>
      <w:tr w:rsidR="00D90536" w:rsidRPr="00FC2D2B" w:rsidTr="004D0283">
        <w:tc>
          <w:tcPr>
            <w:tcW w:w="5387" w:type="dxa"/>
          </w:tcPr>
          <w:p w:rsidR="00D90536" w:rsidRPr="00304FEB" w:rsidRDefault="00D90536" w:rsidP="003762A3">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lastRenderedPageBreak/>
              <w:t>图</w:t>
            </w:r>
            <w:r w:rsidR="00D45450">
              <w:rPr>
                <w:rFonts w:ascii="楷体_GB2312" w:eastAsia="楷体_GB2312" w:hAnsi="楷体" w:hint="eastAsia"/>
                <w:b/>
                <w:color w:val="000000"/>
                <w:sz w:val="18"/>
                <w:szCs w:val="18"/>
              </w:rPr>
              <w:t>6.</w:t>
            </w:r>
            <w:r w:rsidR="003762A3">
              <w:rPr>
                <w:rFonts w:ascii="楷体_GB2312" w:eastAsia="楷体_GB2312" w:hAnsi="楷体" w:hint="eastAsia"/>
                <w:b/>
                <w:color w:val="000000"/>
                <w:sz w:val="18"/>
                <w:szCs w:val="18"/>
              </w:rPr>
              <w:t>4</w:t>
            </w:r>
            <w:r w:rsidR="003762A3">
              <w:rPr>
                <w:rFonts w:ascii="楷体_GB2312" w:eastAsia="楷体_GB2312" w:hAnsi="楷体"/>
                <w:b/>
                <w:color w:val="000000"/>
                <w:sz w:val="18"/>
                <w:szCs w:val="18"/>
              </w:rPr>
              <w:t>.0%</w:t>
            </w:r>
            <w:r w:rsidR="003762A3">
              <w:rPr>
                <w:rFonts w:ascii="楷体_GB2312" w:eastAsia="楷体_GB2312" w:hAnsi="楷体" w:hint="eastAsia"/>
                <w:b/>
                <w:color w:val="000000"/>
                <w:sz w:val="18"/>
                <w:szCs w:val="18"/>
              </w:rPr>
              <w:t>利差品种上周表现最佳</w:t>
            </w:r>
          </w:p>
        </w:tc>
        <w:tc>
          <w:tcPr>
            <w:tcW w:w="5590" w:type="dxa"/>
          </w:tcPr>
          <w:p w:rsidR="00D90536" w:rsidRPr="00C82167" w:rsidRDefault="00D90536" w:rsidP="003762A3">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sidR="00D45450">
              <w:rPr>
                <w:rFonts w:ascii="楷体_GB2312" w:eastAsia="楷体_GB2312" w:hAnsi="楷体"/>
                <w:b/>
                <w:color w:val="000000"/>
                <w:sz w:val="18"/>
                <w:szCs w:val="18"/>
              </w:rPr>
              <w:t>7.</w:t>
            </w:r>
            <w:r w:rsidR="003762A3">
              <w:rPr>
                <w:rFonts w:ascii="楷体_GB2312" w:eastAsia="楷体_GB2312" w:hAnsi="楷体" w:hint="eastAsia"/>
                <w:b/>
                <w:color w:val="000000"/>
                <w:sz w:val="18"/>
                <w:szCs w:val="18"/>
              </w:rPr>
              <w:t>分级A</w:t>
            </w:r>
            <w:r w:rsidR="00C455FD">
              <w:rPr>
                <w:rFonts w:ascii="楷体_GB2312" w:eastAsia="楷体_GB2312" w:hAnsi="楷体" w:hint="eastAsia"/>
                <w:b/>
                <w:color w:val="000000"/>
                <w:sz w:val="18"/>
                <w:szCs w:val="18"/>
              </w:rPr>
              <w:t>隐含</w:t>
            </w:r>
            <w:r w:rsidR="00C455FD">
              <w:rPr>
                <w:rFonts w:ascii="楷体_GB2312" w:eastAsia="楷体_GB2312" w:hAnsi="楷体"/>
                <w:b/>
                <w:color w:val="000000"/>
                <w:sz w:val="18"/>
                <w:szCs w:val="18"/>
              </w:rPr>
              <w:t>收益率</w:t>
            </w:r>
            <w:r w:rsidR="00DD4907">
              <w:rPr>
                <w:rFonts w:ascii="楷体_GB2312" w:eastAsia="楷体_GB2312" w:hAnsi="楷体" w:hint="eastAsia"/>
                <w:b/>
                <w:color w:val="000000"/>
                <w:sz w:val="18"/>
                <w:szCs w:val="18"/>
              </w:rPr>
              <w:t>与10年</w:t>
            </w:r>
            <w:r w:rsidR="00DD4907">
              <w:rPr>
                <w:rFonts w:ascii="楷体_GB2312" w:eastAsia="楷体_GB2312" w:hAnsi="楷体"/>
                <w:b/>
                <w:color w:val="000000"/>
                <w:sz w:val="18"/>
                <w:szCs w:val="18"/>
              </w:rPr>
              <w:t>企业债</w:t>
            </w:r>
            <w:r w:rsidR="00DD4907">
              <w:rPr>
                <w:rFonts w:ascii="楷体_GB2312" w:eastAsia="楷体_GB2312" w:hAnsi="楷体" w:hint="eastAsia"/>
                <w:b/>
                <w:color w:val="000000"/>
                <w:sz w:val="18"/>
                <w:szCs w:val="18"/>
              </w:rPr>
              <w:t>AA</w:t>
            </w:r>
            <w:r w:rsidR="00DD4907">
              <w:rPr>
                <w:rFonts w:ascii="楷体_GB2312" w:eastAsia="楷体_GB2312" w:hAnsi="楷体"/>
                <w:b/>
                <w:color w:val="000000"/>
                <w:sz w:val="18"/>
                <w:szCs w:val="18"/>
              </w:rPr>
              <w:t>+</w:t>
            </w:r>
            <w:r w:rsidR="00DD4907">
              <w:rPr>
                <w:rFonts w:ascii="楷体_GB2312" w:eastAsia="楷体_GB2312" w:hAnsi="楷体" w:hint="eastAsia"/>
                <w:b/>
                <w:color w:val="000000"/>
                <w:sz w:val="18"/>
                <w:szCs w:val="18"/>
              </w:rPr>
              <w:t>利率</w:t>
            </w:r>
            <w:r w:rsidR="003762A3">
              <w:rPr>
                <w:rFonts w:ascii="楷体_GB2312" w:eastAsia="楷体_GB2312" w:hAnsi="楷体" w:hint="eastAsia"/>
                <w:b/>
                <w:color w:val="000000"/>
                <w:sz w:val="18"/>
                <w:szCs w:val="18"/>
              </w:rPr>
              <w:t>的利差维持高位</w:t>
            </w:r>
          </w:p>
        </w:tc>
      </w:tr>
      <w:tr w:rsidR="00D90536" w:rsidRPr="00FC2D2B" w:rsidTr="003762A3">
        <w:trPr>
          <w:trHeight w:val="2664"/>
        </w:trPr>
        <w:tc>
          <w:tcPr>
            <w:tcW w:w="5387" w:type="dxa"/>
          </w:tcPr>
          <w:p w:rsidR="00D90536" w:rsidRPr="00FC2D2B" w:rsidRDefault="00354336" w:rsidP="004D0283">
            <w:pPr>
              <w:spacing w:line="360" w:lineRule="auto"/>
              <w:ind w:left="1" w:hanging="1"/>
              <w:jc w:val="center"/>
              <w:rPr>
                <w:rFonts w:ascii="楷体_GB2312" w:eastAsia="楷体_GB2312" w:hAnsi="楷体"/>
                <w:color w:val="000000"/>
                <w:sz w:val="18"/>
                <w:szCs w:val="18"/>
              </w:rPr>
            </w:pPr>
            <w:r>
              <w:rPr>
                <w:noProof/>
              </w:rPr>
              <w:drawing>
                <wp:inline distT="0" distB="0" distL="0" distR="0">
                  <wp:extent cx="3283585" cy="1970405"/>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590" w:type="dxa"/>
          </w:tcPr>
          <w:p w:rsidR="00D90536" w:rsidRPr="00FC2D2B" w:rsidRDefault="003762A3" w:rsidP="004D0283">
            <w:pPr>
              <w:spacing w:line="360" w:lineRule="auto"/>
              <w:jc w:val="center"/>
              <w:rPr>
                <w:rFonts w:ascii="楷体_GB2312" w:eastAsia="楷体_GB2312" w:hAnsi="楷体"/>
                <w:color w:val="000000"/>
                <w:sz w:val="18"/>
                <w:szCs w:val="18"/>
              </w:rPr>
            </w:pPr>
            <w:r>
              <w:rPr>
                <w:noProof/>
              </w:rPr>
              <w:drawing>
                <wp:inline distT="0" distB="0" distL="0" distR="0">
                  <wp:extent cx="3412490" cy="204724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D90536" w:rsidRPr="00FC2D2B" w:rsidTr="004D0283">
        <w:tc>
          <w:tcPr>
            <w:tcW w:w="10977" w:type="dxa"/>
            <w:gridSpan w:val="2"/>
          </w:tcPr>
          <w:p w:rsidR="00D90536" w:rsidRPr="00205537" w:rsidRDefault="00D90536" w:rsidP="00D90536">
            <w:pPr>
              <w:jc w:val="left"/>
              <w:rPr>
                <w:rFonts w:ascii="楷体_GB2312" w:eastAsia="楷体_GB2312" w:hAnsi="楷体"/>
                <w:color w:val="000000"/>
                <w:sz w:val="18"/>
                <w:szCs w:val="18"/>
              </w:rPr>
            </w:pPr>
            <w:r w:rsidRPr="00205537">
              <w:rPr>
                <w:rFonts w:ascii="楷体_GB2312" w:eastAsia="楷体_GB2312" w:hAnsi="楷体" w:hint="eastAsia"/>
                <w:color w:val="000000"/>
                <w:sz w:val="18"/>
                <w:szCs w:val="18"/>
              </w:rPr>
              <w:t>数据来源：Wind资讯 上海证券基金评价研究中心</w:t>
            </w:r>
          </w:p>
          <w:p w:rsidR="00D90536" w:rsidRPr="00FC2D2B" w:rsidRDefault="00D90536" w:rsidP="00354336">
            <w:pPr>
              <w:jc w:val="left"/>
              <w:rPr>
                <w:rFonts w:ascii="楷体_GB2312" w:eastAsia="楷体_GB2312" w:hAnsi="楷体"/>
                <w:i/>
                <w:color w:val="000000"/>
                <w:sz w:val="18"/>
                <w:szCs w:val="18"/>
              </w:rPr>
            </w:pPr>
            <w:r w:rsidRPr="00205537">
              <w:rPr>
                <w:rFonts w:ascii="楷体_GB2312" w:eastAsia="楷体_GB2312" w:hAnsi="楷体" w:hint="eastAsia"/>
                <w:color w:val="000000"/>
                <w:sz w:val="18"/>
                <w:szCs w:val="18"/>
              </w:rPr>
              <w:t>数据截至</w:t>
            </w:r>
            <w:r w:rsidR="00D45450">
              <w:rPr>
                <w:rFonts w:ascii="楷体_GB2312" w:eastAsia="楷体_GB2312" w:hAnsi="楷体" w:hint="eastAsia"/>
                <w:color w:val="000000"/>
                <w:sz w:val="18"/>
                <w:szCs w:val="18"/>
              </w:rPr>
              <w:t xml:space="preserve">： </w:t>
            </w:r>
            <w:r w:rsidRPr="00205537">
              <w:rPr>
                <w:rFonts w:ascii="楷体_GB2312" w:eastAsia="楷体_GB2312" w:hAnsi="楷体" w:hint="eastAsia"/>
                <w:color w:val="000000"/>
                <w:sz w:val="18"/>
                <w:szCs w:val="18"/>
              </w:rPr>
              <w:t>2016年</w:t>
            </w:r>
            <w:r w:rsidR="00A86401">
              <w:rPr>
                <w:rFonts w:ascii="楷体_GB2312" w:eastAsia="楷体_GB2312" w:hAnsi="楷体"/>
                <w:color w:val="000000"/>
                <w:sz w:val="18"/>
                <w:szCs w:val="18"/>
              </w:rPr>
              <w:t>8</w:t>
            </w:r>
            <w:r>
              <w:rPr>
                <w:rFonts w:ascii="楷体_GB2312" w:eastAsia="楷体_GB2312" w:hAnsi="楷体"/>
                <w:color w:val="000000"/>
                <w:sz w:val="18"/>
                <w:szCs w:val="18"/>
              </w:rPr>
              <w:t>月</w:t>
            </w:r>
            <w:r w:rsidR="00354336">
              <w:rPr>
                <w:rFonts w:ascii="楷体_GB2312" w:eastAsia="楷体_GB2312" w:hAnsi="楷体"/>
                <w:color w:val="000000"/>
                <w:sz w:val="18"/>
                <w:szCs w:val="18"/>
              </w:rPr>
              <w:t>8</w:t>
            </w:r>
            <w:r w:rsidRPr="00205537">
              <w:rPr>
                <w:rFonts w:ascii="楷体_GB2312" w:eastAsia="楷体_GB2312" w:hAnsi="楷体" w:hint="eastAsia"/>
                <w:color w:val="000000"/>
                <w:sz w:val="18"/>
                <w:szCs w:val="18"/>
              </w:rPr>
              <w:t>日</w:t>
            </w:r>
          </w:p>
        </w:tc>
      </w:tr>
    </w:tbl>
    <w:p w:rsidR="006C612F" w:rsidRDefault="006C612F" w:rsidP="00F81914">
      <w:pPr>
        <w:spacing w:beforeLines="50" w:before="156" w:afterLines="50" w:after="156"/>
        <w:rPr>
          <w:rFonts w:ascii="楷体_GB2312" w:eastAsia="楷体_GB2312" w:hAnsi="楷体" w:cs="宋体-18030"/>
          <w:b/>
          <w:bCs/>
          <w:color w:val="003366"/>
          <w:kern w:val="44"/>
          <w:sz w:val="24"/>
        </w:rPr>
      </w:pPr>
    </w:p>
    <w:tbl>
      <w:tblPr>
        <w:tblW w:w="10977" w:type="dxa"/>
        <w:tblInd w:w="-885" w:type="dxa"/>
        <w:tblBorders>
          <w:top w:val="single" w:sz="12" w:space="0" w:color="767171" w:themeColor="background2" w:themeShade="80"/>
          <w:insideH w:val="single" w:sz="12" w:space="0" w:color="C00000"/>
        </w:tblBorders>
        <w:tblLayout w:type="fixed"/>
        <w:tblLook w:val="04A0" w:firstRow="1" w:lastRow="0" w:firstColumn="1" w:lastColumn="0" w:noHBand="0" w:noVBand="1"/>
      </w:tblPr>
      <w:tblGrid>
        <w:gridCol w:w="10977"/>
      </w:tblGrid>
      <w:tr w:rsidR="009148E8" w:rsidRPr="00FC2D2B" w:rsidTr="004D0283">
        <w:tc>
          <w:tcPr>
            <w:tcW w:w="10977" w:type="dxa"/>
          </w:tcPr>
          <w:p w:rsidR="009148E8" w:rsidRPr="00C82167" w:rsidRDefault="009148E8" w:rsidP="00D600BC">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sidR="00D45450">
              <w:rPr>
                <w:rFonts w:ascii="楷体_GB2312" w:eastAsia="楷体_GB2312" w:hAnsi="楷体"/>
                <w:b/>
                <w:color w:val="000000"/>
                <w:sz w:val="18"/>
                <w:szCs w:val="18"/>
              </w:rPr>
              <w:t>8.</w:t>
            </w:r>
            <w:r>
              <w:rPr>
                <w:rFonts w:ascii="楷体_GB2312" w:eastAsia="楷体_GB2312" w:hAnsi="楷体" w:hint="eastAsia"/>
                <w:b/>
                <w:color w:val="000000"/>
                <w:sz w:val="18"/>
                <w:szCs w:val="18"/>
              </w:rPr>
              <w:t>分级</w:t>
            </w:r>
            <w:r w:rsidR="00D600BC">
              <w:rPr>
                <w:rFonts w:ascii="楷体_GB2312" w:eastAsia="楷体_GB2312" w:hAnsi="楷体" w:hint="eastAsia"/>
                <w:b/>
                <w:color w:val="000000"/>
                <w:sz w:val="18"/>
                <w:szCs w:val="18"/>
              </w:rPr>
              <w:t>A</w:t>
            </w:r>
            <w:r>
              <w:rPr>
                <w:rFonts w:ascii="楷体_GB2312" w:eastAsia="楷体_GB2312" w:hAnsi="楷体" w:hint="eastAsia"/>
                <w:b/>
                <w:color w:val="000000"/>
                <w:sz w:val="18"/>
                <w:szCs w:val="18"/>
              </w:rPr>
              <w:t>隐含收益率以及成交量</w:t>
            </w:r>
            <w:r w:rsidR="00D600BC">
              <w:rPr>
                <w:rFonts w:ascii="楷体_GB2312" w:eastAsia="楷体_GB2312" w:hAnsi="楷体" w:hint="eastAsia"/>
                <w:b/>
                <w:color w:val="000000"/>
                <w:sz w:val="18"/>
                <w:szCs w:val="18"/>
              </w:rPr>
              <w:t>关系</w:t>
            </w:r>
            <w:r>
              <w:rPr>
                <w:rFonts w:ascii="楷体_GB2312" w:eastAsia="楷体_GB2312" w:hAnsi="楷体" w:hint="eastAsia"/>
                <w:b/>
                <w:color w:val="000000"/>
                <w:sz w:val="18"/>
                <w:szCs w:val="18"/>
              </w:rPr>
              <w:t>图</w:t>
            </w:r>
          </w:p>
        </w:tc>
      </w:tr>
      <w:tr w:rsidR="009148E8" w:rsidRPr="00FC2D2B" w:rsidTr="00582817">
        <w:trPr>
          <w:trHeight w:val="7902"/>
        </w:trPr>
        <w:tc>
          <w:tcPr>
            <w:tcW w:w="10977" w:type="dxa"/>
          </w:tcPr>
          <w:p w:rsidR="009148E8" w:rsidRDefault="009148E8" w:rsidP="001C30C9">
            <w:pPr>
              <w:spacing w:line="360" w:lineRule="auto"/>
              <w:rPr>
                <w:rFonts w:ascii="楷体_GB2312" w:eastAsia="楷体_GB2312" w:hAnsi="楷体"/>
                <w:color w:val="000000"/>
                <w:sz w:val="18"/>
                <w:szCs w:val="18"/>
              </w:rPr>
            </w:pPr>
          </w:p>
          <w:p w:rsidR="009148E8" w:rsidRPr="009148E8" w:rsidRDefault="0011700A" w:rsidP="009148E8">
            <w:pPr>
              <w:widowControl/>
              <w:jc w:val="left"/>
              <w:rPr>
                <w:rFonts w:ascii="宋体" w:hAnsi="宋体" w:cs="宋体"/>
                <w:kern w:val="0"/>
                <w:sz w:val="24"/>
              </w:rPr>
            </w:pPr>
            <w:r w:rsidRPr="0011700A">
              <w:rPr>
                <w:rFonts w:ascii="宋体" w:hAnsi="宋体" w:cs="宋体"/>
                <w:noProof/>
                <w:kern w:val="0"/>
                <w:sz w:val="24"/>
              </w:rPr>
              <w:drawing>
                <wp:inline distT="0" distB="0" distL="0" distR="0">
                  <wp:extent cx="6000750" cy="4720362"/>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4667" cy="4723443"/>
                          </a:xfrm>
                          <a:prstGeom prst="rect">
                            <a:avLst/>
                          </a:prstGeom>
                          <a:noFill/>
                          <a:ln>
                            <a:noFill/>
                          </a:ln>
                        </pic:spPr>
                      </pic:pic>
                    </a:graphicData>
                  </a:graphic>
                </wp:inline>
              </w:drawing>
            </w:r>
          </w:p>
        </w:tc>
      </w:tr>
      <w:tr w:rsidR="009148E8" w:rsidRPr="00FC2D2B" w:rsidTr="004D0283">
        <w:tc>
          <w:tcPr>
            <w:tcW w:w="10977" w:type="dxa"/>
          </w:tcPr>
          <w:p w:rsidR="00255911" w:rsidRDefault="00255911" w:rsidP="004D0283">
            <w:pPr>
              <w:jc w:val="left"/>
              <w:rPr>
                <w:rFonts w:ascii="楷体_GB2312" w:eastAsia="楷体_GB2312" w:hAnsi="楷体"/>
                <w:color w:val="000000"/>
                <w:sz w:val="18"/>
                <w:szCs w:val="18"/>
              </w:rPr>
            </w:pPr>
            <w:r>
              <w:rPr>
                <w:rFonts w:ascii="楷体_GB2312" w:eastAsia="楷体_GB2312" w:hAnsi="楷体" w:hint="eastAsia"/>
                <w:color w:val="000000"/>
                <w:sz w:val="18"/>
                <w:szCs w:val="18"/>
              </w:rPr>
              <w:lastRenderedPageBreak/>
              <w:t>注1：气泡大小代表周间日平均交易量的大小</w:t>
            </w:r>
          </w:p>
          <w:p w:rsidR="0037461A" w:rsidRDefault="0037461A" w:rsidP="004D0283">
            <w:pPr>
              <w:jc w:val="left"/>
              <w:rPr>
                <w:rFonts w:ascii="楷体_GB2312" w:eastAsia="楷体_GB2312" w:hAnsi="楷体"/>
                <w:color w:val="000000"/>
                <w:sz w:val="18"/>
                <w:szCs w:val="18"/>
              </w:rPr>
            </w:pPr>
            <w:r>
              <w:rPr>
                <w:rFonts w:ascii="楷体_GB2312" w:eastAsia="楷体_GB2312" w:hAnsi="楷体" w:hint="eastAsia"/>
                <w:color w:val="000000"/>
                <w:sz w:val="18"/>
                <w:szCs w:val="18"/>
              </w:rPr>
              <w:t>注</w:t>
            </w:r>
            <w:r w:rsidR="00255911">
              <w:rPr>
                <w:rFonts w:ascii="楷体_GB2312" w:eastAsia="楷体_GB2312" w:hAnsi="楷体" w:hint="eastAsia"/>
                <w:color w:val="000000"/>
                <w:sz w:val="18"/>
                <w:szCs w:val="18"/>
              </w:rPr>
              <w:t>2</w:t>
            </w:r>
            <w:r>
              <w:rPr>
                <w:rFonts w:ascii="楷体_GB2312" w:eastAsia="楷体_GB2312" w:hAnsi="楷体" w:hint="eastAsia"/>
                <w:color w:val="000000"/>
                <w:sz w:val="18"/>
                <w:szCs w:val="18"/>
              </w:rPr>
              <w:t>：</w:t>
            </w:r>
            <w:r w:rsidR="0037593F">
              <w:rPr>
                <w:rFonts w:ascii="楷体_GB2312" w:eastAsia="楷体_GB2312" w:hAnsi="楷体" w:hint="eastAsia"/>
                <w:color w:val="000000"/>
                <w:sz w:val="18"/>
                <w:szCs w:val="18"/>
              </w:rPr>
              <w:t>银华恒生H股A与申万菱信深成指A无下折机制，较高的折价导致其隐含收益率较高。</w:t>
            </w:r>
          </w:p>
          <w:p w:rsidR="009148E8" w:rsidRPr="00205537" w:rsidRDefault="009148E8" w:rsidP="004D0283">
            <w:pPr>
              <w:jc w:val="left"/>
              <w:rPr>
                <w:rFonts w:ascii="楷体_GB2312" w:eastAsia="楷体_GB2312" w:hAnsi="楷体"/>
                <w:color w:val="000000"/>
                <w:sz w:val="18"/>
                <w:szCs w:val="18"/>
              </w:rPr>
            </w:pPr>
            <w:r w:rsidRPr="00205537">
              <w:rPr>
                <w:rFonts w:ascii="楷体_GB2312" w:eastAsia="楷体_GB2312" w:hAnsi="楷体" w:hint="eastAsia"/>
                <w:color w:val="000000"/>
                <w:sz w:val="18"/>
                <w:szCs w:val="18"/>
              </w:rPr>
              <w:t>数据来源：Wind资讯 上海证券基金评价研究中心</w:t>
            </w:r>
          </w:p>
          <w:p w:rsidR="009148E8" w:rsidRPr="00FC2D2B" w:rsidRDefault="009148E8" w:rsidP="00D4767E">
            <w:pPr>
              <w:jc w:val="left"/>
              <w:rPr>
                <w:rFonts w:ascii="楷体_GB2312" w:eastAsia="楷体_GB2312" w:hAnsi="楷体"/>
                <w:i/>
                <w:color w:val="000000"/>
                <w:sz w:val="18"/>
                <w:szCs w:val="18"/>
              </w:rPr>
            </w:pPr>
            <w:r w:rsidRPr="00205537">
              <w:rPr>
                <w:rFonts w:ascii="楷体_GB2312" w:eastAsia="楷体_GB2312" w:hAnsi="楷体" w:hint="eastAsia"/>
                <w:color w:val="000000"/>
                <w:sz w:val="18"/>
                <w:szCs w:val="18"/>
              </w:rPr>
              <w:t>数据截至</w:t>
            </w:r>
            <w:r w:rsidR="00D45450">
              <w:rPr>
                <w:rFonts w:ascii="楷体_GB2312" w:eastAsia="楷体_GB2312" w:hAnsi="楷体" w:hint="eastAsia"/>
                <w:color w:val="000000"/>
                <w:sz w:val="18"/>
                <w:szCs w:val="18"/>
              </w:rPr>
              <w:t xml:space="preserve">： </w:t>
            </w:r>
            <w:r w:rsidRPr="00205537">
              <w:rPr>
                <w:rFonts w:ascii="楷体_GB2312" w:eastAsia="楷体_GB2312" w:hAnsi="楷体" w:hint="eastAsia"/>
                <w:color w:val="000000"/>
                <w:sz w:val="18"/>
                <w:szCs w:val="18"/>
              </w:rPr>
              <w:t>2016年</w:t>
            </w:r>
            <w:r w:rsidR="00C80648">
              <w:rPr>
                <w:rFonts w:ascii="楷体_GB2312" w:eastAsia="楷体_GB2312" w:hAnsi="楷体"/>
                <w:color w:val="000000"/>
                <w:sz w:val="18"/>
                <w:szCs w:val="18"/>
              </w:rPr>
              <w:t>8</w:t>
            </w:r>
            <w:r>
              <w:rPr>
                <w:rFonts w:ascii="楷体_GB2312" w:eastAsia="楷体_GB2312" w:hAnsi="楷体"/>
                <w:color w:val="000000"/>
                <w:sz w:val="18"/>
                <w:szCs w:val="18"/>
              </w:rPr>
              <w:t>月</w:t>
            </w:r>
            <w:r w:rsidR="00D4767E">
              <w:rPr>
                <w:rFonts w:ascii="楷体_GB2312" w:eastAsia="楷体_GB2312" w:hAnsi="楷体"/>
                <w:color w:val="000000"/>
                <w:sz w:val="18"/>
                <w:szCs w:val="18"/>
              </w:rPr>
              <w:t>8</w:t>
            </w:r>
            <w:r w:rsidRPr="00205537">
              <w:rPr>
                <w:rFonts w:ascii="楷体_GB2312" w:eastAsia="楷体_GB2312" w:hAnsi="楷体" w:hint="eastAsia"/>
                <w:color w:val="000000"/>
                <w:sz w:val="18"/>
                <w:szCs w:val="18"/>
              </w:rPr>
              <w:t>日</w:t>
            </w:r>
          </w:p>
        </w:tc>
      </w:tr>
    </w:tbl>
    <w:p w:rsidR="00794BDF" w:rsidRPr="001D75D7" w:rsidRDefault="00794BDF" w:rsidP="00F81914">
      <w:pPr>
        <w:spacing w:beforeLines="50" w:before="156" w:afterLines="50" w:after="156"/>
        <w:rPr>
          <w:rFonts w:ascii="楷体_GB2312" w:eastAsia="楷体_GB2312" w:hAnsi="楷体" w:cs="宋体-18030"/>
          <w:b/>
          <w:bCs/>
          <w:color w:val="003366"/>
          <w:kern w:val="44"/>
          <w:sz w:val="24"/>
        </w:rPr>
      </w:pPr>
    </w:p>
    <w:p w:rsidR="00D90536" w:rsidRPr="00D90536" w:rsidRDefault="00D90536" w:rsidP="00D90536">
      <w:pPr>
        <w:spacing w:line="360" w:lineRule="auto"/>
        <w:ind w:leftChars="-135" w:left="-283"/>
        <w:jc w:val="left"/>
        <w:rPr>
          <w:rFonts w:ascii="楷体_GB2312" w:eastAsia="楷体_GB2312" w:hAnsi="楷体"/>
          <w:b/>
          <w:color w:val="000000"/>
          <w:sz w:val="18"/>
          <w:szCs w:val="18"/>
        </w:rPr>
      </w:pPr>
      <w:r w:rsidRPr="00D90536">
        <w:rPr>
          <w:rFonts w:ascii="楷体_GB2312" w:eastAsia="楷体_GB2312" w:hAnsi="楷体" w:hint="eastAsia"/>
          <w:b/>
          <w:color w:val="000000"/>
          <w:sz w:val="18"/>
          <w:szCs w:val="18"/>
        </w:rPr>
        <w:t>表</w:t>
      </w:r>
      <w:r>
        <w:rPr>
          <w:rFonts w:ascii="楷体_GB2312" w:eastAsia="楷体_GB2312" w:hAnsi="楷体"/>
          <w:b/>
          <w:color w:val="000000"/>
          <w:sz w:val="18"/>
          <w:szCs w:val="18"/>
        </w:rPr>
        <w:t>1</w:t>
      </w:r>
      <w:r w:rsidR="00D45450">
        <w:rPr>
          <w:rFonts w:ascii="楷体_GB2312" w:eastAsia="楷体_GB2312" w:hAnsi="楷体"/>
          <w:b/>
          <w:color w:val="000000"/>
          <w:sz w:val="18"/>
          <w:szCs w:val="18"/>
        </w:rPr>
        <w:t>.</w:t>
      </w:r>
      <w:r>
        <w:rPr>
          <w:rFonts w:ascii="楷体_GB2312" w:eastAsia="楷体_GB2312" w:hAnsi="楷体" w:hint="eastAsia"/>
          <w:b/>
          <w:color w:val="000000"/>
          <w:sz w:val="18"/>
          <w:szCs w:val="18"/>
        </w:rPr>
        <w:t>分级基金数据</w:t>
      </w:r>
    </w:p>
    <w:tbl>
      <w:tblPr>
        <w:tblW w:w="6149" w:type="pct"/>
        <w:tblInd w:w="-1281" w:type="dxa"/>
        <w:tblLayout w:type="fixed"/>
        <w:tblLook w:val="04A0" w:firstRow="1" w:lastRow="0" w:firstColumn="1" w:lastColumn="0" w:noHBand="0" w:noVBand="1"/>
      </w:tblPr>
      <w:tblGrid>
        <w:gridCol w:w="1305"/>
        <w:gridCol w:w="1307"/>
        <w:gridCol w:w="1330"/>
        <w:gridCol w:w="1306"/>
        <w:gridCol w:w="1306"/>
        <w:gridCol w:w="1314"/>
        <w:gridCol w:w="1306"/>
        <w:gridCol w:w="1306"/>
        <w:gridCol w:w="1290"/>
      </w:tblGrid>
      <w:tr w:rsidR="00C455FD" w:rsidRPr="00FC2D2B" w:rsidTr="00EB5083">
        <w:trPr>
          <w:trHeight w:val="439"/>
        </w:trPr>
        <w:tc>
          <w:tcPr>
            <w:tcW w:w="1674" w:type="pct"/>
            <w:gridSpan w:val="3"/>
            <w:tcBorders>
              <w:top w:val="single" w:sz="4" w:space="0" w:color="DA9694"/>
              <w:left w:val="single" w:sz="4" w:space="0" w:color="DA9694"/>
              <w:bottom w:val="single" w:sz="4" w:space="0" w:color="DA9694"/>
              <w:right w:val="nil"/>
            </w:tcBorders>
            <w:shd w:val="clear" w:color="C0504D" w:fill="C0504D"/>
            <w:noWrap/>
            <w:vAlign w:val="center"/>
            <w:hideMark/>
          </w:tcPr>
          <w:p w:rsidR="00C455FD" w:rsidRPr="00B32035" w:rsidRDefault="00C455FD" w:rsidP="00C455FD">
            <w:pPr>
              <w:jc w:val="center"/>
              <w:rPr>
                <w:rFonts w:ascii="楷体_GB2312" w:eastAsia="楷体_GB2312" w:hAnsi="楷体" w:cs="宋体"/>
                <w:b/>
                <w:bCs/>
                <w:color w:val="FFFFFF"/>
                <w:kern w:val="0"/>
                <w:sz w:val="18"/>
                <w:szCs w:val="18"/>
              </w:rPr>
            </w:pPr>
            <w:r w:rsidRPr="00B32035">
              <w:rPr>
                <w:rFonts w:ascii="楷体_GB2312" w:eastAsia="楷体_GB2312" w:hAnsi="楷体" w:cs="宋体" w:hint="eastAsia"/>
                <w:b/>
                <w:bCs/>
                <w:color w:val="FFFFFF"/>
                <w:kern w:val="0"/>
                <w:sz w:val="18"/>
                <w:szCs w:val="18"/>
              </w:rPr>
              <w:t>股票分级B价格涨幅前十</w:t>
            </w:r>
          </w:p>
        </w:tc>
        <w:tc>
          <w:tcPr>
            <w:tcW w:w="1668" w:type="pct"/>
            <w:gridSpan w:val="3"/>
            <w:tcBorders>
              <w:top w:val="single" w:sz="4" w:space="0" w:color="DA9694"/>
              <w:left w:val="single" w:sz="4" w:space="0" w:color="DA9694"/>
              <w:bottom w:val="single" w:sz="4" w:space="0" w:color="DA9694"/>
              <w:right w:val="nil"/>
            </w:tcBorders>
            <w:shd w:val="clear" w:color="C0504D" w:fill="C0504D"/>
            <w:vAlign w:val="center"/>
          </w:tcPr>
          <w:p w:rsidR="00C455FD" w:rsidRPr="00B32035" w:rsidRDefault="00C455FD" w:rsidP="00C455FD">
            <w:pPr>
              <w:jc w:val="center"/>
              <w:rPr>
                <w:rFonts w:ascii="楷体_GB2312" w:eastAsia="楷体_GB2312" w:hAnsi="楷体" w:cs="宋体"/>
                <w:b/>
                <w:bCs/>
                <w:color w:val="FFFFFF"/>
                <w:kern w:val="0"/>
                <w:sz w:val="18"/>
                <w:szCs w:val="18"/>
              </w:rPr>
            </w:pPr>
            <w:r w:rsidRPr="00B32035">
              <w:rPr>
                <w:rFonts w:ascii="楷体_GB2312" w:eastAsia="楷体_GB2312" w:hAnsi="楷体" w:cs="宋体" w:hint="eastAsia"/>
                <w:b/>
                <w:bCs/>
                <w:color w:val="FFFFFF"/>
                <w:kern w:val="0"/>
                <w:sz w:val="18"/>
                <w:szCs w:val="18"/>
              </w:rPr>
              <w:t>股票分级B价格涨幅前十</w:t>
            </w:r>
          </w:p>
        </w:tc>
        <w:tc>
          <w:tcPr>
            <w:tcW w:w="1659" w:type="pct"/>
            <w:gridSpan w:val="3"/>
            <w:tcBorders>
              <w:top w:val="single" w:sz="4" w:space="0" w:color="DA9694"/>
              <w:left w:val="single" w:sz="4" w:space="0" w:color="DA9694"/>
              <w:bottom w:val="single" w:sz="4" w:space="0" w:color="DA9694"/>
              <w:right w:val="nil"/>
            </w:tcBorders>
            <w:shd w:val="clear" w:color="C0504D" w:fill="C0504D"/>
            <w:vAlign w:val="center"/>
          </w:tcPr>
          <w:p w:rsidR="00C455FD" w:rsidRPr="00B32035" w:rsidRDefault="00C80648" w:rsidP="00C455FD">
            <w:pPr>
              <w:jc w:val="center"/>
              <w:rPr>
                <w:rFonts w:ascii="楷体_GB2312" w:eastAsia="楷体_GB2312" w:hAnsi="楷体" w:cs="宋体"/>
                <w:b/>
                <w:bCs/>
                <w:color w:val="FFFFFF"/>
                <w:kern w:val="0"/>
                <w:sz w:val="18"/>
                <w:szCs w:val="18"/>
              </w:rPr>
            </w:pPr>
            <w:r>
              <w:rPr>
                <w:rFonts w:ascii="楷体_GB2312" w:eastAsia="楷体_GB2312" w:hAnsi="楷体" w:cs="宋体" w:hint="eastAsia"/>
                <w:b/>
                <w:bCs/>
                <w:color w:val="FFFFFF"/>
                <w:kern w:val="0"/>
                <w:sz w:val="18"/>
                <w:szCs w:val="18"/>
              </w:rPr>
              <w:t>分级A隐含收益率前十</w:t>
            </w:r>
          </w:p>
        </w:tc>
      </w:tr>
      <w:tr w:rsidR="00C455FD" w:rsidRPr="00FC2D2B" w:rsidTr="00EB5083">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基金代码</w:t>
            </w:r>
          </w:p>
        </w:tc>
        <w:tc>
          <w:tcPr>
            <w:tcW w:w="555" w:type="pct"/>
            <w:tcBorders>
              <w:top w:val="single" w:sz="4" w:space="0" w:color="DA9694"/>
              <w:left w:val="single" w:sz="4" w:space="0" w:color="DA9694"/>
              <w:bottom w:val="single" w:sz="4" w:space="0" w:color="DA9694"/>
              <w:right w:val="single" w:sz="4" w:space="0" w:color="DA9694"/>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基金简称</w:t>
            </w:r>
          </w:p>
        </w:tc>
        <w:tc>
          <w:tcPr>
            <w:tcW w:w="564" w:type="pct"/>
            <w:tcBorders>
              <w:top w:val="single" w:sz="4" w:space="0" w:color="DA9694"/>
              <w:left w:val="single" w:sz="4" w:space="0" w:color="DA9694"/>
              <w:bottom w:val="single" w:sz="4" w:space="0" w:color="DA9694"/>
              <w:right w:val="single" w:sz="4" w:space="0" w:color="DA9694"/>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价格涨幅（%）</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基金代码</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基金简称</w:t>
            </w:r>
          </w:p>
        </w:tc>
        <w:tc>
          <w:tcPr>
            <w:tcW w:w="558"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价格涨幅（%）</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基金代码</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基金简称</w:t>
            </w:r>
          </w:p>
        </w:tc>
        <w:tc>
          <w:tcPr>
            <w:tcW w:w="549"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预期收益率（%）</w:t>
            </w:r>
          </w:p>
        </w:tc>
      </w:tr>
      <w:tr w:rsidR="00EB5083" w:rsidRPr="00FC2D2B" w:rsidTr="00EB5083">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150118.SZ</w:t>
            </w:r>
          </w:p>
        </w:tc>
        <w:tc>
          <w:tcPr>
            <w:tcW w:w="555"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国泰国证房地产</w:t>
            </w:r>
          </w:p>
        </w:tc>
        <w:tc>
          <w:tcPr>
            <w:tcW w:w="56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11.60 </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150154.SZ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中海惠丰纯债B</w:t>
            </w:r>
          </w:p>
        </w:tc>
        <w:tc>
          <w:tcPr>
            <w:tcW w:w="558"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2.12 </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150331.SZ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建信中证互联网金融A</w:t>
            </w:r>
          </w:p>
        </w:tc>
        <w:tc>
          <w:tcPr>
            <w:tcW w:w="549"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5.51 </w:t>
            </w:r>
          </w:p>
        </w:tc>
      </w:tr>
      <w:tr w:rsidR="00EB5083" w:rsidRPr="00FC2D2B" w:rsidTr="00EB5083">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150193.SZ</w:t>
            </w:r>
          </w:p>
        </w:tc>
        <w:tc>
          <w:tcPr>
            <w:tcW w:w="555"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鹏华中证800地产</w:t>
            </w:r>
          </w:p>
        </w:tc>
        <w:tc>
          <w:tcPr>
            <w:tcW w:w="564"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10.22 </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150033.SZ</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嘉实多利进取</w:t>
            </w:r>
          </w:p>
        </w:tc>
        <w:tc>
          <w:tcPr>
            <w:tcW w:w="558"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1.54 </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150221.SZ</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前海开源中航军工A</w:t>
            </w:r>
          </w:p>
        </w:tc>
        <w:tc>
          <w:tcPr>
            <w:tcW w:w="549" w:type="pct"/>
            <w:tcBorders>
              <w:top w:val="single" w:sz="4" w:space="0" w:color="DA9694"/>
              <w:left w:val="single" w:sz="4" w:space="0" w:color="DA9694"/>
              <w:bottom w:val="single" w:sz="4" w:space="0" w:color="DA9694"/>
              <w:right w:val="nil"/>
            </w:tcBorders>
            <w:shd w:val="clear" w:color="auto" w:fill="auto"/>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5.51 </w:t>
            </w:r>
          </w:p>
        </w:tc>
      </w:tr>
      <w:tr w:rsidR="00EB5083" w:rsidRPr="00FC2D2B" w:rsidTr="00EB5083">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150208.SZ</w:t>
            </w:r>
          </w:p>
        </w:tc>
        <w:tc>
          <w:tcPr>
            <w:tcW w:w="555"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招商沪深300地产</w:t>
            </w:r>
          </w:p>
        </w:tc>
        <w:tc>
          <w:tcPr>
            <w:tcW w:w="56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8.75 </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150144.SZ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银华中证转债B</w:t>
            </w:r>
          </w:p>
        </w:tc>
        <w:tc>
          <w:tcPr>
            <w:tcW w:w="558"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1.34 </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150175.SZ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银华恒生H股A</w:t>
            </w:r>
          </w:p>
        </w:tc>
        <w:tc>
          <w:tcPr>
            <w:tcW w:w="549"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5.46 </w:t>
            </w:r>
          </w:p>
        </w:tc>
      </w:tr>
      <w:tr w:rsidR="00EB5083" w:rsidRPr="00FC2D2B" w:rsidTr="00EB5083">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150084.SZ</w:t>
            </w:r>
          </w:p>
        </w:tc>
        <w:tc>
          <w:tcPr>
            <w:tcW w:w="555"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广发深证100分级</w:t>
            </w:r>
          </w:p>
        </w:tc>
        <w:tc>
          <w:tcPr>
            <w:tcW w:w="564"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3.93 </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150134.SZ</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德邦企债分级B</w:t>
            </w:r>
          </w:p>
        </w:tc>
        <w:tc>
          <w:tcPr>
            <w:tcW w:w="558"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1.12 </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150321.SZ</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富国中证煤炭A</w:t>
            </w:r>
          </w:p>
        </w:tc>
        <w:tc>
          <w:tcPr>
            <w:tcW w:w="549" w:type="pct"/>
            <w:tcBorders>
              <w:top w:val="single" w:sz="4" w:space="0" w:color="DA9694"/>
              <w:left w:val="single" w:sz="4" w:space="0" w:color="DA9694"/>
              <w:bottom w:val="single" w:sz="4" w:space="0" w:color="DA9694"/>
              <w:right w:val="nil"/>
            </w:tcBorders>
            <w:shd w:val="clear" w:color="auto" w:fill="auto"/>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5.37 </w:t>
            </w:r>
          </w:p>
        </w:tc>
      </w:tr>
      <w:tr w:rsidR="00EB5083" w:rsidRPr="00FC2D2B" w:rsidTr="00EB5083">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150060.SZ</w:t>
            </w:r>
          </w:p>
        </w:tc>
        <w:tc>
          <w:tcPr>
            <w:tcW w:w="555"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银华中证内地资源主题</w:t>
            </w:r>
          </w:p>
        </w:tc>
        <w:tc>
          <w:tcPr>
            <w:tcW w:w="56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2.24 </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150021.SZ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富国汇利回报分级B</w:t>
            </w:r>
          </w:p>
        </w:tc>
        <w:tc>
          <w:tcPr>
            <w:tcW w:w="558"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0.98 </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150323.SZ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工银瑞信环保产业A</w:t>
            </w:r>
          </w:p>
        </w:tc>
        <w:tc>
          <w:tcPr>
            <w:tcW w:w="549"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5.34 </w:t>
            </w:r>
          </w:p>
        </w:tc>
      </w:tr>
      <w:tr w:rsidR="00EB5083" w:rsidRPr="00FC2D2B" w:rsidTr="00EB5083">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150282.SZ</w:t>
            </w:r>
          </w:p>
        </w:tc>
        <w:tc>
          <w:tcPr>
            <w:tcW w:w="555"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长盛中证金融地产</w:t>
            </w:r>
          </w:p>
        </w:tc>
        <w:tc>
          <w:tcPr>
            <w:tcW w:w="564"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2.23 </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150161.SZ</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新华惠鑫分级B</w:t>
            </w:r>
          </w:p>
        </w:tc>
        <w:tc>
          <w:tcPr>
            <w:tcW w:w="558"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0.87 </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150263.SZ</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华宝兴业中证1000A</w:t>
            </w:r>
          </w:p>
        </w:tc>
        <w:tc>
          <w:tcPr>
            <w:tcW w:w="549" w:type="pct"/>
            <w:tcBorders>
              <w:top w:val="single" w:sz="4" w:space="0" w:color="DA9694"/>
              <w:left w:val="single" w:sz="4" w:space="0" w:color="DA9694"/>
              <w:bottom w:val="single" w:sz="4" w:space="0" w:color="DA9694"/>
              <w:right w:val="nil"/>
            </w:tcBorders>
            <w:shd w:val="clear" w:color="auto" w:fill="auto"/>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5.34 </w:t>
            </w:r>
          </w:p>
        </w:tc>
      </w:tr>
      <w:tr w:rsidR="00EB5083" w:rsidRPr="00FC2D2B" w:rsidTr="00EB5083">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150095.SZ</w:t>
            </w:r>
          </w:p>
        </w:tc>
        <w:tc>
          <w:tcPr>
            <w:tcW w:w="555"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泰信基本面400</w:t>
            </w:r>
          </w:p>
        </w:tc>
        <w:tc>
          <w:tcPr>
            <w:tcW w:w="56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1.57 </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150067.SZ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国泰互利B</w:t>
            </w:r>
          </w:p>
        </w:tc>
        <w:tc>
          <w:tcPr>
            <w:tcW w:w="558"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0.64 </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150335.SZ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融通中证军工A</w:t>
            </w:r>
          </w:p>
        </w:tc>
        <w:tc>
          <w:tcPr>
            <w:tcW w:w="549"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5.33 </w:t>
            </w:r>
          </w:p>
        </w:tc>
      </w:tr>
      <w:tr w:rsidR="00EB5083" w:rsidRPr="00FC2D2B" w:rsidTr="00EB5083">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150268.SZ</w:t>
            </w:r>
          </w:p>
        </w:tc>
        <w:tc>
          <w:tcPr>
            <w:tcW w:w="555"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博时中证银行</w:t>
            </w:r>
          </w:p>
        </w:tc>
        <w:tc>
          <w:tcPr>
            <w:tcW w:w="564"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1.36 </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150040.SZ</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中欧鼎利分级B</w:t>
            </w:r>
          </w:p>
        </w:tc>
        <w:tc>
          <w:tcPr>
            <w:tcW w:w="558"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0.29 </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150287.SZ</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中融国证钢铁A</w:t>
            </w:r>
          </w:p>
        </w:tc>
        <w:tc>
          <w:tcPr>
            <w:tcW w:w="549" w:type="pct"/>
            <w:tcBorders>
              <w:top w:val="single" w:sz="4" w:space="0" w:color="DA9694"/>
              <w:left w:val="single" w:sz="4" w:space="0" w:color="DA9694"/>
              <w:bottom w:val="single" w:sz="4" w:space="0" w:color="DA9694"/>
              <w:right w:val="nil"/>
            </w:tcBorders>
            <w:shd w:val="clear" w:color="auto" w:fill="auto"/>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5.32 </w:t>
            </w:r>
          </w:p>
        </w:tc>
      </w:tr>
      <w:tr w:rsidR="00EB5083" w:rsidRPr="00FC2D2B" w:rsidTr="00EB5083">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150054.SZ</w:t>
            </w:r>
          </w:p>
        </w:tc>
        <w:tc>
          <w:tcPr>
            <w:tcW w:w="555"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泰达宏利中证500</w:t>
            </w:r>
          </w:p>
        </w:tc>
        <w:tc>
          <w:tcPr>
            <w:tcW w:w="56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1.30 </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150160.SZ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融通通福B</w:t>
            </w:r>
          </w:p>
        </w:tc>
        <w:tc>
          <w:tcPr>
            <w:tcW w:w="558"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0.25 </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150303.SZ</w:t>
            </w:r>
          </w:p>
        </w:tc>
        <w:tc>
          <w:tcPr>
            <w:tcW w:w="555"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华安创业板50A</w:t>
            </w:r>
          </w:p>
        </w:tc>
        <w:tc>
          <w:tcPr>
            <w:tcW w:w="549"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5.32 </w:t>
            </w:r>
          </w:p>
        </w:tc>
      </w:tr>
      <w:tr w:rsidR="00EB5083" w:rsidRPr="00FC2D2B" w:rsidTr="00EB5083">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150252.SZ</w:t>
            </w:r>
          </w:p>
        </w:tc>
        <w:tc>
          <w:tcPr>
            <w:tcW w:w="555"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招商中证煤炭</w:t>
            </w:r>
          </w:p>
        </w:tc>
        <w:tc>
          <w:tcPr>
            <w:tcW w:w="564"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1.23 </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150142.SZ</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汇添富互利分级B</w:t>
            </w:r>
          </w:p>
        </w:tc>
        <w:tc>
          <w:tcPr>
            <w:tcW w:w="558"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0.13 </w:t>
            </w:r>
          </w:p>
        </w:tc>
        <w:tc>
          <w:tcPr>
            <w:tcW w:w="555"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150299.SZ</w:t>
            </w:r>
          </w:p>
        </w:tc>
        <w:tc>
          <w:tcPr>
            <w:tcW w:w="555" w:type="pct"/>
            <w:tcBorders>
              <w:top w:val="single" w:sz="4" w:space="0" w:color="DA9694"/>
              <w:left w:val="single" w:sz="4" w:space="0" w:color="DA9694"/>
              <w:bottom w:val="single" w:sz="4" w:space="0" w:color="DA9694"/>
              <w:right w:val="nil"/>
            </w:tcBorders>
            <w:shd w:val="clear" w:color="auto" w:fill="auto"/>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华安中证银行A</w:t>
            </w:r>
          </w:p>
        </w:tc>
        <w:tc>
          <w:tcPr>
            <w:tcW w:w="549" w:type="pct"/>
            <w:tcBorders>
              <w:top w:val="single" w:sz="4" w:space="0" w:color="DA9694"/>
              <w:left w:val="single" w:sz="4" w:space="0" w:color="DA9694"/>
              <w:bottom w:val="single" w:sz="4" w:space="0" w:color="DA9694"/>
              <w:right w:val="nil"/>
            </w:tcBorders>
            <w:shd w:val="clear" w:color="auto" w:fill="auto"/>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5.32 </w:t>
            </w:r>
          </w:p>
        </w:tc>
      </w:tr>
    </w:tbl>
    <w:p w:rsidR="00D90536" w:rsidRDefault="00D90536" w:rsidP="00F81914">
      <w:pPr>
        <w:pStyle w:val="a7"/>
        <w:spacing w:beforeLines="50" w:before="156" w:afterLines="50" w:after="156"/>
        <w:ind w:left="851" w:firstLineChars="0" w:firstLine="0"/>
        <w:rPr>
          <w:rFonts w:ascii="楷体_GB2312" w:eastAsia="楷体_GB2312" w:hAnsi="楷体" w:cs="宋体-18030"/>
          <w:b/>
          <w:bCs/>
          <w:color w:val="003366"/>
          <w:kern w:val="44"/>
          <w:sz w:val="24"/>
        </w:rPr>
      </w:pPr>
    </w:p>
    <w:tbl>
      <w:tblPr>
        <w:tblW w:w="6139" w:type="pct"/>
        <w:tblInd w:w="-1281" w:type="dxa"/>
        <w:tblLayout w:type="fixed"/>
        <w:tblLook w:val="04A0" w:firstRow="1" w:lastRow="0" w:firstColumn="1" w:lastColumn="0" w:noHBand="0" w:noVBand="1"/>
      </w:tblPr>
      <w:tblGrid>
        <w:gridCol w:w="1302"/>
        <w:gridCol w:w="2618"/>
        <w:gridCol w:w="1887"/>
        <w:gridCol w:w="1450"/>
        <w:gridCol w:w="2468"/>
        <w:gridCol w:w="2026"/>
      </w:tblGrid>
      <w:tr w:rsidR="00C455FD" w:rsidRPr="00FC2D2B" w:rsidTr="00C455FD">
        <w:trPr>
          <w:trHeight w:val="439"/>
        </w:trPr>
        <w:tc>
          <w:tcPr>
            <w:tcW w:w="2471" w:type="pct"/>
            <w:gridSpan w:val="3"/>
            <w:tcBorders>
              <w:top w:val="single" w:sz="4" w:space="0" w:color="DA9694"/>
              <w:left w:val="nil"/>
              <w:bottom w:val="single" w:sz="4" w:space="0" w:color="DA9694"/>
              <w:right w:val="nil"/>
            </w:tcBorders>
            <w:shd w:val="clear" w:color="C0504D" w:fill="C0504D"/>
            <w:noWrap/>
            <w:vAlign w:val="center"/>
            <w:hideMark/>
          </w:tcPr>
          <w:p w:rsidR="00C455FD" w:rsidRPr="00B32035" w:rsidRDefault="00C455FD" w:rsidP="00C455FD">
            <w:pPr>
              <w:jc w:val="center"/>
              <w:rPr>
                <w:rFonts w:ascii="楷体_GB2312" w:eastAsia="楷体_GB2312" w:hAnsi="楷体" w:cs="宋体"/>
                <w:b/>
                <w:bCs/>
                <w:color w:val="FFFFFF"/>
                <w:kern w:val="0"/>
                <w:sz w:val="18"/>
                <w:szCs w:val="18"/>
              </w:rPr>
            </w:pPr>
            <w:r w:rsidRPr="00B32035">
              <w:rPr>
                <w:rFonts w:ascii="楷体_GB2312" w:eastAsia="楷体_GB2312" w:hAnsi="楷体" w:cs="宋体" w:hint="eastAsia"/>
                <w:b/>
                <w:bCs/>
                <w:color w:val="FFFFFF"/>
                <w:kern w:val="0"/>
                <w:sz w:val="18"/>
                <w:szCs w:val="18"/>
              </w:rPr>
              <w:t>分级B距离下折前十</w:t>
            </w:r>
          </w:p>
        </w:tc>
        <w:tc>
          <w:tcPr>
            <w:tcW w:w="2529" w:type="pct"/>
            <w:gridSpan w:val="3"/>
            <w:tcBorders>
              <w:top w:val="single" w:sz="4" w:space="0" w:color="DA9694"/>
              <w:left w:val="nil"/>
              <w:bottom w:val="single" w:sz="4" w:space="0" w:color="DA9694"/>
              <w:right w:val="nil"/>
            </w:tcBorders>
            <w:shd w:val="clear" w:color="C0504D" w:fill="C0504D"/>
            <w:noWrap/>
            <w:vAlign w:val="center"/>
            <w:hideMark/>
          </w:tcPr>
          <w:p w:rsidR="00C455FD" w:rsidRPr="00B32035" w:rsidRDefault="00C455FD" w:rsidP="00C455FD">
            <w:pPr>
              <w:jc w:val="center"/>
              <w:rPr>
                <w:rFonts w:ascii="楷体_GB2312" w:eastAsia="楷体_GB2312" w:hAnsi="楷体" w:cs="宋体"/>
                <w:b/>
                <w:bCs/>
                <w:color w:val="FFFFFF"/>
                <w:kern w:val="0"/>
                <w:sz w:val="18"/>
                <w:szCs w:val="18"/>
              </w:rPr>
            </w:pPr>
            <w:r w:rsidRPr="00B32035">
              <w:rPr>
                <w:rFonts w:ascii="楷体_GB2312" w:eastAsia="楷体_GB2312" w:hAnsi="楷体" w:cs="宋体" w:hint="eastAsia"/>
                <w:b/>
                <w:bCs/>
                <w:color w:val="FFFFFF"/>
                <w:kern w:val="0"/>
                <w:sz w:val="18"/>
                <w:szCs w:val="18"/>
              </w:rPr>
              <w:t>股票分级B价格杠杆前十</w:t>
            </w:r>
          </w:p>
        </w:tc>
      </w:tr>
      <w:tr w:rsidR="00C455FD"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基金代码</w:t>
            </w:r>
          </w:p>
        </w:tc>
        <w:tc>
          <w:tcPr>
            <w:tcW w:w="1114" w:type="pct"/>
            <w:tcBorders>
              <w:top w:val="single" w:sz="4" w:space="0" w:color="DA9694"/>
              <w:left w:val="single" w:sz="4" w:space="0" w:color="DA9694"/>
              <w:bottom w:val="single" w:sz="4" w:space="0" w:color="DA9694"/>
              <w:right w:val="single" w:sz="4" w:space="0" w:color="DA9694"/>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基金简称</w:t>
            </w:r>
          </w:p>
        </w:tc>
        <w:tc>
          <w:tcPr>
            <w:tcW w:w="803" w:type="pct"/>
            <w:tcBorders>
              <w:top w:val="single" w:sz="4" w:space="0" w:color="DA9694"/>
              <w:left w:val="single" w:sz="4" w:space="0" w:color="DA9694"/>
              <w:bottom w:val="single" w:sz="4" w:space="0" w:color="DA9694"/>
              <w:right w:val="single" w:sz="4" w:space="0" w:color="DA9694"/>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母基金距离下折（估测）</w:t>
            </w:r>
          </w:p>
        </w:tc>
        <w:tc>
          <w:tcPr>
            <w:tcW w:w="617"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基金代码</w:t>
            </w:r>
          </w:p>
        </w:tc>
        <w:tc>
          <w:tcPr>
            <w:tcW w:w="1050"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基金简称</w:t>
            </w:r>
          </w:p>
        </w:tc>
        <w:tc>
          <w:tcPr>
            <w:tcW w:w="862" w:type="pct"/>
            <w:tcBorders>
              <w:top w:val="single" w:sz="4" w:space="0" w:color="DA9694"/>
              <w:left w:val="single" w:sz="4" w:space="0" w:color="DA9694"/>
              <w:bottom w:val="single" w:sz="4" w:space="0" w:color="DA9694"/>
              <w:right w:val="nil"/>
            </w:tcBorders>
            <w:shd w:val="clear" w:color="auto" w:fill="auto"/>
            <w:vAlign w:val="center"/>
          </w:tcPr>
          <w:p w:rsidR="00C455FD" w:rsidRPr="00C455FD" w:rsidRDefault="00C455FD" w:rsidP="00C455FD">
            <w:pPr>
              <w:widowControl/>
              <w:jc w:val="center"/>
              <w:rPr>
                <w:rFonts w:ascii="楷体_GB2312" w:eastAsia="楷体_GB2312" w:hAnsi="宋体" w:cs="宋体"/>
                <w:color w:val="000000"/>
                <w:kern w:val="0"/>
                <w:sz w:val="18"/>
                <w:szCs w:val="18"/>
              </w:rPr>
            </w:pPr>
            <w:r w:rsidRPr="00C455FD">
              <w:rPr>
                <w:rFonts w:ascii="楷体_GB2312" w:eastAsia="楷体_GB2312" w:hAnsi="宋体" w:cs="宋体" w:hint="eastAsia"/>
                <w:color w:val="000000"/>
                <w:kern w:val="0"/>
                <w:sz w:val="18"/>
                <w:szCs w:val="18"/>
              </w:rPr>
              <w:t>价格杠杆</w:t>
            </w:r>
          </w:p>
        </w:tc>
      </w:tr>
      <w:tr w:rsidR="00EB5083"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150208.SZ</w:t>
            </w:r>
          </w:p>
        </w:tc>
        <w:tc>
          <w:tcPr>
            <w:tcW w:w="111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招商沪深300地产B</w:t>
            </w:r>
          </w:p>
        </w:tc>
        <w:tc>
          <w:tcPr>
            <w:tcW w:w="803"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8.38%</w:t>
            </w:r>
          </w:p>
        </w:tc>
        <w:tc>
          <w:tcPr>
            <w:tcW w:w="617"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150208.SZ</w:t>
            </w:r>
          </w:p>
        </w:tc>
        <w:tc>
          <w:tcPr>
            <w:tcW w:w="1050"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招商沪深300地产B</w:t>
            </w:r>
          </w:p>
        </w:tc>
        <w:tc>
          <w:tcPr>
            <w:tcW w:w="862"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3.76 </w:t>
            </w:r>
          </w:p>
        </w:tc>
      </w:tr>
      <w:tr w:rsidR="00EB5083"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150276.SZ</w:t>
            </w:r>
          </w:p>
        </w:tc>
        <w:tc>
          <w:tcPr>
            <w:tcW w:w="1114"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安信中证一带一路B</w:t>
            </w:r>
          </w:p>
        </w:tc>
        <w:tc>
          <w:tcPr>
            <w:tcW w:w="803"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10.38%</w:t>
            </w:r>
          </w:p>
        </w:tc>
        <w:tc>
          <w:tcPr>
            <w:tcW w:w="617"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502015.SH</w:t>
            </w:r>
          </w:p>
        </w:tc>
        <w:tc>
          <w:tcPr>
            <w:tcW w:w="1050"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长盛中证申万一带一路B</w:t>
            </w:r>
          </w:p>
        </w:tc>
        <w:tc>
          <w:tcPr>
            <w:tcW w:w="862"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3.61 </w:t>
            </w:r>
          </w:p>
        </w:tc>
      </w:tr>
      <w:tr w:rsidR="00EB5083"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502015.SH</w:t>
            </w:r>
          </w:p>
        </w:tc>
        <w:tc>
          <w:tcPr>
            <w:tcW w:w="111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长盛中证申万一带一路B</w:t>
            </w:r>
          </w:p>
        </w:tc>
        <w:tc>
          <w:tcPr>
            <w:tcW w:w="803"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10.86%</w:t>
            </w:r>
          </w:p>
        </w:tc>
        <w:tc>
          <w:tcPr>
            <w:tcW w:w="617"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150282.SZ</w:t>
            </w:r>
          </w:p>
        </w:tc>
        <w:tc>
          <w:tcPr>
            <w:tcW w:w="1050"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长盛中证金融地产B</w:t>
            </w:r>
          </w:p>
        </w:tc>
        <w:tc>
          <w:tcPr>
            <w:tcW w:w="862"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3.60 </w:t>
            </w:r>
          </w:p>
        </w:tc>
      </w:tr>
      <w:tr w:rsidR="00EB5083"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150274.SZ</w:t>
            </w:r>
          </w:p>
        </w:tc>
        <w:tc>
          <w:tcPr>
            <w:tcW w:w="1114"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鹏华中证一带一路B</w:t>
            </w:r>
          </w:p>
        </w:tc>
        <w:tc>
          <w:tcPr>
            <w:tcW w:w="803"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10.93%</w:t>
            </w:r>
          </w:p>
        </w:tc>
        <w:tc>
          <w:tcPr>
            <w:tcW w:w="617"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150274.SZ</w:t>
            </w:r>
          </w:p>
        </w:tc>
        <w:tc>
          <w:tcPr>
            <w:tcW w:w="1050"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鹏华中证一带一路B</w:t>
            </w:r>
          </w:p>
        </w:tc>
        <w:tc>
          <w:tcPr>
            <w:tcW w:w="862"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3.59 </w:t>
            </w:r>
          </w:p>
        </w:tc>
      </w:tr>
      <w:tr w:rsidR="00EB5083"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150282.SZ</w:t>
            </w:r>
          </w:p>
        </w:tc>
        <w:tc>
          <w:tcPr>
            <w:tcW w:w="111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长盛中证金融地产B</w:t>
            </w:r>
          </w:p>
        </w:tc>
        <w:tc>
          <w:tcPr>
            <w:tcW w:w="803"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11.03%</w:t>
            </w:r>
          </w:p>
        </w:tc>
        <w:tc>
          <w:tcPr>
            <w:tcW w:w="617"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150276.SZ</w:t>
            </w:r>
          </w:p>
        </w:tc>
        <w:tc>
          <w:tcPr>
            <w:tcW w:w="1050"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安信中证一带一路B</w:t>
            </w:r>
          </w:p>
        </w:tc>
        <w:tc>
          <w:tcPr>
            <w:tcW w:w="862"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3.58 </w:t>
            </w:r>
          </w:p>
        </w:tc>
      </w:tr>
      <w:tr w:rsidR="00EB5083"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lastRenderedPageBreak/>
              <w:t>150278.SZ</w:t>
            </w:r>
          </w:p>
        </w:tc>
        <w:tc>
          <w:tcPr>
            <w:tcW w:w="1114"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鹏华中证高铁产业B</w:t>
            </w:r>
          </w:p>
        </w:tc>
        <w:tc>
          <w:tcPr>
            <w:tcW w:w="803"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11.41%</w:t>
            </w:r>
          </w:p>
        </w:tc>
        <w:tc>
          <w:tcPr>
            <w:tcW w:w="617"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150290.SZ</w:t>
            </w:r>
          </w:p>
        </w:tc>
        <w:tc>
          <w:tcPr>
            <w:tcW w:w="1050"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中融中证煤炭B</w:t>
            </w:r>
          </w:p>
        </w:tc>
        <w:tc>
          <w:tcPr>
            <w:tcW w:w="862"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3.53 </w:t>
            </w:r>
          </w:p>
        </w:tc>
      </w:tr>
      <w:tr w:rsidR="00EB5083"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150095.SZ</w:t>
            </w:r>
          </w:p>
        </w:tc>
        <w:tc>
          <w:tcPr>
            <w:tcW w:w="111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泰信基本面400B</w:t>
            </w:r>
          </w:p>
        </w:tc>
        <w:tc>
          <w:tcPr>
            <w:tcW w:w="803"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12.47%</w:t>
            </w:r>
          </w:p>
        </w:tc>
        <w:tc>
          <w:tcPr>
            <w:tcW w:w="617"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150214.SZ</w:t>
            </w:r>
          </w:p>
        </w:tc>
        <w:tc>
          <w:tcPr>
            <w:tcW w:w="1050"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国投瑞银瑞泽中证创业成长B</w:t>
            </w:r>
          </w:p>
        </w:tc>
        <w:tc>
          <w:tcPr>
            <w:tcW w:w="862"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3.52 </w:t>
            </w:r>
          </w:p>
        </w:tc>
      </w:tr>
      <w:tr w:rsidR="00EB5083"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150214.SZ</w:t>
            </w:r>
          </w:p>
        </w:tc>
        <w:tc>
          <w:tcPr>
            <w:tcW w:w="1114"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国投瑞银瑞泽中证创业成长B</w:t>
            </w:r>
          </w:p>
        </w:tc>
        <w:tc>
          <w:tcPr>
            <w:tcW w:w="803"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13.51%</w:t>
            </w:r>
          </w:p>
        </w:tc>
        <w:tc>
          <w:tcPr>
            <w:tcW w:w="617"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150278.SZ</w:t>
            </w:r>
          </w:p>
        </w:tc>
        <w:tc>
          <w:tcPr>
            <w:tcW w:w="1050"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鹏华中证高铁产业B</w:t>
            </w:r>
          </w:p>
        </w:tc>
        <w:tc>
          <w:tcPr>
            <w:tcW w:w="862"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3.50 </w:t>
            </w:r>
          </w:p>
        </w:tc>
      </w:tr>
      <w:tr w:rsidR="00EB5083"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F2DCDB" w:fill="F2DCDB"/>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150290.SZ</w:t>
            </w:r>
          </w:p>
        </w:tc>
        <w:tc>
          <w:tcPr>
            <w:tcW w:w="1114"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中融中证煤炭B</w:t>
            </w:r>
          </w:p>
        </w:tc>
        <w:tc>
          <w:tcPr>
            <w:tcW w:w="803" w:type="pct"/>
            <w:tcBorders>
              <w:top w:val="single" w:sz="4" w:space="0" w:color="DA9694"/>
              <w:left w:val="single" w:sz="4" w:space="0" w:color="DA9694"/>
              <w:bottom w:val="single" w:sz="4" w:space="0" w:color="DA9694"/>
              <w:right w:val="single" w:sz="4" w:space="0" w:color="DA9694"/>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14.10%</w:t>
            </w:r>
          </w:p>
        </w:tc>
        <w:tc>
          <w:tcPr>
            <w:tcW w:w="617"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150298.SZ</w:t>
            </w:r>
          </w:p>
        </w:tc>
        <w:tc>
          <w:tcPr>
            <w:tcW w:w="1050"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南方中证互联网B</w:t>
            </w:r>
          </w:p>
        </w:tc>
        <w:tc>
          <w:tcPr>
            <w:tcW w:w="862" w:type="pct"/>
            <w:tcBorders>
              <w:top w:val="single" w:sz="4" w:space="0" w:color="DA9694"/>
              <w:left w:val="single" w:sz="4" w:space="0" w:color="DA9694"/>
              <w:bottom w:val="single" w:sz="4" w:space="0" w:color="DA9694"/>
              <w:right w:val="nil"/>
            </w:tcBorders>
            <w:shd w:val="clear" w:color="F2DCDB" w:fill="F2DCDB"/>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3.50 </w:t>
            </w:r>
          </w:p>
        </w:tc>
      </w:tr>
      <w:tr w:rsidR="00EB5083" w:rsidRPr="00FC2D2B" w:rsidTr="00C455FD">
        <w:trPr>
          <w:trHeight w:val="439"/>
        </w:trPr>
        <w:tc>
          <w:tcPr>
            <w:tcW w:w="554" w:type="pct"/>
            <w:tcBorders>
              <w:top w:val="single" w:sz="4" w:space="0" w:color="DA9694"/>
              <w:left w:val="single" w:sz="4" w:space="0" w:color="DA9694"/>
              <w:bottom w:val="single" w:sz="4" w:space="0" w:color="DA9694"/>
              <w:right w:val="nil"/>
            </w:tcBorders>
            <w:shd w:val="clear" w:color="auto" w:fill="auto"/>
            <w:noWrap/>
            <w:vAlign w:val="center"/>
            <w:hideMark/>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150195.SZ</w:t>
            </w:r>
          </w:p>
        </w:tc>
        <w:tc>
          <w:tcPr>
            <w:tcW w:w="1114"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富国中证移动互联网B</w:t>
            </w:r>
          </w:p>
        </w:tc>
        <w:tc>
          <w:tcPr>
            <w:tcW w:w="803" w:type="pct"/>
            <w:tcBorders>
              <w:top w:val="single" w:sz="4" w:space="0" w:color="DA9694"/>
              <w:left w:val="single" w:sz="4" w:space="0" w:color="DA9694"/>
              <w:bottom w:val="single" w:sz="4" w:space="0" w:color="DA9694"/>
              <w:right w:val="single" w:sz="4" w:space="0" w:color="DA9694"/>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14.11%</w:t>
            </w:r>
          </w:p>
        </w:tc>
        <w:tc>
          <w:tcPr>
            <w:tcW w:w="617"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150118.SZ</w:t>
            </w:r>
          </w:p>
        </w:tc>
        <w:tc>
          <w:tcPr>
            <w:tcW w:w="1050"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hint="eastAsia"/>
                <w:color w:val="000000"/>
                <w:kern w:val="0"/>
                <w:sz w:val="18"/>
                <w:szCs w:val="18"/>
              </w:rPr>
              <w:t>国泰国证房地产B</w:t>
            </w:r>
          </w:p>
        </w:tc>
        <w:tc>
          <w:tcPr>
            <w:tcW w:w="862" w:type="pct"/>
            <w:tcBorders>
              <w:top w:val="single" w:sz="4" w:space="0" w:color="DA9694"/>
              <w:left w:val="single" w:sz="4" w:space="0" w:color="DA9694"/>
              <w:bottom w:val="single" w:sz="4" w:space="0" w:color="DA9694"/>
              <w:right w:val="nil"/>
            </w:tcBorders>
            <w:vAlign w:val="center"/>
          </w:tcPr>
          <w:p w:rsidR="00EB5083" w:rsidRPr="00EB5083" w:rsidRDefault="00EB5083" w:rsidP="00EB5083">
            <w:pPr>
              <w:widowControl/>
              <w:jc w:val="center"/>
              <w:rPr>
                <w:rFonts w:ascii="楷体_GB2312" w:eastAsia="楷体_GB2312" w:hAnsi="宋体" w:cs="宋体"/>
                <w:color w:val="000000"/>
                <w:kern w:val="0"/>
                <w:sz w:val="18"/>
                <w:szCs w:val="18"/>
              </w:rPr>
            </w:pPr>
            <w:r w:rsidRPr="00EB5083">
              <w:rPr>
                <w:rFonts w:ascii="楷体_GB2312" w:eastAsia="楷体_GB2312" w:hAnsi="宋体" w:cs="宋体"/>
                <w:color w:val="000000"/>
                <w:kern w:val="0"/>
                <w:sz w:val="18"/>
                <w:szCs w:val="18"/>
              </w:rPr>
              <w:t xml:space="preserve">3.39 </w:t>
            </w:r>
          </w:p>
        </w:tc>
      </w:tr>
    </w:tbl>
    <w:p w:rsidR="009148E8" w:rsidRPr="00D90536" w:rsidRDefault="009148E8" w:rsidP="00F81914">
      <w:pPr>
        <w:pStyle w:val="a7"/>
        <w:spacing w:beforeLines="50" w:before="156" w:afterLines="50" w:after="156"/>
        <w:ind w:left="851" w:firstLineChars="0" w:firstLine="0"/>
        <w:rPr>
          <w:rFonts w:ascii="楷体_GB2312" w:eastAsia="楷体_GB2312" w:hAnsi="楷体" w:cs="宋体-18030"/>
          <w:b/>
          <w:bCs/>
          <w:color w:val="003366"/>
          <w:kern w:val="44"/>
          <w:sz w:val="24"/>
        </w:rPr>
      </w:pPr>
    </w:p>
    <w:p w:rsidR="0063384C" w:rsidRPr="00394675" w:rsidRDefault="0063384C" w:rsidP="0063384C">
      <w:pPr>
        <w:pageBreakBefore/>
        <w:spacing w:line="400" w:lineRule="exact"/>
        <w:jc w:val="left"/>
        <w:rPr>
          <w:rFonts w:eastAsia="楷体_GB2312"/>
          <w:b/>
          <w:bCs/>
          <w:color w:val="003366"/>
          <w:szCs w:val="21"/>
        </w:rPr>
      </w:pPr>
      <w:r w:rsidRPr="00394675">
        <w:rPr>
          <w:rFonts w:eastAsia="楷体_GB2312"/>
          <w:b/>
          <w:bCs/>
          <w:color w:val="003366"/>
          <w:szCs w:val="21"/>
        </w:rPr>
        <w:lastRenderedPageBreak/>
        <w:t>分析师承诺</w:t>
      </w:r>
    </w:p>
    <w:p w:rsidR="0063384C" w:rsidRPr="00394675" w:rsidRDefault="0063384C" w:rsidP="00F81914">
      <w:pPr>
        <w:spacing w:beforeLines="50" w:before="156"/>
        <w:rPr>
          <w:rFonts w:eastAsia="楷体_GB2312"/>
          <w:sz w:val="18"/>
          <w:szCs w:val="18"/>
        </w:rPr>
      </w:pPr>
      <w:r w:rsidRPr="00394675">
        <w:rPr>
          <w:rFonts w:eastAsia="楷体_GB2312"/>
          <w:sz w:val="18"/>
          <w:szCs w:val="18"/>
        </w:rPr>
        <w:t>分析师</w:t>
      </w:r>
      <w:r>
        <w:rPr>
          <w:rFonts w:eastAsia="楷体_GB2312" w:hint="eastAsia"/>
          <w:sz w:val="18"/>
          <w:szCs w:val="18"/>
        </w:rPr>
        <w:t>李颖闻嘉琦</w:t>
      </w:r>
    </w:p>
    <w:p w:rsidR="0063384C" w:rsidRPr="00653644" w:rsidRDefault="0063384C" w:rsidP="0063384C">
      <w:pPr>
        <w:spacing w:line="300" w:lineRule="exact"/>
        <w:rPr>
          <w:rFonts w:ascii="楷体_GB2312" w:eastAsia="楷体_GB2312"/>
          <w:color w:val="000000"/>
          <w:sz w:val="18"/>
          <w:szCs w:val="18"/>
        </w:rPr>
      </w:pPr>
      <w:r w:rsidRPr="00653644">
        <w:rPr>
          <w:rFonts w:ascii="楷体_GB2312" w:eastAsia="楷体_GB2312" w:hint="eastAsia"/>
          <w:color w:val="000000"/>
          <w:sz w:val="18"/>
          <w:szCs w:val="18"/>
        </w:rPr>
        <w:t>本人</w:t>
      </w:r>
      <w:r>
        <w:rPr>
          <w:rFonts w:ascii="楷体_GB2312" w:eastAsia="楷体_GB2312" w:hint="eastAsia"/>
          <w:color w:val="000000"/>
          <w:sz w:val="18"/>
          <w:szCs w:val="18"/>
        </w:rPr>
        <w:t>以勤勉尽责的职业态度，独立、客观地出具本报告。本报告依据公开的信息来源，力求清晰、准确地反映分析师的研究观点。此外，本人薪酬的任何部分过去不曾与、现在不与、未来也将不会与本报告中的具体推荐意见或观点直接或间接相关。</w:t>
      </w:r>
    </w:p>
    <w:p w:rsidR="0063384C" w:rsidRDefault="0063384C" w:rsidP="0063384C">
      <w:pPr>
        <w:spacing w:line="400" w:lineRule="exact"/>
        <w:jc w:val="left"/>
        <w:rPr>
          <w:rFonts w:ascii="楷体_GB2312" w:eastAsia="楷体_GB2312" w:hAnsi="Arial" w:cs="Arial"/>
          <w:b/>
          <w:bCs/>
          <w:color w:val="FF6600"/>
          <w:szCs w:val="21"/>
        </w:rPr>
      </w:pPr>
    </w:p>
    <w:p w:rsidR="0063384C" w:rsidRDefault="0063384C" w:rsidP="0063384C">
      <w:pPr>
        <w:spacing w:line="400" w:lineRule="exact"/>
        <w:jc w:val="left"/>
        <w:rPr>
          <w:rFonts w:ascii="楷体_GB2312" w:eastAsia="楷体_GB2312" w:hAnsi="Arial" w:cs="Arial"/>
          <w:b/>
          <w:bCs/>
          <w:color w:val="003366"/>
          <w:szCs w:val="21"/>
        </w:rPr>
      </w:pPr>
      <w:r>
        <w:rPr>
          <w:rFonts w:ascii="楷体_GB2312" w:eastAsia="楷体_GB2312" w:hAnsi="Arial" w:cs="Arial" w:hint="eastAsia"/>
          <w:b/>
          <w:bCs/>
          <w:color w:val="003366"/>
          <w:szCs w:val="21"/>
        </w:rPr>
        <w:t>公司业务资格说明</w:t>
      </w:r>
    </w:p>
    <w:p w:rsidR="0063384C" w:rsidRPr="00867DF5" w:rsidRDefault="0063384C" w:rsidP="0063384C">
      <w:pPr>
        <w:spacing w:line="400" w:lineRule="exact"/>
        <w:jc w:val="left"/>
        <w:rPr>
          <w:rFonts w:ascii="楷体_GB2312" w:eastAsia="楷体_GB2312"/>
          <w:color w:val="000000"/>
          <w:sz w:val="18"/>
          <w:szCs w:val="18"/>
        </w:rPr>
      </w:pPr>
      <w:r w:rsidRPr="00867DF5">
        <w:rPr>
          <w:rFonts w:ascii="楷体_GB2312" w:eastAsia="楷体_GB2312" w:hint="eastAsia"/>
          <w:color w:val="000000"/>
          <w:sz w:val="18"/>
          <w:szCs w:val="18"/>
        </w:rPr>
        <w:t>本公司具备证券投资咨询业务资格，是具备协会会员资格的基金评价机构</w:t>
      </w:r>
      <w:r>
        <w:rPr>
          <w:rFonts w:ascii="楷体_GB2312" w:eastAsia="楷体_GB2312" w:hint="eastAsia"/>
          <w:color w:val="000000"/>
          <w:sz w:val="18"/>
          <w:szCs w:val="18"/>
        </w:rPr>
        <w:t>。</w:t>
      </w:r>
    </w:p>
    <w:p w:rsidR="0063384C" w:rsidRDefault="0063384C" w:rsidP="0063384C">
      <w:pPr>
        <w:spacing w:line="400" w:lineRule="exact"/>
        <w:jc w:val="left"/>
        <w:rPr>
          <w:rFonts w:ascii="楷体_GB2312" w:eastAsia="楷体_GB2312" w:hAnsi="Arial" w:cs="Arial"/>
          <w:b/>
          <w:bCs/>
          <w:color w:val="003366"/>
          <w:szCs w:val="21"/>
        </w:rPr>
      </w:pPr>
    </w:p>
    <w:p w:rsidR="0063384C" w:rsidRPr="008F1970" w:rsidRDefault="0063384C" w:rsidP="0063384C">
      <w:pPr>
        <w:spacing w:line="400" w:lineRule="exact"/>
        <w:jc w:val="left"/>
        <w:rPr>
          <w:rFonts w:ascii="楷体_GB2312" w:eastAsia="楷体_GB2312" w:hAnsi="Arial" w:cs="Arial"/>
          <w:b/>
          <w:bCs/>
          <w:color w:val="003366"/>
          <w:szCs w:val="21"/>
        </w:rPr>
      </w:pPr>
      <w:r>
        <w:rPr>
          <w:rFonts w:ascii="楷体_GB2312" w:eastAsia="楷体_GB2312" w:hAnsi="Arial" w:cs="Arial" w:hint="eastAsia"/>
          <w:b/>
          <w:bCs/>
          <w:color w:val="003366"/>
          <w:szCs w:val="21"/>
        </w:rPr>
        <w:t>重要声明</w:t>
      </w:r>
    </w:p>
    <w:p w:rsidR="0063384C" w:rsidRPr="00427DD5" w:rsidRDefault="0063384C" w:rsidP="0063384C">
      <w:pPr>
        <w:spacing w:line="300" w:lineRule="exact"/>
        <w:rPr>
          <w:rFonts w:ascii="楷体_GB2312" w:eastAsia="楷体_GB2312"/>
          <w:color w:val="000000"/>
          <w:sz w:val="18"/>
          <w:szCs w:val="18"/>
        </w:rPr>
      </w:pPr>
      <w:r w:rsidRPr="00427DD5">
        <w:rPr>
          <w:rFonts w:ascii="楷体_GB2312" w:eastAsia="楷体_GB2312" w:hint="eastAsia"/>
          <w:color w:val="000000"/>
          <w:sz w:val="18"/>
          <w:szCs w:val="18"/>
        </w:rPr>
        <w:t>本报告中的信息均来源于已公开的资料，我公司对这些信息的准确性及完整性不作任何保证，不保证该信息未经任何更新，也不保证本公司作出的任何建议不会发生任何变更。在任何情况下，报告中的信息或所表达的意见并不构成所述证券买卖的出价或询价。在任何情况下，我公司不就本报告中的任何内容对任何投资作出任何形式的担保。我公司及其关联机构可能会持有报告中提到的公司所发行的证券并进行交易，还可能为这些公司提供或争取提供投资银行或财务顾问服务。业绩表现数据仅代表过去的表现，不保证未来结果。投资收益和本金将随市场波动，当出售证券资产时可能发生损益。当前的表现可能会高于或低于那时引用的数据。</w:t>
      </w:r>
    </w:p>
    <w:p w:rsidR="0063384C" w:rsidRPr="00427DD5" w:rsidRDefault="0063384C" w:rsidP="0063384C">
      <w:pPr>
        <w:spacing w:line="300" w:lineRule="exact"/>
        <w:rPr>
          <w:rFonts w:ascii="楷体_GB2312" w:eastAsia="楷体_GB2312"/>
          <w:sz w:val="18"/>
          <w:szCs w:val="18"/>
        </w:rPr>
      </w:pPr>
      <w:r w:rsidRPr="00427DD5">
        <w:rPr>
          <w:rFonts w:ascii="楷体_GB2312" w:eastAsia="楷体_GB2312" w:hint="eastAsia"/>
          <w:color w:val="000000"/>
          <w:sz w:val="18"/>
          <w:szCs w:val="18"/>
        </w:rPr>
        <w:t>本报告版权归上海证券有限责任公司所有。未获得上海证券有限责任公司事先书面授权，任何人不得对本报告进行任何形式的发布、复制。如遵循原文本意地引用、刊发，需注明出处为“上海证券基金评价研究中心”。</w:t>
      </w:r>
    </w:p>
    <w:p w:rsidR="0063384C" w:rsidRPr="00693B26" w:rsidRDefault="0063384C" w:rsidP="0063384C">
      <w:pPr>
        <w:spacing w:line="300" w:lineRule="exact"/>
        <w:rPr>
          <w:rFonts w:ascii="楷体_GB2312" w:eastAsia="楷体_GB2312"/>
          <w:sz w:val="18"/>
          <w:szCs w:val="18"/>
        </w:rPr>
      </w:pPr>
    </w:p>
    <w:p w:rsidR="00415862" w:rsidRPr="0063384C" w:rsidRDefault="00415862"/>
    <w:sectPr w:rsidR="00415862" w:rsidRPr="0063384C" w:rsidSect="004D0283">
      <w:headerReference w:type="default" r:id="rId18"/>
      <w:pgSz w:w="11906" w:h="16838"/>
      <w:pgMar w:top="1418" w:right="1133"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7EC" w:rsidRDefault="000447EC">
      <w:r>
        <w:separator/>
      </w:r>
    </w:p>
  </w:endnote>
  <w:endnote w:type="continuationSeparator" w:id="0">
    <w:p w:rsidR="000447EC" w:rsidRDefault="0004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18030">
    <w:altName w:val="宋体"/>
    <w:charset w:val="86"/>
    <w:family w:val="modern"/>
    <w:pitch w:val="fixed"/>
    <w:sig w:usb0="800022A7" w:usb1="880F3C78" w:usb2="000A005E" w:usb3="00000000" w:csb0="00040001"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283" w:rsidRDefault="004D0283" w:rsidP="004D0283">
    <w:pPr>
      <w:pStyle w:val="a4"/>
      <w:framePr w:wrap="around" w:vAnchor="text" w:hAnchor="margin" w:xAlign="right" w:y="1"/>
      <w:rPr>
        <w:rStyle w:val="a5"/>
      </w:rPr>
    </w:pPr>
    <w:r>
      <w:rPr>
        <w:rStyle w:val="a5"/>
        <w:noProof/>
      </w:rPr>
      <w:t>1</w:t>
    </w:r>
  </w:p>
  <w:p w:rsidR="004D0283" w:rsidRDefault="004D0283" w:rsidP="004D028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283" w:rsidRDefault="000447EC" w:rsidP="004D0283">
    <w:pPr>
      <w:pStyle w:val="a4"/>
      <w:ind w:right="360"/>
    </w:pPr>
    <w:r>
      <w:rPr>
        <w:noProof/>
      </w:rPr>
      <w:pict>
        <v:shapetype id="_x0000_t202" coordsize="21600,21600" o:spt="202" path="m,l,21600r21600,l21600,xe">
          <v:stroke joinstyle="miter"/>
          <v:path gradientshapeok="t" o:connecttype="rect"/>
        </v:shapetype>
        <v:shape id="文本框 5" o:spid="_x0000_s2051" type="#_x0000_t202" style="position:absolute;margin-left:28.8pt;margin-top:772.9pt;width:513.45pt;height:18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" filled="f" stroked="f">
          <v:textbox inset="0,0,0,0">
            <w:txbxContent>
              <w:p w:rsidR="004D0283" w:rsidRPr="00310D17" w:rsidRDefault="004D0283" w:rsidP="004D0283">
                <w:pPr>
                  <w:pBdr>
                    <w:top w:val="single" w:sz="4" w:space="3" w:color="auto"/>
                  </w:pBdr>
                  <w:topLinePunct/>
                  <w:spacing w:line="200" w:lineRule="exact"/>
                  <w:rPr>
                    <w:rFonts w:ascii="楷体_GB2312" w:eastAsia="楷体_GB2312"/>
                    <w:color w:val="003366"/>
                    <w:szCs w:val="21"/>
                  </w:rPr>
                </w:pPr>
                <w:r w:rsidRPr="00FB139B">
                  <w:rPr>
                    <w:rFonts w:ascii="楷体_GB2312" w:eastAsia="楷体_GB2312" w:hint="eastAsia"/>
                    <w:b/>
                    <w:color w:val="003366"/>
                    <w:szCs w:val="21"/>
                  </w:rPr>
                  <w:t>重要提示：</w:t>
                </w:r>
                <w:r w:rsidRPr="00EF283B">
                  <w:rPr>
                    <w:rFonts w:ascii="楷体_GB2312" w:eastAsia="楷体_GB2312" w:hint="eastAsia"/>
                    <w:b/>
                    <w:color w:val="003366"/>
                    <w:szCs w:val="21"/>
                  </w:rPr>
                  <w:t>请务必阅读尾页分析师承诺和免责条款</w:t>
                </w:r>
                <w:r w:rsidR="00DF6183" w:rsidRPr="00310D17">
                  <w:rPr>
                    <w:rFonts w:ascii="楷体_GB2312" w:eastAsia="楷体_GB2312"/>
                    <w:color w:val="003366"/>
                    <w:szCs w:val="21"/>
                  </w:rPr>
                  <w:fldChar w:fldCharType="begin"/>
                </w:r>
                <w:r w:rsidRPr="00310D17">
                  <w:rPr>
                    <w:rFonts w:ascii="楷体_GB2312" w:eastAsia="楷体_GB2312"/>
                    <w:color w:val="003366"/>
                    <w:szCs w:val="21"/>
                  </w:rPr>
                  <w:instrText xml:space="preserve"> PAGE   \* MERGEFORMAT </w:instrText>
                </w:r>
                <w:r w:rsidR="00DF6183" w:rsidRPr="00310D17">
                  <w:rPr>
                    <w:rFonts w:ascii="楷体_GB2312" w:eastAsia="楷体_GB2312"/>
                    <w:color w:val="003366"/>
                    <w:szCs w:val="21"/>
                  </w:rPr>
                  <w:fldChar w:fldCharType="separate"/>
                </w:r>
                <w:r w:rsidR="00EB3B11" w:rsidRPr="00EB3B11">
                  <w:rPr>
                    <w:rFonts w:ascii="楷体_GB2312" w:eastAsia="楷体_GB2312"/>
                    <w:noProof/>
                    <w:color w:val="003366"/>
                    <w:szCs w:val="21"/>
                    <w:lang w:val="zh-CN"/>
                  </w:rPr>
                  <w:t>1</w:t>
                </w:r>
                <w:r w:rsidR="00DF6183" w:rsidRPr="00310D17">
                  <w:rPr>
                    <w:rFonts w:ascii="楷体_GB2312" w:eastAsia="楷体_GB2312"/>
                    <w:color w:val="003366"/>
                    <w:szCs w:val="21"/>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7EC" w:rsidRDefault="000447EC">
      <w:r>
        <w:separator/>
      </w:r>
    </w:p>
  </w:footnote>
  <w:footnote w:type="continuationSeparator" w:id="0">
    <w:p w:rsidR="000447EC" w:rsidRDefault="000447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283" w:rsidRPr="00935FC9" w:rsidRDefault="000447EC" w:rsidP="004D0283">
    <w:pPr>
      <w:pStyle w:val="a3"/>
      <w:jc w:val="left"/>
      <w:rPr>
        <w:rFonts w:ascii="楷体_GB2312" w:eastAsia="楷体_GB2312"/>
        <w:b/>
        <w:color w:val="333399"/>
        <w:sz w:val="24"/>
        <w:szCs w:val="24"/>
      </w:rPr>
    </w:pPr>
    <w:r>
      <w:rPr>
        <w:rFonts w:ascii="楷体_GB2312" w:eastAsia="楷体_GB2312"/>
        <w:b/>
        <w:noProof/>
        <w:color w:val="003366"/>
        <w:sz w:val="21"/>
        <w:szCs w:val="21"/>
      </w:rPr>
      <w:pict>
        <v:line id="直接连接符 4" o:spid="_x0000_s2050" style="position:absolute;z-index:251658752;visibility:visible" from="70.1pt,20.55pt" to="459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" strokecolor="#036" strokeweight="1.5pt"/>
      </w:pict>
    </w:r>
    <w:r w:rsidR="004D0283">
      <w:rPr>
        <w:rFonts w:ascii="楷体_GB2312" w:eastAsia="楷体_GB2312" w:hint="eastAsia"/>
        <w:b/>
        <w:noProof/>
        <w:color w:val="003366"/>
        <w:sz w:val="21"/>
        <w:szCs w:val="21"/>
      </w:rPr>
      <w:drawing>
        <wp:inline distT="0" distB="0" distL="0" distR="0">
          <wp:extent cx="905510" cy="241300"/>
          <wp:effectExtent l="19050" t="0" r="8890" b="0"/>
          <wp:docPr id="9" name="图片 9" descr="ye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mei"/>
                  <pic:cNvPicPr>
                    <a:picLocks noChangeAspect="1" noChangeArrowheads="1"/>
                  </pic:cNvPicPr>
                </pic:nvPicPr>
                <pic:blipFill>
                  <a:blip r:embed="rId1"/>
                  <a:srcRect/>
                  <a:stretch>
                    <a:fillRect/>
                  </a:stretch>
                </pic:blipFill>
                <pic:spPr bwMode="auto">
                  <a:xfrm>
                    <a:off x="0" y="0"/>
                    <a:ext cx="905510" cy="241300"/>
                  </a:xfrm>
                  <a:prstGeom prst="rect">
                    <a:avLst/>
                  </a:prstGeom>
                  <a:noFill/>
                  <a:ln w="9525">
                    <a:noFill/>
                    <a:miter lim="800000"/>
                    <a:headEnd/>
                    <a:tailEnd/>
                  </a:ln>
                </pic:spPr>
              </pic:pic>
            </a:graphicData>
          </a:graphic>
        </wp:inline>
      </w:drawing>
    </w:r>
    <w:r>
      <w:rPr>
        <w:rFonts w:ascii="楷体_GB2312" w:eastAsia="楷体_GB2312"/>
        <w:b/>
        <w:noProof/>
        <w:color w:val="333399"/>
        <w:sz w:val="21"/>
        <w:szCs w:val="21"/>
      </w:rPr>
      <w:pict>
        <v:shapetype id="_x0000_t202" coordsize="21600,21600" o:spt="202" path="m,l,21600r21600,l21600,xe">
          <v:stroke joinstyle="miter"/>
          <v:path gradientshapeok="t" o:connecttype="rect"/>
        </v:shapetype>
        <v:shape id="文本框 3" o:spid="_x0000_s2049" type="#_x0000_t202" style="position:absolute;margin-left:-189pt;margin-top:-2.85pt;width:90.95pt;height:30.3pt;z-index:25165772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" stroked="f">
          <v:textbox style="mso-fit-shape-to-text:t">
            <w:txbxContent>
              <w:p w:rsidR="004D0283" w:rsidRDefault="004D0283">
                <w:r>
                  <w:rPr>
                    <w:noProof/>
                  </w:rPr>
                  <w:drawing>
                    <wp:inline distT="0" distB="0" distL="0" distR="0">
                      <wp:extent cx="948690" cy="293370"/>
                      <wp:effectExtent l="1905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948690" cy="293370"/>
                              </a:xfrm>
                              <a:prstGeom prst="rect">
                                <a:avLst/>
                              </a:prstGeom>
                              <a:noFill/>
                              <a:ln w="9525">
                                <a:noFill/>
                                <a:miter lim="800000"/>
                                <a:headEnd/>
                                <a:tailEnd/>
                              </a:ln>
                            </pic:spPr>
                          </pic:pic>
                        </a:graphicData>
                      </a:graphic>
                    </wp:inline>
                  </w:drawing>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2010F2"/>
    <w:multiLevelType w:val="hybridMultilevel"/>
    <w:tmpl w:val="7584D7B8"/>
    <w:lvl w:ilvl="0" w:tplc="C8587358">
      <w:start w:val="1"/>
      <w:numFmt w:val="japaneseCounting"/>
      <w:lvlText w:val="（%1）"/>
      <w:lvlJc w:val="left"/>
      <w:pPr>
        <w:ind w:left="3174" w:hanging="765"/>
      </w:pPr>
      <w:rPr>
        <w:rFonts w:hint="default"/>
      </w:rPr>
    </w:lvl>
    <w:lvl w:ilvl="1" w:tplc="04090019" w:tentative="1">
      <w:start w:val="1"/>
      <w:numFmt w:val="lowerLetter"/>
      <w:lvlText w:val="%2)"/>
      <w:lvlJc w:val="left"/>
      <w:pPr>
        <w:ind w:left="3249" w:hanging="420"/>
      </w:pPr>
    </w:lvl>
    <w:lvl w:ilvl="2" w:tplc="0409001B" w:tentative="1">
      <w:start w:val="1"/>
      <w:numFmt w:val="lowerRoman"/>
      <w:lvlText w:val="%3."/>
      <w:lvlJc w:val="right"/>
      <w:pPr>
        <w:ind w:left="3669" w:hanging="420"/>
      </w:pPr>
    </w:lvl>
    <w:lvl w:ilvl="3" w:tplc="0409000F" w:tentative="1">
      <w:start w:val="1"/>
      <w:numFmt w:val="decimal"/>
      <w:lvlText w:val="%4."/>
      <w:lvlJc w:val="left"/>
      <w:pPr>
        <w:ind w:left="4089" w:hanging="420"/>
      </w:pPr>
    </w:lvl>
    <w:lvl w:ilvl="4" w:tplc="04090019" w:tentative="1">
      <w:start w:val="1"/>
      <w:numFmt w:val="lowerLetter"/>
      <w:lvlText w:val="%5)"/>
      <w:lvlJc w:val="left"/>
      <w:pPr>
        <w:ind w:left="4509" w:hanging="420"/>
      </w:pPr>
    </w:lvl>
    <w:lvl w:ilvl="5" w:tplc="0409001B" w:tentative="1">
      <w:start w:val="1"/>
      <w:numFmt w:val="lowerRoman"/>
      <w:lvlText w:val="%6."/>
      <w:lvlJc w:val="right"/>
      <w:pPr>
        <w:ind w:left="4929" w:hanging="420"/>
      </w:pPr>
    </w:lvl>
    <w:lvl w:ilvl="6" w:tplc="0409000F" w:tentative="1">
      <w:start w:val="1"/>
      <w:numFmt w:val="decimal"/>
      <w:lvlText w:val="%7."/>
      <w:lvlJc w:val="left"/>
      <w:pPr>
        <w:ind w:left="5349" w:hanging="420"/>
      </w:pPr>
    </w:lvl>
    <w:lvl w:ilvl="7" w:tplc="04090019" w:tentative="1">
      <w:start w:val="1"/>
      <w:numFmt w:val="lowerLetter"/>
      <w:lvlText w:val="%8)"/>
      <w:lvlJc w:val="left"/>
      <w:pPr>
        <w:ind w:left="5769" w:hanging="420"/>
      </w:pPr>
    </w:lvl>
    <w:lvl w:ilvl="8" w:tplc="0409001B" w:tentative="1">
      <w:start w:val="1"/>
      <w:numFmt w:val="lowerRoman"/>
      <w:lvlText w:val="%9."/>
      <w:lvlJc w:val="right"/>
      <w:pPr>
        <w:ind w:left="6189" w:hanging="420"/>
      </w:pPr>
    </w:lvl>
  </w:abstractNum>
  <w:abstractNum w:abstractNumId="1" w15:restartNumberingAfterBreak="0">
    <w:nsid w:val="6D6E5B7D"/>
    <w:multiLevelType w:val="hybridMultilevel"/>
    <w:tmpl w:val="24AC4B5E"/>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7E1A10C2"/>
    <w:multiLevelType w:val="hybridMultilevel"/>
    <w:tmpl w:val="33A219AA"/>
    <w:lvl w:ilvl="0" w:tplc="A38A7AD4">
      <w:start w:val="1"/>
      <w:numFmt w:val="bullet"/>
      <w:lvlText w:val=""/>
      <w:lvlJc w:val="left"/>
      <w:pPr>
        <w:tabs>
          <w:tab w:val="num" w:pos="425"/>
        </w:tabs>
        <w:ind w:left="425" w:hanging="425"/>
      </w:pPr>
      <w:rPr>
        <w:rFonts w:ascii="Wingdings" w:hAnsi="Wingdings" w:hint="default"/>
        <w:color w:val="003366"/>
      </w:rPr>
    </w:lvl>
    <w:lvl w:ilvl="1" w:tplc="9A60056E" w:tentative="1">
      <w:start w:val="1"/>
      <w:numFmt w:val="bullet"/>
      <w:lvlText w:val=""/>
      <w:lvlJc w:val="left"/>
      <w:pPr>
        <w:tabs>
          <w:tab w:val="num" w:pos="840"/>
        </w:tabs>
        <w:ind w:left="840" w:hanging="420"/>
      </w:pPr>
      <w:rPr>
        <w:rFonts w:ascii="Wingdings" w:hAnsi="Wingdings" w:hint="default"/>
      </w:rPr>
    </w:lvl>
    <w:lvl w:ilvl="2" w:tplc="8BEC58DE" w:tentative="1">
      <w:start w:val="1"/>
      <w:numFmt w:val="bullet"/>
      <w:lvlText w:val=""/>
      <w:lvlJc w:val="left"/>
      <w:pPr>
        <w:tabs>
          <w:tab w:val="num" w:pos="1260"/>
        </w:tabs>
        <w:ind w:left="1260" w:hanging="420"/>
      </w:pPr>
      <w:rPr>
        <w:rFonts w:ascii="Wingdings" w:hAnsi="Wingdings" w:hint="default"/>
      </w:rPr>
    </w:lvl>
    <w:lvl w:ilvl="3" w:tplc="C9B83B34" w:tentative="1">
      <w:start w:val="1"/>
      <w:numFmt w:val="bullet"/>
      <w:lvlText w:val=""/>
      <w:lvlJc w:val="left"/>
      <w:pPr>
        <w:tabs>
          <w:tab w:val="num" w:pos="1680"/>
        </w:tabs>
        <w:ind w:left="1680" w:hanging="420"/>
      </w:pPr>
      <w:rPr>
        <w:rFonts w:ascii="Wingdings" w:hAnsi="Wingdings" w:hint="default"/>
      </w:rPr>
    </w:lvl>
    <w:lvl w:ilvl="4" w:tplc="C64E2148" w:tentative="1">
      <w:start w:val="1"/>
      <w:numFmt w:val="bullet"/>
      <w:lvlText w:val=""/>
      <w:lvlJc w:val="left"/>
      <w:pPr>
        <w:tabs>
          <w:tab w:val="num" w:pos="2100"/>
        </w:tabs>
        <w:ind w:left="2100" w:hanging="420"/>
      </w:pPr>
      <w:rPr>
        <w:rFonts w:ascii="Wingdings" w:hAnsi="Wingdings" w:hint="default"/>
      </w:rPr>
    </w:lvl>
    <w:lvl w:ilvl="5" w:tplc="2A5C8172" w:tentative="1">
      <w:start w:val="1"/>
      <w:numFmt w:val="bullet"/>
      <w:lvlText w:val=""/>
      <w:lvlJc w:val="left"/>
      <w:pPr>
        <w:tabs>
          <w:tab w:val="num" w:pos="2520"/>
        </w:tabs>
        <w:ind w:left="2520" w:hanging="420"/>
      </w:pPr>
      <w:rPr>
        <w:rFonts w:ascii="Wingdings" w:hAnsi="Wingdings" w:hint="default"/>
      </w:rPr>
    </w:lvl>
    <w:lvl w:ilvl="6" w:tplc="88B4F5E0" w:tentative="1">
      <w:start w:val="1"/>
      <w:numFmt w:val="bullet"/>
      <w:lvlText w:val=""/>
      <w:lvlJc w:val="left"/>
      <w:pPr>
        <w:tabs>
          <w:tab w:val="num" w:pos="2940"/>
        </w:tabs>
        <w:ind w:left="2940" w:hanging="420"/>
      </w:pPr>
      <w:rPr>
        <w:rFonts w:ascii="Wingdings" w:hAnsi="Wingdings" w:hint="default"/>
      </w:rPr>
    </w:lvl>
    <w:lvl w:ilvl="7" w:tplc="17E63E7E" w:tentative="1">
      <w:start w:val="1"/>
      <w:numFmt w:val="bullet"/>
      <w:lvlText w:val=""/>
      <w:lvlJc w:val="left"/>
      <w:pPr>
        <w:tabs>
          <w:tab w:val="num" w:pos="3360"/>
        </w:tabs>
        <w:ind w:left="3360" w:hanging="420"/>
      </w:pPr>
      <w:rPr>
        <w:rFonts w:ascii="Wingdings" w:hAnsi="Wingdings" w:hint="default"/>
      </w:rPr>
    </w:lvl>
    <w:lvl w:ilvl="8" w:tplc="D2520B0C"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2405A"/>
    <w:rsid w:val="000336A0"/>
    <w:rsid w:val="000447EC"/>
    <w:rsid w:val="00050310"/>
    <w:rsid w:val="000C57D3"/>
    <w:rsid w:val="000E0A44"/>
    <w:rsid w:val="000F4072"/>
    <w:rsid w:val="000F77C6"/>
    <w:rsid w:val="00102A50"/>
    <w:rsid w:val="00116D0D"/>
    <w:rsid w:val="0011700A"/>
    <w:rsid w:val="00186266"/>
    <w:rsid w:val="001C30C9"/>
    <w:rsid w:val="001C35CD"/>
    <w:rsid w:val="001D3EF4"/>
    <w:rsid w:val="001D75D7"/>
    <w:rsid w:val="001E3FC2"/>
    <w:rsid w:val="001F6A1C"/>
    <w:rsid w:val="00206E98"/>
    <w:rsid w:val="00231166"/>
    <w:rsid w:val="002460A1"/>
    <w:rsid w:val="00253CF5"/>
    <w:rsid w:val="00255911"/>
    <w:rsid w:val="00256AB3"/>
    <w:rsid w:val="00271904"/>
    <w:rsid w:val="002F5D6E"/>
    <w:rsid w:val="00354336"/>
    <w:rsid w:val="003659BA"/>
    <w:rsid w:val="00371458"/>
    <w:rsid w:val="0037461A"/>
    <w:rsid w:val="0037593F"/>
    <w:rsid w:val="003762A3"/>
    <w:rsid w:val="003931C0"/>
    <w:rsid w:val="003B4313"/>
    <w:rsid w:val="003F0B19"/>
    <w:rsid w:val="0040735D"/>
    <w:rsid w:val="00415862"/>
    <w:rsid w:val="0044556E"/>
    <w:rsid w:val="00474CE3"/>
    <w:rsid w:val="00486F8A"/>
    <w:rsid w:val="004A1A9C"/>
    <w:rsid w:val="004D0283"/>
    <w:rsid w:val="005009A7"/>
    <w:rsid w:val="00545605"/>
    <w:rsid w:val="005511C8"/>
    <w:rsid w:val="00582817"/>
    <w:rsid w:val="005C72A8"/>
    <w:rsid w:val="005D2EB6"/>
    <w:rsid w:val="00600894"/>
    <w:rsid w:val="00601A70"/>
    <w:rsid w:val="0060577B"/>
    <w:rsid w:val="00623D14"/>
    <w:rsid w:val="0063384C"/>
    <w:rsid w:val="006760C1"/>
    <w:rsid w:val="006C612F"/>
    <w:rsid w:val="006C6A1B"/>
    <w:rsid w:val="006F094D"/>
    <w:rsid w:val="0072758A"/>
    <w:rsid w:val="00731C94"/>
    <w:rsid w:val="00754E6C"/>
    <w:rsid w:val="00756F82"/>
    <w:rsid w:val="00775F50"/>
    <w:rsid w:val="0079245F"/>
    <w:rsid w:val="00794BDF"/>
    <w:rsid w:val="007B11CD"/>
    <w:rsid w:val="007C7656"/>
    <w:rsid w:val="007D6307"/>
    <w:rsid w:val="007F5480"/>
    <w:rsid w:val="007F5D7A"/>
    <w:rsid w:val="007F62DC"/>
    <w:rsid w:val="008230DD"/>
    <w:rsid w:val="00884DAC"/>
    <w:rsid w:val="0089124F"/>
    <w:rsid w:val="008940E3"/>
    <w:rsid w:val="009148E8"/>
    <w:rsid w:val="0095009A"/>
    <w:rsid w:val="009521B1"/>
    <w:rsid w:val="009A2726"/>
    <w:rsid w:val="009D4E97"/>
    <w:rsid w:val="009E3BC5"/>
    <w:rsid w:val="009F5778"/>
    <w:rsid w:val="00A26C96"/>
    <w:rsid w:val="00A33455"/>
    <w:rsid w:val="00A70874"/>
    <w:rsid w:val="00A86401"/>
    <w:rsid w:val="00A90E67"/>
    <w:rsid w:val="00AC0727"/>
    <w:rsid w:val="00B32035"/>
    <w:rsid w:val="00B8784F"/>
    <w:rsid w:val="00BA0315"/>
    <w:rsid w:val="00BB5DBB"/>
    <w:rsid w:val="00BC4B95"/>
    <w:rsid w:val="00C04EC7"/>
    <w:rsid w:val="00C2405A"/>
    <w:rsid w:val="00C24E56"/>
    <w:rsid w:val="00C40319"/>
    <w:rsid w:val="00C455FD"/>
    <w:rsid w:val="00C467FE"/>
    <w:rsid w:val="00C666E2"/>
    <w:rsid w:val="00C80648"/>
    <w:rsid w:val="00CB67B6"/>
    <w:rsid w:val="00CD7982"/>
    <w:rsid w:val="00CE3A38"/>
    <w:rsid w:val="00D01042"/>
    <w:rsid w:val="00D225BF"/>
    <w:rsid w:val="00D44746"/>
    <w:rsid w:val="00D45450"/>
    <w:rsid w:val="00D4767E"/>
    <w:rsid w:val="00D600BC"/>
    <w:rsid w:val="00D90536"/>
    <w:rsid w:val="00D92D56"/>
    <w:rsid w:val="00DA251D"/>
    <w:rsid w:val="00DC000D"/>
    <w:rsid w:val="00DD4907"/>
    <w:rsid w:val="00DE3973"/>
    <w:rsid w:val="00DE77BB"/>
    <w:rsid w:val="00DF221E"/>
    <w:rsid w:val="00DF6183"/>
    <w:rsid w:val="00E21469"/>
    <w:rsid w:val="00E27789"/>
    <w:rsid w:val="00E27C01"/>
    <w:rsid w:val="00E602A5"/>
    <w:rsid w:val="00E71ACD"/>
    <w:rsid w:val="00EB3B11"/>
    <w:rsid w:val="00EB5083"/>
    <w:rsid w:val="00EC214C"/>
    <w:rsid w:val="00EC63E2"/>
    <w:rsid w:val="00EE47A4"/>
    <w:rsid w:val="00F22826"/>
    <w:rsid w:val="00F516E1"/>
    <w:rsid w:val="00F81914"/>
    <w:rsid w:val="00FC753C"/>
    <w:rsid w:val="00FE2B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FA72676-D1FA-4C34-98B6-91F44CA45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84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3384C"/>
    <w:pPr>
      <w:tabs>
        <w:tab w:val="center" w:pos="4153"/>
        <w:tab w:val="right" w:pos="8306"/>
      </w:tabs>
      <w:snapToGrid w:val="0"/>
      <w:jc w:val="center"/>
    </w:pPr>
    <w:rPr>
      <w:sz w:val="18"/>
      <w:szCs w:val="18"/>
    </w:rPr>
  </w:style>
  <w:style w:type="character" w:customStyle="1" w:styleId="Char">
    <w:name w:val="页眉 Char"/>
    <w:basedOn w:val="a0"/>
    <w:link w:val="a3"/>
    <w:uiPriority w:val="99"/>
    <w:rsid w:val="0063384C"/>
    <w:rPr>
      <w:rFonts w:ascii="Times New Roman" w:eastAsia="宋体" w:hAnsi="Times New Roman" w:cs="Times New Roman"/>
      <w:sz w:val="18"/>
      <w:szCs w:val="18"/>
    </w:rPr>
  </w:style>
  <w:style w:type="paragraph" w:styleId="a4">
    <w:name w:val="footer"/>
    <w:basedOn w:val="a"/>
    <w:link w:val="Char0"/>
    <w:uiPriority w:val="99"/>
    <w:rsid w:val="0063384C"/>
    <w:pPr>
      <w:tabs>
        <w:tab w:val="center" w:pos="4153"/>
        <w:tab w:val="right" w:pos="8306"/>
      </w:tabs>
      <w:snapToGrid w:val="0"/>
      <w:jc w:val="left"/>
    </w:pPr>
    <w:rPr>
      <w:sz w:val="18"/>
      <w:szCs w:val="18"/>
    </w:rPr>
  </w:style>
  <w:style w:type="character" w:customStyle="1" w:styleId="Char0">
    <w:name w:val="页脚 Char"/>
    <w:basedOn w:val="a0"/>
    <w:link w:val="a4"/>
    <w:uiPriority w:val="99"/>
    <w:rsid w:val="0063384C"/>
    <w:rPr>
      <w:rFonts w:ascii="Times New Roman" w:eastAsia="宋体" w:hAnsi="Times New Roman" w:cs="Times New Roman"/>
      <w:sz w:val="18"/>
      <w:szCs w:val="18"/>
    </w:rPr>
  </w:style>
  <w:style w:type="character" w:styleId="a5">
    <w:name w:val="page number"/>
    <w:basedOn w:val="a0"/>
    <w:rsid w:val="0063384C"/>
  </w:style>
  <w:style w:type="paragraph" w:styleId="a6">
    <w:name w:val="Plain Text"/>
    <w:basedOn w:val="a"/>
    <w:link w:val="Char1"/>
    <w:uiPriority w:val="99"/>
    <w:unhideWhenUsed/>
    <w:rsid w:val="0063384C"/>
    <w:rPr>
      <w:rFonts w:ascii="宋体" w:hAnsi="Courier New" w:cs="Courier New"/>
      <w:szCs w:val="21"/>
    </w:rPr>
  </w:style>
  <w:style w:type="character" w:customStyle="1" w:styleId="Char1">
    <w:name w:val="纯文本 Char"/>
    <w:basedOn w:val="a0"/>
    <w:link w:val="a6"/>
    <w:uiPriority w:val="99"/>
    <w:rsid w:val="0063384C"/>
    <w:rPr>
      <w:rFonts w:ascii="宋体" w:eastAsia="宋体" w:hAnsi="Courier New" w:cs="Courier New"/>
      <w:szCs w:val="21"/>
    </w:rPr>
  </w:style>
  <w:style w:type="paragraph" w:styleId="a7">
    <w:name w:val="List Paragraph"/>
    <w:basedOn w:val="a"/>
    <w:uiPriority w:val="34"/>
    <w:qFormat/>
    <w:rsid w:val="00D90536"/>
    <w:pPr>
      <w:ind w:firstLineChars="200" w:firstLine="420"/>
    </w:pPr>
  </w:style>
  <w:style w:type="paragraph" w:styleId="a8">
    <w:name w:val="Normal (Web)"/>
    <w:basedOn w:val="a"/>
    <w:uiPriority w:val="99"/>
    <w:semiHidden/>
    <w:unhideWhenUsed/>
    <w:rsid w:val="00474CE3"/>
    <w:pPr>
      <w:widowControl/>
      <w:spacing w:before="100" w:beforeAutospacing="1" w:after="100" w:afterAutospacing="1"/>
      <w:jc w:val="left"/>
    </w:pPr>
    <w:rPr>
      <w:rFonts w:ascii="宋体" w:hAnsi="宋体" w:cs="宋体"/>
      <w:kern w:val="0"/>
      <w:sz w:val="24"/>
    </w:rPr>
  </w:style>
  <w:style w:type="paragraph" w:styleId="a9">
    <w:name w:val="Balloon Text"/>
    <w:basedOn w:val="a"/>
    <w:link w:val="Char2"/>
    <w:uiPriority w:val="99"/>
    <w:semiHidden/>
    <w:unhideWhenUsed/>
    <w:rsid w:val="00F81914"/>
    <w:rPr>
      <w:sz w:val="18"/>
      <w:szCs w:val="18"/>
    </w:rPr>
  </w:style>
  <w:style w:type="character" w:customStyle="1" w:styleId="Char2">
    <w:name w:val="批注框文本 Char"/>
    <w:basedOn w:val="a0"/>
    <w:link w:val="a9"/>
    <w:uiPriority w:val="99"/>
    <w:semiHidden/>
    <w:rsid w:val="00F81914"/>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099756">
      <w:bodyDiv w:val="1"/>
      <w:marLeft w:val="0"/>
      <w:marRight w:val="0"/>
      <w:marTop w:val="0"/>
      <w:marBottom w:val="0"/>
      <w:divBdr>
        <w:top w:val="none" w:sz="0" w:space="0" w:color="auto"/>
        <w:left w:val="none" w:sz="0" w:space="0" w:color="auto"/>
        <w:bottom w:val="none" w:sz="0" w:space="0" w:color="auto"/>
        <w:right w:val="none" w:sz="0" w:space="0" w:color="auto"/>
      </w:divBdr>
    </w:div>
    <w:div w:id="969744596">
      <w:bodyDiv w:val="1"/>
      <w:marLeft w:val="0"/>
      <w:marRight w:val="0"/>
      <w:marTop w:val="0"/>
      <w:marBottom w:val="0"/>
      <w:divBdr>
        <w:top w:val="none" w:sz="0" w:space="0" w:color="auto"/>
        <w:left w:val="none" w:sz="0" w:space="0" w:color="auto"/>
        <w:bottom w:val="none" w:sz="0" w:space="0" w:color="auto"/>
        <w:right w:val="none" w:sz="0" w:space="0" w:color="auto"/>
      </w:divBdr>
      <w:divsChild>
        <w:div w:id="1957327478">
          <w:marLeft w:val="0"/>
          <w:marRight w:val="0"/>
          <w:marTop w:val="0"/>
          <w:marBottom w:val="0"/>
          <w:divBdr>
            <w:top w:val="none" w:sz="0" w:space="0" w:color="auto"/>
            <w:left w:val="none" w:sz="0" w:space="0" w:color="auto"/>
            <w:bottom w:val="none" w:sz="0" w:space="0" w:color="auto"/>
            <w:right w:val="none" w:sz="0" w:space="0" w:color="auto"/>
          </w:divBdr>
        </w:div>
      </w:divsChild>
    </w:div>
    <w:div w:id="1023166321">
      <w:bodyDiv w:val="1"/>
      <w:marLeft w:val="0"/>
      <w:marRight w:val="0"/>
      <w:marTop w:val="0"/>
      <w:marBottom w:val="0"/>
      <w:divBdr>
        <w:top w:val="none" w:sz="0" w:space="0" w:color="auto"/>
        <w:left w:val="none" w:sz="0" w:space="0" w:color="auto"/>
        <w:bottom w:val="none" w:sz="0" w:space="0" w:color="auto"/>
        <w:right w:val="none" w:sz="0" w:space="0" w:color="auto"/>
      </w:divBdr>
    </w:div>
    <w:div w:id="1469278442">
      <w:bodyDiv w:val="1"/>
      <w:marLeft w:val="0"/>
      <w:marRight w:val="0"/>
      <w:marTop w:val="0"/>
      <w:marBottom w:val="0"/>
      <w:divBdr>
        <w:top w:val="none" w:sz="0" w:space="0" w:color="auto"/>
        <w:left w:val="none" w:sz="0" w:space="0" w:color="auto"/>
        <w:bottom w:val="none" w:sz="0" w:space="0" w:color="auto"/>
        <w:right w:val="none" w:sz="0" w:space="0" w:color="auto"/>
      </w:divBdr>
    </w:div>
    <w:div w:id="1916820496">
      <w:bodyDiv w:val="1"/>
      <w:marLeft w:val="0"/>
      <w:marRight w:val="0"/>
      <w:marTop w:val="0"/>
      <w:marBottom w:val="0"/>
      <w:divBdr>
        <w:top w:val="none" w:sz="0" w:space="0" w:color="auto"/>
        <w:left w:val="none" w:sz="0" w:space="0" w:color="auto"/>
        <w:bottom w:val="none" w:sz="0" w:space="0" w:color="auto"/>
        <w:right w:val="none" w:sz="0" w:space="0" w:color="auto"/>
      </w:divBdr>
      <w:divsChild>
        <w:div w:id="25369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5.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wen\Desktop\&#22806;&#21457;&#20998;&#32423;&#22522;&#37329;&#21608;&#25253;\&#20998;&#32423;&#22522;&#37329;&#8212;&#8212;&#22270;.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905041720531198E-2"/>
          <c:y val="3.288203557888613E-2"/>
          <c:w val="0.85916245543933878"/>
          <c:h val="0.7102812833327341"/>
        </c:manualLayout>
      </c:layout>
      <c:barChart>
        <c:barDir val="col"/>
        <c:grouping val="clustered"/>
        <c:varyColors val="0"/>
        <c:ser>
          <c:idx val="1"/>
          <c:order val="1"/>
          <c:tx>
            <c:strRef>
              <c:f>股市最终图!$C$2</c:f>
              <c:strCache>
                <c:ptCount val="1"/>
                <c:pt idx="0">
                  <c:v>成交额（千亿元）</c:v>
                </c:pt>
              </c:strCache>
            </c:strRef>
          </c:tx>
          <c:spPr>
            <a:solidFill>
              <a:schemeClr val="accent2"/>
            </a:solidFill>
          </c:spPr>
          <c:invertIfNegative val="0"/>
          <c:dLbls>
            <c:dLbl>
              <c:idx val="0"/>
              <c:layout>
                <c:manualLayout>
                  <c:x val="1.7726862838473043E-17"/>
                  <c:y val="1.490382195376263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677238445175748E-3"/>
                  <c:y val="1.51574203909442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87525067875581E-3"/>
                  <c:y val="1.832811994391107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511578046554412E-3"/>
                  <c:y val="2.8792291374537076E-2"/>
                </c:manualLayout>
              </c:layout>
              <c:showLegendKey val="0"/>
              <c:showVal val="1"/>
              <c:showCatName val="0"/>
              <c:showSerName val="0"/>
              <c:showPercent val="0"/>
              <c:showBubbleSize val="0"/>
              <c:extLst>
                <c:ext xmlns:c15="http://schemas.microsoft.com/office/drawing/2012/chart" uri="{CE6537A1-D6FC-4f65-9D91-7224C49458BB}"/>
              </c:extLst>
            </c:dLbl>
            <c:numFmt formatCode="#,##0.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股市最终图!$A$3:$A$6</c:f>
              <c:strCache>
                <c:ptCount val="4"/>
                <c:pt idx="0">
                  <c:v>上证综指</c:v>
                </c:pt>
                <c:pt idx="1">
                  <c:v>深证成指</c:v>
                </c:pt>
                <c:pt idx="2">
                  <c:v>中小板</c:v>
                </c:pt>
                <c:pt idx="3">
                  <c:v>创业板</c:v>
                </c:pt>
              </c:strCache>
            </c:strRef>
          </c:cat>
          <c:val>
            <c:numRef>
              <c:f>股市最终图!$C$3:$C$6</c:f>
              <c:numCache>
                <c:formatCode>General</c:formatCode>
                <c:ptCount val="4"/>
                <c:pt idx="0">
                  <c:v>12.50217619152</c:v>
                </c:pt>
                <c:pt idx="1">
                  <c:v>20.670393990064994</c:v>
                </c:pt>
                <c:pt idx="2">
                  <c:v>8.9884655767870054</c:v>
                </c:pt>
                <c:pt idx="3">
                  <c:v>5.9918024110750014</c:v>
                </c:pt>
              </c:numCache>
            </c:numRef>
          </c:val>
        </c:ser>
        <c:dLbls>
          <c:showLegendKey val="0"/>
          <c:showVal val="0"/>
          <c:showCatName val="0"/>
          <c:showSerName val="0"/>
          <c:showPercent val="0"/>
          <c:showBubbleSize val="0"/>
        </c:dLbls>
        <c:gapWidth val="150"/>
        <c:axId val="403252704"/>
        <c:axId val="403253264"/>
      </c:barChart>
      <c:lineChart>
        <c:grouping val="standard"/>
        <c:varyColors val="0"/>
        <c:ser>
          <c:idx val="0"/>
          <c:order val="0"/>
          <c:tx>
            <c:strRef>
              <c:f>股市最终图!$B$2</c:f>
              <c:strCache>
                <c:ptCount val="1"/>
                <c:pt idx="0">
                  <c:v>涨跌幅（%）</c:v>
                </c:pt>
              </c:strCache>
            </c:strRef>
          </c:tx>
          <c:spPr>
            <a:ln>
              <a:noFill/>
            </a:ln>
          </c:spPr>
          <c:marker>
            <c:spPr>
              <a:solidFill>
                <a:schemeClr val="tx2">
                  <a:lumMod val="60000"/>
                  <a:lumOff val="40000"/>
                </a:schemeClr>
              </a:solidFill>
              <a:ln w="25400">
                <a:solidFill>
                  <a:schemeClr val="tx2">
                    <a:lumMod val="60000"/>
                    <a:lumOff val="40000"/>
                  </a:schemeClr>
                </a:solidFill>
              </a:ln>
            </c:spPr>
          </c:marker>
          <c:dLbls>
            <c:dLbl>
              <c:idx val="0"/>
              <c:layout>
                <c:manualLayout>
                  <c:x val="-7.518916062778945E-2"/>
                  <c:y val="8.20647419072615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7101399841941143E-2"/>
                  <c:y val="7.768885053751842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113388263133138E-2"/>
                  <c:y val="7.30593607305936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73547814355348E-2"/>
                  <c:y val="5.47945205479452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股市最终图!$A$3:$A$6</c:f>
              <c:strCache>
                <c:ptCount val="4"/>
                <c:pt idx="0">
                  <c:v>上证综指</c:v>
                </c:pt>
                <c:pt idx="1">
                  <c:v>深证成指</c:v>
                </c:pt>
                <c:pt idx="2">
                  <c:v>中小板</c:v>
                </c:pt>
                <c:pt idx="3">
                  <c:v>创业板</c:v>
                </c:pt>
              </c:strCache>
            </c:strRef>
          </c:cat>
          <c:val>
            <c:numRef>
              <c:f>股市最终图!$B$3:$B$6</c:f>
              <c:numCache>
                <c:formatCode>0.000_ </c:formatCode>
                <c:ptCount val="4"/>
                <c:pt idx="0">
                  <c:v>-8.8710952328685574E-2</c:v>
                </c:pt>
                <c:pt idx="1">
                  <c:v>0.12434368385105812</c:v>
                </c:pt>
                <c:pt idx="2">
                  <c:v>-9.2873006258842344E-2</c:v>
                </c:pt>
                <c:pt idx="3">
                  <c:v>-0.62933115719285859</c:v>
                </c:pt>
              </c:numCache>
            </c:numRef>
          </c:val>
          <c:smooth val="0"/>
        </c:ser>
        <c:dLbls>
          <c:showLegendKey val="0"/>
          <c:showVal val="0"/>
          <c:showCatName val="0"/>
          <c:showSerName val="0"/>
          <c:showPercent val="0"/>
          <c:showBubbleSize val="0"/>
        </c:dLbls>
        <c:marker val="1"/>
        <c:smooth val="0"/>
        <c:axId val="403252704"/>
        <c:axId val="403253264"/>
      </c:lineChart>
      <c:catAx>
        <c:axId val="403252704"/>
        <c:scaling>
          <c:orientation val="minMax"/>
        </c:scaling>
        <c:delete val="0"/>
        <c:axPos val="b"/>
        <c:numFmt formatCode="General" sourceLinked="0"/>
        <c:majorTickMark val="none"/>
        <c:minorTickMark val="none"/>
        <c:tickLblPos val="low"/>
        <c:txPr>
          <a:bodyPr/>
          <a:lstStyle/>
          <a:p>
            <a:pPr>
              <a:defRPr sz="900">
                <a:latin typeface="+mn-ea"/>
                <a:ea typeface="+mn-ea"/>
              </a:defRPr>
            </a:pPr>
            <a:endParaRPr lang="zh-CN"/>
          </a:p>
        </c:txPr>
        <c:crossAx val="403253264"/>
        <c:crosses val="autoZero"/>
        <c:auto val="1"/>
        <c:lblAlgn val="ctr"/>
        <c:lblOffset val="100"/>
        <c:noMultiLvlLbl val="0"/>
      </c:catAx>
      <c:valAx>
        <c:axId val="403253264"/>
        <c:scaling>
          <c:orientation val="minMax"/>
        </c:scaling>
        <c:delete val="0"/>
        <c:axPos val="l"/>
        <c:numFmt formatCode="General" sourceLinked="1"/>
        <c:majorTickMark val="out"/>
        <c:minorTickMark val="none"/>
        <c:tickLblPos val="nextTo"/>
        <c:crossAx val="403252704"/>
        <c:crosses val="autoZero"/>
        <c:crossBetween val="between"/>
      </c:valAx>
    </c:plotArea>
    <c:legend>
      <c:legendPos val="r"/>
      <c:layout>
        <c:manualLayout>
          <c:xMode val="edge"/>
          <c:yMode val="edge"/>
          <c:x val="0.12937444896355654"/>
          <c:y val="0.82831961073359006"/>
          <c:w val="0.7682274099802503"/>
          <c:h val="0.16743438320210077"/>
        </c:manualLayout>
      </c:layout>
      <c:overlay val="0"/>
      <c:txPr>
        <a:bodyPr/>
        <a:lstStyle/>
        <a:p>
          <a:pPr>
            <a:defRPr sz="900">
              <a:latin typeface="+mn-ea"/>
              <a:ea typeface="+mn-ea"/>
            </a:defRPr>
          </a:pPr>
          <a:endParaRPr lang="zh-CN"/>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AB周成交量!$L$2</c:f>
              <c:strCache>
                <c:ptCount val="1"/>
                <c:pt idx="0">
                  <c:v>2016/7/22</c:v>
                </c:pt>
              </c:strCache>
            </c:strRef>
          </c:tx>
          <c:spPr>
            <a:solidFill>
              <a:schemeClr val="accent1"/>
            </a:solidFill>
            <a:ln>
              <a:noFill/>
            </a:ln>
            <a:effectLst/>
          </c:spPr>
          <c:invertIfNegative val="0"/>
          <c:cat>
            <c:strRef>
              <c:f>AB周成交量!$M$1:$N$1</c:f>
              <c:strCache>
                <c:ptCount val="2"/>
                <c:pt idx="0">
                  <c:v>分级A成交量</c:v>
                </c:pt>
                <c:pt idx="1">
                  <c:v>分级B成交量</c:v>
                </c:pt>
              </c:strCache>
            </c:strRef>
          </c:cat>
          <c:val>
            <c:numRef>
              <c:f>AB周成交量!$M$2:$N$2</c:f>
              <c:numCache>
                <c:formatCode>0.00</c:formatCode>
                <c:ptCount val="2"/>
                <c:pt idx="0">
                  <c:v>71.562694890000003</c:v>
                </c:pt>
                <c:pt idx="1">
                  <c:v>321.66398471999997</c:v>
                </c:pt>
              </c:numCache>
            </c:numRef>
          </c:val>
        </c:ser>
        <c:ser>
          <c:idx val="1"/>
          <c:order val="1"/>
          <c:tx>
            <c:strRef>
              <c:f>AB周成交量!$L$3</c:f>
              <c:strCache>
                <c:ptCount val="1"/>
                <c:pt idx="0">
                  <c:v>2016/7/29</c:v>
                </c:pt>
              </c:strCache>
            </c:strRef>
          </c:tx>
          <c:spPr>
            <a:solidFill>
              <a:schemeClr val="accent2"/>
            </a:solidFill>
            <a:ln>
              <a:noFill/>
            </a:ln>
            <a:effectLst/>
          </c:spPr>
          <c:invertIfNegative val="0"/>
          <c:cat>
            <c:strRef>
              <c:f>AB周成交量!$M$1:$N$1</c:f>
              <c:strCache>
                <c:ptCount val="2"/>
                <c:pt idx="0">
                  <c:v>分级A成交量</c:v>
                </c:pt>
                <c:pt idx="1">
                  <c:v>分级B成交量</c:v>
                </c:pt>
              </c:strCache>
            </c:strRef>
          </c:cat>
          <c:val>
            <c:numRef>
              <c:f>AB周成交量!$M$3:$N$3</c:f>
              <c:numCache>
                <c:formatCode>0.00</c:formatCode>
                <c:ptCount val="2"/>
                <c:pt idx="0">
                  <c:v>67.995123140000047</c:v>
                </c:pt>
                <c:pt idx="1">
                  <c:v>362.18854421999993</c:v>
                </c:pt>
              </c:numCache>
            </c:numRef>
          </c:val>
        </c:ser>
        <c:ser>
          <c:idx val="2"/>
          <c:order val="2"/>
          <c:tx>
            <c:strRef>
              <c:f>AB周成交量!$L$4</c:f>
              <c:strCache>
                <c:ptCount val="1"/>
                <c:pt idx="0">
                  <c:v>2016/8/5</c:v>
                </c:pt>
              </c:strCache>
            </c:strRef>
          </c:tx>
          <c:spPr>
            <a:solidFill>
              <a:schemeClr val="accent3"/>
            </a:solidFill>
            <a:ln>
              <a:noFill/>
            </a:ln>
            <a:effectLst/>
          </c:spPr>
          <c:invertIfNegative val="0"/>
          <c:cat>
            <c:strRef>
              <c:f>AB周成交量!$M$1:$N$1</c:f>
              <c:strCache>
                <c:ptCount val="2"/>
                <c:pt idx="0">
                  <c:v>分级A成交量</c:v>
                </c:pt>
                <c:pt idx="1">
                  <c:v>分级B成交量</c:v>
                </c:pt>
              </c:strCache>
            </c:strRef>
          </c:cat>
          <c:val>
            <c:numRef>
              <c:f>AB周成交量!$M$4:$N$4</c:f>
              <c:numCache>
                <c:formatCode>0.00</c:formatCode>
                <c:ptCount val="2"/>
                <c:pt idx="0">
                  <c:v>76.596230750000004</c:v>
                </c:pt>
                <c:pt idx="1">
                  <c:v>254.49756529999993</c:v>
                </c:pt>
              </c:numCache>
            </c:numRef>
          </c:val>
        </c:ser>
        <c:dLbls>
          <c:showLegendKey val="0"/>
          <c:showVal val="0"/>
          <c:showCatName val="0"/>
          <c:showSerName val="0"/>
          <c:showPercent val="0"/>
          <c:showBubbleSize val="0"/>
        </c:dLbls>
        <c:gapWidth val="199"/>
        <c:axId val="403257184"/>
        <c:axId val="403257744"/>
      </c:barChart>
      <c:catAx>
        <c:axId val="40325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zh-CN"/>
          </a:p>
        </c:txPr>
        <c:crossAx val="403257744"/>
        <c:crosses val="autoZero"/>
        <c:auto val="1"/>
        <c:lblAlgn val="ctr"/>
        <c:lblOffset val="100"/>
        <c:noMultiLvlLbl val="0"/>
      </c:catAx>
      <c:valAx>
        <c:axId val="403257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3257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8937007874016"/>
          <c:y val="2.5428331875182269E-2"/>
          <c:w val="0.89521062992125944"/>
          <c:h val="0.71583538057742768"/>
        </c:manualLayout>
      </c:layout>
      <c:areaChart>
        <c:grouping val="standard"/>
        <c:varyColors val="0"/>
        <c:ser>
          <c:idx val="0"/>
          <c:order val="0"/>
          <c:tx>
            <c:strRef>
              <c:f>图!$B$1</c:f>
              <c:strCache>
                <c:ptCount val="1"/>
                <c:pt idx="0">
                  <c:v>区间价格涨跌幅（%）</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图!$A$2:$A$21</c:f>
              <c:strCache>
                <c:ptCount val="20"/>
                <c:pt idx="0">
                  <c:v>500等权B</c:v>
                </c:pt>
                <c:pt idx="1">
                  <c:v>同辉100B</c:v>
                </c:pt>
                <c:pt idx="2">
                  <c:v>军工股B</c:v>
                </c:pt>
                <c:pt idx="3">
                  <c:v>高铁B</c:v>
                </c:pt>
                <c:pt idx="4">
                  <c:v>环保B端</c:v>
                </c:pt>
                <c:pt idx="5">
                  <c:v>煤炭B级</c:v>
                </c:pt>
                <c:pt idx="6">
                  <c:v>互联网B</c:v>
                </c:pt>
                <c:pt idx="7">
                  <c:v>中证800B</c:v>
                </c:pt>
                <c:pt idx="8">
                  <c:v>钢铁B</c:v>
                </c:pt>
                <c:pt idx="9">
                  <c:v>医药800B</c:v>
                </c:pt>
                <c:pt idx="10">
                  <c:v>新能B级</c:v>
                </c:pt>
                <c:pt idx="11">
                  <c:v>500B</c:v>
                </c:pt>
                <c:pt idx="12">
                  <c:v>证保B级</c:v>
                </c:pt>
                <c:pt idx="13">
                  <c:v>建信50B</c:v>
                </c:pt>
                <c:pt idx="14">
                  <c:v>成长B</c:v>
                </c:pt>
                <c:pt idx="15">
                  <c:v>健康B</c:v>
                </c:pt>
                <c:pt idx="16">
                  <c:v>医疗B</c:v>
                </c:pt>
                <c:pt idx="17">
                  <c:v>资源B级</c:v>
                </c:pt>
                <c:pt idx="18">
                  <c:v>改革B</c:v>
                </c:pt>
                <c:pt idx="19">
                  <c:v>深证100B</c:v>
                </c:pt>
              </c:strCache>
            </c:strRef>
          </c:cat>
          <c:val>
            <c:numRef>
              <c:f>图!$B$2:$B$21</c:f>
              <c:numCache>
                <c:formatCode>General</c:formatCode>
                <c:ptCount val="20"/>
                <c:pt idx="0">
                  <c:v>-6.8862275449101862</c:v>
                </c:pt>
                <c:pt idx="1">
                  <c:v>-5.1742344244984011</c:v>
                </c:pt>
                <c:pt idx="2">
                  <c:v>-8.2683307332293356</c:v>
                </c:pt>
                <c:pt idx="3">
                  <c:v>-6.8888888888888982</c:v>
                </c:pt>
                <c:pt idx="4">
                  <c:v>-4.0339702760084766</c:v>
                </c:pt>
                <c:pt idx="5">
                  <c:v>-2.5345622119815734</c:v>
                </c:pt>
                <c:pt idx="6">
                  <c:v>-5.0104384133611752</c:v>
                </c:pt>
                <c:pt idx="7">
                  <c:v>-3.9721946375372186</c:v>
                </c:pt>
                <c:pt idx="8">
                  <c:v>-1.5988372093023062</c:v>
                </c:pt>
                <c:pt idx="9">
                  <c:v>-7.4999999999999964</c:v>
                </c:pt>
                <c:pt idx="10">
                  <c:v>0.24650780608053149</c:v>
                </c:pt>
                <c:pt idx="11">
                  <c:v>0.9421265141319024</c:v>
                </c:pt>
                <c:pt idx="12">
                  <c:v>0.81892629663331584</c:v>
                </c:pt>
                <c:pt idx="13">
                  <c:v>0.74738415545589931</c:v>
                </c:pt>
                <c:pt idx="14">
                  <c:v>-0.28517110266161877</c:v>
                </c:pt>
                <c:pt idx="15">
                  <c:v>-0.12953367875647714</c:v>
                </c:pt>
                <c:pt idx="16">
                  <c:v>0.92050209205019062</c:v>
                </c:pt>
                <c:pt idx="17">
                  <c:v>2.2403258655804517</c:v>
                </c:pt>
                <c:pt idx="18">
                  <c:v>1.0752688172042995</c:v>
                </c:pt>
                <c:pt idx="19">
                  <c:v>3.9344262295081913</c:v>
                </c:pt>
              </c:numCache>
            </c:numRef>
          </c:val>
        </c:ser>
        <c:ser>
          <c:idx val="1"/>
          <c:order val="1"/>
          <c:tx>
            <c:strRef>
              <c:f>图!$C$1</c:f>
              <c:strCache>
                <c:ptCount val="1"/>
                <c:pt idx="0">
                  <c:v>区间净值涨跌幅（%）</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图!$A$2:$A$21</c:f>
              <c:strCache>
                <c:ptCount val="20"/>
                <c:pt idx="0">
                  <c:v>500等权B</c:v>
                </c:pt>
                <c:pt idx="1">
                  <c:v>同辉100B</c:v>
                </c:pt>
                <c:pt idx="2">
                  <c:v>军工股B</c:v>
                </c:pt>
                <c:pt idx="3">
                  <c:v>高铁B</c:v>
                </c:pt>
                <c:pt idx="4">
                  <c:v>环保B端</c:v>
                </c:pt>
                <c:pt idx="5">
                  <c:v>煤炭B级</c:v>
                </c:pt>
                <c:pt idx="6">
                  <c:v>互联网B</c:v>
                </c:pt>
                <c:pt idx="7">
                  <c:v>中证800B</c:v>
                </c:pt>
                <c:pt idx="8">
                  <c:v>钢铁B</c:v>
                </c:pt>
                <c:pt idx="9">
                  <c:v>医药800B</c:v>
                </c:pt>
                <c:pt idx="10">
                  <c:v>新能B级</c:v>
                </c:pt>
                <c:pt idx="11">
                  <c:v>500B</c:v>
                </c:pt>
                <c:pt idx="12">
                  <c:v>证保B级</c:v>
                </c:pt>
                <c:pt idx="13">
                  <c:v>建信50B</c:v>
                </c:pt>
                <c:pt idx="14">
                  <c:v>成长B</c:v>
                </c:pt>
                <c:pt idx="15">
                  <c:v>健康B</c:v>
                </c:pt>
                <c:pt idx="16">
                  <c:v>医疗B</c:v>
                </c:pt>
                <c:pt idx="17">
                  <c:v>资源B级</c:v>
                </c:pt>
                <c:pt idx="18">
                  <c:v>改革B</c:v>
                </c:pt>
                <c:pt idx="19">
                  <c:v>深证100B</c:v>
                </c:pt>
              </c:strCache>
            </c:strRef>
          </c:cat>
          <c:val>
            <c:numRef>
              <c:f>图!$C$2:$C$21</c:f>
              <c:numCache>
                <c:formatCode>General</c:formatCode>
                <c:ptCount val="20"/>
                <c:pt idx="0">
                  <c:v>-0.21253985122211461</c:v>
                </c:pt>
                <c:pt idx="1">
                  <c:v>0.4020100502512528</c:v>
                </c:pt>
                <c:pt idx="2">
                  <c:v>-2.9503105590062142</c:v>
                </c:pt>
                <c:pt idx="3">
                  <c:v>-2.1327014218009488</c:v>
                </c:pt>
                <c:pt idx="4">
                  <c:v>0.20312817387771703</c:v>
                </c:pt>
                <c:pt idx="5">
                  <c:v>1.5452538631346591</c:v>
                </c:pt>
                <c:pt idx="6">
                  <c:v>-1.0964912280701724</c:v>
                </c:pt>
                <c:pt idx="7">
                  <c:v>-0.10131712259371291</c:v>
                </c:pt>
                <c:pt idx="8">
                  <c:v>1.9578313253012065</c:v>
                </c:pt>
                <c:pt idx="9">
                  <c:v>-4.1292639138240714</c:v>
                </c:pt>
                <c:pt idx="10">
                  <c:v>-0.75356263523091849</c:v>
                </c:pt>
                <c:pt idx="11">
                  <c:v>-0.11916583912611876</c:v>
                </c:pt>
                <c:pt idx="12">
                  <c:v>-0.25552108048915639</c:v>
                </c:pt>
                <c:pt idx="13">
                  <c:v>-0.51797304043933934</c:v>
                </c:pt>
                <c:pt idx="14">
                  <c:v>-1.6993464052287592</c:v>
                </c:pt>
                <c:pt idx="15">
                  <c:v>-1.7364657814096032</c:v>
                </c:pt>
                <c:pt idx="16">
                  <c:v>-0.81782070254692063</c:v>
                </c:pt>
                <c:pt idx="17">
                  <c:v>0.4541326067211866</c:v>
                </c:pt>
                <c:pt idx="18">
                  <c:v>-0.81796549672812668</c:v>
                </c:pt>
                <c:pt idx="19">
                  <c:v>1.1919698870765334</c:v>
                </c:pt>
              </c:numCache>
            </c:numRef>
          </c:val>
        </c:ser>
        <c:dLbls>
          <c:showLegendKey val="0"/>
          <c:showVal val="0"/>
          <c:showCatName val="0"/>
          <c:showSerName val="0"/>
          <c:showPercent val="0"/>
          <c:showBubbleSize val="0"/>
        </c:dLbls>
        <c:axId val="366431152"/>
        <c:axId val="366431712"/>
      </c:areaChart>
      <c:barChart>
        <c:barDir val="col"/>
        <c:grouping val="clustered"/>
        <c:varyColors val="0"/>
        <c:ser>
          <c:idx val="2"/>
          <c:order val="2"/>
          <c:tx>
            <c:strRef>
              <c:f>图!$D$1</c:f>
              <c:strCache>
                <c:ptCount val="1"/>
                <c:pt idx="0">
                  <c:v>偏离数（%）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图!$A$2:$A$21</c:f>
              <c:strCache>
                <c:ptCount val="20"/>
                <c:pt idx="0">
                  <c:v>500等权B</c:v>
                </c:pt>
                <c:pt idx="1">
                  <c:v>同辉100B</c:v>
                </c:pt>
                <c:pt idx="2">
                  <c:v>军工股B</c:v>
                </c:pt>
                <c:pt idx="3">
                  <c:v>高铁B</c:v>
                </c:pt>
                <c:pt idx="4">
                  <c:v>环保B端</c:v>
                </c:pt>
                <c:pt idx="5">
                  <c:v>煤炭B级</c:v>
                </c:pt>
                <c:pt idx="6">
                  <c:v>互联网B</c:v>
                </c:pt>
                <c:pt idx="7">
                  <c:v>中证800B</c:v>
                </c:pt>
                <c:pt idx="8">
                  <c:v>钢铁B</c:v>
                </c:pt>
                <c:pt idx="9">
                  <c:v>医药800B</c:v>
                </c:pt>
                <c:pt idx="10">
                  <c:v>新能B级</c:v>
                </c:pt>
                <c:pt idx="11">
                  <c:v>500B</c:v>
                </c:pt>
                <c:pt idx="12">
                  <c:v>证保B级</c:v>
                </c:pt>
                <c:pt idx="13">
                  <c:v>建信50B</c:v>
                </c:pt>
                <c:pt idx="14">
                  <c:v>成长B</c:v>
                </c:pt>
                <c:pt idx="15">
                  <c:v>健康B</c:v>
                </c:pt>
                <c:pt idx="16">
                  <c:v>医疗B</c:v>
                </c:pt>
                <c:pt idx="17">
                  <c:v>资源B级</c:v>
                </c:pt>
                <c:pt idx="18">
                  <c:v>改革B</c:v>
                </c:pt>
                <c:pt idx="19">
                  <c:v>深证100B</c:v>
                </c:pt>
              </c:strCache>
            </c:strRef>
          </c:cat>
          <c:val>
            <c:numRef>
              <c:f>图!$D$2:$D$21</c:f>
              <c:numCache>
                <c:formatCode>General</c:formatCode>
                <c:ptCount val="20"/>
                <c:pt idx="0">
                  <c:v>6.6736876936880716</c:v>
                </c:pt>
                <c:pt idx="1">
                  <c:v>5.5762444747496582</c:v>
                </c:pt>
                <c:pt idx="2">
                  <c:v>5.3180201742231219</c:v>
                </c:pt>
                <c:pt idx="3">
                  <c:v>4.7561874670879476</c:v>
                </c:pt>
                <c:pt idx="4">
                  <c:v>4.2370984498861972</c:v>
                </c:pt>
                <c:pt idx="5">
                  <c:v>4.0798160751162316</c:v>
                </c:pt>
                <c:pt idx="6">
                  <c:v>3.9139471852909997</c:v>
                </c:pt>
                <c:pt idx="7">
                  <c:v>3.8708775149435048</c:v>
                </c:pt>
                <c:pt idx="8">
                  <c:v>3.5566685346035118</c:v>
                </c:pt>
                <c:pt idx="9">
                  <c:v>3.3707360861759281</c:v>
                </c:pt>
                <c:pt idx="10">
                  <c:v>-1.0000704413114501</c:v>
                </c:pt>
                <c:pt idx="11">
                  <c:v>-1.0612923532580212</c:v>
                </c:pt>
                <c:pt idx="12">
                  <c:v>-1.0744473771224718</c:v>
                </c:pt>
                <c:pt idx="13">
                  <c:v>-1.2653571958952385</c:v>
                </c:pt>
                <c:pt idx="14">
                  <c:v>-1.4141753025671395</c:v>
                </c:pt>
                <c:pt idx="15">
                  <c:v>-1.606932102653126</c:v>
                </c:pt>
                <c:pt idx="16">
                  <c:v>-1.7383227945971105</c:v>
                </c:pt>
                <c:pt idx="17">
                  <c:v>-1.7861932588592633</c:v>
                </c:pt>
                <c:pt idx="18">
                  <c:v>-1.8932343139324257</c:v>
                </c:pt>
                <c:pt idx="19">
                  <c:v>-2.7424563424316597</c:v>
                </c:pt>
              </c:numCache>
            </c:numRef>
          </c:val>
        </c:ser>
        <c:dLbls>
          <c:showLegendKey val="0"/>
          <c:showVal val="0"/>
          <c:showCatName val="0"/>
          <c:showSerName val="0"/>
          <c:showPercent val="0"/>
          <c:showBubbleSize val="0"/>
        </c:dLbls>
        <c:gapWidth val="269"/>
        <c:axId val="366431152"/>
        <c:axId val="366431712"/>
      </c:barChart>
      <c:catAx>
        <c:axId val="366431152"/>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6431712"/>
        <c:crosses val="autoZero"/>
        <c:auto val="1"/>
        <c:lblAlgn val="ctr"/>
        <c:lblOffset val="100"/>
        <c:noMultiLvlLbl val="0"/>
      </c:catAx>
      <c:valAx>
        <c:axId val="36643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6431152"/>
        <c:crosses val="autoZero"/>
        <c:crossBetween val="between"/>
      </c:valAx>
      <c:spPr>
        <a:noFill/>
        <a:ln>
          <a:noFill/>
        </a:ln>
        <a:effectLst/>
      </c:spPr>
    </c:plotArea>
    <c:legend>
      <c:legendPos val="b"/>
      <c:layout>
        <c:manualLayout>
          <c:xMode val="edge"/>
          <c:yMode val="edge"/>
          <c:x val="9.6412609997913859E-2"/>
          <c:y val="2.0440944881889779E-2"/>
          <c:w val="0.89999984772740771"/>
          <c:h val="8.355905511811027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分级B场内份额变动——图!$M$6</c:f>
              <c:strCache>
                <c:ptCount val="1"/>
                <c:pt idx="0">
                  <c:v>分级B场内净流量（左轴）</c:v>
                </c:pt>
              </c:strCache>
            </c:strRef>
          </c:tx>
          <c:spPr>
            <a:solidFill>
              <a:schemeClr val="accent1"/>
            </a:solidFill>
            <a:ln>
              <a:noFill/>
            </a:ln>
            <a:effectLst/>
          </c:spPr>
          <c:invertIfNegative val="0"/>
          <c:cat>
            <c:numRef>
              <c:f>分级B场内份额变动——图!$L$7:$L$11</c:f>
              <c:numCache>
                <c:formatCode>yyyy/m/d</c:formatCode>
                <c:ptCount val="5"/>
                <c:pt idx="0">
                  <c:v>42559</c:v>
                </c:pt>
                <c:pt idx="1">
                  <c:v>42566</c:v>
                </c:pt>
                <c:pt idx="2">
                  <c:v>42573</c:v>
                </c:pt>
                <c:pt idx="3">
                  <c:v>42580</c:v>
                </c:pt>
                <c:pt idx="4">
                  <c:v>42587</c:v>
                </c:pt>
              </c:numCache>
            </c:numRef>
          </c:cat>
          <c:val>
            <c:numRef>
              <c:f>分级B场内份额变动——图!$M$7:$M$11</c:f>
              <c:numCache>
                <c:formatCode>0.0000</c:formatCode>
                <c:ptCount val="5"/>
                <c:pt idx="0">
                  <c:v>22.814328160000009</c:v>
                </c:pt>
                <c:pt idx="1">
                  <c:v>34.832678080000001</c:v>
                </c:pt>
                <c:pt idx="2">
                  <c:v>18.234357010000007</c:v>
                </c:pt>
                <c:pt idx="3">
                  <c:v>23.053598480000005</c:v>
                </c:pt>
                <c:pt idx="4">
                  <c:v>18.123769119999999</c:v>
                </c:pt>
              </c:numCache>
            </c:numRef>
          </c:val>
        </c:ser>
        <c:dLbls>
          <c:showLegendKey val="0"/>
          <c:showVal val="0"/>
          <c:showCatName val="0"/>
          <c:showSerName val="0"/>
          <c:showPercent val="0"/>
          <c:showBubbleSize val="0"/>
        </c:dLbls>
        <c:gapWidth val="150"/>
        <c:axId val="366434512"/>
        <c:axId val="356010528"/>
      </c:barChart>
      <c:lineChart>
        <c:grouping val="stacked"/>
        <c:varyColors val="0"/>
        <c:ser>
          <c:idx val="1"/>
          <c:order val="1"/>
          <c:tx>
            <c:strRef>
              <c:f>分级B场内份额变动——图!$N$6</c:f>
              <c:strCache>
                <c:ptCount val="1"/>
                <c:pt idx="0">
                  <c:v>中证全指（右轴）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分级B场内份额变动——图!$L$7:$L$11</c:f>
              <c:numCache>
                <c:formatCode>yyyy/m/d</c:formatCode>
                <c:ptCount val="5"/>
                <c:pt idx="0">
                  <c:v>42559</c:v>
                </c:pt>
                <c:pt idx="1">
                  <c:v>42566</c:v>
                </c:pt>
                <c:pt idx="2">
                  <c:v>42573</c:v>
                </c:pt>
                <c:pt idx="3">
                  <c:v>42580</c:v>
                </c:pt>
                <c:pt idx="4">
                  <c:v>42587</c:v>
                </c:pt>
              </c:numCache>
            </c:numRef>
          </c:cat>
          <c:val>
            <c:numRef>
              <c:f>分级B场内份额变动——图!$N$7:$N$11</c:f>
              <c:numCache>
                <c:formatCode>###,###,##0.0000</c:formatCode>
                <c:ptCount val="5"/>
                <c:pt idx="0">
                  <c:v>4741.7503000000006</c:v>
                </c:pt>
                <c:pt idx="1">
                  <c:v>4824.8528000000024</c:v>
                </c:pt>
                <c:pt idx="2">
                  <c:v>4775.4995000000008</c:v>
                </c:pt>
                <c:pt idx="3">
                  <c:v>4652.7128000000002</c:v>
                </c:pt>
                <c:pt idx="4">
                  <c:v>4653.3421000000017</c:v>
                </c:pt>
              </c:numCache>
            </c:numRef>
          </c:val>
          <c:smooth val="0"/>
        </c:ser>
        <c:dLbls>
          <c:showLegendKey val="0"/>
          <c:showVal val="0"/>
          <c:showCatName val="0"/>
          <c:showSerName val="0"/>
          <c:showPercent val="0"/>
          <c:showBubbleSize val="0"/>
        </c:dLbls>
        <c:marker val="1"/>
        <c:smooth val="0"/>
        <c:axId val="361098960"/>
        <c:axId val="356005488"/>
      </c:lineChart>
      <c:catAx>
        <c:axId val="366434512"/>
        <c:scaling>
          <c:orientation val="minMax"/>
        </c:scaling>
        <c:delete val="0"/>
        <c:axPos val="b"/>
        <c:numFmt formatCode="yyyy/m/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6010528"/>
        <c:crosses val="autoZero"/>
        <c:auto val="0"/>
        <c:lblAlgn val="ctr"/>
        <c:lblOffset val="100"/>
        <c:noMultiLvlLbl val="0"/>
      </c:catAx>
      <c:valAx>
        <c:axId val="356010528"/>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6434512"/>
        <c:crosses val="autoZero"/>
        <c:crossBetween val="between"/>
      </c:valAx>
      <c:valAx>
        <c:axId val="356005488"/>
        <c:scaling>
          <c:orientation val="minMax"/>
        </c:scaling>
        <c:delete val="0"/>
        <c:axPos val="r"/>
        <c:numFmt formatCode="#,##0_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1098960"/>
        <c:crosses val="max"/>
        <c:crossBetween val="between"/>
      </c:valAx>
      <c:dateAx>
        <c:axId val="361098960"/>
        <c:scaling>
          <c:orientation val="minMax"/>
        </c:scaling>
        <c:delete val="1"/>
        <c:axPos val="b"/>
        <c:numFmt formatCode="yyyy/m/d" sourceLinked="1"/>
        <c:majorTickMark val="out"/>
        <c:minorTickMark val="none"/>
        <c:tickLblPos val="nextTo"/>
        <c:crossAx val="356005488"/>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985104134710436E-2"/>
          <c:y val="5.1246214768227348E-2"/>
          <c:w val="0.9069634931997137"/>
          <c:h val="0.55388794430046351"/>
        </c:manualLayout>
      </c:layout>
      <c:barChart>
        <c:barDir val="col"/>
        <c:grouping val="clustered"/>
        <c:varyColors val="0"/>
        <c:ser>
          <c:idx val="0"/>
          <c:order val="0"/>
          <c:tx>
            <c:strRef>
              <c:f>代表指数涨跌!$C$4</c:f>
              <c:strCache>
                <c:ptCount val="1"/>
                <c:pt idx="0">
                  <c:v>周涨跌幅</c:v>
                </c:pt>
              </c:strCache>
            </c:strRef>
          </c:tx>
          <c:spPr>
            <a:solidFill>
              <a:schemeClr val="accent1"/>
            </a:solidFill>
            <a:ln>
              <a:noFill/>
            </a:ln>
            <a:effectLst/>
          </c:spPr>
          <c:invertIfNegative val="0"/>
          <c:cat>
            <c:strRef>
              <c:f>代表指数涨跌!$B$5:$B$67</c:f>
              <c:strCache>
                <c:ptCount val="63"/>
                <c:pt idx="0">
                  <c:v>中证800地产指数</c:v>
                </c:pt>
                <c:pt idx="1">
                  <c:v>国证地产指数</c:v>
                </c:pt>
                <c:pt idx="2">
                  <c:v>沪深300地产等权重指数</c:v>
                </c:pt>
                <c:pt idx="3">
                  <c:v>恒生中国企业指数</c:v>
                </c:pt>
                <c:pt idx="4">
                  <c:v>中证金融地产指数</c:v>
                </c:pt>
                <c:pt idx="5">
                  <c:v>恒生指数</c:v>
                </c:pt>
                <c:pt idx="6">
                  <c:v>国证有色指数</c:v>
                </c:pt>
                <c:pt idx="7">
                  <c:v>中证煤炭等权指数</c:v>
                </c:pt>
                <c:pt idx="8">
                  <c:v>国证钢铁行业</c:v>
                </c:pt>
                <c:pt idx="9">
                  <c:v>中证800有色金属指数</c:v>
                </c:pt>
                <c:pt idx="10">
                  <c:v>中证煤炭指数</c:v>
                </c:pt>
                <c:pt idx="11">
                  <c:v>中证A股资源产业指数</c:v>
                </c:pt>
                <c:pt idx="12">
                  <c:v>中证体育产业指数</c:v>
                </c:pt>
                <c:pt idx="13">
                  <c:v>中证内地资源主题指数</c:v>
                </c:pt>
                <c:pt idx="14">
                  <c:v>中证大宗商品股票指数</c:v>
                </c:pt>
                <c:pt idx="15">
                  <c:v>深证300指数(价格)</c:v>
                </c:pt>
                <c:pt idx="16">
                  <c:v>中证锐联基本面400指数</c:v>
                </c:pt>
                <c:pt idx="17">
                  <c:v>深证成份指数(价格)</c:v>
                </c:pt>
                <c:pt idx="18">
                  <c:v>中证工业4.0指数</c:v>
                </c:pt>
                <c:pt idx="19">
                  <c:v>中证800金融指数</c:v>
                </c:pt>
                <c:pt idx="20">
                  <c:v>深证100等权重指数</c:v>
                </c:pt>
                <c:pt idx="21">
                  <c:v>中证1000指数</c:v>
                </c:pt>
                <c:pt idx="22">
                  <c:v>中证500等权重指数</c:v>
                </c:pt>
                <c:pt idx="23">
                  <c:v>中证信息技术指数</c:v>
                </c:pt>
                <c:pt idx="24">
                  <c:v>央视财经50指数</c:v>
                </c:pt>
                <c:pt idx="25">
                  <c:v>中证800等权重指数</c:v>
                </c:pt>
                <c:pt idx="26">
                  <c:v>中证申万电子行业投资指数</c:v>
                </c:pt>
                <c:pt idx="27">
                  <c:v>中证申万一带一路主题投资指数</c:v>
                </c:pt>
                <c:pt idx="28">
                  <c:v>中证等权重90指数</c:v>
                </c:pt>
                <c:pt idx="29">
                  <c:v>中证中盘200指数</c:v>
                </c:pt>
                <c:pt idx="30">
                  <c:v>中小板300P</c:v>
                </c:pt>
                <c:pt idx="31">
                  <c:v>中证国有企业改革指数</c:v>
                </c:pt>
                <c:pt idx="32">
                  <c:v>沪深300高贝塔指数</c:v>
                </c:pt>
                <c:pt idx="33">
                  <c:v>中证申万证券行业指数</c:v>
                </c:pt>
                <c:pt idx="34">
                  <c:v>沪深300成长指数</c:v>
                </c:pt>
                <c:pt idx="35">
                  <c:v>中证移动互联网指数</c:v>
                </c:pt>
                <c:pt idx="36">
                  <c:v>中证信息安全主题指数</c:v>
                </c:pt>
                <c:pt idx="37">
                  <c:v>新丝路指数</c:v>
                </c:pt>
                <c:pt idx="38">
                  <c:v>中证方正富邦保险主题指数</c:v>
                </c:pt>
                <c:pt idx="39">
                  <c:v>国证新能源指数</c:v>
                </c:pt>
                <c:pt idx="40">
                  <c:v>深证TMT50P</c:v>
                </c:pt>
                <c:pt idx="41">
                  <c:v>中证新能源汽车指数</c:v>
                </c:pt>
                <c:pt idx="42">
                  <c:v>中证互联网指数</c:v>
                </c:pt>
                <c:pt idx="43">
                  <c:v>创业板指数P</c:v>
                </c:pt>
                <c:pt idx="44">
                  <c:v>中证健康产业指数</c:v>
                </c:pt>
                <c:pt idx="45">
                  <c:v>中证万得并购重组指数</c:v>
                </c:pt>
                <c:pt idx="46">
                  <c:v>中证TMT产业主题指数</c:v>
                </c:pt>
                <c:pt idx="47">
                  <c:v>创业板50指数</c:v>
                </c:pt>
                <c:pt idx="48">
                  <c:v>中证万得生物科技指数</c:v>
                </c:pt>
                <c:pt idx="49">
                  <c:v>中证申万传媒行业投资指数</c:v>
                </c:pt>
                <c:pt idx="50">
                  <c:v>中证传媒指数</c:v>
                </c:pt>
                <c:pt idx="51">
                  <c:v>中证智能家居指数</c:v>
                </c:pt>
                <c:pt idx="52">
                  <c:v>中证养老产业指数</c:v>
                </c:pt>
                <c:pt idx="53">
                  <c:v>国证生物医药</c:v>
                </c:pt>
                <c:pt idx="54">
                  <c:v>中证军工指数</c:v>
                </c:pt>
                <c:pt idx="55">
                  <c:v>中证申万医药生物指数</c:v>
                </c:pt>
                <c:pt idx="56">
                  <c:v>中证800制药与生物科技指数</c:v>
                </c:pt>
                <c:pt idx="57">
                  <c:v>中证中航军工主题指数</c:v>
                </c:pt>
                <c:pt idx="58">
                  <c:v>国证医药指数</c:v>
                </c:pt>
                <c:pt idx="59">
                  <c:v>中证国防指数</c:v>
                </c:pt>
                <c:pt idx="60">
                  <c:v>国证食品指数</c:v>
                </c:pt>
                <c:pt idx="61">
                  <c:v>中证酒指数</c:v>
                </c:pt>
                <c:pt idx="62">
                  <c:v>中证白酒指数</c:v>
                </c:pt>
              </c:strCache>
            </c:strRef>
          </c:cat>
          <c:val>
            <c:numRef>
              <c:f>代表指数涨跌!$C$5:$C$67</c:f>
              <c:numCache>
                <c:formatCode>###,###,##0.0000</c:formatCode>
                <c:ptCount val="63"/>
                <c:pt idx="0">
                  <c:v>4.9310894498807434</c:v>
                </c:pt>
                <c:pt idx="1">
                  <c:v>4.4065396802644337</c:v>
                </c:pt>
                <c:pt idx="2">
                  <c:v>2.9045784196952464</c:v>
                </c:pt>
                <c:pt idx="3">
                  <c:v>1.9260026543229891</c:v>
                </c:pt>
                <c:pt idx="4">
                  <c:v>1.241207599547556</c:v>
                </c:pt>
                <c:pt idx="5">
                  <c:v>1.1635635412493572</c:v>
                </c:pt>
                <c:pt idx="6">
                  <c:v>0.97444584438621829</c:v>
                </c:pt>
                <c:pt idx="7">
                  <c:v>0.97431873574653749</c:v>
                </c:pt>
                <c:pt idx="8">
                  <c:v>0.75026312055059852</c:v>
                </c:pt>
                <c:pt idx="9">
                  <c:v>0.6944255308104943</c:v>
                </c:pt>
                <c:pt idx="10">
                  <c:v>0.63012022186883532</c:v>
                </c:pt>
                <c:pt idx="11">
                  <c:v>0.62930705939463483</c:v>
                </c:pt>
                <c:pt idx="12">
                  <c:v>0.34292081492306464</c:v>
                </c:pt>
                <c:pt idx="13">
                  <c:v>0.31116604715240043</c:v>
                </c:pt>
                <c:pt idx="14">
                  <c:v>0.30893012029804556</c:v>
                </c:pt>
                <c:pt idx="15">
                  <c:v>0.29258342441893515</c:v>
                </c:pt>
                <c:pt idx="16">
                  <c:v>0.28985862495061204</c:v>
                </c:pt>
                <c:pt idx="17">
                  <c:v>0.12434368385105812</c:v>
                </c:pt>
                <c:pt idx="18">
                  <c:v>9.5681489092691613E-2</c:v>
                </c:pt>
                <c:pt idx="19">
                  <c:v>6.1290072829578449E-2</c:v>
                </c:pt>
                <c:pt idx="20">
                  <c:v>6.0763111540151918E-2</c:v>
                </c:pt>
                <c:pt idx="21">
                  <c:v>5.0271199333917771E-2</c:v>
                </c:pt>
                <c:pt idx="22">
                  <c:v>4.9336554949608355E-2</c:v>
                </c:pt>
                <c:pt idx="23">
                  <c:v>4.0679754434447282E-2</c:v>
                </c:pt>
                <c:pt idx="24">
                  <c:v>-1.0927323291920482E-2</c:v>
                </c:pt>
                <c:pt idx="25">
                  <c:v>-3.9984662750758293E-2</c:v>
                </c:pt>
                <c:pt idx="26">
                  <c:v>-4.7116979881456397E-2</c:v>
                </c:pt>
                <c:pt idx="27">
                  <c:v>-7.9498279271628142E-2</c:v>
                </c:pt>
                <c:pt idx="28">
                  <c:v>-0.14343253982656023</c:v>
                </c:pt>
                <c:pt idx="29">
                  <c:v>-0.21484353678473683</c:v>
                </c:pt>
                <c:pt idx="30">
                  <c:v>-0.21609767968601146</c:v>
                </c:pt>
                <c:pt idx="31">
                  <c:v>-0.24867410455299288</c:v>
                </c:pt>
                <c:pt idx="32">
                  <c:v>-0.24886778238958351</c:v>
                </c:pt>
                <c:pt idx="33">
                  <c:v>-0.25192117366246175</c:v>
                </c:pt>
                <c:pt idx="34">
                  <c:v>-0.26743299081455352</c:v>
                </c:pt>
                <c:pt idx="35">
                  <c:v>-0.29669396480198618</c:v>
                </c:pt>
                <c:pt idx="36">
                  <c:v>-0.3293206420809105</c:v>
                </c:pt>
                <c:pt idx="37">
                  <c:v>-0.3296030878311208</c:v>
                </c:pt>
                <c:pt idx="38">
                  <c:v>-0.34251747719068487</c:v>
                </c:pt>
                <c:pt idx="39">
                  <c:v>-0.39863503114694332</c:v>
                </c:pt>
                <c:pt idx="40">
                  <c:v>-0.57171410311599469</c:v>
                </c:pt>
                <c:pt idx="41">
                  <c:v>-0.59649110845587661</c:v>
                </c:pt>
                <c:pt idx="42">
                  <c:v>-0.62283716125531852</c:v>
                </c:pt>
                <c:pt idx="43">
                  <c:v>-0.62933115719285859</c:v>
                </c:pt>
                <c:pt idx="44">
                  <c:v>-0.63155744500228428</c:v>
                </c:pt>
                <c:pt idx="45">
                  <c:v>-0.66901192881326788</c:v>
                </c:pt>
                <c:pt idx="46">
                  <c:v>-0.67385524666814312</c:v>
                </c:pt>
                <c:pt idx="47">
                  <c:v>-0.7922914682919947</c:v>
                </c:pt>
                <c:pt idx="48">
                  <c:v>-0.80023436421244842</c:v>
                </c:pt>
                <c:pt idx="49">
                  <c:v>-0.8209076600814047</c:v>
                </c:pt>
                <c:pt idx="50">
                  <c:v>-0.85532028360260082</c:v>
                </c:pt>
                <c:pt idx="51">
                  <c:v>-0.88121763104728168</c:v>
                </c:pt>
                <c:pt idx="52">
                  <c:v>-0.88628738242637617</c:v>
                </c:pt>
                <c:pt idx="53">
                  <c:v>-0.90990025917864203</c:v>
                </c:pt>
                <c:pt idx="54">
                  <c:v>-1.2959240270601238</c:v>
                </c:pt>
                <c:pt idx="55">
                  <c:v>-1.3854336260213262</c:v>
                </c:pt>
                <c:pt idx="56">
                  <c:v>-1.4963628224227921</c:v>
                </c:pt>
                <c:pt idx="57">
                  <c:v>-1.532570111819276</c:v>
                </c:pt>
                <c:pt idx="58">
                  <c:v>-1.5742303534520774</c:v>
                </c:pt>
                <c:pt idx="59">
                  <c:v>-1.6178445807747077</c:v>
                </c:pt>
                <c:pt idx="60">
                  <c:v>-2.266719045280575</c:v>
                </c:pt>
                <c:pt idx="61">
                  <c:v>-3.1184513576446031</c:v>
                </c:pt>
                <c:pt idx="62">
                  <c:v>-3.9902292263694017</c:v>
                </c:pt>
              </c:numCache>
            </c:numRef>
          </c:val>
        </c:ser>
        <c:dLbls>
          <c:showLegendKey val="0"/>
          <c:showVal val="0"/>
          <c:showCatName val="0"/>
          <c:showSerName val="0"/>
          <c:showPercent val="0"/>
          <c:showBubbleSize val="0"/>
        </c:dLbls>
        <c:gapWidth val="219"/>
        <c:overlap val="-27"/>
        <c:axId val="409770336"/>
        <c:axId val="409770896"/>
      </c:barChart>
      <c:catAx>
        <c:axId val="4097703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409770896"/>
        <c:crosses val="autoZero"/>
        <c:auto val="1"/>
        <c:lblAlgn val="ctr"/>
        <c:lblOffset val="100"/>
        <c:noMultiLvlLbl val="0"/>
      </c:catAx>
      <c:valAx>
        <c:axId val="409770896"/>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77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14145514734655"/>
          <c:y val="7.0899129874315181E-2"/>
          <c:w val="0.87625537331910142"/>
          <c:h val="0.53304219183365831"/>
        </c:manualLayout>
      </c:layout>
      <c:lineChart>
        <c:grouping val="standard"/>
        <c:varyColors val="0"/>
        <c:ser>
          <c:idx val="0"/>
          <c:order val="0"/>
          <c:tx>
            <c:strRef>
              <c:f>各利差分级A——图!$B$2</c:f>
              <c:strCache>
                <c:ptCount val="1"/>
                <c:pt idx="0">
                  <c:v>利差为3.0%-3.2%分级A</c:v>
                </c:pt>
              </c:strCache>
            </c:strRef>
          </c:tx>
          <c:spPr>
            <a:ln w="19050" cap="rnd">
              <a:solidFill>
                <a:schemeClr val="accent1"/>
              </a:solidFill>
              <a:round/>
            </a:ln>
            <a:effectLst/>
          </c:spPr>
          <c:marker>
            <c:symbol val="x"/>
            <c:size val="6"/>
            <c:spPr>
              <a:noFill/>
              <a:ln w="9525">
                <a:solidFill>
                  <a:schemeClr val="accent1"/>
                </a:solidFill>
              </a:ln>
              <a:effectLst/>
            </c:spPr>
          </c:marker>
          <c:cat>
            <c:numRef>
              <c:f>各利差分级A——图!$C$1:$G$1</c:f>
              <c:numCache>
                <c:formatCode>yyyy\-m\-d</c:formatCode>
                <c:ptCount val="5"/>
                <c:pt idx="0">
                  <c:v>42583</c:v>
                </c:pt>
                <c:pt idx="1">
                  <c:v>42584</c:v>
                </c:pt>
                <c:pt idx="2">
                  <c:v>42585</c:v>
                </c:pt>
                <c:pt idx="3">
                  <c:v>42586</c:v>
                </c:pt>
                <c:pt idx="4">
                  <c:v>42587</c:v>
                </c:pt>
              </c:numCache>
            </c:numRef>
          </c:cat>
          <c:val>
            <c:numRef>
              <c:f>各利差分级A——图!$C$2:$G$2</c:f>
              <c:numCache>
                <c:formatCode>General</c:formatCode>
                <c:ptCount val="5"/>
                <c:pt idx="0">
                  <c:v>-0.21262850803762054</c:v>
                </c:pt>
                <c:pt idx="1">
                  <c:v>-0.40802294662544686</c:v>
                </c:pt>
                <c:pt idx="2">
                  <c:v>-0.29283564254150846</c:v>
                </c:pt>
                <c:pt idx="3">
                  <c:v>0.15484207445668691</c:v>
                </c:pt>
                <c:pt idx="4">
                  <c:v>0.55558153699508372</c:v>
                </c:pt>
              </c:numCache>
            </c:numRef>
          </c:val>
          <c:smooth val="0"/>
        </c:ser>
        <c:ser>
          <c:idx val="1"/>
          <c:order val="1"/>
          <c:tx>
            <c:strRef>
              <c:f>各利差分级A——图!$B$3</c:f>
              <c:strCache>
                <c:ptCount val="1"/>
                <c:pt idx="0">
                  <c:v>利差为3.5%分级A</c:v>
                </c:pt>
              </c:strCache>
            </c:strRef>
          </c:tx>
          <c:spPr>
            <a:ln w="19050" cap="rnd">
              <a:solidFill>
                <a:schemeClr val="accent2"/>
              </a:solidFill>
              <a:round/>
              <a:headEnd type="none" w="med" len="med"/>
              <a:tailEnd w="lg" len="lg"/>
            </a:ln>
            <a:effectLst/>
          </c:spPr>
          <c:marker>
            <c:symbol val="square"/>
            <c:size val="6"/>
            <c:spPr>
              <a:solidFill>
                <a:schemeClr val="accent2"/>
              </a:solidFill>
              <a:ln w="6350" cap="rnd">
                <a:solidFill>
                  <a:schemeClr val="accent2"/>
                </a:solidFill>
                <a:bevel/>
              </a:ln>
              <a:effectLst/>
            </c:spPr>
          </c:marker>
          <c:dPt>
            <c:idx val="2"/>
            <c:bubble3D val="0"/>
            <c:spPr>
              <a:ln w="19050" cap="sq">
                <a:solidFill>
                  <a:schemeClr val="accent2"/>
                </a:solidFill>
                <a:miter lim="800000"/>
                <a:headEnd type="diamond" w="med" len="med"/>
                <a:tailEnd w="lg" len="lg"/>
              </a:ln>
              <a:effectLst/>
            </c:spPr>
          </c:dPt>
          <c:cat>
            <c:numRef>
              <c:f>各利差分级A——图!$C$1:$G$1</c:f>
              <c:numCache>
                <c:formatCode>yyyy\-m\-d</c:formatCode>
                <c:ptCount val="5"/>
                <c:pt idx="0">
                  <c:v>42583</c:v>
                </c:pt>
                <c:pt idx="1">
                  <c:v>42584</c:v>
                </c:pt>
                <c:pt idx="2">
                  <c:v>42585</c:v>
                </c:pt>
                <c:pt idx="3">
                  <c:v>42586</c:v>
                </c:pt>
                <c:pt idx="4">
                  <c:v>42587</c:v>
                </c:pt>
              </c:numCache>
            </c:numRef>
          </c:cat>
          <c:val>
            <c:numRef>
              <c:f>各利差分级A——图!$C$3:$G$3</c:f>
              <c:numCache>
                <c:formatCode>General</c:formatCode>
                <c:ptCount val="5"/>
                <c:pt idx="0">
                  <c:v>2.2290651368741597E-3</c:v>
                </c:pt>
                <c:pt idx="1">
                  <c:v>-0.30917970465167821</c:v>
                </c:pt>
                <c:pt idx="2">
                  <c:v>-0.4385354586463015</c:v>
                </c:pt>
                <c:pt idx="3">
                  <c:v>-3.9789737889277102E-2</c:v>
                </c:pt>
                <c:pt idx="4">
                  <c:v>0.50721110768743149</c:v>
                </c:pt>
              </c:numCache>
            </c:numRef>
          </c:val>
          <c:smooth val="0"/>
        </c:ser>
        <c:ser>
          <c:idx val="2"/>
          <c:order val="2"/>
          <c:tx>
            <c:strRef>
              <c:f>各利差分级A——图!$B$4</c:f>
              <c:strCache>
                <c:ptCount val="1"/>
                <c:pt idx="0">
                  <c:v>利差为4.0%分级A</c:v>
                </c:pt>
              </c:strCache>
            </c:strRef>
          </c:tx>
          <c:spPr>
            <a:ln w="19050" cap="rnd">
              <a:solidFill>
                <a:schemeClr val="accent3"/>
              </a:solidFill>
              <a:round/>
            </a:ln>
            <a:effectLst/>
          </c:spPr>
          <c:marker>
            <c:symbol val="triangle"/>
            <c:size val="6"/>
            <c:spPr>
              <a:solidFill>
                <a:schemeClr val="accent3"/>
              </a:solidFill>
              <a:ln w="9525">
                <a:solidFill>
                  <a:schemeClr val="accent3"/>
                </a:solidFill>
              </a:ln>
              <a:effectLst/>
            </c:spPr>
          </c:marker>
          <c:cat>
            <c:numRef>
              <c:f>各利差分级A——图!$C$1:$G$1</c:f>
              <c:numCache>
                <c:formatCode>yyyy\-m\-d</c:formatCode>
                <c:ptCount val="5"/>
                <c:pt idx="0">
                  <c:v>42583</c:v>
                </c:pt>
                <c:pt idx="1">
                  <c:v>42584</c:v>
                </c:pt>
                <c:pt idx="2">
                  <c:v>42585</c:v>
                </c:pt>
                <c:pt idx="3">
                  <c:v>42586</c:v>
                </c:pt>
                <c:pt idx="4">
                  <c:v>42587</c:v>
                </c:pt>
              </c:numCache>
            </c:numRef>
          </c:cat>
          <c:val>
            <c:numRef>
              <c:f>各利差分级A——图!$C$4:$G$4</c:f>
              <c:numCache>
                <c:formatCode>General</c:formatCode>
                <c:ptCount val="5"/>
                <c:pt idx="0">
                  <c:v>-0.22691391400142738</c:v>
                </c:pt>
                <c:pt idx="1">
                  <c:v>-0.28839685959995498</c:v>
                </c:pt>
                <c:pt idx="2">
                  <c:v>-9.2710021770095893E-2</c:v>
                </c:pt>
                <c:pt idx="3">
                  <c:v>0.39362387254673381</c:v>
                </c:pt>
                <c:pt idx="4">
                  <c:v>0.82162143142185451</c:v>
                </c:pt>
              </c:numCache>
            </c:numRef>
          </c:val>
          <c:smooth val="0"/>
        </c:ser>
        <c:ser>
          <c:idx val="3"/>
          <c:order val="3"/>
          <c:tx>
            <c:strRef>
              <c:f>各利差分级A——图!$B$5</c:f>
              <c:strCache>
                <c:ptCount val="1"/>
                <c:pt idx="0">
                  <c:v>利差为4.5%-5.0%分级A</c:v>
                </c:pt>
              </c:strCache>
            </c:strRef>
          </c:tx>
          <c:spPr>
            <a:ln w="19050" cap="rnd">
              <a:solidFill>
                <a:schemeClr val="accent4"/>
              </a:solidFill>
              <a:round/>
            </a:ln>
            <a:effectLst/>
          </c:spPr>
          <c:marker>
            <c:symbol val="diamond"/>
            <c:size val="6"/>
            <c:spPr>
              <a:solidFill>
                <a:schemeClr val="accent4"/>
              </a:solidFill>
              <a:ln w="9525">
                <a:solidFill>
                  <a:schemeClr val="accent4"/>
                </a:solidFill>
              </a:ln>
              <a:effectLst/>
            </c:spPr>
          </c:marker>
          <c:cat>
            <c:numRef>
              <c:f>各利差分级A——图!$C$1:$G$1</c:f>
              <c:numCache>
                <c:formatCode>yyyy\-m\-d</c:formatCode>
                <c:ptCount val="5"/>
                <c:pt idx="0">
                  <c:v>42583</c:v>
                </c:pt>
                <c:pt idx="1">
                  <c:v>42584</c:v>
                </c:pt>
                <c:pt idx="2">
                  <c:v>42585</c:v>
                </c:pt>
                <c:pt idx="3">
                  <c:v>42586</c:v>
                </c:pt>
                <c:pt idx="4">
                  <c:v>42587</c:v>
                </c:pt>
              </c:numCache>
            </c:numRef>
          </c:cat>
          <c:val>
            <c:numRef>
              <c:f>各利差分级A——图!$C$5:$G$5</c:f>
              <c:numCache>
                <c:formatCode>General</c:formatCode>
                <c:ptCount val="5"/>
                <c:pt idx="0">
                  <c:v>-0.27203993983435226</c:v>
                </c:pt>
                <c:pt idx="1">
                  <c:v>-0.93977636262689646</c:v>
                </c:pt>
                <c:pt idx="2">
                  <c:v>-1.1168848623803287</c:v>
                </c:pt>
                <c:pt idx="3">
                  <c:v>-0.66574865655746374</c:v>
                </c:pt>
                <c:pt idx="4">
                  <c:v>-0.33754826404281507</c:v>
                </c:pt>
              </c:numCache>
            </c:numRef>
          </c:val>
          <c:smooth val="0"/>
        </c:ser>
        <c:dLbls>
          <c:showLegendKey val="0"/>
          <c:showVal val="0"/>
          <c:showCatName val="0"/>
          <c:showSerName val="0"/>
          <c:showPercent val="0"/>
          <c:showBubbleSize val="0"/>
        </c:dLbls>
        <c:marker val="1"/>
        <c:smooth val="0"/>
        <c:axId val="409774816"/>
        <c:axId val="409775376"/>
      </c:lineChart>
      <c:dateAx>
        <c:axId val="409774816"/>
        <c:scaling>
          <c:orientation val="minMax"/>
        </c:scaling>
        <c:delete val="0"/>
        <c:axPos val="b"/>
        <c:numFmt formatCode="yyyy\-m\-d"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775376"/>
        <c:crosses val="autoZero"/>
        <c:auto val="1"/>
        <c:lblOffset val="100"/>
        <c:baseTimeUnit val="days"/>
      </c:dateAx>
      <c:valAx>
        <c:axId val="40977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77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2"/>
          <c:order val="2"/>
          <c:tx>
            <c:strRef>
              <c:f>隐含收益率与十年期企业债走势!$B$4</c:f>
              <c:strCache>
                <c:ptCount val="1"/>
                <c:pt idx="0">
                  <c:v>利差</c:v>
                </c:pt>
              </c:strCache>
            </c:strRef>
          </c:tx>
          <c:spPr>
            <a:solidFill>
              <a:schemeClr val="accent6"/>
            </a:solidFill>
            <a:ln>
              <a:noFill/>
            </a:ln>
            <a:effectLst/>
          </c:spPr>
          <c:cat>
            <c:numRef>
              <c:f>隐含收益率与十年期企业债走势!$C$1:$P$1</c:f>
              <c:numCache>
                <c:formatCode>yyyy\-mm\-dd</c:formatCode>
                <c:ptCount val="14"/>
                <c:pt idx="0">
                  <c:v>42496</c:v>
                </c:pt>
                <c:pt idx="1">
                  <c:v>42503</c:v>
                </c:pt>
                <c:pt idx="2">
                  <c:v>42510</c:v>
                </c:pt>
                <c:pt idx="3">
                  <c:v>42517</c:v>
                </c:pt>
                <c:pt idx="4">
                  <c:v>42524</c:v>
                </c:pt>
                <c:pt idx="5">
                  <c:v>42529</c:v>
                </c:pt>
                <c:pt idx="6">
                  <c:v>42538</c:v>
                </c:pt>
                <c:pt idx="7">
                  <c:v>42545</c:v>
                </c:pt>
                <c:pt idx="8">
                  <c:v>42552</c:v>
                </c:pt>
                <c:pt idx="9" formatCode="yyyy/m/d">
                  <c:v>42559</c:v>
                </c:pt>
                <c:pt idx="10" formatCode="yyyy/m/d">
                  <c:v>42566</c:v>
                </c:pt>
                <c:pt idx="11" formatCode="yyyy/m/d">
                  <c:v>42573</c:v>
                </c:pt>
                <c:pt idx="12" formatCode="yyyy/m/d">
                  <c:v>42580</c:v>
                </c:pt>
                <c:pt idx="13" formatCode="yyyy/m/d">
                  <c:v>42587</c:v>
                </c:pt>
              </c:numCache>
            </c:numRef>
          </c:cat>
          <c:val>
            <c:numRef>
              <c:f>隐含收益率与十年期企业债走势!$C$4:$P$4</c:f>
              <c:numCache>
                <c:formatCode>0.000000000000000_ </c:formatCode>
                <c:ptCount val="14"/>
                <c:pt idx="0">
                  <c:v>0.22426109251452173</c:v>
                </c:pt>
                <c:pt idx="1">
                  <c:v>0.36701002234344338</c:v>
                </c:pt>
                <c:pt idx="2">
                  <c:v>0.3094826868771679</c:v>
                </c:pt>
                <c:pt idx="3">
                  <c:v>0.33154861017741255</c:v>
                </c:pt>
                <c:pt idx="4">
                  <c:v>0.3137608872593563</c:v>
                </c:pt>
                <c:pt idx="5">
                  <c:v>0.31037018634571223</c:v>
                </c:pt>
                <c:pt idx="6">
                  <c:v>0.40870250663596952</c:v>
                </c:pt>
                <c:pt idx="7">
                  <c:v>0.3973186704612009</c:v>
                </c:pt>
                <c:pt idx="8">
                  <c:v>0.41339106846926932</c:v>
                </c:pt>
                <c:pt idx="9">
                  <c:v>0.5669999999999995</c:v>
                </c:pt>
                <c:pt idx="10">
                  <c:v>0.56949798058951839</c:v>
                </c:pt>
                <c:pt idx="11">
                  <c:v>0.70881510904139944</c:v>
                </c:pt>
                <c:pt idx="12">
                  <c:v>0.69590000000000019</c:v>
                </c:pt>
                <c:pt idx="13">
                  <c:v>0.72209999999999974</c:v>
                </c:pt>
              </c:numCache>
            </c:numRef>
          </c:val>
        </c:ser>
        <c:dLbls>
          <c:showLegendKey val="0"/>
          <c:showVal val="0"/>
          <c:showCatName val="0"/>
          <c:showSerName val="0"/>
          <c:showPercent val="0"/>
          <c:showBubbleSize val="0"/>
        </c:dLbls>
        <c:axId val="409780416"/>
        <c:axId val="409779856"/>
      </c:areaChart>
      <c:lineChart>
        <c:grouping val="standard"/>
        <c:varyColors val="0"/>
        <c:ser>
          <c:idx val="0"/>
          <c:order val="0"/>
          <c:tx>
            <c:strRef>
              <c:f>隐含收益率与十年期企业债走势!$B$2</c:f>
              <c:strCache>
                <c:ptCount val="1"/>
                <c:pt idx="0">
                  <c:v>平均隐含收益率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隐含收益率与十年期企业债走势!$C$1:$P$1</c:f>
              <c:numCache>
                <c:formatCode>yyyy\-mm\-dd</c:formatCode>
                <c:ptCount val="14"/>
                <c:pt idx="0">
                  <c:v>42496</c:v>
                </c:pt>
                <c:pt idx="1">
                  <c:v>42503</c:v>
                </c:pt>
                <c:pt idx="2">
                  <c:v>42510</c:v>
                </c:pt>
                <c:pt idx="3">
                  <c:v>42517</c:v>
                </c:pt>
                <c:pt idx="4">
                  <c:v>42524</c:v>
                </c:pt>
                <c:pt idx="5">
                  <c:v>42529</c:v>
                </c:pt>
                <c:pt idx="6">
                  <c:v>42538</c:v>
                </c:pt>
                <c:pt idx="7">
                  <c:v>42545</c:v>
                </c:pt>
                <c:pt idx="8">
                  <c:v>42552</c:v>
                </c:pt>
                <c:pt idx="9" formatCode="yyyy/m/d">
                  <c:v>42559</c:v>
                </c:pt>
                <c:pt idx="10" formatCode="yyyy/m/d">
                  <c:v>42566</c:v>
                </c:pt>
                <c:pt idx="11" formatCode="yyyy/m/d">
                  <c:v>42573</c:v>
                </c:pt>
                <c:pt idx="12" formatCode="yyyy/m/d">
                  <c:v>42580</c:v>
                </c:pt>
                <c:pt idx="13" formatCode="yyyy/m/d">
                  <c:v>42587</c:v>
                </c:pt>
              </c:numCache>
            </c:numRef>
          </c:cat>
          <c:val>
            <c:numRef>
              <c:f>隐含收益率与十年期企业债走势!$C$2:$P$2</c:f>
              <c:numCache>
                <c:formatCode>General</c:formatCode>
                <c:ptCount val="14"/>
                <c:pt idx="0">
                  <c:v>4.8517610925145256</c:v>
                </c:pt>
                <c:pt idx="1">
                  <c:v>4.8710100223434427</c:v>
                </c:pt>
                <c:pt idx="2">
                  <c:v>4.8595826868771672</c:v>
                </c:pt>
                <c:pt idx="3">
                  <c:v>4.8553486101774102</c:v>
                </c:pt>
                <c:pt idx="4">
                  <c:v>4.8219608872593565</c:v>
                </c:pt>
                <c:pt idx="5">
                  <c:v>4.8147701863457097</c:v>
                </c:pt>
                <c:pt idx="6">
                  <c:v>4.8172025066359678</c:v>
                </c:pt>
                <c:pt idx="7">
                  <c:v>4.7576186704611985</c:v>
                </c:pt>
                <c:pt idx="8">
                  <c:v>4.7359910684692696</c:v>
                </c:pt>
                <c:pt idx="9" formatCode="###,###,###,###,##0.0000_ ">
                  <c:v>4.7711000000000015</c:v>
                </c:pt>
                <c:pt idx="10" formatCode="0.0000">
                  <c:v>4.7612979805895197</c:v>
                </c:pt>
                <c:pt idx="11" formatCode="0.0000">
                  <c:v>4.7329151090413975</c:v>
                </c:pt>
                <c:pt idx="12">
                  <c:v>4.7046999999999999</c:v>
                </c:pt>
                <c:pt idx="13">
                  <c:v>4.687599999999998</c:v>
                </c:pt>
              </c:numCache>
            </c:numRef>
          </c:val>
          <c:smooth val="0"/>
        </c:ser>
        <c:ser>
          <c:idx val="1"/>
          <c:order val="1"/>
          <c:tx>
            <c:strRef>
              <c:f>隐含收益率与十年期企业债走势!$B$3</c:f>
              <c:strCache>
                <c:ptCount val="1"/>
                <c:pt idx="0">
                  <c:v>10年期AA+企业债利率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隐含收益率与十年期企业债走势!$C$1:$P$1</c:f>
              <c:numCache>
                <c:formatCode>yyyy\-mm\-dd</c:formatCode>
                <c:ptCount val="14"/>
                <c:pt idx="0">
                  <c:v>42496</c:v>
                </c:pt>
                <c:pt idx="1">
                  <c:v>42503</c:v>
                </c:pt>
                <c:pt idx="2">
                  <c:v>42510</c:v>
                </c:pt>
                <c:pt idx="3">
                  <c:v>42517</c:v>
                </c:pt>
                <c:pt idx="4">
                  <c:v>42524</c:v>
                </c:pt>
                <c:pt idx="5">
                  <c:v>42529</c:v>
                </c:pt>
                <c:pt idx="6">
                  <c:v>42538</c:v>
                </c:pt>
                <c:pt idx="7">
                  <c:v>42545</c:v>
                </c:pt>
                <c:pt idx="8">
                  <c:v>42552</c:v>
                </c:pt>
                <c:pt idx="9" formatCode="yyyy/m/d">
                  <c:v>42559</c:v>
                </c:pt>
                <c:pt idx="10" formatCode="yyyy/m/d">
                  <c:v>42566</c:v>
                </c:pt>
                <c:pt idx="11" formatCode="yyyy/m/d">
                  <c:v>42573</c:v>
                </c:pt>
                <c:pt idx="12" formatCode="yyyy/m/d">
                  <c:v>42580</c:v>
                </c:pt>
                <c:pt idx="13" formatCode="yyyy/m/d">
                  <c:v>42587</c:v>
                </c:pt>
              </c:numCache>
            </c:numRef>
          </c:cat>
          <c:val>
            <c:numRef>
              <c:f>隐含收益率与十年期企业债走势!$C$3:$P$3</c:f>
              <c:numCache>
                <c:formatCode>###,###,###,###,##0.0000_ </c:formatCode>
                <c:ptCount val="14"/>
                <c:pt idx="0">
                  <c:v>4.6274999999999977</c:v>
                </c:pt>
                <c:pt idx="1">
                  <c:v>4.5039999999999996</c:v>
                </c:pt>
                <c:pt idx="2">
                  <c:v>4.5500999999999996</c:v>
                </c:pt>
                <c:pt idx="3">
                  <c:v>4.5237999999999996</c:v>
                </c:pt>
                <c:pt idx="4">
                  <c:v>4.5082000000000004</c:v>
                </c:pt>
                <c:pt idx="5">
                  <c:v>4.5043999999999995</c:v>
                </c:pt>
                <c:pt idx="6">
                  <c:v>4.4085000000000001</c:v>
                </c:pt>
                <c:pt idx="7">
                  <c:v>4.3602999999999996</c:v>
                </c:pt>
                <c:pt idx="8">
                  <c:v>4.3225999999999987</c:v>
                </c:pt>
                <c:pt idx="9">
                  <c:v>4.2040999999999995</c:v>
                </c:pt>
                <c:pt idx="10">
                  <c:v>4.1917999999999997</c:v>
                </c:pt>
                <c:pt idx="11">
                  <c:v>4.024099999999998</c:v>
                </c:pt>
                <c:pt idx="12">
                  <c:v>4.0087999999999999</c:v>
                </c:pt>
                <c:pt idx="13">
                  <c:v>3.9655</c:v>
                </c:pt>
              </c:numCache>
            </c:numRef>
          </c:val>
          <c:smooth val="0"/>
        </c:ser>
        <c:dLbls>
          <c:showLegendKey val="0"/>
          <c:showVal val="0"/>
          <c:showCatName val="0"/>
          <c:showSerName val="0"/>
          <c:showPercent val="0"/>
          <c:showBubbleSize val="0"/>
        </c:dLbls>
        <c:marker val="1"/>
        <c:smooth val="0"/>
        <c:axId val="409778736"/>
        <c:axId val="409779296"/>
      </c:lineChart>
      <c:dateAx>
        <c:axId val="409778736"/>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779296"/>
        <c:crosses val="autoZero"/>
        <c:auto val="1"/>
        <c:lblOffset val="100"/>
        <c:baseTimeUnit val="days"/>
        <c:majorUnit val="15"/>
        <c:majorTimeUnit val="days"/>
      </c:dateAx>
      <c:valAx>
        <c:axId val="409779296"/>
        <c:scaling>
          <c:orientation val="minMax"/>
          <c:min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778736"/>
        <c:crosses val="autoZero"/>
        <c:crossBetween val="between"/>
      </c:valAx>
      <c:valAx>
        <c:axId val="409779856"/>
        <c:scaling>
          <c:orientation val="minMax"/>
        </c:scaling>
        <c:delete val="0"/>
        <c:axPos val="r"/>
        <c:numFmt formatCode="#,##0.00_);[Red]\(#,##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9780416"/>
        <c:crosses val="max"/>
        <c:crossBetween val="between"/>
      </c:valAx>
      <c:dateAx>
        <c:axId val="409780416"/>
        <c:scaling>
          <c:orientation val="minMax"/>
        </c:scaling>
        <c:delete val="1"/>
        <c:axPos val="b"/>
        <c:numFmt formatCode="yyyy\-mm\-dd" sourceLinked="1"/>
        <c:majorTickMark val="out"/>
        <c:minorTickMark val="none"/>
        <c:tickLblPos val="nextTo"/>
        <c:crossAx val="409779856"/>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noFill/>
      <a:round/>
    </a:ln>
    <a:effectLst/>
  </c:spPr>
  <c:txPr>
    <a:bodyPr/>
    <a:lstStyle/>
    <a:p>
      <a:pPr>
        <a:defRPr/>
      </a:pPr>
      <a:endParaRPr lang="zh-CN"/>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0.05534</cdr:x>
      <cdr:y>0.1007</cdr:y>
    </cdr:from>
    <cdr:to>
      <cdr:x>0.09881</cdr:x>
      <cdr:y>0.40973</cdr:y>
    </cdr:to>
    <cdr:sp macro="" textlink="">
      <cdr:nvSpPr>
        <cdr:cNvPr id="4" name="TextBox 3"/>
        <cdr:cNvSpPr txBox="1"/>
      </cdr:nvSpPr>
      <cdr:spPr>
        <a:xfrm xmlns:a="http://schemas.openxmlformats.org/drawingml/2006/main">
          <a:off x="266722" y="276228"/>
          <a:ext cx="209510" cy="84773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CN" altLang="en-US" sz="11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498</TotalTime>
  <Pages>1</Pages>
  <Words>720</Words>
  <Characters>4109</Characters>
  <Application>Microsoft Office Word</Application>
  <DocSecurity>0</DocSecurity>
  <Lines>34</Lines>
  <Paragraphs>9</Paragraphs>
  <ScaleCrop>false</ScaleCrop>
  <Company>Microsoft</Company>
  <LinksUpToDate>false</LinksUpToDate>
  <CharactersWithSpaces>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闻嘉琦:会签部门全体人员</dc:creator>
  <cp:keywords/>
  <dc:description/>
  <cp:lastModifiedBy>闻嘉琦</cp:lastModifiedBy>
  <cp:revision>30</cp:revision>
  <cp:lastPrinted>2016-08-01T07:27:00Z</cp:lastPrinted>
  <dcterms:created xsi:type="dcterms:W3CDTF">2016-07-25T05:23:00Z</dcterms:created>
  <dcterms:modified xsi:type="dcterms:W3CDTF">2016-08-08T08:09:00Z</dcterms:modified>
</cp:coreProperties>
</file>