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37" w:tblpY="-2188"/>
        <w:tblW w:w="0" w:type="auto"/>
        <w:shd w:val="clear" w:color="auto" w:fill="E0E0E0"/>
        <w:tblLayout w:type="fixed"/>
        <w:tblLook w:val="01E0" w:firstRow="1" w:lastRow="1" w:firstColumn="1" w:lastColumn="1" w:noHBand="0" w:noVBand="0"/>
      </w:tblPr>
      <w:tblGrid>
        <w:gridCol w:w="468"/>
        <w:gridCol w:w="540"/>
        <w:gridCol w:w="2786"/>
      </w:tblGrid>
      <w:tr w:rsidR="00C23472" w:rsidRPr="003C7187" w:rsidTr="00F4224C">
        <w:trPr>
          <w:trHeight w:val="284"/>
        </w:trPr>
        <w:tc>
          <w:tcPr>
            <w:tcW w:w="468" w:type="dxa"/>
            <w:shd w:val="clear" w:color="auto" w:fill="CDD7FA"/>
          </w:tcPr>
          <w:p w:rsidR="00C23472" w:rsidRPr="003C7187" w:rsidRDefault="00FD7F4F" w:rsidP="001357B7">
            <w:pPr>
              <w:rPr>
                <w:rFonts w:ascii="楷体_GB2312" w:eastAsia="楷体_GB2312" w:hAnsi="楷体"/>
                <w:b/>
                <w:color w:val="003366"/>
              </w:rPr>
            </w:pPr>
            <w:bookmarkStart w:id="0" w:name="_GoBack"/>
            <w:bookmarkEnd w:id="0"/>
            <w:r>
              <w:rPr>
                <w:rFonts w:ascii="楷体_GB2312" w:eastAsia="楷体_GB2312" w:hAnsi="楷体" w:hint="eastAsia"/>
                <w:b/>
                <w:color w:val="003366"/>
              </w:rPr>
              <w:t xml:space="preserve"> </w:t>
            </w:r>
          </w:p>
        </w:tc>
        <w:tc>
          <w:tcPr>
            <w:tcW w:w="3326" w:type="dxa"/>
            <w:gridSpan w:val="2"/>
            <w:vMerge w:val="restart"/>
            <w:shd w:val="clear" w:color="auto" w:fill="CDD7FA"/>
            <w:vAlign w:val="center"/>
          </w:tcPr>
          <w:p w:rsidR="00C23472" w:rsidRPr="003C7187" w:rsidRDefault="00C23472" w:rsidP="00CF5B8E">
            <w:pPr>
              <w:rPr>
                <w:rFonts w:ascii="楷体_GB2312" w:eastAsia="楷体_GB2312" w:hAnsi="楷体"/>
                <w:b/>
                <w:color w:val="003366"/>
              </w:rPr>
            </w:pPr>
          </w:p>
        </w:tc>
      </w:tr>
      <w:tr w:rsidR="00C23472" w:rsidRPr="003C7187" w:rsidTr="00F4224C">
        <w:trPr>
          <w:trHeight w:val="284"/>
        </w:trPr>
        <w:tc>
          <w:tcPr>
            <w:tcW w:w="468" w:type="dxa"/>
            <w:shd w:val="clear" w:color="auto" w:fill="CDD7FA"/>
          </w:tcPr>
          <w:p w:rsidR="00C23472" w:rsidRPr="003C7187" w:rsidRDefault="00C23472" w:rsidP="001357B7">
            <w:pPr>
              <w:rPr>
                <w:rFonts w:ascii="楷体_GB2312" w:eastAsia="楷体_GB2312" w:hAnsi="楷体"/>
                <w:b/>
                <w:color w:val="003366"/>
              </w:rPr>
            </w:pPr>
          </w:p>
        </w:tc>
        <w:tc>
          <w:tcPr>
            <w:tcW w:w="3326" w:type="dxa"/>
            <w:gridSpan w:val="2"/>
            <w:vMerge/>
            <w:shd w:val="clear" w:color="auto" w:fill="CDD7FA"/>
          </w:tcPr>
          <w:p w:rsidR="00C23472" w:rsidRPr="003C7187" w:rsidRDefault="00C23472" w:rsidP="001357B7">
            <w:pPr>
              <w:rPr>
                <w:rFonts w:ascii="楷体_GB2312" w:eastAsia="楷体_GB2312" w:hAnsi="楷体"/>
                <w:b/>
                <w:color w:val="003366"/>
              </w:rPr>
            </w:pPr>
          </w:p>
        </w:tc>
      </w:tr>
      <w:tr w:rsidR="00603E88" w:rsidRPr="003C7187" w:rsidTr="00F4224C">
        <w:trPr>
          <w:trHeight w:val="940"/>
        </w:trPr>
        <w:tc>
          <w:tcPr>
            <w:tcW w:w="468" w:type="dxa"/>
            <w:shd w:val="clear" w:color="auto" w:fill="CDD7FA"/>
          </w:tcPr>
          <w:p w:rsidR="00603E88" w:rsidRPr="003C7187" w:rsidRDefault="00603E88" w:rsidP="001357B7">
            <w:pPr>
              <w:rPr>
                <w:rFonts w:ascii="楷体_GB2312" w:eastAsia="楷体_GB2312" w:hAnsi="楷体"/>
                <w:b/>
                <w:color w:val="003366"/>
              </w:rPr>
            </w:pPr>
          </w:p>
        </w:tc>
        <w:tc>
          <w:tcPr>
            <w:tcW w:w="3326" w:type="dxa"/>
            <w:gridSpan w:val="2"/>
            <w:shd w:val="clear" w:color="auto" w:fill="CDD7FA"/>
          </w:tcPr>
          <w:p w:rsidR="00603E88" w:rsidRPr="003C7187" w:rsidRDefault="006E1624" w:rsidP="001357B7">
            <w:pPr>
              <w:spacing w:line="360" w:lineRule="auto"/>
              <w:rPr>
                <w:rFonts w:ascii="楷体_GB2312" w:eastAsia="楷体_GB2312" w:hAnsi="楷体"/>
                <w:noProof/>
              </w:rPr>
            </w:pPr>
            <w:r w:rsidRPr="003C7187">
              <w:rPr>
                <w:rFonts w:ascii="楷体_GB2312" w:eastAsia="楷体_GB2312" w:hAnsi="楷体" w:hint="eastAsia"/>
                <w:noProof/>
              </w:rPr>
              <w:drawing>
                <wp:anchor distT="0" distB="0" distL="114300" distR="114300" simplePos="0" relativeHeight="251656192" behindDoc="0" locked="0" layoutInCell="1" allowOverlap="1" wp14:anchorId="23475BEE" wp14:editId="039E7C27">
                  <wp:simplePos x="0" y="0"/>
                  <wp:positionH relativeFrom="column">
                    <wp:posOffset>78740</wp:posOffset>
                  </wp:positionH>
                  <wp:positionV relativeFrom="paragraph">
                    <wp:posOffset>125095</wp:posOffset>
                  </wp:positionV>
                  <wp:extent cx="1828800" cy="871855"/>
                  <wp:effectExtent l="0" t="0" r="0" b="0"/>
                  <wp:wrapNone/>
                  <wp:docPr id="27"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1"/>
                          <pic:cNvPicPr>
                            <a:picLocks noChangeAspect="1" noChangeArrowheads="1"/>
                          </pic:cNvPicPr>
                        </pic:nvPicPr>
                        <pic:blipFill>
                          <a:blip r:embed="rId8" cstate="print">
                            <a:clrChange>
                              <a:clrFrom>
                                <a:srgbClr val="D2D2FF"/>
                              </a:clrFrom>
                              <a:clrTo>
                                <a:srgbClr val="D2D2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871855"/>
                          </a:xfrm>
                          <a:prstGeom prst="rect">
                            <a:avLst/>
                          </a:prstGeom>
                          <a:noFill/>
                          <a:ln>
                            <a:noFill/>
                          </a:ln>
                        </pic:spPr>
                      </pic:pic>
                    </a:graphicData>
                  </a:graphic>
                </wp:anchor>
              </w:drawing>
            </w:r>
          </w:p>
        </w:tc>
      </w:tr>
      <w:tr w:rsidR="00603E88" w:rsidRPr="003C7187" w:rsidTr="00F4224C">
        <w:trPr>
          <w:trHeight w:hRule="exact" w:val="284"/>
        </w:trPr>
        <w:tc>
          <w:tcPr>
            <w:tcW w:w="468" w:type="dxa"/>
            <w:shd w:val="clear" w:color="auto" w:fill="CDD7FA"/>
          </w:tcPr>
          <w:p w:rsidR="00603E88" w:rsidRPr="003C7187" w:rsidRDefault="00603E88" w:rsidP="001357B7">
            <w:pPr>
              <w:rPr>
                <w:rFonts w:ascii="楷体_GB2312" w:eastAsia="楷体_GB2312" w:hAnsi="楷体"/>
                <w:b/>
                <w:color w:val="003366"/>
              </w:rPr>
            </w:pPr>
          </w:p>
        </w:tc>
        <w:tc>
          <w:tcPr>
            <w:tcW w:w="540" w:type="dxa"/>
            <w:shd w:val="clear" w:color="auto" w:fill="CDD7FA"/>
          </w:tcPr>
          <w:p w:rsidR="00603E88" w:rsidRPr="003C7187" w:rsidRDefault="00603E88" w:rsidP="001357B7">
            <w:pPr>
              <w:jc w:val="left"/>
              <w:rPr>
                <w:rFonts w:ascii="楷体_GB2312" w:eastAsia="楷体_GB2312" w:hAnsi="楷体"/>
                <w:b/>
                <w:color w:val="003366"/>
              </w:rPr>
            </w:pPr>
          </w:p>
        </w:tc>
        <w:tc>
          <w:tcPr>
            <w:tcW w:w="2786" w:type="dxa"/>
            <w:shd w:val="clear" w:color="auto" w:fill="CDD7FA"/>
          </w:tcPr>
          <w:p w:rsidR="00603E88" w:rsidRPr="003C7187" w:rsidRDefault="00603E88" w:rsidP="001357B7">
            <w:pPr>
              <w:rPr>
                <w:rFonts w:ascii="楷体_GB2312" w:eastAsia="楷体_GB2312" w:hAnsi="楷体"/>
                <w:b/>
                <w:color w:val="003366"/>
              </w:rPr>
            </w:pPr>
          </w:p>
        </w:tc>
      </w:tr>
      <w:tr w:rsidR="00603E88" w:rsidRPr="003C7187" w:rsidTr="00F4224C">
        <w:trPr>
          <w:trHeight w:hRule="exact" w:val="284"/>
        </w:trPr>
        <w:tc>
          <w:tcPr>
            <w:tcW w:w="468" w:type="dxa"/>
            <w:shd w:val="clear" w:color="auto" w:fill="CDD7FA"/>
          </w:tcPr>
          <w:p w:rsidR="00603E88" w:rsidRPr="003C7187" w:rsidRDefault="00603E88" w:rsidP="001357B7">
            <w:pPr>
              <w:rPr>
                <w:rFonts w:ascii="楷体_GB2312" w:eastAsia="楷体_GB2312" w:hAnsi="楷体"/>
                <w:b/>
                <w:color w:val="003366"/>
              </w:rPr>
            </w:pPr>
          </w:p>
        </w:tc>
        <w:tc>
          <w:tcPr>
            <w:tcW w:w="540" w:type="dxa"/>
            <w:shd w:val="clear" w:color="auto" w:fill="CDD7FA"/>
          </w:tcPr>
          <w:p w:rsidR="00603E88" w:rsidRPr="003C7187" w:rsidRDefault="00603E88" w:rsidP="001357B7">
            <w:pPr>
              <w:jc w:val="left"/>
              <w:rPr>
                <w:rFonts w:ascii="楷体_GB2312" w:eastAsia="楷体_GB2312" w:hAnsi="楷体"/>
                <w:b/>
                <w:color w:val="003366"/>
              </w:rPr>
            </w:pPr>
          </w:p>
        </w:tc>
        <w:tc>
          <w:tcPr>
            <w:tcW w:w="2786" w:type="dxa"/>
            <w:shd w:val="clear" w:color="auto" w:fill="CDD7FA"/>
          </w:tcPr>
          <w:p w:rsidR="00603E88" w:rsidRPr="003C7187" w:rsidRDefault="00603E88" w:rsidP="00394675">
            <w:pPr>
              <w:rPr>
                <w:rFonts w:ascii="楷体_GB2312" w:eastAsia="楷体_GB2312" w:hAnsi="楷体"/>
                <w:b/>
                <w:color w:val="003366"/>
              </w:rPr>
            </w:pPr>
          </w:p>
        </w:tc>
      </w:tr>
      <w:tr w:rsidR="00603E88" w:rsidRPr="003C7187" w:rsidTr="00F4224C">
        <w:trPr>
          <w:trHeight w:hRule="exact" w:val="284"/>
        </w:trPr>
        <w:tc>
          <w:tcPr>
            <w:tcW w:w="468" w:type="dxa"/>
            <w:shd w:val="clear" w:color="auto" w:fill="CDD7FA"/>
          </w:tcPr>
          <w:p w:rsidR="00603E88" w:rsidRPr="003C7187" w:rsidRDefault="00603E88" w:rsidP="001357B7">
            <w:pPr>
              <w:rPr>
                <w:rFonts w:ascii="楷体_GB2312" w:eastAsia="楷体_GB2312" w:hAnsi="楷体"/>
                <w:b/>
                <w:color w:val="003366"/>
              </w:rPr>
            </w:pPr>
          </w:p>
        </w:tc>
        <w:tc>
          <w:tcPr>
            <w:tcW w:w="540" w:type="dxa"/>
            <w:shd w:val="clear" w:color="auto" w:fill="CDD7FA"/>
          </w:tcPr>
          <w:p w:rsidR="00603E88" w:rsidRPr="003C7187" w:rsidRDefault="00603E88" w:rsidP="001357B7">
            <w:pPr>
              <w:jc w:val="left"/>
              <w:rPr>
                <w:rFonts w:ascii="楷体_GB2312" w:eastAsia="楷体_GB2312" w:hAnsi="楷体"/>
                <w:b/>
                <w:color w:val="003366"/>
              </w:rPr>
            </w:pPr>
          </w:p>
        </w:tc>
        <w:tc>
          <w:tcPr>
            <w:tcW w:w="2786" w:type="dxa"/>
            <w:shd w:val="clear" w:color="auto" w:fill="CDD7FA"/>
          </w:tcPr>
          <w:p w:rsidR="00603E88" w:rsidRPr="003C7187" w:rsidRDefault="00603E88" w:rsidP="001357B7">
            <w:pPr>
              <w:rPr>
                <w:rFonts w:ascii="楷体_GB2312" w:eastAsia="楷体_GB2312" w:hAnsi="楷体"/>
                <w:b/>
                <w:color w:val="003366"/>
              </w:rPr>
            </w:pPr>
          </w:p>
        </w:tc>
      </w:tr>
      <w:tr w:rsidR="00D00A28" w:rsidRPr="003C7187" w:rsidTr="00F4224C">
        <w:trPr>
          <w:trHeight w:hRule="exact" w:val="284"/>
        </w:trPr>
        <w:tc>
          <w:tcPr>
            <w:tcW w:w="468" w:type="dxa"/>
            <w:shd w:val="clear" w:color="auto" w:fill="CDD7FA"/>
          </w:tcPr>
          <w:p w:rsidR="00D00A28" w:rsidRPr="003C7187" w:rsidRDefault="00D00A28" w:rsidP="001357B7">
            <w:pPr>
              <w:rPr>
                <w:rFonts w:ascii="楷体_GB2312" w:eastAsia="楷体_GB2312" w:hAnsi="楷体"/>
                <w:b/>
                <w:color w:val="003366"/>
              </w:rPr>
            </w:pPr>
          </w:p>
        </w:tc>
        <w:tc>
          <w:tcPr>
            <w:tcW w:w="540" w:type="dxa"/>
            <w:shd w:val="clear" w:color="auto" w:fill="CDD7FA"/>
          </w:tcPr>
          <w:p w:rsidR="00D00A28" w:rsidRPr="003C7187" w:rsidRDefault="00D00A28" w:rsidP="001357B7">
            <w:pPr>
              <w:jc w:val="left"/>
              <w:rPr>
                <w:rFonts w:ascii="楷体_GB2312" w:eastAsia="楷体_GB2312" w:hAnsi="楷体"/>
                <w:b/>
                <w:color w:val="003366"/>
              </w:rPr>
            </w:pPr>
          </w:p>
        </w:tc>
        <w:tc>
          <w:tcPr>
            <w:tcW w:w="2786" w:type="dxa"/>
            <w:shd w:val="clear" w:color="auto" w:fill="CDD7FA"/>
          </w:tcPr>
          <w:p w:rsidR="00D00A28" w:rsidRPr="003C7187" w:rsidRDefault="00D00A28" w:rsidP="001357B7">
            <w:pPr>
              <w:rPr>
                <w:rFonts w:ascii="楷体_GB2312" w:eastAsia="楷体_GB2312" w:hAnsi="楷体"/>
                <w:b/>
                <w:color w:val="003366"/>
              </w:rPr>
            </w:pPr>
          </w:p>
        </w:tc>
      </w:tr>
      <w:tr w:rsidR="00603E88" w:rsidRPr="003C7187" w:rsidTr="00F4224C">
        <w:trPr>
          <w:trHeight w:hRule="exact" w:val="284"/>
        </w:trPr>
        <w:tc>
          <w:tcPr>
            <w:tcW w:w="468" w:type="dxa"/>
            <w:shd w:val="clear" w:color="auto" w:fill="auto"/>
          </w:tcPr>
          <w:p w:rsidR="00603E88" w:rsidRPr="003C7187" w:rsidRDefault="00603E88" w:rsidP="001357B7">
            <w:pPr>
              <w:rPr>
                <w:rFonts w:ascii="楷体_GB2312" w:eastAsia="楷体_GB2312" w:hAnsi="楷体"/>
                <w:b/>
                <w:color w:val="003366"/>
              </w:rPr>
            </w:pPr>
          </w:p>
        </w:tc>
        <w:tc>
          <w:tcPr>
            <w:tcW w:w="3326" w:type="dxa"/>
            <w:gridSpan w:val="2"/>
            <w:shd w:val="clear" w:color="auto" w:fill="auto"/>
          </w:tcPr>
          <w:p w:rsidR="00603E88" w:rsidRPr="003C7187" w:rsidRDefault="00603E88" w:rsidP="001357B7">
            <w:pPr>
              <w:rPr>
                <w:rFonts w:ascii="楷体_GB2312" w:eastAsia="楷体_GB2312" w:hAnsi="楷体"/>
                <w:color w:val="003366"/>
              </w:rPr>
            </w:pPr>
          </w:p>
        </w:tc>
      </w:tr>
      <w:tr w:rsidR="00CF5B8E" w:rsidRPr="003C7187" w:rsidTr="00F4224C">
        <w:trPr>
          <w:trHeight w:val="284"/>
        </w:trPr>
        <w:tc>
          <w:tcPr>
            <w:tcW w:w="468" w:type="dxa"/>
            <w:shd w:val="clear" w:color="auto" w:fill="auto"/>
          </w:tcPr>
          <w:p w:rsidR="00CF5B8E" w:rsidRPr="003C7187" w:rsidRDefault="00CF5B8E" w:rsidP="00CF5B8E">
            <w:pPr>
              <w:rPr>
                <w:rFonts w:ascii="楷体_GB2312" w:eastAsia="楷体_GB2312" w:hAnsi="楷体"/>
                <w:b/>
                <w:color w:val="003366"/>
              </w:rPr>
            </w:pPr>
            <w:bookmarkStart w:id="1" w:name="_Hlk332007952"/>
          </w:p>
        </w:tc>
        <w:tc>
          <w:tcPr>
            <w:tcW w:w="3326" w:type="dxa"/>
            <w:gridSpan w:val="2"/>
            <w:shd w:val="clear" w:color="auto" w:fill="auto"/>
          </w:tcPr>
          <w:p w:rsidR="00CF5B8E" w:rsidRPr="003C7187" w:rsidRDefault="00CF5B8E" w:rsidP="007E4333">
            <w:pPr>
              <w:spacing w:line="0" w:lineRule="atLeast"/>
              <w:ind w:firstLineChars="50" w:firstLine="120"/>
              <w:rPr>
                <w:rFonts w:ascii="楷体_GB2312" w:eastAsia="楷体_GB2312" w:hAnsi="楷体"/>
                <w:bCs/>
                <w:color w:val="003365"/>
                <w:kern w:val="0"/>
              </w:rPr>
            </w:pPr>
          </w:p>
        </w:tc>
      </w:tr>
      <w:tr w:rsidR="00CF5B8E" w:rsidRPr="003C7187" w:rsidTr="00F4224C">
        <w:trPr>
          <w:trHeight w:val="284"/>
        </w:trPr>
        <w:tc>
          <w:tcPr>
            <w:tcW w:w="468" w:type="dxa"/>
            <w:shd w:val="clear" w:color="auto" w:fill="auto"/>
          </w:tcPr>
          <w:p w:rsidR="00CF5B8E" w:rsidRPr="003C7187" w:rsidRDefault="00CF5B8E" w:rsidP="00CF5B8E">
            <w:pPr>
              <w:rPr>
                <w:rFonts w:ascii="楷体_GB2312" w:eastAsia="楷体_GB2312" w:hAnsi="楷体"/>
                <w:noProof/>
                <w:color w:val="003366"/>
              </w:rPr>
            </w:pPr>
          </w:p>
        </w:tc>
        <w:tc>
          <w:tcPr>
            <w:tcW w:w="3326" w:type="dxa"/>
            <w:gridSpan w:val="2"/>
            <w:shd w:val="clear" w:color="auto" w:fill="auto"/>
          </w:tcPr>
          <w:p w:rsidR="00674628" w:rsidRPr="003C7187" w:rsidRDefault="00674628" w:rsidP="008B0A79">
            <w:pPr>
              <w:spacing w:line="0" w:lineRule="atLeast"/>
              <w:jc w:val="left"/>
              <w:rPr>
                <w:rFonts w:ascii="楷体_GB2312" w:eastAsia="楷体_GB2312" w:hAnsi="楷体"/>
                <w:noProof/>
                <w:color w:val="003366"/>
                <w:sz w:val="21"/>
              </w:rPr>
            </w:pPr>
          </w:p>
          <w:p w:rsidR="00803A50" w:rsidRDefault="00803A50" w:rsidP="008B0A79">
            <w:pPr>
              <w:spacing w:line="0" w:lineRule="atLeast"/>
              <w:jc w:val="left"/>
              <w:rPr>
                <w:rFonts w:ascii="楷体_GB2312" w:eastAsia="楷体_GB2312" w:hAnsi="楷体"/>
                <w:noProof/>
                <w:color w:val="003366"/>
                <w:sz w:val="21"/>
              </w:rPr>
            </w:pPr>
          </w:p>
          <w:p w:rsidR="00B74582" w:rsidRPr="003C7187" w:rsidRDefault="00B74582" w:rsidP="008B0A79">
            <w:pPr>
              <w:spacing w:line="0" w:lineRule="atLeast"/>
              <w:jc w:val="left"/>
              <w:rPr>
                <w:rFonts w:ascii="楷体_GB2312" w:eastAsia="楷体_GB2312" w:hAnsi="楷体"/>
                <w:noProof/>
                <w:color w:val="003366"/>
                <w:sz w:val="21"/>
              </w:rPr>
            </w:pPr>
          </w:p>
          <w:p w:rsidR="0007721B" w:rsidRPr="003C7187" w:rsidRDefault="0007721B" w:rsidP="008B0A79">
            <w:pPr>
              <w:spacing w:line="0" w:lineRule="atLeast"/>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上海证券基金评价中心</w:t>
            </w:r>
          </w:p>
          <w:p w:rsidR="0007721B" w:rsidRPr="003C7187" w:rsidRDefault="0007721B" w:rsidP="008B0A79">
            <w:pPr>
              <w:spacing w:line="0" w:lineRule="atLeast"/>
              <w:jc w:val="left"/>
              <w:rPr>
                <w:rFonts w:ascii="楷体_GB2312" w:eastAsia="楷体_GB2312" w:hAnsi="楷体"/>
                <w:noProof/>
                <w:color w:val="003366"/>
                <w:sz w:val="21"/>
              </w:rPr>
            </w:pPr>
          </w:p>
          <w:p w:rsidR="00803A50" w:rsidRPr="003C7187" w:rsidRDefault="00803A50" w:rsidP="00803A50">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高云鹏</w:t>
            </w:r>
          </w:p>
          <w:p w:rsidR="00C045CD" w:rsidRPr="003C7187" w:rsidRDefault="00C045CD" w:rsidP="00803A50">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电话：</w:t>
            </w:r>
            <w:r w:rsidR="00177527">
              <w:rPr>
                <w:rFonts w:ascii="楷体_GB2312" w:eastAsia="楷体_GB2312" w:hAnsi="楷体" w:hint="eastAsia"/>
                <w:b/>
                <w:color w:val="003366"/>
                <w:sz w:val="21"/>
                <w:szCs w:val="21"/>
              </w:rPr>
              <w:t>021-53686112</w:t>
            </w:r>
          </w:p>
          <w:p w:rsidR="00803A50" w:rsidRPr="003C7187" w:rsidRDefault="00803A50" w:rsidP="00803A50">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邮箱：gaoyunpeng@shzq.com</w:t>
            </w:r>
          </w:p>
          <w:p w:rsidR="00016FB1" w:rsidRPr="003C7187" w:rsidRDefault="00C045CD" w:rsidP="00C045CD">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执业证书编号：S0870112010002</w:t>
            </w:r>
          </w:p>
        </w:tc>
      </w:tr>
      <w:bookmarkEnd w:id="1"/>
      <w:tr w:rsidR="00CF5B8E" w:rsidRPr="003C7187" w:rsidTr="00F4224C">
        <w:trPr>
          <w:trHeight w:val="284"/>
        </w:trPr>
        <w:tc>
          <w:tcPr>
            <w:tcW w:w="468" w:type="dxa"/>
            <w:shd w:val="clear" w:color="auto" w:fill="auto"/>
          </w:tcPr>
          <w:p w:rsidR="00CF5B8E" w:rsidRPr="003C7187" w:rsidRDefault="00CF5B8E" w:rsidP="00CF5B8E">
            <w:pPr>
              <w:rPr>
                <w:rFonts w:ascii="楷体_GB2312" w:eastAsia="楷体_GB2312" w:hAnsi="楷体"/>
                <w:color w:val="003365"/>
                <w:kern w:val="0"/>
              </w:rPr>
            </w:pPr>
          </w:p>
        </w:tc>
        <w:tc>
          <w:tcPr>
            <w:tcW w:w="3326" w:type="dxa"/>
            <w:gridSpan w:val="2"/>
            <w:shd w:val="clear" w:color="auto" w:fill="auto"/>
          </w:tcPr>
          <w:p w:rsidR="00841AF0" w:rsidRPr="003C7187" w:rsidRDefault="00841AF0" w:rsidP="00803A50">
            <w:pPr>
              <w:jc w:val="left"/>
              <w:rPr>
                <w:rFonts w:ascii="楷体_GB2312" w:eastAsia="楷体_GB2312" w:hAnsi="楷体"/>
                <w:b/>
                <w:color w:val="003366"/>
                <w:sz w:val="21"/>
                <w:szCs w:val="21"/>
              </w:rPr>
            </w:pPr>
          </w:p>
          <w:p w:rsidR="00803A50" w:rsidRPr="003C7187" w:rsidRDefault="00803A50" w:rsidP="00803A50">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王博生</w:t>
            </w:r>
          </w:p>
          <w:p w:rsidR="00C045CD" w:rsidRPr="003C7187" w:rsidRDefault="00C045CD" w:rsidP="00803A50">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电话：</w:t>
            </w:r>
            <w:r w:rsidR="00177527" w:rsidRPr="00763F3F">
              <w:rPr>
                <w:rFonts w:ascii="楷体_GB2312" w:eastAsia="楷体_GB2312" w:hAnsi="楷体" w:hint="eastAsia"/>
                <w:b/>
                <w:color w:val="003366"/>
                <w:sz w:val="21"/>
                <w:szCs w:val="21"/>
              </w:rPr>
              <w:t>021-536861</w:t>
            </w:r>
            <w:r w:rsidR="00177527">
              <w:rPr>
                <w:rFonts w:ascii="楷体_GB2312" w:eastAsia="楷体_GB2312" w:hAnsi="楷体"/>
                <w:b/>
                <w:color w:val="003366"/>
                <w:sz w:val="21"/>
                <w:szCs w:val="21"/>
              </w:rPr>
              <w:t>09</w:t>
            </w:r>
          </w:p>
          <w:p w:rsidR="00F53AFF" w:rsidRPr="003C7187" w:rsidRDefault="00803A50" w:rsidP="00C045CD">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邮箱：</w:t>
            </w:r>
            <w:r w:rsidR="00AE6EB8" w:rsidRPr="003C7187">
              <w:rPr>
                <w:rFonts w:ascii="楷体_GB2312" w:eastAsia="楷体_GB2312" w:hAnsi="楷体" w:hint="eastAsia"/>
                <w:b/>
                <w:color w:val="003366"/>
                <w:sz w:val="21"/>
                <w:szCs w:val="21"/>
              </w:rPr>
              <w:t>wangbosheng@shzq.com</w:t>
            </w:r>
          </w:p>
          <w:p w:rsidR="00AE6EB8" w:rsidRPr="003C7187" w:rsidRDefault="00AE6EB8" w:rsidP="00C045CD">
            <w:pPr>
              <w:jc w:val="left"/>
              <w:rPr>
                <w:rFonts w:ascii="楷体_GB2312" w:eastAsia="楷体_GB2312" w:hAnsi="楷体"/>
                <w:b/>
                <w:color w:val="003366"/>
                <w:sz w:val="21"/>
                <w:szCs w:val="21"/>
              </w:rPr>
            </w:pPr>
            <w:r w:rsidRPr="003C7187">
              <w:rPr>
                <w:rFonts w:ascii="楷体_GB2312" w:eastAsia="楷体_GB2312" w:hAnsi="楷体" w:hint="eastAsia"/>
                <w:b/>
                <w:color w:val="003366"/>
                <w:sz w:val="21"/>
                <w:szCs w:val="21"/>
              </w:rPr>
              <w:t>执业证书编号：S0870115080016</w:t>
            </w:r>
          </w:p>
        </w:tc>
      </w:tr>
      <w:tr w:rsidR="00CF5B8E" w:rsidRPr="003C7187" w:rsidTr="00F4224C">
        <w:trPr>
          <w:trHeight w:val="284"/>
        </w:trPr>
        <w:tc>
          <w:tcPr>
            <w:tcW w:w="468" w:type="dxa"/>
            <w:shd w:val="clear" w:color="auto" w:fill="auto"/>
          </w:tcPr>
          <w:p w:rsidR="00CF5B8E" w:rsidRPr="003C7187" w:rsidRDefault="00CF5B8E" w:rsidP="00CF5B8E">
            <w:pPr>
              <w:rPr>
                <w:rFonts w:ascii="楷体_GB2312" w:eastAsia="楷体_GB2312" w:hAnsi="楷体"/>
                <w:b/>
                <w:color w:val="003366"/>
              </w:rPr>
            </w:pPr>
          </w:p>
        </w:tc>
        <w:tc>
          <w:tcPr>
            <w:tcW w:w="3326" w:type="dxa"/>
            <w:gridSpan w:val="2"/>
            <w:shd w:val="clear" w:color="auto" w:fill="auto"/>
          </w:tcPr>
          <w:p w:rsidR="00763F3F" w:rsidRDefault="00763F3F" w:rsidP="00763F3F">
            <w:pPr>
              <w:rPr>
                <w:rFonts w:ascii="楷体_GB2312" w:eastAsia="楷体_GB2312"/>
                <w:b/>
                <w:color w:val="003366"/>
              </w:rPr>
            </w:pPr>
          </w:p>
          <w:p w:rsidR="00763F3F" w:rsidRPr="00763F3F" w:rsidRDefault="00097A1E" w:rsidP="00763F3F">
            <w:pPr>
              <w:jc w:val="left"/>
              <w:rPr>
                <w:rFonts w:ascii="楷体_GB2312" w:eastAsia="楷体_GB2312" w:hAnsi="楷体"/>
                <w:b/>
                <w:color w:val="003366"/>
                <w:sz w:val="21"/>
                <w:szCs w:val="21"/>
              </w:rPr>
            </w:pPr>
            <w:r>
              <w:rPr>
                <w:rFonts w:ascii="楷体_GB2312" w:eastAsia="楷体_GB2312" w:hAnsi="楷体" w:hint="eastAsia"/>
                <w:b/>
                <w:color w:val="003366"/>
                <w:sz w:val="21"/>
                <w:szCs w:val="21"/>
              </w:rPr>
              <w:t>杨晗</w:t>
            </w:r>
          </w:p>
          <w:p w:rsidR="00763F3F" w:rsidRPr="00763F3F" w:rsidRDefault="00DE3642" w:rsidP="00763F3F">
            <w:pPr>
              <w:jc w:val="left"/>
              <w:rPr>
                <w:rFonts w:ascii="楷体_GB2312" w:eastAsia="楷体_GB2312" w:hAnsi="楷体"/>
                <w:b/>
                <w:color w:val="003366"/>
                <w:sz w:val="21"/>
                <w:szCs w:val="21"/>
              </w:rPr>
            </w:pPr>
            <w:r>
              <w:rPr>
                <w:rFonts w:ascii="楷体_GB2312" w:eastAsia="楷体_GB2312" w:hAnsi="楷体" w:hint="eastAsia"/>
                <w:b/>
                <w:color w:val="003366"/>
                <w:sz w:val="21"/>
                <w:szCs w:val="21"/>
              </w:rPr>
              <w:t>邮箱:yanghan</w:t>
            </w:r>
            <w:r w:rsidR="00763F3F" w:rsidRPr="00763F3F">
              <w:rPr>
                <w:rFonts w:ascii="楷体_GB2312" w:eastAsia="楷体_GB2312" w:hAnsi="楷体" w:hint="eastAsia"/>
                <w:b/>
                <w:color w:val="003366"/>
                <w:sz w:val="21"/>
                <w:szCs w:val="21"/>
              </w:rPr>
              <w:t>@shzq.com</w:t>
            </w:r>
          </w:p>
          <w:p w:rsidR="00CF5B8E" w:rsidRPr="003C7187" w:rsidRDefault="00763F3F" w:rsidP="00763F3F">
            <w:pPr>
              <w:jc w:val="left"/>
              <w:rPr>
                <w:rFonts w:ascii="楷体_GB2312" w:eastAsia="楷体_GB2312" w:hAnsi="楷体"/>
                <w:b/>
                <w:color w:val="003366"/>
                <w:sz w:val="21"/>
                <w:szCs w:val="21"/>
              </w:rPr>
            </w:pPr>
            <w:r w:rsidRPr="00763F3F">
              <w:rPr>
                <w:rFonts w:ascii="楷体_GB2312" w:eastAsia="楷体_GB2312" w:hAnsi="楷体" w:hint="eastAsia"/>
                <w:b/>
                <w:color w:val="003366"/>
                <w:sz w:val="21"/>
                <w:szCs w:val="21"/>
              </w:rPr>
              <w:t>电话：</w:t>
            </w:r>
            <w:r w:rsidR="00097A1E">
              <w:rPr>
                <w:rFonts w:ascii="楷体_GB2312" w:eastAsia="楷体_GB2312" w:hAnsi="楷体" w:hint="eastAsia"/>
                <w:b/>
                <w:color w:val="003366"/>
                <w:sz w:val="21"/>
                <w:szCs w:val="21"/>
              </w:rPr>
              <w:t>021-53686118</w:t>
            </w:r>
          </w:p>
          <w:p w:rsidR="00D272A0" w:rsidRPr="00763F3F" w:rsidRDefault="00D272A0" w:rsidP="00763F3F">
            <w:pPr>
              <w:jc w:val="left"/>
              <w:rPr>
                <w:rFonts w:ascii="楷体_GB2312" w:eastAsia="楷体_GB2312" w:hAnsi="楷体"/>
                <w:b/>
                <w:color w:val="003366"/>
                <w:sz w:val="21"/>
                <w:szCs w:val="21"/>
              </w:rPr>
            </w:pPr>
          </w:p>
          <w:tbl>
            <w:tblPr>
              <w:tblpPr w:leftFromText="180" w:rightFromText="180" w:vertAnchor="text" w:horzAnchor="margin" w:tblpY="23"/>
              <w:tblOverlap w:val="never"/>
              <w:tblW w:w="3888" w:type="dxa"/>
              <w:shd w:val="clear" w:color="auto" w:fill="E0E0E0"/>
              <w:tblLayout w:type="fixed"/>
              <w:tblLook w:val="01E0" w:firstRow="1" w:lastRow="1" w:firstColumn="1" w:lastColumn="1" w:noHBand="0" w:noVBand="0"/>
            </w:tblPr>
            <w:tblGrid>
              <w:gridCol w:w="2859"/>
              <w:gridCol w:w="1029"/>
            </w:tblGrid>
            <w:tr w:rsidR="0007721B" w:rsidRPr="003C7187" w:rsidTr="0007721B">
              <w:trPr>
                <w:trHeight w:hRule="exact" w:val="284"/>
              </w:trPr>
              <w:tc>
                <w:tcPr>
                  <w:tcW w:w="3888" w:type="dxa"/>
                  <w:gridSpan w:val="2"/>
                </w:tcPr>
                <w:p w:rsidR="0007721B" w:rsidRPr="003C7187" w:rsidRDefault="0007721B" w:rsidP="0007721B">
                  <w:pPr>
                    <w:pStyle w:val="afc"/>
                    <w:adjustRightInd w:val="0"/>
                    <w:snapToGrid w:val="0"/>
                    <w:spacing w:line="288" w:lineRule="auto"/>
                    <w:ind w:firstLineChars="100" w:firstLine="211"/>
                    <w:rPr>
                      <w:rFonts w:ascii="楷体_GB2312" w:eastAsia="楷体_GB2312" w:hAnsi="楷体"/>
                      <w:b/>
                      <w:color w:val="003366"/>
                      <w:sz w:val="21"/>
                    </w:rPr>
                  </w:pPr>
                  <w:r w:rsidRPr="003C7187">
                    <w:rPr>
                      <w:rFonts w:ascii="楷体_GB2312" w:eastAsia="楷体_GB2312" w:hAnsi="楷体" w:hint="eastAsia"/>
                      <w:b/>
                      <w:color w:val="003366"/>
                      <w:sz w:val="21"/>
                    </w:rPr>
                    <w:t>日期：</w:t>
                  </w:r>
                  <w:r w:rsidR="00D1663E">
                    <w:rPr>
                      <w:rFonts w:ascii="楷体_GB2312" w:eastAsia="楷体_GB2312" w:hAnsi="楷体" w:hint="eastAsia"/>
                      <w:b/>
                      <w:color w:val="003366"/>
                      <w:sz w:val="21"/>
                    </w:rPr>
                    <w:t>2016</w:t>
                  </w:r>
                  <w:r w:rsidRPr="003C7187">
                    <w:rPr>
                      <w:rFonts w:ascii="楷体_GB2312" w:eastAsia="楷体_GB2312" w:hAnsi="楷体" w:hint="eastAsia"/>
                      <w:b/>
                      <w:color w:val="003366"/>
                      <w:sz w:val="21"/>
                    </w:rPr>
                    <w:t>年</w:t>
                  </w:r>
                  <w:r w:rsidR="00525A04">
                    <w:rPr>
                      <w:rFonts w:ascii="楷体_GB2312" w:eastAsia="楷体_GB2312" w:hAnsi="楷体"/>
                      <w:b/>
                      <w:color w:val="003366"/>
                      <w:sz w:val="21"/>
                    </w:rPr>
                    <w:t>7</w:t>
                  </w:r>
                  <w:r w:rsidRPr="003C7187">
                    <w:rPr>
                      <w:rFonts w:ascii="楷体_GB2312" w:eastAsia="楷体_GB2312" w:hAnsi="楷体" w:hint="eastAsia"/>
                      <w:b/>
                      <w:color w:val="003366"/>
                      <w:sz w:val="21"/>
                    </w:rPr>
                    <w:t>月</w:t>
                  </w:r>
                  <w:r w:rsidR="00525A04">
                    <w:rPr>
                      <w:rFonts w:ascii="楷体_GB2312" w:eastAsia="楷体_GB2312" w:hAnsi="楷体"/>
                      <w:b/>
                      <w:color w:val="003366"/>
                      <w:sz w:val="21"/>
                    </w:rPr>
                    <w:t>2</w:t>
                  </w:r>
                  <w:r w:rsidR="00742379">
                    <w:rPr>
                      <w:rFonts w:ascii="楷体_GB2312" w:eastAsia="楷体_GB2312" w:hAnsi="楷体"/>
                      <w:b/>
                      <w:color w:val="003366"/>
                      <w:sz w:val="21"/>
                    </w:rPr>
                    <w:t>3</w:t>
                  </w:r>
                  <w:r w:rsidRPr="003C7187">
                    <w:rPr>
                      <w:rFonts w:ascii="楷体_GB2312" w:eastAsia="楷体_GB2312" w:hAnsi="楷体" w:hint="eastAsia"/>
                      <w:b/>
                      <w:color w:val="003366"/>
                      <w:sz w:val="21"/>
                    </w:rPr>
                    <w:t>日</w:t>
                  </w:r>
                </w:p>
                <w:p w:rsidR="0007721B" w:rsidRPr="003C7187" w:rsidRDefault="0007721B" w:rsidP="0007721B">
                  <w:pPr>
                    <w:adjustRightInd w:val="0"/>
                    <w:snapToGrid w:val="0"/>
                    <w:spacing w:line="288" w:lineRule="auto"/>
                    <w:jc w:val="left"/>
                    <w:rPr>
                      <w:rFonts w:ascii="楷体_GB2312" w:eastAsia="楷体_GB2312" w:hAnsi="楷体"/>
                      <w:color w:val="003366"/>
                      <w:sz w:val="21"/>
                    </w:rPr>
                  </w:pPr>
                  <w:r w:rsidRPr="003C7187">
                    <w:rPr>
                      <w:rFonts w:ascii="楷体_GB2312" w:eastAsia="楷体_GB2312" w:hAnsi="楷体" w:hint="eastAsia"/>
                      <w:color w:val="003366"/>
                      <w:sz w:val="21"/>
                    </w:rPr>
                    <w:t xml:space="preserve"> </w:t>
                  </w:r>
                </w:p>
              </w:tc>
            </w:tr>
            <w:tr w:rsidR="0007721B" w:rsidRPr="003C7187" w:rsidTr="0007721B">
              <w:trPr>
                <w:trHeight w:hRule="exact" w:val="284"/>
              </w:trPr>
              <w:tc>
                <w:tcPr>
                  <w:tcW w:w="3888" w:type="dxa"/>
                  <w:gridSpan w:val="2"/>
                </w:tcPr>
                <w:p w:rsidR="0007721B" w:rsidRPr="003C7187" w:rsidRDefault="0007721B" w:rsidP="0007721B">
                  <w:pPr>
                    <w:adjustRightInd w:val="0"/>
                    <w:snapToGrid w:val="0"/>
                    <w:spacing w:line="288" w:lineRule="auto"/>
                    <w:rPr>
                      <w:rFonts w:ascii="楷体_GB2312" w:eastAsia="楷体_GB2312" w:hAnsi="楷体"/>
                      <w:color w:val="003366"/>
                      <w:sz w:val="21"/>
                    </w:rPr>
                  </w:pPr>
                </w:p>
              </w:tc>
            </w:tr>
            <w:tr w:rsidR="0007721B" w:rsidRPr="003C7187" w:rsidTr="0007721B">
              <w:trPr>
                <w:gridAfter w:val="1"/>
                <w:wAfter w:w="1029" w:type="dxa"/>
                <w:trHeight w:hRule="exact" w:val="284"/>
              </w:trPr>
              <w:tc>
                <w:tcPr>
                  <w:tcW w:w="2859" w:type="dxa"/>
                </w:tcPr>
                <w:p w:rsidR="0007721B" w:rsidRPr="003C7187" w:rsidRDefault="0007721B" w:rsidP="0007721B">
                  <w:pPr>
                    <w:adjustRightInd w:val="0"/>
                    <w:snapToGrid w:val="0"/>
                    <w:spacing w:line="288" w:lineRule="auto"/>
                    <w:rPr>
                      <w:rFonts w:ascii="楷体_GB2312" w:eastAsia="楷体_GB2312" w:hAnsi="楷体"/>
                      <w:sz w:val="21"/>
                    </w:rPr>
                  </w:pPr>
                </w:p>
              </w:tc>
            </w:tr>
            <w:tr w:rsidR="0007721B" w:rsidRPr="003C7187" w:rsidTr="0007721B">
              <w:trPr>
                <w:gridAfter w:val="1"/>
                <w:wAfter w:w="1029" w:type="dxa"/>
                <w:trHeight w:hRule="exact" w:val="284"/>
              </w:trPr>
              <w:tc>
                <w:tcPr>
                  <w:tcW w:w="2859" w:type="dxa"/>
                </w:tcPr>
                <w:p w:rsidR="0007721B" w:rsidRPr="003C7187" w:rsidRDefault="0007721B" w:rsidP="0007721B">
                  <w:pPr>
                    <w:adjustRightInd w:val="0"/>
                    <w:snapToGrid w:val="0"/>
                    <w:spacing w:line="288" w:lineRule="auto"/>
                    <w:ind w:firstLineChars="100" w:firstLine="210"/>
                    <w:rPr>
                      <w:rFonts w:ascii="楷体_GB2312" w:eastAsia="楷体_GB2312" w:hAnsi="楷体"/>
                      <w:color w:val="003366"/>
                      <w:sz w:val="21"/>
                    </w:rPr>
                  </w:pPr>
                </w:p>
              </w:tc>
            </w:tr>
            <w:tr w:rsidR="0007721B" w:rsidRPr="003C7187" w:rsidTr="0007721B">
              <w:trPr>
                <w:gridAfter w:val="1"/>
                <w:wAfter w:w="1029" w:type="dxa"/>
                <w:trHeight w:hRule="exact" w:val="284"/>
              </w:trPr>
              <w:tc>
                <w:tcPr>
                  <w:tcW w:w="2859" w:type="dxa"/>
                </w:tcPr>
                <w:p w:rsidR="0007721B" w:rsidRPr="003C7187" w:rsidRDefault="0007721B" w:rsidP="0007721B">
                  <w:pPr>
                    <w:adjustRightInd w:val="0"/>
                    <w:snapToGrid w:val="0"/>
                    <w:spacing w:line="288" w:lineRule="auto"/>
                    <w:rPr>
                      <w:rFonts w:ascii="楷体_GB2312" w:eastAsia="楷体_GB2312" w:hAnsi="楷体"/>
                      <w:color w:val="003366"/>
                      <w:sz w:val="21"/>
                    </w:rPr>
                  </w:pPr>
                </w:p>
              </w:tc>
            </w:tr>
            <w:tr w:rsidR="0007721B" w:rsidRPr="003C7187" w:rsidTr="0007721B">
              <w:trPr>
                <w:gridAfter w:val="1"/>
                <w:wAfter w:w="1029" w:type="dxa"/>
                <w:trHeight w:hRule="exact" w:val="284"/>
              </w:trPr>
              <w:tc>
                <w:tcPr>
                  <w:tcW w:w="2859" w:type="dxa"/>
                </w:tcPr>
                <w:p w:rsidR="0007721B" w:rsidRPr="003C7187" w:rsidRDefault="0007721B" w:rsidP="0007721B">
                  <w:pPr>
                    <w:adjustRightInd w:val="0"/>
                    <w:snapToGrid w:val="0"/>
                    <w:spacing w:line="288" w:lineRule="auto"/>
                    <w:rPr>
                      <w:rFonts w:ascii="楷体_GB2312" w:eastAsia="楷体_GB2312" w:hAnsi="楷体"/>
                      <w:sz w:val="21"/>
                    </w:rPr>
                  </w:pPr>
                </w:p>
                <w:p w:rsidR="0007721B" w:rsidRPr="003C7187" w:rsidRDefault="0007721B" w:rsidP="0007721B">
                  <w:pPr>
                    <w:adjustRightInd w:val="0"/>
                    <w:snapToGrid w:val="0"/>
                    <w:spacing w:line="288" w:lineRule="auto"/>
                    <w:rPr>
                      <w:rFonts w:ascii="楷体_GB2312" w:eastAsia="楷体_GB2312" w:hAnsi="楷体"/>
                      <w:sz w:val="21"/>
                    </w:rPr>
                  </w:pPr>
                </w:p>
                <w:p w:rsidR="0007721B" w:rsidRPr="003C7187" w:rsidRDefault="0007721B" w:rsidP="0007721B">
                  <w:pPr>
                    <w:adjustRightInd w:val="0"/>
                    <w:snapToGrid w:val="0"/>
                    <w:spacing w:line="288" w:lineRule="auto"/>
                    <w:rPr>
                      <w:rFonts w:ascii="楷体_GB2312" w:eastAsia="楷体_GB2312" w:hAnsi="楷体"/>
                      <w:sz w:val="21"/>
                    </w:rPr>
                  </w:pPr>
                </w:p>
                <w:p w:rsidR="0007721B" w:rsidRPr="003C7187" w:rsidRDefault="0007721B" w:rsidP="0007721B">
                  <w:pPr>
                    <w:adjustRightInd w:val="0"/>
                    <w:snapToGrid w:val="0"/>
                    <w:spacing w:line="288" w:lineRule="auto"/>
                    <w:rPr>
                      <w:rFonts w:ascii="楷体_GB2312" w:eastAsia="楷体_GB2312" w:hAnsi="楷体"/>
                      <w:sz w:val="21"/>
                    </w:rPr>
                  </w:pPr>
                </w:p>
              </w:tc>
            </w:tr>
            <w:tr w:rsidR="0007721B" w:rsidRPr="003C7187" w:rsidTr="0007721B">
              <w:trPr>
                <w:gridAfter w:val="1"/>
                <w:wAfter w:w="1029" w:type="dxa"/>
                <w:trHeight w:hRule="exact" w:val="284"/>
              </w:trPr>
              <w:tc>
                <w:tcPr>
                  <w:tcW w:w="2859" w:type="dxa"/>
                </w:tcPr>
                <w:p w:rsidR="0007721B" w:rsidRPr="003C7187" w:rsidRDefault="0007721B" w:rsidP="0007721B">
                  <w:pPr>
                    <w:adjustRightInd w:val="0"/>
                    <w:snapToGrid w:val="0"/>
                    <w:spacing w:line="288" w:lineRule="auto"/>
                    <w:rPr>
                      <w:rFonts w:ascii="楷体_GB2312" w:eastAsia="楷体_GB2312" w:hAnsi="楷体"/>
                      <w:b/>
                      <w:color w:val="003366"/>
                      <w:sz w:val="21"/>
                      <w:szCs w:val="21"/>
                    </w:rPr>
                  </w:pPr>
                </w:p>
              </w:tc>
            </w:tr>
          </w:tbl>
          <w:p w:rsidR="00D272A0" w:rsidRPr="003C7187" w:rsidRDefault="00D272A0" w:rsidP="00CF5B8E">
            <w:pPr>
              <w:rPr>
                <w:rFonts w:ascii="楷体_GB2312" w:eastAsia="楷体_GB2312" w:hAnsi="楷体"/>
                <w:color w:val="003366"/>
                <w:sz w:val="21"/>
              </w:rPr>
            </w:pPr>
          </w:p>
        </w:tc>
      </w:tr>
    </w:tbl>
    <w:p w:rsidR="00116EFE" w:rsidRPr="003C7187" w:rsidRDefault="00210B5E" w:rsidP="006A69F5">
      <w:pPr>
        <w:spacing w:line="252" w:lineRule="auto"/>
        <w:rPr>
          <w:rFonts w:ascii="楷体_GB2312" w:eastAsia="楷体_GB2312" w:hAnsi="楷体"/>
          <w:b/>
          <w:color w:val="003366"/>
        </w:rPr>
      </w:pPr>
      <w:r>
        <w:rPr>
          <w:rFonts w:ascii="楷体_GB2312" w:eastAsia="楷体_GB2312" w:hAnsi="楷体"/>
          <w:b/>
          <w:noProof/>
          <w:color w:val="003366"/>
        </w:rPr>
        <mc:AlternateContent>
          <mc:Choice Requires="wps">
            <w:drawing>
              <wp:anchor distT="0" distB="0" distL="114300" distR="114300" simplePos="0" relativeHeight="251657216" behindDoc="0" locked="0" layoutInCell="1" allowOverlap="1">
                <wp:simplePos x="0" y="0"/>
                <wp:positionH relativeFrom="column">
                  <wp:posOffset>-575310</wp:posOffset>
                </wp:positionH>
                <wp:positionV relativeFrom="paragraph">
                  <wp:posOffset>-2179320</wp:posOffset>
                </wp:positionV>
                <wp:extent cx="5265420" cy="203835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2038350"/>
                        </a:xfrm>
                        <a:prstGeom prst="rect">
                          <a:avLst/>
                        </a:prstGeom>
                        <a:solidFill>
                          <a:srgbClr val="0032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6BC" w:rsidRDefault="00CC56BC">
                            <w:pPr>
                              <w:rPr>
                                <w:rFonts w:ascii="宋体-18030" w:eastAsia="宋体-18030" w:hAnsi="宋体-18030" w:cs="宋体-18030"/>
                                <w:szCs w:val="21"/>
                              </w:rPr>
                            </w:pPr>
                          </w:p>
                          <w:p w:rsidR="00CC56BC" w:rsidRDefault="00CC56BC" w:rsidP="002B52D7">
                            <w:pPr>
                              <w:rPr>
                                <w:rFonts w:ascii="楷体_GB2312" w:eastAsia="楷体_GB2312" w:hAnsi="华文中宋"/>
                                <w:sz w:val="44"/>
                                <w:szCs w:val="44"/>
                              </w:rPr>
                            </w:pPr>
                          </w:p>
                          <w:p w:rsidR="00CC56BC" w:rsidRPr="00BF58E5" w:rsidRDefault="00310A9E" w:rsidP="00151C3E">
                            <w:pPr>
                              <w:adjustRightInd w:val="0"/>
                              <w:snapToGrid w:val="0"/>
                              <w:spacing w:line="360" w:lineRule="auto"/>
                              <w:jc w:val="center"/>
                              <w:rPr>
                                <w:rFonts w:ascii="黑体" w:eastAsia="黑体" w:hAnsi="黑体"/>
                                <w:sz w:val="32"/>
                                <w:szCs w:val="21"/>
                              </w:rPr>
                            </w:pPr>
                            <w:r>
                              <w:rPr>
                                <w:rFonts w:ascii="黑体" w:eastAsia="黑体" w:hAnsi="黑体" w:hint="eastAsia"/>
                                <w:sz w:val="36"/>
                                <w:szCs w:val="21"/>
                              </w:rPr>
                              <w:t>产品发行</w:t>
                            </w:r>
                            <w:r>
                              <w:rPr>
                                <w:rFonts w:ascii="黑体" w:eastAsia="黑体" w:hAnsi="黑体"/>
                                <w:sz w:val="36"/>
                                <w:szCs w:val="21"/>
                              </w:rPr>
                              <w:t>进一步放缓</w:t>
                            </w:r>
                            <w:r w:rsidR="00106706">
                              <w:rPr>
                                <w:rFonts w:ascii="黑体" w:eastAsia="黑体" w:hAnsi="黑体" w:hint="eastAsia"/>
                                <w:sz w:val="36"/>
                                <w:szCs w:val="21"/>
                              </w:rPr>
                              <w:t>、</w:t>
                            </w:r>
                            <w:r w:rsidR="001843B0">
                              <w:rPr>
                                <w:rFonts w:ascii="黑体" w:eastAsia="黑体" w:hAnsi="黑体" w:hint="eastAsia"/>
                                <w:sz w:val="36"/>
                                <w:szCs w:val="21"/>
                              </w:rPr>
                              <w:t>保本</w:t>
                            </w:r>
                            <w:r w:rsidR="00CC7923">
                              <w:rPr>
                                <w:rFonts w:ascii="黑体" w:eastAsia="黑体" w:hAnsi="黑体" w:hint="eastAsia"/>
                                <w:sz w:val="36"/>
                                <w:szCs w:val="21"/>
                              </w:rPr>
                              <w:t>继续</w:t>
                            </w:r>
                            <w:r w:rsidR="003B37C9">
                              <w:rPr>
                                <w:rFonts w:ascii="黑体" w:eastAsia="黑体" w:hAnsi="黑体" w:hint="eastAsia"/>
                                <w:sz w:val="36"/>
                                <w:szCs w:val="21"/>
                              </w:rPr>
                              <w:t>吸金</w:t>
                            </w:r>
                          </w:p>
                          <w:p w:rsidR="00CC56BC" w:rsidRPr="00763F3F" w:rsidRDefault="00763F3F" w:rsidP="00151C3E">
                            <w:pPr>
                              <w:adjustRightInd w:val="0"/>
                              <w:snapToGrid w:val="0"/>
                              <w:spacing w:line="360" w:lineRule="auto"/>
                              <w:jc w:val="center"/>
                              <w:rPr>
                                <w:rFonts w:ascii="黑体" w:eastAsia="黑体" w:hAnsi="黑体"/>
                                <w:sz w:val="28"/>
                                <w:szCs w:val="21"/>
                              </w:rPr>
                            </w:pPr>
                            <w:r w:rsidRPr="00763F3F">
                              <w:rPr>
                                <w:rFonts w:ascii="黑体" w:eastAsia="黑体" w:hAnsi="黑体" w:hint="eastAsia"/>
                                <w:sz w:val="28"/>
                                <w:szCs w:val="21"/>
                              </w:rPr>
                              <w:t>2016年</w:t>
                            </w:r>
                            <w:r w:rsidR="00525A04">
                              <w:rPr>
                                <w:rFonts w:ascii="黑体" w:eastAsia="黑体" w:hAnsi="黑体"/>
                                <w:sz w:val="28"/>
                                <w:szCs w:val="21"/>
                              </w:rPr>
                              <w:t>6</w:t>
                            </w:r>
                            <w:r w:rsidRPr="00763F3F">
                              <w:rPr>
                                <w:rFonts w:ascii="黑体" w:eastAsia="黑体" w:hAnsi="黑体" w:hint="eastAsia"/>
                                <w:sz w:val="28"/>
                                <w:szCs w:val="21"/>
                              </w:rPr>
                              <w:t>月</w:t>
                            </w:r>
                            <w:r w:rsidR="00C854A4">
                              <w:rPr>
                                <w:rFonts w:ascii="黑体" w:eastAsia="黑体" w:hAnsi="黑体" w:hint="eastAsia"/>
                                <w:sz w:val="28"/>
                                <w:szCs w:val="21"/>
                              </w:rPr>
                              <w:t>新</w:t>
                            </w:r>
                            <w:r w:rsidRPr="00763F3F">
                              <w:rPr>
                                <w:rFonts w:ascii="黑体" w:eastAsia="黑体" w:hAnsi="黑体" w:hint="eastAsia"/>
                                <w:sz w:val="28"/>
                                <w:szCs w:val="21"/>
                              </w:rPr>
                              <w:t>产品发展</w:t>
                            </w:r>
                            <w:r w:rsidR="00B642C6">
                              <w:rPr>
                                <w:rFonts w:ascii="黑体" w:eastAsia="黑体" w:hAnsi="黑体" w:hint="eastAsia"/>
                                <w:sz w:val="28"/>
                                <w:szCs w:val="21"/>
                              </w:rPr>
                              <w:t>报告</w:t>
                            </w:r>
                          </w:p>
                          <w:p w:rsidR="00BF58E5" w:rsidRPr="00BF58E5" w:rsidRDefault="00BF58E5" w:rsidP="00BF58E5">
                            <w:pPr>
                              <w:adjustRightInd w:val="0"/>
                              <w:snapToGrid w:val="0"/>
                              <w:spacing w:line="336" w:lineRule="auto"/>
                              <w:jc w:val="center"/>
                              <w:rPr>
                                <w:rFonts w:ascii="黑体" w:eastAsia="黑体" w:hAnsi="黑体"/>
                                <w:sz w:val="15"/>
                                <w:szCs w:val="15"/>
                              </w:rPr>
                            </w:pPr>
                          </w:p>
                          <w:p w:rsidR="00CC56BC" w:rsidRPr="00BF58E5" w:rsidRDefault="00B74582" w:rsidP="00763F3F">
                            <w:pPr>
                              <w:adjustRightInd w:val="0"/>
                              <w:snapToGrid w:val="0"/>
                              <w:spacing w:line="336" w:lineRule="auto"/>
                              <w:ind w:firstLine="5245"/>
                              <w:rPr>
                                <w:rFonts w:ascii="黑体" w:eastAsia="黑体" w:hAnsi="黑体"/>
                                <w:sz w:val="21"/>
                                <w:szCs w:val="21"/>
                              </w:rPr>
                            </w:pPr>
                            <w:r w:rsidRPr="00BF58E5">
                              <w:rPr>
                                <w:rFonts w:ascii="黑体" w:eastAsia="黑体" w:hAnsi="黑体"/>
                                <w:sz w:val="21"/>
                                <w:szCs w:val="21"/>
                              </w:rPr>
                              <w:t>-</w:t>
                            </w:r>
                            <w:r w:rsidR="00CC56BC" w:rsidRPr="00BF58E5">
                              <w:rPr>
                                <w:rFonts w:ascii="黑体" w:eastAsia="黑体" w:hAnsi="黑体"/>
                                <w:sz w:val="21"/>
                                <w:szCs w:val="21"/>
                              </w:rPr>
                              <w:t>-</w:t>
                            </w:r>
                            <w:r w:rsidR="00763F3F" w:rsidRPr="00763F3F">
                              <w:rPr>
                                <w:rFonts w:ascii="黑体" w:eastAsia="黑体" w:hAnsi="黑体" w:hint="eastAsia"/>
                                <w:sz w:val="21"/>
                                <w:szCs w:val="21"/>
                              </w:rPr>
                              <w:t>公募基金、券商集合理财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5.3pt;margin-top:-171.6pt;width:414.6pt;height: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" fillcolor="#00326e" stroked="f">
                <v:textbox>
                  <w:txbxContent>
                    <w:p w:rsidR="00CC56BC" w:rsidRDefault="00CC56BC">
                      <w:pPr>
                        <w:rPr>
                          <w:rFonts w:ascii="宋体-18030" w:eastAsia="宋体-18030" w:hAnsi="宋体-18030" w:cs="宋体-18030"/>
                          <w:szCs w:val="21"/>
                        </w:rPr>
                      </w:pPr>
                    </w:p>
                    <w:p w:rsidR="00CC56BC" w:rsidRDefault="00CC56BC" w:rsidP="002B52D7">
                      <w:pPr>
                        <w:rPr>
                          <w:rFonts w:ascii="楷体_GB2312" w:eastAsia="楷体_GB2312" w:hAnsi="华文中宋"/>
                          <w:sz w:val="44"/>
                          <w:szCs w:val="44"/>
                        </w:rPr>
                      </w:pPr>
                    </w:p>
                    <w:p w:rsidR="00CC56BC" w:rsidRPr="00BF58E5" w:rsidRDefault="00310A9E" w:rsidP="00151C3E">
                      <w:pPr>
                        <w:adjustRightInd w:val="0"/>
                        <w:snapToGrid w:val="0"/>
                        <w:spacing w:line="360" w:lineRule="auto"/>
                        <w:jc w:val="center"/>
                        <w:rPr>
                          <w:rFonts w:ascii="黑体" w:eastAsia="黑体" w:hAnsi="黑体" w:hint="eastAsia"/>
                          <w:sz w:val="32"/>
                          <w:szCs w:val="21"/>
                        </w:rPr>
                      </w:pPr>
                      <w:bookmarkStart w:id="2" w:name="_GoBack"/>
                      <w:r>
                        <w:rPr>
                          <w:rFonts w:ascii="黑体" w:eastAsia="黑体" w:hAnsi="黑体" w:hint="eastAsia"/>
                          <w:sz w:val="36"/>
                          <w:szCs w:val="21"/>
                        </w:rPr>
                        <w:t>产品发行</w:t>
                      </w:r>
                      <w:r>
                        <w:rPr>
                          <w:rFonts w:ascii="黑体" w:eastAsia="黑体" w:hAnsi="黑体"/>
                          <w:sz w:val="36"/>
                          <w:szCs w:val="21"/>
                        </w:rPr>
                        <w:t>进一步放缓</w:t>
                      </w:r>
                      <w:r w:rsidR="00106706">
                        <w:rPr>
                          <w:rFonts w:ascii="黑体" w:eastAsia="黑体" w:hAnsi="黑体" w:hint="eastAsia"/>
                          <w:sz w:val="36"/>
                          <w:szCs w:val="21"/>
                        </w:rPr>
                        <w:t>、</w:t>
                      </w:r>
                      <w:r w:rsidR="001843B0">
                        <w:rPr>
                          <w:rFonts w:ascii="黑体" w:eastAsia="黑体" w:hAnsi="黑体" w:hint="eastAsia"/>
                          <w:sz w:val="36"/>
                          <w:szCs w:val="21"/>
                        </w:rPr>
                        <w:t>保本</w:t>
                      </w:r>
                      <w:r w:rsidR="00CC7923">
                        <w:rPr>
                          <w:rFonts w:ascii="黑体" w:eastAsia="黑体" w:hAnsi="黑体" w:hint="eastAsia"/>
                          <w:sz w:val="36"/>
                          <w:szCs w:val="21"/>
                        </w:rPr>
                        <w:t>继续</w:t>
                      </w:r>
                      <w:r w:rsidR="003B37C9">
                        <w:rPr>
                          <w:rFonts w:ascii="黑体" w:eastAsia="黑体" w:hAnsi="黑体" w:hint="eastAsia"/>
                          <w:sz w:val="36"/>
                          <w:szCs w:val="21"/>
                        </w:rPr>
                        <w:t>吸金</w:t>
                      </w:r>
                      <w:bookmarkEnd w:id="2"/>
                    </w:p>
                    <w:p w:rsidR="00CC56BC" w:rsidRPr="00763F3F" w:rsidRDefault="00763F3F" w:rsidP="00151C3E">
                      <w:pPr>
                        <w:adjustRightInd w:val="0"/>
                        <w:snapToGrid w:val="0"/>
                        <w:spacing w:line="360" w:lineRule="auto"/>
                        <w:jc w:val="center"/>
                        <w:rPr>
                          <w:rFonts w:ascii="黑体" w:eastAsia="黑体" w:hAnsi="黑体"/>
                          <w:sz w:val="28"/>
                          <w:szCs w:val="21"/>
                        </w:rPr>
                      </w:pPr>
                      <w:r w:rsidRPr="00763F3F">
                        <w:rPr>
                          <w:rFonts w:ascii="黑体" w:eastAsia="黑体" w:hAnsi="黑体" w:hint="eastAsia"/>
                          <w:sz w:val="28"/>
                          <w:szCs w:val="21"/>
                        </w:rPr>
                        <w:t>2016年</w:t>
                      </w:r>
                      <w:r w:rsidR="00525A04">
                        <w:rPr>
                          <w:rFonts w:ascii="黑体" w:eastAsia="黑体" w:hAnsi="黑体"/>
                          <w:sz w:val="28"/>
                          <w:szCs w:val="21"/>
                        </w:rPr>
                        <w:t>6</w:t>
                      </w:r>
                      <w:r w:rsidRPr="00763F3F">
                        <w:rPr>
                          <w:rFonts w:ascii="黑体" w:eastAsia="黑体" w:hAnsi="黑体" w:hint="eastAsia"/>
                          <w:sz w:val="28"/>
                          <w:szCs w:val="21"/>
                        </w:rPr>
                        <w:t>月</w:t>
                      </w:r>
                      <w:r w:rsidR="00C854A4">
                        <w:rPr>
                          <w:rFonts w:ascii="黑体" w:eastAsia="黑体" w:hAnsi="黑体" w:hint="eastAsia"/>
                          <w:sz w:val="28"/>
                          <w:szCs w:val="21"/>
                        </w:rPr>
                        <w:t>新</w:t>
                      </w:r>
                      <w:r w:rsidRPr="00763F3F">
                        <w:rPr>
                          <w:rFonts w:ascii="黑体" w:eastAsia="黑体" w:hAnsi="黑体" w:hint="eastAsia"/>
                          <w:sz w:val="28"/>
                          <w:szCs w:val="21"/>
                        </w:rPr>
                        <w:t>产品发展</w:t>
                      </w:r>
                      <w:r w:rsidR="00B642C6">
                        <w:rPr>
                          <w:rFonts w:ascii="黑体" w:eastAsia="黑体" w:hAnsi="黑体" w:hint="eastAsia"/>
                          <w:sz w:val="28"/>
                          <w:szCs w:val="21"/>
                        </w:rPr>
                        <w:t>报告</w:t>
                      </w:r>
                    </w:p>
                    <w:p w:rsidR="00BF58E5" w:rsidRPr="00BF58E5" w:rsidRDefault="00BF58E5" w:rsidP="00BF58E5">
                      <w:pPr>
                        <w:adjustRightInd w:val="0"/>
                        <w:snapToGrid w:val="0"/>
                        <w:spacing w:line="336" w:lineRule="auto"/>
                        <w:jc w:val="center"/>
                        <w:rPr>
                          <w:rFonts w:ascii="黑体" w:eastAsia="黑体" w:hAnsi="黑体"/>
                          <w:sz w:val="15"/>
                          <w:szCs w:val="15"/>
                        </w:rPr>
                      </w:pPr>
                    </w:p>
                    <w:p w:rsidR="00CC56BC" w:rsidRPr="00BF58E5" w:rsidRDefault="00B74582" w:rsidP="00763F3F">
                      <w:pPr>
                        <w:adjustRightInd w:val="0"/>
                        <w:snapToGrid w:val="0"/>
                        <w:spacing w:line="336" w:lineRule="auto"/>
                        <w:ind w:firstLine="5245"/>
                        <w:rPr>
                          <w:rFonts w:ascii="黑体" w:eastAsia="黑体" w:hAnsi="黑体"/>
                          <w:sz w:val="21"/>
                          <w:szCs w:val="21"/>
                        </w:rPr>
                      </w:pPr>
                      <w:r w:rsidRPr="00BF58E5">
                        <w:rPr>
                          <w:rFonts w:ascii="黑体" w:eastAsia="黑体" w:hAnsi="黑体"/>
                          <w:sz w:val="21"/>
                          <w:szCs w:val="21"/>
                        </w:rPr>
                        <w:t>-</w:t>
                      </w:r>
                      <w:r w:rsidR="00CC56BC" w:rsidRPr="00BF58E5">
                        <w:rPr>
                          <w:rFonts w:ascii="黑体" w:eastAsia="黑体" w:hAnsi="黑体"/>
                          <w:sz w:val="21"/>
                          <w:szCs w:val="21"/>
                        </w:rPr>
                        <w:t>-</w:t>
                      </w:r>
                      <w:r w:rsidR="00763F3F" w:rsidRPr="00763F3F">
                        <w:rPr>
                          <w:rFonts w:ascii="黑体" w:eastAsia="黑体" w:hAnsi="黑体" w:hint="eastAsia"/>
                          <w:sz w:val="21"/>
                          <w:szCs w:val="21"/>
                        </w:rPr>
                        <w:t>公募基金、券商集合理财</w:t>
                      </w:r>
                    </w:p>
                  </w:txbxContent>
                </v:textbox>
              </v:shape>
            </w:pict>
          </mc:Fallback>
        </mc:AlternateContent>
      </w:r>
      <w:r>
        <w:rPr>
          <w:rFonts w:ascii="楷体_GB2312" w:eastAsia="楷体_GB2312" w:hAnsi="楷体"/>
          <w:b/>
          <w:noProof/>
          <w:color w:val="003366"/>
        </w:rPr>
        <mc:AlternateContent>
          <mc:Choice Requires="wps">
            <w:drawing>
              <wp:anchor distT="0" distB="0" distL="114300" distR="114300" simplePos="0" relativeHeight="251658240" behindDoc="0" locked="0" layoutInCell="1" allowOverlap="1">
                <wp:simplePos x="0" y="0"/>
                <wp:positionH relativeFrom="column">
                  <wp:posOffset>-582930</wp:posOffset>
                </wp:positionH>
                <wp:positionV relativeFrom="paragraph">
                  <wp:posOffset>-2179320</wp:posOffset>
                </wp:positionV>
                <wp:extent cx="5266690" cy="428625"/>
                <wp:effectExtent l="0" t="0" r="0" b="952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428625"/>
                        </a:xfrm>
                        <a:prstGeom prst="rect">
                          <a:avLst/>
                        </a:prstGeom>
                        <a:solidFill>
                          <a:srgbClr val="F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6BC" w:rsidRPr="006F5AF2" w:rsidRDefault="00CC56BC" w:rsidP="00C239F7">
                            <w:pPr>
                              <w:jc w:val="right"/>
                              <w:rPr>
                                <w:rFonts w:ascii="楷体_GB2312" w:eastAsia="楷体_GB2312" w:hAnsi="华文中宋"/>
                                <w:color w:val="FFFFFF"/>
                                <w:sz w:val="28"/>
                                <w:szCs w:val="28"/>
                              </w:rPr>
                            </w:pPr>
                            <w:r w:rsidRPr="006F5AF2">
                              <w:rPr>
                                <w:rFonts w:ascii="楷体_GB2312" w:eastAsia="楷体_GB2312" w:hAnsi="华文中宋" w:hint="eastAsia"/>
                                <w:color w:val="FFFFFF"/>
                                <w:sz w:val="28"/>
                                <w:szCs w:val="28"/>
                              </w:rPr>
                              <w:t>证券投资基金研究报告/基金</w:t>
                            </w:r>
                            <w:r>
                              <w:rPr>
                                <w:rFonts w:ascii="楷体_GB2312" w:eastAsia="楷体_GB2312" w:hAnsi="华文中宋" w:hint="eastAsia"/>
                                <w:color w:val="FFFFFF"/>
                                <w:sz w:val="28"/>
                                <w:szCs w:val="28"/>
                              </w:rPr>
                              <w:t>月</w:t>
                            </w:r>
                            <w:r w:rsidRPr="006F5AF2">
                              <w:rPr>
                                <w:rFonts w:ascii="楷体_GB2312" w:eastAsia="楷体_GB2312" w:hAnsi="华文中宋" w:hint="eastAsia"/>
                                <w:color w:val="FFFFFF"/>
                                <w:sz w:val="28"/>
                                <w:szCs w:val="28"/>
                              </w:rPr>
                              <w:t>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5.9pt;margin-top:-171.6pt;width:414.7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" fillcolor="#f00000" stroked="f">
                <v:textbox>
                  <w:txbxContent>
                    <w:p w:rsidR="00CC56BC" w:rsidRPr="006F5AF2" w:rsidRDefault="00CC56BC" w:rsidP="00C239F7">
                      <w:pPr>
                        <w:jc w:val="right"/>
                        <w:rPr>
                          <w:rFonts w:ascii="楷体_GB2312" w:eastAsia="楷体_GB2312" w:hAnsi="华文中宋"/>
                          <w:color w:val="FFFFFF"/>
                          <w:sz w:val="28"/>
                          <w:szCs w:val="28"/>
                        </w:rPr>
                      </w:pPr>
                      <w:r w:rsidRPr="006F5AF2">
                        <w:rPr>
                          <w:rFonts w:ascii="楷体_GB2312" w:eastAsia="楷体_GB2312" w:hAnsi="华文中宋" w:hint="eastAsia"/>
                          <w:color w:val="FFFFFF"/>
                          <w:sz w:val="28"/>
                          <w:szCs w:val="28"/>
                        </w:rPr>
                        <w:t>证券投资基金研究报告/基金</w:t>
                      </w:r>
                      <w:r>
                        <w:rPr>
                          <w:rFonts w:ascii="楷体_GB2312" w:eastAsia="楷体_GB2312" w:hAnsi="华文中宋" w:hint="eastAsia"/>
                          <w:color w:val="FFFFFF"/>
                          <w:sz w:val="28"/>
                          <w:szCs w:val="28"/>
                        </w:rPr>
                        <w:t>月</w:t>
                      </w:r>
                      <w:r w:rsidRPr="006F5AF2">
                        <w:rPr>
                          <w:rFonts w:ascii="楷体_GB2312" w:eastAsia="楷体_GB2312" w:hAnsi="华文中宋" w:hint="eastAsia"/>
                          <w:color w:val="FFFFFF"/>
                          <w:sz w:val="28"/>
                          <w:szCs w:val="28"/>
                        </w:rPr>
                        <w:t>报</w:t>
                      </w:r>
                    </w:p>
                  </w:txbxContent>
                </v:textbox>
              </v:shape>
            </w:pict>
          </mc:Fallback>
        </mc:AlternateContent>
      </w:r>
      <w:r w:rsidR="00116EFE" w:rsidRPr="003C7187">
        <w:rPr>
          <w:rFonts w:ascii="楷体_GB2312" w:eastAsia="楷体_GB2312" w:hAnsi="楷体" w:hint="eastAsia"/>
          <w:b/>
          <w:color w:val="003366"/>
        </w:rPr>
        <w:t>公募</w:t>
      </w:r>
      <w:r w:rsidR="00B31570" w:rsidRPr="003C7187">
        <w:rPr>
          <w:rFonts w:ascii="楷体_GB2312" w:eastAsia="楷体_GB2312" w:hAnsi="楷体" w:hint="eastAsia"/>
          <w:b/>
          <w:color w:val="003366"/>
        </w:rPr>
        <w:t>基金</w:t>
      </w:r>
      <w:r w:rsidR="00116EFE" w:rsidRPr="003C7187">
        <w:rPr>
          <w:rFonts w:ascii="楷体_GB2312" w:eastAsia="楷体_GB2312" w:hAnsi="楷体" w:hint="eastAsia"/>
          <w:b/>
          <w:color w:val="003366"/>
        </w:rPr>
        <w:t>：</w:t>
      </w:r>
    </w:p>
    <w:p w:rsidR="00F40535" w:rsidRPr="00CF73BE" w:rsidRDefault="00E51FC6" w:rsidP="00F40535">
      <w:pPr>
        <w:pStyle w:val="afa"/>
        <w:numPr>
          <w:ilvl w:val="0"/>
          <w:numId w:val="36"/>
        </w:numPr>
        <w:adjustRightInd w:val="0"/>
        <w:snapToGrid w:val="0"/>
        <w:spacing w:beforeLines="50" w:before="156" w:afterLines="50" w:after="156" w:line="264" w:lineRule="auto"/>
        <w:ind w:left="567" w:firstLineChars="0" w:hanging="567"/>
        <w:rPr>
          <w:rFonts w:ascii="楷体_GB2312" w:eastAsia="楷体_GB2312" w:hAnsi="楷体" w:cs="宋体"/>
          <w:noProof/>
          <w:color w:val="000000"/>
          <w:kern w:val="0"/>
        </w:rPr>
      </w:pPr>
      <w:r w:rsidRPr="00497B7F">
        <w:rPr>
          <w:rFonts w:ascii="楷体_GB2312" w:eastAsia="楷体_GB2312" w:hAnsi="楷体" w:cs="宋体" w:hint="eastAsia"/>
          <w:noProof/>
          <w:kern w:val="0"/>
        </w:rPr>
        <w:t>开年</w:t>
      </w:r>
      <w:r w:rsidRPr="00497B7F">
        <w:rPr>
          <w:rFonts w:ascii="楷体_GB2312" w:eastAsia="楷体_GB2312" w:hAnsi="楷体" w:cs="宋体"/>
          <w:noProof/>
          <w:kern w:val="0"/>
        </w:rPr>
        <w:t>以来</w:t>
      </w:r>
      <w:r w:rsidRPr="00497B7F">
        <w:rPr>
          <w:rFonts w:ascii="楷体_GB2312" w:eastAsia="楷体_GB2312" w:hAnsi="楷体" w:cs="宋体" w:hint="eastAsia"/>
          <w:noProof/>
          <w:kern w:val="0"/>
        </w:rPr>
        <w:t>A</w:t>
      </w:r>
      <w:r>
        <w:rPr>
          <w:rFonts w:ascii="楷体_GB2312" w:eastAsia="楷体_GB2312" w:hAnsi="楷体" w:cs="宋体" w:hint="eastAsia"/>
          <w:noProof/>
          <w:kern w:val="0"/>
        </w:rPr>
        <w:t>股维持宽幅</w:t>
      </w:r>
      <w:r>
        <w:rPr>
          <w:rFonts w:ascii="楷体_GB2312" w:eastAsia="楷体_GB2312" w:hAnsi="楷体" w:cs="宋体"/>
          <w:noProof/>
          <w:kern w:val="0"/>
        </w:rPr>
        <w:t>震荡</w:t>
      </w:r>
      <w:r>
        <w:rPr>
          <w:rFonts w:ascii="楷体_GB2312" w:eastAsia="楷体_GB2312" w:hAnsi="楷体" w:cs="宋体" w:hint="eastAsia"/>
          <w:noProof/>
          <w:kern w:val="0"/>
        </w:rPr>
        <w:t>，</w:t>
      </w:r>
      <w:r>
        <w:rPr>
          <w:rFonts w:ascii="楷体_GB2312" w:eastAsia="楷体_GB2312" w:hAnsi="楷体" w:cs="宋体"/>
          <w:noProof/>
          <w:kern w:val="0"/>
        </w:rPr>
        <w:t>缺乏持续性行情</w:t>
      </w:r>
      <w:r>
        <w:rPr>
          <w:rFonts w:ascii="楷体_GB2312" w:eastAsia="楷体_GB2312" w:hAnsi="楷体" w:cs="宋体" w:hint="eastAsia"/>
          <w:noProof/>
          <w:kern w:val="0"/>
        </w:rPr>
        <w:t>，</w:t>
      </w:r>
      <w:r>
        <w:rPr>
          <w:rFonts w:ascii="楷体_GB2312" w:eastAsia="楷体_GB2312" w:hAnsi="楷体" w:cs="宋体"/>
          <w:noProof/>
          <w:kern w:val="0"/>
        </w:rPr>
        <w:t>市场中枢下行，基金业绩表现不佳</w:t>
      </w:r>
      <w:r>
        <w:rPr>
          <w:rFonts w:ascii="楷体_GB2312" w:eastAsia="楷体_GB2312" w:hAnsi="楷体" w:cs="宋体" w:hint="eastAsia"/>
          <w:noProof/>
          <w:kern w:val="0"/>
        </w:rPr>
        <w:t>。尽管6月末</w:t>
      </w:r>
      <w:r>
        <w:rPr>
          <w:rFonts w:ascii="楷体_GB2312" w:eastAsia="楷体_GB2312" w:hAnsi="楷体" w:cs="宋体"/>
          <w:noProof/>
          <w:kern w:val="0"/>
        </w:rPr>
        <w:t>市场出现小规模反弹，但</w:t>
      </w:r>
      <w:r>
        <w:rPr>
          <w:rFonts w:ascii="楷体_GB2312" w:eastAsia="楷体_GB2312" w:hAnsi="楷体" w:cs="宋体" w:hint="eastAsia"/>
          <w:noProof/>
          <w:kern w:val="0"/>
        </w:rPr>
        <w:t>各方</w:t>
      </w:r>
      <w:r>
        <w:rPr>
          <w:rFonts w:ascii="楷体_GB2312" w:eastAsia="楷体_GB2312" w:hAnsi="楷体" w:cs="宋体"/>
          <w:noProof/>
          <w:kern w:val="0"/>
        </w:rPr>
        <w:t>对后市仍持谨慎态度。</w:t>
      </w:r>
      <w:r w:rsidRPr="00497B7F">
        <w:rPr>
          <w:rFonts w:ascii="楷体_GB2312" w:eastAsia="楷体_GB2312" w:hAnsi="楷体" w:cs="宋体" w:hint="eastAsia"/>
          <w:noProof/>
          <w:kern w:val="0"/>
        </w:rPr>
        <w:t>新基金</w:t>
      </w:r>
      <w:r w:rsidRPr="00497B7F">
        <w:rPr>
          <w:rFonts w:ascii="楷体_GB2312" w:eastAsia="楷体_GB2312" w:hAnsi="楷体" w:cs="宋体"/>
          <w:noProof/>
          <w:kern w:val="0"/>
        </w:rPr>
        <w:t>发行</w:t>
      </w:r>
      <w:r w:rsidRPr="00497B7F">
        <w:rPr>
          <w:rFonts w:ascii="楷体_GB2312" w:eastAsia="楷体_GB2312" w:hAnsi="楷体" w:cs="宋体" w:hint="eastAsia"/>
          <w:noProof/>
          <w:kern w:val="0"/>
        </w:rPr>
        <w:t>也</w:t>
      </w:r>
      <w:r w:rsidRPr="00497B7F">
        <w:rPr>
          <w:rFonts w:ascii="楷体_GB2312" w:eastAsia="楷体_GB2312" w:hAnsi="楷体" w:cs="宋体"/>
          <w:noProof/>
          <w:kern w:val="0"/>
        </w:rPr>
        <w:t>持续不振，</w:t>
      </w:r>
      <w:r w:rsidRPr="00497B7F">
        <w:rPr>
          <w:rFonts w:ascii="楷体_GB2312" w:eastAsia="楷体_GB2312" w:hAnsi="楷体" w:cs="宋体" w:hint="eastAsia"/>
          <w:noProof/>
          <w:kern w:val="0"/>
        </w:rPr>
        <w:t>投资者</w:t>
      </w:r>
      <w:r w:rsidRPr="00497B7F">
        <w:rPr>
          <w:rFonts w:ascii="楷体_GB2312" w:eastAsia="楷体_GB2312" w:hAnsi="楷体" w:cs="宋体"/>
          <w:noProof/>
          <w:kern w:val="0"/>
        </w:rPr>
        <w:t>认购热情较低，</w:t>
      </w:r>
      <w:r w:rsidR="00742379" w:rsidRPr="00497B7F">
        <w:rPr>
          <w:rFonts w:ascii="楷体_GB2312" w:eastAsia="楷体_GB2312" w:hAnsi="楷体" w:cs="宋体" w:hint="eastAsia"/>
          <w:noProof/>
          <w:kern w:val="0"/>
        </w:rPr>
        <w:t>募集</w:t>
      </w:r>
      <w:r w:rsidR="00742379" w:rsidRPr="00497B7F">
        <w:rPr>
          <w:rFonts w:ascii="楷体_GB2312" w:eastAsia="楷体_GB2312" w:hAnsi="楷体" w:cs="宋体"/>
          <w:noProof/>
          <w:kern w:val="0"/>
        </w:rPr>
        <w:t>规模一再</w:t>
      </w:r>
      <w:r w:rsidR="00742379" w:rsidRPr="00497B7F">
        <w:rPr>
          <w:rFonts w:ascii="楷体_GB2312" w:eastAsia="楷体_GB2312" w:hAnsi="楷体" w:cs="宋体" w:hint="eastAsia"/>
          <w:noProof/>
          <w:kern w:val="0"/>
        </w:rPr>
        <w:t>下降</w:t>
      </w:r>
      <w:r w:rsidR="00742379">
        <w:rPr>
          <w:rFonts w:ascii="楷体_GB2312" w:eastAsia="楷体_GB2312" w:hAnsi="楷体" w:cs="宋体" w:hint="eastAsia"/>
          <w:noProof/>
          <w:kern w:val="0"/>
        </w:rPr>
        <w:t>，</w:t>
      </w:r>
      <w:r w:rsidR="00742379" w:rsidRPr="00742379">
        <w:rPr>
          <w:rFonts w:ascii="楷体_GB2312" w:eastAsia="楷体_GB2312" w:hAnsi="楷体" w:cs="宋体" w:hint="eastAsia"/>
          <w:noProof/>
          <w:kern w:val="0"/>
        </w:rPr>
        <w:t>延长募集期、首募规模缩水</w:t>
      </w:r>
      <w:r w:rsidR="00742379">
        <w:rPr>
          <w:rFonts w:ascii="楷体_GB2312" w:eastAsia="楷体_GB2312" w:hAnsi="楷体" w:cs="宋体" w:hint="eastAsia"/>
          <w:noProof/>
          <w:kern w:val="0"/>
        </w:rPr>
        <w:t>已成</w:t>
      </w:r>
      <w:r w:rsidR="00742379">
        <w:rPr>
          <w:rFonts w:ascii="楷体_GB2312" w:eastAsia="楷体_GB2312" w:hAnsi="楷体" w:cs="宋体"/>
          <w:noProof/>
          <w:kern w:val="0"/>
        </w:rPr>
        <w:t>常态</w:t>
      </w:r>
      <w:r>
        <w:rPr>
          <w:rFonts w:ascii="楷体_GB2312" w:eastAsia="楷体_GB2312" w:hAnsi="楷体" w:cs="宋体" w:hint="eastAsia"/>
          <w:noProof/>
          <w:kern w:val="0"/>
        </w:rPr>
        <w:t>。受暂停注册采取连带责任担保方式等</w:t>
      </w:r>
      <w:r>
        <w:rPr>
          <w:rFonts w:ascii="楷体_GB2312" w:eastAsia="楷体_GB2312" w:hAnsi="楷体" w:cs="宋体"/>
          <w:noProof/>
          <w:kern w:val="0"/>
        </w:rPr>
        <w:t>监管趋严影响</w:t>
      </w:r>
      <w:r>
        <w:rPr>
          <w:rFonts w:ascii="楷体_GB2312" w:eastAsia="楷体_GB2312" w:hAnsi="楷体" w:cs="宋体" w:hint="eastAsia"/>
          <w:noProof/>
          <w:kern w:val="0"/>
        </w:rPr>
        <w:t>，</w:t>
      </w:r>
      <w:r w:rsidRPr="001C3061">
        <w:rPr>
          <w:rFonts w:ascii="楷体_GB2312" w:eastAsia="楷体_GB2312" w:hAnsi="楷体" w:cs="宋体" w:hint="eastAsia"/>
          <w:noProof/>
          <w:kern w:val="0"/>
        </w:rPr>
        <w:t>保本基金发行数量由上个月</w:t>
      </w:r>
      <w:r>
        <w:rPr>
          <w:rFonts w:ascii="楷体_GB2312" w:eastAsia="楷体_GB2312" w:hAnsi="楷体" w:cs="宋体" w:hint="eastAsia"/>
          <w:noProof/>
          <w:kern w:val="0"/>
        </w:rPr>
        <w:t>的</w:t>
      </w:r>
      <w:r w:rsidRPr="001C3061">
        <w:rPr>
          <w:rFonts w:ascii="楷体_GB2312" w:eastAsia="楷体_GB2312" w:hAnsi="楷体" w:cs="宋体" w:hint="eastAsia"/>
          <w:noProof/>
          <w:kern w:val="0"/>
        </w:rPr>
        <w:t>12只降至</w:t>
      </w:r>
      <w:r>
        <w:rPr>
          <w:rFonts w:ascii="楷体_GB2312" w:eastAsia="楷体_GB2312" w:hAnsi="楷体" w:cs="宋体" w:hint="eastAsia"/>
          <w:noProof/>
          <w:kern w:val="0"/>
        </w:rPr>
        <w:t>本月</w:t>
      </w:r>
      <w:r>
        <w:rPr>
          <w:rFonts w:ascii="楷体_GB2312" w:eastAsia="楷体_GB2312" w:hAnsi="楷体" w:cs="宋体"/>
          <w:noProof/>
          <w:kern w:val="0"/>
        </w:rPr>
        <w:t>的</w:t>
      </w:r>
      <w:r w:rsidRPr="001C3061">
        <w:rPr>
          <w:rFonts w:ascii="楷体_GB2312" w:eastAsia="楷体_GB2312" w:hAnsi="楷体" w:cs="宋体" w:hint="eastAsia"/>
          <w:noProof/>
          <w:kern w:val="0"/>
        </w:rPr>
        <w:t>4只，</w:t>
      </w:r>
      <w:r>
        <w:rPr>
          <w:rFonts w:ascii="楷体_GB2312" w:eastAsia="楷体_GB2312" w:hAnsi="楷体" w:cs="宋体" w:hint="eastAsia"/>
          <w:noProof/>
          <w:kern w:val="0"/>
        </w:rPr>
        <w:t>但</w:t>
      </w:r>
      <w:r w:rsidRPr="003B37C9">
        <w:rPr>
          <w:rFonts w:ascii="楷体_GB2312" w:eastAsia="楷体_GB2312" w:hAnsi="楷体" w:cs="宋体" w:hint="eastAsia"/>
          <w:noProof/>
          <w:kern w:val="0"/>
        </w:rPr>
        <w:t>发行总规模依旧亮眼</w:t>
      </w:r>
      <w:r>
        <w:rPr>
          <w:rFonts w:ascii="楷体_GB2312" w:eastAsia="楷体_GB2312" w:hAnsi="楷体" w:cs="宋体" w:hint="eastAsia"/>
          <w:noProof/>
          <w:kern w:val="0"/>
        </w:rPr>
        <w:t>，</w:t>
      </w:r>
      <w:r>
        <w:rPr>
          <w:rFonts w:ascii="楷体_GB2312" w:eastAsia="楷体_GB2312" w:hAnsi="楷体" w:cs="宋体"/>
          <w:noProof/>
          <w:kern w:val="0"/>
        </w:rPr>
        <w:t>包揽本期</w:t>
      </w:r>
      <w:r>
        <w:rPr>
          <w:rFonts w:ascii="楷体_GB2312" w:eastAsia="楷体_GB2312" w:hAnsi="楷体" w:cs="宋体" w:hint="eastAsia"/>
          <w:noProof/>
          <w:kern w:val="0"/>
        </w:rPr>
        <w:t>募集</w:t>
      </w:r>
      <w:r>
        <w:rPr>
          <w:rFonts w:ascii="楷体_GB2312" w:eastAsia="楷体_GB2312" w:hAnsi="楷体" w:cs="宋体"/>
          <w:noProof/>
          <w:kern w:val="0"/>
        </w:rPr>
        <w:t>规模前</w:t>
      </w:r>
      <w:r>
        <w:rPr>
          <w:rFonts w:ascii="楷体_GB2312" w:eastAsia="楷体_GB2312" w:hAnsi="楷体" w:cs="宋体" w:hint="eastAsia"/>
          <w:noProof/>
          <w:kern w:val="0"/>
        </w:rPr>
        <w:t>4</w:t>
      </w:r>
      <w:r>
        <w:rPr>
          <w:rFonts w:ascii="楷体_GB2312" w:eastAsia="楷体_GB2312" w:hAnsi="楷体" w:cs="宋体"/>
          <w:noProof/>
          <w:kern w:val="0"/>
        </w:rPr>
        <w:t>席，其中</w:t>
      </w:r>
      <w:r w:rsidRPr="003B37C9">
        <w:rPr>
          <w:rFonts w:ascii="楷体_GB2312" w:eastAsia="楷体_GB2312" w:hAnsi="楷体" w:cs="宋体" w:hint="eastAsia"/>
          <w:noProof/>
          <w:kern w:val="0"/>
        </w:rPr>
        <w:t>广发稳裕保本</w:t>
      </w:r>
      <w:r>
        <w:rPr>
          <w:rFonts w:ascii="楷体_GB2312" w:eastAsia="楷体_GB2312" w:hAnsi="楷体" w:cs="宋体" w:hint="eastAsia"/>
          <w:noProof/>
          <w:kern w:val="0"/>
        </w:rPr>
        <w:t>更是</w:t>
      </w:r>
      <w:r>
        <w:rPr>
          <w:rFonts w:ascii="楷体_GB2312" w:eastAsia="楷体_GB2312" w:hAnsi="楷体" w:cs="宋体"/>
          <w:noProof/>
          <w:kern w:val="0"/>
        </w:rPr>
        <w:t>逼近</w:t>
      </w:r>
      <w:r>
        <w:rPr>
          <w:rFonts w:ascii="楷体_GB2312" w:eastAsia="楷体_GB2312" w:hAnsi="楷体" w:cs="宋体" w:hint="eastAsia"/>
          <w:noProof/>
          <w:kern w:val="0"/>
        </w:rPr>
        <w:t>50亿</w:t>
      </w:r>
      <w:r>
        <w:rPr>
          <w:rFonts w:ascii="楷体_GB2312" w:eastAsia="楷体_GB2312" w:hAnsi="楷体" w:cs="宋体"/>
          <w:noProof/>
          <w:kern w:val="0"/>
        </w:rPr>
        <w:t>份额大关。</w:t>
      </w:r>
    </w:p>
    <w:p w:rsidR="00CF73BE" w:rsidRPr="00CF73BE" w:rsidRDefault="00CF73BE" w:rsidP="006A69F5">
      <w:pPr>
        <w:pStyle w:val="afa"/>
        <w:numPr>
          <w:ilvl w:val="0"/>
          <w:numId w:val="36"/>
        </w:numPr>
        <w:spacing w:beforeLines="50" w:before="156" w:afterLines="50" w:after="156" w:line="252" w:lineRule="auto"/>
        <w:ind w:left="567" w:firstLineChars="0" w:hanging="561"/>
        <w:rPr>
          <w:rFonts w:ascii="楷体_GB2312" w:eastAsia="楷体_GB2312" w:hAnsi="楷体" w:cs="宋体"/>
          <w:noProof/>
          <w:color w:val="000000"/>
          <w:kern w:val="0"/>
        </w:rPr>
      </w:pPr>
      <w:r w:rsidRPr="003C7187">
        <w:rPr>
          <w:rFonts w:ascii="楷体_GB2312" w:eastAsia="楷体_GB2312" w:hAnsi="楷体" w:cs="宋体" w:hint="eastAsia"/>
          <w:b/>
          <w:noProof/>
          <w:color w:val="000000"/>
          <w:kern w:val="0"/>
        </w:rPr>
        <w:t>基金发行概况：</w:t>
      </w:r>
      <w:r w:rsidR="002F38CA" w:rsidRPr="007F7F84">
        <w:rPr>
          <w:rFonts w:ascii="楷体_GB2312" w:eastAsia="楷体_GB2312" w:hAnsi="楷体" w:cs="宋体" w:hint="eastAsia"/>
          <w:noProof/>
          <w:color w:val="000000"/>
          <w:kern w:val="0"/>
        </w:rPr>
        <w:t>本月新基金发行数量为45只，较上月出现较大幅度下降。权益类基金发行17只，其中混合型12只、股票型2只、指数型3只。固定收益类产品中债券型数量继续回升达到19只，货币型数量为5只；其他类</w:t>
      </w:r>
      <w:r w:rsidR="002F38CA">
        <w:rPr>
          <w:rFonts w:ascii="楷体_GB2312" w:eastAsia="楷体_GB2312" w:hAnsi="楷体" w:cs="宋体" w:hint="eastAsia"/>
          <w:noProof/>
          <w:color w:val="000000"/>
          <w:kern w:val="0"/>
        </w:rPr>
        <w:t>4</w:t>
      </w:r>
      <w:r w:rsidR="002F38CA" w:rsidRPr="007F7F84">
        <w:rPr>
          <w:rFonts w:ascii="楷体_GB2312" w:eastAsia="楷体_GB2312" w:hAnsi="楷体" w:cs="宋体" w:hint="eastAsia"/>
          <w:noProof/>
          <w:color w:val="000000"/>
          <w:kern w:val="0"/>
        </w:rPr>
        <w:t>只：保本类</w:t>
      </w:r>
      <w:r w:rsidR="002F38CA">
        <w:rPr>
          <w:rFonts w:ascii="楷体_GB2312" w:eastAsia="楷体_GB2312" w:hAnsi="楷体" w:cs="宋体" w:hint="eastAsia"/>
          <w:noProof/>
          <w:color w:val="000000"/>
          <w:kern w:val="0"/>
        </w:rPr>
        <w:t>4</w:t>
      </w:r>
      <w:r w:rsidR="002F38CA" w:rsidRPr="007F7F84">
        <w:rPr>
          <w:rFonts w:ascii="楷体_GB2312" w:eastAsia="楷体_GB2312" w:hAnsi="楷体" w:cs="宋体" w:hint="eastAsia"/>
          <w:noProof/>
          <w:color w:val="000000"/>
          <w:kern w:val="0"/>
        </w:rPr>
        <w:t>只、商品类</w:t>
      </w:r>
      <w:r w:rsidR="002F38CA">
        <w:rPr>
          <w:rFonts w:ascii="楷体_GB2312" w:eastAsia="楷体_GB2312" w:hAnsi="楷体" w:cs="宋体" w:hint="eastAsia"/>
          <w:noProof/>
          <w:color w:val="000000"/>
          <w:kern w:val="0"/>
        </w:rPr>
        <w:t>0</w:t>
      </w:r>
      <w:r w:rsidR="002F38CA" w:rsidRPr="007F7F84">
        <w:rPr>
          <w:rFonts w:ascii="楷体_GB2312" w:eastAsia="楷体_GB2312" w:hAnsi="楷体" w:cs="宋体" w:hint="eastAsia"/>
          <w:noProof/>
          <w:color w:val="000000"/>
          <w:kern w:val="0"/>
        </w:rPr>
        <w:t>只；QDII方面，</w:t>
      </w:r>
      <w:r w:rsidR="002F38CA">
        <w:rPr>
          <w:rFonts w:ascii="楷体_GB2312" w:eastAsia="楷体_GB2312" w:hAnsi="楷体" w:cs="宋体" w:hint="eastAsia"/>
          <w:noProof/>
          <w:color w:val="000000"/>
          <w:kern w:val="0"/>
        </w:rPr>
        <w:t>没有</w:t>
      </w:r>
      <w:r w:rsidR="002F38CA" w:rsidRPr="007F7F84">
        <w:rPr>
          <w:rFonts w:ascii="楷体_GB2312" w:eastAsia="楷体_GB2312" w:hAnsi="楷体" w:cs="宋体" w:hint="eastAsia"/>
          <w:noProof/>
          <w:color w:val="000000"/>
          <w:kern w:val="0"/>
        </w:rPr>
        <w:t>产品出海。</w:t>
      </w:r>
    </w:p>
    <w:p w:rsidR="00F40535" w:rsidRPr="0058067B" w:rsidRDefault="007109A8" w:rsidP="00F40535">
      <w:pPr>
        <w:pStyle w:val="afa"/>
        <w:numPr>
          <w:ilvl w:val="0"/>
          <w:numId w:val="36"/>
        </w:numPr>
        <w:adjustRightInd w:val="0"/>
        <w:snapToGrid w:val="0"/>
        <w:spacing w:beforeLines="50" w:before="156" w:afterLines="50" w:after="156" w:line="264" w:lineRule="auto"/>
        <w:ind w:left="567" w:firstLineChars="0"/>
        <w:rPr>
          <w:rFonts w:ascii="楷体_GB2312" w:eastAsia="楷体_GB2312" w:hAnsi="楷体" w:cs="宋体"/>
          <w:noProof/>
          <w:color w:val="000000"/>
          <w:kern w:val="0"/>
        </w:rPr>
      </w:pPr>
      <w:r w:rsidRPr="00F40535">
        <w:rPr>
          <w:rFonts w:ascii="楷体_GB2312" w:eastAsia="楷体_GB2312" w:hAnsi="楷体" w:cs="宋体" w:hint="eastAsia"/>
          <w:b/>
          <w:noProof/>
          <w:color w:val="000000"/>
          <w:kern w:val="0"/>
        </w:rPr>
        <w:t>基金募集概况：</w:t>
      </w:r>
      <w:r w:rsidR="00F40535" w:rsidRPr="0058067B">
        <w:rPr>
          <w:rFonts w:ascii="楷体_GB2312" w:eastAsia="楷体_GB2312" w:hAnsi="楷体" w:cs="宋体" w:hint="eastAsia"/>
          <w:noProof/>
          <w:color w:val="000000"/>
          <w:kern w:val="0"/>
        </w:rPr>
        <w:t>本月有</w:t>
      </w:r>
      <w:r w:rsidR="00F40535">
        <w:rPr>
          <w:rFonts w:ascii="楷体_GB2312" w:eastAsia="楷体_GB2312" w:hAnsi="楷体" w:cs="宋体" w:hint="eastAsia"/>
          <w:noProof/>
          <w:color w:val="000000"/>
          <w:kern w:val="0"/>
        </w:rPr>
        <w:t>95只基金正在募集中，可认购新基金数量较上月大幅下跌</w:t>
      </w:r>
      <w:r w:rsidR="00F40535" w:rsidRPr="0058067B">
        <w:rPr>
          <w:rFonts w:ascii="楷体_GB2312" w:eastAsia="楷体_GB2312" w:hAnsi="楷体" w:cs="宋体" w:hint="eastAsia"/>
          <w:noProof/>
          <w:color w:val="000000"/>
          <w:kern w:val="0"/>
        </w:rPr>
        <w:t>。投资于国内市场的基金中，权益类基金（股、混、指）可选择范围较广（</w:t>
      </w:r>
      <w:r w:rsidR="00F40535">
        <w:rPr>
          <w:rFonts w:ascii="楷体_GB2312" w:eastAsia="楷体_GB2312" w:hAnsi="楷体" w:cs="宋体" w:hint="eastAsia"/>
          <w:noProof/>
          <w:color w:val="000000"/>
          <w:kern w:val="0"/>
        </w:rPr>
        <w:t>41</w:t>
      </w:r>
      <w:r w:rsidR="00F40535" w:rsidRPr="0058067B">
        <w:rPr>
          <w:rFonts w:ascii="楷体_GB2312" w:eastAsia="楷体_GB2312" w:hAnsi="楷体" w:cs="宋体" w:hint="eastAsia"/>
          <w:noProof/>
          <w:color w:val="000000"/>
          <w:kern w:val="0"/>
        </w:rPr>
        <w:t>只），但股票型与指数型数量较少，分别为</w:t>
      </w:r>
      <w:r w:rsidR="00F40535">
        <w:rPr>
          <w:rFonts w:ascii="楷体_GB2312" w:eastAsia="楷体_GB2312" w:hAnsi="楷体" w:cs="宋体" w:hint="eastAsia"/>
          <w:noProof/>
          <w:color w:val="000000"/>
          <w:kern w:val="0"/>
        </w:rPr>
        <w:t>5</w:t>
      </w:r>
      <w:r w:rsidR="00F40535" w:rsidRPr="0058067B">
        <w:rPr>
          <w:rFonts w:ascii="楷体_GB2312" w:eastAsia="楷体_GB2312" w:hAnsi="楷体" w:cs="宋体" w:hint="eastAsia"/>
          <w:noProof/>
          <w:color w:val="000000"/>
          <w:kern w:val="0"/>
        </w:rPr>
        <w:t>只和</w:t>
      </w:r>
      <w:r w:rsidR="00F40535">
        <w:rPr>
          <w:rFonts w:ascii="楷体_GB2312" w:eastAsia="楷体_GB2312" w:hAnsi="楷体" w:cs="宋体" w:hint="eastAsia"/>
          <w:noProof/>
          <w:color w:val="000000"/>
          <w:kern w:val="0"/>
        </w:rPr>
        <w:t>2</w:t>
      </w:r>
      <w:r w:rsidR="00F40535" w:rsidRPr="0058067B">
        <w:rPr>
          <w:rFonts w:ascii="楷体_GB2312" w:eastAsia="楷体_GB2312" w:hAnsi="楷体" w:cs="宋体" w:hint="eastAsia"/>
          <w:noProof/>
          <w:color w:val="000000"/>
          <w:kern w:val="0"/>
        </w:rPr>
        <w:t>只；固定收益类基金（债、货）可认购数量为</w:t>
      </w:r>
      <w:r w:rsidR="00F40535">
        <w:rPr>
          <w:rFonts w:ascii="楷体_GB2312" w:eastAsia="楷体_GB2312" w:hAnsi="楷体" w:cs="宋体" w:hint="eastAsia"/>
          <w:noProof/>
          <w:color w:val="000000"/>
          <w:kern w:val="0"/>
        </w:rPr>
        <w:t>40</w:t>
      </w:r>
      <w:r w:rsidR="00F40535" w:rsidRPr="0058067B">
        <w:rPr>
          <w:rFonts w:ascii="楷体_GB2312" w:eastAsia="楷体_GB2312" w:hAnsi="楷体" w:cs="宋体" w:hint="eastAsia"/>
          <w:noProof/>
          <w:color w:val="000000"/>
          <w:kern w:val="0"/>
        </w:rPr>
        <w:t>只，其中债券型与货币型分别为</w:t>
      </w:r>
      <w:r w:rsidR="00F40535">
        <w:rPr>
          <w:rFonts w:ascii="楷体_GB2312" w:eastAsia="楷体_GB2312" w:hAnsi="楷体" w:cs="宋体" w:hint="eastAsia"/>
          <w:noProof/>
          <w:color w:val="000000"/>
          <w:kern w:val="0"/>
        </w:rPr>
        <w:t>31</w:t>
      </w:r>
      <w:r w:rsidR="00F40535" w:rsidRPr="0058067B">
        <w:rPr>
          <w:rFonts w:ascii="楷体_GB2312" w:eastAsia="楷体_GB2312" w:hAnsi="楷体" w:cs="宋体" w:hint="eastAsia"/>
          <w:noProof/>
          <w:color w:val="000000"/>
          <w:kern w:val="0"/>
        </w:rPr>
        <w:t>只和</w:t>
      </w:r>
      <w:r w:rsidR="00F40535">
        <w:rPr>
          <w:rFonts w:ascii="楷体_GB2312" w:eastAsia="楷体_GB2312" w:hAnsi="楷体" w:cs="宋体" w:hint="eastAsia"/>
          <w:noProof/>
          <w:color w:val="000000"/>
          <w:kern w:val="0"/>
        </w:rPr>
        <w:t>9</w:t>
      </w:r>
      <w:r w:rsidR="00F40535" w:rsidRPr="0058067B">
        <w:rPr>
          <w:rFonts w:ascii="楷体_GB2312" w:eastAsia="楷体_GB2312" w:hAnsi="楷体" w:cs="宋体" w:hint="eastAsia"/>
          <w:noProof/>
          <w:color w:val="000000"/>
          <w:kern w:val="0"/>
        </w:rPr>
        <w:t>只；QDII类产品</w:t>
      </w:r>
      <w:r w:rsidR="00F40535">
        <w:rPr>
          <w:rFonts w:ascii="楷体_GB2312" w:eastAsia="楷体_GB2312" w:hAnsi="楷体" w:cs="宋体" w:hint="eastAsia"/>
          <w:noProof/>
          <w:color w:val="000000"/>
          <w:kern w:val="0"/>
        </w:rPr>
        <w:t>1</w:t>
      </w:r>
      <w:r w:rsidR="00F40535" w:rsidRPr="0058067B">
        <w:rPr>
          <w:rFonts w:ascii="楷体_GB2312" w:eastAsia="楷体_GB2312" w:hAnsi="楷体" w:cs="宋体" w:hint="eastAsia"/>
          <w:noProof/>
          <w:color w:val="000000"/>
          <w:kern w:val="0"/>
        </w:rPr>
        <w:t>只；保本混合型为</w:t>
      </w:r>
      <w:r w:rsidR="00F40535">
        <w:rPr>
          <w:rFonts w:ascii="楷体_GB2312" w:eastAsia="楷体_GB2312" w:hAnsi="楷体" w:cs="宋体" w:hint="eastAsia"/>
          <w:noProof/>
          <w:color w:val="000000"/>
          <w:kern w:val="0"/>
        </w:rPr>
        <w:t>13</w:t>
      </w:r>
      <w:r w:rsidR="00F40535" w:rsidRPr="0058067B">
        <w:rPr>
          <w:rFonts w:ascii="楷体_GB2312" w:eastAsia="楷体_GB2312" w:hAnsi="楷体" w:cs="宋体" w:hint="eastAsia"/>
          <w:noProof/>
          <w:color w:val="000000"/>
          <w:kern w:val="0"/>
        </w:rPr>
        <w:t>只，可申购混合型基金延续较高占比的趋势，可选择范围较广。</w:t>
      </w:r>
    </w:p>
    <w:p w:rsidR="005C637C" w:rsidRPr="005C637C" w:rsidRDefault="007109A8" w:rsidP="00963B15">
      <w:pPr>
        <w:pStyle w:val="afa"/>
        <w:numPr>
          <w:ilvl w:val="0"/>
          <w:numId w:val="36"/>
        </w:numPr>
        <w:adjustRightInd w:val="0"/>
        <w:snapToGrid w:val="0"/>
        <w:spacing w:beforeLines="50" w:before="156" w:afterLines="50" w:after="156" w:line="252" w:lineRule="auto"/>
        <w:ind w:left="567" w:firstLineChars="0" w:hanging="567"/>
        <w:rPr>
          <w:rFonts w:ascii="楷体_GB2312" w:eastAsia="楷体_GB2312" w:hAnsi="楷体"/>
          <w:b/>
          <w:color w:val="003366"/>
        </w:rPr>
      </w:pPr>
      <w:r w:rsidRPr="005C637C">
        <w:rPr>
          <w:rFonts w:ascii="楷体_GB2312" w:eastAsia="楷体_GB2312" w:hAnsi="楷体" w:cs="宋体" w:hint="eastAsia"/>
          <w:b/>
          <w:noProof/>
          <w:color w:val="000000"/>
          <w:kern w:val="0"/>
        </w:rPr>
        <w:t>基金成立概况：</w:t>
      </w:r>
      <w:r w:rsidR="00F40535" w:rsidRPr="005C637C">
        <w:rPr>
          <w:rFonts w:ascii="楷体_GB2312" w:eastAsia="楷体_GB2312" w:hAnsi="楷体" w:cs="宋体" w:hint="eastAsia"/>
          <w:noProof/>
          <w:color w:val="000000"/>
          <w:kern w:val="0"/>
        </w:rPr>
        <w:t>本月新设立基金数量为87只，较上期的83</w:t>
      </w:r>
      <w:r w:rsidR="00A52DD3" w:rsidRPr="005C637C">
        <w:rPr>
          <w:rFonts w:ascii="楷体_GB2312" w:eastAsia="楷体_GB2312" w:hAnsi="楷体" w:cs="宋体" w:hint="eastAsia"/>
          <w:noProof/>
          <w:color w:val="000000"/>
          <w:kern w:val="0"/>
        </w:rPr>
        <w:t>只数量有所增加，募集规模亦有</w:t>
      </w:r>
      <w:r w:rsidR="00F40535" w:rsidRPr="005C637C">
        <w:rPr>
          <w:rFonts w:ascii="楷体_GB2312" w:eastAsia="楷体_GB2312" w:hAnsi="楷体" w:cs="宋体" w:hint="eastAsia"/>
          <w:noProof/>
          <w:color w:val="000000"/>
          <w:kern w:val="0"/>
        </w:rPr>
        <w:t>涨幅。保本基金本期发行量大幅增加至313.67亿份，发行占比由此前18.08%升至</w:t>
      </w:r>
      <w:r w:rsidR="00B613BC">
        <w:rPr>
          <w:rFonts w:ascii="楷体_GB2312" w:eastAsia="楷体_GB2312" w:hAnsi="楷体" w:cs="宋体"/>
          <w:noProof/>
          <w:color w:val="000000"/>
          <w:kern w:val="0"/>
        </w:rPr>
        <w:t>34.24</w:t>
      </w:r>
      <w:r w:rsidR="00F40535" w:rsidRPr="005C637C">
        <w:rPr>
          <w:rFonts w:ascii="楷体_GB2312" w:eastAsia="楷体_GB2312" w:hAnsi="楷体" w:cs="宋体" w:hint="eastAsia"/>
          <w:noProof/>
          <w:color w:val="000000"/>
          <w:kern w:val="0"/>
        </w:rPr>
        <w:t>%。</w:t>
      </w:r>
    </w:p>
    <w:p w:rsidR="00B10DBA" w:rsidRPr="005C637C" w:rsidRDefault="00B10DBA" w:rsidP="005C637C">
      <w:pPr>
        <w:adjustRightInd w:val="0"/>
        <w:snapToGrid w:val="0"/>
        <w:spacing w:beforeLines="50" w:before="156" w:afterLines="50" w:after="156" w:line="252" w:lineRule="auto"/>
        <w:rPr>
          <w:rFonts w:ascii="楷体_GB2312" w:eastAsia="楷体_GB2312" w:hAnsi="楷体"/>
          <w:b/>
          <w:color w:val="003366"/>
        </w:rPr>
      </w:pPr>
      <w:r w:rsidRPr="005C637C">
        <w:rPr>
          <w:rFonts w:ascii="楷体_GB2312" w:eastAsia="楷体_GB2312" w:hAnsi="楷体" w:hint="eastAsia"/>
          <w:b/>
          <w:color w:val="003366"/>
        </w:rPr>
        <w:t>券商集合理财：</w:t>
      </w:r>
    </w:p>
    <w:p w:rsidR="00B10DBA" w:rsidRPr="003C7187" w:rsidRDefault="002F38CA" w:rsidP="002F38CA">
      <w:pPr>
        <w:pStyle w:val="afa"/>
        <w:numPr>
          <w:ilvl w:val="0"/>
          <w:numId w:val="36"/>
        </w:numPr>
        <w:spacing w:beforeLines="50" w:before="156" w:afterLines="50" w:after="156" w:line="252" w:lineRule="auto"/>
        <w:ind w:firstLineChars="0"/>
        <w:rPr>
          <w:rFonts w:ascii="楷体_GB2312" w:eastAsia="楷体_GB2312" w:hAnsi="楷体" w:cs="宋体"/>
          <w:b/>
          <w:noProof/>
          <w:color w:val="000000"/>
          <w:kern w:val="0"/>
        </w:rPr>
      </w:pPr>
      <w:r w:rsidRPr="003C7187">
        <w:rPr>
          <w:rFonts w:ascii="楷体_GB2312" w:eastAsia="楷体_GB2312" w:hAnsi="楷体" w:cs="宋体" w:hint="eastAsia"/>
          <w:noProof/>
          <w:color w:val="000000"/>
          <w:kern w:val="0"/>
        </w:rPr>
        <w:t>相比上月，</w:t>
      </w:r>
      <w:r w:rsidRPr="00BF1357">
        <w:rPr>
          <w:rFonts w:ascii="楷体_GB2312" w:eastAsia="楷体_GB2312" w:hAnsi="楷体" w:cs="宋体" w:hint="eastAsia"/>
          <w:noProof/>
          <w:color w:val="000000"/>
          <w:kern w:val="0"/>
        </w:rPr>
        <w:t>券商集合理财</w:t>
      </w:r>
      <w:r w:rsidRPr="003C7187">
        <w:rPr>
          <w:rFonts w:ascii="楷体_GB2312" w:eastAsia="楷体_GB2312" w:hAnsi="楷体" w:cs="宋体" w:hint="eastAsia"/>
          <w:noProof/>
          <w:color w:val="000000"/>
          <w:kern w:val="0"/>
        </w:rPr>
        <w:t>发行数量</w:t>
      </w:r>
      <w:r>
        <w:rPr>
          <w:rFonts w:ascii="楷体_GB2312" w:eastAsia="楷体_GB2312" w:hAnsi="楷体" w:cs="宋体" w:hint="eastAsia"/>
          <w:noProof/>
          <w:color w:val="000000"/>
          <w:kern w:val="0"/>
        </w:rPr>
        <w:t>有所上升，但份额却有所下降</w:t>
      </w:r>
      <w:r>
        <w:rPr>
          <w:rFonts w:ascii="楷体_GB2312" w:eastAsia="楷体_GB2312" w:hAnsi="楷体" w:cs="宋体"/>
          <w:noProof/>
          <w:color w:val="000000"/>
          <w:kern w:val="0"/>
        </w:rPr>
        <w:t>。</w:t>
      </w:r>
      <w:r>
        <w:rPr>
          <w:rFonts w:ascii="楷体_GB2312" w:eastAsia="楷体_GB2312" w:hAnsi="楷体" w:cs="宋体" w:hint="eastAsia"/>
          <w:noProof/>
          <w:color w:val="000000"/>
          <w:kern w:val="0"/>
        </w:rPr>
        <w:t>本期共</w:t>
      </w:r>
      <w:r w:rsidRPr="00296469">
        <w:rPr>
          <w:rFonts w:ascii="楷体_GB2312" w:eastAsia="楷体_GB2312" w:hAnsi="楷体" w:cs="宋体" w:hint="eastAsia"/>
          <w:noProof/>
          <w:color w:val="000000"/>
          <w:kern w:val="0"/>
        </w:rPr>
        <w:t>发行</w:t>
      </w:r>
      <w:r>
        <w:rPr>
          <w:rFonts w:ascii="楷体_GB2312" w:eastAsia="楷体_GB2312" w:hAnsi="楷体" w:cs="宋体"/>
          <w:noProof/>
          <w:color w:val="000000"/>
          <w:kern w:val="0"/>
        </w:rPr>
        <w:t>988</w:t>
      </w:r>
      <w:r>
        <w:rPr>
          <w:rFonts w:ascii="楷体_GB2312" w:eastAsia="楷体_GB2312" w:hAnsi="楷体" w:cs="宋体" w:hint="eastAsia"/>
          <w:noProof/>
          <w:color w:val="000000"/>
          <w:kern w:val="0"/>
        </w:rPr>
        <w:t>只产品，</w:t>
      </w:r>
      <w:r>
        <w:rPr>
          <w:rFonts w:ascii="楷体_GB2312" w:eastAsia="楷体_GB2312" w:hAnsi="楷体" w:cs="宋体"/>
          <w:noProof/>
          <w:color w:val="000000"/>
          <w:kern w:val="0"/>
        </w:rPr>
        <w:t>环比</w:t>
      </w:r>
      <w:r>
        <w:rPr>
          <w:rFonts w:ascii="楷体_GB2312" w:eastAsia="楷体_GB2312" w:hAnsi="楷体" w:cs="宋体" w:hint="eastAsia"/>
          <w:noProof/>
          <w:color w:val="000000"/>
          <w:kern w:val="0"/>
        </w:rPr>
        <w:t>增加</w:t>
      </w:r>
      <w:r>
        <w:rPr>
          <w:rFonts w:ascii="楷体_GB2312" w:eastAsia="楷体_GB2312" w:hAnsi="楷体" w:cs="宋体"/>
          <w:noProof/>
          <w:color w:val="000000"/>
          <w:kern w:val="0"/>
        </w:rPr>
        <w:t>逾</w:t>
      </w:r>
      <w:r>
        <w:rPr>
          <w:rFonts w:ascii="楷体_GB2312" w:eastAsia="楷体_GB2312" w:hAnsi="楷体" w:cs="宋体" w:hint="eastAsia"/>
          <w:noProof/>
          <w:color w:val="000000"/>
          <w:kern w:val="0"/>
        </w:rPr>
        <w:t>55个</w:t>
      </w:r>
      <w:r>
        <w:rPr>
          <w:rFonts w:ascii="楷体_GB2312" w:eastAsia="楷体_GB2312" w:hAnsi="楷体" w:cs="宋体"/>
          <w:noProof/>
          <w:color w:val="000000"/>
          <w:kern w:val="0"/>
        </w:rPr>
        <w:t>百分点</w:t>
      </w:r>
      <w:r>
        <w:rPr>
          <w:rFonts w:ascii="楷体_GB2312" w:eastAsia="楷体_GB2312" w:hAnsi="楷体" w:cs="宋体" w:hint="eastAsia"/>
          <w:noProof/>
          <w:color w:val="000000"/>
          <w:kern w:val="0"/>
        </w:rPr>
        <w:t>；</w:t>
      </w:r>
      <w:r w:rsidRPr="00296469">
        <w:rPr>
          <w:rFonts w:ascii="楷体_GB2312" w:eastAsia="楷体_GB2312" w:hAnsi="楷体" w:cs="宋体" w:hint="eastAsia"/>
          <w:noProof/>
          <w:color w:val="000000"/>
          <w:kern w:val="0"/>
        </w:rPr>
        <w:t>发行份额</w:t>
      </w:r>
      <w:r>
        <w:rPr>
          <w:rFonts w:ascii="楷体_GB2312" w:eastAsia="楷体_GB2312" w:hAnsi="楷体" w:cs="宋体" w:hint="eastAsia"/>
          <w:noProof/>
          <w:color w:val="000000"/>
          <w:kern w:val="0"/>
        </w:rPr>
        <w:t>共计</w:t>
      </w:r>
      <w:r>
        <w:rPr>
          <w:rFonts w:ascii="楷体_GB2312" w:eastAsia="楷体_GB2312" w:hAnsi="楷体" w:cs="宋体"/>
          <w:noProof/>
          <w:color w:val="000000"/>
          <w:kern w:val="0"/>
        </w:rPr>
        <w:t>461.84</w:t>
      </w:r>
      <w:r w:rsidRPr="00296469">
        <w:rPr>
          <w:rFonts w:ascii="楷体_GB2312" w:eastAsia="楷体_GB2312" w:hAnsi="楷体" w:cs="宋体" w:hint="eastAsia"/>
          <w:noProof/>
          <w:color w:val="000000"/>
          <w:kern w:val="0"/>
        </w:rPr>
        <w:t>亿份</w:t>
      </w:r>
      <w:r>
        <w:rPr>
          <w:rFonts w:ascii="楷体_GB2312" w:eastAsia="楷体_GB2312" w:hAnsi="楷体" w:cs="宋体" w:hint="eastAsia"/>
          <w:noProof/>
          <w:color w:val="000000"/>
          <w:kern w:val="0"/>
        </w:rPr>
        <w:t>，相比</w:t>
      </w:r>
      <w:r>
        <w:rPr>
          <w:rFonts w:ascii="楷体_GB2312" w:eastAsia="楷体_GB2312" w:hAnsi="楷体" w:cs="宋体"/>
          <w:noProof/>
          <w:color w:val="000000"/>
          <w:kern w:val="0"/>
        </w:rPr>
        <w:t>上期</w:t>
      </w:r>
      <w:r>
        <w:rPr>
          <w:rFonts w:ascii="楷体_GB2312" w:eastAsia="楷体_GB2312" w:hAnsi="楷体" w:cs="宋体" w:hint="eastAsia"/>
          <w:noProof/>
          <w:color w:val="000000"/>
          <w:kern w:val="0"/>
        </w:rPr>
        <w:t>减少</w:t>
      </w:r>
      <w:r>
        <w:rPr>
          <w:rFonts w:ascii="楷体_GB2312" w:eastAsia="楷体_GB2312" w:hAnsi="楷体" w:cs="宋体"/>
          <w:noProof/>
          <w:color w:val="000000"/>
          <w:kern w:val="0"/>
        </w:rPr>
        <w:t>65.95</w:t>
      </w:r>
      <w:r>
        <w:rPr>
          <w:rFonts w:ascii="楷体_GB2312" w:eastAsia="楷体_GB2312" w:hAnsi="楷体" w:cs="宋体" w:hint="eastAsia"/>
          <w:noProof/>
          <w:color w:val="000000"/>
          <w:kern w:val="0"/>
        </w:rPr>
        <w:t>亿份</w:t>
      </w:r>
      <w:r>
        <w:rPr>
          <w:rFonts w:ascii="楷体_GB2312" w:eastAsia="楷体_GB2312" w:hAnsi="楷体" w:cs="宋体"/>
          <w:noProof/>
          <w:color w:val="000000"/>
          <w:kern w:val="0"/>
        </w:rPr>
        <w:t>。</w:t>
      </w:r>
    </w:p>
    <w:p w:rsidR="00B10DBA" w:rsidRPr="003C7187" w:rsidRDefault="00B10DBA" w:rsidP="00B10DBA">
      <w:pPr>
        <w:adjustRightInd w:val="0"/>
        <w:snapToGrid w:val="0"/>
        <w:spacing w:line="288" w:lineRule="auto"/>
        <w:jc w:val="left"/>
        <w:rPr>
          <w:rFonts w:ascii="楷体_GB2312" w:eastAsia="楷体_GB2312" w:hAnsi="楷体" w:cs="宋体"/>
          <w:noProof/>
          <w:color w:val="000000"/>
          <w:kern w:val="0"/>
        </w:rPr>
        <w:sectPr w:rsidR="00B10DBA" w:rsidRPr="003C7187" w:rsidSect="00970BC2">
          <w:headerReference w:type="default" r:id="rId9"/>
          <w:footerReference w:type="even" r:id="rId10"/>
          <w:footerReference w:type="default" r:id="rId11"/>
          <w:pgSz w:w="11906" w:h="16838"/>
          <w:pgMar w:top="3402" w:right="1134" w:bottom="1418" w:left="4536" w:header="851" w:footer="992" w:gutter="0"/>
          <w:cols w:space="425"/>
          <w:docGrid w:type="lines" w:linePitch="312"/>
        </w:sectPr>
      </w:pPr>
    </w:p>
    <w:p w:rsidR="00950CDF" w:rsidRDefault="00CB73BC" w:rsidP="00363653">
      <w:pPr>
        <w:pStyle w:val="1"/>
        <w:numPr>
          <w:ilvl w:val="0"/>
          <w:numId w:val="38"/>
        </w:numPr>
        <w:spacing w:before="156" w:after="156"/>
        <w:rPr>
          <w:rFonts w:ascii="楷体_GB2312" w:eastAsia="楷体_GB2312"/>
        </w:rPr>
      </w:pPr>
      <w:bookmarkStart w:id="2" w:name="_Toc270868599"/>
      <w:r>
        <w:rPr>
          <w:rFonts w:ascii="楷体_GB2312" w:eastAsia="楷体_GB2312" w:hint="eastAsia"/>
        </w:rPr>
        <w:lastRenderedPageBreak/>
        <w:t>基础市场分析</w:t>
      </w:r>
    </w:p>
    <w:p w:rsidR="00160DCD" w:rsidRDefault="00160DCD" w:rsidP="00363653">
      <w:pPr>
        <w:pStyle w:val="Default"/>
        <w:spacing w:beforeLines="50" w:before="156" w:afterLines="50" w:after="156" w:line="360" w:lineRule="auto"/>
        <w:ind w:firstLineChars="200" w:firstLine="480"/>
        <w:rPr>
          <w:rFonts w:ascii="楷体_GB2312" w:eastAsia="楷体_GB2312" w:hAnsi="楷体"/>
          <w:szCs w:val="21"/>
        </w:rPr>
      </w:pPr>
      <w:r w:rsidRPr="00160DCD">
        <w:rPr>
          <w:rFonts w:ascii="楷体_GB2312" w:eastAsia="楷体_GB2312" w:hAnsi="楷体"/>
          <w:szCs w:val="21"/>
        </w:rPr>
        <w:t>A</w:t>
      </w:r>
      <w:r w:rsidRPr="00160DCD">
        <w:rPr>
          <w:rFonts w:ascii="楷体_GB2312" w:eastAsia="楷体_GB2312" w:hAnsi="楷体" w:hint="eastAsia"/>
          <w:szCs w:val="21"/>
        </w:rPr>
        <w:t>股在风险点较多的</w:t>
      </w:r>
      <w:r w:rsidRPr="00160DCD">
        <w:rPr>
          <w:rFonts w:ascii="楷体_GB2312" w:eastAsia="楷体_GB2312" w:hAnsi="楷体"/>
          <w:szCs w:val="21"/>
        </w:rPr>
        <w:t>6</w:t>
      </w:r>
      <w:r w:rsidRPr="00160DCD">
        <w:rPr>
          <w:rFonts w:ascii="楷体_GB2312" w:eastAsia="楷体_GB2312" w:hAnsi="楷体" w:hint="eastAsia"/>
          <w:szCs w:val="21"/>
        </w:rPr>
        <w:t>月表现出了很强的韧性，说明市场经过长时间的调整，内在风险已经有了较为充分的释放，一部分个股以及指数</w:t>
      </w:r>
      <w:r>
        <w:rPr>
          <w:rFonts w:ascii="楷体_GB2312" w:eastAsia="楷体_GB2312" w:hAnsi="楷体" w:hint="eastAsia"/>
          <w:szCs w:val="21"/>
        </w:rPr>
        <w:t>进入</w:t>
      </w:r>
      <w:r>
        <w:rPr>
          <w:rFonts w:ascii="楷体_GB2312" w:eastAsia="楷体_GB2312" w:hAnsi="楷体"/>
          <w:szCs w:val="21"/>
        </w:rPr>
        <w:t>修复通道</w:t>
      </w:r>
      <w:r>
        <w:rPr>
          <w:rFonts w:ascii="楷体_GB2312" w:eastAsia="楷体_GB2312" w:hAnsi="楷体" w:hint="eastAsia"/>
          <w:szCs w:val="21"/>
        </w:rPr>
        <w:t>。</w:t>
      </w:r>
      <w:r w:rsidRPr="00160DCD">
        <w:rPr>
          <w:rFonts w:ascii="楷体_GB2312" w:eastAsia="楷体_GB2312" w:hAnsi="楷体" w:hint="eastAsia"/>
          <w:szCs w:val="21"/>
        </w:rPr>
        <w:t>年初以来普遍预期的货币政策分化并没有成为现实，美国加息路径受全球资本市场共振以及自身弱于预期的经济复苏出现进一步弱化，降息的呼声开始出现；英国公投决定退出欧盟引发市场对欧洲就业下行以及资产价格大幅走低的担忧，货币政策和财政政策有进一步加码的可能</w:t>
      </w:r>
      <w:r>
        <w:rPr>
          <w:rFonts w:ascii="楷体_GB2312" w:eastAsia="楷体_GB2312" w:hAnsi="楷体" w:hint="eastAsia"/>
          <w:szCs w:val="21"/>
        </w:rPr>
        <w:t>。</w:t>
      </w:r>
      <w:r>
        <w:rPr>
          <w:rFonts w:ascii="楷体_GB2312" w:eastAsia="楷体_GB2312" w:hAnsi="楷体"/>
          <w:szCs w:val="21"/>
        </w:rPr>
        <w:t>较强</w:t>
      </w:r>
      <w:r>
        <w:rPr>
          <w:rFonts w:ascii="楷体_GB2312" w:eastAsia="楷体_GB2312" w:hAnsi="楷体" w:hint="eastAsia"/>
          <w:szCs w:val="21"/>
        </w:rPr>
        <w:t>的</w:t>
      </w:r>
      <w:r>
        <w:rPr>
          <w:rFonts w:ascii="楷体_GB2312" w:eastAsia="楷体_GB2312" w:hAnsi="楷体"/>
          <w:szCs w:val="21"/>
        </w:rPr>
        <w:t>宽松预期推动大宗商品继续上行，债市同样</w:t>
      </w:r>
      <w:r>
        <w:rPr>
          <w:rFonts w:ascii="楷体_GB2312" w:eastAsia="楷体_GB2312" w:hAnsi="楷体" w:hint="eastAsia"/>
          <w:szCs w:val="21"/>
        </w:rPr>
        <w:t>受益</w:t>
      </w:r>
      <w:r>
        <w:rPr>
          <w:rFonts w:ascii="楷体_GB2312" w:eastAsia="楷体_GB2312" w:hAnsi="楷体"/>
          <w:szCs w:val="21"/>
        </w:rPr>
        <w:t>于配置需求摆脱年初的不利局面</w:t>
      </w:r>
      <w:r>
        <w:rPr>
          <w:rFonts w:ascii="楷体_GB2312" w:eastAsia="楷体_GB2312" w:hAnsi="楷体" w:hint="eastAsia"/>
          <w:szCs w:val="21"/>
        </w:rPr>
        <w:t>，</w:t>
      </w:r>
      <w:r>
        <w:rPr>
          <w:rFonts w:ascii="楷体_GB2312" w:eastAsia="楷体_GB2312" w:hAnsi="楷体"/>
          <w:szCs w:val="21"/>
        </w:rPr>
        <w:t>形成各资产价格</w:t>
      </w:r>
      <w:r>
        <w:rPr>
          <w:rFonts w:ascii="楷体_GB2312" w:eastAsia="楷体_GB2312" w:hAnsi="楷体" w:hint="eastAsia"/>
          <w:szCs w:val="21"/>
        </w:rPr>
        <w:t>全面</w:t>
      </w:r>
      <w:r>
        <w:rPr>
          <w:rFonts w:ascii="楷体_GB2312" w:eastAsia="楷体_GB2312" w:hAnsi="楷体"/>
          <w:szCs w:val="21"/>
        </w:rPr>
        <w:t>上行的局面。</w:t>
      </w:r>
    </w:p>
    <w:p w:rsidR="004361C7" w:rsidRPr="004361C7" w:rsidRDefault="00160DCD" w:rsidP="00363653">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160DCD">
        <w:rPr>
          <w:rFonts w:ascii="楷体_GB2312" w:eastAsia="楷体_GB2312" w:hAnsi="楷体" w:cs="宋体" w:hint="eastAsia"/>
          <w:noProof/>
          <w:color w:val="000000"/>
          <w:kern w:val="0"/>
        </w:rPr>
        <w:t>市场风格出现较大幅度切换，各风格指数表现出明显的差异，中高市盈率指数反弹幅度最大，月度分别上涨4.96%和5.22%，而低市盈率反而遭遇了下跌（0.26%）。从风格来看，中盘和小盘指数分别上涨2.69%和4.83%，而大盘指数遭遇小幅调整，下跌0.64%。区间所有板块涨多跌少，电子、国防军工、电气设备、食品饮料板块表现最佳，单月分别上涨8.91%、7.93%、7.20%和6.86%，其中电子和食品饮料板块已经连续两个月度大涨。而传媒、钢铁、交通运输和银行则经历调整，分别下跌1.16%、1.71%、1.83%和2.42%。</w:t>
      </w:r>
    </w:p>
    <w:tbl>
      <w:tblPr>
        <w:tblW w:w="11058" w:type="dxa"/>
        <w:tblInd w:w="-3153"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246"/>
        <w:gridCol w:w="5812"/>
      </w:tblGrid>
      <w:tr w:rsidR="0012738E" w:rsidRPr="0012738E" w:rsidTr="00331D04">
        <w:tc>
          <w:tcPr>
            <w:tcW w:w="5246" w:type="dxa"/>
          </w:tcPr>
          <w:p w:rsidR="0012738E" w:rsidRPr="0012738E" w:rsidRDefault="0012738E" w:rsidP="0012738E">
            <w:pPr>
              <w:spacing w:line="360" w:lineRule="auto"/>
              <w:jc w:val="left"/>
              <w:rPr>
                <w:rFonts w:ascii="楷体_GB2312" w:eastAsia="楷体_GB2312" w:hAnsi="楷体"/>
                <w:b/>
                <w:color w:val="000000"/>
                <w:sz w:val="18"/>
                <w:szCs w:val="18"/>
              </w:rPr>
            </w:pPr>
            <w:r w:rsidRPr="0012738E">
              <w:rPr>
                <w:rFonts w:ascii="楷体_GB2312" w:eastAsia="楷体_GB2312" w:hAnsi="楷体" w:hint="eastAsia"/>
                <w:b/>
                <w:color w:val="000000"/>
                <w:sz w:val="18"/>
                <w:szCs w:val="18"/>
              </w:rPr>
              <w:t>图</w:t>
            </w:r>
            <w:r>
              <w:rPr>
                <w:rFonts w:ascii="楷体_GB2312" w:eastAsia="楷体_GB2312" w:hAnsi="楷体"/>
                <w:b/>
                <w:color w:val="000000"/>
                <w:sz w:val="18"/>
                <w:szCs w:val="18"/>
              </w:rPr>
              <w:t>1</w:t>
            </w:r>
            <w:r w:rsidRPr="0012738E">
              <w:rPr>
                <w:rFonts w:ascii="楷体_GB2312" w:eastAsia="楷体_GB2312" w:hAnsi="楷体" w:hint="eastAsia"/>
                <w:b/>
                <w:color w:val="000000"/>
                <w:sz w:val="18"/>
                <w:szCs w:val="18"/>
              </w:rPr>
              <w:t>. 本月申万市场风格指数涨跌幅（%）</w:t>
            </w:r>
          </w:p>
        </w:tc>
        <w:tc>
          <w:tcPr>
            <w:tcW w:w="5812" w:type="dxa"/>
          </w:tcPr>
          <w:p w:rsidR="0012738E" w:rsidRPr="0012738E" w:rsidRDefault="0012738E" w:rsidP="0012738E">
            <w:pPr>
              <w:spacing w:line="360" w:lineRule="auto"/>
              <w:jc w:val="left"/>
              <w:rPr>
                <w:rFonts w:ascii="楷体_GB2312" w:eastAsia="楷体_GB2312" w:hAnsi="楷体"/>
                <w:b/>
                <w:color w:val="000000"/>
                <w:sz w:val="18"/>
                <w:szCs w:val="18"/>
              </w:rPr>
            </w:pPr>
            <w:r w:rsidRPr="0012738E">
              <w:rPr>
                <w:rFonts w:ascii="楷体_GB2312" w:eastAsia="楷体_GB2312" w:hAnsi="楷体" w:hint="eastAsia"/>
                <w:b/>
                <w:color w:val="000000"/>
                <w:sz w:val="18"/>
                <w:szCs w:val="18"/>
              </w:rPr>
              <w:t>图</w:t>
            </w:r>
            <w:r>
              <w:rPr>
                <w:rFonts w:ascii="楷体_GB2312" w:eastAsia="楷体_GB2312" w:hAnsi="楷体"/>
                <w:b/>
                <w:color w:val="000000"/>
                <w:sz w:val="18"/>
                <w:szCs w:val="18"/>
              </w:rPr>
              <w:t>2</w:t>
            </w:r>
            <w:r w:rsidRPr="0012738E">
              <w:rPr>
                <w:rFonts w:ascii="楷体_GB2312" w:eastAsia="楷体_GB2312" w:hAnsi="楷体" w:hint="eastAsia"/>
                <w:b/>
                <w:color w:val="000000"/>
                <w:sz w:val="18"/>
                <w:szCs w:val="18"/>
              </w:rPr>
              <w:t>. 本月申万行业指数涨跌幅（%）</w:t>
            </w:r>
          </w:p>
        </w:tc>
      </w:tr>
      <w:tr w:rsidR="0012738E" w:rsidRPr="0012738E" w:rsidTr="00331D04">
        <w:trPr>
          <w:trHeight w:val="2664"/>
        </w:trPr>
        <w:tc>
          <w:tcPr>
            <w:tcW w:w="5246" w:type="dxa"/>
            <w:tcBorders>
              <w:bottom w:val="single" w:sz="12" w:space="0" w:color="C00000"/>
            </w:tcBorders>
          </w:tcPr>
          <w:p w:rsidR="0012738E" w:rsidRPr="0012738E" w:rsidRDefault="00160DCD" w:rsidP="00F4503B">
            <w:pPr>
              <w:spacing w:line="360" w:lineRule="auto"/>
              <w:ind w:left="1" w:hanging="1"/>
              <w:jc w:val="center"/>
              <w:rPr>
                <w:rFonts w:ascii="楷体_GB2312" w:eastAsia="楷体_GB2312" w:hAnsi="楷体"/>
                <w:color w:val="000000"/>
                <w:sz w:val="18"/>
                <w:szCs w:val="18"/>
              </w:rPr>
            </w:pPr>
            <w:r>
              <w:rPr>
                <w:noProof/>
              </w:rPr>
              <w:drawing>
                <wp:inline distT="0" distB="0" distL="0" distR="0" wp14:anchorId="59EFE970" wp14:editId="63DB5F0D">
                  <wp:extent cx="3194050" cy="2009775"/>
                  <wp:effectExtent l="0" t="0" r="6350"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812" w:type="dxa"/>
            <w:tcBorders>
              <w:bottom w:val="single" w:sz="12" w:space="0" w:color="C00000"/>
            </w:tcBorders>
          </w:tcPr>
          <w:p w:rsidR="0012738E" w:rsidRPr="0012738E" w:rsidRDefault="00160DCD" w:rsidP="00F4503B">
            <w:pPr>
              <w:spacing w:line="360" w:lineRule="auto"/>
              <w:jc w:val="center"/>
              <w:rPr>
                <w:rFonts w:ascii="楷体_GB2312" w:eastAsia="楷体_GB2312" w:hAnsi="楷体"/>
                <w:color w:val="000000"/>
                <w:sz w:val="18"/>
                <w:szCs w:val="18"/>
              </w:rPr>
            </w:pPr>
            <w:r>
              <w:rPr>
                <w:noProof/>
              </w:rPr>
              <w:drawing>
                <wp:inline distT="0" distB="0" distL="0" distR="0" wp14:anchorId="6D3678FA" wp14:editId="5DCC0EA6">
                  <wp:extent cx="3463290" cy="2162175"/>
                  <wp:effectExtent l="0" t="0" r="381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4A7CBF" w:rsidRDefault="00E72731" w:rsidP="00363653">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E72731">
        <w:rPr>
          <w:rFonts w:ascii="楷体_GB2312" w:eastAsia="楷体_GB2312" w:hAnsi="楷体" w:cs="宋体" w:hint="eastAsia"/>
          <w:szCs w:val="21"/>
        </w:rPr>
        <w:lastRenderedPageBreak/>
        <w:t>债市本月反弹幅度加大，区间市场利率曲线受避险情绪影响下移，利率债方面，10年期国债利率再次回到2.8%左右，而信用利差走势相对平稳。从债券指数表现来看，中证全债单月走高0.77%，其中证国债上涨0.63%，中证金融债上涨0.84%，中证企业债上涨0.68%。</w:t>
      </w:r>
    </w:p>
    <w:p w:rsidR="006628FA" w:rsidRDefault="00BC058F" w:rsidP="00363653">
      <w:pPr>
        <w:pStyle w:val="1"/>
        <w:numPr>
          <w:ilvl w:val="0"/>
          <w:numId w:val="38"/>
        </w:numPr>
        <w:spacing w:before="156" w:after="156"/>
        <w:ind w:left="703" w:hangingChars="250" w:hanging="703"/>
        <w:rPr>
          <w:rFonts w:ascii="楷体_GB2312" w:eastAsia="楷体_GB2312"/>
        </w:rPr>
      </w:pPr>
      <w:r>
        <w:rPr>
          <w:rFonts w:ascii="楷体_GB2312" w:eastAsia="楷体_GB2312" w:hint="eastAsia"/>
        </w:rPr>
        <w:t>理财产品</w:t>
      </w:r>
      <w:r w:rsidR="00AA4B92">
        <w:rPr>
          <w:rFonts w:ascii="楷体_GB2312" w:eastAsia="楷体_GB2312" w:hint="eastAsia"/>
        </w:rPr>
        <w:t>发行</w:t>
      </w:r>
      <w:r w:rsidR="00AA4B92">
        <w:rPr>
          <w:rFonts w:ascii="楷体_GB2312" w:eastAsia="楷体_GB2312"/>
        </w:rPr>
        <w:t>及收益率情况</w:t>
      </w:r>
      <w:r>
        <w:rPr>
          <w:rFonts w:ascii="楷体_GB2312" w:eastAsia="楷体_GB2312" w:hint="eastAsia"/>
        </w:rPr>
        <w:t>概览</w:t>
      </w:r>
    </w:p>
    <w:p w:rsidR="003D385D" w:rsidRPr="00AE6149" w:rsidRDefault="00B0538C" w:rsidP="005965E4">
      <w:pPr>
        <w:autoSpaceDE w:val="0"/>
        <w:autoSpaceDN w:val="0"/>
        <w:spacing w:beforeLines="50" w:before="156" w:afterLines="50" w:after="156" w:line="360" w:lineRule="auto"/>
        <w:ind w:firstLine="420"/>
        <w:rPr>
          <w:rFonts w:ascii="楷体_GB2312" w:eastAsia="楷体_GB2312" w:hAnsi="楷体" w:cs="宋体"/>
          <w:noProof/>
          <w:color w:val="000000"/>
          <w:kern w:val="0"/>
        </w:rPr>
      </w:pPr>
      <w:r>
        <w:rPr>
          <w:rFonts w:ascii="楷体_GB2312" w:eastAsia="楷体_GB2312" w:hAnsi="楷体" w:cs="宋体" w:hint="eastAsia"/>
          <w:szCs w:val="21"/>
        </w:rPr>
        <w:t>受</w:t>
      </w:r>
      <w:r>
        <w:rPr>
          <w:rFonts w:ascii="楷体_GB2312" w:eastAsia="楷体_GB2312" w:hAnsi="楷体" w:cs="宋体"/>
          <w:szCs w:val="21"/>
        </w:rPr>
        <w:t>存款搬家的影响，</w:t>
      </w:r>
      <w:r w:rsidR="006917F9">
        <w:rPr>
          <w:rFonts w:ascii="楷体_GB2312" w:eastAsia="楷体_GB2312" w:hAnsi="楷体" w:cs="宋体" w:hint="eastAsia"/>
          <w:szCs w:val="21"/>
        </w:rPr>
        <w:t>理财产品收益率</w:t>
      </w:r>
      <w:r w:rsidR="006917F9">
        <w:rPr>
          <w:rFonts w:ascii="楷体_GB2312" w:eastAsia="楷体_GB2312" w:hAnsi="楷体" w:cs="宋体"/>
          <w:szCs w:val="21"/>
        </w:rPr>
        <w:t>自</w:t>
      </w:r>
      <w:r w:rsidR="006917F9">
        <w:rPr>
          <w:rFonts w:ascii="楷体_GB2312" w:eastAsia="楷体_GB2312" w:hAnsi="楷体" w:cs="宋体" w:hint="eastAsia"/>
          <w:szCs w:val="21"/>
        </w:rPr>
        <w:t>2014年</w:t>
      </w:r>
      <w:r w:rsidR="006917F9">
        <w:rPr>
          <w:rFonts w:ascii="楷体_GB2312" w:eastAsia="楷体_GB2312" w:hAnsi="楷体" w:cs="宋体"/>
          <w:szCs w:val="21"/>
        </w:rPr>
        <w:t>以来</w:t>
      </w:r>
      <w:r w:rsidR="00AE6149">
        <w:rPr>
          <w:rFonts w:ascii="楷体_GB2312" w:eastAsia="楷体_GB2312" w:hAnsi="楷体" w:cs="宋体" w:hint="eastAsia"/>
          <w:szCs w:val="21"/>
        </w:rPr>
        <w:t>一直</w:t>
      </w:r>
      <w:r w:rsidR="006917F9">
        <w:rPr>
          <w:rFonts w:ascii="楷体_GB2312" w:eastAsia="楷体_GB2312" w:hAnsi="楷体" w:cs="宋体"/>
          <w:szCs w:val="21"/>
        </w:rPr>
        <w:t>处于下行通道，截至</w:t>
      </w:r>
      <w:r w:rsidR="006917F9">
        <w:rPr>
          <w:rFonts w:ascii="楷体_GB2312" w:eastAsia="楷体_GB2312" w:hAnsi="楷体" w:cs="宋体" w:hint="eastAsia"/>
          <w:szCs w:val="21"/>
        </w:rPr>
        <w:t>2016年5月末市场平均</w:t>
      </w:r>
      <w:r w:rsidR="006917F9">
        <w:rPr>
          <w:rFonts w:ascii="楷体_GB2312" w:eastAsia="楷体_GB2312" w:hAnsi="楷体" w:cs="宋体"/>
          <w:szCs w:val="21"/>
        </w:rPr>
        <w:t>收益率降至</w:t>
      </w:r>
      <w:r w:rsidR="006917F9">
        <w:rPr>
          <w:rFonts w:ascii="楷体_GB2312" w:eastAsia="楷体_GB2312" w:hAnsi="楷体" w:cs="宋体" w:hint="eastAsia"/>
          <w:szCs w:val="21"/>
        </w:rPr>
        <w:t>3.90</w:t>
      </w:r>
      <w:r w:rsidR="006917F9">
        <w:rPr>
          <w:rFonts w:ascii="楷体_GB2312" w:eastAsia="楷体_GB2312" w:hAnsi="楷体" w:cs="宋体"/>
          <w:szCs w:val="21"/>
        </w:rPr>
        <w:t>%</w:t>
      </w:r>
      <w:r w:rsidR="005965E4">
        <w:rPr>
          <w:rFonts w:ascii="楷体_GB2312" w:eastAsia="楷体_GB2312" w:hAnsi="楷体" w:cs="宋体" w:hint="eastAsia"/>
          <w:szCs w:val="21"/>
        </w:rPr>
        <w:t>的</w:t>
      </w:r>
      <w:r w:rsidR="005965E4">
        <w:rPr>
          <w:rFonts w:ascii="楷体_GB2312" w:eastAsia="楷体_GB2312" w:hAnsi="楷体" w:cs="宋体"/>
          <w:szCs w:val="21"/>
        </w:rPr>
        <w:t>新低</w:t>
      </w:r>
      <w:r w:rsidR="006917F9">
        <w:rPr>
          <w:rFonts w:ascii="楷体_GB2312" w:eastAsia="楷体_GB2312" w:hAnsi="楷体" w:cs="宋体" w:hint="eastAsia"/>
          <w:szCs w:val="21"/>
        </w:rPr>
        <w:t>，</w:t>
      </w:r>
      <w:r w:rsidR="006917F9">
        <w:rPr>
          <w:rFonts w:ascii="楷体_GB2312" w:eastAsia="楷体_GB2312" w:hAnsi="楷体" w:cs="宋体"/>
          <w:szCs w:val="21"/>
        </w:rPr>
        <w:t>但产品</w:t>
      </w:r>
      <w:r w:rsidR="00AE6149">
        <w:rPr>
          <w:rFonts w:ascii="楷体_GB2312" w:eastAsia="楷体_GB2312" w:hAnsi="楷体" w:cs="宋体" w:hint="eastAsia"/>
          <w:szCs w:val="21"/>
        </w:rPr>
        <w:t>总数</w:t>
      </w:r>
      <w:r w:rsidR="006917F9">
        <w:rPr>
          <w:rFonts w:ascii="楷体_GB2312" w:eastAsia="楷体_GB2312" w:hAnsi="楷体" w:cs="宋体"/>
          <w:szCs w:val="21"/>
        </w:rPr>
        <w:t>却一直</w:t>
      </w:r>
      <w:r w:rsidR="006917F9">
        <w:rPr>
          <w:rFonts w:ascii="楷体_GB2312" w:eastAsia="楷体_GB2312" w:hAnsi="楷体" w:cs="宋体" w:hint="eastAsia"/>
          <w:szCs w:val="21"/>
        </w:rPr>
        <w:t>呈现</w:t>
      </w:r>
      <w:r w:rsidR="006917F9">
        <w:rPr>
          <w:rFonts w:ascii="楷体_GB2312" w:eastAsia="楷体_GB2312" w:hAnsi="楷体" w:cs="宋体"/>
          <w:szCs w:val="21"/>
        </w:rPr>
        <w:t>高位震荡的</w:t>
      </w:r>
      <w:r w:rsidR="006917F9">
        <w:rPr>
          <w:rFonts w:ascii="楷体_GB2312" w:eastAsia="楷体_GB2312" w:hAnsi="楷体" w:cs="宋体" w:hint="eastAsia"/>
          <w:szCs w:val="21"/>
        </w:rPr>
        <w:t>态势</w:t>
      </w:r>
      <w:r w:rsidR="005965E4">
        <w:rPr>
          <w:rFonts w:ascii="楷体_GB2312" w:eastAsia="楷体_GB2312" w:hAnsi="楷体" w:cs="宋体" w:hint="eastAsia"/>
          <w:szCs w:val="21"/>
        </w:rPr>
        <w:t>，本期</w:t>
      </w:r>
      <w:r w:rsidR="005965E4">
        <w:rPr>
          <w:rFonts w:ascii="楷体_GB2312" w:eastAsia="楷体_GB2312" w:hAnsi="楷体" w:cs="宋体"/>
          <w:szCs w:val="21"/>
        </w:rPr>
        <w:t>末达到</w:t>
      </w:r>
      <w:r w:rsidR="005965E4">
        <w:rPr>
          <w:rFonts w:ascii="楷体_GB2312" w:eastAsia="楷体_GB2312" w:hAnsi="楷体" w:cs="宋体" w:hint="eastAsia"/>
          <w:szCs w:val="21"/>
        </w:rPr>
        <w:t>6235只</w:t>
      </w:r>
      <w:r w:rsidR="005965E4">
        <w:rPr>
          <w:rFonts w:ascii="楷体_GB2312" w:eastAsia="楷体_GB2312" w:hAnsi="楷体" w:cs="宋体"/>
          <w:szCs w:val="21"/>
        </w:rPr>
        <w:t>，环比</w:t>
      </w:r>
      <w:r w:rsidR="005965E4">
        <w:rPr>
          <w:rFonts w:ascii="楷体_GB2312" w:eastAsia="楷体_GB2312" w:hAnsi="楷体" w:cs="宋体" w:hint="eastAsia"/>
          <w:szCs w:val="21"/>
        </w:rPr>
        <w:t>微升1.23各</w:t>
      </w:r>
      <w:r w:rsidR="005965E4">
        <w:rPr>
          <w:rFonts w:ascii="楷体_GB2312" w:eastAsia="楷体_GB2312" w:hAnsi="楷体" w:cs="宋体"/>
          <w:szCs w:val="21"/>
        </w:rPr>
        <w:t>百分点。</w:t>
      </w:r>
      <w:r w:rsidR="003D385D">
        <w:rPr>
          <w:rFonts w:ascii="楷体_GB2312" w:eastAsia="楷体_GB2312" w:hAnsi="楷体" w:cs="宋体" w:hint="eastAsia"/>
          <w:szCs w:val="21"/>
        </w:rPr>
        <w:t>分期限来看，</w:t>
      </w:r>
      <w:r w:rsidR="003D385D">
        <w:rPr>
          <w:rFonts w:ascii="楷体_GB2312" w:eastAsia="楷体_GB2312" w:hAnsi="楷体" w:cs="宋体"/>
          <w:szCs w:val="21"/>
        </w:rPr>
        <w:t>一个月</w:t>
      </w:r>
      <w:r w:rsidR="003D385D">
        <w:rPr>
          <w:rFonts w:ascii="楷体_GB2312" w:eastAsia="楷体_GB2312" w:hAnsi="楷体" w:cs="宋体" w:hint="eastAsia"/>
          <w:szCs w:val="21"/>
        </w:rPr>
        <w:t>以下</w:t>
      </w:r>
      <w:r w:rsidR="003D385D">
        <w:rPr>
          <w:rFonts w:ascii="楷体_GB2312" w:eastAsia="楷体_GB2312" w:hAnsi="楷体" w:cs="宋体"/>
          <w:szCs w:val="21"/>
        </w:rPr>
        <w:t>的</w:t>
      </w:r>
      <w:r>
        <w:rPr>
          <w:rFonts w:ascii="楷体_GB2312" w:eastAsia="楷体_GB2312" w:hAnsi="楷体" w:cs="宋体" w:hint="eastAsia"/>
          <w:szCs w:val="21"/>
        </w:rPr>
        <w:t>理财</w:t>
      </w:r>
      <w:r w:rsidR="003D385D">
        <w:rPr>
          <w:rFonts w:ascii="楷体_GB2312" w:eastAsia="楷体_GB2312" w:hAnsi="楷体" w:cs="宋体" w:hint="eastAsia"/>
          <w:szCs w:val="21"/>
        </w:rPr>
        <w:t>产品</w:t>
      </w:r>
      <w:r w:rsidR="003D385D">
        <w:rPr>
          <w:rFonts w:ascii="楷体_GB2312" w:eastAsia="楷体_GB2312" w:hAnsi="楷体" w:cs="宋体"/>
          <w:szCs w:val="21"/>
        </w:rPr>
        <w:t>预期收益率</w:t>
      </w:r>
      <w:r w:rsidR="003D385D">
        <w:rPr>
          <w:rFonts w:ascii="楷体_GB2312" w:eastAsia="楷体_GB2312" w:hAnsi="楷体" w:cs="宋体" w:hint="eastAsia"/>
          <w:szCs w:val="21"/>
        </w:rPr>
        <w:t>反弹至3.77</w:t>
      </w:r>
      <w:r w:rsidR="003D385D">
        <w:rPr>
          <w:rFonts w:ascii="楷体_GB2312" w:eastAsia="楷体_GB2312" w:hAnsi="楷体" w:cs="宋体"/>
          <w:szCs w:val="21"/>
        </w:rPr>
        <w:t>%，接近一年前水平</w:t>
      </w:r>
      <w:r w:rsidR="003D385D">
        <w:rPr>
          <w:rFonts w:ascii="楷体_GB2312" w:eastAsia="楷体_GB2312" w:hAnsi="楷体" w:cs="宋体" w:hint="eastAsia"/>
          <w:szCs w:val="21"/>
        </w:rPr>
        <w:t>，</w:t>
      </w:r>
      <w:r w:rsidR="003D385D">
        <w:rPr>
          <w:rFonts w:ascii="楷体_GB2312" w:eastAsia="楷体_GB2312" w:hAnsi="楷体" w:cs="宋体"/>
          <w:szCs w:val="21"/>
        </w:rPr>
        <w:t>而其余各期限</w:t>
      </w:r>
      <w:r w:rsidR="003D385D">
        <w:rPr>
          <w:rFonts w:ascii="楷体_GB2312" w:eastAsia="楷体_GB2312" w:hAnsi="楷体" w:cs="宋体" w:hint="eastAsia"/>
          <w:szCs w:val="21"/>
        </w:rPr>
        <w:t>依然</w:t>
      </w:r>
      <w:r w:rsidR="003D385D">
        <w:rPr>
          <w:rFonts w:ascii="楷体_GB2312" w:eastAsia="楷体_GB2312" w:hAnsi="楷体" w:cs="宋体"/>
          <w:szCs w:val="21"/>
        </w:rPr>
        <w:t>呈现下行态势。</w:t>
      </w:r>
    </w:p>
    <w:tbl>
      <w:tblPr>
        <w:tblW w:w="11058" w:type="dxa"/>
        <w:tblInd w:w="-3261" w:type="dxa"/>
        <w:tblBorders>
          <w:top w:val="single" w:sz="12" w:space="0" w:color="767171" w:themeColor="background2" w:themeShade="80"/>
          <w:insideH w:val="single" w:sz="12" w:space="0" w:color="C00000"/>
        </w:tblBorders>
        <w:tblLayout w:type="fixed"/>
        <w:tblLook w:val="04A0" w:firstRow="1" w:lastRow="0" w:firstColumn="1" w:lastColumn="0" w:noHBand="0" w:noVBand="1"/>
      </w:tblPr>
      <w:tblGrid>
        <w:gridCol w:w="5496"/>
        <w:gridCol w:w="5562"/>
      </w:tblGrid>
      <w:tr w:rsidR="006917F9" w:rsidRPr="0012738E" w:rsidTr="005965E4">
        <w:tc>
          <w:tcPr>
            <w:tcW w:w="5496" w:type="dxa"/>
          </w:tcPr>
          <w:p w:rsidR="006917F9" w:rsidRPr="0012738E" w:rsidRDefault="006917F9" w:rsidP="006917F9">
            <w:pPr>
              <w:spacing w:line="360" w:lineRule="auto"/>
              <w:jc w:val="left"/>
              <w:rPr>
                <w:rFonts w:ascii="楷体_GB2312" w:eastAsia="楷体_GB2312" w:hAnsi="楷体"/>
                <w:b/>
                <w:color w:val="000000"/>
                <w:sz w:val="18"/>
                <w:szCs w:val="18"/>
              </w:rPr>
            </w:pPr>
            <w:r w:rsidRPr="0012738E">
              <w:rPr>
                <w:rFonts w:ascii="楷体_GB2312" w:eastAsia="楷体_GB2312" w:hAnsi="楷体" w:hint="eastAsia"/>
                <w:b/>
                <w:color w:val="000000"/>
                <w:sz w:val="18"/>
                <w:szCs w:val="18"/>
              </w:rPr>
              <w:t>图</w:t>
            </w:r>
            <w:r>
              <w:rPr>
                <w:rFonts w:ascii="楷体_GB2312" w:eastAsia="楷体_GB2312" w:hAnsi="楷体"/>
                <w:b/>
                <w:color w:val="000000"/>
                <w:sz w:val="18"/>
                <w:szCs w:val="18"/>
              </w:rPr>
              <w:t>3</w:t>
            </w:r>
            <w:r w:rsidRPr="0012738E">
              <w:rPr>
                <w:rFonts w:ascii="楷体_GB2312" w:eastAsia="楷体_GB2312" w:hAnsi="楷体" w:hint="eastAsia"/>
                <w:b/>
                <w:color w:val="000000"/>
                <w:sz w:val="18"/>
                <w:szCs w:val="18"/>
              </w:rPr>
              <w:t xml:space="preserve">. </w:t>
            </w:r>
            <w:r>
              <w:rPr>
                <w:rFonts w:ascii="楷体_GB2312" w:eastAsia="楷体_GB2312" w:hAnsi="楷体" w:hint="eastAsia"/>
                <w:b/>
                <w:color w:val="000000"/>
                <w:sz w:val="18"/>
                <w:szCs w:val="18"/>
              </w:rPr>
              <w:t>2</w:t>
            </w:r>
            <w:r>
              <w:rPr>
                <w:rFonts w:ascii="楷体_GB2312" w:eastAsia="楷体_GB2312" w:hAnsi="楷体"/>
                <w:b/>
                <w:color w:val="000000"/>
                <w:sz w:val="18"/>
                <w:szCs w:val="18"/>
              </w:rPr>
              <w:t>011</w:t>
            </w:r>
            <w:r>
              <w:rPr>
                <w:rFonts w:ascii="楷体_GB2312" w:eastAsia="楷体_GB2312" w:hAnsi="楷体" w:hint="eastAsia"/>
                <w:b/>
                <w:color w:val="000000"/>
                <w:sz w:val="18"/>
                <w:szCs w:val="18"/>
              </w:rPr>
              <w:t>年初</w:t>
            </w:r>
            <w:r>
              <w:rPr>
                <w:rFonts w:ascii="楷体_GB2312" w:eastAsia="楷体_GB2312" w:hAnsi="楷体"/>
                <w:b/>
                <w:color w:val="000000"/>
                <w:sz w:val="18"/>
                <w:szCs w:val="18"/>
              </w:rPr>
              <w:t>至今</w:t>
            </w:r>
            <w:r>
              <w:rPr>
                <w:rFonts w:ascii="楷体_GB2312" w:eastAsia="楷体_GB2312" w:hAnsi="楷体" w:hint="eastAsia"/>
                <w:b/>
                <w:color w:val="000000"/>
                <w:sz w:val="18"/>
                <w:szCs w:val="18"/>
              </w:rPr>
              <w:t>理财</w:t>
            </w:r>
            <w:r>
              <w:rPr>
                <w:rFonts w:ascii="楷体_GB2312" w:eastAsia="楷体_GB2312" w:hAnsi="楷体"/>
                <w:b/>
                <w:color w:val="000000"/>
                <w:sz w:val="18"/>
                <w:szCs w:val="18"/>
              </w:rPr>
              <w:t>产品</w:t>
            </w:r>
            <w:r>
              <w:rPr>
                <w:rFonts w:ascii="楷体_GB2312" w:eastAsia="楷体_GB2312" w:hAnsi="楷体" w:hint="eastAsia"/>
                <w:b/>
                <w:color w:val="000000"/>
                <w:sz w:val="18"/>
                <w:szCs w:val="18"/>
              </w:rPr>
              <w:t>综述</w:t>
            </w:r>
            <w:r>
              <w:rPr>
                <w:rFonts w:ascii="楷体_GB2312" w:eastAsia="楷体_GB2312" w:hAnsi="楷体"/>
                <w:b/>
                <w:color w:val="000000"/>
                <w:sz w:val="18"/>
                <w:szCs w:val="18"/>
              </w:rPr>
              <w:t>及预期收益率走势</w:t>
            </w:r>
          </w:p>
        </w:tc>
        <w:tc>
          <w:tcPr>
            <w:tcW w:w="5562" w:type="dxa"/>
          </w:tcPr>
          <w:p w:rsidR="006917F9" w:rsidRPr="0012738E" w:rsidRDefault="006917F9" w:rsidP="006917F9">
            <w:pPr>
              <w:spacing w:line="360" w:lineRule="auto"/>
              <w:jc w:val="left"/>
              <w:rPr>
                <w:rFonts w:ascii="楷体_GB2312" w:eastAsia="楷体_GB2312" w:hAnsi="楷体"/>
                <w:b/>
                <w:color w:val="000000"/>
                <w:sz w:val="18"/>
                <w:szCs w:val="18"/>
              </w:rPr>
            </w:pPr>
            <w:r w:rsidRPr="0012738E">
              <w:rPr>
                <w:rFonts w:ascii="楷体_GB2312" w:eastAsia="楷体_GB2312" w:hAnsi="楷体" w:hint="eastAsia"/>
                <w:b/>
                <w:color w:val="000000"/>
                <w:sz w:val="18"/>
                <w:szCs w:val="18"/>
              </w:rPr>
              <w:t>图</w:t>
            </w:r>
            <w:r>
              <w:rPr>
                <w:rFonts w:ascii="楷体_GB2312" w:eastAsia="楷体_GB2312" w:hAnsi="楷体"/>
                <w:b/>
                <w:color w:val="000000"/>
                <w:sz w:val="18"/>
                <w:szCs w:val="18"/>
              </w:rPr>
              <w:t>4</w:t>
            </w:r>
            <w:r w:rsidRPr="0012738E">
              <w:rPr>
                <w:rFonts w:ascii="楷体_GB2312" w:eastAsia="楷体_GB2312" w:hAnsi="楷体" w:hint="eastAsia"/>
                <w:b/>
                <w:color w:val="000000"/>
                <w:sz w:val="18"/>
                <w:szCs w:val="18"/>
              </w:rPr>
              <w:t xml:space="preserve">. </w:t>
            </w:r>
            <w:r>
              <w:rPr>
                <w:rFonts w:ascii="楷体_GB2312" w:eastAsia="楷体_GB2312" w:hAnsi="楷体" w:hint="eastAsia"/>
                <w:b/>
                <w:color w:val="000000"/>
                <w:sz w:val="18"/>
                <w:szCs w:val="18"/>
              </w:rPr>
              <w:t>2</w:t>
            </w:r>
            <w:r>
              <w:rPr>
                <w:rFonts w:ascii="楷体_GB2312" w:eastAsia="楷体_GB2312" w:hAnsi="楷体"/>
                <w:b/>
                <w:color w:val="000000"/>
                <w:sz w:val="18"/>
                <w:szCs w:val="18"/>
              </w:rPr>
              <w:t>011</w:t>
            </w:r>
            <w:r>
              <w:rPr>
                <w:rFonts w:ascii="楷体_GB2312" w:eastAsia="楷体_GB2312" w:hAnsi="楷体" w:hint="eastAsia"/>
                <w:b/>
                <w:color w:val="000000"/>
                <w:sz w:val="18"/>
                <w:szCs w:val="18"/>
              </w:rPr>
              <w:t>年初</w:t>
            </w:r>
            <w:r>
              <w:rPr>
                <w:rFonts w:ascii="楷体_GB2312" w:eastAsia="楷体_GB2312" w:hAnsi="楷体"/>
                <w:b/>
                <w:color w:val="000000"/>
                <w:sz w:val="18"/>
                <w:szCs w:val="18"/>
              </w:rPr>
              <w:t>至今各期限理财产品预期收益率走势</w:t>
            </w:r>
            <w:r w:rsidRPr="0012738E">
              <w:rPr>
                <w:rFonts w:ascii="楷体_GB2312" w:eastAsia="楷体_GB2312" w:hAnsi="楷体" w:hint="eastAsia"/>
                <w:b/>
                <w:color w:val="000000"/>
                <w:sz w:val="18"/>
                <w:szCs w:val="18"/>
              </w:rPr>
              <w:t>（%）</w:t>
            </w:r>
          </w:p>
        </w:tc>
      </w:tr>
      <w:tr w:rsidR="006917F9" w:rsidRPr="0012738E" w:rsidTr="005C637C">
        <w:trPr>
          <w:trHeight w:val="2664"/>
        </w:trPr>
        <w:tc>
          <w:tcPr>
            <w:tcW w:w="5496" w:type="dxa"/>
          </w:tcPr>
          <w:p w:rsidR="006917F9" w:rsidRPr="0012738E" w:rsidRDefault="005C637C" w:rsidP="006917F9">
            <w:pPr>
              <w:spacing w:line="360" w:lineRule="auto"/>
              <w:ind w:left="1" w:hanging="1"/>
              <w:jc w:val="center"/>
              <w:rPr>
                <w:rFonts w:ascii="楷体_GB2312" w:eastAsia="楷体_GB2312" w:hAnsi="楷体"/>
                <w:color w:val="000000"/>
                <w:sz w:val="18"/>
                <w:szCs w:val="18"/>
              </w:rPr>
            </w:pPr>
            <w:r>
              <w:rPr>
                <w:noProof/>
              </w:rPr>
              <w:drawing>
                <wp:inline distT="0" distB="0" distL="0" distR="0" wp14:anchorId="747B1A19" wp14:editId="31A529B8">
                  <wp:extent cx="3352800" cy="2483893"/>
                  <wp:effectExtent l="0" t="0" r="0" b="1206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562" w:type="dxa"/>
          </w:tcPr>
          <w:p w:rsidR="006917F9" w:rsidRPr="0012738E" w:rsidRDefault="005C637C" w:rsidP="006917F9">
            <w:pPr>
              <w:spacing w:line="360" w:lineRule="auto"/>
              <w:jc w:val="center"/>
              <w:rPr>
                <w:rFonts w:ascii="楷体_GB2312" w:eastAsia="楷体_GB2312" w:hAnsi="楷体"/>
                <w:color w:val="000000"/>
                <w:sz w:val="18"/>
                <w:szCs w:val="18"/>
              </w:rPr>
            </w:pPr>
            <w:r>
              <w:rPr>
                <w:noProof/>
              </w:rPr>
              <w:drawing>
                <wp:inline distT="0" distB="0" distL="0" distR="0" wp14:anchorId="283E3C68" wp14:editId="76A01CF9">
                  <wp:extent cx="3394710" cy="2477069"/>
                  <wp:effectExtent l="0" t="0" r="1524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917F9" w:rsidRPr="0012738E" w:rsidTr="008D63E6">
        <w:tc>
          <w:tcPr>
            <w:tcW w:w="11058" w:type="dxa"/>
            <w:gridSpan w:val="2"/>
          </w:tcPr>
          <w:p w:rsidR="006917F9" w:rsidRPr="0012738E" w:rsidRDefault="006917F9" w:rsidP="006917F9">
            <w:pPr>
              <w:jc w:val="left"/>
              <w:rPr>
                <w:rFonts w:ascii="楷体_GB2312" w:eastAsia="楷体_GB2312" w:hAnsi="楷体"/>
                <w:color w:val="000000"/>
                <w:sz w:val="18"/>
                <w:szCs w:val="18"/>
              </w:rPr>
            </w:pPr>
            <w:r w:rsidRPr="0012738E">
              <w:rPr>
                <w:rFonts w:ascii="楷体_GB2312" w:eastAsia="楷体_GB2312" w:hAnsi="楷体" w:hint="eastAsia"/>
                <w:color w:val="000000"/>
                <w:sz w:val="18"/>
                <w:szCs w:val="18"/>
              </w:rPr>
              <w:t>数据来源：</w:t>
            </w:r>
            <w:r>
              <w:rPr>
                <w:rFonts w:ascii="楷体_GB2312" w:eastAsia="楷体_GB2312" w:hAnsi="楷体" w:hint="eastAsia"/>
                <w:color w:val="000000"/>
                <w:sz w:val="18"/>
                <w:szCs w:val="18"/>
              </w:rPr>
              <w:t>东方财富</w:t>
            </w:r>
            <w:r>
              <w:rPr>
                <w:rFonts w:ascii="楷体_GB2312" w:eastAsia="楷体_GB2312" w:hAnsi="楷体"/>
                <w:color w:val="000000"/>
                <w:sz w:val="18"/>
                <w:szCs w:val="18"/>
              </w:rPr>
              <w:t>Choice</w:t>
            </w:r>
            <w:r w:rsidRPr="0012738E">
              <w:rPr>
                <w:rFonts w:ascii="楷体_GB2312" w:eastAsia="楷体_GB2312" w:hAnsi="楷体" w:hint="eastAsia"/>
                <w:color w:val="000000"/>
                <w:sz w:val="18"/>
                <w:szCs w:val="18"/>
              </w:rPr>
              <w:t xml:space="preserve"> 上海证券基金评价研究中心</w:t>
            </w:r>
          </w:p>
        </w:tc>
      </w:tr>
    </w:tbl>
    <w:p w:rsidR="00CB73BC" w:rsidRPr="00CB73BC" w:rsidRDefault="00CB73BC" w:rsidP="00363653">
      <w:pPr>
        <w:pStyle w:val="1"/>
        <w:numPr>
          <w:ilvl w:val="0"/>
          <w:numId w:val="38"/>
        </w:numPr>
        <w:spacing w:before="156" w:after="156"/>
        <w:ind w:left="703" w:hangingChars="250" w:hanging="703"/>
        <w:rPr>
          <w:rFonts w:ascii="楷体_GB2312" w:eastAsia="楷体_GB2312"/>
        </w:rPr>
      </w:pPr>
      <w:r w:rsidRPr="003C7187">
        <w:rPr>
          <w:rFonts w:ascii="楷体_GB2312" w:eastAsia="楷体_GB2312" w:hint="eastAsia"/>
        </w:rPr>
        <w:t>基金发行情况概述</w:t>
      </w:r>
    </w:p>
    <w:p w:rsidR="00DC584B" w:rsidRPr="003C7187" w:rsidRDefault="00DC584B" w:rsidP="00363653">
      <w:pPr>
        <w:autoSpaceDE w:val="0"/>
        <w:autoSpaceDN w:val="0"/>
        <w:adjustRightInd w:val="0"/>
        <w:spacing w:beforeLines="50" w:before="156" w:afterLines="50" w:after="156"/>
        <w:jc w:val="left"/>
        <w:rPr>
          <w:rFonts w:ascii="楷体_GB2312" w:eastAsia="楷体_GB2312" w:hAnsi="楷体" w:cs="宋体"/>
          <w:b/>
          <w:noProof/>
          <w:color w:val="000000"/>
          <w:kern w:val="0"/>
        </w:rPr>
      </w:pPr>
      <w:r w:rsidRPr="003C7187">
        <w:rPr>
          <w:rFonts w:ascii="楷体_GB2312" w:eastAsia="楷体_GB2312" w:hAnsi="楷体" w:cs="宋体" w:hint="eastAsia"/>
          <w:b/>
          <w:noProof/>
          <w:color w:val="000000"/>
          <w:kern w:val="0"/>
        </w:rPr>
        <w:t>1.</w:t>
      </w:r>
      <w:r w:rsidR="00EB0B82" w:rsidRPr="003C7187">
        <w:rPr>
          <w:rFonts w:ascii="楷体_GB2312" w:eastAsia="楷体_GB2312" w:hAnsi="楷体" w:cs="宋体" w:hint="eastAsia"/>
          <w:b/>
          <w:noProof/>
          <w:color w:val="000000"/>
          <w:kern w:val="0"/>
        </w:rPr>
        <w:t>新发行基金</w:t>
      </w:r>
      <w:r w:rsidRPr="003C7187">
        <w:rPr>
          <w:rFonts w:ascii="楷体_GB2312" w:eastAsia="楷体_GB2312" w:hAnsi="楷体" w:cs="宋体" w:hint="eastAsia"/>
          <w:b/>
          <w:noProof/>
          <w:color w:val="000000"/>
          <w:kern w:val="0"/>
        </w:rPr>
        <w:t>概况</w:t>
      </w:r>
    </w:p>
    <w:p w:rsidR="00CA627E" w:rsidRPr="008E0DAE" w:rsidRDefault="008E0DAE" w:rsidP="003B37C9">
      <w:pPr>
        <w:autoSpaceDE w:val="0"/>
        <w:autoSpaceDN w:val="0"/>
        <w:spacing w:beforeLines="50" w:before="156" w:afterLines="50" w:after="156" w:line="360" w:lineRule="auto"/>
        <w:ind w:firstLineChars="200" w:firstLine="480"/>
        <w:rPr>
          <w:rFonts w:ascii="楷体_GB2312" w:eastAsia="楷体_GB2312" w:hAnsi="楷体" w:cs="宋体"/>
          <w:noProof/>
          <w:kern w:val="0"/>
        </w:rPr>
      </w:pPr>
      <w:r w:rsidRPr="00497B7F">
        <w:rPr>
          <w:rFonts w:ascii="楷体_GB2312" w:eastAsia="楷体_GB2312" w:hAnsi="楷体" w:cs="宋体" w:hint="eastAsia"/>
          <w:noProof/>
          <w:kern w:val="0"/>
        </w:rPr>
        <w:t>开年</w:t>
      </w:r>
      <w:r w:rsidRPr="00497B7F">
        <w:rPr>
          <w:rFonts w:ascii="楷体_GB2312" w:eastAsia="楷体_GB2312" w:hAnsi="楷体" w:cs="宋体"/>
          <w:noProof/>
          <w:kern w:val="0"/>
        </w:rPr>
        <w:t>以来</w:t>
      </w:r>
      <w:r w:rsidRPr="00497B7F">
        <w:rPr>
          <w:rFonts w:ascii="楷体_GB2312" w:eastAsia="楷体_GB2312" w:hAnsi="楷体" w:cs="宋体" w:hint="eastAsia"/>
          <w:noProof/>
          <w:kern w:val="0"/>
        </w:rPr>
        <w:t>A</w:t>
      </w:r>
      <w:r>
        <w:rPr>
          <w:rFonts w:ascii="楷体_GB2312" w:eastAsia="楷体_GB2312" w:hAnsi="楷体" w:cs="宋体" w:hint="eastAsia"/>
          <w:noProof/>
          <w:kern w:val="0"/>
        </w:rPr>
        <w:t>股维持宽幅</w:t>
      </w:r>
      <w:r>
        <w:rPr>
          <w:rFonts w:ascii="楷体_GB2312" w:eastAsia="楷体_GB2312" w:hAnsi="楷体" w:cs="宋体"/>
          <w:noProof/>
          <w:kern w:val="0"/>
        </w:rPr>
        <w:t>震荡</w:t>
      </w:r>
      <w:r>
        <w:rPr>
          <w:rFonts w:ascii="楷体_GB2312" w:eastAsia="楷体_GB2312" w:hAnsi="楷体" w:cs="宋体" w:hint="eastAsia"/>
          <w:noProof/>
          <w:kern w:val="0"/>
        </w:rPr>
        <w:t>，</w:t>
      </w:r>
      <w:r>
        <w:rPr>
          <w:rFonts w:ascii="楷体_GB2312" w:eastAsia="楷体_GB2312" w:hAnsi="楷体" w:cs="宋体"/>
          <w:noProof/>
          <w:kern w:val="0"/>
        </w:rPr>
        <w:t>缺乏持续性行情</w:t>
      </w:r>
      <w:r>
        <w:rPr>
          <w:rFonts w:ascii="楷体_GB2312" w:eastAsia="楷体_GB2312" w:hAnsi="楷体" w:cs="宋体" w:hint="eastAsia"/>
          <w:noProof/>
          <w:kern w:val="0"/>
        </w:rPr>
        <w:t>，</w:t>
      </w:r>
      <w:r>
        <w:rPr>
          <w:rFonts w:ascii="楷体_GB2312" w:eastAsia="楷体_GB2312" w:hAnsi="楷体" w:cs="宋体"/>
          <w:noProof/>
          <w:kern w:val="0"/>
        </w:rPr>
        <w:t>市场中枢下行，基金业绩表现不佳</w:t>
      </w:r>
      <w:r>
        <w:rPr>
          <w:rFonts w:ascii="楷体_GB2312" w:eastAsia="楷体_GB2312" w:hAnsi="楷体" w:cs="宋体" w:hint="eastAsia"/>
          <w:noProof/>
          <w:kern w:val="0"/>
        </w:rPr>
        <w:t>。尽管6月末</w:t>
      </w:r>
      <w:r>
        <w:rPr>
          <w:rFonts w:ascii="楷体_GB2312" w:eastAsia="楷体_GB2312" w:hAnsi="楷体" w:cs="宋体"/>
          <w:noProof/>
          <w:kern w:val="0"/>
        </w:rPr>
        <w:t>市场出现小规模反弹，但</w:t>
      </w:r>
      <w:r>
        <w:rPr>
          <w:rFonts w:ascii="楷体_GB2312" w:eastAsia="楷体_GB2312" w:hAnsi="楷体" w:cs="宋体" w:hint="eastAsia"/>
          <w:noProof/>
          <w:kern w:val="0"/>
        </w:rPr>
        <w:t>各方</w:t>
      </w:r>
      <w:r>
        <w:rPr>
          <w:rFonts w:ascii="楷体_GB2312" w:eastAsia="楷体_GB2312" w:hAnsi="楷体" w:cs="宋体"/>
          <w:noProof/>
          <w:kern w:val="0"/>
        </w:rPr>
        <w:t>对后市仍持谨慎态度。</w:t>
      </w:r>
      <w:r w:rsidR="008902AF" w:rsidRPr="00497B7F">
        <w:rPr>
          <w:rFonts w:ascii="楷体_GB2312" w:eastAsia="楷体_GB2312" w:hAnsi="楷体" w:cs="宋体" w:hint="eastAsia"/>
          <w:noProof/>
          <w:kern w:val="0"/>
        </w:rPr>
        <w:t>新基金</w:t>
      </w:r>
      <w:r w:rsidR="008902AF" w:rsidRPr="00497B7F">
        <w:rPr>
          <w:rFonts w:ascii="楷体_GB2312" w:eastAsia="楷体_GB2312" w:hAnsi="楷体" w:cs="宋体"/>
          <w:noProof/>
          <w:kern w:val="0"/>
        </w:rPr>
        <w:t>发行</w:t>
      </w:r>
      <w:r w:rsidR="008902AF" w:rsidRPr="00497B7F">
        <w:rPr>
          <w:rFonts w:ascii="楷体_GB2312" w:eastAsia="楷体_GB2312" w:hAnsi="楷体" w:cs="宋体" w:hint="eastAsia"/>
          <w:noProof/>
          <w:kern w:val="0"/>
        </w:rPr>
        <w:t>也</w:t>
      </w:r>
      <w:r w:rsidR="008902AF" w:rsidRPr="00497B7F">
        <w:rPr>
          <w:rFonts w:ascii="楷体_GB2312" w:eastAsia="楷体_GB2312" w:hAnsi="楷体" w:cs="宋体"/>
          <w:noProof/>
          <w:kern w:val="0"/>
        </w:rPr>
        <w:t>持续不振，</w:t>
      </w:r>
      <w:r w:rsidR="008902AF" w:rsidRPr="00497B7F">
        <w:rPr>
          <w:rFonts w:ascii="楷体_GB2312" w:eastAsia="楷体_GB2312" w:hAnsi="楷体" w:cs="宋体" w:hint="eastAsia"/>
          <w:noProof/>
          <w:kern w:val="0"/>
        </w:rPr>
        <w:t>投资者</w:t>
      </w:r>
      <w:r w:rsidR="008902AF" w:rsidRPr="00497B7F">
        <w:rPr>
          <w:rFonts w:ascii="楷体_GB2312" w:eastAsia="楷体_GB2312" w:hAnsi="楷体" w:cs="宋体"/>
          <w:noProof/>
          <w:kern w:val="0"/>
        </w:rPr>
        <w:t>认购热情较低，</w:t>
      </w:r>
      <w:r w:rsidR="008902AF" w:rsidRPr="00497B7F">
        <w:rPr>
          <w:rFonts w:ascii="楷体_GB2312" w:eastAsia="楷体_GB2312" w:hAnsi="楷体" w:cs="宋体" w:hint="eastAsia"/>
          <w:noProof/>
          <w:kern w:val="0"/>
        </w:rPr>
        <w:t>募集</w:t>
      </w:r>
      <w:r w:rsidR="008902AF" w:rsidRPr="00497B7F">
        <w:rPr>
          <w:rFonts w:ascii="楷体_GB2312" w:eastAsia="楷体_GB2312" w:hAnsi="楷体" w:cs="宋体"/>
          <w:noProof/>
          <w:kern w:val="0"/>
        </w:rPr>
        <w:t>规模一再</w:t>
      </w:r>
      <w:r w:rsidR="008902AF" w:rsidRPr="00497B7F">
        <w:rPr>
          <w:rFonts w:ascii="楷体_GB2312" w:eastAsia="楷体_GB2312" w:hAnsi="楷体" w:cs="宋体" w:hint="eastAsia"/>
          <w:noProof/>
          <w:kern w:val="0"/>
        </w:rPr>
        <w:t>下降</w:t>
      </w:r>
      <w:r w:rsidR="00742379">
        <w:rPr>
          <w:rFonts w:ascii="楷体_GB2312" w:eastAsia="楷体_GB2312" w:hAnsi="楷体" w:cs="宋体" w:hint="eastAsia"/>
          <w:noProof/>
          <w:kern w:val="0"/>
        </w:rPr>
        <w:t>，</w:t>
      </w:r>
      <w:r w:rsidR="00742379" w:rsidRPr="00742379">
        <w:rPr>
          <w:rFonts w:ascii="楷体_GB2312" w:eastAsia="楷体_GB2312" w:hAnsi="楷体" w:cs="宋体" w:hint="eastAsia"/>
          <w:noProof/>
          <w:kern w:val="0"/>
        </w:rPr>
        <w:t>延长募集期、首募规模缩水</w:t>
      </w:r>
      <w:r w:rsidR="00742379">
        <w:rPr>
          <w:rFonts w:ascii="楷体_GB2312" w:eastAsia="楷体_GB2312" w:hAnsi="楷体" w:cs="宋体" w:hint="eastAsia"/>
          <w:noProof/>
          <w:kern w:val="0"/>
        </w:rPr>
        <w:t>已成</w:t>
      </w:r>
      <w:r w:rsidR="00742379">
        <w:rPr>
          <w:rFonts w:ascii="楷体_GB2312" w:eastAsia="楷体_GB2312" w:hAnsi="楷体" w:cs="宋体"/>
          <w:noProof/>
          <w:kern w:val="0"/>
        </w:rPr>
        <w:t>常态。</w:t>
      </w:r>
      <w:r>
        <w:rPr>
          <w:rFonts w:ascii="楷体_GB2312" w:eastAsia="楷体_GB2312" w:hAnsi="楷体" w:cs="宋体" w:hint="eastAsia"/>
          <w:noProof/>
          <w:kern w:val="0"/>
        </w:rPr>
        <w:t>但6月末</w:t>
      </w:r>
      <w:r>
        <w:rPr>
          <w:rFonts w:ascii="楷体_GB2312" w:eastAsia="楷体_GB2312" w:hAnsi="楷体" w:cs="宋体"/>
          <w:noProof/>
          <w:kern w:val="0"/>
        </w:rPr>
        <w:t>的</w:t>
      </w:r>
      <w:r>
        <w:rPr>
          <w:rFonts w:ascii="楷体_GB2312" w:eastAsia="楷体_GB2312" w:hAnsi="楷体" w:cs="宋体" w:hint="eastAsia"/>
          <w:noProof/>
          <w:kern w:val="0"/>
        </w:rPr>
        <w:t>反</w:t>
      </w:r>
      <w:r>
        <w:rPr>
          <w:rFonts w:ascii="楷体_GB2312" w:eastAsia="楷体_GB2312" w:hAnsi="楷体" w:cs="宋体" w:hint="eastAsia"/>
          <w:noProof/>
          <w:kern w:val="0"/>
        </w:rPr>
        <w:lastRenderedPageBreak/>
        <w:t>弹行情</w:t>
      </w:r>
      <w:r>
        <w:rPr>
          <w:rFonts w:ascii="楷体_GB2312" w:eastAsia="楷体_GB2312" w:hAnsi="楷体" w:cs="宋体"/>
          <w:noProof/>
          <w:kern w:val="0"/>
        </w:rPr>
        <w:t>预示着</w:t>
      </w:r>
      <w:r w:rsidR="00342D3D" w:rsidRPr="001C3061">
        <w:rPr>
          <w:rFonts w:ascii="楷体_GB2312" w:eastAsia="楷体_GB2312" w:hAnsi="楷体" w:cs="宋体" w:hint="eastAsia"/>
          <w:noProof/>
          <w:kern w:val="0"/>
        </w:rPr>
        <w:t>市场风险偏好有一定回升,</w:t>
      </w:r>
      <w:r>
        <w:rPr>
          <w:rFonts w:ascii="楷体_GB2312" w:eastAsia="楷体_GB2312" w:hAnsi="楷体" w:cs="宋体" w:hint="eastAsia"/>
          <w:noProof/>
          <w:kern w:val="0"/>
        </w:rPr>
        <w:t>考虑到</w:t>
      </w:r>
      <w:r w:rsidRPr="001C3061">
        <w:rPr>
          <w:rFonts w:ascii="楷体_GB2312" w:eastAsia="楷体_GB2312" w:hAnsi="楷体" w:cs="宋体" w:hint="eastAsia"/>
          <w:noProof/>
          <w:kern w:val="0"/>
        </w:rPr>
        <w:t>新基金发行</w:t>
      </w:r>
      <w:r>
        <w:rPr>
          <w:rFonts w:ascii="楷体_GB2312" w:eastAsia="楷体_GB2312" w:hAnsi="楷体" w:cs="宋体" w:hint="eastAsia"/>
          <w:noProof/>
          <w:kern w:val="0"/>
        </w:rPr>
        <w:t>情况</w:t>
      </w:r>
      <w:r w:rsidRPr="001C3061">
        <w:rPr>
          <w:rFonts w:ascii="楷体_GB2312" w:eastAsia="楷体_GB2312" w:hAnsi="楷体" w:cs="宋体" w:hint="eastAsia"/>
          <w:noProof/>
          <w:kern w:val="0"/>
        </w:rPr>
        <w:t>相对滞后</w:t>
      </w:r>
      <w:r>
        <w:rPr>
          <w:rFonts w:ascii="楷体_GB2312" w:eastAsia="楷体_GB2312" w:hAnsi="楷体" w:cs="宋体" w:hint="eastAsia"/>
          <w:noProof/>
          <w:kern w:val="0"/>
        </w:rPr>
        <w:t>于</w:t>
      </w:r>
      <w:r>
        <w:rPr>
          <w:rFonts w:ascii="楷体_GB2312" w:eastAsia="楷体_GB2312" w:hAnsi="楷体" w:cs="宋体"/>
          <w:noProof/>
          <w:kern w:val="0"/>
        </w:rPr>
        <w:t>市场表现，7</w:t>
      </w:r>
      <w:r>
        <w:rPr>
          <w:rFonts w:ascii="楷体_GB2312" w:eastAsia="楷体_GB2312" w:hAnsi="楷体" w:cs="宋体" w:hint="eastAsia"/>
          <w:noProof/>
          <w:kern w:val="0"/>
        </w:rPr>
        <w:t>月发行</w:t>
      </w:r>
      <w:r>
        <w:rPr>
          <w:rFonts w:ascii="楷体_GB2312" w:eastAsia="楷体_GB2312" w:hAnsi="楷体" w:cs="宋体"/>
          <w:noProof/>
          <w:kern w:val="0"/>
        </w:rPr>
        <w:t>认购</w:t>
      </w:r>
      <w:r>
        <w:rPr>
          <w:rFonts w:ascii="楷体_GB2312" w:eastAsia="楷体_GB2312" w:hAnsi="楷体" w:cs="宋体" w:hint="eastAsia"/>
          <w:noProof/>
          <w:kern w:val="0"/>
        </w:rPr>
        <w:t>热情</w:t>
      </w:r>
      <w:r>
        <w:rPr>
          <w:rFonts w:ascii="楷体_GB2312" w:eastAsia="楷体_GB2312" w:hAnsi="楷体" w:cs="宋体"/>
          <w:noProof/>
          <w:kern w:val="0"/>
        </w:rPr>
        <w:t>有望</w:t>
      </w:r>
      <w:r>
        <w:rPr>
          <w:rFonts w:ascii="楷体_GB2312" w:eastAsia="楷体_GB2312" w:hAnsi="楷体" w:cs="宋体" w:hint="eastAsia"/>
          <w:noProof/>
          <w:kern w:val="0"/>
        </w:rPr>
        <w:t>受</w:t>
      </w:r>
      <w:r>
        <w:rPr>
          <w:rFonts w:ascii="楷体_GB2312" w:eastAsia="楷体_GB2312" w:hAnsi="楷体" w:cs="宋体"/>
          <w:noProof/>
          <w:kern w:val="0"/>
        </w:rPr>
        <w:t>到提振</w:t>
      </w:r>
      <w:r w:rsidR="00342D3D" w:rsidRPr="001C3061">
        <w:rPr>
          <w:rFonts w:ascii="楷体_GB2312" w:eastAsia="楷体_GB2312" w:hAnsi="楷体" w:cs="宋体" w:hint="eastAsia"/>
          <w:noProof/>
          <w:kern w:val="0"/>
        </w:rPr>
        <w:t>。</w:t>
      </w:r>
      <w:r w:rsidR="003B37C9">
        <w:rPr>
          <w:rFonts w:ascii="楷体_GB2312" w:eastAsia="楷体_GB2312" w:hAnsi="楷体" w:cs="宋体" w:hint="eastAsia"/>
          <w:noProof/>
          <w:kern w:val="0"/>
        </w:rPr>
        <w:t>受暂停注册采取连带责任担保方式等</w:t>
      </w:r>
      <w:r w:rsidR="003B37C9">
        <w:rPr>
          <w:rFonts w:ascii="楷体_GB2312" w:eastAsia="楷体_GB2312" w:hAnsi="楷体" w:cs="宋体"/>
          <w:noProof/>
          <w:kern w:val="0"/>
        </w:rPr>
        <w:t>监管趋严影响</w:t>
      </w:r>
      <w:r w:rsidR="003B37C9">
        <w:rPr>
          <w:rFonts w:ascii="楷体_GB2312" w:eastAsia="楷体_GB2312" w:hAnsi="楷体" w:cs="宋体" w:hint="eastAsia"/>
          <w:noProof/>
          <w:kern w:val="0"/>
        </w:rPr>
        <w:t>，</w:t>
      </w:r>
      <w:r w:rsidR="00A77E23" w:rsidRPr="001C3061">
        <w:rPr>
          <w:rFonts w:ascii="楷体_GB2312" w:eastAsia="楷体_GB2312" w:hAnsi="楷体" w:cs="宋体" w:hint="eastAsia"/>
          <w:noProof/>
          <w:kern w:val="0"/>
        </w:rPr>
        <w:t>保本基金发行数量由上个月</w:t>
      </w:r>
      <w:r>
        <w:rPr>
          <w:rFonts w:ascii="楷体_GB2312" w:eastAsia="楷体_GB2312" w:hAnsi="楷体" w:cs="宋体" w:hint="eastAsia"/>
          <w:noProof/>
          <w:kern w:val="0"/>
        </w:rPr>
        <w:t>的</w:t>
      </w:r>
      <w:r w:rsidR="00A77E23" w:rsidRPr="001C3061">
        <w:rPr>
          <w:rFonts w:ascii="楷体_GB2312" w:eastAsia="楷体_GB2312" w:hAnsi="楷体" w:cs="宋体" w:hint="eastAsia"/>
          <w:noProof/>
          <w:kern w:val="0"/>
        </w:rPr>
        <w:t>12只降至</w:t>
      </w:r>
      <w:r>
        <w:rPr>
          <w:rFonts w:ascii="楷体_GB2312" w:eastAsia="楷体_GB2312" w:hAnsi="楷体" w:cs="宋体" w:hint="eastAsia"/>
          <w:noProof/>
          <w:kern w:val="0"/>
        </w:rPr>
        <w:t>本月</w:t>
      </w:r>
      <w:r>
        <w:rPr>
          <w:rFonts w:ascii="楷体_GB2312" w:eastAsia="楷体_GB2312" w:hAnsi="楷体" w:cs="宋体"/>
          <w:noProof/>
          <w:kern w:val="0"/>
        </w:rPr>
        <w:t>的</w:t>
      </w:r>
      <w:r w:rsidR="00A77E23" w:rsidRPr="001C3061">
        <w:rPr>
          <w:rFonts w:ascii="楷体_GB2312" w:eastAsia="楷体_GB2312" w:hAnsi="楷体" w:cs="宋体" w:hint="eastAsia"/>
          <w:noProof/>
          <w:kern w:val="0"/>
        </w:rPr>
        <w:t>4只，</w:t>
      </w:r>
      <w:r w:rsidR="003B37C9">
        <w:rPr>
          <w:rFonts w:ascii="楷体_GB2312" w:eastAsia="楷体_GB2312" w:hAnsi="楷体" w:cs="宋体" w:hint="eastAsia"/>
          <w:noProof/>
          <w:kern w:val="0"/>
        </w:rPr>
        <w:t>但</w:t>
      </w:r>
      <w:r w:rsidR="003B37C9" w:rsidRPr="003B37C9">
        <w:rPr>
          <w:rFonts w:ascii="楷体_GB2312" w:eastAsia="楷体_GB2312" w:hAnsi="楷体" w:cs="宋体" w:hint="eastAsia"/>
          <w:noProof/>
          <w:kern w:val="0"/>
        </w:rPr>
        <w:t>发行总规模依旧亮眼</w:t>
      </w:r>
      <w:r w:rsidR="003B37C9">
        <w:rPr>
          <w:rFonts w:ascii="楷体_GB2312" w:eastAsia="楷体_GB2312" w:hAnsi="楷体" w:cs="宋体" w:hint="eastAsia"/>
          <w:noProof/>
          <w:kern w:val="0"/>
        </w:rPr>
        <w:t>，</w:t>
      </w:r>
      <w:r w:rsidR="003B37C9">
        <w:rPr>
          <w:rFonts w:ascii="楷体_GB2312" w:eastAsia="楷体_GB2312" w:hAnsi="楷体" w:cs="宋体"/>
          <w:noProof/>
          <w:kern w:val="0"/>
        </w:rPr>
        <w:t>包揽本期规模前</w:t>
      </w:r>
      <w:r w:rsidR="003B37C9">
        <w:rPr>
          <w:rFonts w:ascii="楷体_GB2312" w:eastAsia="楷体_GB2312" w:hAnsi="楷体" w:cs="宋体" w:hint="eastAsia"/>
          <w:noProof/>
          <w:kern w:val="0"/>
        </w:rPr>
        <w:t>4</w:t>
      </w:r>
      <w:r w:rsidR="003B37C9">
        <w:rPr>
          <w:rFonts w:ascii="楷体_GB2312" w:eastAsia="楷体_GB2312" w:hAnsi="楷体" w:cs="宋体"/>
          <w:noProof/>
          <w:kern w:val="0"/>
        </w:rPr>
        <w:t>席，其中</w:t>
      </w:r>
      <w:r w:rsidR="003B37C9" w:rsidRPr="003B37C9">
        <w:rPr>
          <w:rFonts w:ascii="楷体_GB2312" w:eastAsia="楷体_GB2312" w:hAnsi="楷体" w:cs="宋体" w:hint="eastAsia"/>
          <w:noProof/>
          <w:kern w:val="0"/>
        </w:rPr>
        <w:t>广发稳裕保本</w:t>
      </w:r>
      <w:r w:rsidR="003B37C9">
        <w:rPr>
          <w:rFonts w:ascii="楷体_GB2312" w:eastAsia="楷体_GB2312" w:hAnsi="楷体" w:cs="宋体" w:hint="eastAsia"/>
          <w:noProof/>
          <w:kern w:val="0"/>
        </w:rPr>
        <w:t>更是</w:t>
      </w:r>
      <w:r w:rsidR="003B37C9">
        <w:rPr>
          <w:rFonts w:ascii="楷体_GB2312" w:eastAsia="楷体_GB2312" w:hAnsi="楷体" w:cs="宋体"/>
          <w:noProof/>
          <w:kern w:val="0"/>
        </w:rPr>
        <w:t>逼近</w:t>
      </w:r>
      <w:r w:rsidR="003B37C9">
        <w:rPr>
          <w:rFonts w:ascii="楷体_GB2312" w:eastAsia="楷体_GB2312" w:hAnsi="楷体" w:cs="宋体" w:hint="eastAsia"/>
          <w:noProof/>
          <w:kern w:val="0"/>
        </w:rPr>
        <w:t>50亿</w:t>
      </w:r>
      <w:r w:rsidR="003B37C9">
        <w:rPr>
          <w:rFonts w:ascii="楷体_GB2312" w:eastAsia="楷体_GB2312" w:hAnsi="楷体" w:cs="宋体"/>
          <w:noProof/>
          <w:kern w:val="0"/>
        </w:rPr>
        <w:t>份额大关。</w:t>
      </w:r>
    </w:p>
    <w:tbl>
      <w:tblPr>
        <w:tblW w:w="7229" w:type="dxa"/>
        <w:tblInd w:w="142" w:type="dxa"/>
        <w:tblBorders>
          <w:top w:val="single" w:sz="12" w:space="0" w:color="767171" w:themeColor="background2" w:themeShade="80"/>
          <w:insideH w:val="single" w:sz="12" w:space="0" w:color="C00000"/>
          <w:insideV w:val="single" w:sz="8" w:space="0" w:color="C00000"/>
        </w:tblBorders>
        <w:tblLayout w:type="fixed"/>
        <w:tblLook w:val="04A0" w:firstRow="1" w:lastRow="0" w:firstColumn="1" w:lastColumn="0" w:noHBand="0" w:noVBand="1"/>
      </w:tblPr>
      <w:tblGrid>
        <w:gridCol w:w="7229"/>
      </w:tblGrid>
      <w:tr w:rsidR="001843B0" w:rsidRPr="00FC2D2B" w:rsidTr="00E10EF1">
        <w:tc>
          <w:tcPr>
            <w:tcW w:w="7229" w:type="dxa"/>
          </w:tcPr>
          <w:p w:rsidR="001843B0" w:rsidRPr="00FC2D2B" w:rsidRDefault="001843B0" w:rsidP="001B72D4">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1B72D4">
              <w:rPr>
                <w:rFonts w:ascii="楷体_GB2312" w:eastAsia="楷体_GB2312" w:hAnsi="楷体"/>
                <w:b/>
                <w:color w:val="000000"/>
                <w:sz w:val="18"/>
                <w:szCs w:val="18"/>
              </w:rPr>
              <w:t>5</w:t>
            </w:r>
            <w:r w:rsidRPr="00FC2D2B">
              <w:rPr>
                <w:rFonts w:ascii="楷体_GB2312" w:eastAsia="楷体_GB2312" w:hAnsi="楷体" w:hint="eastAsia"/>
                <w:b/>
                <w:color w:val="000000"/>
                <w:sz w:val="18"/>
                <w:szCs w:val="18"/>
              </w:rPr>
              <w:t>、</w:t>
            </w:r>
            <w:r>
              <w:rPr>
                <w:rFonts w:ascii="楷体_GB2312" w:eastAsia="楷体_GB2312" w:hAnsi="楷体" w:hint="eastAsia"/>
                <w:b/>
                <w:color w:val="000000"/>
                <w:sz w:val="18"/>
                <w:szCs w:val="18"/>
              </w:rPr>
              <w:t>保本基金发行数量、</w:t>
            </w:r>
            <w:r w:rsidRPr="0012738E">
              <w:rPr>
                <w:rFonts w:ascii="楷体_GB2312" w:eastAsia="楷体_GB2312" w:hAnsi="楷体" w:hint="eastAsia"/>
                <w:b/>
                <w:color w:val="000000"/>
                <w:sz w:val="18"/>
                <w:szCs w:val="18"/>
              </w:rPr>
              <w:t>份额</w:t>
            </w:r>
            <w:r>
              <w:rPr>
                <w:rFonts w:ascii="楷体_GB2312" w:eastAsia="楷体_GB2312" w:hAnsi="楷体" w:hint="eastAsia"/>
                <w:b/>
                <w:color w:val="000000"/>
                <w:sz w:val="18"/>
                <w:szCs w:val="18"/>
              </w:rPr>
              <w:t>及</w:t>
            </w:r>
            <w:r>
              <w:rPr>
                <w:rFonts w:ascii="楷体_GB2312" w:eastAsia="楷体_GB2312" w:hAnsi="楷体"/>
                <w:b/>
                <w:color w:val="000000"/>
                <w:sz w:val="18"/>
                <w:szCs w:val="18"/>
              </w:rPr>
              <w:t>占比</w:t>
            </w:r>
          </w:p>
        </w:tc>
      </w:tr>
      <w:tr w:rsidR="001843B0" w:rsidRPr="00FC2D2B" w:rsidTr="001F6A53">
        <w:trPr>
          <w:trHeight w:val="4624"/>
        </w:trPr>
        <w:tc>
          <w:tcPr>
            <w:tcW w:w="7229" w:type="dxa"/>
          </w:tcPr>
          <w:p w:rsidR="001843B0" w:rsidRPr="00CD58A0" w:rsidRDefault="003B37C9" w:rsidP="00E10EF1">
            <w:pPr>
              <w:spacing w:line="360" w:lineRule="auto"/>
              <w:jc w:val="center"/>
              <w:rPr>
                <w:rFonts w:ascii="楷体_GB2312" w:eastAsia="楷体_GB2312" w:hAnsi="楷体"/>
                <w:color w:val="000000"/>
                <w:sz w:val="18"/>
                <w:szCs w:val="18"/>
              </w:rPr>
            </w:pPr>
            <w:r>
              <w:rPr>
                <w:noProof/>
              </w:rPr>
              <w:drawing>
                <wp:inline distT="0" distB="0" distL="0" distR="0" wp14:anchorId="07208FB6" wp14:editId="0735FCA2">
                  <wp:extent cx="4371975" cy="2838450"/>
                  <wp:effectExtent l="0" t="0" r="9525"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843B0" w:rsidRPr="00FC2D2B" w:rsidTr="00E10EF1">
        <w:tc>
          <w:tcPr>
            <w:tcW w:w="7229" w:type="dxa"/>
          </w:tcPr>
          <w:p w:rsidR="001843B0" w:rsidRPr="00FC2D2B" w:rsidRDefault="001843B0" w:rsidP="00E10EF1">
            <w:pPr>
              <w:rPr>
                <w:rFonts w:ascii="楷体_GB2312" w:eastAsia="楷体_GB2312" w:hAnsi="楷体"/>
                <w:noProof/>
                <w:color w:val="000000"/>
                <w:sz w:val="18"/>
                <w:szCs w:val="18"/>
              </w:rPr>
            </w:pPr>
            <w:r w:rsidRPr="00FC2D2B">
              <w:rPr>
                <w:rFonts w:ascii="楷体_GB2312" w:eastAsia="楷体_GB2312" w:hAnsi="楷体" w:hint="eastAsia"/>
                <w:noProof/>
                <w:color w:val="000000"/>
                <w:sz w:val="18"/>
                <w:szCs w:val="18"/>
              </w:rPr>
              <w:t>来源：</w:t>
            </w:r>
            <w:r w:rsidRPr="0012738E">
              <w:rPr>
                <w:rFonts w:ascii="楷体_GB2312" w:eastAsia="楷体_GB2312" w:hAnsi="楷体" w:hint="eastAsia"/>
                <w:noProof/>
                <w:color w:val="000000"/>
                <w:sz w:val="18"/>
                <w:szCs w:val="18"/>
              </w:rPr>
              <w:t>东方财富Choice,上海证券基金评价研究中心</w:t>
            </w:r>
          </w:p>
        </w:tc>
      </w:tr>
    </w:tbl>
    <w:p w:rsidR="00BC6C95" w:rsidRPr="001C3061" w:rsidRDefault="00CB2196" w:rsidP="00613900">
      <w:pPr>
        <w:autoSpaceDE w:val="0"/>
        <w:autoSpaceDN w:val="0"/>
        <w:spacing w:beforeLines="50" w:before="156" w:afterLines="50" w:after="156" w:line="360" w:lineRule="auto"/>
        <w:ind w:firstLineChars="200" w:firstLine="480"/>
        <w:rPr>
          <w:rFonts w:ascii="楷体_GB2312" w:eastAsia="楷体_GB2312" w:hAnsi="楷体" w:cs="宋体"/>
          <w:noProof/>
          <w:kern w:val="0"/>
        </w:rPr>
      </w:pPr>
      <w:r w:rsidRPr="001C3061">
        <w:rPr>
          <w:rFonts w:ascii="楷体_GB2312" w:eastAsia="楷体_GB2312" w:hAnsi="楷体" w:cs="宋体" w:hint="eastAsia"/>
          <w:noProof/>
          <w:kern w:val="0"/>
        </w:rPr>
        <w:t>A股未能纳入MSCI指数以及英国脱欧黑天鹅事件，导致市场持续震动，</w:t>
      </w:r>
      <w:r w:rsidR="000F7CFF">
        <w:rPr>
          <w:rFonts w:ascii="楷体_GB2312" w:eastAsia="楷体_GB2312" w:hAnsi="楷体" w:cs="宋体" w:hint="eastAsia"/>
          <w:noProof/>
          <w:kern w:val="0"/>
        </w:rPr>
        <w:t>而受</w:t>
      </w:r>
      <w:r w:rsidR="00BC6C95" w:rsidRPr="001C3061">
        <w:rPr>
          <w:rFonts w:ascii="楷体_GB2312" w:eastAsia="楷体_GB2312" w:hAnsi="楷体" w:cs="宋体" w:hint="eastAsia"/>
          <w:noProof/>
          <w:kern w:val="0"/>
        </w:rPr>
        <w:t>避险情绪的影响，</w:t>
      </w:r>
      <w:r w:rsidR="000F7CFF">
        <w:rPr>
          <w:rFonts w:ascii="楷体_GB2312" w:eastAsia="楷体_GB2312" w:hAnsi="楷体" w:cs="宋体" w:hint="eastAsia"/>
          <w:noProof/>
          <w:kern w:val="0"/>
        </w:rPr>
        <w:t>与黄金价格相关联的产品受到投资者的关注。国内投资于黄金的渠道主要</w:t>
      </w:r>
      <w:r w:rsidR="000F7CFF">
        <w:rPr>
          <w:rFonts w:ascii="楷体_GB2312" w:eastAsia="楷体_GB2312" w:hAnsi="楷体" w:cs="宋体"/>
          <w:noProof/>
          <w:kern w:val="0"/>
        </w:rPr>
        <w:t>包括</w:t>
      </w:r>
      <w:r w:rsidR="00342D3D" w:rsidRPr="001C3061">
        <w:rPr>
          <w:rFonts w:ascii="楷体_GB2312" w:eastAsia="楷体_GB2312" w:hAnsi="楷体" w:cs="宋体" w:hint="eastAsia"/>
          <w:noProof/>
          <w:kern w:val="0"/>
        </w:rPr>
        <w:t>直接投资和间接投资</w:t>
      </w:r>
      <w:r w:rsidR="00484B65">
        <w:rPr>
          <w:rFonts w:ascii="楷体_GB2312" w:eastAsia="楷体_GB2312" w:hAnsi="楷体" w:cs="宋体" w:hint="eastAsia"/>
          <w:noProof/>
          <w:kern w:val="0"/>
        </w:rPr>
        <w:t>两个</w:t>
      </w:r>
      <w:r w:rsidR="00484B65">
        <w:rPr>
          <w:rFonts w:ascii="楷体_GB2312" w:eastAsia="楷体_GB2312" w:hAnsi="楷体" w:cs="宋体"/>
          <w:noProof/>
          <w:kern w:val="0"/>
        </w:rPr>
        <w:t>方面</w:t>
      </w:r>
      <w:r w:rsidR="00484B65">
        <w:rPr>
          <w:rFonts w:ascii="楷体_GB2312" w:eastAsia="楷体_GB2312" w:hAnsi="楷体" w:cs="宋体" w:hint="eastAsia"/>
          <w:noProof/>
          <w:kern w:val="0"/>
        </w:rPr>
        <w:t>，</w:t>
      </w:r>
      <w:r w:rsidR="00342D3D" w:rsidRPr="001C3061">
        <w:rPr>
          <w:rFonts w:ascii="楷体_GB2312" w:eastAsia="楷体_GB2312" w:hAnsi="楷体" w:cs="宋体" w:hint="eastAsia"/>
          <w:noProof/>
          <w:kern w:val="0"/>
        </w:rPr>
        <w:t>直接投资包括</w:t>
      </w:r>
      <w:r w:rsidR="00BC6C95" w:rsidRPr="001C3061">
        <w:rPr>
          <w:rFonts w:ascii="楷体_GB2312" w:eastAsia="楷体_GB2312" w:hAnsi="楷体" w:cs="宋体" w:hint="eastAsia"/>
          <w:noProof/>
          <w:kern w:val="0"/>
        </w:rPr>
        <w:t>ETF和QDII两类，</w:t>
      </w:r>
      <w:r w:rsidR="00342D3D" w:rsidRPr="001C3061">
        <w:rPr>
          <w:rFonts w:ascii="楷体_GB2312" w:eastAsia="楷体_GB2312" w:hAnsi="楷体" w:cs="宋体" w:hint="eastAsia"/>
          <w:noProof/>
          <w:kern w:val="0"/>
        </w:rPr>
        <w:t>比如：国泰黄金ETF、华安黄金易ETF、易方达黄金主题、嘉实黄金</w:t>
      </w:r>
      <w:r w:rsidR="00484B65">
        <w:rPr>
          <w:rFonts w:ascii="楷体_GB2312" w:eastAsia="楷体_GB2312" w:hAnsi="楷体" w:cs="宋体" w:hint="eastAsia"/>
          <w:noProof/>
          <w:kern w:val="0"/>
        </w:rPr>
        <w:t>等</w:t>
      </w:r>
      <w:r w:rsidR="00342D3D" w:rsidRPr="001C3061">
        <w:rPr>
          <w:rFonts w:ascii="楷体_GB2312" w:eastAsia="楷体_GB2312" w:hAnsi="楷体" w:cs="宋体" w:hint="eastAsia"/>
          <w:noProof/>
          <w:kern w:val="0"/>
        </w:rPr>
        <w:t>，</w:t>
      </w:r>
      <w:r w:rsidR="00BC6C95" w:rsidRPr="001C3061">
        <w:rPr>
          <w:rFonts w:ascii="楷体_GB2312" w:eastAsia="楷体_GB2312" w:hAnsi="楷体" w:cs="宋体" w:hint="eastAsia"/>
          <w:noProof/>
          <w:kern w:val="0"/>
        </w:rPr>
        <w:t>其中黄金ETF的规模持续增长。</w:t>
      </w:r>
      <w:r w:rsidR="00484B65">
        <w:rPr>
          <w:rFonts w:ascii="楷体_GB2312" w:eastAsia="楷体_GB2312" w:hAnsi="楷体" w:cs="宋体" w:hint="eastAsia"/>
          <w:noProof/>
          <w:kern w:val="0"/>
        </w:rPr>
        <w:t>间接投资为一些投资于与黄金、</w:t>
      </w:r>
      <w:r w:rsidR="001C3061" w:rsidRPr="001C3061">
        <w:rPr>
          <w:rFonts w:ascii="楷体_GB2312" w:eastAsia="楷体_GB2312" w:hAnsi="楷体" w:cs="宋体" w:hint="eastAsia"/>
          <w:noProof/>
          <w:kern w:val="0"/>
        </w:rPr>
        <w:t>珠宝主题相关</w:t>
      </w:r>
      <w:r w:rsidR="00484B65">
        <w:rPr>
          <w:rFonts w:ascii="楷体_GB2312" w:eastAsia="楷体_GB2312" w:hAnsi="楷体" w:cs="宋体" w:hint="eastAsia"/>
          <w:noProof/>
          <w:kern w:val="0"/>
        </w:rPr>
        <w:t>的标的</w:t>
      </w:r>
      <w:r w:rsidR="001C3061" w:rsidRPr="001C3061">
        <w:rPr>
          <w:rFonts w:ascii="楷体_GB2312" w:eastAsia="楷体_GB2312" w:hAnsi="楷体" w:cs="宋体" w:hint="eastAsia"/>
          <w:noProof/>
          <w:kern w:val="0"/>
        </w:rPr>
        <w:t>，如前海开源基金。</w:t>
      </w:r>
    </w:p>
    <w:p w:rsidR="00D86D02" w:rsidRDefault="00BB7D62" w:rsidP="00497B7F">
      <w:pPr>
        <w:autoSpaceDE w:val="0"/>
        <w:autoSpaceDN w:val="0"/>
        <w:spacing w:beforeLines="50" w:before="156" w:afterLines="50" w:after="156" w:line="360" w:lineRule="auto"/>
        <w:ind w:firstLineChars="200" w:firstLine="480"/>
        <w:rPr>
          <w:rFonts w:ascii="楷体_GB2312" w:eastAsia="楷体_GB2312" w:hAnsi="楷体" w:cs="宋体"/>
          <w:noProof/>
          <w:kern w:val="0"/>
        </w:rPr>
      </w:pPr>
      <w:r w:rsidRPr="001C3061">
        <w:rPr>
          <w:rFonts w:ascii="楷体_GB2312" w:eastAsia="楷体_GB2312" w:hAnsi="楷体" w:cs="宋体"/>
          <w:noProof/>
          <w:kern w:val="0"/>
        </w:rPr>
        <w:t>2013</w:t>
      </w:r>
      <w:r w:rsidRPr="001C3061">
        <w:rPr>
          <w:rFonts w:ascii="楷体_GB2312" w:eastAsia="楷体_GB2312" w:hAnsi="楷体" w:cs="宋体" w:hint="eastAsia"/>
          <w:noProof/>
          <w:kern w:val="0"/>
        </w:rPr>
        <w:t>年，中国证监会发布《黄金交易型开放式证券投资基金暂行规定》，该规定对国内黄金ET</w:t>
      </w:r>
      <w:r w:rsidRPr="001C3061">
        <w:rPr>
          <w:rFonts w:ascii="楷体_GB2312" w:eastAsia="楷体_GB2312" w:hAnsi="楷体" w:cs="宋体"/>
          <w:noProof/>
          <w:kern w:val="0"/>
        </w:rPr>
        <w:t>F</w:t>
      </w:r>
      <w:r w:rsidRPr="001C3061">
        <w:rPr>
          <w:rFonts w:ascii="楷体_GB2312" w:eastAsia="楷体_GB2312" w:hAnsi="楷体" w:cs="宋体" w:hint="eastAsia"/>
          <w:noProof/>
          <w:kern w:val="0"/>
        </w:rPr>
        <w:t>的定义，投资对象，运作机制明确论述。黄金ETF是指绝大部分基金财产以黄金为基础资产进行投资，紧密跟踪黄金价格，并在交易所上市开放的基金。</w:t>
      </w:r>
      <w:r w:rsidR="006A6EBD" w:rsidRPr="001C3061">
        <w:rPr>
          <w:rFonts w:ascii="楷体_GB2312" w:eastAsia="楷体_GB2312" w:hAnsi="楷体" w:cs="宋体" w:hint="eastAsia"/>
          <w:noProof/>
          <w:kern w:val="0"/>
        </w:rPr>
        <w:t>与直接投资黄金相比，黄金ETF基金更容易操作，流动性也更强。</w:t>
      </w:r>
      <w:r w:rsidR="00227DDF" w:rsidRPr="001C3061">
        <w:rPr>
          <w:rFonts w:ascii="楷体_GB2312" w:eastAsia="楷体_GB2312" w:hAnsi="楷体" w:cs="宋体" w:hint="eastAsia"/>
          <w:noProof/>
          <w:kern w:val="0"/>
        </w:rPr>
        <w:t>市场发生系统性风险时，</w:t>
      </w:r>
      <w:r w:rsidR="00227DDF" w:rsidRPr="001C3061">
        <w:rPr>
          <w:rFonts w:ascii="楷体_GB2312" w:eastAsia="楷体_GB2312" w:hAnsi="楷体" w:cs="宋体" w:hint="eastAsia"/>
          <w:noProof/>
          <w:kern w:val="0"/>
        </w:rPr>
        <w:lastRenderedPageBreak/>
        <w:t>黄金的表现要明显强于其他类资产，这是黄金在资产配置中不可替代的一个重要优势。在金融市场，系统性风险往往以“黑天鹅事件”的形式出现，“黑天鹅事件”泛指那些发生概率极小，但一旦发生代价便相当高的风险事件。</w:t>
      </w:r>
      <w:r w:rsidR="001C3061" w:rsidRPr="001C3061">
        <w:rPr>
          <w:rFonts w:ascii="楷体_GB2312" w:eastAsia="楷体_GB2312" w:hAnsi="楷体" w:cs="宋体" w:hint="eastAsia"/>
          <w:noProof/>
          <w:kern w:val="0"/>
        </w:rPr>
        <w:t>因此，从资产配置的角度出发，黄金是构建大类资产组合中不可或缺的</w:t>
      </w:r>
      <w:r w:rsidR="00FB585F" w:rsidRPr="001C3061">
        <w:rPr>
          <w:rFonts w:ascii="楷体_GB2312" w:eastAsia="楷体_GB2312" w:hAnsi="楷体" w:cs="宋体" w:hint="eastAsia"/>
          <w:noProof/>
          <w:kern w:val="0"/>
        </w:rPr>
        <w:t>一个</w:t>
      </w:r>
      <w:r w:rsidR="001C3061" w:rsidRPr="001C3061">
        <w:rPr>
          <w:rFonts w:ascii="楷体_GB2312" w:eastAsia="楷体_GB2312" w:hAnsi="楷体" w:cs="宋体" w:hint="eastAsia"/>
          <w:noProof/>
          <w:kern w:val="0"/>
        </w:rPr>
        <w:t>重要选项。</w:t>
      </w:r>
    </w:p>
    <w:tbl>
      <w:tblPr>
        <w:tblW w:w="7229" w:type="dxa"/>
        <w:tblInd w:w="-142" w:type="dxa"/>
        <w:tblBorders>
          <w:top w:val="single" w:sz="12" w:space="0" w:color="767171" w:themeColor="background2" w:themeShade="80"/>
          <w:insideH w:val="single" w:sz="12" w:space="0" w:color="C00000"/>
          <w:insideV w:val="single" w:sz="8" w:space="0" w:color="C00000"/>
        </w:tblBorders>
        <w:tblLayout w:type="fixed"/>
        <w:tblLook w:val="04A0" w:firstRow="1" w:lastRow="0" w:firstColumn="1" w:lastColumn="0" w:noHBand="0" w:noVBand="1"/>
      </w:tblPr>
      <w:tblGrid>
        <w:gridCol w:w="7229"/>
      </w:tblGrid>
      <w:tr w:rsidR="0012738E" w:rsidRPr="00FC2D2B" w:rsidTr="0012738E">
        <w:tc>
          <w:tcPr>
            <w:tcW w:w="7229" w:type="dxa"/>
          </w:tcPr>
          <w:p w:rsidR="0012738E" w:rsidRPr="00FC2D2B" w:rsidRDefault="0012738E" w:rsidP="001B72D4">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1B72D4">
              <w:rPr>
                <w:rFonts w:ascii="楷体_GB2312" w:eastAsia="楷体_GB2312" w:hAnsi="楷体"/>
                <w:b/>
                <w:color w:val="000000"/>
                <w:sz w:val="18"/>
                <w:szCs w:val="18"/>
              </w:rPr>
              <w:t>6</w:t>
            </w:r>
            <w:r w:rsidRPr="00FC2D2B">
              <w:rPr>
                <w:rFonts w:ascii="楷体_GB2312" w:eastAsia="楷体_GB2312" w:hAnsi="楷体" w:hint="eastAsia"/>
                <w:b/>
                <w:color w:val="000000"/>
                <w:sz w:val="18"/>
                <w:szCs w:val="18"/>
              </w:rPr>
              <w:t>、</w:t>
            </w:r>
            <w:r w:rsidRPr="0012738E">
              <w:rPr>
                <w:rFonts w:ascii="楷体_GB2312" w:eastAsia="楷体_GB2312" w:hAnsi="楷体" w:hint="eastAsia"/>
                <w:b/>
                <w:color w:val="000000"/>
                <w:sz w:val="18"/>
                <w:szCs w:val="18"/>
              </w:rPr>
              <w:t>近期月度基金发行数量及结构</w:t>
            </w:r>
          </w:p>
        </w:tc>
      </w:tr>
      <w:tr w:rsidR="0012738E" w:rsidRPr="00FC2D2B" w:rsidTr="00580EE7">
        <w:trPr>
          <w:trHeight w:val="3282"/>
        </w:trPr>
        <w:tc>
          <w:tcPr>
            <w:tcW w:w="7229" w:type="dxa"/>
          </w:tcPr>
          <w:p w:rsidR="0012738E" w:rsidRPr="00801CD4" w:rsidRDefault="00580EE7" w:rsidP="00F4503B">
            <w:pPr>
              <w:spacing w:line="360" w:lineRule="auto"/>
              <w:jc w:val="center"/>
              <w:rPr>
                <w:rFonts w:ascii="楷体_GB2312" w:eastAsia="楷体_GB2312" w:hAnsi="楷体"/>
                <w:color w:val="000000"/>
                <w:sz w:val="18"/>
                <w:szCs w:val="18"/>
              </w:rPr>
            </w:pPr>
            <w:r>
              <w:rPr>
                <w:noProof/>
              </w:rPr>
              <w:drawing>
                <wp:inline distT="0" distB="0" distL="0" distR="0" wp14:anchorId="28BF21F3" wp14:editId="47862458">
                  <wp:extent cx="4453255" cy="2607310"/>
                  <wp:effectExtent l="0" t="0" r="4445" b="254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12738E" w:rsidRPr="00FC2D2B" w:rsidTr="0012738E">
        <w:tc>
          <w:tcPr>
            <w:tcW w:w="7229" w:type="dxa"/>
          </w:tcPr>
          <w:p w:rsidR="0012738E" w:rsidRPr="00FC2D2B" w:rsidRDefault="0012738E" w:rsidP="00F4503B">
            <w:pPr>
              <w:rPr>
                <w:rFonts w:ascii="楷体_GB2312" w:eastAsia="楷体_GB2312" w:hAnsi="楷体"/>
                <w:noProof/>
                <w:color w:val="000000"/>
                <w:sz w:val="18"/>
                <w:szCs w:val="18"/>
              </w:rPr>
            </w:pPr>
            <w:r w:rsidRPr="00FC2D2B">
              <w:rPr>
                <w:rFonts w:ascii="楷体_GB2312" w:eastAsia="楷体_GB2312" w:hAnsi="楷体" w:hint="eastAsia"/>
                <w:noProof/>
                <w:color w:val="000000"/>
                <w:sz w:val="18"/>
                <w:szCs w:val="18"/>
              </w:rPr>
              <w:t>来源：</w:t>
            </w:r>
            <w:r>
              <w:rPr>
                <w:rFonts w:ascii="楷体_GB2312" w:eastAsia="楷体_GB2312" w:hAnsi="楷体" w:hint="eastAsia"/>
                <w:noProof/>
                <w:color w:val="000000"/>
                <w:sz w:val="18"/>
                <w:szCs w:val="18"/>
              </w:rPr>
              <w:t>Wind</w:t>
            </w:r>
            <w:r w:rsidRPr="00FC2D2B">
              <w:rPr>
                <w:rFonts w:ascii="楷体_GB2312" w:eastAsia="楷体_GB2312" w:hAnsi="楷体" w:hint="eastAsia"/>
                <w:noProof/>
                <w:color w:val="000000"/>
                <w:sz w:val="18"/>
                <w:szCs w:val="18"/>
              </w:rPr>
              <w:t xml:space="preserve"> 上海证券基金评价研究中心</w:t>
            </w:r>
            <w:r>
              <w:rPr>
                <w:rFonts w:ascii="楷体_GB2312" w:eastAsia="楷体_GB2312" w:hAnsi="楷体" w:hint="eastAsia"/>
                <w:noProof/>
                <w:color w:val="000000"/>
                <w:sz w:val="18"/>
                <w:szCs w:val="18"/>
              </w:rPr>
              <w:t xml:space="preserve">  </w:t>
            </w:r>
            <w:r w:rsidRPr="0012738E">
              <w:rPr>
                <w:rFonts w:ascii="楷体_GB2312" w:eastAsia="楷体_GB2312" w:hAnsi="楷体" w:hint="eastAsia"/>
                <w:noProof/>
                <w:color w:val="000000"/>
                <w:sz w:val="18"/>
                <w:szCs w:val="18"/>
              </w:rPr>
              <w:t>基金数量统计时，按投资组合</w:t>
            </w:r>
            <w:r>
              <w:rPr>
                <w:rFonts w:ascii="楷体_GB2312" w:eastAsia="楷体_GB2312" w:hAnsi="楷体" w:hint="eastAsia"/>
                <w:noProof/>
                <w:color w:val="000000"/>
                <w:sz w:val="18"/>
                <w:szCs w:val="18"/>
              </w:rPr>
              <w:t>计</w:t>
            </w:r>
          </w:p>
        </w:tc>
      </w:tr>
    </w:tbl>
    <w:p w:rsidR="00497B7F" w:rsidRPr="00497B7F" w:rsidRDefault="007F7F84" w:rsidP="006C2953">
      <w:pPr>
        <w:autoSpaceDE w:val="0"/>
        <w:autoSpaceDN w:val="0"/>
        <w:adjustRightInd w:val="0"/>
        <w:spacing w:beforeLines="50" w:before="156" w:afterLines="50" w:after="156" w:line="360" w:lineRule="auto"/>
        <w:ind w:firstLineChars="177" w:firstLine="425"/>
        <w:jc w:val="left"/>
        <w:rPr>
          <w:rFonts w:ascii="楷体_GB2312" w:eastAsia="楷体_GB2312" w:hAnsi="楷体" w:cs="宋体"/>
          <w:noProof/>
          <w:color w:val="000000"/>
          <w:kern w:val="0"/>
        </w:rPr>
      </w:pPr>
      <w:r w:rsidRPr="007F7F84">
        <w:rPr>
          <w:rFonts w:ascii="楷体_GB2312" w:eastAsia="楷体_GB2312" w:hAnsi="楷体" w:cs="宋体" w:hint="eastAsia"/>
          <w:noProof/>
          <w:color w:val="000000"/>
          <w:kern w:val="0"/>
        </w:rPr>
        <w:t>本月新基金发行数量为45只，较上月出现较大幅度下降。权益类基金发行17只，其中混合型12只、股票型2只、指数型3只。固定收益类产品中债券型数量继续回升达到19只，货币型数量为5只；其他类</w:t>
      </w:r>
      <w:r w:rsidR="005B1BBC">
        <w:rPr>
          <w:rFonts w:ascii="楷体_GB2312" w:eastAsia="楷体_GB2312" w:hAnsi="楷体" w:cs="宋体" w:hint="eastAsia"/>
          <w:noProof/>
          <w:color w:val="000000"/>
          <w:kern w:val="0"/>
        </w:rPr>
        <w:t>4</w:t>
      </w:r>
      <w:r w:rsidRPr="007F7F84">
        <w:rPr>
          <w:rFonts w:ascii="楷体_GB2312" w:eastAsia="楷体_GB2312" w:hAnsi="楷体" w:cs="宋体" w:hint="eastAsia"/>
          <w:noProof/>
          <w:color w:val="000000"/>
          <w:kern w:val="0"/>
        </w:rPr>
        <w:t>只：保本类</w:t>
      </w:r>
      <w:r w:rsidR="005B1BBC">
        <w:rPr>
          <w:rFonts w:ascii="楷体_GB2312" w:eastAsia="楷体_GB2312" w:hAnsi="楷体" w:cs="宋体" w:hint="eastAsia"/>
          <w:noProof/>
          <w:color w:val="000000"/>
          <w:kern w:val="0"/>
        </w:rPr>
        <w:t>4</w:t>
      </w:r>
      <w:r w:rsidRPr="007F7F84">
        <w:rPr>
          <w:rFonts w:ascii="楷体_GB2312" w:eastAsia="楷体_GB2312" w:hAnsi="楷体" w:cs="宋体" w:hint="eastAsia"/>
          <w:noProof/>
          <w:color w:val="000000"/>
          <w:kern w:val="0"/>
        </w:rPr>
        <w:t>只、商品类</w:t>
      </w:r>
      <w:r w:rsidR="005B1BBC">
        <w:rPr>
          <w:rFonts w:ascii="楷体_GB2312" w:eastAsia="楷体_GB2312" w:hAnsi="楷体" w:cs="宋体" w:hint="eastAsia"/>
          <w:noProof/>
          <w:color w:val="000000"/>
          <w:kern w:val="0"/>
        </w:rPr>
        <w:t>0</w:t>
      </w:r>
      <w:r w:rsidRPr="007F7F84">
        <w:rPr>
          <w:rFonts w:ascii="楷体_GB2312" w:eastAsia="楷体_GB2312" w:hAnsi="楷体" w:cs="宋体" w:hint="eastAsia"/>
          <w:noProof/>
          <w:color w:val="000000"/>
          <w:kern w:val="0"/>
        </w:rPr>
        <w:t>只；QDII方面，</w:t>
      </w:r>
      <w:r w:rsidR="006C2953">
        <w:rPr>
          <w:rFonts w:ascii="楷体_GB2312" w:eastAsia="楷体_GB2312" w:hAnsi="楷体" w:cs="宋体" w:hint="eastAsia"/>
          <w:noProof/>
          <w:color w:val="000000"/>
          <w:kern w:val="0"/>
        </w:rPr>
        <w:t>没有</w:t>
      </w:r>
      <w:r w:rsidRPr="007F7F84">
        <w:rPr>
          <w:rFonts w:ascii="楷体_GB2312" w:eastAsia="楷体_GB2312" w:hAnsi="楷体" w:cs="宋体" w:hint="eastAsia"/>
          <w:noProof/>
          <w:color w:val="000000"/>
          <w:kern w:val="0"/>
        </w:rPr>
        <w:t>产品出海。</w:t>
      </w:r>
    </w:p>
    <w:p w:rsidR="008B0A79" w:rsidRPr="003C7187" w:rsidRDefault="00DC584B" w:rsidP="00363653">
      <w:pPr>
        <w:autoSpaceDE w:val="0"/>
        <w:autoSpaceDN w:val="0"/>
        <w:adjustRightInd w:val="0"/>
        <w:spacing w:beforeLines="50" w:before="156" w:afterLines="50" w:after="156" w:line="360" w:lineRule="auto"/>
        <w:jc w:val="left"/>
        <w:rPr>
          <w:rFonts w:ascii="楷体_GB2312" w:eastAsia="楷体_GB2312" w:hAnsi="楷体" w:cs="宋体"/>
          <w:b/>
          <w:noProof/>
          <w:color w:val="000000"/>
          <w:kern w:val="0"/>
        </w:rPr>
      </w:pPr>
      <w:r w:rsidRPr="00A036D4">
        <w:rPr>
          <w:rFonts w:ascii="楷体_GB2312" w:eastAsia="楷体_GB2312" w:hAnsi="楷体" w:cs="宋体" w:hint="eastAsia"/>
          <w:b/>
          <w:noProof/>
          <w:color w:val="000000"/>
          <w:kern w:val="0"/>
        </w:rPr>
        <w:t>2.新发行基金看点</w:t>
      </w:r>
    </w:p>
    <w:p w:rsidR="0003561E" w:rsidRPr="0003561E" w:rsidRDefault="0003561E" w:rsidP="0003561E">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03561E">
        <w:rPr>
          <w:rFonts w:ascii="楷体_GB2312" w:eastAsia="楷体_GB2312" w:hAnsi="楷体" w:cs="宋体" w:hint="eastAsia"/>
          <w:noProof/>
          <w:color w:val="000000"/>
          <w:kern w:val="0"/>
        </w:rPr>
        <w:t>华安聚利18个月(代码：002948</w:t>
      </w:r>
      <w:r>
        <w:rPr>
          <w:rFonts w:ascii="楷体_GB2312" w:eastAsia="楷体_GB2312" w:hAnsi="楷体" w:cs="宋体"/>
          <w:noProof/>
          <w:color w:val="000000"/>
          <w:kern w:val="0"/>
        </w:rPr>
        <w:t xml:space="preserve"> A 002949 C</w:t>
      </w:r>
      <w:r w:rsidRPr="0003561E">
        <w:rPr>
          <w:rFonts w:ascii="楷体_GB2312" w:eastAsia="楷体_GB2312" w:hAnsi="楷体" w:cs="宋体" w:hint="eastAsia"/>
          <w:noProof/>
          <w:color w:val="000000"/>
          <w:kern w:val="0"/>
        </w:rPr>
        <w:t>)：该基金为中长期纯债型基金，该基金在合理控制风险的情况下，通过主动管理充分捕捉债券市场的投资机会，力争实现基金资产的长期稳定增值。基金的投资组合比例为：基金投资于债券资产的比例不低于基金资产的80%，但每次开放期开始前一个月至开放期结束后一个月的期间不受前述比例限制。该基金不参与</w:t>
      </w:r>
      <w:r w:rsidR="003623CF">
        <w:rPr>
          <w:rFonts w:ascii="楷体_GB2312" w:eastAsia="楷体_GB2312" w:hAnsi="楷体" w:cs="宋体" w:hint="eastAsia"/>
          <w:noProof/>
          <w:color w:val="000000"/>
          <w:kern w:val="0"/>
        </w:rPr>
        <w:t>权益类的资产投资，</w:t>
      </w:r>
      <w:r w:rsidRPr="0003561E">
        <w:rPr>
          <w:rFonts w:ascii="楷体_GB2312" w:eastAsia="楷体_GB2312" w:hAnsi="楷体" w:cs="宋体" w:hint="eastAsia"/>
          <w:noProof/>
          <w:color w:val="000000"/>
          <w:kern w:val="0"/>
        </w:rPr>
        <w:t>风险较低。</w:t>
      </w:r>
    </w:p>
    <w:p w:rsidR="00497B7F" w:rsidRDefault="00497B7F" w:rsidP="00497B7F">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497B7F">
        <w:rPr>
          <w:rFonts w:ascii="楷体_GB2312" w:eastAsia="楷体_GB2312" w:hAnsi="楷体" w:cs="宋体" w:hint="eastAsia"/>
          <w:noProof/>
          <w:color w:val="000000"/>
          <w:kern w:val="0"/>
        </w:rPr>
        <w:lastRenderedPageBreak/>
        <w:t>东方红睿满沪港深（代码：169104）基金为灵活配置型基金，该</w:t>
      </w:r>
      <w:r w:rsidRPr="00497B7F">
        <w:rPr>
          <w:rFonts w:ascii="楷体_GB2312" w:eastAsia="楷体_GB2312" w:hAnsi="楷体" w:cs="宋体"/>
          <w:noProof/>
          <w:color w:val="000000"/>
          <w:kern w:val="0"/>
        </w:rPr>
        <w:t>基金在有效控制投资组合风险的前提下，追求资产净值的长期稳健增值。</w:t>
      </w:r>
      <w:r w:rsidRPr="00497B7F">
        <w:rPr>
          <w:rFonts w:ascii="楷体_GB2312" w:eastAsia="楷体_GB2312" w:hAnsi="楷体" w:cs="宋体" w:hint="eastAsia"/>
          <w:noProof/>
          <w:color w:val="000000"/>
          <w:kern w:val="0"/>
        </w:rPr>
        <w:t>东方红睿满沪港深混合基金投资A股和港股通标的股票的仓位灵活，三年封闭期内A股和港股通标的股票的投资比例均不超过全部基金资产；开放期内，股票资产投资比例不超过95%，其中A股占比不超过95%，港股通标的股票占比不超过50%。该基金将遵循“自下而上”的个股投资策略，深入分析企业内在价值，挖掘A股、港股市场中价格低估、质地优秀、未来预期成长性良好，符合转型期中国经济发展趋势的上市公司股票进行投资。</w:t>
      </w:r>
      <w:r>
        <w:rPr>
          <w:rFonts w:ascii="楷体_GB2312" w:eastAsia="楷体_GB2312" w:hAnsi="楷体" w:cs="宋体" w:hint="eastAsia"/>
          <w:noProof/>
          <w:color w:val="000000"/>
          <w:kern w:val="0"/>
        </w:rPr>
        <w:t xml:space="preserve"> </w:t>
      </w:r>
    </w:p>
    <w:p w:rsidR="00343BDF" w:rsidRPr="00343BDF" w:rsidRDefault="00343BDF" w:rsidP="00343BDF">
      <w:pPr>
        <w:widowControl/>
        <w:spacing w:line="360" w:lineRule="auto"/>
        <w:ind w:firstLineChars="236" w:firstLine="566"/>
        <w:rPr>
          <w:rFonts w:ascii="楷体_GB2312" w:eastAsia="楷体_GB2312" w:hAnsi="楷体" w:cs="宋体"/>
          <w:noProof/>
          <w:color w:val="000000"/>
          <w:kern w:val="0"/>
        </w:rPr>
      </w:pPr>
      <w:r w:rsidRPr="00343BDF">
        <w:rPr>
          <w:rFonts w:ascii="楷体_GB2312" w:eastAsia="楷体_GB2312" w:hAnsi="楷体" w:cs="宋体" w:hint="eastAsia"/>
          <w:noProof/>
          <w:color w:val="000000"/>
          <w:kern w:val="0"/>
        </w:rPr>
        <w:t>鹏华兴益（代码：002913；认购日期：20/6/2016-1/7/2016）：该基金为灵活配置型基金。基金的投资组合比例为：封闭期内，股票资产占基金资产的比例为 0%－100%；开放期内，股票资产占基金资产的比例为 0%－95%，现金或到期日在一年以内的政府债券的投资比例不低于基金资产净值的 5%。基金在严格控制风险的基础上，通过定期开放的形式保持适度流动性，力求取得超越基金业绩比较基准的收益。</w:t>
      </w:r>
    </w:p>
    <w:p w:rsidR="009E3D1C" w:rsidRPr="009E3D1C" w:rsidRDefault="009E3D1C" w:rsidP="009E3D1C">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9E3D1C">
        <w:rPr>
          <w:rFonts w:ascii="楷体_GB2312" w:eastAsia="楷体_GB2312" w:hAnsi="楷体" w:cs="宋体" w:hint="eastAsia"/>
          <w:noProof/>
          <w:color w:val="000000"/>
          <w:kern w:val="0"/>
        </w:rPr>
        <w:t>博时保泰保本(代码:002813 A、</w:t>
      </w:r>
      <w:r w:rsidRPr="009E3D1C">
        <w:rPr>
          <w:rFonts w:ascii="楷体_GB2312" w:eastAsia="楷体_GB2312" w:hAnsi="楷体" w:cs="宋体"/>
          <w:noProof/>
          <w:color w:val="000000"/>
          <w:kern w:val="0"/>
        </w:rPr>
        <w:t>002814 C;</w:t>
      </w:r>
      <w:r w:rsidRPr="009E3D1C">
        <w:rPr>
          <w:rFonts w:ascii="楷体_GB2312" w:eastAsia="楷体_GB2312" w:hAnsi="楷体" w:cs="宋体" w:hint="eastAsia"/>
          <w:noProof/>
          <w:color w:val="000000"/>
          <w:kern w:val="0"/>
        </w:rPr>
        <w:t>认购日期:</w:t>
      </w:r>
      <w:r w:rsidRPr="009E3D1C">
        <w:rPr>
          <w:rFonts w:ascii="楷体_GB2312" w:eastAsia="楷体_GB2312" w:hAnsi="楷体" w:cs="宋体"/>
          <w:noProof/>
          <w:color w:val="000000"/>
          <w:kern w:val="0"/>
        </w:rPr>
        <w:t>13/06/2016-08/07/2016</w:t>
      </w:r>
      <w:r w:rsidRPr="009E3D1C">
        <w:rPr>
          <w:rFonts w:ascii="楷体_GB2312" w:eastAsia="楷体_GB2312" w:hAnsi="楷体" w:cs="宋体" w:hint="eastAsia"/>
          <w:noProof/>
          <w:color w:val="000000"/>
          <w:kern w:val="0"/>
        </w:rPr>
        <w:t>)</w:t>
      </w:r>
      <w:r w:rsidRPr="009E3D1C">
        <w:rPr>
          <w:rFonts w:ascii="楷体_GB2312" w:eastAsia="楷体_GB2312" w:hAnsi="楷体" w:cs="宋体"/>
          <w:noProof/>
          <w:color w:val="000000"/>
          <w:kern w:val="0"/>
        </w:rPr>
        <w:t>:</w:t>
      </w:r>
      <w:r w:rsidRPr="009E3D1C">
        <w:rPr>
          <w:rFonts w:ascii="楷体_GB2312" w:eastAsia="楷体_GB2312" w:hAnsi="楷体" w:cs="宋体" w:hint="eastAsia"/>
          <w:noProof/>
          <w:color w:val="000000"/>
          <w:kern w:val="0"/>
        </w:rPr>
        <w:t>该基金为偏债混合型基金。在保障保本周期到期时本金安全的前提下，严格控制风险，追求基金资产的稳定增值。基金的投资组合比例为：股票、权证等风险资产占基金资产的比例不高于40%；债券、货币市场工具等固定收益类资产占基金资产的比例不低于60%；该基金持有现金或到期日在一年以内的政府债券的比例合计不低于基金资产净值的5%。博时保泰拟任基金经理为杨永光和孙少锋。杨永光负责固定收益资产的投资，拥有超过14年债券投资经验；孙少锋负责权益资产的投资，从业年限9年。双基金经理携手护航，固收与权益市场动态配置，使得基金拥有兼顾股债的特点。</w:t>
      </w:r>
    </w:p>
    <w:p w:rsidR="00EB0B82" w:rsidRPr="003C7187" w:rsidRDefault="00191557" w:rsidP="00363653">
      <w:pPr>
        <w:pStyle w:val="1"/>
        <w:spacing w:before="156" w:after="156"/>
        <w:rPr>
          <w:rFonts w:ascii="楷体_GB2312" w:eastAsia="楷体_GB2312"/>
        </w:rPr>
      </w:pPr>
      <w:r>
        <w:rPr>
          <w:rFonts w:ascii="楷体_GB2312" w:eastAsia="楷体_GB2312" w:hint="eastAsia"/>
        </w:rPr>
        <w:lastRenderedPageBreak/>
        <w:t>三</w:t>
      </w:r>
      <w:r w:rsidR="00392CFB" w:rsidRPr="003C7187">
        <w:rPr>
          <w:rFonts w:ascii="楷体_GB2312" w:eastAsia="楷体_GB2312" w:hint="eastAsia"/>
        </w:rPr>
        <w:t>、</w:t>
      </w:r>
      <w:r w:rsidR="00A418BA">
        <w:rPr>
          <w:rFonts w:ascii="楷体_GB2312" w:eastAsia="楷体_GB2312" w:hint="eastAsia"/>
        </w:rPr>
        <w:t>基金</w:t>
      </w:r>
      <w:r w:rsidR="00EB0B82" w:rsidRPr="003C7187">
        <w:rPr>
          <w:rFonts w:ascii="楷体_GB2312" w:eastAsia="楷体_GB2312" w:hint="eastAsia"/>
        </w:rPr>
        <w:t>募集</w:t>
      </w:r>
      <w:r w:rsidR="00A418BA">
        <w:rPr>
          <w:rFonts w:ascii="楷体_GB2312" w:eastAsia="楷体_GB2312" w:hint="eastAsia"/>
        </w:rPr>
        <w:t>、</w:t>
      </w:r>
      <w:r w:rsidR="00A418BA">
        <w:rPr>
          <w:rFonts w:ascii="楷体_GB2312" w:eastAsia="楷体_GB2312"/>
        </w:rPr>
        <w:t>成立</w:t>
      </w:r>
      <w:r w:rsidR="00163071">
        <w:rPr>
          <w:rFonts w:ascii="楷体_GB2312" w:eastAsia="楷体_GB2312" w:hint="eastAsia"/>
        </w:rPr>
        <w:t>情况</w:t>
      </w:r>
    </w:p>
    <w:p w:rsidR="00DC584B" w:rsidRPr="00A85007" w:rsidRDefault="000F062E" w:rsidP="00363653">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3C7187">
        <w:rPr>
          <w:rFonts w:ascii="楷体_GB2312" w:eastAsia="楷体_GB2312" w:hAnsi="楷体" w:cs="宋体" w:hint="eastAsia"/>
          <w:noProof/>
          <w:color w:val="000000"/>
          <w:kern w:val="0"/>
        </w:rPr>
        <w:t>本月</w:t>
      </w:r>
      <w:r w:rsidR="007E0628" w:rsidRPr="003C7187">
        <w:rPr>
          <w:rFonts w:ascii="楷体_GB2312" w:eastAsia="楷体_GB2312" w:hAnsi="楷体" w:cs="宋体" w:hint="eastAsia"/>
          <w:noProof/>
          <w:color w:val="000000"/>
          <w:kern w:val="0"/>
        </w:rPr>
        <w:t>有</w:t>
      </w:r>
      <w:r w:rsidR="00B354D1">
        <w:rPr>
          <w:rFonts w:ascii="楷体_GB2312" w:eastAsia="楷体_GB2312" w:hAnsi="楷体" w:cs="宋体"/>
          <w:noProof/>
          <w:color w:val="000000"/>
          <w:kern w:val="0"/>
        </w:rPr>
        <w:t>95</w:t>
      </w:r>
      <w:r w:rsidR="007E0628" w:rsidRPr="003C7187">
        <w:rPr>
          <w:rFonts w:ascii="楷体_GB2312" w:eastAsia="楷体_GB2312" w:hAnsi="楷体" w:cs="宋体" w:hint="eastAsia"/>
          <w:noProof/>
          <w:color w:val="000000"/>
          <w:kern w:val="0"/>
        </w:rPr>
        <w:t>只基金正在募集中，可认购新基金数量</w:t>
      </w:r>
      <w:r w:rsidR="008B1338">
        <w:rPr>
          <w:rFonts w:ascii="楷体_GB2312" w:eastAsia="楷体_GB2312" w:hAnsi="楷体" w:cs="宋体" w:hint="eastAsia"/>
          <w:noProof/>
          <w:color w:val="000000"/>
          <w:kern w:val="0"/>
        </w:rPr>
        <w:t>较</w:t>
      </w:r>
      <w:r w:rsidR="00295607">
        <w:rPr>
          <w:rFonts w:ascii="楷体_GB2312" w:eastAsia="楷体_GB2312" w:hAnsi="楷体" w:cs="宋体" w:hint="eastAsia"/>
          <w:noProof/>
          <w:color w:val="000000"/>
          <w:kern w:val="0"/>
        </w:rPr>
        <w:t>上月</w:t>
      </w:r>
      <w:r w:rsidR="00B354D1">
        <w:rPr>
          <w:rFonts w:ascii="楷体_GB2312" w:eastAsia="楷体_GB2312" w:hAnsi="楷体" w:cs="宋体" w:hint="eastAsia"/>
          <w:noProof/>
          <w:color w:val="000000"/>
          <w:kern w:val="0"/>
        </w:rPr>
        <w:t>大幅下降</w:t>
      </w:r>
      <w:r w:rsidR="007E0628" w:rsidRPr="003C7187">
        <w:rPr>
          <w:rFonts w:ascii="楷体_GB2312" w:eastAsia="楷体_GB2312" w:hAnsi="楷体" w:cs="宋体" w:hint="eastAsia"/>
          <w:noProof/>
          <w:color w:val="000000"/>
          <w:kern w:val="0"/>
        </w:rPr>
        <w:t>。投</w:t>
      </w:r>
      <w:r w:rsidR="00295607">
        <w:rPr>
          <w:rFonts w:ascii="楷体_GB2312" w:eastAsia="楷体_GB2312" w:hAnsi="楷体" w:cs="宋体" w:hint="eastAsia"/>
          <w:noProof/>
          <w:color w:val="000000"/>
          <w:kern w:val="0"/>
        </w:rPr>
        <w:t>资于国内市场的基金中，权益类基金（股、混、指）可选择范围较广（</w:t>
      </w:r>
      <w:r w:rsidR="00B354D1">
        <w:rPr>
          <w:rFonts w:ascii="楷体_GB2312" w:eastAsia="楷体_GB2312" w:hAnsi="楷体" w:cs="宋体"/>
          <w:noProof/>
          <w:color w:val="000000"/>
          <w:kern w:val="0"/>
        </w:rPr>
        <w:t>41</w:t>
      </w:r>
      <w:r w:rsidR="007E0628" w:rsidRPr="003C7187">
        <w:rPr>
          <w:rFonts w:ascii="楷体_GB2312" w:eastAsia="楷体_GB2312" w:hAnsi="楷体" w:cs="宋体" w:hint="eastAsia"/>
          <w:noProof/>
          <w:color w:val="000000"/>
          <w:kern w:val="0"/>
        </w:rPr>
        <w:t>只</w:t>
      </w:r>
      <w:r w:rsidR="00295607">
        <w:rPr>
          <w:rFonts w:ascii="楷体_GB2312" w:eastAsia="楷体_GB2312" w:hAnsi="楷体" w:cs="宋体" w:hint="eastAsia"/>
          <w:noProof/>
          <w:color w:val="000000"/>
          <w:kern w:val="0"/>
        </w:rPr>
        <w:t>）</w:t>
      </w:r>
      <w:r w:rsidR="009521B7">
        <w:rPr>
          <w:rFonts w:ascii="楷体_GB2312" w:eastAsia="楷体_GB2312" w:hAnsi="楷体" w:cs="宋体" w:hint="eastAsia"/>
          <w:noProof/>
          <w:color w:val="000000"/>
          <w:kern w:val="0"/>
        </w:rPr>
        <w:t>，</w:t>
      </w:r>
      <w:r w:rsidR="000E70DF">
        <w:rPr>
          <w:rFonts w:ascii="楷体_GB2312" w:eastAsia="楷体_GB2312" w:hAnsi="楷体" w:cs="宋体"/>
          <w:noProof/>
          <w:color w:val="000000"/>
          <w:kern w:val="0"/>
        </w:rPr>
        <w:t>但</w:t>
      </w:r>
      <w:r w:rsidR="00295607">
        <w:rPr>
          <w:rFonts w:ascii="楷体_GB2312" w:eastAsia="楷体_GB2312" w:hAnsi="楷体" w:cs="宋体" w:hint="eastAsia"/>
          <w:noProof/>
          <w:color w:val="000000"/>
          <w:kern w:val="0"/>
        </w:rPr>
        <w:t>股票型与</w:t>
      </w:r>
      <w:r w:rsidR="00295607">
        <w:rPr>
          <w:rFonts w:ascii="楷体_GB2312" w:eastAsia="楷体_GB2312" w:hAnsi="楷体" w:cs="宋体"/>
          <w:noProof/>
          <w:color w:val="000000"/>
          <w:kern w:val="0"/>
        </w:rPr>
        <w:t>指数型</w:t>
      </w:r>
      <w:r w:rsidR="00295607">
        <w:rPr>
          <w:rFonts w:ascii="楷体_GB2312" w:eastAsia="楷体_GB2312" w:hAnsi="楷体" w:cs="宋体" w:hint="eastAsia"/>
          <w:noProof/>
          <w:color w:val="000000"/>
          <w:kern w:val="0"/>
        </w:rPr>
        <w:t>数量较少，分别为</w:t>
      </w:r>
      <w:r w:rsidR="00B354D1">
        <w:rPr>
          <w:rFonts w:ascii="楷体_GB2312" w:eastAsia="楷体_GB2312" w:hAnsi="楷体" w:cs="宋体"/>
          <w:noProof/>
          <w:color w:val="000000"/>
          <w:kern w:val="0"/>
        </w:rPr>
        <w:t>5</w:t>
      </w:r>
      <w:r w:rsidR="000E70DF">
        <w:rPr>
          <w:rFonts w:ascii="楷体_GB2312" w:eastAsia="楷体_GB2312" w:hAnsi="楷体" w:cs="宋体" w:hint="eastAsia"/>
          <w:noProof/>
          <w:color w:val="000000"/>
          <w:kern w:val="0"/>
        </w:rPr>
        <w:t>只</w:t>
      </w:r>
      <w:r w:rsidR="00295607">
        <w:rPr>
          <w:rFonts w:ascii="楷体_GB2312" w:eastAsia="楷体_GB2312" w:hAnsi="楷体" w:cs="宋体" w:hint="eastAsia"/>
          <w:noProof/>
          <w:color w:val="000000"/>
          <w:kern w:val="0"/>
        </w:rPr>
        <w:t>和</w:t>
      </w:r>
      <w:r w:rsidR="00B354D1">
        <w:rPr>
          <w:rFonts w:ascii="楷体_GB2312" w:eastAsia="楷体_GB2312" w:hAnsi="楷体" w:cs="宋体"/>
          <w:noProof/>
          <w:color w:val="000000"/>
          <w:kern w:val="0"/>
        </w:rPr>
        <w:t>2</w:t>
      </w:r>
      <w:r w:rsidR="00295607">
        <w:rPr>
          <w:rFonts w:ascii="楷体_GB2312" w:eastAsia="楷体_GB2312" w:hAnsi="楷体" w:cs="宋体" w:hint="eastAsia"/>
          <w:noProof/>
          <w:color w:val="000000"/>
          <w:kern w:val="0"/>
        </w:rPr>
        <w:t>只</w:t>
      </w:r>
      <w:r w:rsidR="007E0628" w:rsidRPr="003C7187">
        <w:rPr>
          <w:rFonts w:ascii="楷体_GB2312" w:eastAsia="楷体_GB2312" w:hAnsi="楷体" w:cs="宋体" w:hint="eastAsia"/>
          <w:noProof/>
          <w:color w:val="000000"/>
          <w:kern w:val="0"/>
        </w:rPr>
        <w:t>；固定收益类基金（债、货）可认购数量</w:t>
      </w:r>
      <w:r w:rsidR="000E70DF">
        <w:rPr>
          <w:rFonts w:ascii="楷体_GB2312" w:eastAsia="楷体_GB2312" w:hAnsi="楷体" w:cs="宋体" w:hint="eastAsia"/>
          <w:noProof/>
          <w:color w:val="000000"/>
          <w:kern w:val="0"/>
        </w:rPr>
        <w:t>为</w:t>
      </w:r>
      <w:r w:rsidR="009631B9">
        <w:rPr>
          <w:rFonts w:ascii="楷体_GB2312" w:eastAsia="楷体_GB2312" w:hAnsi="楷体" w:cs="宋体"/>
          <w:noProof/>
          <w:color w:val="000000"/>
          <w:kern w:val="0"/>
        </w:rPr>
        <w:t>4</w:t>
      </w:r>
      <w:r w:rsidR="00B354D1">
        <w:rPr>
          <w:rFonts w:ascii="楷体_GB2312" w:eastAsia="楷体_GB2312" w:hAnsi="楷体" w:cs="宋体"/>
          <w:noProof/>
          <w:color w:val="000000"/>
          <w:kern w:val="0"/>
        </w:rPr>
        <w:t>0</w:t>
      </w:r>
      <w:r w:rsidR="007E0628" w:rsidRPr="003C7187">
        <w:rPr>
          <w:rFonts w:ascii="楷体_GB2312" w:eastAsia="楷体_GB2312" w:hAnsi="楷体" w:cs="宋体" w:hint="eastAsia"/>
          <w:noProof/>
          <w:color w:val="000000"/>
          <w:kern w:val="0"/>
        </w:rPr>
        <w:t>只，其中债券型与货币型分别为</w:t>
      </w:r>
      <w:r w:rsidR="00B354D1">
        <w:rPr>
          <w:rFonts w:ascii="楷体_GB2312" w:eastAsia="楷体_GB2312" w:hAnsi="楷体" w:cs="宋体"/>
          <w:noProof/>
          <w:color w:val="000000"/>
          <w:kern w:val="0"/>
        </w:rPr>
        <w:t>31</w:t>
      </w:r>
      <w:r w:rsidR="007E0628" w:rsidRPr="003C7187">
        <w:rPr>
          <w:rFonts w:ascii="楷体_GB2312" w:eastAsia="楷体_GB2312" w:hAnsi="楷体" w:cs="宋体" w:hint="eastAsia"/>
          <w:noProof/>
          <w:color w:val="000000"/>
          <w:kern w:val="0"/>
        </w:rPr>
        <w:t>只和</w:t>
      </w:r>
      <w:r w:rsidR="00B354D1">
        <w:rPr>
          <w:rFonts w:ascii="楷体_GB2312" w:eastAsia="楷体_GB2312" w:hAnsi="楷体" w:cs="宋体"/>
          <w:noProof/>
          <w:color w:val="000000"/>
          <w:kern w:val="0"/>
        </w:rPr>
        <w:t>9</w:t>
      </w:r>
      <w:r w:rsidR="007E0628" w:rsidRPr="003C7187">
        <w:rPr>
          <w:rFonts w:ascii="楷体_GB2312" w:eastAsia="楷体_GB2312" w:hAnsi="楷体" w:cs="宋体" w:hint="eastAsia"/>
          <w:noProof/>
          <w:color w:val="000000"/>
          <w:kern w:val="0"/>
        </w:rPr>
        <w:t>只</w:t>
      </w:r>
      <w:r w:rsidR="00E146EE">
        <w:rPr>
          <w:rFonts w:ascii="楷体_GB2312" w:eastAsia="楷体_GB2312" w:hAnsi="楷体" w:cs="宋体" w:hint="eastAsia"/>
          <w:noProof/>
          <w:color w:val="000000"/>
          <w:kern w:val="0"/>
        </w:rPr>
        <w:t>；</w:t>
      </w:r>
      <w:r w:rsidR="00636CCB">
        <w:rPr>
          <w:rFonts w:ascii="楷体_GB2312" w:eastAsia="楷体_GB2312" w:hAnsi="楷体" w:cs="宋体" w:hint="eastAsia"/>
          <w:noProof/>
          <w:color w:val="000000"/>
          <w:kern w:val="0"/>
        </w:rPr>
        <w:t>Q</w:t>
      </w:r>
      <w:r w:rsidR="00636CCB">
        <w:rPr>
          <w:rFonts w:ascii="楷体_GB2312" w:eastAsia="楷体_GB2312" w:hAnsi="楷体" w:cs="宋体"/>
          <w:noProof/>
          <w:color w:val="000000"/>
          <w:kern w:val="0"/>
        </w:rPr>
        <w:t>DII类产品</w:t>
      </w:r>
      <w:r w:rsidR="00B354D1">
        <w:rPr>
          <w:rFonts w:ascii="楷体_GB2312" w:eastAsia="楷体_GB2312" w:hAnsi="楷体" w:cs="宋体"/>
          <w:noProof/>
          <w:color w:val="000000"/>
          <w:kern w:val="0"/>
        </w:rPr>
        <w:t>1</w:t>
      </w:r>
      <w:r w:rsidR="00636CCB">
        <w:rPr>
          <w:rFonts w:ascii="楷体_GB2312" w:eastAsia="楷体_GB2312" w:hAnsi="楷体" w:cs="宋体" w:hint="eastAsia"/>
          <w:noProof/>
          <w:color w:val="000000"/>
          <w:kern w:val="0"/>
        </w:rPr>
        <w:t>只；</w:t>
      </w:r>
      <w:r w:rsidR="007E0628" w:rsidRPr="003C7187">
        <w:rPr>
          <w:rFonts w:ascii="楷体_GB2312" w:eastAsia="楷体_GB2312" w:hAnsi="楷体" w:cs="宋体" w:hint="eastAsia"/>
          <w:noProof/>
          <w:color w:val="000000"/>
          <w:kern w:val="0"/>
        </w:rPr>
        <w:t>保本混合型为</w:t>
      </w:r>
      <w:r w:rsidR="00B354D1">
        <w:rPr>
          <w:rFonts w:ascii="楷体_GB2312" w:eastAsia="楷体_GB2312" w:hAnsi="楷体" w:cs="宋体"/>
          <w:noProof/>
          <w:color w:val="000000"/>
          <w:kern w:val="0"/>
        </w:rPr>
        <w:t>13</w:t>
      </w:r>
      <w:r w:rsidR="00295607">
        <w:rPr>
          <w:rFonts w:ascii="楷体_GB2312" w:eastAsia="楷体_GB2312" w:hAnsi="楷体" w:cs="宋体" w:hint="eastAsia"/>
          <w:noProof/>
          <w:color w:val="000000"/>
          <w:kern w:val="0"/>
        </w:rPr>
        <w:t>只，</w:t>
      </w:r>
      <w:r w:rsidR="00F80869" w:rsidRPr="003C7187">
        <w:rPr>
          <w:rFonts w:ascii="楷体_GB2312" w:eastAsia="楷体_GB2312" w:hAnsi="楷体" w:cs="宋体" w:hint="eastAsia"/>
          <w:noProof/>
          <w:color w:val="000000"/>
          <w:kern w:val="0"/>
        </w:rPr>
        <w:t>可申购混合型基金</w:t>
      </w:r>
      <w:r w:rsidR="00295607">
        <w:rPr>
          <w:rFonts w:ascii="楷体_GB2312" w:eastAsia="楷体_GB2312" w:hAnsi="楷体" w:cs="宋体" w:hint="eastAsia"/>
          <w:noProof/>
          <w:color w:val="000000"/>
          <w:kern w:val="0"/>
        </w:rPr>
        <w:t>延续</w:t>
      </w:r>
      <w:r w:rsidR="00295607">
        <w:rPr>
          <w:rFonts w:ascii="楷体_GB2312" w:eastAsia="楷体_GB2312" w:hAnsi="楷体" w:cs="宋体"/>
          <w:noProof/>
          <w:color w:val="000000"/>
          <w:kern w:val="0"/>
        </w:rPr>
        <w:t>较高</w:t>
      </w:r>
      <w:r w:rsidR="00295607">
        <w:rPr>
          <w:rFonts w:ascii="楷体_GB2312" w:eastAsia="楷体_GB2312" w:hAnsi="楷体" w:cs="宋体" w:hint="eastAsia"/>
          <w:noProof/>
          <w:color w:val="000000"/>
          <w:kern w:val="0"/>
        </w:rPr>
        <w:t>占比</w:t>
      </w:r>
      <w:r w:rsidR="00295607">
        <w:rPr>
          <w:rFonts w:ascii="楷体_GB2312" w:eastAsia="楷体_GB2312" w:hAnsi="楷体" w:cs="宋体"/>
          <w:noProof/>
          <w:color w:val="000000"/>
          <w:kern w:val="0"/>
        </w:rPr>
        <w:t>的趋势。</w:t>
      </w:r>
    </w:p>
    <w:p w:rsidR="0055062B" w:rsidRDefault="0065291C" w:rsidP="00363653">
      <w:pPr>
        <w:autoSpaceDE w:val="0"/>
        <w:autoSpaceDN w:val="0"/>
        <w:spacing w:beforeLines="50" w:before="156" w:afterLines="50" w:after="156" w:line="360" w:lineRule="auto"/>
        <w:ind w:firstLineChars="200" w:firstLine="480"/>
        <w:rPr>
          <w:rFonts w:ascii="楷体_GB2312" w:eastAsia="楷体_GB2312" w:hAnsi="楷体"/>
        </w:rPr>
      </w:pPr>
      <w:r w:rsidRPr="0058067B">
        <w:rPr>
          <w:rFonts w:ascii="楷体_GB2312" w:eastAsia="楷体_GB2312" w:hAnsi="楷体" w:cs="宋体" w:hint="eastAsia"/>
          <w:noProof/>
          <w:color w:val="000000"/>
          <w:kern w:val="0"/>
        </w:rPr>
        <w:t>本月新设立基金数量为</w:t>
      </w:r>
      <w:r w:rsidR="00697FEA">
        <w:rPr>
          <w:rFonts w:ascii="楷体_GB2312" w:eastAsia="楷体_GB2312" w:hAnsi="楷体" w:cs="宋体" w:hint="eastAsia"/>
          <w:noProof/>
          <w:color w:val="000000"/>
          <w:kern w:val="0"/>
        </w:rPr>
        <w:t>87</w:t>
      </w:r>
      <w:r w:rsidRPr="0058067B">
        <w:rPr>
          <w:rFonts w:ascii="楷体_GB2312" w:eastAsia="楷体_GB2312" w:hAnsi="楷体" w:cs="宋体" w:hint="eastAsia"/>
          <w:noProof/>
          <w:color w:val="000000"/>
          <w:kern w:val="0"/>
        </w:rPr>
        <w:t>只，较上期的</w:t>
      </w:r>
      <w:r w:rsidR="00697FEA">
        <w:rPr>
          <w:rFonts w:ascii="楷体_GB2312" w:eastAsia="楷体_GB2312" w:hAnsi="楷体" w:cs="宋体" w:hint="eastAsia"/>
          <w:noProof/>
          <w:color w:val="000000"/>
          <w:kern w:val="0"/>
        </w:rPr>
        <w:t>83只数量有所增加，募集规模亦有</w:t>
      </w:r>
      <w:r w:rsidRPr="006A69F5">
        <w:rPr>
          <w:rFonts w:ascii="楷体_GB2312" w:eastAsia="楷体_GB2312" w:hAnsi="楷体" w:cs="宋体" w:hint="eastAsia"/>
          <w:noProof/>
          <w:color w:val="000000"/>
          <w:kern w:val="0"/>
        </w:rPr>
        <w:t>涨幅。保本基金本期发行量大幅降低</w:t>
      </w:r>
      <w:r w:rsidR="00697FEA">
        <w:rPr>
          <w:rFonts w:ascii="楷体_GB2312" w:eastAsia="楷体_GB2312" w:hAnsi="楷体" w:cs="宋体" w:hint="eastAsia"/>
          <w:noProof/>
          <w:color w:val="000000"/>
          <w:kern w:val="0"/>
        </w:rPr>
        <w:t>69.09</w:t>
      </w:r>
      <w:r w:rsidRPr="006A69F5">
        <w:rPr>
          <w:rFonts w:ascii="楷体_GB2312" w:eastAsia="楷体_GB2312" w:hAnsi="楷体" w:cs="宋体" w:hint="eastAsia"/>
          <w:noProof/>
          <w:color w:val="000000"/>
          <w:kern w:val="0"/>
        </w:rPr>
        <w:t>亿份</w:t>
      </w:r>
      <w:r w:rsidRPr="006A69F5">
        <w:rPr>
          <w:rFonts w:ascii="楷体_GB2312" w:eastAsia="楷体_GB2312" w:hAnsi="楷体" w:cs="宋体"/>
          <w:noProof/>
          <w:color w:val="000000"/>
          <w:kern w:val="0"/>
        </w:rPr>
        <w:t>，发行占比由此前</w:t>
      </w:r>
      <w:r w:rsidR="00697FEA" w:rsidRPr="006A69F5">
        <w:rPr>
          <w:rFonts w:ascii="楷体_GB2312" w:eastAsia="楷体_GB2312" w:hAnsi="楷体" w:cs="宋体" w:hint="eastAsia"/>
          <w:noProof/>
          <w:color w:val="000000"/>
          <w:kern w:val="0"/>
        </w:rPr>
        <w:t>18.08</w:t>
      </w:r>
      <w:r w:rsidR="00697FEA" w:rsidRPr="006A69F5">
        <w:rPr>
          <w:rFonts w:ascii="楷体_GB2312" w:eastAsia="楷体_GB2312" w:hAnsi="楷体" w:cs="宋体"/>
          <w:noProof/>
          <w:color w:val="000000"/>
          <w:kern w:val="0"/>
        </w:rPr>
        <w:t>%</w:t>
      </w:r>
      <w:r w:rsidRPr="006A69F5">
        <w:rPr>
          <w:rFonts w:ascii="楷体_GB2312" w:eastAsia="楷体_GB2312" w:hAnsi="楷体" w:cs="宋体"/>
          <w:noProof/>
          <w:color w:val="000000"/>
          <w:kern w:val="0"/>
        </w:rPr>
        <w:t>降至</w:t>
      </w:r>
      <w:r w:rsidR="00697FEA">
        <w:rPr>
          <w:rFonts w:ascii="楷体_GB2312" w:eastAsia="楷体_GB2312" w:hAnsi="楷体" w:cs="宋体"/>
          <w:noProof/>
          <w:color w:val="000000"/>
          <w:kern w:val="0"/>
        </w:rPr>
        <w:t>5.6%</w:t>
      </w:r>
      <w:r w:rsidRPr="006A69F5">
        <w:rPr>
          <w:rFonts w:ascii="楷体_GB2312" w:eastAsia="楷体_GB2312" w:hAnsi="楷体" w:cs="宋体" w:hint="eastAsia"/>
          <w:noProof/>
          <w:color w:val="000000"/>
          <w:kern w:val="0"/>
        </w:rPr>
        <w:t>。</w:t>
      </w:r>
    </w:p>
    <w:p w:rsidR="00495E45" w:rsidRPr="003C7187" w:rsidRDefault="00163071" w:rsidP="00363653">
      <w:pPr>
        <w:pStyle w:val="1"/>
        <w:spacing w:before="156" w:after="156"/>
        <w:rPr>
          <w:rFonts w:ascii="楷体_GB2312" w:eastAsia="楷体_GB2312"/>
          <w:noProof/>
        </w:rPr>
      </w:pPr>
      <w:r>
        <w:rPr>
          <w:rFonts w:ascii="楷体_GB2312" w:eastAsia="楷体_GB2312" w:hint="eastAsia"/>
          <w:noProof/>
        </w:rPr>
        <w:t>四</w:t>
      </w:r>
      <w:r w:rsidR="00495E45" w:rsidRPr="003C7187">
        <w:rPr>
          <w:rFonts w:ascii="楷体_GB2312" w:eastAsia="楷体_GB2312" w:hint="eastAsia"/>
          <w:noProof/>
        </w:rPr>
        <w:t>、券商集合理财</w:t>
      </w:r>
    </w:p>
    <w:p w:rsidR="00F96548" w:rsidRPr="00F96548" w:rsidRDefault="0013732E" w:rsidP="00363653">
      <w:pPr>
        <w:autoSpaceDE w:val="0"/>
        <w:autoSpaceDN w:val="0"/>
        <w:spacing w:beforeLines="50" w:before="156" w:afterLines="50" w:after="156" w:line="360" w:lineRule="auto"/>
        <w:ind w:firstLineChars="200" w:firstLine="480"/>
        <w:rPr>
          <w:rFonts w:ascii="楷体_GB2312" w:eastAsia="楷体_GB2312" w:hAnsi="楷体" w:cs="宋体"/>
          <w:noProof/>
          <w:color w:val="000000"/>
          <w:kern w:val="0"/>
        </w:rPr>
      </w:pPr>
      <w:r w:rsidRPr="003C7187">
        <w:rPr>
          <w:rFonts w:ascii="楷体_GB2312" w:eastAsia="楷体_GB2312" w:hAnsi="楷体" w:cs="宋体" w:hint="eastAsia"/>
          <w:noProof/>
          <w:color w:val="000000"/>
          <w:kern w:val="0"/>
        </w:rPr>
        <w:t>相比上月，</w:t>
      </w:r>
      <w:r w:rsidR="00BF1357" w:rsidRPr="00BF1357">
        <w:rPr>
          <w:rFonts w:ascii="楷体_GB2312" w:eastAsia="楷体_GB2312" w:hAnsi="楷体" w:cs="宋体" w:hint="eastAsia"/>
          <w:noProof/>
          <w:color w:val="000000"/>
          <w:kern w:val="0"/>
        </w:rPr>
        <w:t>券商集合理财</w:t>
      </w:r>
      <w:r w:rsidRPr="003C7187">
        <w:rPr>
          <w:rFonts w:ascii="楷体_GB2312" w:eastAsia="楷体_GB2312" w:hAnsi="楷体" w:cs="宋体" w:hint="eastAsia"/>
          <w:noProof/>
          <w:color w:val="000000"/>
          <w:kern w:val="0"/>
        </w:rPr>
        <w:t>发行数量</w:t>
      </w:r>
      <w:r w:rsidR="009F334B">
        <w:rPr>
          <w:rFonts w:ascii="楷体_GB2312" w:eastAsia="楷体_GB2312" w:hAnsi="楷体" w:cs="宋体" w:hint="eastAsia"/>
          <w:noProof/>
          <w:color w:val="000000"/>
          <w:kern w:val="0"/>
        </w:rPr>
        <w:t>有所上升，但份额却有所</w:t>
      </w:r>
      <w:r w:rsidR="00B2736C">
        <w:rPr>
          <w:rFonts w:ascii="楷体_GB2312" w:eastAsia="楷体_GB2312" w:hAnsi="楷体" w:cs="宋体" w:hint="eastAsia"/>
          <w:noProof/>
          <w:color w:val="000000"/>
          <w:kern w:val="0"/>
        </w:rPr>
        <w:t>下降</w:t>
      </w:r>
      <w:r w:rsidR="00326F48">
        <w:rPr>
          <w:rFonts w:ascii="楷体_GB2312" w:eastAsia="楷体_GB2312" w:hAnsi="楷体" w:cs="宋体"/>
          <w:noProof/>
          <w:color w:val="000000"/>
          <w:kern w:val="0"/>
        </w:rPr>
        <w:t>。</w:t>
      </w:r>
      <w:r w:rsidR="00A04F92">
        <w:rPr>
          <w:rFonts w:ascii="楷体_GB2312" w:eastAsia="楷体_GB2312" w:hAnsi="楷体" w:cs="宋体" w:hint="eastAsia"/>
          <w:noProof/>
          <w:color w:val="000000"/>
          <w:kern w:val="0"/>
        </w:rPr>
        <w:t>本期共</w:t>
      </w:r>
      <w:r w:rsidR="00A04F92" w:rsidRPr="00296469">
        <w:rPr>
          <w:rFonts w:ascii="楷体_GB2312" w:eastAsia="楷体_GB2312" w:hAnsi="楷体" w:cs="宋体" w:hint="eastAsia"/>
          <w:noProof/>
          <w:color w:val="000000"/>
          <w:kern w:val="0"/>
        </w:rPr>
        <w:t>发行</w:t>
      </w:r>
      <w:r w:rsidR="00697FEA">
        <w:rPr>
          <w:rFonts w:ascii="楷体_GB2312" w:eastAsia="楷体_GB2312" w:hAnsi="楷体" w:cs="宋体"/>
          <w:noProof/>
          <w:color w:val="000000"/>
          <w:kern w:val="0"/>
        </w:rPr>
        <w:t>988</w:t>
      </w:r>
      <w:r w:rsidR="00A04F92">
        <w:rPr>
          <w:rFonts w:ascii="楷体_GB2312" w:eastAsia="楷体_GB2312" w:hAnsi="楷体" w:cs="宋体" w:hint="eastAsia"/>
          <w:noProof/>
          <w:color w:val="000000"/>
          <w:kern w:val="0"/>
        </w:rPr>
        <w:t>只产品，</w:t>
      </w:r>
      <w:r w:rsidR="00A04F92">
        <w:rPr>
          <w:rFonts w:ascii="楷体_GB2312" w:eastAsia="楷体_GB2312" w:hAnsi="楷体" w:cs="宋体"/>
          <w:noProof/>
          <w:color w:val="000000"/>
          <w:kern w:val="0"/>
        </w:rPr>
        <w:t>环比</w:t>
      </w:r>
      <w:r w:rsidR="00D545A0">
        <w:rPr>
          <w:rFonts w:ascii="楷体_GB2312" w:eastAsia="楷体_GB2312" w:hAnsi="楷体" w:cs="宋体" w:hint="eastAsia"/>
          <w:noProof/>
          <w:color w:val="000000"/>
          <w:kern w:val="0"/>
        </w:rPr>
        <w:t>增加</w:t>
      </w:r>
      <w:r w:rsidR="00326F48">
        <w:rPr>
          <w:rFonts w:ascii="楷体_GB2312" w:eastAsia="楷体_GB2312" w:hAnsi="楷体" w:cs="宋体"/>
          <w:noProof/>
          <w:color w:val="000000"/>
          <w:kern w:val="0"/>
        </w:rPr>
        <w:t>逾</w:t>
      </w:r>
      <w:r w:rsidR="00697FEA">
        <w:rPr>
          <w:rFonts w:ascii="楷体_GB2312" w:eastAsia="楷体_GB2312" w:hAnsi="楷体" w:cs="宋体" w:hint="eastAsia"/>
          <w:noProof/>
          <w:color w:val="000000"/>
          <w:kern w:val="0"/>
        </w:rPr>
        <w:t>55</w:t>
      </w:r>
      <w:r w:rsidR="00326F48">
        <w:rPr>
          <w:rFonts w:ascii="楷体_GB2312" w:eastAsia="楷体_GB2312" w:hAnsi="楷体" w:cs="宋体" w:hint="eastAsia"/>
          <w:noProof/>
          <w:color w:val="000000"/>
          <w:kern w:val="0"/>
        </w:rPr>
        <w:t>个</w:t>
      </w:r>
      <w:r w:rsidR="00326F48">
        <w:rPr>
          <w:rFonts w:ascii="楷体_GB2312" w:eastAsia="楷体_GB2312" w:hAnsi="楷体" w:cs="宋体"/>
          <w:noProof/>
          <w:color w:val="000000"/>
          <w:kern w:val="0"/>
        </w:rPr>
        <w:t>百分点</w:t>
      </w:r>
      <w:r w:rsidR="00A04F92">
        <w:rPr>
          <w:rFonts w:ascii="楷体_GB2312" w:eastAsia="楷体_GB2312" w:hAnsi="楷体" w:cs="宋体" w:hint="eastAsia"/>
          <w:noProof/>
          <w:color w:val="000000"/>
          <w:kern w:val="0"/>
        </w:rPr>
        <w:t>；</w:t>
      </w:r>
      <w:r w:rsidR="00A04F92" w:rsidRPr="00296469">
        <w:rPr>
          <w:rFonts w:ascii="楷体_GB2312" w:eastAsia="楷体_GB2312" w:hAnsi="楷体" w:cs="宋体" w:hint="eastAsia"/>
          <w:noProof/>
          <w:color w:val="000000"/>
          <w:kern w:val="0"/>
        </w:rPr>
        <w:t>发行份额</w:t>
      </w:r>
      <w:r w:rsidR="00A04F92">
        <w:rPr>
          <w:rFonts w:ascii="楷体_GB2312" w:eastAsia="楷体_GB2312" w:hAnsi="楷体" w:cs="宋体" w:hint="eastAsia"/>
          <w:noProof/>
          <w:color w:val="000000"/>
          <w:kern w:val="0"/>
        </w:rPr>
        <w:t>共计</w:t>
      </w:r>
      <w:r w:rsidR="00697FEA">
        <w:rPr>
          <w:rFonts w:ascii="楷体_GB2312" w:eastAsia="楷体_GB2312" w:hAnsi="楷体" w:cs="宋体"/>
          <w:noProof/>
          <w:color w:val="000000"/>
          <w:kern w:val="0"/>
        </w:rPr>
        <w:t>461.84</w:t>
      </w:r>
      <w:r w:rsidR="00A04F92" w:rsidRPr="00296469">
        <w:rPr>
          <w:rFonts w:ascii="楷体_GB2312" w:eastAsia="楷体_GB2312" w:hAnsi="楷体" w:cs="宋体" w:hint="eastAsia"/>
          <w:noProof/>
          <w:color w:val="000000"/>
          <w:kern w:val="0"/>
        </w:rPr>
        <w:t>亿份</w:t>
      </w:r>
      <w:r w:rsidR="00A04F92">
        <w:rPr>
          <w:rFonts w:ascii="楷体_GB2312" w:eastAsia="楷体_GB2312" w:hAnsi="楷体" w:cs="宋体" w:hint="eastAsia"/>
          <w:noProof/>
          <w:color w:val="000000"/>
          <w:kern w:val="0"/>
        </w:rPr>
        <w:t>，相比</w:t>
      </w:r>
      <w:r w:rsidR="00A04F92">
        <w:rPr>
          <w:rFonts w:ascii="楷体_GB2312" w:eastAsia="楷体_GB2312" w:hAnsi="楷体" w:cs="宋体"/>
          <w:noProof/>
          <w:color w:val="000000"/>
          <w:kern w:val="0"/>
        </w:rPr>
        <w:t>上期</w:t>
      </w:r>
      <w:r w:rsidR="00D77257">
        <w:rPr>
          <w:rFonts w:ascii="楷体_GB2312" w:eastAsia="楷体_GB2312" w:hAnsi="楷体" w:cs="宋体" w:hint="eastAsia"/>
          <w:noProof/>
          <w:color w:val="000000"/>
          <w:kern w:val="0"/>
        </w:rPr>
        <w:t>减少</w:t>
      </w:r>
      <w:r w:rsidR="00697FEA">
        <w:rPr>
          <w:rFonts w:ascii="楷体_GB2312" w:eastAsia="楷体_GB2312" w:hAnsi="楷体" w:cs="宋体"/>
          <w:noProof/>
          <w:color w:val="000000"/>
          <w:kern w:val="0"/>
        </w:rPr>
        <w:t>65.95</w:t>
      </w:r>
      <w:r w:rsidR="00A04F92">
        <w:rPr>
          <w:rFonts w:ascii="楷体_GB2312" w:eastAsia="楷体_GB2312" w:hAnsi="楷体" w:cs="宋体" w:hint="eastAsia"/>
          <w:noProof/>
          <w:color w:val="000000"/>
          <w:kern w:val="0"/>
        </w:rPr>
        <w:t>亿份</w:t>
      </w:r>
      <w:r w:rsidR="00A04F92">
        <w:rPr>
          <w:rFonts w:ascii="楷体_GB2312" w:eastAsia="楷体_GB2312" w:hAnsi="楷体" w:cs="宋体"/>
          <w:noProof/>
          <w:color w:val="000000"/>
          <w:kern w:val="0"/>
        </w:rPr>
        <w:t>。</w:t>
      </w:r>
    </w:p>
    <w:tbl>
      <w:tblPr>
        <w:tblW w:w="7229" w:type="dxa"/>
        <w:tblInd w:w="142" w:type="dxa"/>
        <w:tblBorders>
          <w:top w:val="single" w:sz="12" w:space="0" w:color="767171" w:themeColor="background2" w:themeShade="80"/>
          <w:insideH w:val="single" w:sz="12" w:space="0" w:color="C00000"/>
          <w:insideV w:val="single" w:sz="8" w:space="0" w:color="C00000"/>
        </w:tblBorders>
        <w:tblLayout w:type="fixed"/>
        <w:tblLook w:val="04A0" w:firstRow="1" w:lastRow="0" w:firstColumn="1" w:lastColumn="0" w:noHBand="0" w:noVBand="1"/>
      </w:tblPr>
      <w:tblGrid>
        <w:gridCol w:w="7229"/>
      </w:tblGrid>
      <w:tr w:rsidR="0012738E" w:rsidRPr="00FC2D2B" w:rsidTr="0012738E">
        <w:tc>
          <w:tcPr>
            <w:tcW w:w="7229" w:type="dxa"/>
          </w:tcPr>
          <w:p w:rsidR="0012738E" w:rsidRPr="00FC2D2B" w:rsidRDefault="0012738E" w:rsidP="001B72D4">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1B72D4">
              <w:rPr>
                <w:rFonts w:ascii="楷体_GB2312" w:eastAsia="楷体_GB2312" w:hAnsi="楷体"/>
                <w:b/>
                <w:color w:val="000000"/>
                <w:sz w:val="18"/>
                <w:szCs w:val="18"/>
              </w:rPr>
              <w:t>7</w:t>
            </w:r>
            <w:r w:rsidRPr="00FC2D2B">
              <w:rPr>
                <w:rFonts w:ascii="楷体_GB2312" w:eastAsia="楷体_GB2312" w:hAnsi="楷体" w:hint="eastAsia"/>
                <w:b/>
                <w:color w:val="000000"/>
                <w:sz w:val="18"/>
                <w:szCs w:val="18"/>
              </w:rPr>
              <w:t>、</w:t>
            </w:r>
            <w:r w:rsidRPr="0012738E">
              <w:rPr>
                <w:rFonts w:ascii="楷体_GB2312" w:eastAsia="楷体_GB2312" w:hAnsi="楷体" w:hint="eastAsia"/>
                <w:b/>
                <w:color w:val="000000"/>
                <w:sz w:val="18"/>
                <w:szCs w:val="18"/>
              </w:rPr>
              <w:t>近一年每月集合理财发行数量及份额</w:t>
            </w:r>
          </w:p>
        </w:tc>
      </w:tr>
      <w:tr w:rsidR="0012738E" w:rsidRPr="00FC2D2B" w:rsidTr="00D109B4">
        <w:trPr>
          <w:trHeight w:val="3282"/>
        </w:trPr>
        <w:tc>
          <w:tcPr>
            <w:tcW w:w="7229" w:type="dxa"/>
          </w:tcPr>
          <w:p w:rsidR="0012738E" w:rsidRPr="00CD58A0" w:rsidRDefault="00D109B4" w:rsidP="00F4503B">
            <w:pPr>
              <w:spacing w:line="360" w:lineRule="auto"/>
              <w:jc w:val="center"/>
              <w:rPr>
                <w:rFonts w:ascii="楷体_GB2312" w:eastAsia="楷体_GB2312" w:hAnsi="楷体"/>
                <w:color w:val="000000"/>
                <w:sz w:val="18"/>
                <w:szCs w:val="18"/>
              </w:rPr>
            </w:pPr>
            <w:r>
              <w:rPr>
                <w:noProof/>
              </w:rPr>
              <w:drawing>
                <wp:inline distT="0" distB="0" distL="0" distR="0" wp14:anchorId="501A5C3B" wp14:editId="1E5115C8">
                  <wp:extent cx="4453255" cy="2800350"/>
                  <wp:effectExtent l="0" t="0" r="4445"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2738E" w:rsidRPr="00FC2D2B" w:rsidTr="0012738E">
        <w:tc>
          <w:tcPr>
            <w:tcW w:w="7229" w:type="dxa"/>
          </w:tcPr>
          <w:p w:rsidR="0012738E" w:rsidRPr="00FC2D2B" w:rsidRDefault="0012738E" w:rsidP="00F4503B">
            <w:pPr>
              <w:rPr>
                <w:rFonts w:ascii="楷体_GB2312" w:eastAsia="楷体_GB2312" w:hAnsi="楷体"/>
                <w:noProof/>
                <w:color w:val="000000"/>
                <w:sz w:val="18"/>
                <w:szCs w:val="18"/>
              </w:rPr>
            </w:pPr>
            <w:r w:rsidRPr="00FC2D2B">
              <w:rPr>
                <w:rFonts w:ascii="楷体_GB2312" w:eastAsia="楷体_GB2312" w:hAnsi="楷体" w:hint="eastAsia"/>
                <w:noProof/>
                <w:color w:val="000000"/>
                <w:sz w:val="18"/>
                <w:szCs w:val="18"/>
              </w:rPr>
              <w:t>来源：</w:t>
            </w:r>
            <w:r w:rsidRPr="0012738E">
              <w:rPr>
                <w:rFonts w:ascii="楷体_GB2312" w:eastAsia="楷体_GB2312" w:hAnsi="楷体" w:hint="eastAsia"/>
                <w:noProof/>
                <w:color w:val="000000"/>
                <w:sz w:val="18"/>
                <w:szCs w:val="18"/>
              </w:rPr>
              <w:t>东方财富Choice,上海证券基金评价研究中心</w:t>
            </w:r>
          </w:p>
        </w:tc>
      </w:tr>
    </w:tbl>
    <w:p w:rsidR="00106706" w:rsidRDefault="00730655" w:rsidP="00D109B4">
      <w:pPr>
        <w:autoSpaceDE w:val="0"/>
        <w:autoSpaceDN w:val="0"/>
        <w:spacing w:beforeLines="50" w:before="156" w:afterLines="50" w:after="156" w:line="360" w:lineRule="auto"/>
        <w:ind w:firstLineChars="200" w:firstLine="480"/>
        <w:rPr>
          <w:rFonts w:ascii="楷体_GB2312" w:eastAsia="楷体_GB2312" w:hAnsi="楷体"/>
        </w:rPr>
      </w:pPr>
      <w:r>
        <w:rPr>
          <w:rFonts w:ascii="楷体_GB2312" w:eastAsia="楷体_GB2312" w:hAnsi="楷体" w:hint="eastAsia"/>
        </w:rPr>
        <w:lastRenderedPageBreak/>
        <w:t>从不同投资类别</w:t>
      </w:r>
      <w:r w:rsidR="00843141" w:rsidRPr="003C7187">
        <w:rPr>
          <w:rFonts w:ascii="楷体_GB2312" w:eastAsia="楷体_GB2312" w:hAnsi="楷体" w:hint="eastAsia"/>
        </w:rPr>
        <w:t>来看，本月发行股票型产品</w:t>
      </w:r>
      <w:r w:rsidR="00C61619">
        <w:rPr>
          <w:rFonts w:ascii="楷体_GB2312" w:eastAsia="楷体_GB2312" w:hAnsi="楷体"/>
        </w:rPr>
        <w:t>69</w:t>
      </w:r>
      <w:r w:rsidR="00843141" w:rsidRPr="003C7187">
        <w:rPr>
          <w:rFonts w:ascii="楷体_GB2312" w:eastAsia="楷体_GB2312" w:hAnsi="楷体" w:hint="eastAsia"/>
        </w:rPr>
        <w:t>只，相比上月</w:t>
      </w:r>
      <w:r w:rsidR="00C61619">
        <w:rPr>
          <w:rFonts w:ascii="楷体_GB2312" w:eastAsia="楷体_GB2312" w:hAnsi="楷体" w:hint="eastAsia"/>
        </w:rPr>
        <w:t>增加15</w:t>
      </w:r>
      <w:r w:rsidR="00843141" w:rsidRPr="003C7187">
        <w:rPr>
          <w:rFonts w:ascii="楷体_GB2312" w:eastAsia="楷体_GB2312" w:hAnsi="楷体" w:hint="eastAsia"/>
        </w:rPr>
        <w:t>只；混合型占比</w:t>
      </w:r>
      <w:r w:rsidR="00A04F92">
        <w:rPr>
          <w:rFonts w:ascii="楷体_GB2312" w:eastAsia="楷体_GB2312" w:hAnsi="楷体" w:hint="eastAsia"/>
        </w:rPr>
        <w:t>依然最大，达到</w:t>
      </w:r>
      <w:r w:rsidR="00C61619">
        <w:rPr>
          <w:rFonts w:ascii="楷体_GB2312" w:eastAsia="楷体_GB2312" w:hAnsi="楷体"/>
        </w:rPr>
        <w:t>318</w:t>
      </w:r>
      <w:r w:rsidR="00C61619">
        <w:rPr>
          <w:rFonts w:ascii="楷体_GB2312" w:eastAsia="楷体_GB2312" w:hAnsi="楷体" w:hint="eastAsia"/>
        </w:rPr>
        <w:t>只，同比减少18</w:t>
      </w:r>
      <w:r w:rsidR="00843141" w:rsidRPr="003C7187">
        <w:rPr>
          <w:rFonts w:ascii="楷体_GB2312" w:eastAsia="楷体_GB2312" w:hAnsi="楷体" w:hint="eastAsia"/>
        </w:rPr>
        <w:t>只。债券型产品</w:t>
      </w:r>
      <w:r w:rsidR="00C61619">
        <w:rPr>
          <w:rFonts w:ascii="楷体_GB2312" w:eastAsia="楷体_GB2312" w:hAnsi="楷体"/>
        </w:rPr>
        <w:t>345</w:t>
      </w:r>
      <w:r w:rsidR="00843141" w:rsidRPr="003C7187">
        <w:rPr>
          <w:rFonts w:ascii="楷体_GB2312" w:eastAsia="楷体_GB2312" w:hAnsi="楷体" w:hint="eastAsia"/>
        </w:rPr>
        <w:t>只，货币市场型产品</w:t>
      </w:r>
      <w:r w:rsidR="00FE0A37">
        <w:rPr>
          <w:rFonts w:ascii="楷体_GB2312" w:eastAsia="楷体_GB2312" w:hAnsi="楷体"/>
        </w:rPr>
        <w:t>1</w:t>
      </w:r>
      <w:r w:rsidR="00C61619">
        <w:rPr>
          <w:rFonts w:ascii="楷体_GB2312" w:eastAsia="楷体_GB2312" w:hAnsi="楷体"/>
        </w:rPr>
        <w:t>71</w:t>
      </w:r>
      <w:r w:rsidR="00843141" w:rsidRPr="003C7187">
        <w:rPr>
          <w:rFonts w:ascii="楷体_GB2312" w:eastAsia="楷体_GB2312" w:hAnsi="楷体" w:hint="eastAsia"/>
        </w:rPr>
        <w:t>只，其他（另类投资型产品）</w:t>
      </w:r>
      <w:r w:rsidR="00C61619">
        <w:rPr>
          <w:rFonts w:ascii="楷体_GB2312" w:eastAsia="楷体_GB2312" w:hAnsi="楷体"/>
        </w:rPr>
        <w:t>85</w:t>
      </w:r>
      <w:r w:rsidR="00843141" w:rsidRPr="003C7187">
        <w:rPr>
          <w:rFonts w:ascii="楷体_GB2312" w:eastAsia="楷体_GB2312" w:hAnsi="楷体" w:hint="eastAsia"/>
        </w:rPr>
        <w:t>只。发行份额占比方面，</w:t>
      </w:r>
      <w:r w:rsidR="00802E30">
        <w:rPr>
          <w:rFonts w:ascii="楷体_GB2312" w:eastAsia="楷体_GB2312" w:hAnsi="楷体" w:hint="eastAsia"/>
        </w:rPr>
        <w:t>混合</w:t>
      </w:r>
      <w:r w:rsidR="00843141" w:rsidRPr="003C7187">
        <w:rPr>
          <w:rFonts w:ascii="楷体_GB2312" w:eastAsia="楷体_GB2312" w:hAnsi="楷体" w:hint="eastAsia"/>
        </w:rPr>
        <w:t>型产品份额占比</w:t>
      </w:r>
      <w:r w:rsidR="00BF1357">
        <w:rPr>
          <w:rFonts w:ascii="楷体_GB2312" w:eastAsia="楷体_GB2312" w:hAnsi="楷体" w:hint="eastAsia"/>
        </w:rPr>
        <w:t>接近</w:t>
      </w:r>
      <w:r w:rsidR="00C61619">
        <w:rPr>
          <w:rFonts w:ascii="楷体_GB2312" w:eastAsia="楷体_GB2312" w:hAnsi="楷体" w:hint="eastAsia"/>
        </w:rPr>
        <w:t>三</w:t>
      </w:r>
      <w:r w:rsidR="00A04F92">
        <w:rPr>
          <w:rFonts w:ascii="楷体_GB2312" w:eastAsia="楷体_GB2312" w:hAnsi="楷体" w:hint="eastAsia"/>
        </w:rPr>
        <w:t>成</w:t>
      </w:r>
      <w:r w:rsidR="00843141" w:rsidRPr="003C7187">
        <w:rPr>
          <w:rFonts w:ascii="楷体_GB2312" w:eastAsia="楷体_GB2312" w:hAnsi="楷体" w:hint="eastAsia"/>
        </w:rPr>
        <w:t>。</w:t>
      </w:r>
    </w:p>
    <w:tbl>
      <w:tblPr>
        <w:tblW w:w="7229" w:type="dxa"/>
        <w:tblInd w:w="-142" w:type="dxa"/>
        <w:tblBorders>
          <w:top w:val="single" w:sz="12" w:space="0" w:color="767171" w:themeColor="background2" w:themeShade="80"/>
          <w:insideH w:val="single" w:sz="12" w:space="0" w:color="C00000"/>
          <w:insideV w:val="single" w:sz="8" w:space="0" w:color="C00000"/>
        </w:tblBorders>
        <w:tblLayout w:type="fixed"/>
        <w:tblLook w:val="04A0" w:firstRow="1" w:lastRow="0" w:firstColumn="1" w:lastColumn="0" w:noHBand="0" w:noVBand="1"/>
      </w:tblPr>
      <w:tblGrid>
        <w:gridCol w:w="7229"/>
      </w:tblGrid>
      <w:tr w:rsidR="0012738E" w:rsidRPr="00FC2D2B" w:rsidTr="0017626F">
        <w:tc>
          <w:tcPr>
            <w:tcW w:w="7229" w:type="dxa"/>
          </w:tcPr>
          <w:p w:rsidR="0012738E" w:rsidRPr="00FC2D2B" w:rsidRDefault="0012738E" w:rsidP="001B72D4">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1B72D4">
              <w:rPr>
                <w:rFonts w:ascii="楷体_GB2312" w:eastAsia="楷体_GB2312" w:hAnsi="楷体"/>
                <w:b/>
                <w:color w:val="000000"/>
                <w:sz w:val="18"/>
                <w:szCs w:val="18"/>
              </w:rPr>
              <w:t>8</w:t>
            </w:r>
            <w:r w:rsidRPr="00FC2D2B">
              <w:rPr>
                <w:rFonts w:ascii="楷体_GB2312" w:eastAsia="楷体_GB2312" w:hAnsi="楷体" w:hint="eastAsia"/>
                <w:b/>
                <w:color w:val="000000"/>
                <w:sz w:val="18"/>
                <w:szCs w:val="18"/>
              </w:rPr>
              <w:t>、</w:t>
            </w:r>
            <w:r w:rsidRPr="0012738E">
              <w:rPr>
                <w:rFonts w:ascii="楷体_GB2312" w:eastAsia="楷体_GB2312" w:hAnsi="楷体" w:hint="eastAsia"/>
                <w:b/>
                <w:color w:val="000000"/>
                <w:sz w:val="18"/>
                <w:szCs w:val="18"/>
              </w:rPr>
              <w:t>近期集合理财</w:t>
            </w:r>
            <w:r w:rsidR="00BF1357" w:rsidRPr="0012738E">
              <w:rPr>
                <w:rFonts w:ascii="楷体_GB2312" w:eastAsia="楷体_GB2312" w:hAnsi="楷体" w:hint="eastAsia"/>
                <w:b/>
                <w:color w:val="000000"/>
                <w:sz w:val="18"/>
                <w:szCs w:val="18"/>
              </w:rPr>
              <w:t>月度</w:t>
            </w:r>
            <w:r w:rsidR="00BF1357">
              <w:rPr>
                <w:rFonts w:ascii="楷体_GB2312" w:eastAsia="楷体_GB2312" w:hAnsi="楷体" w:hint="eastAsia"/>
                <w:b/>
                <w:color w:val="000000"/>
                <w:sz w:val="18"/>
                <w:szCs w:val="18"/>
              </w:rPr>
              <w:t>发行数量及结构</w:t>
            </w:r>
          </w:p>
        </w:tc>
      </w:tr>
      <w:tr w:rsidR="0012738E" w:rsidRPr="00FC2D2B" w:rsidTr="00C61619">
        <w:trPr>
          <w:trHeight w:val="3282"/>
        </w:trPr>
        <w:tc>
          <w:tcPr>
            <w:tcW w:w="7229" w:type="dxa"/>
          </w:tcPr>
          <w:p w:rsidR="0012738E" w:rsidRPr="00801CD4" w:rsidRDefault="00C61619" w:rsidP="00F4503B">
            <w:pPr>
              <w:spacing w:line="360" w:lineRule="auto"/>
              <w:jc w:val="center"/>
              <w:rPr>
                <w:rFonts w:ascii="楷体_GB2312" w:eastAsia="楷体_GB2312" w:hAnsi="楷体"/>
                <w:color w:val="000000"/>
                <w:sz w:val="18"/>
                <w:szCs w:val="18"/>
              </w:rPr>
            </w:pPr>
            <w:r>
              <w:rPr>
                <w:noProof/>
              </w:rPr>
              <w:drawing>
                <wp:inline distT="0" distB="0" distL="0" distR="0" wp14:anchorId="2452767F" wp14:editId="0A98ADD9">
                  <wp:extent cx="4453255" cy="2844165"/>
                  <wp:effectExtent l="0" t="0" r="4445" b="1333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12738E" w:rsidRPr="00FC2D2B" w:rsidTr="0017626F">
        <w:tc>
          <w:tcPr>
            <w:tcW w:w="7229" w:type="dxa"/>
          </w:tcPr>
          <w:p w:rsidR="0012738E" w:rsidRPr="00FC2D2B" w:rsidRDefault="0012738E" w:rsidP="00F4503B">
            <w:pPr>
              <w:rPr>
                <w:rFonts w:ascii="楷体_GB2312" w:eastAsia="楷体_GB2312" w:hAnsi="楷体"/>
                <w:noProof/>
                <w:color w:val="000000"/>
                <w:sz w:val="18"/>
                <w:szCs w:val="18"/>
              </w:rPr>
            </w:pPr>
            <w:r w:rsidRPr="00FC2D2B">
              <w:rPr>
                <w:rFonts w:ascii="楷体_GB2312" w:eastAsia="楷体_GB2312" w:hAnsi="楷体" w:hint="eastAsia"/>
                <w:noProof/>
                <w:color w:val="000000"/>
                <w:sz w:val="18"/>
                <w:szCs w:val="18"/>
              </w:rPr>
              <w:t>来源：</w:t>
            </w:r>
            <w:r w:rsidRPr="0012738E">
              <w:rPr>
                <w:rFonts w:ascii="楷体_GB2312" w:eastAsia="楷体_GB2312" w:hAnsi="楷体" w:hint="eastAsia"/>
                <w:noProof/>
                <w:color w:val="000000"/>
                <w:sz w:val="18"/>
                <w:szCs w:val="18"/>
              </w:rPr>
              <w:t>东方财富Choice,上海证券基金评价研究中心</w:t>
            </w:r>
          </w:p>
        </w:tc>
      </w:tr>
    </w:tbl>
    <w:p w:rsidR="0039634B" w:rsidRPr="003C7187" w:rsidRDefault="00B31570" w:rsidP="00363653">
      <w:pPr>
        <w:autoSpaceDE w:val="0"/>
        <w:autoSpaceDN w:val="0"/>
        <w:spacing w:beforeLines="50" w:before="156" w:afterLines="50" w:after="156" w:line="360" w:lineRule="auto"/>
        <w:ind w:firstLineChars="200" w:firstLine="480"/>
        <w:rPr>
          <w:rFonts w:ascii="楷体_GB2312" w:eastAsia="楷体_GB2312" w:hAnsi="楷体"/>
        </w:rPr>
      </w:pPr>
      <w:r w:rsidRPr="003C7187">
        <w:rPr>
          <w:rFonts w:ascii="楷体_GB2312" w:eastAsia="楷体_GB2312" w:hAnsi="楷体" w:hint="eastAsia"/>
        </w:rPr>
        <w:t>综合来看，</w:t>
      </w:r>
      <w:r w:rsidR="00FB6D50" w:rsidRPr="003C7187">
        <w:rPr>
          <w:rFonts w:ascii="楷体_GB2312" w:eastAsia="楷体_GB2312" w:hAnsi="楷体" w:hint="eastAsia"/>
        </w:rPr>
        <w:t>自</w:t>
      </w:r>
      <w:r w:rsidR="003A1821">
        <w:rPr>
          <w:rFonts w:ascii="楷体_GB2312" w:eastAsia="楷体_GB2312" w:hAnsi="楷体" w:hint="eastAsia"/>
        </w:rPr>
        <w:t>2015年</w:t>
      </w:r>
      <w:r w:rsidR="00FB6D50" w:rsidRPr="003C7187">
        <w:rPr>
          <w:rFonts w:ascii="楷体_GB2312" w:eastAsia="楷体_GB2312" w:hAnsi="楷体" w:hint="eastAsia"/>
        </w:rPr>
        <w:t>6月份以来，A股市场巨幅震荡，公募基金发行数量及份额都经历了过山车般的表现。相对来说，券商集合理财</w:t>
      </w:r>
      <w:r w:rsidR="0039634B" w:rsidRPr="003C7187">
        <w:rPr>
          <w:rFonts w:ascii="楷体_GB2312" w:eastAsia="楷体_GB2312" w:hAnsi="楷体" w:hint="eastAsia"/>
        </w:rPr>
        <w:t>产品无论是</w:t>
      </w:r>
      <w:r w:rsidR="00FB6D50" w:rsidRPr="003C7187">
        <w:rPr>
          <w:rFonts w:ascii="楷体_GB2312" w:eastAsia="楷体_GB2312" w:hAnsi="楷体" w:hint="eastAsia"/>
        </w:rPr>
        <w:t>发行数量</w:t>
      </w:r>
      <w:r w:rsidR="0039634B" w:rsidRPr="003C7187">
        <w:rPr>
          <w:rFonts w:ascii="楷体_GB2312" w:eastAsia="楷体_GB2312" w:hAnsi="楷体" w:hint="eastAsia"/>
        </w:rPr>
        <w:t>还是</w:t>
      </w:r>
      <w:r w:rsidR="00FB6D50" w:rsidRPr="003C7187">
        <w:rPr>
          <w:rFonts w:ascii="楷体_GB2312" w:eastAsia="楷体_GB2312" w:hAnsi="楷体" w:hint="eastAsia"/>
        </w:rPr>
        <w:t>份额与公募基金走势基本相同，但发行份额差异明显。从</w:t>
      </w:r>
      <w:r w:rsidR="0039634B" w:rsidRPr="003C7187">
        <w:rPr>
          <w:rFonts w:ascii="楷体_GB2312" w:eastAsia="楷体_GB2312" w:hAnsi="楷体" w:hint="eastAsia"/>
        </w:rPr>
        <w:t>近</w:t>
      </w:r>
      <w:r w:rsidR="00B75D11">
        <w:rPr>
          <w:rFonts w:ascii="楷体_GB2312" w:eastAsia="楷体_GB2312" w:hAnsi="楷体" w:hint="eastAsia"/>
        </w:rPr>
        <w:t>期</w:t>
      </w:r>
      <w:r w:rsidR="00FB6D50" w:rsidRPr="003C7187">
        <w:rPr>
          <w:rFonts w:ascii="楷体_GB2312" w:eastAsia="楷体_GB2312" w:hAnsi="楷体" w:hint="eastAsia"/>
        </w:rPr>
        <w:t>数据</w:t>
      </w:r>
      <w:r w:rsidR="00FB6D50" w:rsidRPr="00F2241A">
        <w:rPr>
          <w:rFonts w:ascii="楷体_GB2312" w:eastAsia="楷体_GB2312" w:hAnsi="楷体" w:cs="宋体" w:hint="eastAsia"/>
          <w:noProof/>
          <w:color w:val="000000"/>
          <w:kern w:val="0"/>
        </w:rPr>
        <w:t>来看</w:t>
      </w:r>
      <w:r w:rsidR="0039634B" w:rsidRPr="003C7187">
        <w:rPr>
          <w:rFonts w:ascii="楷体_GB2312" w:eastAsia="楷体_GB2312" w:hAnsi="楷体" w:hint="eastAsia"/>
        </w:rPr>
        <w:t>，</w:t>
      </w:r>
      <w:r w:rsidR="00FB6D50" w:rsidRPr="003C7187">
        <w:rPr>
          <w:rFonts w:ascii="楷体_GB2312" w:eastAsia="楷体_GB2312" w:hAnsi="楷体" w:hint="eastAsia"/>
        </w:rPr>
        <w:t>公募基金发行份额</w:t>
      </w:r>
      <w:r w:rsidR="00B75D11">
        <w:rPr>
          <w:rFonts w:ascii="楷体_GB2312" w:eastAsia="楷体_GB2312" w:hAnsi="楷体" w:hint="eastAsia"/>
        </w:rPr>
        <w:t>弹性</w:t>
      </w:r>
      <w:r w:rsidR="00B75D11">
        <w:rPr>
          <w:rFonts w:ascii="楷体_GB2312" w:eastAsia="楷体_GB2312" w:hAnsi="楷体"/>
        </w:rPr>
        <w:t>更高，</w:t>
      </w:r>
      <w:r w:rsidR="00FB6D50" w:rsidRPr="003C7187">
        <w:rPr>
          <w:rFonts w:ascii="楷体_GB2312" w:eastAsia="楷体_GB2312" w:hAnsi="楷体" w:hint="eastAsia"/>
        </w:rPr>
        <w:t>易受市场行情干扰</w:t>
      </w:r>
      <w:r w:rsidR="0039634B" w:rsidRPr="003C7187">
        <w:rPr>
          <w:rFonts w:ascii="楷体_GB2312" w:eastAsia="楷体_GB2312" w:hAnsi="楷体" w:hint="eastAsia"/>
        </w:rPr>
        <w:t>，6-9月市场大幅</w:t>
      </w:r>
      <w:r w:rsidR="0039634B" w:rsidRPr="00C854A4">
        <w:rPr>
          <w:rFonts w:ascii="楷体_GB2312" w:eastAsia="楷体_GB2312" w:hAnsi="楷体" w:cs="宋体" w:hint="eastAsia"/>
          <w:noProof/>
          <w:color w:val="000000"/>
          <w:kern w:val="0"/>
        </w:rPr>
        <w:t>下行</w:t>
      </w:r>
      <w:r w:rsidR="0039634B" w:rsidRPr="003C7187">
        <w:rPr>
          <w:rFonts w:ascii="楷体_GB2312" w:eastAsia="楷体_GB2312" w:hAnsi="楷体" w:hint="eastAsia"/>
        </w:rPr>
        <w:t>时，发行份额缩水比例远高于集合理财产品甚至一度低于集合理财月发行规模；当10-11月行情转好时，公募基</w:t>
      </w:r>
      <w:r w:rsidR="0039634B" w:rsidRPr="00791476">
        <w:rPr>
          <w:rFonts w:ascii="楷体_GB2312" w:eastAsia="楷体_GB2312" w:hAnsi="楷体" w:hint="eastAsia"/>
        </w:rPr>
        <w:t>金发行规模上升较快。</w:t>
      </w:r>
      <w:r w:rsidR="005D6660" w:rsidRPr="00791476">
        <w:rPr>
          <w:rFonts w:ascii="楷体_GB2312" w:eastAsia="楷体_GB2312" w:hAnsi="楷体" w:hint="eastAsia"/>
        </w:rPr>
        <w:t>12月份</w:t>
      </w:r>
      <w:r w:rsidR="005D6660" w:rsidRPr="00791476">
        <w:rPr>
          <w:rFonts w:ascii="楷体_GB2312" w:eastAsia="楷体_GB2312" w:hAnsi="楷体"/>
        </w:rPr>
        <w:t>无论是</w:t>
      </w:r>
      <w:r w:rsidR="005D6660" w:rsidRPr="00791476">
        <w:rPr>
          <w:rFonts w:ascii="楷体_GB2312" w:eastAsia="楷体_GB2312" w:hAnsi="楷体" w:hint="eastAsia"/>
        </w:rPr>
        <w:t>发行</w:t>
      </w:r>
      <w:r w:rsidR="005D6660" w:rsidRPr="00791476">
        <w:rPr>
          <w:rFonts w:ascii="楷体_GB2312" w:eastAsia="楷体_GB2312" w:hAnsi="楷体"/>
        </w:rPr>
        <w:t>数量还是</w:t>
      </w:r>
      <w:r w:rsidR="005D6660" w:rsidRPr="00791476">
        <w:rPr>
          <w:rFonts w:ascii="楷体_GB2312" w:eastAsia="楷体_GB2312" w:hAnsi="楷体" w:hint="eastAsia"/>
        </w:rPr>
        <w:t>份额</w:t>
      </w:r>
      <w:r w:rsidR="005D6660" w:rsidRPr="00791476">
        <w:rPr>
          <w:rFonts w:ascii="楷体_GB2312" w:eastAsia="楷体_GB2312" w:hAnsi="楷体"/>
        </w:rPr>
        <w:t>，</w:t>
      </w:r>
      <w:r w:rsidR="005D6660" w:rsidRPr="00791476">
        <w:rPr>
          <w:rFonts w:ascii="楷体_GB2312" w:eastAsia="楷体_GB2312" w:hAnsi="楷体" w:hint="eastAsia"/>
        </w:rPr>
        <w:t>公募基金均出现</w:t>
      </w:r>
      <w:r w:rsidR="005D6660" w:rsidRPr="00791476">
        <w:rPr>
          <w:rFonts w:ascii="楷体_GB2312" w:eastAsia="楷体_GB2312" w:hAnsi="楷体"/>
        </w:rPr>
        <w:t>冲高回落的情形，或因</w:t>
      </w:r>
      <w:r w:rsidR="005D6660" w:rsidRPr="00791476">
        <w:rPr>
          <w:rFonts w:ascii="楷体_GB2312" w:eastAsia="楷体_GB2312" w:hAnsi="楷体" w:hint="eastAsia"/>
        </w:rPr>
        <w:t>多只打新</w:t>
      </w:r>
      <w:r w:rsidR="005D6660" w:rsidRPr="00791476">
        <w:rPr>
          <w:rFonts w:ascii="楷体_GB2312" w:eastAsia="楷体_GB2312" w:hAnsi="楷体"/>
        </w:rPr>
        <w:t>基金</w:t>
      </w:r>
      <w:r w:rsidR="005D6660" w:rsidRPr="00791476">
        <w:rPr>
          <w:rFonts w:ascii="楷体_GB2312" w:eastAsia="楷体_GB2312" w:hAnsi="楷体" w:hint="eastAsia"/>
        </w:rPr>
        <w:t>抢在11月份</w:t>
      </w:r>
      <w:r w:rsidR="005D6660" w:rsidRPr="00791476">
        <w:rPr>
          <w:rFonts w:ascii="楷体_GB2312" w:eastAsia="楷体_GB2312" w:hAnsi="楷体"/>
        </w:rPr>
        <w:t>成立</w:t>
      </w:r>
      <w:r w:rsidR="005D6660" w:rsidRPr="00791476">
        <w:rPr>
          <w:rFonts w:ascii="楷体_GB2312" w:eastAsia="楷体_GB2312" w:hAnsi="楷体" w:hint="eastAsia"/>
        </w:rPr>
        <w:t>。</w:t>
      </w:r>
      <w:r w:rsidR="00B75D11" w:rsidRPr="00791476">
        <w:rPr>
          <w:rFonts w:ascii="楷体_GB2312" w:eastAsia="楷体_GB2312" w:hAnsi="楷体" w:hint="eastAsia"/>
        </w:rPr>
        <w:t>经历了2016</w:t>
      </w:r>
      <w:r w:rsidR="00B75D11" w:rsidRPr="00791476">
        <w:rPr>
          <w:rFonts w:ascii="楷体_GB2312" w:eastAsia="楷体_GB2312" w:hAnsi="楷体"/>
        </w:rPr>
        <w:t>年</w:t>
      </w:r>
      <w:r w:rsidR="00B75D11" w:rsidRPr="00791476">
        <w:rPr>
          <w:rFonts w:ascii="楷体_GB2312" w:eastAsia="楷体_GB2312" w:hAnsi="楷体" w:hint="eastAsia"/>
        </w:rPr>
        <w:t>年</w:t>
      </w:r>
      <w:r w:rsidR="00B75D11" w:rsidRPr="00791476">
        <w:rPr>
          <w:rFonts w:ascii="楷体_GB2312" w:eastAsia="楷体_GB2312" w:hAnsi="楷体"/>
        </w:rPr>
        <w:t>初以来</w:t>
      </w:r>
      <w:r w:rsidR="00B75D11" w:rsidRPr="00791476">
        <w:rPr>
          <w:rFonts w:ascii="楷体_GB2312" w:eastAsia="楷体_GB2312" w:hAnsi="楷体" w:hint="eastAsia"/>
        </w:rPr>
        <w:t>系统性</w:t>
      </w:r>
      <w:r w:rsidR="00B75D11" w:rsidRPr="00791476">
        <w:rPr>
          <w:rFonts w:ascii="楷体_GB2312" w:eastAsia="楷体_GB2312" w:hAnsi="楷体"/>
        </w:rPr>
        <w:t>风险快速释放之后，</w:t>
      </w:r>
      <w:r w:rsidR="00B75D11" w:rsidRPr="00791476">
        <w:rPr>
          <w:rFonts w:ascii="楷体_GB2312" w:eastAsia="楷体_GB2312" w:hAnsi="楷体" w:hint="eastAsia"/>
        </w:rPr>
        <w:t>市场</w:t>
      </w:r>
      <w:r w:rsidR="00BF1357" w:rsidRPr="00791476">
        <w:rPr>
          <w:rFonts w:ascii="楷体_GB2312" w:eastAsia="楷体_GB2312" w:hAnsi="楷体" w:hint="eastAsia"/>
        </w:rPr>
        <w:t>进入箱体</w:t>
      </w:r>
      <w:r w:rsidR="00BF1357" w:rsidRPr="00791476">
        <w:rPr>
          <w:rFonts w:ascii="楷体_GB2312" w:eastAsia="楷体_GB2312" w:hAnsi="楷体"/>
        </w:rPr>
        <w:t>震荡的局面</w:t>
      </w:r>
      <w:r w:rsidR="00B75D11" w:rsidRPr="00791476">
        <w:rPr>
          <w:rFonts w:ascii="楷体_GB2312" w:eastAsia="楷体_GB2312" w:hAnsi="楷体" w:hint="eastAsia"/>
        </w:rPr>
        <w:t>，</w:t>
      </w:r>
      <w:r w:rsidR="00B75D11" w:rsidRPr="00791476">
        <w:rPr>
          <w:rFonts w:ascii="楷体_GB2312" w:eastAsia="楷体_GB2312" w:hAnsi="楷体"/>
        </w:rPr>
        <w:t>公募基金和券商集合理财</w:t>
      </w:r>
      <w:r w:rsidR="00B75D11" w:rsidRPr="00791476">
        <w:rPr>
          <w:rFonts w:ascii="楷体_GB2312" w:eastAsia="楷体_GB2312" w:hAnsi="楷体" w:hint="eastAsia"/>
        </w:rPr>
        <w:t>发行</w:t>
      </w:r>
      <w:r w:rsidR="00BF1357" w:rsidRPr="00791476">
        <w:rPr>
          <w:rFonts w:ascii="楷体_GB2312" w:eastAsia="楷体_GB2312" w:hAnsi="楷体" w:hint="eastAsia"/>
        </w:rPr>
        <w:t>数量</w:t>
      </w:r>
      <w:r w:rsidR="00BF1357" w:rsidRPr="00791476">
        <w:rPr>
          <w:rFonts w:ascii="楷体_GB2312" w:eastAsia="楷体_GB2312" w:hAnsi="楷体"/>
        </w:rPr>
        <w:t>及</w:t>
      </w:r>
      <w:r w:rsidR="00B75D11" w:rsidRPr="00791476">
        <w:rPr>
          <w:rFonts w:ascii="楷体_GB2312" w:eastAsia="楷体_GB2312" w:hAnsi="楷体" w:hint="eastAsia"/>
        </w:rPr>
        <w:t>份额</w:t>
      </w:r>
      <w:r w:rsidR="00BF1357" w:rsidRPr="00791476">
        <w:rPr>
          <w:rFonts w:ascii="楷体_GB2312" w:eastAsia="楷体_GB2312" w:hAnsi="楷体" w:hint="eastAsia"/>
        </w:rPr>
        <w:t>同样呈现震荡走势</w:t>
      </w:r>
      <w:r w:rsidR="00B75D11" w:rsidRPr="00791476">
        <w:rPr>
          <w:rFonts w:ascii="楷体_GB2312" w:eastAsia="楷体_GB2312" w:hAnsi="楷体" w:hint="eastAsia"/>
        </w:rPr>
        <w:t>。</w:t>
      </w:r>
    </w:p>
    <w:p w:rsidR="00106706" w:rsidRDefault="00FC2BA2" w:rsidP="00E3762E">
      <w:pPr>
        <w:autoSpaceDE w:val="0"/>
        <w:autoSpaceDN w:val="0"/>
        <w:spacing w:beforeLines="50" w:before="156" w:afterLines="50" w:after="156" w:line="360" w:lineRule="auto"/>
        <w:ind w:firstLineChars="200" w:firstLine="480"/>
        <w:rPr>
          <w:rFonts w:ascii="楷体_GB2312" w:eastAsia="楷体_GB2312" w:hAnsi="楷体"/>
        </w:rPr>
      </w:pPr>
      <w:r w:rsidRPr="003C7187">
        <w:rPr>
          <w:rFonts w:ascii="楷体_GB2312" w:eastAsia="楷体_GB2312" w:hAnsi="楷体" w:hint="eastAsia"/>
        </w:rPr>
        <w:t>从</w:t>
      </w:r>
      <w:r w:rsidR="00A163E7">
        <w:rPr>
          <w:rFonts w:ascii="楷体_GB2312" w:eastAsia="楷体_GB2312" w:hAnsi="楷体" w:hint="eastAsia"/>
        </w:rPr>
        <w:t>产品</w:t>
      </w:r>
      <w:r w:rsidRPr="003C7187">
        <w:rPr>
          <w:rFonts w:ascii="楷体_GB2312" w:eastAsia="楷体_GB2312" w:hAnsi="楷体" w:hint="eastAsia"/>
        </w:rPr>
        <w:t>类型方面来看，混合型产品最受市场认可，在公募基金和券商集合理财产品中均占比最高。此外，由于仓位等方面的限制不如</w:t>
      </w:r>
      <w:r w:rsidRPr="003C7187">
        <w:rPr>
          <w:rFonts w:ascii="楷体_GB2312" w:eastAsia="楷体_GB2312" w:hAnsi="楷体" w:hint="eastAsia"/>
        </w:rPr>
        <w:lastRenderedPageBreak/>
        <w:t>公募基金严格，股票型券商</w:t>
      </w:r>
      <w:r w:rsidRPr="00F2241A">
        <w:rPr>
          <w:rFonts w:ascii="楷体_GB2312" w:eastAsia="楷体_GB2312" w:hAnsi="楷体" w:cs="宋体" w:hint="eastAsia"/>
          <w:noProof/>
          <w:color w:val="000000"/>
          <w:kern w:val="0"/>
        </w:rPr>
        <w:t>集合</w:t>
      </w:r>
      <w:r w:rsidRPr="00C854A4">
        <w:rPr>
          <w:rFonts w:ascii="楷体_GB2312" w:eastAsia="楷体_GB2312" w:hAnsi="楷体" w:cs="宋体" w:hint="eastAsia"/>
          <w:noProof/>
          <w:color w:val="000000"/>
          <w:kern w:val="0"/>
        </w:rPr>
        <w:t>理财</w:t>
      </w:r>
      <w:r w:rsidRPr="00F2241A">
        <w:rPr>
          <w:rFonts w:ascii="楷体_GB2312" w:eastAsia="楷体_GB2312" w:hAnsi="楷体" w:cs="宋体" w:hint="eastAsia"/>
          <w:noProof/>
          <w:color w:val="000000"/>
          <w:kern w:val="0"/>
        </w:rPr>
        <w:t>产品</w:t>
      </w:r>
      <w:r w:rsidR="00412F66">
        <w:rPr>
          <w:rFonts w:ascii="楷体_GB2312" w:eastAsia="楷体_GB2312" w:hAnsi="楷体" w:hint="eastAsia"/>
        </w:rPr>
        <w:t>发行数量明显</w:t>
      </w:r>
      <w:r w:rsidR="00412F66">
        <w:rPr>
          <w:rFonts w:ascii="楷体_GB2312" w:eastAsia="楷体_GB2312" w:hAnsi="楷体"/>
        </w:rPr>
        <w:t>多于公募基金</w:t>
      </w:r>
      <w:r w:rsidRPr="003C7187">
        <w:rPr>
          <w:rFonts w:ascii="楷体_GB2312" w:eastAsia="楷体_GB2312" w:hAnsi="楷体" w:hint="eastAsia"/>
        </w:rPr>
        <w:t>。</w:t>
      </w:r>
    </w:p>
    <w:tbl>
      <w:tblPr>
        <w:tblW w:w="7371" w:type="dxa"/>
        <w:tblBorders>
          <w:top w:val="single" w:sz="12" w:space="0" w:color="767171" w:themeColor="background2" w:themeShade="80"/>
          <w:insideH w:val="single" w:sz="12" w:space="0" w:color="C00000"/>
          <w:insideV w:val="single" w:sz="8" w:space="0" w:color="C00000"/>
        </w:tblBorders>
        <w:tblLayout w:type="fixed"/>
        <w:tblLook w:val="04A0" w:firstRow="1" w:lastRow="0" w:firstColumn="1" w:lastColumn="0" w:noHBand="0" w:noVBand="1"/>
      </w:tblPr>
      <w:tblGrid>
        <w:gridCol w:w="7371"/>
      </w:tblGrid>
      <w:tr w:rsidR="0012738E" w:rsidRPr="00FC2D2B" w:rsidTr="0012738E">
        <w:tc>
          <w:tcPr>
            <w:tcW w:w="7371" w:type="dxa"/>
          </w:tcPr>
          <w:p w:rsidR="0012738E" w:rsidRPr="00FC2D2B" w:rsidRDefault="0012738E" w:rsidP="001B72D4">
            <w:pPr>
              <w:spacing w:line="360" w:lineRule="auto"/>
              <w:jc w:val="left"/>
              <w:rPr>
                <w:rFonts w:ascii="楷体_GB2312" w:eastAsia="楷体_GB2312" w:hAnsi="楷体"/>
                <w:b/>
                <w:color w:val="000000"/>
                <w:sz w:val="18"/>
                <w:szCs w:val="18"/>
              </w:rPr>
            </w:pPr>
            <w:r w:rsidRPr="00FC2D2B">
              <w:rPr>
                <w:rFonts w:ascii="楷体_GB2312" w:eastAsia="楷体_GB2312" w:hAnsi="楷体" w:hint="eastAsia"/>
                <w:b/>
                <w:color w:val="000000"/>
                <w:sz w:val="18"/>
                <w:szCs w:val="18"/>
              </w:rPr>
              <w:t>图</w:t>
            </w:r>
            <w:r w:rsidR="001B72D4">
              <w:rPr>
                <w:rFonts w:ascii="楷体_GB2312" w:eastAsia="楷体_GB2312" w:hAnsi="楷体"/>
                <w:b/>
                <w:color w:val="000000"/>
                <w:sz w:val="18"/>
                <w:szCs w:val="18"/>
              </w:rPr>
              <w:t>9</w:t>
            </w:r>
            <w:r w:rsidRPr="00FC2D2B">
              <w:rPr>
                <w:rFonts w:ascii="楷体_GB2312" w:eastAsia="楷体_GB2312" w:hAnsi="楷体" w:hint="eastAsia"/>
                <w:b/>
                <w:color w:val="000000"/>
                <w:sz w:val="18"/>
                <w:szCs w:val="18"/>
              </w:rPr>
              <w:t>、</w:t>
            </w:r>
            <w:r w:rsidRPr="0012738E">
              <w:rPr>
                <w:rFonts w:ascii="楷体_GB2312" w:eastAsia="楷体_GB2312" w:hAnsi="楷体" w:hint="eastAsia"/>
                <w:b/>
                <w:color w:val="000000"/>
                <w:sz w:val="18"/>
                <w:szCs w:val="18"/>
              </w:rPr>
              <w:t>近期月度公募基金和集合理财发行数量及份额（亿份）</w:t>
            </w:r>
          </w:p>
        </w:tc>
      </w:tr>
      <w:tr w:rsidR="0012738E" w:rsidRPr="00FC2D2B" w:rsidTr="00791476">
        <w:trPr>
          <w:trHeight w:val="3282"/>
        </w:trPr>
        <w:tc>
          <w:tcPr>
            <w:tcW w:w="7371" w:type="dxa"/>
          </w:tcPr>
          <w:p w:rsidR="0012738E" w:rsidRPr="00791476" w:rsidRDefault="00791476" w:rsidP="00F4503B">
            <w:pPr>
              <w:spacing w:line="360" w:lineRule="auto"/>
              <w:jc w:val="center"/>
              <w:rPr>
                <w:rFonts w:ascii="楷体_GB2312" w:eastAsia="楷体_GB2312" w:hAnsi="楷体"/>
                <w:color w:val="000000"/>
                <w:sz w:val="18"/>
                <w:szCs w:val="18"/>
              </w:rPr>
            </w:pPr>
            <w:r>
              <w:rPr>
                <w:noProof/>
              </w:rPr>
              <w:drawing>
                <wp:inline distT="0" distB="0" distL="0" distR="0" wp14:anchorId="584E0524" wp14:editId="442818C2">
                  <wp:extent cx="4543425" cy="2679065"/>
                  <wp:effectExtent l="0" t="0" r="9525" b="698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2738E" w:rsidRPr="00FC2D2B" w:rsidTr="0012738E">
        <w:tc>
          <w:tcPr>
            <w:tcW w:w="7371" w:type="dxa"/>
          </w:tcPr>
          <w:p w:rsidR="0012738E" w:rsidRPr="00FC2D2B" w:rsidRDefault="0012738E" w:rsidP="00F4503B">
            <w:pPr>
              <w:rPr>
                <w:rFonts w:ascii="楷体_GB2312" w:eastAsia="楷体_GB2312" w:hAnsi="楷体"/>
                <w:noProof/>
                <w:color w:val="000000"/>
                <w:sz w:val="18"/>
                <w:szCs w:val="18"/>
              </w:rPr>
            </w:pPr>
            <w:r w:rsidRPr="00FC2D2B">
              <w:rPr>
                <w:rFonts w:ascii="楷体_GB2312" w:eastAsia="楷体_GB2312" w:hAnsi="楷体" w:hint="eastAsia"/>
                <w:noProof/>
                <w:color w:val="000000"/>
                <w:sz w:val="18"/>
                <w:szCs w:val="18"/>
              </w:rPr>
              <w:t>来源：</w:t>
            </w:r>
            <w:r w:rsidRPr="0012738E">
              <w:rPr>
                <w:rFonts w:ascii="楷体_GB2312" w:eastAsia="楷体_GB2312" w:hAnsi="楷体" w:hint="eastAsia"/>
                <w:noProof/>
                <w:color w:val="000000"/>
                <w:sz w:val="18"/>
                <w:szCs w:val="18"/>
              </w:rPr>
              <w:t>东方财富Choice,上海证券基金评价研究中心</w:t>
            </w:r>
          </w:p>
        </w:tc>
      </w:tr>
    </w:tbl>
    <w:p w:rsidR="00476DDB" w:rsidRPr="00F2241A" w:rsidRDefault="00476DDB" w:rsidP="00F2241A">
      <w:pPr>
        <w:rPr>
          <w:rFonts w:ascii="楷体_GB2312" w:eastAsia="楷体_GB2312" w:hAnsi="楷体" w:cs="宋体"/>
          <w:i/>
          <w:noProof/>
          <w:color w:val="000000"/>
          <w:kern w:val="0"/>
          <w:sz w:val="18"/>
          <w:szCs w:val="18"/>
        </w:rPr>
        <w:sectPr w:rsidR="00476DDB" w:rsidRPr="00F2241A" w:rsidSect="006C224D">
          <w:headerReference w:type="default" r:id="rId21"/>
          <w:footerReference w:type="even" r:id="rId22"/>
          <w:footerReference w:type="default" r:id="rId23"/>
          <w:pgSz w:w="11906" w:h="16838" w:code="9"/>
          <w:pgMar w:top="1701" w:right="1134" w:bottom="1418" w:left="3686" w:header="851" w:footer="992" w:gutter="0"/>
          <w:pgBorders w:offsetFrom="page">
            <w:bottom w:val="single" w:sz="8" w:space="24" w:color="C0504D"/>
          </w:pgBorders>
          <w:cols w:space="425"/>
          <w:docGrid w:type="lines" w:linePitch="312"/>
        </w:sectPr>
      </w:pPr>
    </w:p>
    <w:bookmarkEnd w:id="2"/>
    <w:p w:rsidR="00B75DD0" w:rsidRPr="003C7187" w:rsidRDefault="00B75DD0" w:rsidP="00C04827">
      <w:pPr>
        <w:jc w:val="left"/>
        <w:rPr>
          <w:rFonts w:ascii="楷体_GB2312" w:eastAsia="楷体_GB2312" w:hAnsi="楷体"/>
          <w:b/>
          <w:bCs/>
          <w:color w:val="003366"/>
          <w:szCs w:val="21"/>
        </w:rPr>
      </w:pPr>
      <w:r w:rsidRPr="003C7187">
        <w:rPr>
          <w:rFonts w:ascii="楷体_GB2312" w:eastAsia="楷体_GB2312" w:hAnsi="楷体" w:hint="eastAsia"/>
          <w:b/>
          <w:bCs/>
          <w:color w:val="003366"/>
          <w:szCs w:val="21"/>
        </w:rPr>
        <w:lastRenderedPageBreak/>
        <w:t>分析师承诺</w:t>
      </w:r>
    </w:p>
    <w:p w:rsidR="00D6099C" w:rsidRPr="003C7187" w:rsidRDefault="00F04B08" w:rsidP="00C04827">
      <w:pPr>
        <w:jc w:val="left"/>
        <w:rPr>
          <w:rFonts w:ascii="楷体_GB2312" w:eastAsia="楷体_GB2312" w:hAnsi="楷体"/>
          <w:sz w:val="18"/>
          <w:szCs w:val="18"/>
        </w:rPr>
      </w:pPr>
      <w:r w:rsidRPr="003C7187">
        <w:rPr>
          <w:rFonts w:ascii="楷体_GB2312" w:eastAsia="楷体_GB2312" w:hAnsi="楷体" w:hint="eastAsia"/>
          <w:sz w:val="18"/>
          <w:szCs w:val="18"/>
        </w:rPr>
        <w:t xml:space="preserve">分析师  </w:t>
      </w:r>
      <w:r w:rsidR="00E25475" w:rsidRPr="003C7187">
        <w:rPr>
          <w:rFonts w:ascii="楷体_GB2312" w:eastAsia="楷体_GB2312" w:hAnsi="楷体" w:hint="eastAsia"/>
          <w:sz w:val="18"/>
          <w:szCs w:val="18"/>
        </w:rPr>
        <w:t>高云鹏</w:t>
      </w:r>
      <w:r w:rsidR="00E8784E" w:rsidRPr="003C7187">
        <w:rPr>
          <w:rFonts w:ascii="楷体_GB2312" w:eastAsia="楷体_GB2312" w:hAnsi="楷体" w:hint="eastAsia"/>
          <w:sz w:val="18"/>
          <w:szCs w:val="18"/>
        </w:rPr>
        <w:t xml:space="preserve"> </w:t>
      </w:r>
      <w:r w:rsidR="00D6099C" w:rsidRPr="003C7187">
        <w:rPr>
          <w:rFonts w:ascii="楷体_GB2312" w:eastAsia="楷体_GB2312" w:hAnsi="楷体" w:hint="eastAsia"/>
          <w:color w:val="000000"/>
          <w:sz w:val="18"/>
          <w:szCs w:val="18"/>
        </w:rPr>
        <w:t>王博生</w:t>
      </w:r>
      <w:r w:rsidR="002749F4">
        <w:rPr>
          <w:rFonts w:ascii="楷体_GB2312" w:eastAsia="楷体_GB2312" w:hAnsi="楷体" w:hint="eastAsia"/>
          <w:color w:val="000000"/>
          <w:sz w:val="18"/>
          <w:szCs w:val="18"/>
        </w:rPr>
        <w:t xml:space="preserve"> </w:t>
      </w:r>
      <w:r w:rsidR="00B32A0A">
        <w:rPr>
          <w:rFonts w:ascii="楷体_GB2312" w:eastAsia="楷体_GB2312" w:hAnsi="楷体" w:hint="eastAsia"/>
          <w:color w:val="000000"/>
          <w:sz w:val="18"/>
          <w:szCs w:val="18"/>
        </w:rPr>
        <w:t>杨晗</w:t>
      </w:r>
    </w:p>
    <w:p w:rsidR="00F04B08" w:rsidRPr="003C7187" w:rsidRDefault="00F04B08" w:rsidP="00C04827">
      <w:pPr>
        <w:rPr>
          <w:rFonts w:ascii="楷体_GB2312" w:eastAsia="楷体_GB2312" w:hAnsi="楷体"/>
          <w:color w:val="000000"/>
          <w:sz w:val="18"/>
          <w:szCs w:val="18"/>
        </w:rPr>
      </w:pPr>
      <w:r w:rsidRPr="003C7187">
        <w:rPr>
          <w:rFonts w:ascii="楷体_GB2312" w:eastAsia="楷体_GB2312" w:hAnsi="楷体" w:hint="eastAsia"/>
          <w:color w:val="000000"/>
          <w:sz w:val="18"/>
          <w:szCs w:val="18"/>
        </w:rPr>
        <w:t>本人以勤勉尽责的职业态度，独立、客观地出具本报告。本报告依据公开的信息来源，力求清晰、准确地反映分析师的研究观点。此外，本人薪酬的任何部分过去不曾与、现在不与、未来也将不会与本报告中的具体推荐意见或观点直接或间接相关。</w:t>
      </w:r>
    </w:p>
    <w:p w:rsidR="00F04B08" w:rsidRPr="003C7187" w:rsidRDefault="00F04B08" w:rsidP="00C04827">
      <w:pPr>
        <w:jc w:val="left"/>
        <w:rPr>
          <w:rFonts w:ascii="楷体_GB2312" w:eastAsia="楷体_GB2312" w:hAnsi="楷体"/>
          <w:b/>
          <w:bCs/>
          <w:color w:val="FF6600"/>
          <w:szCs w:val="21"/>
        </w:rPr>
      </w:pPr>
    </w:p>
    <w:p w:rsidR="00F04B08" w:rsidRPr="003C7187" w:rsidRDefault="00F04B08" w:rsidP="00C04827">
      <w:pPr>
        <w:jc w:val="left"/>
        <w:rPr>
          <w:rFonts w:ascii="楷体_GB2312" w:eastAsia="楷体_GB2312" w:hAnsi="楷体"/>
          <w:b/>
          <w:bCs/>
          <w:color w:val="003366"/>
          <w:szCs w:val="21"/>
        </w:rPr>
      </w:pPr>
      <w:r w:rsidRPr="003C7187">
        <w:rPr>
          <w:rFonts w:ascii="楷体_GB2312" w:eastAsia="楷体_GB2312" w:hAnsi="楷体" w:hint="eastAsia"/>
          <w:b/>
          <w:bCs/>
          <w:color w:val="003366"/>
          <w:szCs w:val="21"/>
        </w:rPr>
        <w:t>公司业务资格说明</w:t>
      </w:r>
    </w:p>
    <w:p w:rsidR="00F04B08" w:rsidRPr="003C7187" w:rsidRDefault="00F04B08" w:rsidP="00C04827">
      <w:pPr>
        <w:jc w:val="left"/>
        <w:rPr>
          <w:rFonts w:ascii="楷体_GB2312" w:eastAsia="楷体_GB2312" w:hAnsi="楷体"/>
          <w:color w:val="000000"/>
          <w:sz w:val="18"/>
          <w:szCs w:val="18"/>
        </w:rPr>
      </w:pPr>
      <w:r w:rsidRPr="003C7187">
        <w:rPr>
          <w:rFonts w:ascii="楷体_GB2312" w:eastAsia="楷体_GB2312" w:hAnsi="楷体" w:hint="eastAsia"/>
          <w:color w:val="000000"/>
          <w:sz w:val="18"/>
          <w:szCs w:val="18"/>
        </w:rPr>
        <w:t>本公司具备证券投资咨询业务资格，是具备协会会员资格的基金评价机构。</w:t>
      </w:r>
    </w:p>
    <w:p w:rsidR="00F04B08" w:rsidRPr="003C7187" w:rsidRDefault="00F04B08" w:rsidP="00C04827">
      <w:pPr>
        <w:jc w:val="left"/>
        <w:rPr>
          <w:rFonts w:ascii="楷体_GB2312" w:eastAsia="楷体_GB2312" w:hAnsi="楷体"/>
          <w:b/>
          <w:bCs/>
          <w:color w:val="003366"/>
          <w:szCs w:val="21"/>
        </w:rPr>
      </w:pPr>
    </w:p>
    <w:p w:rsidR="00F04B08" w:rsidRPr="003C7187" w:rsidRDefault="00F04B08" w:rsidP="00C04827">
      <w:pPr>
        <w:jc w:val="left"/>
        <w:rPr>
          <w:rFonts w:ascii="楷体_GB2312" w:eastAsia="楷体_GB2312" w:hAnsi="楷体"/>
          <w:b/>
          <w:bCs/>
          <w:color w:val="003366"/>
          <w:szCs w:val="21"/>
        </w:rPr>
      </w:pPr>
      <w:r w:rsidRPr="003C7187">
        <w:rPr>
          <w:rFonts w:ascii="楷体_GB2312" w:eastAsia="楷体_GB2312" w:hAnsi="楷体" w:hint="eastAsia"/>
          <w:b/>
          <w:bCs/>
          <w:color w:val="003366"/>
          <w:szCs w:val="21"/>
        </w:rPr>
        <w:t>重要声明</w:t>
      </w:r>
    </w:p>
    <w:p w:rsidR="00F04B08" w:rsidRPr="003C7187" w:rsidRDefault="00F04B08" w:rsidP="00C04827">
      <w:pPr>
        <w:rPr>
          <w:rFonts w:ascii="楷体_GB2312" w:eastAsia="楷体_GB2312" w:hAnsi="楷体"/>
          <w:color w:val="000000"/>
          <w:sz w:val="18"/>
          <w:szCs w:val="18"/>
        </w:rPr>
      </w:pPr>
      <w:r w:rsidRPr="003C7187">
        <w:rPr>
          <w:rFonts w:ascii="楷体_GB2312" w:eastAsia="楷体_GB2312" w:hAnsi="楷体" w:hint="eastAsia"/>
          <w:color w:val="000000"/>
          <w:sz w:val="18"/>
          <w:szCs w:val="18"/>
        </w:rPr>
        <w:t>本报告中的信息均来源于已公开的资料，我公司对这些信息的准确性</w:t>
      </w:r>
      <w:r w:rsidR="00C64889" w:rsidRPr="003C7187">
        <w:rPr>
          <w:rFonts w:ascii="楷体_GB2312" w:eastAsia="楷体_GB2312" w:hAnsi="楷体" w:hint="eastAsia"/>
          <w:color w:val="000000"/>
          <w:sz w:val="18"/>
          <w:szCs w:val="18"/>
        </w:rPr>
        <w:t>及完整性不作任何保证，不保证该信息未经任何更新，也不保证本公司做</w:t>
      </w:r>
      <w:r w:rsidRPr="003C7187">
        <w:rPr>
          <w:rFonts w:ascii="楷体_GB2312" w:eastAsia="楷体_GB2312" w:hAnsi="楷体" w:hint="eastAsia"/>
          <w:color w:val="000000"/>
          <w:sz w:val="18"/>
          <w:szCs w:val="18"/>
        </w:rPr>
        <w:t>出的任何建议不会发生任何变更。在任何情况下，报告中的信息或所表达的意见并不构成所述证券买卖的出</w:t>
      </w:r>
      <w:r w:rsidR="00D42FC0" w:rsidRPr="003C7187">
        <w:rPr>
          <w:rFonts w:ascii="楷体_GB2312" w:eastAsia="楷体_GB2312" w:hAnsi="楷体" w:hint="eastAsia"/>
          <w:color w:val="000000"/>
          <w:sz w:val="18"/>
          <w:szCs w:val="18"/>
        </w:rPr>
        <w:t>价或询价。在任何情况下，我公司不就本报告中的任何内容对任何投资做</w:t>
      </w:r>
      <w:r w:rsidRPr="003C7187">
        <w:rPr>
          <w:rFonts w:ascii="楷体_GB2312" w:eastAsia="楷体_GB2312" w:hAnsi="楷体" w:hint="eastAsia"/>
          <w:color w:val="000000"/>
          <w:sz w:val="18"/>
          <w:szCs w:val="18"/>
        </w:rPr>
        <w:t>出任何形式的担保。我公司及其关联机构可能会持有报告中提到的公司所发行的证券并进行交易，还可能为这些公司提供或争取提供投资银行或财务顾问服务。业绩表现数据仅代表过去的表现，不保证未来结果。投资收益和本金将随市场波动，当出售证券资产时可能发生损益。当前的表现可能会高于或低于那时引用的数据。</w:t>
      </w:r>
    </w:p>
    <w:p w:rsidR="00F04B08" w:rsidRPr="003C7187" w:rsidRDefault="00F04B08" w:rsidP="00C04827">
      <w:pPr>
        <w:rPr>
          <w:rFonts w:ascii="楷体_GB2312" w:eastAsia="楷体_GB2312" w:hAnsi="楷体"/>
          <w:sz w:val="18"/>
          <w:szCs w:val="18"/>
        </w:rPr>
      </w:pPr>
      <w:r w:rsidRPr="003C7187">
        <w:rPr>
          <w:rFonts w:ascii="楷体_GB2312" w:eastAsia="楷体_GB2312" w:hAnsi="楷体" w:hint="eastAsia"/>
          <w:color w:val="000000"/>
          <w:sz w:val="18"/>
          <w:szCs w:val="18"/>
        </w:rPr>
        <w:t>本报告版权归上海证券有限责任公司所有。未获得上海证券有限责任公司事先书面授权，任何人不得对本报告进行任何形式的发布、复制。如遵循原文本意地引用、刊发，需注明出处为“上海证券基金评价研究中心”。</w:t>
      </w:r>
    </w:p>
    <w:p w:rsidR="00F04B08" w:rsidRPr="003C7187" w:rsidRDefault="00F04B08" w:rsidP="00F04B08">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jc w:val="left"/>
        <w:rPr>
          <w:rFonts w:ascii="楷体_GB2312" w:eastAsia="楷体_GB2312" w:hAnsi="楷体"/>
          <w:b/>
          <w:bCs/>
          <w:color w:val="FF6600"/>
          <w:szCs w:val="21"/>
        </w:rPr>
      </w:pPr>
    </w:p>
    <w:p w:rsidR="004C0B69" w:rsidRPr="003C7187" w:rsidRDefault="004C0B69" w:rsidP="004C0B69">
      <w:pPr>
        <w:spacing w:line="400" w:lineRule="exact"/>
        <w:ind w:firstLine="211"/>
        <w:jc w:val="left"/>
        <w:rPr>
          <w:rFonts w:ascii="楷体_GB2312" w:eastAsia="楷体_GB2312" w:hAnsi="楷体"/>
          <w:b/>
          <w:bCs/>
          <w:color w:val="003366"/>
          <w:szCs w:val="21"/>
        </w:rPr>
      </w:pPr>
      <w:r w:rsidRPr="003C7187">
        <w:rPr>
          <w:rFonts w:ascii="楷体_GB2312" w:eastAsia="楷体_GB2312" w:hAnsi="楷体" w:hint="eastAsia"/>
          <w:b/>
          <w:bCs/>
          <w:color w:val="003366"/>
          <w:szCs w:val="21"/>
        </w:rPr>
        <w:t>上海证券基金评级定义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4C0B69" w:rsidRPr="003C7187" w:rsidTr="008E3596">
        <w:tc>
          <w:tcPr>
            <w:tcW w:w="4643" w:type="dxa"/>
            <w:shd w:val="clear" w:color="auto" w:fill="E0E0E0"/>
            <w:vAlign w:val="center"/>
          </w:tcPr>
          <w:p w:rsidR="004C0B69" w:rsidRPr="003C7187" w:rsidRDefault="004C0B69" w:rsidP="008E3596">
            <w:pPr>
              <w:jc w:val="center"/>
              <w:rPr>
                <w:rFonts w:ascii="楷体_GB2312" w:eastAsia="楷体_GB2312" w:hAnsi="楷体"/>
                <w:b/>
                <w:color w:val="003366"/>
                <w:szCs w:val="21"/>
              </w:rPr>
            </w:pPr>
            <w:r w:rsidRPr="003C7187">
              <w:rPr>
                <w:rFonts w:ascii="楷体_GB2312" w:eastAsia="楷体_GB2312" w:hAnsi="楷体" w:hint="eastAsia"/>
                <w:b/>
                <w:color w:val="003366"/>
                <w:szCs w:val="21"/>
              </w:rPr>
              <w:t>类别</w:t>
            </w:r>
          </w:p>
        </w:tc>
        <w:tc>
          <w:tcPr>
            <w:tcW w:w="4643" w:type="dxa"/>
            <w:shd w:val="clear" w:color="auto" w:fill="E0E0E0"/>
            <w:vAlign w:val="center"/>
          </w:tcPr>
          <w:p w:rsidR="004C0B69" w:rsidRPr="003C7187" w:rsidRDefault="004C0B69" w:rsidP="008E3596">
            <w:pPr>
              <w:jc w:val="center"/>
              <w:rPr>
                <w:rFonts w:ascii="楷体_GB2312" w:eastAsia="楷体_GB2312" w:hAnsi="楷体"/>
                <w:b/>
                <w:color w:val="003366"/>
                <w:szCs w:val="21"/>
              </w:rPr>
            </w:pPr>
            <w:r w:rsidRPr="003C7187">
              <w:rPr>
                <w:rFonts w:ascii="楷体_GB2312" w:eastAsia="楷体_GB2312" w:hAnsi="楷体" w:hint="eastAsia"/>
                <w:b/>
                <w:color w:val="003366"/>
                <w:szCs w:val="21"/>
              </w:rPr>
              <w:t>分级及定义</w:t>
            </w:r>
          </w:p>
        </w:tc>
      </w:tr>
      <w:tr w:rsidR="004C0B69" w:rsidRPr="003C7187" w:rsidTr="008E3596">
        <w:tc>
          <w:tcPr>
            <w:tcW w:w="4643" w:type="dxa"/>
            <w:vAlign w:val="center"/>
          </w:tcPr>
          <w:p w:rsidR="004C0B69" w:rsidRPr="003C7187" w:rsidRDefault="004C0B69" w:rsidP="008E3596">
            <w:pPr>
              <w:jc w:val="center"/>
              <w:rPr>
                <w:rFonts w:ascii="楷体_GB2312" w:eastAsia="楷体_GB2312" w:hAnsi="楷体"/>
                <w:b/>
                <w:szCs w:val="21"/>
              </w:rPr>
            </w:pPr>
            <w:r w:rsidRPr="003C7187">
              <w:rPr>
                <w:rFonts w:ascii="楷体_GB2312" w:eastAsia="楷体_GB2312" w:hAnsi="楷体" w:hint="eastAsia"/>
                <w:b/>
                <w:szCs w:val="21"/>
              </w:rPr>
              <w:t>综合评级</w:t>
            </w:r>
          </w:p>
        </w:tc>
        <w:tc>
          <w:tcPr>
            <w:tcW w:w="4643" w:type="dxa"/>
            <w:vAlign w:val="center"/>
          </w:tcPr>
          <w:p w:rsidR="004C0B69" w:rsidRPr="003C7187" w:rsidRDefault="004C0B69" w:rsidP="008E3596">
            <w:pPr>
              <w:jc w:val="center"/>
              <w:rPr>
                <w:rFonts w:ascii="楷体_GB2312" w:eastAsia="楷体_GB2312" w:hAnsi="楷体"/>
                <w:color w:val="FF0000"/>
                <w:szCs w:val="21"/>
              </w:rPr>
            </w:pPr>
            <w:r w:rsidRPr="003C7187">
              <w:rPr>
                <w:rFonts w:ascii="楷体_GB2312" w:eastAsia="楷体_GB2312" w:hAnsi="楷体" w:hint="eastAsia"/>
                <w:color w:val="FF0000"/>
                <w:szCs w:val="21"/>
              </w:rPr>
              <w:t>★</w:t>
            </w:r>
            <w:r w:rsidRPr="003C7187">
              <w:rPr>
                <w:rFonts w:ascii="楷体_GB2312" w:eastAsia="楷体_GB2312" w:hAnsi="楷体" w:hint="eastAsia"/>
                <w:szCs w:val="21"/>
              </w:rPr>
              <w:t>最低</w:t>
            </w:r>
            <w:r w:rsidRPr="003C7187">
              <w:rPr>
                <w:rFonts w:ascii="楷体_GB2312" w:eastAsia="楷体_GB2312" w:hAnsi="楷体" w:hint="eastAsia"/>
                <w:color w:val="FF0000"/>
                <w:szCs w:val="21"/>
              </w:rPr>
              <w:t xml:space="preserve">    ★★★★★</w:t>
            </w:r>
            <w:r w:rsidRPr="003C7187">
              <w:rPr>
                <w:rFonts w:ascii="楷体_GB2312" w:eastAsia="楷体_GB2312" w:hAnsi="楷体" w:hint="eastAsia"/>
                <w:szCs w:val="21"/>
              </w:rPr>
              <w:t>最高</w:t>
            </w:r>
          </w:p>
        </w:tc>
      </w:tr>
      <w:tr w:rsidR="004C0B69" w:rsidRPr="003C7187" w:rsidTr="008E3596">
        <w:tc>
          <w:tcPr>
            <w:tcW w:w="4643" w:type="dxa"/>
            <w:vAlign w:val="center"/>
          </w:tcPr>
          <w:p w:rsidR="004C0B69" w:rsidRPr="003C7187" w:rsidRDefault="004C0B69" w:rsidP="008E3596">
            <w:pPr>
              <w:jc w:val="center"/>
              <w:rPr>
                <w:rFonts w:ascii="楷体_GB2312" w:eastAsia="楷体_GB2312" w:hAnsi="楷体"/>
                <w:b/>
                <w:szCs w:val="21"/>
              </w:rPr>
            </w:pPr>
            <w:r w:rsidRPr="003C7187">
              <w:rPr>
                <w:rFonts w:ascii="楷体_GB2312" w:eastAsia="楷体_GB2312" w:hAnsi="楷体" w:hint="eastAsia"/>
                <w:b/>
                <w:szCs w:val="21"/>
              </w:rPr>
              <w:t>选证评级</w:t>
            </w:r>
          </w:p>
        </w:tc>
        <w:tc>
          <w:tcPr>
            <w:tcW w:w="4643" w:type="dxa"/>
            <w:vAlign w:val="center"/>
          </w:tcPr>
          <w:p w:rsidR="004C0B69" w:rsidRPr="003C7187" w:rsidRDefault="004C0B69" w:rsidP="008E3596">
            <w:pPr>
              <w:jc w:val="center"/>
              <w:rPr>
                <w:rFonts w:ascii="楷体_GB2312" w:eastAsia="楷体_GB2312" w:hAnsi="楷体"/>
                <w:szCs w:val="21"/>
              </w:rPr>
            </w:pPr>
            <w:r w:rsidRPr="003C7187">
              <w:rPr>
                <w:rFonts w:ascii="楷体_GB2312" w:eastAsia="楷体_GB2312" w:hAnsi="楷体" w:hint="eastAsia"/>
                <w:color w:val="FF0000"/>
                <w:szCs w:val="21"/>
              </w:rPr>
              <w:t>★</w:t>
            </w:r>
            <w:r w:rsidRPr="003C7187">
              <w:rPr>
                <w:rFonts w:ascii="楷体_GB2312" w:eastAsia="楷体_GB2312" w:hAnsi="楷体" w:hint="eastAsia"/>
                <w:szCs w:val="21"/>
              </w:rPr>
              <w:t xml:space="preserve">最低    </w:t>
            </w:r>
            <w:r w:rsidRPr="003C7187">
              <w:rPr>
                <w:rFonts w:ascii="楷体_GB2312" w:eastAsia="楷体_GB2312" w:hAnsi="楷体" w:hint="eastAsia"/>
                <w:color w:val="FF0000"/>
                <w:szCs w:val="21"/>
              </w:rPr>
              <w:t>★★★★★</w:t>
            </w:r>
            <w:r w:rsidRPr="003C7187">
              <w:rPr>
                <w:rFonts w:ascii="楷体_GB2312" w:eastAsia="楷体_GB2312" w:hAnsi="楷体" w:hint="eastAsia"/>
                <w:szCs w:val="21"/>
              </w:rPr>
              <w:t>最高</w:t>
            </w:r>
          </w:p>
        </w:tc>
      </w:tr>
      <w:tr w:rsidR="004C0B69" w:rsidRPr="003C7187" w:rsidTr="008E3596">
        <w:tc>
          <w:tcPr>
            <w:tcW w:w="4643" w:type="dxa"/>
            <w:vAlign w:val="center"/>
          </w:tcPr>
          <w:p w:rsidR="004C0B69" w:rsidRPr="003C7187" w:rsidRDefault="004C0B69" w:rsidP="008E3596">
            <w:pPr>
              <w:jc w:val="center"/>
              <w:rPr>
                <w:rFonts w:ascii="楷体_GB2312" w:eastAsia="楷体_GB2312" w:hAnsi="楷体"/>
                <w:b/>
                <w:szCs w:val="21"/>
              </w:rPr>
            </w:pPr>
            <w:r w:rsidRPr="003C7187">
              <w:rPr>
                <w:rFonts w:ascii="楷体_GB2312" w:eastAsia="楷体_GB2312" w:hAnsi="楷体" w:hint="eastAsia"/>
                <w:b/>
                <w:szCs w:val="21"/>
              </w:rPr>
              <w:t>择时评级</w:t>
            </w:r>
          </w:p>
        </w:tc>
        <w:tc>
          <w:tcPr>
            <w:tcW w:w="4643" w:type="dxa"/>
            <w:vAlign w:val="center"/>
          </w:tcPr>
          <w:p w:rsidR="004C0B69" w:rsidRPr="003C7187" w:rsidRDefault="004C0B69" w:rsidP="008E3596">
            <w:pPr>
              <w:jc w:val="center"/>
              <w:rPr>
                <w:rFonts w:ascii="楷体_GB2312" w:eastAsia="楷体_GB2312" w:hAnsi="楷体"/>
                <w:szCs w:val="21"/>
              </w:rPr>
            </w:pPr>
            <w:r w:rsidRPr="003C7187">
              <w:rPr>
                <w:rFonts w:ascii="楷体_GB2312" w:eastAsia="楷体_GB2312" w:hAnsi="楷体" w:hint="eastAsia"/>
                <w:color w:val="FF0000"/>
                <w:szCs w:val="21"/>
              </w:rPr>
              <w:t>★</w:t>
            </w:r>
            <w:r w:rsidRPr="003C7187">
              <w:rPr>
                <w:rFonts w:ascii="楷体_GB2312" w:eastAsia="楷体_GB2312" w:hAnsi="楷体" w:hint="eastAsia"/>
                <w:szCs w:val="21"/>
              </w:rPr>
              <w:t xml:space="preserve">最低    </w:t>
            </w:r>
            <w:r w:rsidRPr="003C7187">
              <w:rPr>
                <w:rFonts w:ascii="楷体_GB2312" w:eastAsia="楷体_GB2312" w:hAnsi="楷体" w:hint="eastAsia"/>
                <w:color w:val="FF0000"/>
                <w:szCs w:val="21"/>
              </w:rPr>
              <w:t>★★★★★</w:t>
            </w:r>
            <w:r w:rsidRPr="003C7187">
              <w:rPr>
                <w:rFonts w:ascii="楷体_GB2312" w:eastAsia="楷体_GB2312" w:hAnsi="楷体" w:hint="eastAsia"/>
                <w:szCs w:val="21"/>
              </w:rPr>
              <w:t>最高</w:t>
            </w:r>
          </w:p>
        </w:tc>
      </w:tr>
      <w:tr w:rsidR="004C0B69" w:rsidRPr="003C7187" w:rsidTr="008E3596">
        <w:tc>
          <w:tcPr>
            <w:tcW w:w="4643" w:type="dxa"/>
            <w:vAlign w:val="center"/>
          </w:tcPr>
          <w:p w:rsidR="004C0B69" w:rsidRPr="003C7187" w:rsidRDefault="004C0B69" w:rsidP="008E3596">
            <w:pPr>
              <w:jc w:val="center"/>
              <w:rPr>
                <w:rFonts w:ascii="楷体_GB2312" w:eastAsia="楷体_GB2312" w:hAnsi="楷体"/>
                <w:b/>
                <w:szCs w:val="21"/>
              </w:rPr>
            </w:pPr>
            <w:r w:rsidRPr="003C7187">
              <w:rPr>
                <w:rFonts w:ascii="楷体_GB2312" w:eastAsia="楷体_GB2312" w:hAnsi="楷体" w:hint="eastAsia"/>
                <w:b/>
                <w:szCs w:val="21"/>
              </w:rPr>
              <w:t>夏普比率</w:t>
            </w:r>
          </w:p>
        </w:tc>
        <w:tc>
          <w:tcPr>
            <w:tcW w:w="4643" w:type="dxa"/>
            <w:vAlign w:val="center"/>
          </w:tcPr>
          <w:p w:rsidR="004C0B69" w:rsidRPr="003C7187" w:rsidRDefault="004C0B69" w:rsidP="008E3596">
            <w:pPr>
              <w:jc w:val="center"/>
              <w:rPr>
                <w:rFonts w:ascii="楷体_GB2312" w:eastAsia="楷体_GB2312" w:hAnsi="楷体"/>
                <w:color w:val="FF0000"/>
                <w:szCs w:val="21"/>
              </w:rPr>
            </w:pPr>
            <w:r w:rsidRPr="003C7187">
              <w:rPr>
                <w:rFonts w:ascii="楷体_GB2312" w:eastAsia="楷体_GB2312" w:hAnsi="楷体" w:hint="eastAsia"/>
                <w:color w:val="FF0000"/>
                <w:szCs w:val="21"/>
              </w:rPr>
              <w:t>★</w:t>
            </w:r>
            <w:r w:rsidRPr="003C7187">
              <w:rPr>
                <w:rFonts w:ascii="楷体_GB2312" w:eastAsia="楷体_GB2312" w:hAnsi="楷体" w:hint="eastAsia"/>
                <w:szCs w:val="21"/>
              </w:rPr>
              <w:t xml:space="preserve">最低    </w:t>
            </w:r>
            <w:r w:rsidRPr="003C7187">
              <w:rPr>
                <w:rFonts w:ascii="楷体_GB2312" w:eastAsia="楷体_GB2312" w:hAnsi="楷体" w:hint="eastAsia"/>
                <w:color w:val="FF0000"/>
                <w:szCs w:val="21"/>
              </w:rPr>
              <w:t>★★★★★</w:t>
            </w:r>
            <w:r w:rsidRPr="003C7187">
              <w:rPr>
                <w:rFonts w:ascii="楷体_GB2312" w:eastAsia="楷体_GB2312" w:hAnsi="楷体" w:hint="eastAsia"/>
                <w:szCs w:val="21"/>
              </w:rPr>
              <w:t>最高</w:t>
            </w:r>
          </w:p>
        </w:tc>
      </w:tr>
    </w:tbl>
    <w:p w:rsidR="004C0B69" w:rsidRPr="003C7187" w:rsidRDefault="004C0B69" w:rsidP="004C0B69">
      <w:pPr>
        <w:rPr>
          <w:rFonts w:ascii="楷体_GB2312" w:eastAsia="楷体_GB2312" w:hAnsi="楷体"/>
        </w:rPr>
      </w:pPr>
    </w:p>
    <w:p w:rsidR="004C0B69" w:rsidRPr="003C7187" w:rsidRDefault="004C0B69" w:rsidP="00363653">
      <w:pPr>
        <w:autoSpaceDE w:val="0"/>
        <w:autoSpaceDN w:val="0"/>
        <w:adjustRightInd w:val="0"/>
        <w:spacing w:beforeLines="30" w:before="93" w:afterLines="30" w:after="93" w:line="300" w:lineRule="exact"/>
        <w:jc w:val="left"/>
        <w:rPr>
          <w:rFonts w:ascii="楷体_GB2312" w:eastAsia="楷体_GB2312" w:hAnsi="楷体"/>
          <w:sz w:val="18"/>
          <w:szCs w:val="18"/>
        </w:rPr>
      </w:pPr>
    </w:p>
    <w:p w:rsidR="00CD672A" w:rsidRPr="003C7187" w:rsidRDefault="00CD672A" w:rsidP="00363653">
      <w:pPr>
        <w:spacing w:beforeLines="50" w:before="156"/>
        <w:rPr>
          <w:rFonts w:ascii="楷体_GB2312" w:eastAsia="楷体_GB2312" w:hAnsi="楷体"/>
          <w:sz w:val="18"/>
          <w:szCs w:val="18"/>
        </w:rPr>
      </w:pPr>
      <w:bookmarkStart w:id="3" w:name="_PictureBullets"/>
      <w:bookmarkEnd w:id="3"/>
    </w:p>
    <w:sectPr w:rsidR="00CD672A" w:rsidRPr="003C7187" w:rsidSect="00970BC2">
      <w:headerReference w:type="default" r:id="rId2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4E1" w:rsidRDefault="00ED44E1">
      <w:pPr>
        <w:spacing w:before="24" w:after="24"/>
      </w:pPr>
      <w:r>
        <w:separator/>
      </w:r>
    </w:p>
    <w:p w:rsidR="00ED44E1" w:rsidRDefault="00ED44E1">
      <w:pPr>
        <w:spacing w:before="24" w:after="24"/>
      </w:pPr>
    </w:p>
    <w:p w:rsidR="00ED44E1" w:rsidRDefault="00ED44E1"/>
  </w:endnote>
  <w:endnote w:type="continuationSeparator" w:id="0">
    <w:p w:rsidR="00ED44E1" w:rsidRDefault="00ED44E1">
      <w:pPr>
        <w:spacing w:before="24" w:after="24"/>
      </w:pPr>
      <w:r>
        <w:continuationSeparator/>
      </w:r>
    </w:p>
    <w:p w:rsidR="00ED44E1" w:rsidRDefault="00ED44E1">
      <w:pPr>
        <w:spacing w:before="24" w:after="24"/>
      </w:pPr>
    </w:p>
    <w:p w:rsidR="00ED44E1" w:rsidRDefault="00ED4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汉仪楷体简">
    <w:altName w:val="宋体"/>
    <w:charset w:val="86"/>
    <w:family w:val="modern"/>
    <w:pitch w:val="fixed"/>
    <w:sig w:usb0="00000001" w:usb1="080E0800" w:usb2="00000012" w:usb3="00000000" w:csb0="00040000" w:csb1="00000000"/>
  </w:font>
  <w:font w:name="Calibri">
    <w:panose1 w:val="020F0502020204030204"/>
    <w:charset w:val="00"/>
    <w:family w:val="swiss"/>
    <w:pitch w:val="variable"/>
    <w:sig w:usb0="E00002FF" w:usb1="4000ACFF" w:usb2="00000001" w:usb3="00000000" w:csb0="0000019F" w:csb1="00000000"/>
  </w:font>
  <w:font w:name="汉仪中等线简">
    <w:altName w:val="宋体"/>
    <w:charset w:val="86"/>
    <w:family w:val="modern"/>
    <w:pitch w:val="fixed"/>
    <w:sig w:usb0="00000001" w:usb1="080E0800" w:usb2="00000012"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ˎ̥">
    <w:altName w:val="Times New Roman"/>
    <w:panose1 w:val="00000000000000000000"/>
    <w:charset w:val="00"/>
    <w:family w:val="roman"/>
    <w:notTrueType/>
    <w:pitch w:val="default"/>
  </w:font>
  <w:font w:name="微软雅黑">
    <w:panose1 w:val="020B0503020204020204"/>
    <w:charset w:val="86"/>
    <w:family w:val="swiss"/>
    <w:pitch w:val="variable"/>
    <w:sig w:usb0="80000287" w:usb1="28CF3C52" w:usb2="00000016" w:usb3="00000000" w:csb0="0004001F" w:csb1="00000000"/>
  </w:font>
  <w:font w:name="宋体-18030">
    <w:altName w:val="宋体"/>
    <w:charset w:val="86"/>
    <w:family w:val="modern"/>
    <w:pitch w:val="fixed"/>
    <w:sig w:usb0="800022A7" w:usb1="880F3C78"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Default="00363653" w:rsidP="008F1970">
    <w:pPr>
      <w:pStyle w:val="a"/>
      <w:framePr w:wrap="around" w:vAnchor="text" w:hAnchor="margin" w:xAlign="right" w:y="1"/>
      <w:spacing w:after="120"/>
    </w:pPr>
    <w:r>
      <w:fldChar w:fldCharType="begin"/>
    </w:r>
    <w:r w:rsidR="00CC56BC">
      <w:instrText xml:space="preserve">PAGE  </w:instrText>
    </w:r>
    <w:r>
      <w:fldChar w:fldCharType="separate"/>
    </w:r>
    <w:r w:rsidR="00CC56BC">
      <w:rPr>
        <w:noProof/>
      </w:rPr>
      <w:t>7</w:t>
    </w:r>
    <w:r>
      <w:fldChar w:fldCharType="end"/>
    </w:r>
  </w:p>
  <w:p w:rsidR="00CC56BC" w:rsidRDefault="00CC56BC" w:rsidP="008F1970">
    <w:pPr>
      <w:pStyle w:val="a"/>
      <w:spacing w:after="1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Default="00363653" w:rsidP="008F1970">
    <w:pPr>
      <w:pStyle w:val="a"/>
      <w:framePr w:wrap="around" w:vAnchor="text" w:hAnchor="margin" w:xAlign="right" w:y="1"/>
      <w:spacing w:before="24" w:after="120"/>
    </w:pPr>
    <w:r>
      <w:fldChar w:fldCharType="begin"/>
    </w:r>
    <w:r w:rsidR="00CC56BC">
      <w:instrText xml:space="preserve">PAGE  </w:instrText>
    </w:r>
    <w:r>
      <w:fldChar w:fldCharType="separate"/>
    </w:r>
    <w:r w:rsidR="00EB38D1">
      <w:rPr>
        <w:noProof/>
      </w:rPr>
      <w:t>1</w:t>
    </w:r>
    <w:r>
      <w:fldChar w:fldCharType="end"/>
    </w:r>
  </w:p>
  <w:p w:rsidR="00CC56BC" w:rsidRDefault="00210B5E" w:rsidP="00FB516E">
    <w:pPr>
      <w:pStyle w:val="a"/>
      <w:numPr>
        <w:ilvl w:val="0"/>
        <w:numId w:val="0"/>
      </w:numPr>
      <w:spacing w:before="24" w:after="120"/>
      <w:ind w:right="360"/>
    </w:pPr>
    <w:r>
      <w:rPr>
        <w:noProof/>
      </w:rPr>
      <mc:AlternateContent>
        <mc:Choice Requires="wps">
          <w:drawing>
            <wp:anchor distT="0" distB="0" distL="114300" distR="114300" simplePos="0" relativeHeight="251658240" behindDoc="0" locked="0" layoutInCell="1" allowOverlap="1">
              <wp:simplePos x="0" y="0"/>
              <wp:positionH relativeFrom="page">
                <wp:posOffset>514350</wp:posOffset>
              </wp:positionH>
              <wp:positionV relativeFrom="page">
                <wp:posOffset>10048875</wp:posOffset>
              </wp:positionV>
              <wp:extent cx="6520815" cy="400050"/>
              <wp:effectExtent l="0" t="0" r="13335"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BC" w:rsidRPr="006D7E73" w:rsidRDefault="00CC56BC" w:rsidP="006D7E73">
                          <w:pPr>
                            <w:pBdr>
                              <w:top w:val="single" w:sz="4" w:space="2" w:color="auto"/>
                            </w:pBdr>
                            <w:topLinePunct/>
                            <w:spacing w:before="40" w:after="40" w:line="480" w:lineRule="auto"/>
                            <w:rPr>
                              <w:rFonts w:ascii="楷体_GB2312" w:eastAsia="楷体_GB2312"/>
                              <w:color w:val="003366"/>
                              <w:sz w:val="21"/>
                              <w:szCs w:val="21"/>
                            </w:rPr>
                          </w:pPr>
                          <w:r w:rsidRPr="006D7E73">
                            <w:rPr>
                              <w:rFonts w:ascii="楷体_GB2312" w:eastAsia="楷体_GB2312" w:hint="eastAsia"/>
                              <w:b/>
                              <w:color w:val="003366"/>
                              <w:sz w:val="21"/>
                              <w:szCs w:val="21"/>
                            </w:rPr>
                            <w:t>重要提示：请务必阅读尾页分析师承诺和免责条款</w:t>
                          </w:r>
                          <w:r w:rsidRPr="006D7E73">
                            <w:rPr>
                              <w:rFonts w:ascii="楷体_GB2312" w:eastAsia="楷体_GB2312" w:hint="eastAsia"/>
                              <w:color w:val="003366"/>
                              <w:sz w:val="21"/>
                              <w:szCs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8" type="#_x0000_t202" style="position:absolute;left:0;text-align:left;margin-left:40.5pt;margin-top:791.25pt;width:513.45pt;height: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7PrwIAAKo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" filled="f" stroked="f">
              <v:textbox inset="0,0,0,0">
                <w:txbxContent>
                  <w:p w:rsidR="00CC56BC" w:rsidRPr="006D7E73" w:rsidRDefault="00CC56BC" w:rsidP="006D7E73">
                    <w:pPr>
                      <w:pBdr>
                        <w:top w:val="single" w:sz="4" w:space="2" w:color="auto"/>
                      </w:pBdr>
                      <w:topLinePunct/>
                      <w:spacing w:before="40" w:after="40" w:line="480" w:lineRule="auto"/>
                      <w:rPr>
                        <w:rFonts w:ascii="楷体_GB2312" w:eastAsia="楷体_GB2312"/>
                        <w:color w:val="003366"/>
                        <w:sz w:val="21"/>
                        <w:szCs w:val="21"/>
                      </w:rPr>
                    </w:pPr>
                    <w:r w:rsidRPr="006D7E73">
                      <w:rPr>
                        <w:rFonts w:ascii="楷体_GB2312" w:eastAsia="楷体_GB2312" w:hint="eastAsia"/>
                        <w:b/>
                        <w:color w:val="003366"/>
                        <w:sz w:val="21"/>
                        <w:szCs w:val="21"/>
                      </w:rPr>
                      <w:t>重要提示：请务必阅读尾页分析师承诺和免责条款</w:t>
                    </w:r>
                    <w:r w:rsidRPr="006D7E73">
                      <w:rPr>
                        <w:rFonts w:ascii="楷体_GB2312" w:eastAsia="楷体_GB2312" w:hint="eastAsia"/>
                        <w:color w:val="003366"/>
                        <w:sz w:val="21"/>
                        <w:szCs w:val="21"/>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Default="00CC56BC" w:rsidP="00867DDA">
    <w:pPr>
      <w:pStyle w:val="a"/>
      <w:framePr w:wrap="around" w:vAnchor="text" w:hAnchor="margin" w:xAlign="right" w:y="1"/>
      <w:spacing w:after="120"/>
    </w:pPr>
    <w:r>
      <w:rPr>
        <w:noProof/>
      </w:rPr>
      <w:t>1</w:t>
    </w:r>
  </w:p>
  <w:p w:rsidR="00CC56BC" w:rsidRDefault="00CC56BC" w:rsidP="00867DDA">
    <w:pPr>
      <w:pStyle w:val="a"/>
      <w:spacing w:after="12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Default="00363653" w:rsidP="006D7E73">
    <w:pPr>
      <w:pStyle w:val="a"/>
      <w:framePr w:wrap="around" w:vAnchor="text" w:hAnchor="margin" w:xAlign="right" w:y="1"/>
      <w:spacing w:before="24" w:after="120"/>
    </w:pPr>
    <w:r>
      <w:fldChar w:fldCharType="begin"/>
    </w:r>
    <w:r w:rsidR="00CC56BC">
      <w:instrText xml:space="preserve">PAGE  </w:instrText>
    </w:r>
    <w:r>
      <w:fldChar w:fldCharType="separate"/>
    </w:r>
    <w:r w:rsidR="00EB38D1">
      <w:rPr>
        <w:noProof/>
      </w:rPr>
      <w:t>2</w:t>
    </w:r>
    <w:r>
      <w:fldChar w:fldCharType="end"/>
    </w:r>
  </w:p>
  <w:p w:rsidR="00CC56BC" w:rsidRDefault="00210B5E" w:rsidP="006D7E73">
    <w:pPr>
      <w:pStyle w:val="a"/>
      <w:numPr>
        <w:ilvl w:val="0"/>
        <w:numId w:val="0"/>
      </w:numPr>
      <w:tabs>
        <w:tab w:val="right" w:pos="6159"/>
      </w:tabs>
      <w:spacing w:before="24" w:after="120"/>
      <w:ind w:right="360"/>
    </w:pPr>
    <w:r>
      <w:rPr>
        <w:noProof/>
      </w:rPr>
      <mc:AlternateContent>
        <mc:Choice Requires="wps">
          <w:drawing>
            <wp:anchor distT="0" distB="0" distL="114300" distR="114300" simplePos="0" relativeHeight="251659264" behindDoc="0" locked="0" layoutInCell="1" allowOverlap="1">
              <wp:simplePos x="0" y="0"/>
              <wp:positionH relativeFrom="page">
                <wp:posOffset>504825</wp:posOffset>
              </wp:positionH>
              <wp:positionV relativeFrom="page">
                <wp:posOffset>10044430</wp:posOffset>
              </wp:positionV>
              <wp:extent cx="6520815" cy="228600"/>
              <wp:effectExtent l="0" t="0" r="133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BC" w:rsidRPr="006D7E73" w:rsidRDefault="00CC56BC" w:rsidP="006D7E73">
                          <w:pPr>
                            <w:pBdr>
                              <w:top w:val="single" w:sz="4" w:space="0" w:color="auto"/>
                            </w:pBdr>
                            <w:topLinePunct/>
                            <w:spacing w:before="40" w:after="40" w:line="480" w:lineRule="auto"/>
                            <w:rPr>
                              <w:rFonts w:ascii="楷体_GB2312" w:eastAsia="楷体_GB2312"/>
                              <w:color w:val="003366"/>
                              <w:sz w:val="21"/>
                              <w:szCs w:val="21"/>
                            </w:rPr>
                          </w:pPr>
                          <w:r w:rsidRPr="006D7E73">
                            <w:rPr>
                              <w:rFonts w:ascii="楷体_GB2312" w:eastAsia="楷体_GB2312" w:hint="eastAsia"/>
                              <w:b/>
                              <w:color w:val="003366"/>
                              <w:sz w:val="21"/>
                              <w:szCs w:val="21"/>
                            </w:rPr>
                            <w:t>重要提示：请务必阅读尾页分析师承诺和重要声明</w:t>
                          </w:r>
                          <w:r w:rsidRPr="006D7E73">
                            <w:rPr>
                              <w:rFonts w:ascii="楷体_GB2312" w:eastAsia="楷体_GB2312" w:hint="eastAsia"/>
                              <w:color w:val="003366"/>
                              <w:sz w:val="21"/>
                              <w:szCs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39.75pt;margin-top:790.9pt;width:513.4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3Dsg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" filled="f" stroked="f">
              <v:textbox inset="0,0,0,0">
                <w:txbxContent>
                  <w:p w:rsidR="00CC56BC" w:rsidRPr="006D7E73" w:rsidRDefault="00CC56BC" w:rsidP="006D7E73">
                    <w:pPr>
                      <w:pBdr>
                        <w:top w:val="single" w:sz="4" w:space="0" w:color="auto"/>
                      </w:pBdr>
                      <w:topLinePunct/>
                      <w:spacing w:before="40" w:after="40" w:line="480" w:lineRule="auto"/>
                      <w:rPr>
                        <w:rFonts w:ascii="楷体_GB2312" w:eastAsia="楷体_GB2312"/>
                        <w:color w:val="003366"/>
                        <w:sz w:val="21"/>
                        <w:szCs w:val="21"/>
                      </w:rPr>
                    </w:pPr>
                    <w:r w:rsidRPr="006D7E73">
                      <w:rPr>
                        <w:rFonts w:ascii="楷体_GB2312" w:eastAsia="楷体_GB2312" w:hint="eastAsia"/>
                        <w:b/>
                        <w:color w:val="003366"/>
                        <w:sz w:val="21"/>
                        <w:szCs w:val="21"/>
                      </w:rPr>
                      <w:t>重要提示：请务必阅读尾页分析师承诺和重要声明</w:t>
                    </w:r>
                    <w:r w:rsidRPr="006D7E73">
                      <w:rPr>
                        <w:rFonts w:ascii="楷体_GB2312" w:eastAsia="楷体_GB2312" w:hint="eastAsia"/>
                        <w:color w:val="003366"/>
                        <w:sz w:val="21"/>
                        <w:szCs w:val="21"/>
                      </w:rPr>
                      <w:t>。</w:t>
                    </w:r>
                  </w:p>
                </w:txbxContent>
              </v:textbox>
              <w10:wrap anchorx="page" anchory="page"/>
            </v:shape>
          </w:pict>
        </mc:Fallback>
      </mc:AlternateContent>
    </w:r>
    <w:r w:rsidR="00CC56B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4E1" w:rsidRDefault="00ED44E1">
      <w:pPr>
        <w:spacing w:before="24" w:after="24"/>
      </w:pPr>
      <w:r>
        <w:separator/>
      </w:r>
    </w:p>
    <w:p w:rsidR="00ED44E1" w:rsidRDefault="00ED44E1">
      <w:pPr>
        <w:spacing w:before="24" w:after="24"/>
      </w:pPr>
    </w:p>
    <w:p w:rsidR="00ED44E1" w:rsidRDefault="00ED44E1"/>
  </w:footnote>
  <w:footnote w:type="continuationSeparator" w:id="0">
    <w:p w:rsidR="00ED44E1" w:rsidRDefault="00ED44E1">
      <w:pPr>
        <w:spacing w:before="24" w:after="24"/>
      </w:pPr>
      <w:r>
        <w:continuationSeparator/>
      </w:r>
    </w:p>
    <w:p w:rsidR="00ED44E1" w:rsidRDefault="00ED44E1">
      <w:pPr>
        <w:spacing w:before="24" w:after="24"/>
      </w:pPr>
    </w:p>
    <w:p w:rsidR="00ED44E1" w:rsidRDefault="00ED44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Pr="0010121A" w:rsidRDefault="00CC56BC">
    <w:pPr>
      <w:pStyle w:val="a5"/>
      <w:spacing w:before="24" w:after="24"/>
      <w:rPr>
        <w:rFonts w:ascii="楷体_GB2312" w:eastAsia="楷体_GB2312"/>
        <w:b/>
        <w:color w:val="333399"/>
        <w:sz w:val="21"/>
        <w:szCs w:val="21"/>
      </w:rPr>
    </w:pPr>
    <w:r>
      <w:rPr>
        <w:rFonts w:ascii="楷体_GB2312" w:eastAsia="楷体_GB2312" w:hint="eastAsia"/>
        <w:b/>
        <w:color w:val="333399"/>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Pr="0010121A" w:rsidRDefault="00210B5E" w:rsidP="00BE6264">
    <w:pPr>
      <w:pStyle w:val="a5"/>
      <w:spacing w:before="24" w:after="24"/>
      <w:jc w:val="right"/>
      <w:rPr>
        <w:rFonts w:ascii="楷体_GB2312" w:eastAsia="楷体_GB2312"/>
        <w:b/>
        <w:color w:val="333399"/>
        <w:sz w:val="21"/>
        <w:szCs w:val="21"/>
      </w:rPr>
    </w:pPr>
    <w:r>
      <w:rPr>
        <w:noProof/>
      </w:rPr>
      <mc:AlternateContent>
        <mc:Choice Requires="wps">
          <w:drawing>
            <wp:anchor distT="4294967294" distB="4294967294" distL="114300" distR="114300" simplePos="0" relativeHeight="251661312" behindDoc="0" locked="0" layoutInCell="1" allowOverlap="1">
              <wp:simplePos x="0" y="0"/>
              <wp:positionH relativeFrom="page">
                <wp:posOffset>536575</wp:posOffset>
              </wp:positionH>
              <wp:positionV relativeFrom="paragraph">
                <wp:posOffset>422910</wp:posOffset>
              </wp:positionV>
              <wp:extent cx="6493510" cy="10795"/>
              <wp:effectExtent l="0" t="0" r="21590" b="27305"/>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3510" cy="10795"/>
                      </a:xfrm>
                      <a:prstGeom prst="line">
                        <a:avLst/>
                      </a:prstGeom>
                      <a:noFill/>
                      <a:ln w="19050">
                        <a:solidFill>
                          <a:srgbClr val="CC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D47E" id="直接连接符 9" o:spid="_x0000_s1026" style="position:absolute;left:0;text-align:left;z-index:2516613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42.25pt,33.3pt" to="553.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" strokecolor="#c30" strokeweight="1.5pt">
              <w10:wrap anchorx="page"/>
            </v:line>
          </w:pict>
        </mc:Fallback>
      </mc:AlternateContent>
    </w:r>
    <w:r w:rsidR="00CC56BC">
      <w:rPr>
        <w:noProof/>
      </w:rPr>
      <w:drawing>
        <wp:anchor distT="0" distB="0" distL="114300" distR="114300" simplePos="0" relativeHeight="251660288" behindDoc="0" locked="0" layoutInCell="1" allowOverlap="1">
          <wp:simplePos x="0" y="0"/>
          <wp:positionH relativeFrom="column">
            <wp:posOffset>-1975485</wp:posOffset>
          </wp:positionH>
          <wp:positionV relativeFrom="paragraph">
            <wp:posOffset>-133350</wp:posOffset>
          </wp:positionV>
          <wp:extent cx="1590675" cy="657225"/>
          <wp:effectExtent l="0" t="0" r="0" b="0"/>
          <wp:wrapNone/>
          <wp:docPr id="23" name="图片 61"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说明: 1"/>
                  <pic:cNvPicPr>
                    <a:picLocks noChangeAspect="1" noChangeArrowheads="1"/>
                  </pic:cNvPicPr>
                </pic:nvPicPr>
                <pic:blipFill>
                  <a:blip r:embed="rId1">
                    <a:clrChange>
                      <a:clrFrom>
                        <a:srgbClr val="D2D2FF"/>
                      </a:clrFrom>
                      <a:clrTo>
                        <a:srgbClr val="D2D2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657225"/>
                  </a:xfrm>
                  <a:prstGeom prst="rect">
                    <a:avLst/>
                  </a:prstGeom>
                  <a:noFill/>
                  <a:ln>
                    <a:noFill/>
                  </a:ln>
                </pic:spPr>
              </pic:pic>
            </a:graphicData>
          </a:graphic>
        </wp:anchor>
      </w:drawing>
    </w:r>
    <w:r w:rsidR="00CC56BC">
      <w:rPr>
        <w:rFonts w:ascii="楷体_GB2312" w:eastAsia="楷体_GB2312" w:hint="eastAsia"/>
        <w:b/>
        <w:color w:val="003366"/>
        <w:sz w:val="21"/>
        <w:szCs w:val="21"/>
      </w:rPr>
      <w:t>基金产品发展月报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6BC" w:rsidRPr="00935FC9" w:rsidRDefault="00210B5E" w:rsidP="00935FC9">
    <w:pPr>
      <w:pStyle w:val="a5"/>
      <w:spacing w:before="24" w:after="24"/>
      <w:jc w:val="right"/>
      <w:rPr>
        <w:rFonts w:ascii="楷体_GB2312" w:eastAsia="楷体_GB2312"/>
        <w:b/>
        <w:color w:val="333399"/>
        <w:sz w:val="24"/>
        <w:szCs w:val="24"/>
      </w:rPr>
    </w:pPr>
    <w:r>
      <w:rPr>
        <w:rFonts w:ascii="楷体_GB2312" w:eastAsia="楷体_GB2312"/>
        <w:b/>
        <w:noProof/>
        <w:color w:val="003366"/>
        <w:sz w:val="21"/>
        <w:szCs w:val="21"/>
      </w:rPr>
      <mc:AlternateContent>
        <mc:Choice Requires="wps">
          <w:drawing>
            <wp:anchor distT="0" distB="0" distL="114300" distR="114300" simplePos="0" relativeHeight="251657216" behindDoc="0" locked="0" layoutInCell="1" allowOverlap="1">
              <wp:simplePos x="0" y="0"/>
              <wp:positionH relativeFrom="column">
                <wp:posOffset>-420370</wp:posOffset>
              </wp:positionH>
              <wp:positionV relativeFrom="paragraph">
                <wp:posOffset>-36195</wp:posOffset>
              </wp:positionV>
              <wp:extent cx="1097915" cy="324485"/>
              <wp:effectExtent l="0" t="0" r="6985"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6BC" w:rsidRDefault="00CC56BC" w:rsidP="00B75DD0">
                          <w:r w:rsidRPr="00D406B3">
                            <w:rPr>
                              <w:noProof/>
                            </w:rPr>
                            <w:drawing>
                              <wp:inline distT="0" distB="0" distL="0" distR="0">
                                <wp:extent cx="905510" cy="233045"/>
                                <wp:effectExtent l="0" t="0" r="8890" b="0"/>
                                <wp:docPr id="11" name="图片 2" descr="ye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yeme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510" cy="2330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left:0;text-align:left;margin-left:-33.1pt;margin-top:-2.85pt;width:86.45pt;height:25.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" stroked="f">
              <v:textbox style="mso-fit-shape-to-text:t">
                <w:txbxContent>
                  <w:p w:rsidR="00CC56BC" w:rsidRDefault="00CC56BC" w:rsidP="00B75DD0">
                    <w:r w:rsidRPr="00D406B3">
                      <w:rPr>
                        <w:noProof/>
                      </w:rPr>
                      <w:drawing>
                        <wp:inline distT="0" distB="0" distL="0" distR="0">
                          <wp:extent cx="905510" cy="233045"/>
                          <wp:effectExtent l="0" t="0" r="8890" b="0"/>
                          <wp:docPr id="11" name="图片 2" descr="yem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yeme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5510" cy="233045"/>
                                  </a:xfrm>
                                  <a:prstGeom prst="rect">
                                    <a:avLst/>
                                  </a:prstGeom>
                                  <a:noFill/>
                                  <a:ln>
                                    <a:noFill/>
                                  </a:ln>
                                </pic:spPr>
                              </pic:pic>
                            </a:graphicData>
                          </a:graphic>
                        </wp:inline>
                      </w:drawing>
                    </w:r>
                  </w:p>
                </w:txbxContent>
              </v:textbox>
            </v:shape>
          </w:pict>
        </mc:Fallback>
      </mc:AlternateContent>
    </w:r>
    <w:r>
      <w:rPr>
        <w:rFonts w:ascii="楷体_GB2312" w:eastAsia="楷体_GB2312"/>
        <w:b/>
        <w:noProof/>
        <w:color w:val="003366"/>
        <w:sz w:val="21"/>
        <w:szCs w:val="21"/>
      </w:rPr>
      <mc:AlternateContent>
        <mc:Choice Requires="wps">
          <w:drawing>
            <wp:anchor distT="4294967294" distB="4294967294" distL="114300" distR="114300" simplePos="0" relativeHeight="251656192" behindDoc="0" locked="0" layoutInCell="1" allowOverlap="1">
              <wp:simplePos x="0" y="0"/>
              <wp:positionH relativeFrom="column">
                <wp:posOffset>571500</wp:posOffset>
              </wp:positionH>
              <wp:positionV relativeFrom="paragraph">
                <wp:posOffset>260984</wp:posOffset>
              </wp:positionV>
              <wp:extent cx="5257800" cy="0"/>
              <wp:effectExtent l="0" t="0" r="19050" b="19050"/>
              <wp:wrapNone/>
              <wp:docPr id="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86D8" id="Line 28" o:spid="_x0000_s1026" style="position:absolute;left:0;text-align:left;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0.55pt" to="45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" strokecolor="#036" strokeweight="1.5pt"/>
          </w:pict>
        </mc:Fallback>
      </mc:AlternateContent>
    </w:r>
    <w:r>
      <w:rPr>
        <w:rFonts w:ascii="楷体_GB2312" w:eastAsia="楷体_GB2312"/>
        <w:b/>
        <w:noProof/>
        <w:color w:val="333399"/>
        <w:sz w:val="21"/>
        <w:szCs w:val="21"/>
      </w:rPr>
      <mc:AlternateContent>
        <mc:Choice Requires="wps">
          <w:drawing>
            <wp:anchor distT="0" distB="0" distL="114300" distR="114300" simplePos="0" relativeHeight="251655168" behindDoc="0" locked="0" layoutInCell="1" allowOverlap="1">
              <wp:simplePos x="0" y="0"/>
              <wp:positionH relativeFrom="column">
                <wp:posOffset>-2400300</wp:posOffset>
              </wp:positionH>
              <wp:positionV relativeFrom="paragraph">
                <wp:posOffset>-36195</wp:posOffset>
              </wp:positionV>
              <wp:extent cx="1136015" cy="384810"/>
              <wp:effectExtent l="0" t="0" r="6985"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6BC" w:rsidRDefault="00CC56BC">
                          <w:r w:rsidRPr="00D406B3">
                            <w:rPr>
                              <w:noProof/>
                            </w:rPr>
                            <w:drawing>
                              <wp:inline distT="0" distB="0" distL="0" distR="0">
                                <wp:extent cx="948690" cy="293370"/>
                                <wp:effectExtent l="0" t="0" r="381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8690" cy="2933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189pt;margin-top:-2.85pt;width:89.45pt;height:30.3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" stroked="f">
              <v:textbox style="mso-fit-shape-to-text:t">
                <w:txbxContent>
                  <w:p w:rsidR="00CC56BC" w:rsidRDefault="00CC56BC">
                    <w:r w:rsidRPr="00D406B3">
                      <w:rPr>
                        <w:noProof/>
                      </w:rPr>
                      <w:drawing>
                        <wp:inline distT="0" distB="0" distL="0" distR="0">
                          <wp:extent cx="948690" cy="293370"/>
                          <wp:effectExtent l="0" t="0" r="381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8690" cy="29337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D42A8"/>
    <w:multiLevelType w:val="hybridMultilevel"/>
    <w:tmpl w:val="C2908212"/>
    <w:lvl w:ilvl="0" w:tplc="55841B88">
      <w:start w:val="1"/>
      <w:numFmt w:val="bullet"/>
      <w:lvlText w:val=""/>
      <w:lvlJc w:val="left"/>
      <w:pPr>
        <w:ind w:left="420" w:hanging="420"/>
      </w:pPr>
      <w:rPr>
        <w:rFonts w:ascii="Wingdings" w:hAnsi="Wingdings" w:hint="default"/>
        <w:sz w:val="32"/>
        <w:szCs w:val="32"/>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2994B94"/>
    <w:multiLevelType w:val="hybridMultilevel"/>
    <w:tmpl w:val="D4205942"/>
    <w:lvl w:ilvl="0" w:tplc="8B78245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2F808DB"/>
    <w:multiLevelType w:val="hybridMultilevel"/>
    <w:tmpl w:val="6FFC9F80"/>
    <w:lvl w:ilvl="0" w:tplc="52D4F20C">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4333829"/>
    <w:multiLevelType w:val="hybridMultilevel"/>
    <w:tmpl w:val="8B688B10"/>
    <w:lvl w:ilvl="0" w:tplc="FEEC30CC">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08E56AB1"/>
    <w:multiLevelType w:val="hybridMultilevel"/>
    <w:tmpl w:val="30B4BD86"/>
    <w:lvl w:ilvl="0" w:tplc="1C7E6138">
      <w:start w:val="1"/>
      <w:numFmt w:val="decimal"/>
      <w:lvlText w:val="%1."/>
      <w:lvlJc w:val="left"/>
      <w:pPr>
        <w:tabs>
          <w:tab w:val="num" w:pos="3174"/>
        </w:tabs>
        <w:ind w:left="3174" w:hanging="360"/>
      </w:pPr>
      <w:rPr>
        <w:rFonts w:hint="default"/>
      </w:rPr>
    </w:lvl>
    <w:lvl w:ilvl="1" w:tplc="04090019" w:tentative="1">
      <w:start w:val="1"/>
      <w:numFmt w:val="lowerLetter"/>
      <w:lvlText w:val="%2)"/>
      <w:lvlJc w:val="left"/>
      <w:pPr>
        <w:tabs>
          <w:tab w:val="num" w:pos="3675"/>
        </w:tabs>
        <w:ind w:left="3675" w:hanging="420"/>
      </w:pPr>
    </w:lvl>
    <w:lvl w:ilvl="2" w:tplc="0409001B" w:tentative="1">
      <w:start w:val="1"/>
      <w:numFmt w:val="lowerRoman"/>
      <w:lvlText w:val="%3."/>
      <w:lvlJc w:val="right"/>
      <w:pPr>
        <w:tabs>
          <w:tab w:val="num" w:pos="4095"/>
        </w:tabs>
        <w:ind w:left="4095" w:hanging="420"/>
      </w:pPr>
    </w:lvl>
    <w:lvl w:ilvl="3" w:tplc="0409000F" w:tentative="1">
      <w:start w:val="1"/>
      <w:numFmt w:val="decimal"/>
      <w:lvlText w:val="%4."/>
      <w:lvlJc w:val="left"/>
      <w:pPr>
        <w:tabs>
          <w:tab w:val="num" w:pos="4515"/>
        </w:tabs>
        <w:ind w:left="4515" w:hanging="420"/>
      </w:pPr>
    </w:lvl>
    <w:lvl w:ilvl="4" w:tplc="04090019" w:tentative="1">
      <w:start w:val="1"/>
      <w:numFmt w:val="lowerLetter"/>
      <w:lvlText w:val="%5)"/>
      <w:lvlJc w:val="left"/>
      <w:pPr>
        <w:tabs>
          <w:tab w:val="num" w:pos="4935"/>
        </w:tabs>
        <w:ind w:left="4935" w:hanging="420"/>
      </w:pPr>
    </w:lvl>
    <w:lvl w:ilvl="5" w:tplc="0409001B" w:tentative="1">
      <w:start w:val="1"/>
      <w:numFmt w:val="lowerRoman"/>
      <w:lvlText w:val="%6."/>
      <w:lvlJc w:val="right"/>
      <w:pPr>
        <w:tabs>
          <w:tab w:val="num" w:pos="5355"/>
        </w:tabs>
        <w:ind w:left="5355" w:hanging="420"/>
      </w:pPr>
    </w:lvl>
    <w:lvl w:ilvl="6" w:tplc="0409000F" w:tentative="1">
      <w:start w:val="1"/>
      <w:numFmt w:val="decimal"/>
      <w:lvlText w:val="%7."/>
      <w:lvlJc w:val="left"/>
      <w:pPr>
        <w:tabs>
          <w:tab w:val="num" w:pos="5775"/>
        </w:tabs>
        <w:ind w:left="5775" w:hanging="420"/>
      </w:pPr>
    </w:lvl>
    <w:lvl w:ilvl="7" w:tplc="04090019" w:tentative="1">
      <w:start w:val="1"/>
      <w:numFmt w:val="lowerLetter"/>
      <w:lvlText w:val="%8)"/>
      <w:lvlJc w:val="left"/>
      <w:pPr>
        <w:tabs>
          <w:tab w:val="num" w:pos="6195"/>
        </w:tabs>
        <w:ind w:left="6195" w:hanging="420"/>
      </w:pPr>
    </w:lvl>
    <w:lvl w:ilvl="8" w:tplc="0409001B" w:tentative="1">
      <w:start w:val="1"/>
      <w:numFmt w:val="lowerRoman"/>
      <w:lvlText w:val="%9."/>
      <w:lvlJc w:val="right"/>
      <w:pPr>
        <w:tabs>
          <w:tab w:val="num" w:pos="6615"/>
        </w:tabs>
        <w:ind w:left="6615" w:hanging="420"/>
      </w:pPr>
    </w:lvl>
  </w:abstractNum>
  <w:abstractNum w:abstractNumId="5">
    <w:nsid w:val="0D4716D9"/>
    <w:multiLevelType w:val="hybridMultilevel"/>
    <w:tmpl w:val="A2DEADDA"/>
    <w:lvl w:ilvl="0" w:tplc="4DB6B0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0E4E90"/>
    <w:multiLevelType w:val="hybridMultilevel"/>
    <w:tmpl w:val="77DE0738"/>
    <w:lvl w:ilvl="0" w:tplc="0409000D">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39C0E36"/>
    <w:multiLevelType w:val="hybridMultilevel"/>
    <w:tmpl w:val="B1B8970E"/>
    <w:lvl w:ilvl="0" w:tplc="8F94B952">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16A73BCB"/>
    <w:multiLevelType w:val="hybridMultilevel"/>
    <w:tmpl w:val="1984246E"/>
    <w:lvl w:ilvl="0" w:tplc="3B20C2D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19F502AB"/>
    <w:multiLevelType w:val="hybridMultilevel"/>
    <w:tmpl w:val="82F8FBB2"/>
    <w:lvl w:ilvl="0" w:tplc="7AAA3810">
      <w:start w:val="1"/>
      <w:numFmt w:val="bullet"/>
      <w:lvlText w:val=""/>
      <w:lvlJc w:val="left"/>
      <w:pPr>
        <w:ind w:left="840" w:hanging="420"/>
      </w:pPr>
      <w:rPr>
        <w:rFonts w:ascii="Wingdings" w:hAnsi="Wingdings" w:hint="default"/>
        <w:sz w:val="18"/>
        <w:szCs w:val="18"/>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1A862B7E"/>
    <w:multiLevelType w:val="hybridMultilevel"/>
    <w:tmpl w:val="7026FDE4"/>
    <w:lvl w:ilvl="0" w:tplc="AE6AAA20">
      <w:start w:val="1"/>
      <w:numFmt w:val="bullet"/>
      <w:lvlText w:val=""/>
      <w:lvlJc w:val="left"/>
      <w:pPr>
        <w:tabs>
          <w:tab w:val="num" w:pos="420"/>
        </w:tabs>
        <w:ind w:left="420" w:hanging="420"/>
      </w:pPr>
      <w:rPr>
        <w:rFonts w:ascii="Wingdings" w:hAnsi="Wingdings" w:hint="default"/>
        <w:color w:val="FF000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1CCD2402"/>
    <w:multiLevelType w:val="hybridMultilevel"/>
    <w:tmpl w:val="38BAB8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202C74C1"/>
    <w:multiLevelType w:val="hybridMultilevel"/>
    <w:tmpl w:val="451CBF46"/>
    <w:lvl w:ilvl="0" w:tplc="841A6DE6">
      <w:start w:val="1"/>
      <w:numFmt w:val="bullet"/>
      <w:lvlText w:val=""/>
      <w:lvlJc w:val="left"/>
      <w:pPr>
        <w:ind w:left="872" w:hanging="420"/>
      </w:pPr>
      <w:rPr>
        <w:rFonts w:ascii="Wingdings" w:hAnsi="Wingdings" w:hint="default"/>
        <w:sz w:val="18"/>
        <w:szCs w:val="18"/>
      </w:rPr>
    </w:lvl>
    <w:lvl w:ilvl="1" w:tplc="04090003" w:tentative="1">
      <w:start w:val="1"/>
      <w:numFmt w:val="bullet"/>
      <w:lvlText w:val=""/>
      <w:lvlJc w:val="left"/>
      <w:pPr>
        <w:ind w:left="1292" w:hanging="420"/>
      </w:pPr>
      <w:rPr>
        <w:rFonts w:ascii="Wingdings" w:hAnsi="Wingdings" w:hint="default"/>
      </w:rPr>
    </w:lvl>
    <w:lvl w:ilvl="2" w:tplc="04090005"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3" w:tentative="1">
      <w:start w:val="1"/>
      <w:numFmt w:val="bullet"/>
      <w:lvlText w:val=""/>
      <w:lvlJc w:val="left"/>
      <w:pPr>
        <w:ind w:left="2552" w:hanging="420"/>
      </w:pPr>
      <w:rPr>
        <w:rFonts w:ascii="Wingdings" w:hAnsi="Wingdings" w:hint="default"/>
      </w:rPr>
    </w:lvl>
    <w:lvl w:ilvl="5" w:tplc="04090005"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3" w:tentative="1">
      <w:start w:val="1"/>
      <w:numFmt w:val="bullet"/>
      <w:lvlText w:val=""/>
      <w:lvlJc w:val="left"/>
      <w:pPr>
        <w:ind w:left="3812" w:hanging="420"/>
      </w:pPr>
      <w:rPr>
        <w:rFonts w:ascii="Wingdings" w:hAnsi="Wingdings" w:hint="default"/>
      </w:rPr>
    </w:lvl>
    <w:lvl w:ilvl="8" w:tplc="04090005" w:tentative="1">
      <w:start w:val="1"/>
      <w:numFmt w:val="bullet"/>
      <w:lvlText w:val=""/>
      <w:lvlJc w:val="left"/>
      <w:pPr>
        <w:ind w:left="4232" w:hanging="420"/>
      </w:pPr>
      <w:rPr>
        <w:rFonts w:ascii="Wingdings" w:hAnsi="Wingdings" w:hint="default"/>
      </w:rPr>
    </w:lvl>
  </w:abstractNum>
  <w:abstractNum w:abstractNumId="13">
    <w:nsid w:val="248402F7"/>
    <w:multiLevelType w:val="multilevel"/>
    <w:tmpl w:val="A90A8370"/>
    <w:lvl w:ilvl="0">
      <w:start w:val="1"/>
      <w:numFmt w:val="bullet"/>
      <w:lvlText w:val=""/>
      <w:lvlJc w:val="left"/>
      <w:pPr>
        <w:tabs>
          <w:tab w:val="num" w:pos="420"/>
        </w:tabs>
        <w:ind w:left="420" w:hanging="420"/>
      </w:pPr>
      <w:rPr>
        <w:rFonts w:ascii="Wingdings" w:hAnsi="Wingdings" w:hint="default"/>
        <w:color w:val="00336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nsid w:val="2830033A"/>
    <w:multiLevelType w:val="hybridMultilevel"/>
    <w:tmpl w:val="EFB23DA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2B825918"/>
    <w:multiLevelType w:val="hybridMultilevel"/>
    <w:tmpl w:val="E6889E7E"/>
    <w:lvl w:ilvl="0" w:tplc="F68615F6">
      <w:start w:val="1"/>
      <w:numFmt w:val="bullet"/>
      <w:lvlText w:val=""/>
      <w:lvlJc w:val="left"/>
      <w:pPr>
        <w:ind w:left="845" w:hanging="420"/>
      </w:pPr>
      <w:rPr>
        <w:rFonts w:ascii="Wingdings" w:hAnsi="Wingdings" w:hint="default"/>
        <w:bdr w:val="none" w:sz="0" w:space="0" w:color="auto"/>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nsid w:val="2E1C20C1"/>
    <w:multiLevelType w:val="hybridMultilevel"/>
    <w:tmpl w:val="5504052E"/>
    <w:lvl w:ilvl="0" w:tplc="AE209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E9420F0"/>
    <w:multiLevelType w:val="hybridMultilevel"/>
    <w:tmpl w:val="63D08C86"/>
    <w:lvl w:ilvl="0" w:tplc="8B1406D0">
      <w:start w:val="1"/>
      <w:numFmt w:val="bullet"/>
      <w:lvlText w:val=""/>
      <w:lvlJc w:val="left"/>
      <w:pPr>
        <w:ind w:left="562" w:hanging="420"/>
      </w:pPr>
      <w:rPr>
        <w:rFonts w:ascii="Wingdings" w:hAnsi="Wingdings" w:hint="default"/>
        <w:sz w:val="13"/>
        <w:szCs w:val="13"/>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8">
    <w:nsid w:val="31E25EFD"/>
    <w:multiLevelType w:val="hybridMultilevel"/>
    <w:tmpl w:val="A90A8370"/>
    <w:lvl w:ilvl="0" w:tplc="7B6A1B30">
      <w:start w:val="1"/>
      <w:numFmt w:val="bullet"/>
      <w:lvlText w:val=""/>
      <w:lvlJc w:val="left"/>
      <w:pPr>
        <w:tabs>
          <w:tab w:val="num" w:pos="420"/>
        </w:tabs>
        <w:ind w:left="420" w:hanging="420"/>
      </w:pPr>
      <w:rPr>
        <w:rFonts w:ascii="Wingdings" w:hAnsi="Wingdings" w:hint="default"/>
        <w:color w:val="00336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45871BA5"/>
    <w:multiLevelType w:val="hybridMultilevel"/>
    <w:tmpl w:val="604819E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BB770C8"/>
    <w:multiLevelType w:val="hybridMultilevel"/>
    <w:tmpl w:val="07D4980C"/>
    <w:lvl w:ilvl="0" w:tplc="75B87A74">
      <w:start w:val="1"/>
      <w:numFmt w:val="bullet"/>
      <w:lvlText w:val=""/>
      <w:lvlJc w:val="left"/>
      <w:pPr>
        <w:tabs>
          <w:tab w:val="num" w:pos="3738"/>
        </w:tabs>
        <w:ind w:left="3738" w:hanging="420"/>
      </w:pPr>
      <w:rPr>
        <w:rFonts w:ascii="Wingdings" w:hAnsi="Wingdings" w:hint="default"/>
        <w:color w:val="FF660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501925DF"/>
    <w:multiLevelType w:val="hybridMultilevel"/>
    <w:tmpl w:val="37CABE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56006D7"/>
    <w:multiLevelType w:val="hybridMultilevel"/>
    <w:tmpl w:val="4C08246A"/>
    <w:lvl w:ilvl="0" w:tplc="7022657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5AFB05D1"/>
    <w:multiLevelType w:val="hybridMultilevel"/>
    <w:tmpl w:val="DE12D920"/>
    <w:lvl w:ilvl="0" w:tplc="5A6E9E72">
      <w:start w:val="1"/>
      <w:numFmt w:val="bullet"/>
      <w:lvlText w:val=""/>
      <w:lvlJc w:val="left"/>
      <w:pPr>
        <w:ind w:left="1050" w:hanging="420"/>
      </w:pPr>
      <w:rPr>
        <w:rFonts w:ascii="Wingdings" w:hAnsi="Wingdings" w:hint="default"/>
        <w:sz w:val="15"/>
        <w:szCs w:val="15"/>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4">
    <w:nsid w:val="5B115D26"/>
    <w:multiLevelType w:val="hybridMultilevel"/>
    <w:tmpl w:val="A7A4AECC"/>
    <w:lvl w:ilvl="0" w:tplc="D3D647B2">
      <w:start w:val="1"/>
      <w:numFmt w:val="bullet"/>
      <w:lvlText w:val=""/>
      <w:lvlJc w:val="left"/>
      <w:pPr>
        <w:tabs>
          <w:tab w:val="num" w:pos="420"/>
        </w:tabs>
        <w:ind w:left="420" w:hanging="420"/>
      </w:pPr>
      <w:rPr>
        <w:rFonts w:ascii="Wingdings" w:hAnsi="Wingdings" w:hint="default"/>
        <w:color w:val="333399"/>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5D5C5B6A"/>
    <w:multiLevelType w:val="hybridMultilevel"/>
    <w:tmpl w:val="ED5A5AB2"/>
    <w:lvl w:ilvl="0" w:tplc="C6F09C14">
      <w:start w:val="1"/>
      <w:numFmt w:val="bullet"/>
      <w:lvlText w:val=""/>
      <w:lvlJc w:val="left"/>
      <w:pPr>
        <w:ind w:left="840" w:hanging="420"/>
      </w:pPr>
      <w:rPr>
        <w:rFonts w:ascii="Wingdings" w:hAnsi="Wingdings" w:hint="default"/>
        <w:sz w:val="13"/>
        <w:szCs w:val="1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62385CC6"/>
    <w:multiLevelType w:val="hybridMultilevel"/>
    <w:tmpl w:val="822A1E5C"/>
    <w:lvl w:ilvl="0" w:tplc="1890C79C">
      <w:start w:val="1"/>
      <w:numFmt w:val="bullet"/>
      <w:lvlText w:val=""/>
      <w:lvlJc w:val="left"/>
      <w:pPr>
        <w:ind w:left="825" w:hanging="420"/>
      </w:pPr>
      <w:rPr>
        <w:rFonts w:ascii="Wingdings" w:hAnsi="Wingdings" w:hint="default"/>
        <w:sz w:val="13"/>
        <w:szCs w:val="13"/>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27">
    <w:nsid w:val="62A759D9"/>
    <w:multiLevelType w:val="multilevel"/>
    <w:tmpl w:val="33A219AA"/>
    <w:lvl w:ilvl="0">
      <w:start w:val="1"/>
      <w:numFmt w:val="bullet"/>
      <w:lvlText w:val=""/>
      <w:lvlJc w:val="left"/>
      <w:pPr>
        <w:tabs>
          <w:tab w:val="num" w:pos="425"/>
        </w:tabs>
        <w:ind w:left="425" w:hanging="425"/>
      </w:pPr>
      <w:rPr>
        <w:rFonts w:ascii="Wingdings" w:hAnsi="Wingdings" w:hint="default"/>
        <w:color w:val="00336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nsid w:val="633D5C53"/>
    <w:multiLevelType w:val="hybridMultilevel"/>
    <w:tmpl w:val="A37699A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64026DC8"/>
    <w:multiLevelType w:val="hybridMultilevel"/>
    <w:tmpl w:val="BCF46B80"/>
    <w:lvl w:ilvl="0" w:tplc="3E800F4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97455B1"/>
    <w:multiLevelType w:val="hybridMultilevel"/>
    <w:tmpl w:val="4E32223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nsid w:val="6A8D5F31"/>
    <w:multiLevelType w:val="hybridMultilevel"/>
    <w:tmpl w:val="24E27412"/>
    <w:lvl w:ilvl="0" w:tplc="D3D647B2">
      <w:start w:val="1"/>
      <w:numFmt w:val="bullet"/>
      <w:lvlText w:val=""/>
      <w:lvlJc w:val="left"/>
      <w:pPr>
        <w:tabs>
          <w:tab w:val="num" w:pos="420"/>
        </w:tabs>
        <w:ind w:left="420" w:hanging="420"/>
      </w:pPr>
      <w:rPr>
        <w:rFonts w:ascii="Wingdings" w:hAnsi="Wingdings" w:hint="default"/>
        <w:color w:val="333399"/>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nsid w:val="71657707"/>
    <w:multiLevelType w:val="hybridMultilevel"/>
    <w:tmpl w:val="A606C3AA"/>
    <w:lvl w:ilvl="0" w:tplc="263EA3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3D0324F"/>
    <w:multiLevelType w:val="hybridMultilevel"/>
    <w:tmpl w:val="9350E0A8"/>
    <w:lvl w:ilvl="0" w:tplc="2800DFB4">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73D5739C"/>
    <w:multiLevelType w:val="hybridMultilevel"/>
    <w:tmpl w:val="CC767E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7A5E3680"/>
    <w:multiLevelType w:val="hybridMultilevel"/>
    <w:tmpl w:val="8976F2B8"/>
    <w:lvl w:ilvl="0" w:tplc="3BAA5164">
      <w:start w:val="1"/>
      <w:numFmt w:val="bullet"/>
      <w:pStyle w:val="a"/>
      <w:lvlText w:val=""/>
      <w:lvlJc w:val="left"/>
      <w:pPr>
        <w:tabs>
          <w:tab w:val="num" w:pos="420"/>
        </w:tabs>
        <w:ind w:left="420" w:hanging="420"/>
      </w:pPr>
      <w:rPr>
        <w:rFonts w:ascii="Wingdings" w:hAnsi="Wingdings" w:hint="default"/>
        <w:color w:val="FF6600"/>
      </w:rPr>
    </w:lvl>
    <w:lvl w:ilvl="1" w:tplc="04090003" w:tentative="1">
      <w:start w:val="1"/>
      <w:numFmt w:val="bullet"/>
      <w:lvlText w:val=""/>
      <w:lvlJc w:val="left"/>
      <w:pPr>
        <w:tabs>
          <w:tab w:val="num" w:pos="630"/>
        </w:tabs>
        <w:ind w:left="630" w:hanging="420"/>
      </w:pPr>
      <w:rPr>
        <w:rFonts w:ascii="Wingdings" w:hAnsi="Wingdings" w:hint="default"/>
      </w:rPr>
    </w:lvl>
    <w:lvl w:ilvl="2" w:tplc="04090005" w:tentative="1">
      <w:start w:val="1"/>
      <w:numFmt w:val="bullet"/>
      <w:lvlText w:val=""/>
      <w:lvlJc w:val="left"/>
      <w:pPr>
        <w:tabs>
          <w:tab w:val="num" w:pos="1050"/>
        </w:tabs>
        <w:ind w:left="1050" w:hanging="420"/>
      </w:pPr>
      <w:rPr>
        <w:rFonts w:ascii="Wingdings" w:hAnsi="Wingdings" w:hint="default"/>
      </w:rPr>
    </w:lvl>
    <w:lvl w:ilvl="3" w:tplc="04090001" w:tentative="1">
      <w:start w:val="1"/>
      <w:numFmt w:val="bullet"/>
      <w:lvlText w:val=""/>
      <w:lvlJc w:val="left"/>
      <w:pPr>
        <w:tabs>
          <w:tab w:val="num" w:pos="1470"/>
        </w:tabs>
        <w:ind w:left="1470" w:hanging="420"/>
      </w:pPr>
      <w:rPr>
        <w:rFonts w:ascii="Wingdings" w:hAnsi="Wingdings" w:hint="default"/>
      </w:rPr>
    </w:lvl>
    <w:lvl w:ilvl="4" w:tplc="04090003" w:tentative="1">
      <w:start w:val="1"/>
      <w:numFmt w:val="bullet"/>
      <w:lvlText w:val=""/>
      <w:lvlJc w:val="left"/>
      <w:pPr>
        <w:tabs>
          <w:tab w:val="num" w:pos="1890"/>
        </w:tabs>
        <w:ind w:left="1890" w:hanging="420"/>
      </w:pPr>
      <w:rPr>
        <w:rFonts w:ascii="Wingdings" w:hAnsi="Wingdings" w:hint="default"/>
      </w:rPr>
    </w:lvl>
    <w:lvl w:ilvl="5" w:tplc="04090005" w:tentative="1">
      <w:start w:val="1"/>
      <w:numFmt w:val="bullet"/>
      <w:lvlText w:val=""/>
      <w:lvlJc w:val="left"/>
      <w:pPr>
        <w:tabs>
          <w:tab w:val="num" w:pos="2310"/>
        </w:tabs>
        <w:ind w:left="2310" w:hanging="420"/>
      </w:pPr>
      <w:rPr>
        <w:rFonts w:ascii="Wingdings" w:hAnsi="Wingdings" w:hint="default"/>
      </w:rPr>
    </w:lvl>
    <w:lvl w:ilvl="6" w:tplc="04090001" w:tentative="1">
      <w:start w:val="1"/>
      <w:numFmt w:val="bullet"/>
      <w:lvlText w:val=""/>
      <w:lvlJc w:val="left"/>
      <w:pPr>
        <w:tabs>
          <w:tab w:val="num" w:pos="2730"/>
        </w:tabs>
        <w:ind w:left="2730" w:hanging="420"/>
      </w:pPr>
      <w:rPr>
        <w:rFonts w:ascii="Wingdings" w:hAnsi="Wingdings" w:hint="default"/>
      </w:rPr>
    </w:lvl>
    <w:lvl w:ilvl="7" w:tplc="04090003" w:tentative="1">
      <w:start w:val="1"/>
      <w:numFmt w:val="bullet"/>
      <w:lvlText w:val=""/>
      <w:lvlJc w:val="left"/>
      <w:pPr>
        <w:tabs>
          <w:tab w:val="num" w:pos="3150"/>
        </w:tabs>
        <w:ind w:left="3150" w:hanging="420"/>
      </w:pPr>
      <w:rPr>
        <w:rFonts w:ascii="Wingdings" w:hAnsi="Wingdings" w:hint="default"/>
      </w:rPr>
    </w:lvl>
    <w:lvl w:ilvl="8" w:tplc="04090005" w:tentative="1">
      <w:start w:val="1"/>
      <w:numFmt w:val="bullet"/>
      <w:lvlText w:val=""/>
      <w:lvlJc w:val="left"/>
      <w:pPr>
        <w:tabs>
          <w:tab w:val="num" w:pos="3570"/>
        </w:tabs>
        <w:ind w:left="3570" w:hanging="420"/>
      </w:pPr>
      <w:rPr>
        <w:rFonts w:ascii="Wingdings" w:hAnsi="Wingdings" w:hint="default"/>
      </w:rPr>
    </w:lvl>
  </w:abstractNum>
  <w:abstractNum w:abstractNumId="36">
    <w:nsid w:val="7E1A10C2"/>
    <w:multiLevelType w:val="hybridMultilevel"/>
    <w:tmpl w:val="33A219AA"/>
    <w:lvl w:ilvl="0" w:tplc="33A6F226">
      <w:start w:val="1"/>
      <w:numFmt w:val="bullet"/>
      <w:lvlText w:val=""/>
      <w:lvlJc w:val="left"/>
      <w:pPr>
        <w:tabs>
          <w:tab w:val="num" w:pos="425"/>
        </w:tabs>
        <w:ind w:left="425" w:hanging="425"/>
      </w:pPr>
      <w:rPr>
        <w:rFonts w:ascii="Wingdings" w:hAnsi="Wingdings" w:hint="default"/>
        <w:color w:val="00336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7F2C09DD"/>
    <w:multiLevelType w:val="hybridMultilevel"/>
    <w:tmpl w:val="4330F01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0"/>
  </w:num>
  <w:num w:numId="2">
    <w:abstractNumId w:val="31"/>
  </w:num>
  <w:num w:numId="3">
    <w:abstractNumId w:val="35"/>
  </w:num>
  <w:num w:numId="4">
    <w:abstractNumId w:val="35"/>
  </w:num>
  <w:num w:numId="5">
    <w:abstractNumId w:val="24"/>
  </w:num>
  <w:num w:numId="6">
    <w:abstractNumId w:val="4"/>
  </w:num>
  <w:num w:numId="7">
    <w:abstractNumId w:val="10"/>
  </w:num>
  <w:num w:numId="8">
    <w:abstractNumId w:val="18"/>
  </w:num>
  <w:num w:numId="9">
    <w:abstractNumId w:val="13"/>
  </w:num>
  <w:num w:numId="10">
    <w:abstractNumId w:val="36"/>
  </w:num>
  <w:num w:numId="11">
    <w:abstractNumId w:val="27"/>
  </w:num>
  <w:num w:numId="12">
    <w:abstractNumId w:val="21"/>
  </w:num>
  <w:num w:numId="13">
    <w:abstractNumId w:val="16"/>
  </w:num>
  <w:num w:numId="14">
    <w:abstractNumId w:val="5"/>
  </w:num>
  <w:num w:numId="15">
    <w:abstractNumId w:val="30"/>
  </w:num>
  <w:num w:numId="16">
    <w:abstractNumId w:val="34"/>
  </w:num>
  <w:num w:numId="17">
    <w:abstractNumId w:val="2"/>
  </w:num>
  <w:num w:numId="18">
    <w:abstractNumId w:val="37"/>
  </w:num>
  <w:num w:numId="19">
    <w:abstractNumId w:val="7"/>
  </w:num>
  <w:num w:numId="20">
    <w:abstractNumId w:val="3"/>
  </w:num>
  <w:num w:numId="21">
    <w:abstractNumId w:val="29"/>
  </w:num>
  <w:num w:numId="22">
    <w:abstractNumId w:val="25"/>
  </w:num>
  <w:num w:numId="23">
    <w:abstractNumId w:val="26"/>
  </w:num>
  <w:num w:numId="24">
    <w:abstractNumId w:val="17"/>
  </w:num>
  <w:num w:numId="25">
    <w:abstractNumId w:val="1"/>
  </w:num>
  <w:num w:numId="26">
    <w:abstractNumId w:val="33"/>
  </w:num>
  <w:num w:numId="27">
    <w:abstractNumId w:val="22"/>
  </w:num>
  <w:num w:numId="28">
    <w:abstractNumId w:val="23"/>
  </w:num>
  <w:num w:numId="29">
    <w:abstractNumId w:val="11"/>
  </w:num>
  <w:num w:numId="30">
    <w:abstractNumId w:val="14"/>
  </w:num>
  <w:num w:numId="31">
    <w:abstractNumId w:val="12"/>
  </w:num>
  <w:num w:numId="32">
    <w:abstractNumId w:val="9"/>
  </w:num>
  <w:num w:numId="33">
    <w:abstractNumId w:val="19"/>
  </w:num>
  <w:num w:numId="34">
    <w:abstractNumId w:val="8"/>
  </w:num>
  <w:num w:numId="35">
    <w:abstractNumId w:val="28"/>
  </w:num>
  <w:num w:numId="36">
    <w:abstractNumId w:val="15"/>
  </w:num>
  <w:num w:numId="37">
    <w:abstractNumId w:val="6"/>
  </w:num>
  <w:num w:numId="38">
    <w:abstractNumId w:val="3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colormru v:ext="edit" colors="#99f,#9ecdf8,#f00000,#00326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72A"/>
    <w:rsid w:val="00000A2B"/>
    <w:rsid w:val="00000D67"/>
    <w:rsid w:val="000029EC"/>
    <w:rsid w:val="0000316A"/>
    <w:rsid w:val="00003876"/>
    <w:rsid w:val="00003A32"/>
    <w:rsid w:val="00003AEA"/>
    <w:rsid w:val="00003DFF"/>
    <w:rsid w:val="00004A83"/>
    <w:rsid w:val="00004FC7"/>
    <w:rsid w:val="00005561"/>
    <w:rsid w:val="000058A8"/>
    <w:rsid w:val="00005A15"/>
    <w:rsid w:val="00005CDB"/>
    <w:rsid w:val="00006DFC"/>
    <w:rsid w:val="0000741E"/>
    <w:rsid w:val="00007810"/>
    <w:rsid w:val="00007E6F"/>
    <w:rsid w:val="0001096F"/>
    <w:rsid w:val="00010BAB"/>
    <w:rsid w:val="00011032"/>
    <w:rsid w:val="00011136"/>
    <w:rsid w:val="00011A98"/>
    <w:rsid w:val="00011B95"/>
    <w:rsid w:val="00012A56"/>
    <w:rsid w:val="00012B6F"/>
    <w:rsid w:val="00012BD6"/>
    <w:rsid w:val="0001335E"/>
    <w:rsid w:val="00013779"/>
    <w:rsid w:val="000137F9"/>
    <w:rsid w:val="00013C90"/>
    <w:rsid w:val="0001438A"/>
    <w:rsid w:val="00015384"/>
    <w:rsid w:val="0001582A"/>
    <w:rsid w:val="00015C42"/>
    <w:rsid w:val="00015CFB"/>
    <w:rsid w:val="00016699"/>
    <w:rsid w:val="00016999"/>
    <w:rsid w:val="00016FB1"/>
    <w:rsid w:val="00017D99"/>
    <w:rsid w:val="00020536"/>
    <w:rsid w:val="00020EF3"/>
    <w:rsid w:val="0002154A"/>
    <w:rsid w:val="000215E2"/>
    <w:rsid w:val="00021EF5"/>
    <w:rsid w:val="00022175"/>
    <w:rsid w:val="00022F26"/>
    <w:rsid w:val="000236B5"/>
    <w:rsid w:val="000237D4"/>
    <w:rsid w:val="0002482F"/>
    <w:rsid w:val="000254DF"/>
    <w:rsid w:val="00026B4F"/>
    <w:rsid w:val="0002726A"/>
    <w:rsid w:val="000273C4"/>
    <w:rsid w:val="00027EDC"/>
    <w:rsid w:val="0003064E"/>
    <w:rsid w:val="00031136"/>
    <w:rsid w:val="000314F4"/>
    <w:rsid w:val="00031BA8"/>
    <w:rsid w:val="00032758"/>
    <w:rsid w:val="00032A9B"/>
    <w:rsid w:val="00032EB0"/>
    <w:rsid w:val="00033526"/>
    <w:rsid w:val="000336F0"/>
    <w:rsid w:val="00033AEC"/>
    <w:rsid w:val="000340C9"/>
    <w:rsid w:val="0003410D"/>
    <w:rsid w:val="000341C0"/>
    <w:rsid w:val="00034672"/>
    <w:rsid w:val="00034CC5"/>
    <w:rsid w:val="00035282"/>
    <w:rsid w:val="0003561E"/>
    <w:rsid w:val="000357D5"/>
    <w:rsid w:val="000358AF"/>
    <w:rsid w:val="00036912"/>
    <w:rsid w:val="000408D0"/>
    <w:rsid w:val="0004259B"/>
    <w:rsid w:val="00043223"/>
    <w:rsid w:val="0004347C"/>
    <w:rsid w:val="00043594"/>
    <w:rsid w:val="0004420D"/>
    <w:rsid w:val="00044537"/>
    <w:rsid w:val="00045CF1"/>
    <w:rsid w:val="00045F5E"/>
    <w:rsid w:val="000467D0"/>
    <w:rsid w:val="00046CD2"/>
    <w:rsid w:val="0004753C"/>
    <w:rsid w:val="00047D18"/>
    <w:rsid w:val="0005042D"/>
    <w:rsid w:val="000504C9"/>
    <w:rsid w:val="00050CDA"/>
    <w:rsid w:val="00051971"/>
    <w:rsid w:val="00052ACF"/>
    <w:rsid w:val="0005312E"/>
    <w:rsid w:val="000536FD"/>
    <w:rsid w:val="0005404B"/>
    <w:rsid w:val="00054CF7"/>
    <w:rsid w:val="00055C6B"/>
    <w:rsid w:val="0005771E"/>
    <w:rsid w:val="00060661"/>
    <w:rsid w:val="000606ED"/>
    <w:rsid w:val="00060E4B"/>
    <w:rsid w:val="0006170C"/>
    <w:rsid w:val="0006274D"/>
    <w:rsid w:val="00062F33"/>
    <w:rsid w:val="00064C27"/>
    <w:rsid w:val="000654A7"/>
    <w:rsid w:val="000668BF"/>
    <w:rsid w:val="00066CCB"/>
    <w:rsid w:val="000670DB"/>
    <w:rsid w:val="000670F7"/>
    <w:rsid w:val="0006715A"/>
    <w:rsid w:val="00067164"/>
    <w:rsid w:val="00067ED5"/>
    <w:rsid w:val="000708FC"/>
    <w:rsid w:val="00070FCF"/>
    <w:rsid w:val="00071F69"/>
    <w:rsid w:val="0007221E"/>
    <w:rsid w:val="000724AC"/>
    <w:rsid w:val="000726D8"/>
    <w:rsid w:val="00072955"/>
    <w:rsid w:val="00072C3E"/>
    <w:rsid w:val="00073800"/>
    <w:rsid w:val="0007410A"/>
    <w:rsid w:val="000749C2"/>
    <w:rsid w:val="0007721B"/>
    <w:rsid w:val="00077F52"/>
    <w:rsid w:val="000800C4"/>
    <w:rsid w:val="0008053E"/>
    <w:rsid w:val="000806B5"/>
    <w:rsid w:val="00080700"/>
    <w:rsid w:val="00080930"/>
    <w:rsid w:val="00080AF1"/>
    <w:rsid w:val="000810FC"/>
    <w:rsid w:val="00081885"/>
    <w:rsid w:val="00082224"/>
    <w:rsid w:val="00082EB2"/>
    <w:rsid w:val="000843BB"/>
    <w:rsid w:val="000844BF"/>
    <w:rsid w:val="00086D9A"/>
    <w:rsid w:val="00087372"/>
    <w:rsid w:val="00087A90"/>
    <w:rsid w:val="00087D44"/>
    <w:rsid w:val="00087EFF"/>
    <w:rsid w:val="00087FCE"/>
    <w:rsid w:val="00090072"/>
    <w:rsid w:val="00091F79"/>
    <w:rsid w:val="00092860"/>
    <w:rsid w:val="00094636"/>
    <w:rsid w:val="00094CB0"/>
    <w:rsid w:val="00096140"/>
    <w:rsid w:val="000963D6"/>
    <w:rsid w:val="000967BC"/>
    <w:rsid w:val="00096CD3"/>
    <w:rsid w:val="00096F98"/>
    <w:rsid w:val="000973C4"/>
    <w:rsid w:val="00097A1E"/>
    <w:rsid w:val="00097B08"/>
    <w:rsid w:val="000A00BE"/>
    <w:rsid w:val="000A0383"/>
    <w:rsid w:val="000A0A54"/>
    <w:rsid w:val="000A0C72"/>
    <w:rsid w:val="000A188B"/>
    <w:rsid w:val="000A2565"/>
    <w:rsid w:val="000A25F8"/>
    <w:rsid w:val="000A396A"/>
    <w:rsid w:val="000A4B2E"/>
    <w:rsid w:val="000A5D6A"/>
    <w:rsid w:val="000A74C1"/>
    <w:rsid w:val="000B0AB7"/>
    <w:rsid w:val="000B0E47"/>
    <w:rsid w:val="000B10AD"/>
    <w:rsid w:val="000B15A4"/>
    <w:rsid w:val="000B2677"/>
    <w:rsid w:val="000B31C6"/>
    <w:rsid w:val="000B49E9"/>
    <w:rsid w:val="000B4A67"/>
    <w:rsid w:val="000B4C2B"/>
    <w:rsid w:val="000B5E39"/>
    <w:rsid w:val="000B6479"/>
    <w:rsid w:val="000B7936"/>
    <w:rsid w:val="000B7F7C"/>
    <w:rsid w:val="000C0259"/>
    <w:rsid w:val="000C0442"/>
    <w:rsid w:val="000C049F"/>
    <w:rsid w:val="000C0DBA"/>
    <w:rsid w:val="000C1047"/>
    <w:rsid w:val="000C2C33"/>
    <w:rsid w:val="000C2CA6"/>
    <w:rsid w:val="000C329C"/>
    <w:rsid w:val="000C416E"/>
    <w:rsid w:val="000C42A7"/>
    <w:rsid w:val="000C488C"/>
    <w:rsid w:val="000C5B2F"/>
    <w:rsid w:val="000C66C1"/>
    <w:rsid w:val="000C7804"/>
    <w:rsid w:val="000D2649"/>
    <w:rsid w:val="000D2D86"/>
    <w:rsid w:val="000D331D"/>
    <w:rsid w:val="000D39CB"/>
    <w:rsid w:val="000D39CF"/>
    <w:rsid w:val="000D4795"/>
    <w:rsid w:val="000D4992"/>
    <w:rsid w:val="000D681E"/>
    <w:rsid w:val="000D69C9"/>
    <w:rsid w:val="000D6F06"/>
    <w:rsid w:val="000D6F08"/>
    <w:rsid w:val="000D7264"/>
    <w:rsid w:val="000D76A2"/>
    <w:rsid w:val="000D7ACE"/>
    <w:rsid w:val="000E0CBB"/>
    <w:rsid w:val="000E0F55"/>
    <w:rsid w:val="000E113B"/>
    <w:rsid w:val="000E15BC"/>
    <w:rsid w:val="000E176C"/>
    <w:rsid w:val="000E214A"/>
    <w:rsid w:val="000E2615"/>
    <w:rsid w:val="000E2EDD"/>
    <w:rsid w:val="000E3E48"/>
    <w:rsid w:val="000E409B"/>
    <w:rsid w:val="000E4C7C"/>
    <w:rsid w:val="000E54BF"/>
    <w:rsid w:val="000E56A0"/>
    <w:rsid w:val="000E6575"/>
    <w:rsid w:val="000E70DF"/>
    <w:rsid w:val="000E7D4F"/>
    <w:rsid w:val="000F062E"/>
    <w:rsid w:val="000F0779"/>
    <w:rsid w:val="000F0F74"/>
    <w:rsid w:val="000F13C5"/>
    <w:rsid w:val="000F1AE4"/>
    <w:rsid w:val="000F2106"/>
    <w:rsid w:val="000F23D1"/>
    <w:rsid w:val="000F24BD"/>
    <w:rsid w:val="000F2F5A"/>
    <w:rsid w:val="000F3999"/>
    <w:rsid w:val="000F3E0B"/>
    <w:rsid w:val="000F4C6D"/>
    <w:rsid w:val="000F5051"/>
    <w:rsid w:val="000F50AB"/>
    <w:rsid w:val="000F5797"/>
    <w:rsid w:val="000F6921"/>
    <w:rsid w:val="000F7CFF"/>
    <w:rsid w:val="000F7DF0"/>
    <w:rsid w:val="000F7EED"/>
    <w:rsid w:val="0010077B"/>
    <w:rsid w:val="00101106"/>
    <w:rsid w:val="0010117F"/>
    <w:rsid w:val="0010121A"/>
    <w:rsid w:val="00101ABE"/>
    <w:rsid w:val="00101BEA"/>
    <w:rsid w:val="00101F88"/>
    <w:rsid w:val="00104A91"/>
    <w:rsid w:val="0010652E"/>
    <w:rsid w:val="00106706"/>
    <w:rsid w:val="00107221"/>
    <w:rsid w:val="00107AC0"/>
    <w:rsid w:val="00111A85"/>
    <w:rsid w:val="0011208F"/>
    <w:rsid w:val="0011247A"/>
    <w:rsid w:val="00112C48"/>
    <w:rsid w:val="001134FF"/>
    <w:rsid w:val="00113A56"/>
    <w:rsid w:val="00113BAD"/>
    <w:rsid w:val="00114498"/>
    <w:rsid w:val="0011497D"/>
    <w:rsid w:val="001152C9"/>
    <w:rsid w:val="00115C81"/>
    <w:rsid w:val="00116AA0"/>
    <w:rsid w:val="00116CA3"/>
    <w:rsid w:val="00116EFE"/>
    <w:rsid w:val="001178DF"/>
    <w:rsid w:val="00117AB1"/>
    <w:rsid w:val="00120349"/>
    <w:rsid w:val="001203FC"/>
    <w:rsid w:val="00120EFD"/>
    <w:rsid w:val="00122EC3"/>
    <w:rsid w:val="00123331"/>
    <w:rsid w:val="00123421"/>
    <w:rsid w:val="001234D3"/>
    <w:rsid w:val="00123595"/>
    <w:rsid w:val="00123BF0"/>
    <w:rsid w:val="001241EF"/>
    <w:rsid w:val="00124A1B"/>
    <w:rsid w:val="0012738E"/>
    <w:rsid w:val="00127B67"/>
    <w:rsid w:val="0013204F"/>
    <w:rsid w:val="0013291D"/>
    <w:rsid w:val="00132E04"/>
    <w:rsid w:val="00135057"/>
    <w:rsid w:val="0013505A"/>
    <w:rsid w:val="001357B7"/>
    <w:rsid w:val="00136A15"/>
    <w:rsid w:val="0013732E"/>
    <w:rsid w:val="00137B81"/>
    <w:rsid w:val="00137E1C"/>
    <w:rsid w:val="00140A1A"/>
    <w:rsid w:val="00140A89"/>
    <w:rsid w:val="00140F4D"/>
    <w:rsid w:val="001417B5"/>
    <w:rsid w:val="00141B80"/>
    <w:rsid w:val="001420C6"/>
    <w:rsid w:val="0014375B"/>
    <w:rsid w:val="00143D31"/>
    <w:rsid w:val="00143F0F"/>
    <w:rsid w:val="00144717"/>
    <w:rsid w:val="00144958"/>
    <w:rsid w:val="0014496E"/>
    <w:rsid w:val="00144D04"/>
    <w:rsid w:val="00144EB0"/>
    <w:rsid w:val="00145363"/>
    <w:rsid w:val="00145942"/>
    <w:rsid w:val="00145D41"/>
    <w:rsid w:val="00146016"/>
    <w:rsid w:val="001460C0"/>
    <w:rsid w:val="001473BD"/>
    <w:rsid w:val="00150472"/>
    <w:rsid w:val="001514F0"/>
    <w:rsid w:val="00151C3E"/>
    <w:rsid w:val="00151C72"/>
    <w:rsid w:val="00152ABE"/>
    <w:rsid w:val="00153924"/>
    <w:rsid w:val="00153A7C"/>
    <w:rsid w:val="00154E1E"/>
    <w:rsid w:val="00154E20"/>
    <w:rsid w:val="00155528"/>
    <w:rsid w:val="00156B51"/>
    <w:rsid w:val="00157BE2"/>
    <w:rsid w:val="00160DCD"/>
    <w:rsid w:val="001611AD"/>
    <w:rsid w:val="0016160B"/>
    <w:rsid w:val="00161B41"/>
    <w:rsid w:val="00161D9D"/>
    <w:rsid w:val="0016229C"/>
    <w:rsid w:val="00162712"/>
    <w:rsid w:val="00162733"/>
    <w:rsid w:val="00162A09"/>
    <w:rsid w:val="00163071"/>
    <w:rsid w:val="00163499"/>
    <w:rsid w:val="001653EA"/>
    <w:rsid w:val="00165807"/>
    <w:rsid w:val="00165978"/>
    <w:rsid w:val="00165979"/>
    <w:rsid w:val="00165BCD"/>
    <w:rsid w:val="00166644"/>
    <w:rsid w:val="00166A3D"/>
    <w:rsid w:val="00166A8E"/>
    <w:rsid w:val="00167587"/>
    <w:rsid w:val="0017090D"/>
    <w:rsid w:val="00170F3B"/>
    <w:rsid w:val="00170FCA"/>
    <w:rsid w:val="00171485"/>
    <w:rsid w:val="00171DB2"/>
    <w:rsid w:val="00172BB1"/>
    <w:rsid w:val="00172FFF"/>
    <w:rsid w:val="001731EE"/>
    <w:rsid w:val="001736D4"/>
    <w:rsid w:val="00173CAD"/>
    <w:rsid w:val="00173DCE"/>
    <w:rsid w:val="0017599A"/>
    <w:rsid w:val="00175BD0"/>
    <w:rsid w:val="0017626F"/>
    <w:rsid w:val="0017677B"/>
    <w:rsid w:val="00176993"/>
    <w:rsid w:val="00176AB1"/>
    <w:rsid w:val="00177140"/>
    <w:rsid w:val="00177440"/>
    <w:rsid w:val="00177527"/>
    <w:rsid w:val="001811FD"/>
    <w:rsid w:val="001816E4"/>
    <w:rsid w:val="00181722"/>
    <w:rsid w:val="0018210D"/>
    <w:rsid w:val="00182E4F"/>
    <w:rsid w:val="00183404"/>
    <w:rsid w:val="001843B0"/>
    <w:rsid w:val="00184D15"/>
    <w:rsid w:val="001856EE"/>
    <w:rsid w:val="00185D39"/>
    <w:rsid w:val="001866F6"/>
    <w:rsid w:val="0018797C"/>
    <w:rsid w:val="00190DAB"/>
    <w:rsid w:val="001912AE"/>
    <w:rsid w:val="00191557"/>
    <w:rsid w:val="00192135"/>
    <w:rsid w:val="00192C28"/>
    <w:rsid w:val="00192F43"/>
    <w:rsid w:val="00193E45"/>
    <w:rsid w:val="001940FD"/>
    <w:rsid w:val="001946D5"/>
    <w:rsid w:val="00194823"/>
    <w:rsid w:val="001948C2"/>
    <w:rsid w:val="001951F4"/>
    <w:rsid w:val="0019543D"/>
    <w:rsid w:val="00195E34"/>
    <w:rsid w:val="00196E05"/>
    <w:rsid w:val="00197541"/>
    <w:rsid w:val="00197552"/>
    <w:rsid w:val="0019789B"/>
    <w:rsid w:val="00197DF8"/>
    <w:rsid w:val="001A1177"/>
    <w:rsid w:val="001A2293"/>
    <w:rsid w:val="001A2424"/>
    <w:rsid w:val="001A253F"/>
    <w:rsid w:val="001A255A"/>
    <w:rsid w:val="001A3A02"/>
    <w:rsid w:val="001A43E9"/>
    <w:rsid w:val="001A54D9"/>
    <w:rsid w:val="001A54E1"/>
    <w:rsid w:val="001A5522"/>
    <w:rsid w:val="001A6303"/>
    <w:rsid w:val="001A67E3"/>
    <w:rsid w:val="001A69F7"/>
    <w:rsid w:val="001A71F6"/>
    <w:rsid w:val="001A7229"/>
    <w:rsid w:val="001A782F"/>
    <w:rsid w:val="001A7EAF"/>
    <w:rsid w:val="001B0545"/>
    <w:rsid w:val="001B1000"/>
    <w:rsid w:val="001B1975"/>
    <w:rsid w:val="001B1FEF"/>
    <w:rsid w:val="001B2183"/>
    <w:rsid w:val="001B2433"/>
    <w:rsid w:val="001B26FD"/>
    <w:rsid w:val="001B2AFB"/>
    <w:rsid w:val="001B2D19"/>
    <w:rsid w:val="001B3014"/>
    <w:rsid w:val="001B356C"/>
    <w:rsid w:val="001B3B92"/>
    <w:rsid w:val="001B3D29"/>
    <w:rsid w:val="001B3ED0"/>
    <w:rsid w:val="001B3FDA"/>
    <w:rsid w:val="001B5153"/>
    <w:rsid w:val="001B63F3"/>
    <w:rsid w:val="001B6C0A"/>
    <w:rsid w:val="001B7126"/>
    <w:rsid w:val="001B72D4"/>
    <w:rsid w:val="001B7B61"/>
    <w:rsid w:val="001C083A"/>
    <w:rsid w:val="001C085B"/>
    <w:rsid w:val="001C0EF0"/>
    <w:rsid w:val="001C14C7"/>
    <w:rsid w:val="001C1FCA"/>
    <w:rsid w:val="001C2627"/>
    <w:rsid w:val="001C2B6C"/>
    <w:rsid w:val="001C2E46"/>
    <w:rsid w:val="001C3061"/>
    <w:rsid w:val="001C36A2"/>
    <w:rsid w:val="001C3D1A"/>
    <w:rsid w:val="001C4B58"/>
    <w:rsid w:val="001C5171"/>
    <w:rsid w:val="001C5778"/>
    <w:rsid w:val="001C631B"/>
    <w:rsid w:val="001C6581"/>
    <w:rsid w:val="001C7361"/>
    <w:rsid w:val="001C7669"/>
    <w:rsid w:val="001C77AD"/>
    <w:rsid w:val="001C784F"/>
    <w:rsid w:val="001C7EDA"/>
    <w:rsid w:val="001D0F9E"/>
    <w:rsid w:val="001D165C"/>
    <w:rsid w:val="001D168F"/>
    <w:rsid w:val="001D3CFF"/>
    <w:rsid w:val="001D3F35"/>
    <w:rsid w:val="001D50F9"/>
    <w:rsid w:val="001D65E9"/>
    <w:rsid w:val="001D684B"/>
    <w:rsid w:val="001D7C86"/>
    <w:rsid w:val="001E0262"/>
    <w:rsid w:val="001E04B2"/>
    <w:rsid w:val="001E1648"/>
    <w:rsid w:val="001E18A6"/>
    <w:rsid w:val="001E1A4B"/>
    <w:rsid w:val="001E2453"/>
    <w:rsid w:val="001E262E"/>
    <w:rsid w:val="001E2CF2"/>
    <w:rsid w:val="001E2E8F"/>
    <w:rsid w:val="001E3A0B"/>
    <w:rsid w:val="001E4A1C"/>
    <w:rsid w:val="001E5456"/>
    <w:rsid w:val="001E5625"/>
    <w:rsid w:val="001E5C08"/>
    <w:rsid w:val="001E5D5F"/>
    <w:rsid w:val="001E6092"/>
    <w:rsid w:val="001E71A8"/>
    <w:rsid w:val="001E7536"/>
    <w:rsid w:val="001E7AFA"/>
    <w:rsid w:val="001E7BB6"/>
    <w:rsid w:val="001F0187"/>
    <w:rsid w:val="001F030A"/>
    <w:rsid w:val="001F1303"/>
    <w:rsid w:val="001F154E"/>
    <w:rsid w:val="001F17DC"/>
    <w:rsid w:val="001F1E1A"/>
    <w:rsid w:val="001F2381"/>
    <w:rsid w:val="001F3D41"/>
    <w:rsid w:val="001F3F66"/>
    <w:rsid w:val="001F5293"/>
    <w:rsid w:val="001F58FF"/>
    <w:rsid w:val="001F6A53"/>
    <w:rsid w:val="001F6D07"/>
    <w:rsid w:val="001F7515"/>
    <w:rsid w:val="001F7ADA"/>
    <w:rsid w:val="00200211"/>
    <w:rsid w:val="002018E2"/>
    <w:rsid w:val="0020479A"/>
    <w:rsid w:val="00204BDD"/>
    <w:rsid w:val="00205E62"/>
    <w:rsid w:val="00206176"/>
    <w:rsid w:val="002069EB"/>
    <w:rsid w:val="00207684"/>
    <w:rsid w:val="00210B5E"/>
    <w:rsid w:val="002115EA"/>
    <w:rsid w:val="0021185E"/>
    <w:rsid w:val="00211C13"/>
    <w:rsid w:val="0021259C"/>
    <w:rsid w:val="00212BE8"/>
    <w:rsid w:val="00212DE0"/>
    <w:rsid w:val="00213784"/>
    <w:rsid w:val="00213A78"/>
    <w:rsid w:val="0021469D"/>
    <w:rsid w:val="00214AAB"/>
    <w:rsid w:val="0021528F"/>
    <w:rsid w:val="00215B0A"/>
    <w:rsid w:val="00216276"/>
    <w:rsid w:val="00216F3C"/>
    <w:rsid w:val="00217373"/>
    <w:rsid w:val="00217ACA"/>
    <w:rsid w:val="00220833"/>
    <w:rsid w:val="002217BB"/>
    <w:rsid w:val="002221AA"/>
    <w:rsid w:val="002226C0"/>
    <w:rsid w:val="00222ABB"/>
    <w:rsid w:val="00222F82"/>
    <w:rsid w:val="002236F8"/>
    <w:rsid w:val="00224A23"/>
    <w:rsid w:val="0022516F"/>
    <w:rsid w:val="002252E3"/>
    <w:rsid w:val="00225476"/>
    <w:rsid w:val="0022580C"/>
    <w:rsid w:val="00226EEA"/>
    <w:rsid w:val="00227035"/>
    <w:rsid w:val="00227508"/>
    <w:rsid w:val="0022796F"/>
    <w:rsid w:val="00227BA7"/>
    <w:rsid w:val="00227DDF"/>
    <w:rsid w:val="00230588"/>
    <w:rsid w:val="002308AD"/>
    <w:rsid w:val="002309DE"/>
    <w:rsid w:val="00230B84"/>
    <w:rsid w:val="00232213"/>
    <w:rsid w:val="00232F80"/>
    <w:rsid w:val="0023489D"/>
    <w:rsid w:val="0023541E"/>
    <w:rsid w:val="00235F11"/>
    <w:rsid w:val="0023636A"/>
    <w:rsid w:val="002367B6"/>
    <w:rsid w:val="002370CD"/>
    <w:rsid w:val="002375EE"/>
    <w:rsid w:val="00240CC6"/>
    <w:rsid w:val="0024155A"/>
    <w:rsid w:val="00241F58"/>
    <w:rsid w:val="00243025"/>
    <w:rsid w:val="00243788"/>
    <w:rsid w:val="00243C19"/>
    <w:rsid w:val="00244296"/>
    <w:rsid w:val="0024436F"/>
    <w:rsid w:val="002458AE"/>
    <w:rsid w:val="00245E5C"/>
    <w:rsid w:val="002461F9"/>
    <w:rsid w:val="0024691E"/>
    <w:rsid w:val="0024720A"/>
    <w:rsid w:val="00247309"/>
    <w:rsid w:val="00247AE4"/>
    <w:rsid w:val="00247C0F"/>
    <w:rsid w:val="00247C5B"/>
    <w:rsid w:val="00247D88"/>
    <w:rsid w:val="00251749"/>
    <w:rsid w:val="00252278"/>
    <w:rsid w:val="00252788"/>
    <w:rsid w:val="002533F7"/>
    <w:rsid w:val="002538AC"/>
    <w:rsid w:val="00253CCA"/>
    <w:rsid w:val="00254089"/>
    <w:rsid w:val="00254337"/>
    <w:rsid w:val="0025518C"/>
    <w:rsid w:val="00255916"/>
    <w:rsid w:val="00256454"/>
    <w:rsid w:val="0025687D"/>
    <w:rsid w:val="0025710F"/>
    <w:rsid w:val="002604BB"/>
    <w:rsid w:val="00261644"/>
    <w:rsid w:val="002616B7"/>
    <w:rsid w:val="00262887"/>
    <w:rsid w:val="00264220"/>
    <w:rsid w:val="0026444D"/>
    <w:rsid w:val="00266696"/>
    <w:rsid w:val="00267001"/>
    <w:rsid w:val="002674DE"/>
    <w:rsid w:val="00267B62"/>
    <w:rsid w:val="00270AD1"/>
    <w:rsid w:val="00270BF8"/>
    <w:rsid w:val="00271735"/>
    <w:rsid w:val="00272C9D"/>
    <w:rsid w:val="00272DDC"/>
    <w:rsid w:val="002730C8"/>
    <w:rsid w:val="002738B5"/>
    <w:rsid w:val="00273E44"/>
    <w:rsid w:val="00273EB0"/>
    <w:rsid w:val="002749F4"/>
    <w:rsid w:val="0027557F"/>
    <w:rsid w:val="00276D35"/>
    <w:rsid w:val="00280281"/>
    <w:rsid w:val="00280C1E"/>
    <w:rsid w:val="00281577"/>
    <w:rsid w:val="0028199F"/>
    <w:rsid w:val="00281E7C"/>
    <w:rsid w:val="002823A8"/>
    <w:rsid w:val="002828CD"/>
    <w:rsid w:val="00283000"/>
    <w:rsid w:val="002837B9"/>
    <w:rsid w:val="00284436"/>
    <w:rsid w:val="00284E5E"/>
    <w:rsid w:val="00284F17"/>
    <w:rsid w:val="00284FD3"/>
    <w:rsid w:val="00286F2A"/>
    <w:rsid w:val="00287C43"/>
    <w:rsid w:val="002901A6"/>
    <w:rsid w:val="00290D0C"/>
    <w:rsid w:val="00291028"/>
    <w:rsid w:val="002915F0"/>
    <w:rsid w:val="00291D1B"/>
    <w:rsid w:val="002932F0"/>
    <w:rsid w:val="00293BC4"/>
    <w:rsid w:val="0029407A"/>
    <w:rsid w:val="002947B3"/>
    <w:rsid w:val="00295607"/>
    <w:rsid w:val="00295B0C"/>
    <w:rsid w:val="00295F1B"/>
    <w:rsid w:val="00296469"/>
    <w:rsid w:val="00297949"/>
    <w:rsid w:val="00297B1B"/>
    <w:rsid w:val="00297D91"/>
    <w:rsid w:val="002A0802"/>
    <w:rsid w:val="002A1D0C"/>
    <w:rsid w:val="002A1DEE"/>
    <w:rsid w:val="002A2452"/>
    <w:rsid w:val="002A3F64"/>
    <w:rsid w:val="002A452E"/>
    <w:rsid w:val="002A4AFE"/>
    <w:rsid w:val="002A5D13"/>
    <w:rsid w:val="002A5DC1"/>
    <w:rsid w:val="002A64C9"/>
    <w:rsid w:val="002A64F2"/>
    <w:rsid w:val="002A6948"/>
    <w:rsid w:val="002A7B06"/>
    <w:rsid w:val="002A7C91"/>
    <w:rsid w:val="002B0602"/>
    <w:rsid w:val="002B0D47"/>
    <w:rsid w:val="002B13F7"/>
    <w:rsid w:val="002B14A6"/>
    <w:rsid w:val="002B250F"/>
    <w:rsid w:val="002B2587"/>
    <w:rsid w:val="002B2A1E"/>
    <w:rsid w:val="002B32A4"/>
    <w:rsid w:val="002B3A1E"/>
    <w:rsid w:val="002B3ADA"/>
    <w:rsid w:val="002B4554"/>
    <w:rsid w:val="002B52D7"/>
    <w:rsid w:val="002B53EE"/>
    <w:rsid w:val="002B56E9"/>
    <w:rsid w:val="002B5C16"/>
    <w:rsid w:val="002B695E"/>
    <w:rsid w:val="002B6AB2"/>
    <w:rsid w:val="002B6C2B"/>
    <w:rsid w:val="002B7D43"/>
    <w:rsid w:val="002C0F0D"/>
    <w:rsid w:val="002C12C1"/>
    <w:rsid w:val="002C2435"/>
    <w:rsid w:val="002C249B"/>
    <w:rsid w:val="002C25B4"/>
    <w:rsid w:val="002C29B9"/>
    <w:rsid w:val="002C2DC5"/>
    <w:rsid w:val="002C45D7"/>
    <w:rsid w:val="002C475A"/>
    <w:rsid w:val="002C5688"/>
    <w:rsid w:val="002C58C2"/>
    <w:rsid w:val="002C7DB4"/>
    <w:rsid w:val="002C7E0D"/>
    <w:rsid w:val="002D0D37"/>
    <w:rsid w:val="002D290D"/>
    <w:rsid w:val="002D32C9"/>
    <w:rsid w:val="002D37AC"/>
    <w:rsid w:val="002D3DB3"/>
    <w:rsid w:val="002D411B"/>
    <w:rsid w:val="002D4E6E"/>
    <w:rsid w:val="002D52A7"/>
    <w:rsid w:val="002D52B3"/>
    <w:rsid w:val="002D59E9"/>
    <w:rsid w:val="002D5B31"/>
    <w:rsid w:val="002D629A"/>
    <w:rsid w:val="002D69DE"/>
    <w:rsid w:val="002D772C"/>
    <w:rsid w:val="002D7B90"/>
    <w:rsid w:val="002D7DEC"/>
    <w:rsid w:val="002D7FAA"/>
    <w:rsid w:val="002E106B"/>
    <w:rsid w:val="002E1513"/>
    <w:rsid w:val="002E1DED"/>
    <w:rsid w:val="002E210E"/>
    <w:rsid w:val="002E2848"/>
    <w:rsid w:val="002E29A8"/>
    <w:rsid w:val="002E2AA8"/>
    <w:rsid w:val="002E35A0"/>
    <w:rsid w:val="002E453D"/>
    <w:rsid w:val="002E57F1"/>
    <w:rsid w:val="002E5BF0"/>
    <w:rsid w:val="002E648B"/>
    <w:rsid w:val="002E6DB3"/>
    <w:rsid w:val="002E77CD"/>
    <w:rsid w:val="002F007B"/>
    <w:rsid w:val="002F040D"/>
    <w:rsid w:val="002F05F9"/>
    <w:rsid w:val="002F088A"/>
    <w:rsid w:val="002F1593"/>
    <w:rsid w:val="002F236A"/>
    <w:rsid w:val="002F334D"/>
    <w:rsid w:val="002F38CA"/>
    <w:rsid w:val="002F41B0"/>
    <w:rsid w:val="002F445B"/>
    <w:rsid w:val="002F453E"/>
    <w:rsid w:val="002F48AC"/>
    <w:rsid w:val="002F4FC3"/>
    <w:rsid w:val="002F6A26"/>
    <w:rsid w:val="002F71AE"/>
    <w:rsid w:val="002F7756"/>
    <w:rsid w:val="002F7DB4"/>
    <w:rsid w:val="003007D7"/>
    <w:rsid w:val="00301175"/>
    <w:rsid w:val="00301539"/>
    <w:rsid w:val="00301F72"/>
    <w:rsid w:val="00301F98"/>
    <w:rsid w:val="00302867"/>
    <w:rsid w:val="003038B7"/>
    <w:rsid w:val="0030529F"/>
    <w:rsid w:val="00305A74"/>
    <w:rsid w:val="00306362"/>
    <w:rsid w:val="003065E9"/>
    <w:rsid w:val="00306AD4"/>
    <w:rsid w:val="00306D62"/>
    <w:rsid w:val="00307E97"/>
    <w:rsid w:val="00310A9E"/>
    <w:rsid w:val="00311007"/>
    <w:rsid w:val="003119BA"/>
    <w:rsid w:val="00311DF3"/>
    <w:rsid w:val="0031295E"/>
    <w:rsid w:val="003133BF"/>
    <w:rsid w:val="00313731"/>
    <w:rsid w:val="00314E85"/>
    <w:rsid w:val="00315459"/>
    <w:rsid w:val="00315B3C"/>
    <w:rsid w:val="0031640D"/>
    <w:rsid w:val="00316988"/>
    <w:rsid w:val="00316A0E"/>
    <w:rsid w:val="003170C0"/>
    <w:rsid w:val="0031734B"/>
    <w:rsid w:val="0032036B"/>
    <w:rsid w:val="00320688"/>
    <w:rsid w:val="00320F89"/>
    <w:rsid w:val="003215E3"/>
    <w:rsid w:val="003222A3"/>
    <w:rsid w:val="003223C7"/>
    <w:rsid w:val="003226BB"/>
    <w:rsid w:val="00322708"/>
    <w:rsid w:val="003236B7"/>
    <w:rsid w:val="00323A55"/>
    <w:rsid w:val="00323D93"/>
    <w:rsid w:val="00326E14"/>
    <w:rsid w:val="00326F48"/>
    <w:rsid w:val="00327747"/>
    <w:rsid w:val="00330261"/>
    <w:rsid w:val="0033158F"/>
    <w:rsid w:val="003317AC"/>
    <w:rsid w:val="00331D04"/>
    <w:rsid w:val="003322CE"/>
    <w:rsid w:val="0033274C"/>
    <w:rsid w:val="003338BE"/>
    <w:rsid w:val="00333956"/>
    <w:rsid w:val="00333E77"/>
    <w:rsid w:val="00334028"/>
    <w:rsid w:val="0033500D"/>
    <w:rsid w:val="0033518D"/>
    <w:rsid w:val="00335301"/>
    <w:rsid w:val="00335366"/>
    <w:rsid w:val="0033542A"/>
    <w:rsid w:val="00335706"/>
    <w:rsid w:val="00337AEC"/>
    <w:rsid w:val="0034027A"/>
    <w:rsid w:val="00340A3E"/>
    <w:rsid w:val="00340F33"/>
    <w:rsid w:val="0034115C"/>
    <w:rsid w:val="0034206B"/>
    <w:rsid w:val="00342B32"/>
    <w:rsid w:val="00342D3D"/>
    <w:rsid w:val="00342DE0"/>
    <w:rsid w:val="00343497"/>
    <w:rsid w:val="0034393F"/>
    <w:rsid w:val="0034394D"/>
    <w:rsid w:val="00343ABF"/>
    <w:rsid w:val="00343BDF"/>
    <w:rsid w:val="00343EF2"/>
    <w:rsid w:val="00344066"/>
    <w:rsid w:val="0034438B"/>
    <w:rsid w:val="00344B07"/>
    <w:rsid w:val="00345473"/>
    <w:rsid w:val="00345D7C"/>
    <w:rsid w:val="00345E88"/>
    <w:rsid w:val="003460BB"/>
    <w:rsid w:val="00346687"/>
    <w:rsid w:val="003503F9"/>
    <w:rsid w:val="003506B7"/>
    <w:rsid w:val="003516D1"/>
    <w:rsid w:val="00351A6D"/>
    <w:rsid w:val="00351F77"/>
    <w:rsid w:val="00353D91"/>
    <w:rsid w:val="00354310"/>
    <w:rsid w:val="003544D8"/>
    <w:rsid w:val="00355921"/>
    <w:rsid w:val="00355DCC"/>
    <w:rsid w:val="003565FB"/>
    <w:rsid w:val="00357427"/>
    <w:rsid w:val="0035755F"/>
    <w:rsid w:val="00357653"/>
    <w:rsid w:val="00360A9D"/>
    <w:rsid w:val="003614CB"/>
    <w:rsid w:val="00361786"/>
    <w:rsid w:val="00361EA2"/>
    <w:rsid w:val="003621AC"/>
    <w:rsid w:val="00362266"/>
    <w:rsid w:val="003623CF"/>
    <w:rsid w:val="0036271A"/>
    <w:rsid w:val="003634F1"/>
    <w:rsid w:val="00363653"/>
    <w:rsid w:val="00364D2B"/>
    <w:rsid w:val="00364F18"/>
    <w:rsid w:val="00366F19"/>
    <w:rsid w:val="00367EF8"/>
    <w:rsid w:val="00370A82"/>
    <w:rsid w:val="00371A59"/>
    <w:rsid w:val="00371DC5"/>
    <w:rsid w:val="00372371"/>
    <w:rsid w:val="00372954"/>
    <w:rsid w:val="00373632"/>
    <w:rsid w:val="00373BB2"/>
    <w:rsid w:val="00373D79"/>
    <w:rsid w:val="00374CF6"/>
    <w:rsid w:val="00374E95"/>
    <w:rsid w:val="003752E6"/>
    <w:rsid w:val="003755EB"/>
    <w:rsid w:val="00376435"/>
    <w:rsid w:val="00376AB2"/>
    <w:rsid w:val="00377A46"/>
    <w:rsid w:val="00377EBC"/>
    <w:rsid w:val="00380DDA"/>
    <w:rsid w:val="0038114C"/>
    <w:rsid w:val="00381768"/>
    <w:rsid w:val="00382476"/>
    <w:rsid w:val="00382D3E"/>
    <w:rsid w:val="00382F86"/>
    <w:rsid w:val="00383279"/>
    <w:rsid w:val="00383C7B"/>
    <w:rsid w:val="0038444B"/>
    <w:rsid w:val="003849A6"/>
    <w:rsid w:val="00386969"/>
    <w:rsid w:val="00386990"/>
    <w:rsid w:val="0038715F"/>
    <w:rsid w:val="003871B9"/>
    <w:rsid w:val="00387700"/>
    <w:rsid w:val="0039027D"/>
    <w:rsid w:val="00390B82"/>
    <w:rsid w:val="00390CB8"/>
    <w:rsid w:val="00390FBA"/>
    <w:rsid w:val="00391324"/>
    <w:rsid w:val="00391A7F"/>
    <w:rsid w:val="00391F7F"/>
    <w:rsid w:val="003927EA"/>
    <w:rsid w:val="00392CFB"/>
    <w:rsid w:val="0039330F"/>
    <w:rsid w:val="003938D9"/>
    <w:rsid w:val="003944AD"/>
    <w:rsid w:val="00394675"/>
    <w:rsid w:val="00394D37"/>
    <w:rsid w:val="003955C0"/>
    <w:rsid w:val="0039634B"/>
    <w:rsid w:val="00396560"/>
    <w:rsid w:val="00396580"/>
    <w:rsid w:val="0039682E"/>
    <w:rsid w:val="003969E8"/>
    <w:rsid w:val="00396CA5"/>
    <w:rsid w:val="00397ADE"/>
    <w:rsid w:val="003A03BA"/>
    <w:rsid w:val="003A03CF"/>
    <w:rsid w:val="003A09FC"/>
    <w:rsid w:val="003A1448"/>
    <w:rsid w:val="003A1605"/>
    <w:rsid w:val="003A1821"/>
    <w:rsid w:val="003A2007"/>
    <w:rsid w:val="003A2C1A"/>
    <w:rsid w:val="003A3473"/>
    <w:rsid w:val="003A387C"/>
    <w:rsid w:val="003A4075"/>
    <w:rsid w:val="003A4076"/>
    <w:rsid w:val="003A4283"/>
    <w:rsid w:val="003A438D"/>
    <w:rsid w:val="003A4A73"/>
    <w:rsid w:val="003A4B5D"/>
    <w:rsid w:val="003A4CF9"/>
    <w:rsid w:val="003A549E"/>
    <w:rsid w:val="003A5AAB"/>
    <w:rsid w:val="003A68C5"/>
    <w:rsid w:val="003A6CE3"/>
    <w:rsid w:val="003A787B"/>
    <w:rsid w:val="003B0D05"/>
    <w:rsid w:val="003B0E35"/>
    <w:rsid w:val="003B129E"/>
    <w:rsid w:val="003B1394"/>
    <w:rsid w:val="003B1D1D"/>
    <w:rsid w:val="003B1DB7"/>
    <w:rsid w:val="003B2728"/>
    <w:rsid w:val="003B33A4"/>
    <w:rsid w:val="003B349C"/>
    <w:rsid w:val="003B37C9"/>
    <w:rsid w:val="003B3A1F"/>
    <w:rsid w:val="003B4DEA"/>
    <w:rsid w:val="003B512F"/>
    <w:rsid w:val="003B62E5"/>
    <w:rsid w:val="003B778D"/>
    <w:rsid w:val="003B7CB2"/>
    <w:rsid w:val="003B7FCB"/>
    <w:rsid w:val="003C07AD"/>
    <w:rsid w:val="003C1467"/>
    <w:rsid w:val="003C1531"/>
    <w:rsid w:val="003C2188"/>
    <w:rsid w:val="003C2C3D"/>
    <w:rsid w:val="003C30E5"/>
    <w:rsid w:val="003C47A1"/>
    <w:rsid w:val="003C491E"/>
    <w:rsid w:val="003C553A"/>
    <w:rsid w:val="003C5C27"/>
    <w:rsid w:val="003C6C6C"/>
    <w:rsid w:val="003C6EA7"/>
    <w:rsid w:val="003C7187"/>
    <w:rsid w:val="003C72A8"/>
    <w:rsid w:val="003C771E"/>
    <w:rsid w:val="003C78FF"/>
    <w:rsid w:val="003D008D"/>
    <w:rsid w:val="003D02D0"/>
    <w:rsid w:val="003D0740"/>
    <w:rsid w:val="003D0762"/>
    <w:rsid w:val="003D078B"/>
    <w:rsid w:val="003D0FB5"/>
    <w:rsid w:val="003D14E2"/>
    <w:rsid w:val="003D1B8C"/>
    <w:rsid w:val="003D31CA"/>
    <w:rsid w:val="003D3206"/>
    <w:rsid w:val="003D3479"/>
    <w:rsid w:val="003D385D"/>
    <w:rsid w:val="003D3922"/>
    <w:rsid w:val="003D3B0D"/>
    <w:rsid w:val="003D3F65"/>
    <w:rsid w:val="003D4681"/>
    <w:rsid w:val="003D471B"/>
    <w:rsid w:val="003D4DC3"/>
    <w:rsid w:val="003D526B"/>
    <w:rsid w:val="003D5B82"/>
    <w:rsid w:val="003D6664"/>
    <w:rsid w:val="003D6968"/>
    <w:rsid w:val="003D6B9A"/>
    <w:rsid w:val="003D7D90"/>
    <w:rsid w:val="003E0029"/>
    <w:rsid w:val="003E120C"/>
    <w:rsid w:val="003E16F4"/>
    <w:rsid w:val="003E24F5"/>
    <w:rsid w:val="003E2E4A"/>
    <w:rsid w:val="003E30A5"/>
    <w:rsid w:val="003E3458"/>
    <w:rsid w:val="003E503F"/>
    <w:rsid w:val="003E5196"/>
    <w:rsid w:val="003E5C67"/>
    <w:rsid w:val="003E6A11"/>
    <w:rsid w:val="003E6DD4"/>
    <w:rsid w:val="003E71D9"/>
    <w:rsid w:val="003E770E"/>
    <w:rsid w:val="003E77DD"/>
    <w:rsid w:val="003E7AFF"/>
    <w:rsid w:val="003F02D8"/>
    <w:rsid w:val="003F049F"/>
    <w:rsid w:val="003F0B4B"/>
    <w:rsid w:val="003F0E7A"/>
    <w:rsid w:val="003F107D"/>
    <w:rsid w:val="003F321C"/>
    <w:rsid w:val="003F3D6C"/>
    <w:rsid w:val="003F3E3B"/>
    <w:rsid w:val="003F45B3"/>
    <w:rsid w:val="003F54ED"/>
    <w:rsid w:val="003F5563"/>
    <w:rsid w:val="003F5B8C"/>
    <w:rsid w:val="003F6066"/>
    <w:rsid w:val="003F64B2"/>
    <w:rsid w:val="003F65B4"/>
    <w:rsid w:val="003F6F3D"/>
    <w:rsid w:val="003F7EDA"/>
    <w:rsid w:val="003F7F37"/>
    <w:rsid w:val="003F7F6E"/>
    <w:rsid w:val="00400D4E"/>
    <w:rsid w:val="00401122"/>
    <w:rsid w:val="00402043"/>
    <w:rsid w:val="00402198"/>
    <w:rsid w:val="00402727"/>
    <w:rsid w:val="00402EBD"/>
    <w:rsid w:val="004032BF"/>
    <w:rsid w:val="00403703"/>
    <w:rsid w:val="00403831"/>
    <w:rsid w:val="004043CC"/>
    <w:rsid w:val="004050C6"/>
    <w:rsid w:val="00405836"/>
    <w:rsid w:val="00406175"/>
    <w:rsid w:val="00406B63"/>
    <w:rsid w:val="00407866"/>
    <w:rsid w:val="00407B6E"/>
    <w:rsid w:val="00411025"/>
    <w:rsid w:val="00411CCF"/>
    <w:rsid w:val="00412F66"/>
    <w:rsid w:val="00414A90"/>
    <w:rsid w:val="00414D7C"/>
    <w:rsid w:val="004157D9"/>
    <w:rsid w:val="004170A7"/>
    <w:rsid w:val="004173B7"/>
    <w:rsid w:val="004174FC"/>
    <w:rsid w:val="0042075B"/>
    <w:rsid w:val="0042097B"/>
    <w:rsid w:val="00420C98"/>
    <w:rsid w:val="004213F3"/>
    <w:rsid w:val="00422071"/>
    <w:rsid w:val="00422E1C"/>
    <w:rsid w:val="00423342"/>
    <w:rsid w:val="00424E8C"/>
    <w:rsid w:val="00425337"/>
    <w:rsid w:val="0043025F"/>
    <w:rsid w:val="004309CE"/>
    <w:rsid w:val="00430EB3"/>
    <w:rsid w:val="00430EB7"/>
    <w:rsid w:val="0043114C"/>
    <w:rsid w:val="00431448"/>
    <w:rsid w:val="004315E8"/>
    <w:rsid w:val="00431D92"/>
    <w:rsid w:val="0043271B"/>
    <w:rsid w:val="0043291D"/>
    <w:rsid w:val="004332C6"/>
    <w:rsid w:val="00433387"/>
    <w:rsid w:val="0043407D"/>
    <w:rsid w:val="00434559"/>
    <w:rsid w:val="00434799"/>
    <w:rsid w:val="00434F6F"/>
    <w:rsid w:val="004361C7"/>
    <w:rsid w:val="0043677D"/>
    <w:rsid w:val="00436836"/>
    <w:rsid w:val="00437637"/>
    <w:rsid w:val="004404BA"/>
    <w:rsid w:val="00440FAF"/>
    <w:rsid w:val="00441F8E"/>
    <w:rsid w:val="00442CA7"/>
    <w:rsid w:val="0044353D"/>
    <w:rsid w:val="00443710"/>
    <w:rsid w:val="0044376C"/>
    <w:rsid w:val="00443EF6"/>
    <w:rsid w:val="004440B6"/>
    <w:rsid w:val="004441E8"/>
    <w:rsid w:val="0044449F"/>
    <w:rsid w:val="00444F1B"/>
    <w:rsid w:val="004469F4"/>
    <w:rsid w:val="00446D40"/>
    <w:rsid w:val="00446EBF"/>
    <w:rsid w:val="004472F3"/>
    <w:rsid w:val="0045057B"/>
    <w:rsid w:val="00451EBD"/>
    <w:rsid w:val="00452149"/>
    <w:rsid w:val="004523D8"/>
    <w:rsid w:val="00452DF4"/>
    <w:rsid w:val="00454D6D"/>
    <w:rsid w:val="00454DE1"/>
    <w:rsid w:val="00455304"/>
    <w:rsid w:val="004559CE"/>
    <w:rsid w:val="00457715"/>
    <w:rsid w:val="004577A9"/>
    <w:rsid w:val="004579EE"/>
    <w:rsid w:val="00460206"/>
    <w:rsid w:val="00460C53"/>
    <w:rsid w:val="00460E8E"/>
    <w:rsid w:val="00461174"/>
    <w:rsid w:val="00461345"/>
    <w:rsid w:val="00461A96"/>
    <w:rsid w:val="00462042"/>
    <w:rsid w:val="004627A9"/>
    <w:rsid w:val="00462C83"/>
    <w:rsid w:val="00462F13"/>
    <w:rsid w:val="00463F02"/>
    <w:rsid w:val="0046411F"/>
    <w:rsid w:val="004643E6"/>
    <w:rsid w:val="00464684"/>
    <w:rsid w:val="00464E68"/>
    <w:rsid w:val="00464E9F"/>
    <w:rsid w:val="00464EFA"/>
    <w:rsid w:val="004664F0"/>
    <w:rsid w:val="0046775A"/>
    <w:rsid w:val="0047022C"/>
    <w:rsid w:val="00470605"/>
    <w:rsid w:val="00471041"/>
    <w:rsid w:val="00471B11"/>
    <w:rsid w:val="00471B4A"/>
    <w:rsid w:val="00471F2A"/>
    <w:rsid w:val="0047259E"/>
    <w:rsid w:val="0047276F"/>
    <w:rsid w:val="00473EC2"/>
    <w:rsid w:val="00473EE3"/>
    <w:rsid w:val="0047420C"/>
    <w:rsid w:val="004754AD"/>
    <w:rsid w:val="004755CC"/>
    <w:rsid w:val="00475938"/>
    <w:rsid w:val="00475F39"/>
    <w:rsid w:val="00476DDB"/>
    <w:rsid w:val="00480257"/>
    <w:rsid w:val="00480505"/>
    <w:rsid w:val="00480B8C"/>
    <w:rsid w:val="00481632"/>
    <w:rsid w:val="00481CF4"/>
    <w:rsid w:val="00482FE8"/>
    <w:rsid w:val="004833F1"/>
    <w:rsid w:val="00484A0D"/>
    <w:rsid w:val="00484B65"/>
    <w:rsid w:val="004854C8"/>
    <w:rsid w:val="00485F59"/>
    <w:rsid w:val="0048772B"/>
    <w:rsid w:val="00487C26"/>
    <w:rsid w:val="00487F7A"/>
    <w:rsid w:val="00491FD0"/>
    <w:rsid w:val="00491FD4"/>
    <w:rsid w:val="00492BF3"/>
    <w:rsid w:val="00493D0E"/>
    <w:rsid w:val="00495B24"/>
    <w:rsid w:val="00495B8A"/>
    <w:rsid w:val="00495E45"/>
    <w:rsid w:val="00496B14"/>
    <w:rsid w:val="00496FE3"/>
    <w:rsid w:val="00497745"/>
    <w:rsid w:val="00497790"/>
    <w:rsid w:val="00497B7F"/>
    <w:rsid w:val="00497C2C"/>
    <w:rsid w:val="004A05C1"/>
    <w:rsid w:val="004A1982"/>
    <w:rsid w:val="004A2221"/>
    <w:rsid w:val="004A2DB1"/>
    <w:rsid w:val="004A3473"/>
    <w:rsid w:val="004A3816"/>
    <w:rsid w:val="004A3927"/>
    <w:rsid w:val="004A3A08"/>
    <w:rsid w:val="004A3B17"/>
    <w:rsid w:val="004A3B78"/>
    <w:rsid w:val="004A4249"/>
    <w:rsid w:val="004A46D8"/>
    <w:rsid w:val="004A6C13"/>
    <w:rsid w:val="004A759F"/>
    <w:rsid w:val="004A782B"/>
    <w:rsid w:val="004A7CBF"/>
    <w:rsid w:val="004B00EE"/>
    <w:rsid w:val="004B13BE"/>
    <w:rsid w:val="004B184E"/>
    <w:rsid w:val="004B2435"/>
    <w:rsid w:val="004B2981"/>
    <w:rsid w:val="004B2D60"/>
    <w:rsid w:val="004B3B43"/>
    <w:rsid w:val="004B43F8"/>
    <w:rsid w:val="004B512E"/>
    <w:rsid w:val="004B5B4B"/>
    <w:rsid w:val="004B5C20"/>
    <w:rsid w:val="004B6014"/>
    <w:rsid w:val="004B61A0"/>
    <w:rsid w:val="004B65C3"/>
    <w:rsid w:val="004B6752"/>
    <w:rsid w:val="004B6D4D"/>
    <w:rsid w:val="004C0946"/>
    <w:rsid w:val="004C0B69"/>
    <w:rsid w:val="004C1363"/>
    <w:rsid w:val="004C1EB5"/>
    <w:rsid w:val="004C276A"/>
    <w:rsid w:val="004C28A4"/>
    <w:rsid w:val="004C2B09"/>
    <w:rsid w:val="004C2B2A"/>
    <w:rsid w:val="004C426F"/>
    <w:rsid w:val="004C551E"/>
    <w:rsid w:val="004C5CCA"/>
    <w:rsid w:val="004C7181"/>
    <w:rsid w:val="004C7223"/>
    <w:rsid w:val="004C7609"/>
    <w:rsid w:val="004C7C06"/>
    <w:rsid w:val="004C7D39"/>
    <w:rsid w:val="004D0820"/>
    <w:rsid w:val="004D085A"/>
    <w:rsid w:val="004D0F1E"/>
    <w:rsid w:val="004D1F94"/>
    <w:rsid w:val="004D2144"/>
    <w:rsid w:val="004D21FA"/>
    <w:rsid w:val="004D2564"/>
    <w:rsid w:val="004D2D2B"/>
    <w:rsid w:val="004D4126"/>
    <w:rsid w:val="004D5144"/>
    <w:rsid w:val="004D6211"/>
    <w:rsid w:val="004D71D2"/>
    <w:rsid w:val="004D7692"/>
    <w:rsid w:val="004E0EB7"/>
    <w:rsid w:val="004E1449"/>
    <w:rsid w:val="004E167D"/>
    <w:rsid w:val="004E2061"/>
    <w:rsid w:val="004E230C"/>
    <w:rsid w:val="004E2563"/>
    <w:rsid w:val="004E368C"/>
    <w:rsid w:val="004E37ED"/>
    <w:rsid w:val="004E3E61"/>
    <w:rsid w:val="004E41DC"/>
    <w:rsid w:val="004E48FF"/>
    <w:rsid w:val="004E4CAC"/>
    <w:rsid w:val="004E5544"/>
    <w:rsid w:val="004E5741"/>
    <w:rsid w:val="004E5D36"/>
    <w:rsid w:val="004E666A"/>
    <w:rsid w:val="004E6864"/>
    <w:rsid w:val="004F0E49"/>
    <w:rsid w:val="004F1465"/>
    <w:rsid w:val="004F1A63"/>
    <w:rsid w:val="004F32E4"/>
    <w:rsid w:val="004F440E"/>
    <w:rsid w:val="004F47F4"/>
    <w:rsid w:val="004F4DDC"/>
    <w:rsid w:val="004F53A6"/>
    <w:rsid w:val="004F5F21"/>
    <w:rsid w:val="004F7DC6"/>
    <w:rsid w:val="005018C6"/>
    <w:rsid w:val="005021FC"/>
    <w:rsid w:val="00502FF1"/>
    <w:rsid w:val="00503999"/>
    <w:rsid w:val="00503BF3"/>
    <w:rsid w:val="0050425B"/>
    <w:rsid w:val="00505052"/>
    <w:rsid w:val="00505166"/>
    <w:rsid w:val="00505494"/>
    <w:rsid w:val="00507C75"/>
    <w:rsid w:val="00510A95"/>
    <w:rsid w:val="005115C1"/>
    <w:rsid w:val="005151A9"/>
    <w:rsid w:val="00515535"/>
    <w:rsid w:val="00515628"/>
    <w:rsid w:val="005156DE"/>
    <w:rsid w:val="005202E1"/>
    <w:rsid w:val="00520486"/>
    <w:rsid w:val="00520E0A"/>
    <w:rsid w:val="00520F41"/>
    <w:rsid w:val="0052109C"/>
    <w:rsid w:val="005211C3"/>
    <w:rsid w:val="0052130E"/>
    <w:rsid w:val="00521A97"/>
    <w:rsid w:val="00521AAE"/>
    <w:rsid w:val="00522864"/>
    <w:rsid w:val="005228F7"/>
    <w:rsid w:val="005229E8"/>
    <w:rsid w:val="00522E04"/>
    <w:rsid w:val="005236E4"/>
    <w:rsid w:val="0052402B"/>
    <w:rsid w:val="005243C5"/>
    <w:rsid w:val="0052494C"/>
    <w:rsid w:val="005259A4"/>
    <w:rsid w:val="00525A04"/>
    <w:rsid w:val="00527AA4"/>
    <w:rsid w:val="00527D6A"/>
    <w:rsid w:val="00527FDB"/>
    <w:rsid w:val="005300D6"/>
    <w:rsid w:val="00532557"/>
    <w:rsid w:val="005328B3"/>
    <w:rsid w:val="005331A3"/>
    <w:rsid w:val="00534221"/>
    <w:rsid w:val="005347E5"/>
    <w:rsid w:val="00534B15"/>
    <w:rsid w:val="00535630"/>
    <w:rsid w:val="00535A31"/>
    <w:rsid w:val="00536A2C"/>
    <w:rsid w:val="00536E8C"/>
    <w:rsid w:val="00537063"/>
    <w:rsid w:val="005370F5"/>
    <w:rsid w:val="00540400"/>
    <w:rsid w:val="0054108C"/>
    <w:rsid w:val="00541509"/>
    <w:rsid w:val="00541EF9"/>
    <w:rsid w:val="00542343"/>
    <w:rsid w:val="00543648"/>
    <w:rsid w:val="00543CD7"/>
    <w:rsid w:val="00544634"/>
    <w:rsid w:val="0054484F"/>
    <w:rsid w:val="00545E99"/>
    <w:rsid w:val="00546B9D"/>
    <w:rsid w:val="0054731D"/>
    <w:rsid w:val="00547568"/>
    <w:rsid w:val="005475B0"/>
    <w:rsid w:val="005476E3"/>
    <w:rsid w:val="0055062B"/>
    <w:rsid w:val="00550BAD"/>
    <w:rsid w:val="00550EB5"/>
    <w:rsid w:val="00550FCA"/>
    <w:rsid w:val="00551A04"/>
    <w:rsid w:val="00553BEB"/>
    <w:rsid w:val="005545A1"/>
    <w:rsid w:val="005545F4"/>
    <w:rsid w:val="0055490F"/>
    <w:rsid w:val="00554DF4"/>
    <w:rsid w:val="005550C2"/>
    <w:rsid w:val="0055600C"/>
    <w:rsid w:val="00556458"/>
    <w:rsid w:val="00556BB0"/>
    <w:rsid w:val="00556C3A"/>
    <w:rsid w:val="00560358"/>
    <w:rsid w:val="00560C7B"/>
    <w:rsid w:val="00561778"/>
    <w:rsid w:val="00562326"/>
    <w:rsid w:val="00562B4D"/>
    <w:rsid w:val="00562FF7"/>
    <w:rsid w:val="005643FF"/>
    <w:rsid w:val="00565357"/>
    <w:rsid w:val="00565A06"/>
    <w:rsid w:val="005668D3"/>
    <w:rsid w:val="00566DC7"/>
    <w:rsid w:val="00566E6A"/>
    <w:rsid w:val="00571218"/>
    <w:rsid w:val="005719F7"/>
    <w:rsid w:val="00571DC5"/>
    <w:rsid w:val="00571DF2"/>
    <w:rsid w:val="005722BB"/>
    <w:rsid w:val="00574167"/>
    <w:rsid w:val="005743F1"/>
    <w:rsid w:val="00574BB7"/>
    <w:rsid w:val="005751B0"/>
    <w:rsid w:val="0057576E"/>
    <w:rsid w:val="00576D28"/>
    <w:rsid w:val="00577154"/>
    <w:rsid w:val="00577512"/>
    <w:rsid w:val="00577F92"/>
    <w:rsid w:val="0058067B"/>
    <w:rsid w:val="00580EE7"/>
    <w:rsid w:val="00581B2F"/>
    <w:rsid w:val="00581C1A"/>
    <w:rsid w:val="00581F5D"/>
    <w:rsid w:val="00582617"/>
    <w:rsid w:val="00583596"/>
    <w:rsid w:val="00584666"/>
    <w:rsid w:val="00584A04"/>
    <w:rsid w:val="005856B6"/>
    <w:rsid w:val="005861AC"/>
    <w:rsid w:val="00586FFC"/>
    <w:rsid w:val="00587715"/>
    <w:rsid w:val="0058778D"/>
    <w:rsid w:val="00587802"/>
    <w:rsid w:val="00587DDA"/>
    <w:rsid w:val="00591D7C"/>
    <w:rsid w:val="00591FBC"/>
    <w:rsid w:val="005938D2"/>
    <w:rsid w:val="00593955"/>
    <w:rsid w:val="00593C4C"/>
    <w:rsid w:val="00594E9B"/>
    <w:rsid w:val="005950A8"/>
    <w:rsid w:val="0059577F"/>
    <w:rsid w:val="00595F82"/>
    <w:rsid w:val="005965E4"/>
    <w:rsid w:val="0059680E"/>
    <w:rsid w:val="00596889"/>
    <w:rsid w:val="00596E8C"/>
    <w:rsid w:val="00596F98"/>
    <w:rsid w:val="0059723E"/>
    <w:rsid w:val="00597633"/>
    <w:rsid w:val="00597E9D"/>
    <w:rsid w:val="00597F3A"/>
    <w:rsid w:val="00597F8C"/>
    <w:rsid w:val="005A046B"/>
    <w:rsid w:val="005A08D8"/>
    <w:rsid w:val="005A0B5F"/>
    <w:rsid w:val="005A0EC7"/>
    <w:rsid w:val="005A10C4"/>
    <w:rsid w:val="005A1B44"/>
    <w:rsid w:val="005A1FB1"/>
    <w:rsid w:val="005A201B"/>
    <w:rsid w:val="005A2022"/>
    <w:rsid w:val="005A237D"/>
    <w:rsid w:val="005A3E64"/>
    <w:rsid w:val="005A5EBC"/>
    <w:rsid w:val="005A76EE"/>
    <w:rsid w:val="005A7C8B"/>
    <w:rsid w:val="005A7DFB"/>
    <w:rsid w:val="005B03B8"/>
    <w:rsid w:val="005B1130"/>
    <w:rsid w:val="005B12C3"/>
    <w:rsid w:val="005B1BBC"/>
    <w:rsid w:val="005B2F67"/>
    <w:rsid w:val="005B35A1"/>
    <w:rsid w:val="005B38A0"/>
    <w:rsid w:val="005B3964"/>
    <w:rsid w:val="005B4892"/>
    <w:rsid w:val="005B48F7"/>
    <w:rsid w:val="005B5CDA"/>
    <w:rsid w:val="005B6265"/>
    <w:rsid w:val="005B6E11"/>
    <w:rsid w:val="005B704D"/>
    <w:rsid w:val="005B7194"/>
    <w:rsid w:val="005B7992"/>
    <w:rsid w:val="005B7BEA"/>
    <w:rsid w:val="005C009F"/>
    <w:rsid w:val="005C0AB4"/>
    <w:rsid w:val="005C1431"/>
    <w:rsid w:val="005C1631"/>
    <w:rsid w:val="005C2024"/>
    <w:rsid w:val="005C27AD"/>
    <w:rsid w:val="005C2F66"/>
    <w:rsid w:val="005C47A5"/>
    <w:rsid w:val="005C47AE"/>
    <w:rsid w:val="005C637C"/>
    <w:rsid w:val="005C688A"/>
    <w:rsid w:val="005C7797"/>
    <w:rsid w:val="005D0071"/>
    <w:rsid w:val="005D061E"/>
    <w:rsid w:val="005D1823"/>
    <w:rsid w:val="005D1DAF"/>
    <w:rsid w:val="005D2DF6"/>
    <w:rsid w:val="005D31B4"/>
    <w:rsid w:val="005D31FD"/>
    <w:rsid w:val="005D4BDD"/>
    <w:rsid w:val="005D519D"/>
    <w:rsid w:val="005D5DDA"/>
    <w:rsid w:val="005D5F4A"/>
    <w:rsid w:val="005D6660"/>
    <w:rsid w:val="005D71AA"/>
    <w:rsid w:val="005D7796"/>
    <w:rsid w:val="005D79DB"/>
    <w:rsid w:val="005D7DC0"/>
    <w:rsid w:val="005E012A"/>
    <w:rsid w:val="005E0237"/>
    <w:rsid w:val="005E0AED"/>
    <w:rsid w:val="005E0BBB"/>
    <w:rsid w:val="005E1B63"/>
    <w:rsid w:val="005E27FD"/>
    <w:rsid w:val="005E2DC8"/>
    <w:rsid w:val="005E361E"/>
    <w:rsid w:val="005E3F10"/>
    <w:rsid w:val="005E59F1"/>
    <w:rsid w:val="005E5B1A"/>
    <w:rsid w:val="005E6245"/>
    <w:rsid w:val="005E6417"/>
    <w:rsid w:val="005E67F1"/>
    <w:rsid w:val="005E6E3C"/>
    <w:rsid w:val="005E701F"/>
    <w:rsid w:val="005E77FE"/>
    <w:rsid w:val="005E7EE1"/>
    <w:rsid w:val="005F02A0"/>
    <w:rsid w:val="005F05C1"/>
    <w:rsid w:val="005F14D0"/>
    <w:rsid w:val="005F238C"/>
    <w:rsid w:val="005F335B"/>
    <w:rsid w:val="005F3F24"/>
    <w:rsid w:val="005F429B"/>
    <w:rsid w:val="005F46AB"/>
    <w:rsid w:val="005F4EE4"/>
    <w:rsid w:val="005F5987"/>
    <w:rsid w:val="005F667E"/>
    <w:rsid w:val="005F6ABF"/>
    <w:rsid w:val="005F70AC"/>
    <w:rsid w:val="005F73B9"/>
    <w:rsid w:val="005F749D"/>
    <w:rsid w:val="005F79F9"/>
    <w:rsid w:val="006009A6"/>
    <w:rsid w:val="00601EDD"/>
    <w:rsid w:val="00602B69"/>
    <w:rsid w:val="0060379F"/>
    <w:rsid w:val="00603E88"/>
    <w:rsid w:val="00604430"/>
    <w:rsid w:val="00604702"/>
    <w:rsid w:val="00605813"/>
    <w:rsid w:val="00605AEA"/>
    <w:rsid w:val="00605E7F"/>
    <w:rsid w:val="0060684E"/>
    <w:rsid w:val="00606A33"/>
    <w:rsid w:val="00607110"/>
    <w:rsid w:val="00607332"/>
    <w:rsid w:val="006113BB"/>
    <w:rsid w:val="00611453"/>
    <w:rsid w:val="00611472"/>
    <w:rsid w:val="006134C8"/>
    <w:rsid w:val="00613900"/>
    <w:rsid w:val="00613EA6"/>
    <w:rsid w:val="00614030"/>
    <w:rsid w:val="00614F02"/>
    <w:rsid w:val="006151BE"/>
    <w:rsid w:val="0061567E"/>
    <w:rsid w:val="006157B6"/>
    <w:rsid w:val="00615856"/>
    <w:rsid w:val="00616B43"/>
    <w:rsid w:val="006175F0"/>
    <w:rsid w:val="00617E88"/>
    <w:rsid w:val="006204BF"/>
    <w:rsid w:val="0062085C"/>
    <w:rsid w:val="00620C30"/>
    <w:rsid w:val="00621000"/>
    <w:rsid w:val="00621BEC"/>
    <w:rsid w:val="00621C32"/>
    <w:rsid w:val="0062224F"/>
    <w:rsid w:val="00622548"/>
    <w:rsid w:val="0062408A"/>
    <w:rsid w:val="006244FA"/>
    <w:rsid w:val="006247F0"/>
    <w:rsid w:val="00624E9D"/>
    <w:rsid w:val="00625978"/>
    <w:rsid w:val="006265BB"/>
    <w:rsid w:val="006274A0"/>
    <w:rsid w:val="00627D77"/>
    <w:rsid w:val="006302A7"/>
    <w:rsid w:val="00630718"/>
    <w:rsid w:val="00630BA7"/>
    <w:rsid w:val="0063119A"/>
    <w:rsid w:val="006311AA"/>
    <w:rsid w:val="00631D1D"/>
    <w:rsid w:val="00631D2A"/>
    <w:rsid w:val="00631DA9"/>
    <w:rsid w:val="00632215"/>
    <w:rsid w:val="0063301C"/>
    <w:rsid w:val="00633572"/>
    <w:rsid w:val="006338BD"/>
    <w:rsid w:val="00634179"/>
    <w:rsid w:val="0063557F"/>
    <w:rsid w:val="00635FDF"/>
    <w:rsid w:val="0063637A"/>
    <w:rsid w:val="00636CCB"/>
    <w:rsid w:val="00636DF7"/>
    <w:rsid w:val="00637107"/>
    <w:rsid w:val="0063755D"/>
    <w:rsid w:val="00637573"/>
    <w:rsid w:val="00637E09"/>
    <w:rsid w:val="006407C1"/>
    <w:rsid w:val="0064193F"/>
    <w:rsid w:val="00641E76"/>
    <w:rsid w:val="006426F1"/>
    <w:rsid w:val="006439B2"/>
    <w:rsid w:val="0064445D"/>
    <w:rsid w:val="00644BCB"/>
    <w:rsid w:val="00644EAA"/>
    <w:rsid w:val="0064557B"/>
    <w:rsid w:val="00646353"/>
    <w:rsid w:val="00646AD2"/>
    <w:rsid w:val="006472F0"/>
    <w:rsid w:val="00647557"/>
    <w:rsid w:val="0064798C"/>
    <w:rsid w:val="00647DC0"/>
    <w:rsid w:val="00650ACC"/>
    <w:rsid w:val="00650FFE"/>
    <w:rsid w:val="00651299"/>
    <w:rsid w:val="00651CBB"/>
    <w:rsid w:val="00652116"/>
    <w:rsid w:val="006522AD"/>
    <w:rsid w:val="0065291C"/>
    <w:rsid w:val="00652A7E"/>
    <w:rsid w:val="00653174"/>
    <w:rsid w:val="006540D5"/>
    <w:rsid w:val="0065422F"/>
    <w:rsid w:val="0065514D"/>
    <w:rsid w:val="006553E1"/>
    <w:rsid w:val="00656475"/>
    <w:rsid w:val="00656C17"/>
    <w:rsid w:val="00656D53"/>
    <w:rsid w:val="006570D1"/>
    <w:rsid w:val="0065727C"/>
    <w:rsid w:val="00657298"/>
    <w:rsid w:val="00657357"/>
    <w:rsid w:val="006578A8"/>
    <w:rsid w:val="00660214"/>
    <w:rsid w:val="0066051B"/>
    <w:rsid w:val="00661859"/>
    <w:rsid w:val="00661A21"/>
    <w:rsid w:val="006621EA"/>
    <w:rsid w:val="006628FA"/>
    <w:rsid w:val="00663617"/>
    <w:rsid w:val="00663DC0"/>
    <w:rsid w:val="0066445B"/>
    <w:rsid w:val="00666223"/>
    <w:rsid w:val="0066705E"/>
    <w:rsid w:val="0066711F"/>
    <w:rsid w:val="00670E5C"/>
    <w:rsid w:val="00670F27"/>
    <w:rsid w:val="00671206"/>
    <w:rsid w:val="00671B91"/>
    <w:rsid w:val="00671F5E"/>
    <w:rsid w:val="00672065"/>
    <w:rsid w:val="00672096"/>
    <w:rsid w:val="0067241B"/>
    <w:rsid w:val="00673182"/>
    <w:rsid w:val="00673277"/>
    <w:rsid w:val="00673A48"/>
    <w:rsid w:val="00674628"/>
    <w:rsid w:val="00674785"/>
    <w:rsid w:val="00674B4A"/>
    <w:rsid w:val="006762CA"/>
    <w:rsid w:val="0067715B"/>
    <w:rsid w:val="00677799"/>
    <w:rsid w:val="00677B80"/>
    <w:rsid w:val="006813BE"/>
    <w:rsid w:val="006822A6"/>
    <w:rsid w:val="0068292A"/>
    <w:rsid w:val="00684122"/>
    <w:rsid w:val="0068466D"/>
    <w:rsid w:val="00684847"/>
    <w:rsid w:val="0068492E"/>
    <w:rsid w:val="00684AFE"/>
    <w:rsid w:val="00685F24"/>
    <w:rsid w:val="006868DF"/>
    <w:rsid w:val="0068699F"/>
    <w:rsid w:val="00687444"/>
    <w:rsid w:val="006905D6"/>
    <w:rsid w:val="0069069A"/>
    <w:rsid w:val="00690EA5"/>
    <w:rsid w:val="00691114"/>
    <w:rsid w:val="006913B5"/>
    <w:rsid w:val="006917F9"/>
    <w:rsid w:val="00691EFF"/>
    <w:rsid w:val="00692438"/>
    <w:rsid w:val="006924EC"/>
    <w:rsid w:val="006928CF"/>
    <w:rsid w:val="00693D78"/>
    <w:rsid w:val="006941C6"/>
    <w:rsid w:val="00694A85"/>
    <w:rsid w:val="0069575B"/>
    <w:rsid w:val="0069588B"/>
    <w:rsid w:val="00696D43"/>
    <w:rsid w:val="0069774B"/>
    <w:rsid w:val="00697FEA"/>
    <w:rsid w:val="006A00E0"/>
    <w:rsid w:val="006A0432"/>
    <w:rsid w:val="006A0619"/>
    <w:rsid w:val="006A1449"/>
    <w:rsid w:val="006A1CD2"/>
    <w:rsid w:val="006A2501"/>
    <w:rsid w:val="006A352C"/>
    <w:rsid w:val="006A3CB2"/>
    <w:rsid w:val="006A41CC"/>
    <w:rsid w:val="006A445C"/>
    <w:rsid w:val="006A4A0A"/>
    <w:rsid w:val="006A532B"/>
    <w:rsid w:val="006A55FC"/>
    <w:rsid w:val="006A5A00"/>
    <w:rsid w:val="006A698E"/>
    <w:rsid w:val="006A69F5"/>
    <w:rsid w:val="006A6EBD"/>
    <w:rsid w:val="006A73DA"/>
    <w:rsid w:val="006A7EF3"/>
    <w:rsid w:val="006B0015"/>
    <w:rsid w:val="006B0369"/>
    <w:rsid w:val="006B0747"/>
    <w:rsid w:val="006B0BD5"/>
    <w:rsid w:val="006B17BB"/>
    <w:rsid w:val="006B26E5"/>
    <w:rsid w:val="006B4331"/>
    <w:rsid w:val="006B4668"/>
    <w:rsid w:val="006B5112"/>
    <w:rsid w:val="006B5551"/>
    <w:rsid w:val="006B6810"/>
    <w:rsid w:val="006B783D"/>
    <w:rsid w:val="006B7F51"/>
    <w:rsid w:val="006C1356"/>
    <w:rsid w:val="006C153F"/>
    <w:rsid w:val="006C18B2"/>
    <w:rsid w:val="006C1F63"/>
    <w:rsid w:val="006C224D"/>
    <w:rsid w:val="006C2337"/>
    <w:rsid w:val="006C24AA"/>
    <w:rsid w:val="006C2953"/>
    <w:rsid w:val="006C2B31"/>
    <w:rsid w:val="006C2D29"/>
    <w:rsid w:val="006C39C6"/>
    <w:rsid w:val="006C4846"/>
    <w:rsid w:val="006C4A6C"/>
    <w:rsid w:val="006C5BDC"/>
    <w:rsid w:val="006C68C9"/>
    <w:rsid w:val="006C74B5"/>
    <w:rsid w:val="006C76E1"/>
    <w:rsid w:val="006C7DE8"/>
    <w:rsid w:val="006C7EEA"/>
    <w:rsid w:val="006D03BC"/>
    <w:rsid w:val="006D0B3E"/>
    <w:rsid w:val="006D16D4"/>
    <w:rsid w:val="006D1942"/>
    <w:rsid w:val="006D20A2"/>
    <w:rsid w:val="006D2717"/>
    <w:rsid w:val="006D2CA9"/>
    <w:rsid w:val="006D3288"/>
    <w:rsid w:val="006D34AE"/>
    <w:rsid w:val="006D3922"/>
    <w:rsid w:val="006D3C7B"/>
    <w:rsid w:val="006D3DD7"/>
    <w:rsid w:val="006D4122"/>
    <w:rsid w:val="006D5818"/>
    <w:rsid w:val="006D5C5B"/>
    <w:rsid w:val="006D5C86"/>
    <w:rsid w:val="006D5D83"/>
    <w:rsid w:val="006D606F"/>
    <w:rsid w:val="006D69B0"/>
    <w:rsid w:val="006D7C97"/>
    <w:rsid w:val="006D7E73"/>
    <w:rsid w:val="006E0538"/>
    <w:rsid w:val="006E064B"/>
    <w:rsid w:val="006E1624"/>
    <w:rsid w:val="006E2221"/>
    <w:rsid w:val="006E2C51"/>
    <w:rsid w:val="006E3360"/>
    <w:rsid w:val="006E4888"/>
    <w:rsid w:val="006E4CB8"/>
    <w:rsid w:val="006E5011"/>
    <w:rsid w:val="006E5622"/>
    <w:rsid w:val="006E6A0D"/>
    <w:rsid w:val="006E72EB"/>
    <w:rsid w:val="006E7328"/>
    <w:rsid w:val="006E756B"/>
    <w:rsid w:val="006E7880"/>
    <w:rsid w:val="006F0793"/>
    <w:rsid w:val="006F07AF"/>
    <w:rsid w:val="006F0903"/>
    <w:rsid w:val="006F0934"/>
    <w:rsid w:val="006F0F8E"/>
    <w:rsid w:val="006F1117"/>
    <w:rsid w:val="006F11F9"/>
    <w:rsid w:val="006F1C97"/>
    <w:rsid w:val="006F3060"/>
    <w:rsid w:val="006F38D3"/>
    <w:rsid w:val="006F3A4A"/>
    <w:rsid w:val="006F4351"/>
    <w:rsid w:val="006F4947"/>
    <w:rsid w:val="006F4E80"/>
    <w:rsid w:val="006F536C"/>
    <w:rsid w:val="006F53DC"/>
    <w:rsid w:val="006F5AF2"/>
    <w:rsid w:val="006F5BE6"/>
    <w:rsid w:val="006F606C"/>
    <w:rsid w:val="006F6ABF"/>
    <w:rsid w:val="006F6CEB"/>
    <w:rsid w:val="006F704E"/>
    <w:rsid w:val="006F7169"/>
    <w:rsid w:val="006F788F"/>
    <w:rsid w:val="007000C8"/>
    <w:rsid w:val="007009FA"/>
    <w:rsid w:val="007011C1"/>
    <w:rsid w:val="00701A1E"/>
    <w:rsid w:val="00702A64"/>
    <w:rsid w:val="0070306E"/>
    <w:rsid w:val="00703CCB"/>
    <w:rsid w:val="0070558A"/>
    <w:rsid w:val="00705AED"/>
    <w:rsid w:val="00706683"/>
    <w:rsid w:val="00706DF0"/>
    <w:rsid w:val="00707828"/>
    <w:rsid w:val="007102BF"/>
    <w:rsid w:val="0071072F"/>
    <w:rsid w:val="007109A8"/>
    <w:rsid w:val="00710C01"/>
    <w:rsid w:val="00710C99"/>
    <w:rsid w:val="00711348"/>
    <w:rsid w:val="00711457"/>
    <w:rsid w:val="007118C4"/>
    <w:rsid w:val="00711A6D"/>
    <w:rsid w:val="00712298"/>
    <w:rsid w:val="007123E3"/>
    <w:rsid w:val="007125FB"/>
    <w:rsid w:val="00712A09"/>
    <w:rsid w:val="0071329B"/>
    <w:rsid w:val="00713AC7"/>
    <w:rsid w:val="007144DC"/>
    <w:rsid w:val="00714BF4"/>
    <w:rsid w:val="00714E22"/>
    <w:rsid w:val="00715C43"/>
    <w:rsid w:val="00717615"/>
    <w:rsid w:val="00717971"/>
    <w:rsid w:val="007200D4"/>
    <w:rsid w:val="007209B7"/>
    <w:rsid w:val="00720B52"/>
    <w:rsid w:val="00720D57"/>
    <w:rsid w:val="00720F43"/>
    <w:rsid w:val="007212CA"/>
    <w:rsid w:val="007218D3"/>
    <w:rsid w:val="00721C84"/>
    <w:rsid w:val="00721D68"/>
    <w:rsid w:val="00722668"/>
    <w:rsid w:val="00722AC2"/>
    <w:rsid w:val="0072345E"/>
    <w:rsid w:val="00723E01"/>
    <w:rsid w:val="007241F3"/>
    <w:rsid w:val="007249E0"/>
    <w:rsid w:val="00724B4D"/>
    <w:rsid w:val="0072513D"/>
    <w:rsid w:val="00725462"/>
    <w:rsid w:val="00725F02"/>
    <w:rsid w:val="00725FA0"/>
    <w:rsid w:val="0072634E"/>
    <w:rsid w:val="00730521"/>
    <w:rsid w:val="00730655"/>
    <w:rsid w:val="00730804"/>
    <w:rsid w:val="00732E3A"/>
    <w:rsid w:val="00732E47"/>
    <w:rsid w:val="00732F31"/>
    <w:rsid w:val="0073312C"/>
    <w:rsid w:val="00733C61"/>
    <w:rsid w:val="007347BB"/>
    <w:rsid w:val="0073536B"/>
    <w:rsid w:val="00735559"/>
    <w:rsid w:val="00736445"/>
    <w:rsid w:val="007365D3"/>
    <w:rsid w:val="00736D37"/>
    <w:rsid w:val="00736E04"/>
    <w:rsid w:val="00737681"/>
    <w:rsid w:val="00737A4F"/>
    <w:rsid w:val="007401DA"/>
    <w:rsid w:val="007405DC"/>
    <w:rsid w:val="0074195E"/>
    <w:rsid w:val="00741CA9"/>
    <w:rsid w:val="00742263"/>
    <w:rsid w:val="00742379"/>
    <w:rsid w:val="00743956"/>
    <w:rsid w:val="00744254"/>
    <w:rsid w:val="007458D9"/>
    <w:rsid w:val="00745EF0"/>
    <w:rsid w:val="00745F0B"/>
    <w:rsid w:val="00746188"/>
    <w:rsid w:val="007476F6"/>
    <w:rsid w:val="00747786"/>
    <w:rsid w:val="00747A66"/>
    <w:rsid w:val="007501C2"/>
    <w:rsid w:val="007502E3"/>
    <w:rsid w:val="00750544"/>
    <w:rsid w:val="00750D37"/>
    <w:rsid w:val="0075199A"/>
    <w:rsid w:val="00751D09"/>
    <w:rsid w:val="00751FB8"/>
    <w:rsid w:val="00754BF9"/>
    <w:rsid w:val="00754C80"/>
    <w:rsid w:val="0075564B"/>
    <w:rsid w:val="00756099"/>
    <w:rsid w:val="00756698"/>
    <w:rsid w:val="007566AC"/>
    <w:rsid w:val="007579CF"/>
    <w:rsid w:val="00757BB6"/>
    <w:rsid w:val="00761A4D"/>
    <w:rsid w:val="00761C23"/>
    <w:rsid w:val="007620B1"/>
    <w:rsid w:val="00762191"/>
    <w:rsid w:val="00763247"/>
    <w:rsid w:val="0076343F"/>
    <w:rsid w:val="0076365A"/>
    <w:rsid w:val="007638F9"/>
    <w:rsid w:val="00763DC6"/>
    <w:rsid w:val="00763F3F"/>
    <w:rsid w:val="007642C6"/>
    <w:rsid w:val="007644D4"/>
    <w:rsid w:val="0076473E"/>
    <w:rsid w:val="00765DA7"/>
    <w:rsid w:val="007662F4"/>
    <w:rsid w:val="00766443"/>
    <w:rsid w:val="00766FBC"/>
    <w:rsid w:val="007676C0"/>
    <w:rsid w:val="007708C9"/>
    <w:rsid w:val="00770F2D"/>
    <w:rsid w:val="00771CE0"/>
    <w:rsid w:val="00771DC0"/>
    <w:rsid w:val="007720E1"/>
    <w:rsid w:val="00772C3F"/>
    <w:rsid w:val="00774FBC"/>
    <w:rsid w:val="007759B8"/>
    <w:rsid w:val="007766A3"/>
    <w:rsid w:val="00776DEE"/>
    <w:rsid w:val="00777AA0"/>
    <w:rsid w:val="0078021D"/>
    <w:rsid w:val="00780E26"/>
    <w:rsid w:val="0078112B"/>
    <w:rsid w:val="00781E7E"/>
    <w:rsid w:val="00782255"/>
    <w:rsid w:val="007833CE"/>
    <w:rsid w:val="00783997"/>
    <w:rsid w:val="007850F2"/>
    <w:rsid w:val="00785329"/>
    <w:rsid w:val="007860F0"/>
    <w:rsid w:val="00786FD4"/>
    <w:rsid w:val="00787037"/>
    <w:rsid w:val="0078793A"/>
    <w:rsid w:val="00791476"/>
    <w:rsid w:val="0079232E"/>
    <w:rsid w:val="00793240"/>
    <w:rsid w:val="0079363D"/>
    <w:rsid w:val="00793D92"/>
    <w:rsid w:val="00793E87"/>
    <w:rsid w:val="0079443E"/>
    <w:rsid w:val="0079507E"/>
    <w:rsid w:val="00795265"/>
    <w:rsid w:val="0079550F"/>
    <w:rsid w:val="0079704C"/>
    <w:rsid w:val="007977DF"/>
    <w:rsid w:val="007979FE"/>
    <w:rsid w:val="00797B9D"/>
    <w:rsid w:val="007A0BB8"/>
    <w:rsid w:val="007A13D0"/>
    <w:rsid w:val="007A13D6"/>
    <w:rsid w:val="007A1C48"/>
    <w:rsid w:val="007A4404"/>
    <w:rsid w:val="007A5283"/>
    <w:rsid w:val="007A5311"/>
    <w:rsid w:val="007A54AA"/>
    <w:rsid w:val="007A5A4E"/>
    <w:rsid w:val="007A5D99"/>
    <w:rsid w:val="007A6D0E"/>
    <w:rsid w:val="007A7D47"/>
    <w:rsid w:val="007A7DDE"/>
    <w:rsid w:val="007B007B"/>
    <w:rsid w:val="007B04E8"/>
    <w:rsid w:val="007B10C5"/>
    <w:rsid w:val="007B11E8"/>
    <w:rsid w:val="007B1597"/>
    <w:rsid w:val="007B222F"/>
    <w:rsid w:val="007B239B"/>
    <w:rsid w:val="007B2731"/>
    <w:rsid w:val="007B35D4"/>
    <w:rsid w:val="007B37FB"/>
    <w:rsid w:val="007B3AB6"/>
    <w:rsid w:val="007B3FBC"/>
    <w:rsid w:val="007B4367"/>
    <w:rsid w:val="007B518D"/>
    <w:rsid w:val="007B55C1"/>
    <w:rsid w:val="007B6538"/>
    <w:rsid w:val="007C04F0"/>
    <w:rsid w:val="007C1542"/>
    <w:rsid w:val="007C1E17"/>
    <w:rsid w:val="007C2704"/>
    <w:rsid w:val="007C2995"/>
    <w:rsid w:val="007C3A6A"/>
    <w:rsid w:val="007C40D3"/>
    <w:rsid w:val="007C4890"/>
    <w:rsid w:val="007C55C9"/>
    <w:rsid w:val="007C5BC4"/>
    <w:rsid w:val="007C7638"/>
    <w:rsid w:val="007C7727"/>
    <w:rsid w:val="007C79AC"/>
    <w:rsid w:val="007C7FC0"/>
    <w:rsid w:val="007D08DB"/>
    <w:rsid w:val="007D0BA9"/>
    <w:rsid w:val="007D154D"/>
    <w:rsid w:val="007D1624"/>
    <w:rsid w:val="007D1DDA"/>
    <w:rsid w:val="007D1E5A"/>
    <w:rsid w:val="007D1FCB"/>
    <w:rsid w:val="007D2056"/>
    <w:rsid w:val="007D217C"/>
    <w:rsid w:val="007D2246"/>
    <w:rsid w:val="007D2357"/>
    <w:rsid w:val="007D24C9"/>
    <w:rsid w:val="007D26F8"/>
    <w:rsid w:val="007D2F87"/>
    <w:rsid w:val="007D380B"/>
    <w:rsid w:val="007D39E6"/>
    <w:rsid w:val="007D42D9"/>
    <w:rsid w:val="007D45FE"/>
    <w:rsid w:val="007D4E40"/>
    <w:rsid w:val="007D57F1"/>
    <w:rsid w:val="007D61CF"/>
    <w:rsid w:val="007D6ADD"/>
    <w:rsid w:val="007D7353"/>
    <w:rsid w:val="007D7D01"/>
    <w:rsid w:val="007D7D97"/>
    <w:rsid w:val="007D7FB0"/>
    <w:rsid w:val="007E0628"/>
    <w:rsid w:val="007E16C2"/>
    <w:rsid w:val="007E193E"/>
    <w:rsid w:val="007E1D8B"/>
    <w:rsid w:val="007E33AE"/>
    <w:rsid w:val="007E3748"/>
    <w:rsid w:val="007E394A"/>
    <w:rsid w:val="007E4333"/>
    <w:rsid w:val="007E563C"/>
    <w:rsid w:val="007E57FF"/>
    <w:rsid w:val="007E6329"/>
    <w:rsid w:val="007E692A"/>
    <w:rsid w:val="007E722A"/>
    <w:rsid w:val="007F02F9"/>
    <w:rsid w:val="007F0CA7"/>
    <w:rsid w:val="007F0FC3"/>
    <w:rsid w:val="007F2208"/>
    <w:rsid w:val="007F2CF0"/>
    <w:rsid w:val="007F2E20"/>
    <w:rsid w:val="007F3582"/>
    <w:rsid w:val="007F3B49"/>
    <w:rsid w:val="007F4136"/>
    <w:rsid w:val="007F4930"/>
    <w:rsid w:val="007F5C09"/>
    <w:rsid w:val="007F64B6"/>
    <w:rsid w:val="007F6512"/>
    <w:rsid w:val="007F7F84"/>
    <w:rsid w:val="00800175"/>
    <w:rsid w:val="008008BB"/>
    <w:rsid w:val="00801200"/>
    <w:rsid w:val="0080188B"/>
    <w:rsid w:val="00802193"/>
    <w:rsid w:val="00802E30"/>
    <w:rsid w:val="0080309D"/>
    <w:rsid w:val="0080319E"/>
    <w:rsid w:val="00803A50"/>
    <w:rsid w:val="00804528"/>
    <w:rsid w:val="00805CCF"/>
    <w:rsid w:val="008062A3"/>
    <w:rsid w:val="008066C0"/>
    <w:rsid w:val="00806DA2"/>
    <w:rsid w:val="00806DA5"/>
    <w:rsid w:val="008077D0"/>
    <w:rsid w:val="00807D38"/>
    <w:rsid w:val="00810D02"/>
    <w:rsid w:val="0081114C"/>
    <w:rsid w:val="00811BA7"/>
    <w:rsid w:val="00811E44"/>
    <w:rsid w:val="00811E7D"/>
    <w:rsid w:val="00812744"/>
    <w:rsid w:val="008138B0"/>
    <w:rsid w:val="008141C6"/>
    <w:rsid w:val="008142E7"/>
    <w:rsid w:val="00814300"/>
    <w:rsid w:val="008146FB"/>
    <w:rsid w:val="008164FA"/>
    <w:rsid w:val="00816BFC"/>
    <w:rsid w:val="008174FA"/>
    <w:rsid w:val="00817C1F"/>
    <w:rsid w:val="00817F6A"/>
    <w:rsid w:val="008204EE"/>
    <w:rsid w:val="00820736"/>
    <w:rsid w:val="00820CE0"/>
    <w:rsid w:val="00820E59"/>
    <w:rsid w:val="00821670"/>
    <w:rsid w:val="00821A0E"/>
    <w:rsid w:val="008224D5"/>
    <w:rsid w:val="008228F7"/>
    <w:rsid w:val="00822B72"/>
    <w:rsid w:val="008233CE"/>
    <w:rsid w:val="0082533C"/>
    <w:rsid w:val="00830391"/>
    <w:rsid w:val="00830F7E"/>
    <w:rsid w:val="00831C34"/>
    <w:rsid w:val="008324CF"/>
    <w:rsid w:val="00832A74"/>
    <w:rsid w:val="008330A7"/>
    <w:rsid w:val="0083406E"/>
    <w:rsid w:val="00837536"/>
    <w:rsid w:val="00837CC5"/>
    <w:rsid w:val="008402F4"/>
    <w:rsid w:val="00840548"/>
    <w:rsid w:val="00841042"/>
    <w:rsid w:val="00841AF0"/>
    <w:rsid w:val="00841E1C"/>
    <w:rsid w:val="008422F8"/>
    <w:rsid w:val="00843141"/>
    <w:rsid w:val="00843253"/>
    <w:rsid w:val="00843A99"/>
    <w:rsid w:val="00844D9B"/>
    <w:rsid w:val="00844F33"/>
    <w:rsid w:val="0084552F"/>
    <w:rsid w:val="008457C4"/>
    <w:rsid w:val="00845E58"/>
    <w:rsid w:val="00847660"/>
    <w:rsid w:val="00850299"/>
    <w:rsid w:val="00850573"/>
    <w:rsid w:val="008509E8"/>
    <w:rsid w:val="00850F1A"/>
    <w:rsid w:val="00850F37"/>
    <w:rsid w:val="00851342"/>
    <w:rsid w:val="00851435"/>
    <w:rsid w:val="0085184E"/>
    <w:rsid w:val="00852F8A"/>
    <w:rsid w:val="0085323B"/>
    <w:rsid w:val="0085477C"/>
    <w:rsid w:val="00854797"/>
    <w:rsid w:val="008547F3"/>
    <w:rsid w:val="0085544A"/>
    <w:rsid w:val="00855B57"/>
    <w:rsid w:val="00856186"/>
    <w:rsid w:val="00856F68"/>
    <w:rsid w:val="00857230"/>
    <w:rsid w:val="00857983"/>
    <w:rsid w:val="008579AC"/>
    <w:rsid w:val="00857F36"/>
    <w:rsid w:val="00861033"/>
    <w:rsid w:val="008614A6"/>
    <w:rsid w:val="00861C66"/>
    <w:rsid w:val="008625B9"/>
    <w:rsid w:val="00862DE9"/>
    <w:rsid w:val="00863744"/>
    <w:rsid w:val="00863F9A"/>
    <w:rsid w:val="00864678"/>
    <w:rsid w:val="00864C04"/>
    <w:rsid w:val="00865EC1"/>
    <w:rsid w:val="008665F0"/>
    <w:rsid w:val="0086680A"/>
    <w:rsid w:val="00866A42"/>
    <w:rsid w:val="00866DFC"/>
    <w:rsid w:val="00867DDA"/>
    <w:rsid w:val="00867FD1"/>
    <w:rsid w:val="00870040"/>
    <w:rsid w:val="00870808"/>
    <w:rsid w:val="008713B7"/>
    <w:rsid w:val="00871C15"/>
    <w:rsid w:val="008723D7"/>
    <w:rsid w:val="00872FBD"/>
    <w:rsid w:val="00872FBF"/>
    <w:rsid w:val="008730A3"/>
    <w:rsid w:val="00873E78"/>
    <w:rsid w:val="00874174"/>
    <w:rsid w:val="00874372"/>
    <w:rsid w:val="00874649"/>
    <w:rsid w:val="00874F55"/>
    <w:rsid w:val="008762D9"/>
    <w:rsid w:val="0087635D"/>
    <w:rsid w:val="00876926"/>
    <w:rsid w:val="00876F31"/>
    <w:rsid w:val="0087713A"/>
    <w:rsid w:val="00877214"/>
    <w:rsid w:val="008774D2"/>
    <w:rsid w:val="0088024E"/>
    <w:rsid w:val="0088030A"/>
    <w:rsid w:val="00880C47"/>
    <w:rsid w:val="00880EB4"/>
    <w:rsid w:val="00881014"/>
    <w:rsid w:val="00881020"/>
    <w:rsid w:val="008810B0"/>
    <w:rsid w:val="00881A46"/>
    <w:rsid w:val="00881F01"/>
    <w:rsid w:val="00882AAB"/>
    <w:rsid w:val="0088348F"/>
    <w:rsid w:val="008858DC"/>
    <w:rsid w:val="00885A98"/>
    <w:rsid w:val="008860D4"/>
    <w:rsid w:val="008867F4"/>
    <w:rsid w:val="00887212"/>
    <w:rsid w:val="00887828"/>
    <w:rsid w:val="00887983"/>
    <w:rsid w:val="008902AF"/>
    <w:rsid w:val="008905C7"/>
    <w:rsid w:val="00890BAC"/>
    <w:rsid w:val="008915BE"/>
    <w:rsid w:val="00891B47"/>
    <w:rsid w:val="008922A6"/>
    <w:rsid w:val="00892393"/>
    <w:rsid w:val="008923AA"/>
    <w:rsid w:val="0089320B"/>
    <w:rsid w:val="008935B5"/>
    <w:rsid w:val="00893837"/>
    <w:rsid w:val="00893BF3"/>
    <w:rsid w:val="00893F6A"/>
    <w:rsid w:val="0089469D"/>
    <w:rsid w:val="0089579F"/>
    <w:rsid w:val="008957D4"/>
    <w:rsid w:val="00895A93"/>
    <w:rsid w:val="0089727A"/>
    <w:rsid w:val="0089755D"/>
    <w:rsid w:val="008A0114"/>
    <w:rsid w:val="008A05F9"/>
    <w:rsid w:val="008A141D"/>
    <w:rsid w:val="008A1721"/>
    <w:rsid w:val="008A2686"/>
    <w:rsid w:val="008A3BBC"/>
    <w:rsid w:val="008A41C1"/>
    <w:rsid w:val="008A4DA8"/>
    <w:rsid w:val="008A51C4"/>
    <w:rsid w:val="008A56BD"/>
    <w:rsid w:val="008A5B98"/>
    <w:rsid w:val="008A62B6"/>
    <w:rsid w:val="008A68B1"/>
    <w:rsid w:val="008A7537"/>
    <w:rsid w:val="008A7F48"/>
    <w:rsid w:val="008B015C"/>
    <w:rsid w:val="008B0A79"/>
    <w:rsid w:val="008B1270"/>
    <w:rsid w:val="008B1338"/>
    <w:rsid w:val="008B1D6A"/>
    <w:rsid w:val="008B2BD3"/>
    <w:rsid w:val="008B2DD9"/>
    <w:rsid w:val="008B3075"/>
    <w:rsid w:val="008B3978"/>
    <w:rsid w:val="008B3DE4"/>
    <w:rsid w:val="008B4A4B"/>
    <w:rsid w:val="008B4F85"/>
    <w:rsid w:val="008B5452"/>
    <w:rsid w:val="008B54DB"/>
    <w:rsid w:val="008B5534"/>
    <w:rsid w:val="008B5536"/>
    <w:rsid w:val="008B5BEC"/>
    <w:rsid w:val="008B5E9A"/>
    <w:rsid w:val="008B5FE6"/>
    <w:rsid w:val="008B65B6"/>
    <w:rsid w:val="008B6CD6"/>
    <w:rsid w:val="008B75D5"/>
    <w:rsid w:val="008B7823"/>
    <w:rsid w:val="008B7B6D"/>
    <w:rsid w:val="008C0206"/>
    <w:rsid w:val="008C0231"/>
    <w:rsid w:val="008C0680"/>
    <w:rsid w:val="008C0DEB"/>
    <w:rsid w:val="008C0FB8"/>
    <w:rsid w:val="008C13A7"/>
    <w:rsid w:val="008C160E"/>
    <w:rsid w:val="008C17E0"/>
    <w:rsid w:val="008C18EA"/>
    <w:rsid w:val="008C209C"/>
    <w:rsid w:val="008C229A"/>
    <w:rsid w:val="008C2D35"/>
    <w:rsid w:val="008C30C6"/>
    <w:rsid w:val="008C419A"/>
    <w:rsid w:val="008C4EF6"/>
    <w:rsid w:val="008C4FB6"/>
    <w:rsid w:val="008C5C61"/>
    <w:rsid w:val="008C5D19"/>
    <w:rsid w:val="008C71C9"/>
    <w:rsid w:val="008C72A1"/>
    <w:rsid w:val="008D1F3F"/>
    <w:rsid w:val="008D2BD6"/>
    <w:rsid w:val="008D3627"/>
    <w:rsid w:val="008D3A6F"/>
    <w:rsid w:val="008D3BA4"/>
    <w:rsid w:val="008D46FD"/>
    <w:rsid w:val="008D648D"/>
    <w:rsid w:val="008D66AB"/>
    <w:rsid w:val="008D7F25"/>
    <w:rsid w:val="008E0DAE"/>
    <w:rsid w:val="008E1233"/>
    <w:rsid w:val="008E1B28"/>
    <w:rsid w:val="008E1CF0"/>
    <w:rsid w:val="008E28DA"/>
    <w:rsid w:val="008E3596"/>
    <w:rsid w:val="008E3689"/>
    <w:rsid w:val="008E51E2"/>
    <w:rsid w:val="008E6FB3"/>
    <w:rsid w:val="008E714F"/>
    <w:rsid w:val="008E73B6"/>
    <w:rsid w:val="008F0BFC"/>
    <w:rsid w:val="008F1970"/>
    <w:rsid w:val="008F2572"/>
    <w:rsid w:val="008F274B"/>
    <w:rsid w:val="008F291B"/>
    <w:rsid w:val="008F2DDD"/>
    <w:rsid w:val="008F4A45"/>
    <w:rsid w:val="008F5ED6"/>
    <w:rsid w:val="008F6A2A"/>
    <w:rsid w:val="008F7007"/>
    <w:rsid w:val="0090025E"/>
    <w:rsid w:val="009004CC"/>
    <w:rsid w:val="009004F4"/>
    <w:rsid w:val="009013DF"/>
    <w:rsid w:val="00901A13"/>
    <w:rsid w:val="00901C67"/>
    <w:rsid w:val="00903446"/>
    <w:rsid w:val="009037D8"/>
    <w:rsid w:val="00903ADE"/>
    <w:rsid w:val="00904975"/>
    <w:rsid w:val="00904D13"/>
    <w:rsid w:val="00904F17"/>
    <w:rsid w:val="00905989"/>
    <w:rsid w:val="00905BA6"/>
    <w:rsid w:val="0090662A"/>
    <w:rsid w:val="00906A02"/>
    <w:rsid w:val="00906CC2"/>
    <w:rsid w:val="00906D47"/>
    <w:rsid w:val="00907522"/>
    <w:rsid w:val="00907CB6"/>
    <w:rsid w:val="00910915"/>
    <w:rsid w:val="00910E68"/>
    <w:rsid w:val="00911C71"/>
    <w:rsid w:val="00912976"/>
    <w:rsid w:val="00912B58"/>
    <w:rsid w:val="009136BF"/>
    <w:rsid w:val="0091520A"/>
    <w:rsid w:val="00915DB1"/>
    <w:rsid w:val="00915FA1"/>
    <w:rsid w:val="009163F8"/>
    <w:rsid w:val="00917356"/>
    <w:rsid w:val="009177F2"/>
    <w:rsid w:val="00917E4D"/>
    <w:rsid w:val="00920B75"/>
    <w:rsid w:val="00921D5D"/>
    <w:rsid w:val="00922EF4"/>
    <w:rsid w:val="00924265"/>
    <w:rsid w:val="009251CC"/>
    <w:rsid w:val="009262F7"/>
    <w:rsid w:val="0092641B"/>
    <w:rsid w:val="00930150"/>
    <w:rsid w:val="00931031"/>
    <w:rsid w:val="009315F4"/>
    <w:rsid w:val="00932875"/>
    <w:rsid w:val="00932E82"/>
    <w:rsid w:val="00933CC8"/>
    <w:rsid w:val="0093418A"/>
    <w:rsid w:val="009341FC"/>
    <w:rsid w:val="00934726"/>
    <w:rsid w:val="009349C9"/>
    <w:rsid w:val="00934FCE"/>
    <w:rsid w:val="00935EA0"/>
    <w:rsid w:val="00935FC9"/>
    <w:rsid w:val="00937031"/>
    <w:rsid w:val="00937181"/>
    <w:rsid w:val="009371C1"/>
    <w:rsid w:val="00937778"/>
    <w:rsid w:val="00937D1C"/>
    <w:rsid w:val="00937E85"/>
    <w:rsid w:val="0094278E"/>
    <w:rsid w:val="009428DB"/>
    <w:rsid w:val="00943404"/>
    <w:rsid w:val="00943610"/>
    <w:rsid w:val="009438FC"/>
    <w:rsid w:val="00943CEF"/>
    <w:rsid w:val="00943D1C"/>
    <w:rsid w:val="00943ED2"/>
    <w:rsid w:val="009441FC"/>
    <w:rsid w:val="00944842"/>
    <w:rsid w:val="00944A8F"/>
    <w:rsid w:val="00944FF4"/>
    <w:rsid w:val="00945363"/>
    <w:rsid w:val="00945596"/>
    <w:rsid w:val="00945A5A"/>
    <w:rsid w:val="00945AFA"/>
    <w:rsid w:val="00946029"/>
    <w:rsid w:val="009468BE"/>
    <w:rsid w:val="0095032B"/>
    <w:rsid w:val="009504B1"/>
    <w:rsid w:val="00950CDF"/>
    <w:rsid w:val="009511E6"/>
    <w:rsid w:val="00951501"/>
    <w:rsid w:val="009519E9"/>
    <w:rsid w:val="009521B7"/>
    <w:rsid w:val="00952B41"/>
    <w:rsid w:val="00952DEF"/>
    <w:rsid w:val="00953260"/>
    <w:rsid w:val="009532C0"/>
    <w:rsid w:val="009542A9"/>
    <w:rsid w:val="00955CB7"/>
    <w:rsid w:val="00955E72"/>
    <w:rsid w:val="00956104"/>
    <w:rsid w:val="00956686"/>
    <w:rsid w:val="00957A9E"/>
    <w:rsid w:val="00957D11"/>
    <w:rsid w:val="009600DA"/>
    <w:rsid w:val="00961C2D"/>
    <w:rsid w:val="009620D9"/>
    <w:rsid w:val="009631B9"/>
    <w:rsid w:val="0096356F"/>
    <w:rsid w:val="00963692"/>
    <w:rsid w:val="009638B3"/>
    <w:rsid w:val="00963CAE"/>
    <w:rsid w:val="00964173"/>
    <w:rsid w:val="00964EFF"/>
    <w:rsid w:val="0096511E"/>
    <w:rsid w:val="009669A8"/>
    <w:rsid w:val="00966BB8"/>
    <w:rsid w:val="00966D76"/>
    <w:rsid w:val="009671B8"/>
    <w:rsid w:val="00967CAC"/>
    <w:rsid w:val="00967E42"/>
    <w:rsid w:val="00970177"/>
    <w:rsid w:val="009706B6"/>
    <w:rsid w:val="00970833"/>
    <w:rsid w:val="00970BC2"/>
    <w:rsid w:val="00971001"/>
    <w:rsid w:val="00971FE1"/>
    <w:rsid w:val="009730C9"/>
    <w:rsid w:val="00973419"/>
    <w:rsid w:val="00973B29"/>
    <w:rsid w:val="00974D30"/>
    <w:rsid w:val="00975A8C"/>
    <w:rsid w:val="00975B56"/>
    <w:rsid w:val="00976677"/>
    <w:rsid w:val="009766B2"/>
    <w:rsid w:val="009768FF"/>
    <w:rsid w:val="00976D8D"/>
    <w:rsid w:val="009810EB"/>
    <w:rsid w:val="00981338"/>
    <w:rsid w:val="009817DF"/>
    <w:rsid w:val="00983784"/>
    <w:rsid w:val="00983D27"/>
    <w:rsid w:val="00983E59"/>
    <w:rsid w:val="00983E94"/>
    <w:rsid w:val="0098475A"/>
    <w:rsid w:val="0098592E"/>
    <w:rsid w:val="009861C8"/>
    <w:rsid w:val="0098640E"/>
    <w:rsid w:val="00986FAC"/>
    <w:rsid w:val="009874B1"/>
    <w:rsid w:val="009876DE"/>
    <w:rsid w:val="00987F5A"/>
    <w:rsid w:val="00990F25"/>
    <w:rsid w:val="00991262"/>
    <w:rsid w:val="00991504"/>
    <w:rsid w:val="00991B9C"/>
    <w:rsid w:val="00992428"/>
    <w:rsid w:val="009927D4"/>
    <w:rsid w:val="00992ED1"/>
    <w:rsid w:val="009948F7"/>
    <w:rsid w:val="00994D72"/>
    <w:rsid w:val="00995401"/>
    <w:rsid w:val="00995C10"/>
    <w:rsid w:val="0099606D"/>
    <w:rsid w:val="009961AC"/>
    <w:rsid w:val="00996762"/>
    <w:rsid w:val="00996A58"/>
    <w:rsid w:val="009A1368"/>
    <w:rsid w:val="009A1826"/>
    <w:rsid w:val="009A235D"/>
    <w:rsid w:val="009A2508"/>
    <w:rsid w:val="009A3A55"/>
    <w:rsid w:val="009A4038"/>
    <w:rsid w:val="009A5736"/>
    <w:rsid w:val="009A5964"/>
    <w:rsid w:val="009A5B59"/>
    <w:rsid w:val="009A6AE2"/>
    <w:rsid w:val="009A77AF"/>
    <w:rsid w:val="009A7BFF"/>
    <w:rsid w:val="009B14E9"/>
    <w:rsid w:val="009B1BE4"/>
    <w:rsid w:val="009B28EC"/>
    <w:rsid w:val="009B2B5D"/>
    <w:rsid w:val="009B3322"/>
    <w:rsid w:val="009B37E6"/>
    <w:rsid w:val="009B405E"/>
    <w:rsid w:val="009B4486"/>
    <w:rsid w:val="009B489B"/>
    <w:rsid w:val="009B4935"/>
    <w:rsid w:val="009B5660"/>
    <w:rsid w:val="009B5FE1"/>
    <w:rsid w:val="009B67F5"/>
    <w:rsid w:val="009B6BC4"/>
    <w:rsid w:val="009B71E1"/>
    <w:rsid w:val="009B76D8"/>
    <w:rsid w:val="009C10DC"/>
    <w:rsid w:val="009C1163"/>
    <w:rsid w:val="009C12E8"/>
    <w:rsid w:val="009C2BBA"/>
    <w:rsid w:val="009C2E8A"/>
    <w:rsid w:val="009C2EAC"/>
    <w:rsid w:val="009C3687"/>
    <w:rsid w:val="009C379B"/>
    <w:rsid w:val="009C3965"/>
    <w:rsid w:val="009C4A7E"/>
    <w:rsid w:val="009C54B8"/>
    <w:rsid w:val="009C5E5E"/>
    <w:rsid w:val="009C635E"/>
    <w:rsid w:val="009C6B47"/>
    <w:rsid w:val="009C7350"/>
    <w:rsid w:val="009D06D5"/>
    <w:rsid w:val="009D0B0E"/>
    <w:rsid w:val="009D0FDF"/>
    <w:rsid w:val="009D176F"/>
    <w:rsid w:val="009D197C"/>
    <w:rsid w:val="009D2584"/>
    <w:rsid w:val="009D2F0C"/>
    <w:rsid w:val="009D3410"/>
    <w:rsid w:val="009D441D"/>
    <w:rsid w:val="009D46F5"/>
    <w:rsid w:val="009D4E94"/>
    <w:rsid w:val="009D53C4"/>
    <w:rsid w:val="009D5F9B"/>
    <w:rsid w:val="009D72B2"/>
    <w:rsid w:val="009D7428"/>
    <w:rsid w:val="009D79F0"/>
    <w:rsid w:val="009E040A"/>
    <w:rsid w:val="009E07D5"/>
    <w:rsid w:val="009E097B"/>
    <w:rsid w:val="009E144C"/>
    <w:rsid w:val="009E1A8B"/>
    <w:rsid w:val="009E1C56"/>
    <w:rsid w:val="009E2518"/>
    <w:rsid w:val="009E3491"/>
    <w:rsid w:val="009E35C1"/>
    <w:rsid w:val="009E3D1C"/>
    <w:rsid w:val="009E3E7B"/>
    <w:rsid w:val="009E44AC"/>
    <w:rsid w:val="009E5824"/>
    <w:rsid w:val="009E5BAF"/>
    <w:rsid w:val="009E5E28"/>
    <w:rsid w:val="009E6181"/>
    <w:rsid w:val="009E685F"/>
    <w:rsid w:val="009E7010"/>
    <w:rsid w:val="009E75BB"/>
    <w:rsid w:val="009E792A"/>
    <w:rsid w:val="009F003D"/>
    <w:rsid w:val="009F010D"/>
    <w:rsid w:val="009F0411"/>
    <w:rsid w:val="009F1421"/>
    <w:rsid w:val="009F18F8"/>
    <w:rsid w:val="009F1A81"/>
    <w:rsid w:val="009F1EC0"/>
    <w:rsid w:val="009F2703"/>
    <w:rsid w:val="009F29B3"/>
    <w:rsid w:val="009F2E3C"/>
    <w:rsid w:val="009F334B"/>
    <w:rsid w:val="009F4365"/>
    <w:rsid w:val="009F45B5"/>
    <w:rsid w:val="009F52B7"/>
    <w:rsid w:val="009F554B"/>
    <w:rsid w:val="009F5E08"/>
    <w:rsid w:val="009F7F07"/>
    <w:rsid w:val="00A00573"/>
    <w:rsid w:val="00A01A5C"/>
    <w:rsid w:val="00A01D3E"/>
    <w:rsid w:val="00A02C52"/>
    <w:rsid w:val="00A03462"/>
    <w:rsid w:val="00A036D4"/>
    <w:rsid w:val="00A040AD"/>
    <w:rsid w:val="00A0460F"/>
    <w:rsid w:val="00A04F92"/>
    <w:rsid w:val="00A054FE"/>
    <w:rsid w:val="00A05975"/>
    <w:rsid w:val="00A05A7E"/>
    <w:rsid w:val="00A06690"/>
    <w:rsid w:val="00A07154"/>
    <w:rsid w:val="00A07309"/>
    <w:rsid w:val="00A102EE"/>
    <w:rsid w:val="00A120CE"/>
    <w:rsid w:val="00A1288D"/>
    <w:rsid w:val="00A12F7B"/>
    <w:rsid w:val="00A1323B"/>
    <w:rsid w:val="00A1383B"/>
    <w:rsid w:val="00A14277"/>
    <w:rsid w:val="00A14E53"/>
    <w:rsid w:val="00A157E7"/>
    <w:rsid w:val="00A15912"/>
    <w:rsid w:val="00A163E7"/>
    <w:rsid w:val="00A170F0"/>
    <w:rsid w:val="00A209AD"/>
    <w:rsid w:val="00A225A0"/>
    <w:rsid w:val="00A22699"/>
    <w:rsid w:val="00A23177"/>
    <w:rsid w:val="00A23482"/>
    <w:rsid w:val="00A252CA"/>
    <w:rsid w:val="00A2664F"/>
    <w:rsid w:val="00A273D3"/>
    <w:rsid w:val="00A27401"/>
    <w:rsid w:val="00A30FCA"/>
    <w:rsid w:val="00A3110B"/>
    <w:rsid w:val="00A3207C"/>
    <w:rsid w:val="00A32629"/>
    <w:rsid w:val="00A32761"/>
    <w:rsid w:val="00A329BF"/>
    <w:rsid w:val="00A32CE7"/>
    <w:rsid w:val="00A33F81"/>
    <w:rsid w:val="00A351E6"/>
    <w:rsid w:val="00A35968"/>
    <w:rsid w:val="00A36455"/>
    <w:rsid w:val="00A368E2"/>
    <w:rsid w:val="00A36F93"/>
    <w:rsid w:val="00A37BFA"/>
    <w:rsid w:val="00A40097"/>
    <w:rsid w:val="00A40E02"/>
    <w:rsid w:val="00A418BA"/>
    <w:rsid w:val="00A41975"/>
    <w:rsid w:val="00A43545"/>
    <w:rsid w:val="00A43579"/>
    <w:rsid w:val="00A43634"/>
    <w:rsid w:val="00A4386A"/>
    <w:rsid w:val="00A44128"/>
    <w:rsid w:val="00A4532B"/>
    <w:rsid w:val="00A45447"/>
    <w:rsid w:val="00A46E42"/>
    <w:rsid w:val="00A46FD3"/>
    <w:rsid w:val="00A47187"/>
    <w:rsid w:val="00A4798D"/>
    <w:rsid w:val="00A47A27"/>
    <w:rsid w:val="00A47E32"/>
    <w:rsid w:val="00A501BF"/>
    <w:rsid w:val="00A5031E"/>
    <w:rsid w:val="00A50BA9"/>
    <w:rsid w:val="00A51009"/>
    <w:rsid w:val="00A51B08"/>
    <w:rsid w:val="00A52B4D"/>
    <w:rsid w:val="00A52DD3"/>
    <w:rsid w:val="00A53491"/>
    <w:rsid w:val="00A53B72"/>
    <w:rsid w:val="00A54E22"/>
    <w:rsid w:val="00A56873"/>
    <w:rsid w:val="00A57E2F"/>
    <w:rsid w:val="00A6091A"/>
    <w:rsid w:val="00A61044"/>
    <w:rsid w:val="00A61083"/>
    <w:rsid w:val="00A61AEE"/>
    <w:rsid w:val="00A61EE6"/>
    <w:rsid w:val="00A62367"/>
    <w:rsid w:val="00A6270E"/>
    <w:rsid w:val="00A62F21"/>
    <w:rsid w:val="00A636A6"/>
    <w:rsid w:val="00A63824"/>
    <w:rsid w:val="00A639CD"/>
    <w:rsid w:val="00A641AB"/>
    <w:rsid w:val="00A64CED"/>
    <w:rsid w:val="00A66C20"/>
    <w:rsid w:val="00A71154"/>
    <w:rsid w:val="00A716E3"/>
    <w:rsid w:val="00A71A1E"/>
    <w:rsid w:val="00A71EAA"/>
    <w:rsid w:val="00A71F12"/>
    <w:rsid w:val="00A720B7"/>
    <w:rsid w:val="00A7282B"/>
    <w:rsid w:val="00A73546"/>
    <w:rsid w:val="00A74156"/>
    <w:rsid w:val="00A7521D"/>
    <w:rsid w:val="00A75367"/>
    <w:rsid w:val="00A76F8B"/>
    <w:rsid w:val="00A77676"/>
    <w:rsid w:val="00A77E23"/>
    <w:rsid w:val="00A80009"/>
    <w:rsid w:val="00A801FE"/>
    <w:rsid w:val="00A8020E"/>
    <w:rsid w:val="00A80E38"/>
    <w:rsid w:val="00A8101F"/>
    <w:rsid w:val="00A81CEF"/>
    <w:rsid w:val="00A81F74"/>
    <w:rsid w:val="00A836EC"/>
    <w:rsid w:val="00A8392D"/>
    <w:rsid w:val="00A84039"/>
    <w:rsid w:val="00A84210"/>
    <w:rsid w:val="00A8496F"/>
    <w:rsid w:val="00A85007"/>
    <w:rsid w:val="00A86289"/>
    <w:rsid w:val="00A864DD"/>
    <w:rsid w:val="00A865BC"/>
    <w:rsid w:val="00A870B9"/>
    <w:rsid w:val="00A87106"/>
    <w:rsid w:val="00A87A92"/>
    <w:rsid w:val="00A87E38"/>
    <w:rsid w:val="00A9034D"/>
    <w:rsid w:val="00A92183"/>
    <w:rsid w:val="00A92C88"/>
    <w:rsid w:val="00A9326C"/>
    <w:rsid w:val="00A93459"/>
    <w:rsid w:val="00A94709"/>
    <w:rsid w:val="00A947AC"/>
    <w:rsid w:val="00A94A96"/>
    <w:rsid w:val="00A94BD7"/>
    <w:rsid w:val="00A94E1D"/>
    <w:rsid w:val="00A95711"/>
    <w:rsid w:val="00A95A76"/>
    <w:rsid w:val="00A95B07"/>
    <w:rsid w:val="00A96517"/>
    <w:rsid w:val="00A96D6A"/>
    <w:rsid w:val="00A971D2"/>
    <w:rsid w:val="00A9723D"/>
    <w:rsid w:val="00A979A8"/>
    <w:rsid w:val="00A97BBF"/>
    <w:rsid w:val="00AA0446"/>
    <w:rsid w:val="00AA0964"/>
    <w:rsid w:val="00AA0CB0"/>
    <w:rsid w:val="00AA0D87"/>
    <w:rsid w:val="00AA0F09"/>
    <w:rsid w:val="00AA10B7"/>
    <w:rsid w:val="00AA146D"/>
    <w:rsid w:val="00AA15C0"/>
    <w:rsid w:val="00AA2035"/>
    <w:rsid w:val="00AA3498"/>
    <w:rsid w:val="00AA3FFD"/>
    <w:rsid w:val="00AA4B92"/>
    <w:rsid w:val="00AA5651"/>
    <w:rsid w:val="00AA5E62"/>
    <w:rsid w:val="00AA6437"/>
    <w:rsid w:val="00AA673C"/>
    <w:rsid w:val="00AA74AB"/>
    <w:rsid w:val="00AB0DB9"/>
    <w:rsid w:val="00AB1DC3"/>
    <w:rsid w:val="00AB2D6B"/>
    <w:rsid w:val="00AB2F09"/>
    <w:rsid w:val="00AB330D"/>
    <w:rsid w:val="00AB33E0"/>
    <w:rsid w:val="00AB345D"/>
    <w:rsid w:val="00AB391D"/>
    <w:rsid w:val="00AB3E2F"/>
    <w:rsid w:val="00AB4246"/>
    <w:rsid w:val="00AB4657"/>
    <w:rsid w:val="00AB46BB"/>
    <w:rsid w:val="00AB47B4"/>
    <w:rsid w:val="00AB4C42"/>
    <w:rsid w:val="00AB587C"/>
    <w:rsid w:val="00AB5C57"/>
    <w:rsid w:val="00AB6416"/>
    <w:rsid w:val="00AB6FDA"/>
    <w:rsid w:val="00AB771E"/>
    <w:rsid w:val="00AB7B0B"/>
    <w:rsid w:val="00AC0020"/>
    <w:rsid w:val="00AC0F84"/>
    <w:rsid w:val="00AC1811"/>
    <w:rsid w:val="00AC1B54"/>
    <w:rsid w:val="00AC242D"/>
    <w:rsid w:val="00AC2AF5"/>
    <w:rsid w:val="00AC4100"/>
    <w:rsid w:val="00AC4916"/>
    <w:rsid w:val="00AC5CBE"/>
    <w:rsid w:val="00AC6746"/>
    <w:rsid w:val="00AC7170"/>
    <w:rsid w:val="00AC7680"/>
    <w:rsid w:val="00AC7EA9"/>
    <w:rsid w:val="00AD03A4"/>
    <w:rsid w:val="00AD0C5F"/>
    <w:rsid w:val="00AD0D0B"/>
    <w:rsid w:val="00AD0ED0"/>
    <w:rsid w:val="00AD101C"/>
    <w:rsid w:val="00AD18E6"/>
    <w:rsid w:val="00AD232A"/>
    <w:rsid w:val="00AD3A54"/>
    <w:rsid w:val="00AD3ADB"/>
    <w:rsid w:val="00AD3EE2"/>
    <w:rsid w:val="00AD3F58"/>
    <w:rsid w:val="00AD4787"/>
    <w:rsid w:val="00AD47B8"/>
    <w:rsid w:val="00AD6D4E"/>
    <w:rsid w:val="00AD7114"/>
    <w:rsid w:val="00AD744B"/>
    <w:rsid w:val="00AD7E34"/>
    <w:rsid w:val="00AE00E4"/>
    <w:rsid w:val="00AE026B"/>
    <w:rsid w:val="00AE0475"/>
    <w:rsid w:val="00AE0567"/>
    <w:rsid w:val="00AE1289"/>
    <w:rsid w:val="00AE18D2"/>
    <w:rsid w:val="00AE1905"/>
    <w:rsid w:val="00AE2B01"/>
    <w:rsid w:val="00AE2D8A"/>
    <w:rsid w:val="00AE321B"/>
    <w:rsid w:val="00AE33B9"/>
    <w:rsid w:val="00AE36DD"/>
    <w:rsid w:val="00AE39B6"/>
    <w:rsid w:val="00AE49C9"/>
    <w:rsid w:val="00AE5BAA"/>
    <w:rsid w:val="00AE5C7F"/>
    <w:rsid w:val="00AE6149"/>
    <w:rsid w:val="00AE6E93"/>
    <w:rsid w:val="00AE6EB8"/>
    <w:rsid w:val="00AE7012"/>
    <w:rsid w:val="00AE70CA"/>
    <w:rsid w:val="00AE7280"/>
    <w:rsid w:val="00AE7816"/>
    <w:rsid w:val="00AF026C"/>
    <w:rsid w:val="00AF02AB"/>
    <w:rsid w:val="00AF05FA"/>
    <w:rsid w:val="00AF078C"/>
    <w:rsid w:val="00AF2099"/>
    <w:rsid w:val="00AF2784"/>
    <w:rsid w:val="00AF3075"/>
    <w:rsid w:val="00AF30E0"/>
    <w:rsid w:val="00AF394D"/>
    <w:rsid w:val="00AF4140"/>
    <w:rsid w:val="00AF46D8"/>
    <w:rsid w:val="00AF5FBA"/>
    <w:rsid w:val="00AF6766"/>
    <w:rsid w:val="00AF6E89"/>
    <w:rsid w:val="00AF71D9"/>
    <w:rsid w:val="00AF7E9B"/>
    <w:rsid w:val="00B003B2"/>
    <w:rsid w:val="00B0045D"/>
    <w:rsid w:val="00B01103"/>
    <w:rsid w:val="00B01FC7"/>
    <w:rsid w:val="00B02448"/>
    <w:rsid w:val="00B035D2"/>
    <w:rsid w:val="00B036BF"/>
    <w:rsid w:val="00B03780"/>
    <w:rsid w:val="00B0416A"/>
    <w:rsid w:val="00B04FFE"/>
    <w:rsid w:val="00B05289"/>
    <w:rsid w:val="00B0538C"/>
    <w:rsid w:val="00B053A8"/>
    <w:rsid w:val="00B05914"/>
    <w:rsid w:val="00B0654B"/>
    <w:rsid w:val="00B067FF"/>
    <w:rsid w:val="00B06E59"/>
    <w:rsid w:val="00B07EC6"/>
    <w:rsid w:val="00B07F51"/>
    <w:rsid w:val="00B1063F"/>
    <w:rsid w:val="00B108DF"/>
    <w:rsid w:val="00B109F6"/>
    <w:rsid w:val="00B10DBA"/>
    <w:rsid w:val="00B10EE2"/>
    <w:rsid w:val="00B11680"/>
    <w:rsid w:val="00B11C93"/>
    <w:rsid w:val="00B11D6B"/>
    <w:rsid w:val="00B12B2A"/>
    <w:rsid w:val="00B12BCD"/>
    <w:rsid w:val="00B13447"/>
    <w:rsid w:val="00B137B7"/>
    <w:rsid w:val="00B1399B"/>
    <w:rsid w:val="00B14C8A"/>
    <w:rsid w:val="00B16140"/>
    <w:rsid w:val="00B17495"/>
    <w:rsid w:val="00B2103A"/>
    <w:rsid w:val="00B2251D"/>
    <w:rsid w:val="00B22EC1"/>
    <w:rsid w:val="00B256CE"/>
    <w:rsid w:val="00B25A68"/>
    <w:rsid w:val="00B25D6F"/>
    <w:rsid w:val="00B25E70"/>
    <w:rsid w:val="00B27071"/>
    <w:rsid w:val="00B272D2"/>
    <w:rsid w:val="00B2736C"/>
    <w:rsid w:val="00B275F3"/>
    <w:rsid w:val="00B303E0"/>
    <w:rsid w:val="00B30F0C"/>
    <w:rsid w:val="00B31570"/>
    <w:rsid w:val="00B31A9B"/>
    <w:rsid w:val="00B31DF8"/>
    <w:rsid w:val="00B3221F"/>
    <w:rsid w:val="00B3253E"/>
    <w:rsid w:val="00B32A0A"/>
    <w:rsid w:val="00B344CB"/>
    <w:rsid w:val="00B34535"/>
    <w:rsid w:val="00B34BB8"/>
    <w:rsid w:val="00B34CD6"/>
    <w:rsid w:val="00B3525B"/>
    <w:rsid w:val="00B354D1"/>
    <w:rsid w:val="00B359E3"/>
    <w:rsid w:val="00B35CC7"/>
    <w:rsid w:val="00B360BB"/>
    <w:rsid w:val="00B36C1F"/>
    <w:rsid w:val="00B3747C"/>
    <w:rsid w:val="00B4014A"/>
    <w:rsid w:val="00B4019E"/>
    <w:rsid w:val="00B40961"/>
    <w:rsid w:val="00B40D80"/>
    <w:rsid w:val="00B41D8B"/>
    <w:rsid w:val="00B41DAB"/>
    <w:rsid w:val="00B420C1"/>
    <w:rsid w:val="00B42188"/>
    <w:rsid w:val="00B429AF"/>
    <w:rsid w:val="00B42D68"/>
    <w:rsid w:val="00B442C1"/>
    <w:rsid w:val="00B445EF"/>
    <w:rsid w:val="00B4481E"/>
    <w:rsid w:val="00B44D7D"/>
    <w:rsid w:val="00B45EE0"/>
    <w:rsid w:val="00B46833"/>
    <w:rsid w:val="00B46B81"/>
    <w:rsid w:val="00B47841"/>
    <w:rsid w:val="00B50025"/>
    <w:rsid w:val="00B50B3A"/>
    <w:rsid w:val="00B51554"/>
    <w:rsid w:val="00B51F04"/>
    <w:rsid w:val="00B5247B"/>
    <w:rsid w:val="00B527C1"/>
    <w:rsid w:val="00B53012"/>
    <w:rsid w:val="00B535CA"/>
    <w:rsid w:val="00B5433C"/>
    <w:rsid w:val="00B550D0"/>
    <w:rsid w:val="00B5597C"/>
    <w:rsid w:val="00B55F80"/>
    <w:rsid w:val="00B564E3"/>
    <w:rsid w:val="00B5669F"/>
    <w:rsid w:val="00B56BDF"/>
    <w:rsid w:val="00B60582"/>
    <w:rsid w:val="00B611BF"/>
    <w:rsid w:val="00B611FC"/>
    <w:rsid w:val="00B61342"/>
    <w:rsid w:val="00B613BC"/>
    <w:rsid w:val="00B619C6"/>
    <w:rsid w:val="00B61A9B"/>
    <w:rsid w:val="00B621FD"/>
    <w:rsid w:val="00B62216"/>
    <w:rsid w:val="00B63C14"/>
    <w:rsid w:val="00B63C1A"/>
    <w:rsid w:val="00B64173"/>
    <w:rsid w:val="00B642C6"/>
    <w:rsid w:val="00B645A8"/>
    <w:rsid w:val="00B645D8"/>
    <w:rsid w:val="00B64943"/>
    <w:rsid w:val="00B65373"/>
    <w:rsid w:val="00B6547D"/>
    <w:rsid w:val="00B65B32"/>
    <w:rsid w:val="00B667CE"/>
    <w:rsid w:val="00B66E09"/>
    <w:rsid w:val="00B66E30"/>
    <w:rsid w:val="00B67C1F"/>
    <w:rsid w:val="00B67EED"/>
    <w:rsid w:val="00B703BB"/>
    <w:rsid w:val="00B71947"/>
    <w:rsid w:val="00B721CB"/>
    <w:rsid w:val="00B727F2"/>
    <w:rsid w:val="00B72A97"/>
    <w:rsid w:val="00B73D3C"/>
    <w:rsid w:val="00B73F93"/>
    <w:rsid w:val="00B74582"/>
    <w:rsid w:val="00B74877"/>
    <w:rsid w:val="00B752EB"/>
    <w:rsid w:val="00B75D11"/>
    <w:rsid w:val="00B75DD0"/>
    <w:rsid w:val="00B76802"/>
    <w:rsid w:val="00B77558"/>
    <w:rsid w:val="00B77619"/>
    <w:rsid w:val="00B778F2"/>
    <w:rsid w:val="00B80278"/>
    <w:rsid w:val="00B80CCB"/>
    <w:rsid w:val="00B80D12"/>
    <w:rsid w:val="00B80F35"/>
    <w:rsid w:val="00B81098"/>
    <w:rsid w:val="00B81B54"/>
    <w:rsid w:val="00B82ACC"/>
    <w:rsid w:val="00B83337"/>
    <w:rsid w:val="00B85F09"/>
    <w:rsid w:val="00B86EE2"/>
    <w:rsid w:val="00B86F15"/>
    <w:rsid w:val="00B87687"/>
    <w:rsid w:val="00B8798D"/>
    <w:rsid w:val="00B87C4B"/>
    <w:rsid w:val="00B907EC"/>
    <w:rsid w:val="00B9096D"/>
    <w:rsid w:val="00B90FFE"/>
    <w:rsid w:val="00B91FB7"/>
    <w:rsid w:val="00B9213B"/>
    <w:rsid w:val="00B92642"/>
    <w:rsid w:val="00B92DED"/>
    <w:rsid w:val="00B9316A"/>
    <w:rsid w:val="00B932A7"/>
    <w:rsid w:val="00B93C70"/>
    <w:rsid w:val="00B94061"/>
    <w:rsid w:val="00B94087"/>
    <w:rsid w:val="00B9442D"/>
    <w:rsid w:val="00B95354"/>
    <w:rsid w:val="00B95428"/>
    <w:rsid w:val="00B96007"/>
    <w:rsid w:val="00B965A7"/>
    <w:rsid w:val="00B96768"/>
    <w:rsid w:val="00B96C26"/>
    <w:rsid w:val="00B9717D"/>
    <w:rsid w:val="00BA03F2"/>
    <w:rsid w:val="00BA0405"/>
    <w:rsid w:val="00BA053F"/>
    <w:rsid w:val="00BA1036"/>
    <w:rsid w:val="00BA1113"/>
    <w:rsid w:val="00BA1603"/>
    <w:rsid w:val="00BA2308"/>
    <w:rsid w:val="00BA2579"/>
    <w:rsid w:val="00BA272D"/>
    <w:rsid w:val="00BA28D7"/>
    <w:rsid w:val="00BA33A6"/>
    <w:rsid w:val="00BA45C7"/>
    <w:rsid w:val="00BA4EAD"/>
    <w:rsid w:val="00BA519A"/>
    <w:rsid w:val="00BA53E8"/>
    <w:rsid w:val="00BA5792"/>
    <w:rsid w:val="00BA5DF0"/>
    <w:rsid w:val="00BA5F65"/>
    <w:rsid w:val="00BA5F72"/>
    <w:rsid w:val="00BA6200"/>
    <w:rsid w:val="00BA64BB"/>
    <w:rsid w:val="00BB0DD5"/>
    <w:rsid w:val="00BB1A6A"/>
    <w:rsid w:val="00BB24CF"/>
    <w:rsid w:val="00BB38FE"/>
    <w:rsid w:val="00BB3A5B"/>
    <w:rsid w:val="00BB42EA"/>
    <w:rsid w:val="00BB5420"/>
    <w:rsid w:val="00BB5935"/>
    <w:rsid w:val="00BB598C"/>
    <w:rsid w:val="00BB6E78"/>
    <w:rsid w:val="00BB6EC3"/>
    <w:rsid w:val="00BB780B"/>
    <w:rsid w:val="00BB7B5A"/>
    <w:rsid w:val="00BB7CDF"/>
    <w:rsid w:val="00BB7D62"/>
    <w:rsid w:val="00BC0082"/>
    <w:rsid w:val="00BC058F"/>
    <w:rsid w:val="00BC0829"/>
    <w:rsid w:val="00BC0C32"/>
    <w:rsid w:val="00BC1894"/>
    <w:rsid w:val="00BC27E5"/>
    <w:rsid w:val="00BC2F08"/>
    <w:rsid w:val="00BC310D"/>
    <w:rsid w:val="00BC3913"/>
    <w:rsid w:val="00BC3E34"/>
    <w:rsid w:val="00BC57B0"/>
    <w:rsid w:val="00BC5F21"/>
    <w:rsid w:val="00BC6343"/>
    <w:rsid w:val="00BC6C95"/>
    <w:rsid w:val="00BC78D2"/>
    <w:rsid w:val="00BD014A"/>
    <w:rsid w:val="00BD01EF"/>
    <w:rsid w:val="00BD0752"/>
    <w:rsid w:val="00BD1560"/>
    <w:rsid w:val="00BD18BF"/>
    <w:rsid w:val="00BD1D63"/>
    <w:rsid w:val="00BD2BB5"/>
    <w:rsid w:val="00BD2DA1"/>
    <w:rsid w:val="00BD34CF"/>
    <w:rsid w:val="00BD45C5"/>
    <w:rsid w:val="00BD482A"/>
    <w:rsid w:val="00BD5055"/>
    <w:rsid w:val="00BD5AF3"/>
    <w:rsid w:val="00BD7175"/>
    <w:rsid w:val="00BD7176"/>
    <w:rsid w:val="00BD7A22"/>
    <w:rsid w:val="00BD7E23"/>
    <w:rsid w:val="00BE11D2"/>
    <w:rsid w:val="00BE1937"/>
    <w:rsid w:val="00BE238C"/>
    <w:rsid w:val="00BE4057"/>
    <w:rsid w:val="00BE44DF"/>
    <w:rsid w:val="00BE453F"/>
    <w:rsid w:val="00BE556F"/>
    <w:rsid w:val="00BE5900"/>
    <w:rsid w:val="00BE6264"/>
    <w:rsid w:val="00BE6363"/>
    <w:rsid w:val="00BE74DC"/>
    <w:rsid w:val="00BE7CC8"/>
    <w:rsid w:val="00BE7F66"/>
    <w:rsid w:val="00BE7FD3"/>
    <w:rsid w:val="00BF0A97"/>
    <w:rsid w:val="00BF0B09"/>
    <w:rsid w:val="00BF0CB0"/>
    <w:rsid w:val="00BF0D00"/>
    <w:rsid w:val="00BF1357"/>
    <w:rsid w:val="00BF16CB"/>
    <w:rsid w:val="00BF2B78"/>
    <w:rsid w:val="00BF4240"/>
    <w:rsid w:val="00BF4B9A"/>
    <w:rsid w:val="00BF58E5"/>
    <w:rsid w:val="00BF6562"/>
    <w:rsid w:val="00BF6E19"/>
    <w:rsid w:val="00C00629"/>
    <w:rsid w:val="00C00970"/>
    <w:rsid w:val="00C018F1"/>
    <w:rsid w:val="00C0228F"/>
    <w:rsid w:val="00C025DC"/>
    <w:rsid w:val="00C02B03"/>
    <w:rsid w:val="00C037E1"/>
    <w:rsid w:val="00C045CD"/>
    <w:rsid w:val="00C04827"/>
    <w:rsid w:val="00C04CAA"/>
    <w:rsid w:val="00C0523C"/>
    <w:rsid w:val="00C06307"/>
    <w:rsid w:val="00C07211"/>
    <w:rsid w:val="00C072A3"/>
    <w:rsid w:val="00C076BB"/>
    <w:rsid w:val="00C07CC7"/>
    <w:rsid w:val="00C07F84"/>
    <w:rsid w:val="00C10DD0"/>
    <w:rsid w:val="00C1148C"/>
    <w:rsid w:val="00C119FE"/>
    <w:rsid w:val="00C12A26"/>
    <w:rsid w:val="00C12C11"/>
    <w:rsid w:val="00C13824"/>
    <w:rsid w:val="00C13A6B"/>
    <w:rsid w:val="00C141C6"/>
    <w:rsid w:val="00C156C1"/>
    <w:rsid w:val="00C162D6"/>
    <w:rsid w:val="00C1671D"/>
    <w:rsid w:val="00C1698F"/>
    <w:rsid w:val="00C1763A"/>
    <w:rsid w:val="00C20272"/>
    <w:rsid w:val="00C2059F"/>
    <w:rsid w:val="00C20E43"/>
    <w:rsid w:val="00C21C94"/>
    <w:rsid w:val="00C22DEF"/>
    <w:rsid w:val="00C23472"/>
    <w:rsid w:val="00C239F7"/>
    <w:rsid w:val="00C2401C"/>
    <w:rsid w:val="00C243B3"/>
    <w:rsid w:val="00C2533B"/>
    <w:rsid w:val="00C25D5A"/>
    <w:rsid w:val="00C25E14"/>
    <w:rsid w:val="00C273DF"/>
    <w:rsid w:val="00C31559"/>
    <w:rsid w:val="00C315EA"/>
    <w:rsid w:val="00C31E8D"/>
    <w:rsid w:val="00C32598"/>
    <w:rsid w:val="00C32A58"/>
    <w:rsid w:val="00C333C9"/>
    <w:rsid w:val="00C33E8C"/>
    <w:rsid w:val="00C34366"/>
    <w:rsid w:val="00C3477B"/>
    <w:rsid w:val="00C353B4"/>
    <w:rsid w:val="00C36018"/>
    <w:rsid w:val="00C37958"/>
    <w:rsid w:val="00C40EA6"/>
    <w:rsid w:val="00C41339"/>
    <w:rsid w:val="00C413C4"/>
    <w:rsid w:val="00C41A8A"/>
    <w:rsid w:val="00C424E7"/>
    <w:rsid w:val="00C42704"/>
    <w:rsid w:val="00C43ABE"/>
    <w:rsid w:val="00C43F67"/>
    <w:rsid w:val="00C43FB8"/>
    <w:rsid w:val="00C44975"/>
    <w:rsid w:val="00C44E6B"/>
    <w:rsid w:val="00C45BE2"/>
    <w:rsid w:val="00C46548"/>
    <w:rsid w:val="00C466ED"/>
    <w:rsid w:val="00C46F64"/>
    <w:rsid w:val="00C4715D"/>
    <w:rsid w:val="00C4760C"/>
    <w:rsid w:val="00C47681"/>
    <w:rsid w:val="00C47749"/>
    <w:rsid w:val="00C4786E"/>
    <w:rsid w:val="00C507FE"/>
    <w:rsid w:val="00C51912"/>
    <w:rsid w:val="00C53228"/>
    <w:rsid w:val="00C53A95"/>
    <w:rsid w:val="00C5433A"/>
    <w:rsid w:val="00C543AA"/>
    <w:rsid w:val="00C54E8E"/>
    <w:rsid w:val="00C55291"/>
    <w:rsid w:val="00C554BE"/>
    <w:rsid w:val="00C55C2D"/>
    <w:rsid w:val="00C56245"/>
    <w:rsid w:val="00C56B52"/>
    <w:rsid w:val="00C577DD"/>
    <w:rsid w:val="00C579D5"/>
    <w:rsid w:val="00C57A9C"/>
    <w:rsid w:val="00C603C8"/>
    <w:rsid w:val="00C61428"/>
    <w:rsid w:val="00C61619"/>
    <w:rsid w:val="00C6186B"/>
    <w:rsid w:val="00C6217F"/>
    <w:rsid w:val="00C63E87"/>
    <w:rsid w:val="00C64441"/>
    <w:rsid w:val="00C64889"/>
    <w:rsid w:val="00C648D3"/>
    <w:rsid w:val="00C64A5D"/>
    <w:rsid w:val="00C64A7E"/>
    <w:rsid w:val="00C650AB"/>
    <w:rsid w:val="00C651F7"/>
    <w:rsid w:val="00C6568F"/>
    <w:rsid w:val="00C65CD9"/>
    <w:rsid w:val="00C669E0"/>
    <w:rsid w:val="00C6733A"/>
    <w:rsid w:val="00C6787B"/>
    <w:rsid w:val="00C715F7"/>
    <w:rsid w:val="00C71712"/>
    <w:rsid w:val="00C71F9C"/>
    <w:rsid w:val="00C7205B"/>
    <w:rsid w:val="00C7238D"/>
    <w:rsid w:val="00C72696"/>
    <w:rsid w:val="00C72971"/>
    <w:rsid w:val="00C730D3"/>
    <w:rsid w:val="00C74120"/>
    <w:rsid w:val="00C742A3"/>
    <w:rsid w:val="00C74597"/>
    <w:rsid w:val="00C746AC"/>
    <w:rsid w:val="00C74DAE"/>
    <w:rsid w:val="00C7525C"/>
    <w:rsid w:val="00C75518"/>
    <w:rsid w:val="00C75897"/>
    <w:rsid w:val="00C770D0"/>
    <w:rsid w:val="00C77245"/>
    <w:rsid w:val="00C778BC"/>
    <w:rsid w:val="00C77CD2"/>
    <w:rsid w:val="00C77D0D"/>
    <w:rsid w:val="00C80232"/>
    <w:rsid w:val="00C80334"/>
    <w:rsid w:val="00C809AC"/>
    <w:rsid w:val="00C80C67"/>
    <w:rsid w:val="00C80D23"/>
    <w:rsid w:val="00C80F4A"/>
    <w:rsid w:val="00C8156F"/>
    <w:rsid w:val="00C81629"/>
    <w:rsid w:val="00C81D6D"/>
    <w:rsid w:val="00C8212B"/>
    <w:rsid w:val="00C823B8"/>
    <w:rsid w:val="00C8324F"/>
    <w:rsid w:val="00C846A4"/>
    <w:rsid w:val="00C8476D"/>
    <w:rsid w:val="00C8491D"/>
    <w:rsid w:val="00C853C4"/>
    <w:rsid w:val="00C854A4"/>
    <w:rsid w:val="00C85995"/>
    <w:rsid w:val="00C8600A"/>
    <w:rsid w:val="00C86084"/>
    <w:rsid w:val="00C86449"/>
    <w:rsid w:val="00C87350"/>
    <w:rsid w:val="00C87F2D"/>
    <w:rsid w:val="00C910EB"/>
    <w:rsid w:val="00C918BB"/>
    <w:rsid w:val="00C91E8F"/>
    <w:rsid w:val="00C9280E"/>
    <w:rsid w:val="00C92A6B"/>
    <w:rsid w:val="00C932DC"/>
    <w:rsid w:val="00C935C0"/>
    <w:rsid w:val="00C939BD"/>
    <w:rsid w:val="00C940EF"/>
    <w:rsid w:val="00C94926"/>
    <w:rsid w:val="00C952B4"/>
    <w:rsid w:val="00C954E7"/>
    <w:rsid w:val="00C95F46"/>
    <w:rsid w:val="00C96CEF"/>
    <w:rsid w:val="00C974BB"/>
    <w:rsid w:val="00C97A6D"/>
    <w:rsid w:val="00CA00C4"/>
    <w:rsid w:val="00CA0807"/>
    <w:rsid w:val="00CA0B60"/>
    <w:rsid w:val="00CA0D3D"/>
    <w:rsid w:val="00CA1030"/>
    <w:rsid w:val="00CA15F0"/>
    <w:rsid w:val="00CA1AFA"/>
    <w:rsid w:val="00CA268F"/>
    <w:rsid w:val="00CA32F0"/>
    <w:rsid w:val="00CA3BCE"/>
    <w:rsid w:val="00CA3F17"/>
    <w:rsid w:val="00CA40CF"/>
    <w:rsid w:val="00CA4440"/>
    <w:rsid w:val="00CA470F"/>
    <w:rsid w:val="00CA55CA"/>
    <w:rsid w:val="00CA60D5"/>
    <w:rsid w:val="00CA627E"/>
    <w:rsid w:val="00CB01E9"/>
    <w:rsid w:val="00CB04D3"/>
    <w:rsid w:val="00CB0D03"/>
    <w:rsid w:val="00CB2196"/>
    <w:rsid w:val="00CB260C"/>
    <w:rsid w:val="00CB3EC3"/>
    <w:rsid w:val="00CB45F5"/>
    <w:rsid w:val="00CB489C"/>
    <w:rsid w:val="00CB508C"/>
    <w:rsid w:val="00CB5136"/>
    <w:rsid w:val="00CB523A"/>
    <w:rsid w:val="00CB529E"/>
    <w:rsid w:val="00CB5F83"/>
    <w:rsid w:val="00CB60A2"/>
    <w:rsid w:val="00CB683F"/>
    <w:rsid w:val="00CB688A"/>
    <w:rsid w:val="00CB7380"/>
    <w:rsid w:val="00CB73BC"/>
    <w:rsid w:val="00CB7867"/>
    <w:rsid w:val="00CC008A"/>
    <w:rsid w:val="00CC081D"/>
    <w:rsid w:val="00CC2727"/>
    <w:rsid w:val="00CC3FC6"/>
    <w:rsid w:val="00CC4787"/>
    <w:rsid w:val="00CC5623"/>
    <w:rsid w:val="00CC56BC"/>
    <w:rsid w:val="00CC5911"/>
    <w:rsid w:val="00CC6F85"/>
    <w:rsid w:val="00CC72F3"/>
    <w:rsid w:val="00CC7923"/>
    <w:rsid w:val="00CD12D0"/>
    <w:rsid w:val="00CD227A"/>
    <w:rsid w:val="00CD2358"/>
    <w:rsid w:val="00CD23B7"/>
    <w:rsid w:val="00CD2598"/>
    <w:rsid w:val="00CD3488"/>
    <w:rsid w:val="00CD3CA4"/>
    <w:rsid w:val="00CD3E2B"/>
    <w:rsid w:val="00CD3F8E"/>
    <w:rsid w:val="00CD453C"/>
    <w:rsid w:val="00CD4FE2"/>
    <w:rsid w:val="00CD58A0"/>
    <w:rsid w:val="00CD5BC2"/>
    <w:rsid w:val="00CD5C28"/>
    <w:rsid w:val="00CD5CE8"/>
    <w:rsid w:val="00CD672A"/>
    <w:rsid w:val="00CD6F3C"/>
    <w:rsid w:val="00CD749C"/>
    <w:rsid w:val="00CD77E9"/>
    <w:rsid w:val="00CD795D"/>
    <w:rsid w:val="00CD7A21"/>
    <w:rsid w:val="00CE0653"/>
    <w:rsid w:val="00CE07D9"/>
    <w:rsid w:val="00CE21F3"/>
    <w:rsid w:val="00CE29F8"/>
    <w:rsid w:val="00CE2A3F"/>
    <w:rsid w:val="00CE2A76"/>
    <w:rsid w:val="00CE3945"/>
    <w:rsid w:val="00CE3BDD"/>
    <w:rsid w:val="00CE3E99"/>
    <w:rsid w:val="00CE46F1"/>
    <w:rsid w:val="00CE4D97"/>
    <w:rsid w:val="00CE4E45"/>
    <w:rsid w:val="00CE5444"/>
    <w:rsid w:val="00CE5BEA"/>
    <w:rsid w:val="00CE6BC7"/>
    <w:rsid w:val="00CE7638"/>
    <w:rsid w:val="00CF0380"/>
    <w:rsid w:val="00CF0BE7"/>
    <w:rsid w:val="00CF1FAC"/>
    <w:rsid w:val="00CF3488"/>
    <w:rsid w:val="00CF3F76"/>
    <w:rsid w:val="00CF4324"/>
    <w:rsid w:val="00CF4431"/>
    <w:rsid w:val="00CF4533"/>
    <w:rsid w:val="00CF5B8E"/>
    <w:rsid w:val="00CF67C9"/>
    <w:rsid w:val="00CF6FB7"/>
    <w:rsid w:val="00CF729D"/>
    <w:rsid w:val="00CF73BE"/>
    <w:rsid w:val="00CF7EC9"/>
    <w:rsid w:val="00CF7F97"/>
    <w:rsid w:val="00D00162"/>
    <w:rsid w:val="00D00A28"/>
    <w:rsid w:val="00D011C3"/>
    <w:rsid w:val="00D01452"/>
    <w:rsid w:val="00D01D4A"/>
    <w:rsid w:val="00D01FD0"/>
    <w:rsid w:val="00D0227B"/>
    <w:rsid w:val="00D023F5"/>
    <w:rsid w:val="00D03B08"/>
    <w:rsid w:val="00D03EE7"/>
    <w:rsid w:val="00D041C1"/>
    <w:rsid w:val="00D04991"/>
    <w:rsid w:val="00D04995"/>
    <w:rsid w:val="00D05586"/>
    <w:rsid w:val="00D05992"/>
    <w:rsid w:val="00D0623F"/>
    <w:rsid w:val="00D07255"/>
    <w:rsid w:val="00D072C5"/>
    <w:rsid w:val="00D075F8"/>
    <w:rsid w:val="00D106F3"/>
    <w:rsid w:val="00D109B4"/>
    <w:rsid w:val="00D10B52"/>
    <w:rsid w:val="00D123C4"/>
    <w:rsid w:val="00D125E5"/>
    <w:rsid w:val="00D127A4"/>
    <w:rsid w:val="00D12A3C"/>
    <w:rsid w:val="00D1371F"/>
    <w:rsid w:val="00D13CFA"/>
    <w:rsid w:val="00D14326"/>
    <w:rsid w:val="00D14E16"/>
    <w:rsid w:val="00D1663E"/>
    <w:rsid w:val="00D16EE0"/>
    <w:rsid w:val="00D16F89"/>
    <w:rsid w:val="00D20053"/>
    <w:rsid w:val="00D2057B"/>
    <w:rsid w:val="00D20BAE"/>
    <w:rsid w:val="00D20EC9"/>
    <w:rsid w:val="00D21EE3"/>
    <w:rsid w:val="00D22121"/>
    <w:rsid w:val="00D2212B"/>
    <w:rsid w:val="00D221A8"/>
    <w:rsid w:val="00D223F9"/>
    <w:rsid w:val="00D23877"/>
    <w:rsid w:val="00D23CBD"/>
    <w:rsid w:val="00D24978"/>
    <w:rsid w:val="00D25406"/>
    <w:rsid w:val="00D25FE1"/>
    <w:rsid w:val="00D26C63"/>
    <w:rsid w:val="00D26D56"/>
    <w:rsid w:val="00D2722E"/>
    <w:rsid w:val="00D272A0"/>
    <w:rsid w:val="00D272DD"/>
    <w:rsid w:val="00D3030A"/>
    <w:rsid w:val="00D30F00"/>
    <w:rsid w:val="00D31D33"/>
    <w:rsid w:val="00D325BE"/>
    <w:rsid w:val="00D3293B"/>
    <w:rsid w:val="00D33681"/>
    <w:rsid w:val="00D33924"/>
    <w:rsid w:val="00D34103"/>
    <w:rsid w:val="00D34517"/>
    <w:rsid w:val="00D34750"/>
    <w:rsid w:val="00D36116"/>
    <w:rsid w:val="00D37859"/>
    <w:rsid w:val="00D40AB7"/>
    <w:rsid w:val="00D42FC0"/>
    <w:rsid w:val="00D436C0"/>
    <w:rsid w:val="00D43C20"/>
    <w:rsid w:val="00D43FCA"/>
    <w:rsid w:val="00D45F5F"/>
    <w:rsid w:val="00D46595"/>
    <w:rsid w:val="00D47E15"/>
    <w:rsid w:val="00D507EA"/>
    <w:rsid w:val="00D50DC4"/>
    <w:rsid w:val="00D51FAE"/>
    <w:rsid w:val="00D52409"/>
    <w:rsid w:val="00D52576"/>
    <w:rsid w:val="00D5266D"/>
    <w:rsid w:val="00D53949"/>
    <w:rsid w:val="00D545A0"/>
    <w:rsid w:val="00D5489A"/>
    <w:rsid w:val="00D54C3C"/>
    <w:rsid w:val="00D55688"/>
    <w:rsid w:val="00D55A73"/>
    <w:rsid w:val="00D57D23"/>
    <w:rsid w:val="00D6099C"/>
    <w:rsid w:val="00D609DC"/>
    <w:rsid w:val="00D60D9D"/>
    <w:rsid w:val="00D6189D"/>
    <w:rsid w:val="00D61B46"/>
    <w:rsid w:val="00D6224A"/>
    <w:rsid w:val="00D625DD"/>
    <w:rsid w:val="00D63308"/>
    <w:rsid w:val="00D63AEB"/>
    <w:rsid w:val="00D63CB6"/>
    <w:rsid w:val="00D641E1"/>
    <w:rsid w:val="00D64213"/>
    <w:rsid w:val="00D645B7"/>
    <w:rsid w:val="00D646B2"/>
    <w:rsid w:val="00D64D17"/>
    <w:rsid w:val="00D6511B"/>
    <w:rsid w:val="00D65D0B"/>
    <w:rsid w:val="00D66B2F"/>
    <w:rsid w:val="00D66EB0"/>
    <w:rsid w:val="00D66F3C"/>
    <w:rsid w:val="00D67078"/>
    <w:rsid w:val="00D703B9"/>
    <w:rsid w:val="00D7092F"/>
    <w:rsid w:val="00D70C4D"/>
    <w:rsid w:val="00D713E8"/>
    <w:rsid w:val="00D71699"/>
    <w:rsid w:val="00D7175E"/>
    <w:rsid w:val="00D71979"/>
    <w:rsid w:val="00D71E0A"/>
    <w:rsid w:val="00D7216E"/>
    <w:rsid w:val="00D733EF"/>
    <w:rsid w:val="00D73573"/>
    <w:rsid w:val="00D73614"/>
    <w:rsid w:val="00D7419A"/>
    <w:rsid w:val="00D7563B"/>
    <w:rsid w:val="00D75815"/>
    <w:rsid w:val="00D76307"/>
    <w:rsid w:val="00D76FCE"/>
    <w:rsid w:val="00D77257"/>
    <w:rsid w:val="00D80F97"/>
    <w:rsid w:val="00D814E0"/>
    <w:rsid w:val="00D818C7"/>
    <w:rsid w:val="00D81D6B"/>
    <w:rsid w:val="00D81FEA"/>
    <w:rsid w:val="00D82BF8"/>
    <w:rsid w:val="00D82FCB"/>
    <w:rsid w:val="00D8338E"/>
    <w:rsid w:val="00D83910"/>
    <w:rsid w:val="00D84CCD"/>
    <w:rsid w:val="00D85F32"/>
    <w:rsid w:val="00D86D02"/>
    <w:rsid w:val="00D86FDC"/>
    <w:rsid w:val="00D909E8"/>
    <w:rsid w:val="00D90ED5"/>
    <w:rsid w:val="00D91566"/>
    <w:rsid w:val="00D91A42"/>
    <w:rsid w:val="00D91B79"/>
    <w:rsid w:val="00D9200E"/>
    <w:rsid w:val="00D92A59"/>
    <w:rsid w:val="00D92B64"/>
    <w:rsid w:val="00D92B70"/>
    <w:rsid w:val="00D94CB1"/>
    <w:rsid w:val="00D94D51"/>
    <w:rsid w:val="00D94F51"/>
    <w:rsid w:val="00D96C65"/>
    <w:rsid w:val="00D96C93"/>
    <w:rsid w:val="00D96CA4"/>
    <w:rsid w:val="00D97096"/>
    <w:rsid w:val="00D972B0"/>
    <w:rsid w:val="00D973D4"/>
    <w:rsid w:val="00DA00CE"/>
    <w:rsid w:val="00DA047A"/>
    <w:rsid w:val="00DA0572"/>
    <w:rsid w:val="00DA0B6A"/>
    <w:rsid w:val="00DA0D48"/>
    <w:rsid w:val="00DA2142"/>
    <w:rsid w:val="00DA2C3C"/>
    <w:rsid w:val="00DA2D05"/>
    <w:rsid w:val="00DA32FF"/>
    <w:rsid w:val="00DA33BF"/>
    <w:rsid w:val="00DA44EB"/>
    <w:rsid w:val="00DA4847"/>
    <w:rsid w:val="00DA537F"/>
    <w:rsid w:val="00DA53B8"/>
    <w:rsid w:val="00DA5FF9"/>
    <w:rsid w:val="00DA63BA"/>
    <w:rsid w:val="00DA6EFD"/>
    <w:rsid w:val="00DA6F60"/>
    <w:rsid w:val="00DA75B7"/>
    <w:rsid w:val="00DA7E70"/>
    <w:rsid w:val="00DB0260"/>
    <w:rsid w:val="00DB0753"/>
    <w:rsid w:val="00DB1232"/>
    <w:rsid w:val="00DB1460"/>
    <w:rsid w:val="00DB250F"/>
    <w:rsid w:val="00DB3ADF"/>
    <w:rsid w:val="00DB5550"/>
    <w:rsid w:val="00DB56BD"/>
    <w:rsid w:val="00DB5A64"/>
    <w:rsid w:val="00DB614E"/>
    <w:rsid w:val="00DB6B90"/>
    <w:rsid w:val="00DB6DBF"/>
    <w:rsid w:val="00DB6F30"/>
    <w:rsid w:val="00DB6F48"/>
    <w:rsid w:val="00DB7D6D"/>
    <w:rsid w:val="00DB7DBD"/>
    <w:rsid w:val="00DC0034"/>
    <w:rsid w:val="00DC16B7"/>
    <w:rsid w:val="00DC17A7"/>
    <w:rsid w:val="00DC26C4"/>
    <w:rsid w:val="00DC2D76"/>
    <w:rsid w:val="00DC3436"/>
    <w:rsid w:val="00DC4365"/>
    <w:rsid w:val="00DC4AE7"/>
    <w:rsid w:val="00DC50AF"/>
    <w:rsid w:val="00DC584B"/>
    <w:rsid w:val="00DC5FA1"/>
    <w:rsid w:val="00DC6D35"/>
    <w:rsid w:val="00DC6ECA"/>
    <w:rsid w:val="00DC755B"/>
    <w:rsid w:val="00DC76D8"/>
    <w:rsid w:val="00DC7CFE"/>
    <w:rsid w:val="00DC7F64"/>
    <w:rsid w:val="00DD01C0"/>
    <w:rsid w:val="00DD155E"/>
    <w:rsid w:val="00DD1C97"/>
    <w:rsid w:val="00DD21A8"/>
    <w:rsid w:val="00DD21F0"/>
    <w:rsid w:val="00DD2C4B"/>
    <w:rsid w:val="00DD3517"/>
    <w:rsid w:val="00DD422D"/>
    <w:rsid w:val="00DD4E6B"/>
    <w:rsid w:val="00DD729C"/>
    <w:rsid w:val="00DD72E6"/>
    <w:rsid w:val="00DE03AE"/>
    <w:rsid w:val="00DE0CDC"/>
    <w:rsid w:val="00DE1045"/>
    <w:rsid w:val="00DE1B69"/>
    <w:rsid w:val="00DE2B70"/>
    <w:rsid w:val="00DE2E70"/>
    <w:rsid w:val="00DE329D"/>
    <w:rsid w:val="00DE3311"/>
    <w:rsid w:val="00DE343D"/>
    <w:rsid w:val="00DE3642"/>
    <w:rsid w:val="00DE397D"/>
    <w:rsid w:val="00DE4D18"/>
    <w:rsid w:val="00DE50FD"/>
    <w:rsid w:val="00DE5445"/>
    <w:rsid w:val="00DE570F"/>
    <w:rsid w:val="00DE5C08"/>
    <w:rsid w:val="00DE5F62"/>
    <w:rsid w:val="00DE5FE1"/>
    <w:rsid w:val="00DE6995"/>
    <w:rsid w:val="00DE7078"/>
    <w:rsid w:val="00DE74AE"/>
    <w:rsid w:val="00DE7781"/>
    <w:rsid w:val="00DE7D10"/>
    <w:rsid w:val="00DF0963"/>
    <w:rsid w:val="00DF0A5F"/>
    <w:rsid w:val="00DF18FA"/>
    <w:rsid w:val="00DF1EA9"/>
    <w:rsid w:val="00DF2350"/>
    <w:rsid w:val="00DF3A36"/>
    <w:rsid w:val="00DF3B9D"/>
    <w:rsid w:val="00DF3E9F"/>
    <w:rsid w:val="00DF4472"/>
    <w:rsid w:val="00DF44CD"/>
    <w:rsid w:val="00DF49C6"/>
    <w:rsid w:val="00DF54EC"/>
    <w:rsid w:val="00DF59FF"/>
    <w:rsid w:val="00DF6494"/>
    <w:rsid w:val="00DF6DB7"/>
    <w:rsid w:val="00DF6DEB"/>
    <w:rsid w:val="00DF7EDD"/>
    <w:rsid w:val="00E000E6"/>
    <w:rsid w:val="00E00A33"/>
    <w:rsid w:val="00E01211"/>
    <w:rsid w:val="00E0227C"/>
    <w:rsid w:val="00E025B6"/>
    <w:rsid w:val="00E031BE"/>
    <w:rsid w:val="00E03407"/>
    <w:rsid w:val="00E03767"/>
    <w:rsid w:val="00E03892"/>
    <w:rsid w:val="00E041F5"/>
    <w:rsid w:val="00E044A5"/>
    <w:rsid w:val="00E05238"/>
    <w:rsid w:val="00E05B03"/>
    <w:rsid w:val="00E0614F"/>
    <w:rsid w:val="00E066A6"/>
    <w:rsid w:val="00E06D32"/>
    <w:rsid w:val="00E06F73"/>
    <w:rsid w:val="00E073C5"/>
    <w:rsid w:val="00E07CDB"/>
    <w:rsid w:val="00E07EBF"/>
    <w:rsid w:val="00E10524"/>
    <w:rsid w:val="00E11DAA"/>
    <w:rsid w:val="00E127AA"/>
    <w:rsid w:val="00E13B35"/>
    <w:rsid w:val="00E13EB6"/>
    <w:rsid w:val="00E1458A"/>
    <w:rsid w:val="00E1465E"/>
    <w:rsid w:val="00E146EE"/>
    <w:rsid w:val="00E1497A"/>
    <w:rsid w:val="00E14F40"/>
    <w:rsid w:val="00E1562B"/>
    <w:rsid w:val="00E15E29"/>
    <w:rsid w:val="00E16C7B"/>
    <w:rsid w:val="00E17366"/>
    <w:rsid w:val="00E17410"/>
    <w:rsid w:val="00E20750"/>
    <w:rsid w:val="00E20EA1"/>
    <w:rsid w:val="00E22926"/>
    <w:rsid w:val="00E23CC9"/>
    <w:rsid w:val="00E23D89"/>
    <w:rsid w:val="00E24AF7"/>
    <w:rsid w:val="00E24BBB"/>
    <w:rsid w:val="00E2500C"/>
    <w:rsid w:val="00E25406"/>
    <w:rsid w:val="00E25475"/>
    <w:rsid w:val="00E25640"/>
    <w:rsid w:val="00E262D3"/>
    <w:rsid w:val="00E267E2"/>
    <w:rsid w:val="00E274C6"/>
    <w:rsid w:val="00E27C07"/>
    <w:rsid w:val="00E30080"/>
    <w:rsid w:val="00E313A8"/>
    <w:rsid w:val="00E33AB2"/>
    <w:rsid w:val="00E340C7"/>
    <w:rsid w:val="00E34318"/>
    <w:rsid w:val="00E34807"/>
    <w:rsid w:val="00E34A7C"/>
    <w:rsid w:val="00E34D1D"/>
    <w:rsid w:val="00E34D6F"/>
    <w:rsid w:val="00E34FB1"/>
    <w:rsid w:val="00E3530A"/>
    <w:rsid w:val="00E35A50"/>
    <w:rsid w:val="00E3672A"/>
    <w:rsid w:val="00E3694D"/>
    <w:rsid w:val="00E374F0"/>
    <w:rsid w:val="00E3762E"/>
    <w:rsid w:val="00E3771F"/>
    <w:rsid w:val="00E37848"/>
    <w:rsid w:val="00E37AC2"/>
    <w:rsid w:val="00E37D27"/>
    <w:rsid w:val="00E37D8E"/>
    <w:rsid w:val="00E37E17"/>
    <w:rsid w:val="00E409F6"/>
    <w:rsid w:val="00E417C8"/>
    <w:rsid w:val="00E41BE5"/>
    <w:rsid w:val="00E422A7"/>
    <w:rsid w:val="00E423A5"/>
    <w:rsid w:val="00E42811"/>
    <w:rsid w:val="00E428F4"/>
    <w:rsid w:val="00E43191"/>
    <w:rsid w:val="00E43614"/>
    <w:rsid w:val="00E43771"/>
    <w:rsid w:val="00E43E4C"/>
    <w:rsid w:val="00E43ED7"/>
    <w:rsid w:val="00E44027"/>
    <w:rsid w:val="00E44C81"/>
    <w:rsid w:val="00E45669"/>
    <w:rsid w:val="00E45791"/>
    <w:rsid w:val="00E46468"/>
    <w:rsid w:val="00E469AD"/>
    <w:rsid w:val="00E46DCA"/>
    <w:rsid w:val="00E477BA"/>
    <w:rsid w:val="00E47B5F"/>
    <w:rsid w:val="00E50EA1"/>
    <w:rsid w:val="00E51FBC"/>
    <w:rsid w:val="00E51FC6"/>
    <w:rsid w:val="00E5276E"/>
    <w:rsid w:val="00E52D81"/>
    <w:rsid w:val="00E536A6"/>
    <w:rsid w:val="00E539FB"/>
    <w:rsid w:val="00E5408A"/>
    <w:rsid w:val="00E54792"/>
    <w:rsid w:val="00E54D3B"/>
    <w:rsid w:val="00E55F41"/>
    <w:rsid w:val="00E56343"/>
    <w:rsid w:val="00E56489"/>
    <w:rsid w:val="00E56A07"/>
    <w:rsid w:val="00E57CCE"/>
    <w:rsid w:val="00E57FE8"/>
    <w:rsid w:val="00E60CE0"/>
    <w:rsid w:val="00E60D34"/>
    <w:rsid w:val="00E6211E"/>
    <w:rsid w:val="00E625B4"/>
    <w:rsid w:val="00E62DA5"/>
    <w:rsid w:val="00E63F6F"/>
    <w:rsid w:val="00E648C5"/>
    <w:rsid w:val="00E65FD0"/>
    <w:rsid w:val="00E66681"/>
    <w:rsid w:val="00E66F4E"/>
    <w:rsid w:val="00E67025"/>
    <w:rsid w:val="00E673AE"/>
    <w:rsid w:val="00E679A6"/>
    <w:rsid w:val="00E7082E"/>
    <w:rsid w:val="00E70BFD"/>
    <w:rsid w:val="00E7123B"/>
    <w:rsid w:val="00E7214E"/>
    <w:rsid w:val="00E72731"/>
    <w:rsid w:val="00E73DB9"/>
    <w:rsid w:val="00E73F5B"/>
    <w:rsid w:val="00E743D7"/>
    <w:rsid w:val="00E744F1"/>
    <w:rsid w:val="00E74CAD"/>
    <w:rsid w:val="00E74F7E"/>
    <w:rsid w:val="00E75770"/>
    <w:rsid w:val="00E757A2"/>
    <w:rsid w:val="00E75A5F"/>
    <w:rsid w:val="00E76939"/>
    <w:rsid w:val="00E76C71"/>
    <w:rsid w:val="00E76CD5"/>
    <w:rsid w:val="00E7728A"/>
    <w:rsid w:val="00E772FD"/>
    <w:rsid w:val="00E77751"/>
    <w:rsid w:val="00E82EA5"/>
    <w:rsid w:val="00E83E24"/>
    <w:rsid w:val="00E84833"/>
    <w:rsid w:val="00E84A2F"/>
    <w:rsid w:val="00E854A3"/>
    <w:rsid w:val="00E85E70"/>
    <w:rsid w:val="00E8682F"/>
    <w:rsid w:val="00E8733D"/>
    <w:rsid w:val="00E877A8"/>
    <w:rsid w:val="00E8784E"/>
    <w:rsid w:val="00E87C1C"/>
    <w:rsid w:val="00E91526"/>
    <w:rsid w:val="00E916F8"/>
    <w:rsid w:val="00E91771"/>
    <w:rsid w:val="00E91B15"/>
    <w:rsid w:val="00E92709"/>
    <w:rsid w:val="00E94470"/>
    <w:rsid w:val="00E945B3"/>
    <w:rsid w:val="00E957D5"/>
    <w:rsid w:val="00E959C0"/>
    <w:rsid w:val="00E96016"/>
    <w:rsid w:val="00E97C02"/>
    <w:rsid w:val="00EA0F88"/>
    <w:rsid w:val="00EA18FB"/>
    <w:rsid w:val="00EA1CC1"/>
    <w:rsid w:val="00EA236D"/>
    <w:rsid w:val="00EA267B"/>
    <w:rsid w:val="00EA3136"/>
    <w:rsid w:val="00EA3866"/>
    <w:rsid w:val="00EA390A"/>
    <w:rsid w:val="00EA3917"/>
    <w:rsid w:val="00EA3940"/>
    <w:rsid w:val="00EA3F3E"/>
    <w:rsid w:val="00EA419D"/>
    <w:rsid w:val="00EA466E"/>
    <w:rsid w:val="00EA5294"/>
    <w:rsid w:val="00EA5E19"/>
    <w:rsid w:val="00EA6650"/>
    <w:rsid w:val="00EA769C"/>
    <w:rsid w:val="00EA7858"/>
    <w:rsid w:val="00EA7AE0"/>
    <w:rsid w:val="00EB0016"/>
    <w:rsid w:val="00EB014E"/>
    <w:rsid w:val="00EB038E"/>
    <w:rsid w:val="00EB097C"/>
    <w:rsid w:val="00EB0B82"/>
    <w:rsid w:val="00EB0D43"/>
    <w:rsid w:val="00EB1FB4"/>
    <w:rsid w:val="00EB2B7B"/>
    <w:rsid w:val="00EB38D1"/>
    <w:rsid w:val="00EB4B29"/>
    <w:rsid w:val="00EB4D03"/>
    <w:rsid w:val="00EB5083"/>
    <w:rsid w:val="00EB7327"/>
    <w:rsid w:val="00EC1452"/>
    <w:rsid w:val="00EC167C"/>
    <w:rsid w:val="00EC1B3B"/>
    <w:rsid w:val="00EC2331"/>
    <w:rsid w:val="00EC30F2"/>
    <w:rsid w:val="00EC33F6"/>
    <w:rsid w:val="00EC3726"/>
    <w:rsid w:val="00EC3D20"/>
    <w:rsid w:val="00EC40D9"/>
    <w:rsid w:val="00EC5023"/>
    <w:rsid w:val="00EC5497"/>
    <w:rsid w:val="00EC54D2"/>
    <w:rsid w:val="00EC673E"/>
    <w:rsid w:val="00ED07FE"/>
    <w:rsid w:val="00ED214E"/>
    <w:rsid w:val="00ED314A"/>
    <w:rsid w:val="00ED37D1"/>
    <w:rsid w:val="00ED439F"/>
    <w:rsid w:val="00ED44BC"/>
    <w:rsid w:val="00ED44E1"/>
    <w:rsid w:val="00ED50E2"/>
    <w:rsid w:val="00ED5574"/>
    <w:rsid w:val="00ED55F3"/>
    <w:rsid w:val="00ED5780"/>
    <w:rsid w:val="00ED6567"/>
    <w:rsid w:val="00ED770F"/>
    <w:rsid w:val="00ED777E"/>
    <w:rsid w:val="00ED7A55"/>
    <w:rsid w:val="00ED7A5C"/>
    <w:rsid w:val="00EE0129"/>
    <w:rsid w:val="00EE0CCD"/>
    <w:rsid w:val="00EE15A5"/>
    <w:rsid w:val="00EE1727"/>
    <w:rsid w:val="00EE1B8A"/>
    <w:rsid w:val="00EE1EB3"/>
    <w:rsid w:val="00EE3549"/>
    <w:rsid w:val="00EE56E8"/>
    <w:rsid w:val="00EE6676"/>
    <w:rsid w:val="00EE6C67"/>
    <w:rsid w:val="00EE6CB7"/>
    <w:rsid w:val="00EE7521"/>
    <w:rsid w:val="00EF031C"/>
    <w:rsid w:val="00EF0344"/>
    <w:rsid w:val="00EF0715"/>
    <w:rsid w:val="00EF0D6C"/>
    <w:rsid w:val="00EF1192"/>
    <w:rsid w:val="00EF21BA"/>
    <w:rsid w:val="00EF2D10"/>
    <w:rsid w:val="00EF309A"/>
    <w:rsid w:val="00EF3470"/>
    <w:rsid w:val="00EF3950"/>
    <w:rsid w:val="00EF4438"/>
    <w:rsid w:val="00EF5BF8"/>
    <w:rsid w:val="00EF6421"/>
    <w:rsid w:val="00EF66A8"/>
    <w:rsid w:val="00EF693B"/>
    <w:rsid w:val="00EF6D7E"/>
    <w:rsid w:val="00EF6FB2"/>
    <w:rsid w:val="00EF7410"/>
    <w:rsid w:val="00EF7CBE"/>
    <w:rsid w:val="00EF7DC7"/>
    <w:rsid w:val="00EF7F22"/>
    <w:rsid w:val="00F00718"/>
    <w:rsid w:val="00F007B2"/>
    <w:rsid w:val="00F014FB"/>
    <w:rsid w:val="00F01567"/>
    <w:rsid w:val="00F016AD"/>
    <w:rsid w:val="00F01E47"/>
    <w:rsid w:val="00F01F50"/>
    <w:rsid w:val="00F023BB"/>
    <w:rsid w:val="00F024F8"/>
    <w:rsid w:val="00F02F71"/>
    <w:rsid w:val="00F04163"/>
    <w:rsid w:val="00F04636"/>
    <w:rsid w:val="00F0467B"/>
    <w:rsid w:val="00F04B08"/>
    <w:rsid w:val="00F04EFE"/>
    <w:rsid w:val="00F05AC8"/>
    <w:rsid w:val="00F06156"/>
    <w:rsid w:val="00F063BF"/>
    <w:rsid w:val="00F0649A"/>
    <w:rsid w:val="00F06CB1"/>
    <w:rsid w:val="00F078F9"/>
    <w:rsid w:val="00F07CEC"/>
    <w:rsid w:val="00F10512"/>
    <w:rsid w:val="00F10D91"/>
    <w:rsid w:val="00F11105"/>
    <w:rsid w:val="00F114FA"/>
    <w:rsid w:val="00F11A90"/>
    <w:rsid w:val="00F12198"/>
    <w:rsid w:val="00F12590"/>
    <w:rsid w:val="00F134F1"/>
    <w:rsid w:val="00F14163"/>
    <w:rsid w:val="00F14198"/>
    <w:rsid w:val="00F1480A"/>
    <w:rsid w:val="00F14E6F"/>
    <w:rsid w:val="00F1576D"/>
    <w:rsid w:val="00F15D4E"/>
    <w:rsid w:val="00F15EF1"/>
    <w:rsid w:val="00F17087"/>
    <w:rsid w:val="00F17344"/>
    <w:rsid w:val="00F1781C"/>
    <w:rsid w:val="00F2118B"/>
    <w:rsid w:val="00F2165D"/>
    <w:rsid w:val="00F21B55"/>
    <w:rsid w:val="00F22237"/>
    <w:rsid w:val="00F2241A"/>
    <w:rsid w:val="00F22A82"/>
    <w:rsid w:val="00F22DF0"/>
    <w:rsid w:val="00F23015"/>
    <w:rsid w:val="00F2332C"/>
    <w:rsid w:val="00F23753"/>
    <w:rsid w:val="00F23CE3"/>
    <w:rsid w:val="00F240E9"/>
    <w:rsid w:val="00F24202"/>
    <w:rsid w:val="00F24AC0"/>
    <w:rsid w:val="00F24E07"/>
    <w:rsid w:val="00F26874"/>
    <w:rsid w:val="00F26E19"/>
    <w:rsid w:val="00F26EB4"/>
    <w:rsid w:val="00F27CE5"/>
    <w:rsid w:val="00F27F49"/>
    <w:rsid w:val="00F31112"/>
    <w:rsid w:val="00F313BB"/>
    <w:rsid w:val="00F31545"/>
    <w:rsid w:val="00F3175F"/>
    <w:rsid w:val="00F31903"/>
    <w:rsid w:val="00F319D2"/>
    <w:rsid w:val="00F31A1E"/>
    <w:rsid w:val="00F31E2F"/>
    <w:rsid w:val="00F32144"/>
    <w:rsid w:val="00F32478"/>
    <w:rsid w:val="00F32D9C"/>
    <w:rsid w:val="00F335D6"/>
    <w:rsid w:val="00F33D10"/>
    <w:rsid w:val="00F345E4"/>
    <w:rsid w:val="00F34D72"/>
    <w:rsid w:val="00F34F9D"/>
    <w:rsid w:val="00F35487"/>
    <w:rsid w:val="00F35875"/>
    <w:rsid w:val="00F3616B"/>
    <w:rsid w:val="00F367CB"/>
    <w:rsid w:val="00F3726E"/>
    <w:rsid w:val="00F374F8"/>
    <w:rsid w:val="00F37D02"/>
    <w:rsid w:val="00F37DB2"/>
    <w:rsid w:val="00F40535"/>
    <w:rsid w:val="00F4053E"/>
    <w:rsid w:val="00F42121"/>
    <w:rsid w:val="00F4224C"/>
    <w:rsid w:val="00F436D2"/>
    <w:rsid w:val="00F43EF6"/>
    <w:rsid w:val="00F44586"/>
    <w:rsid w:val="00F4638C"/>
    <w:rsid w:val="00F4727D"/>
    <w:rsid w:val="00F4767E"/>
    <w:rsid w:val="00F479B2"/>
    <w:rsid w:val="00F47AA6"/>
    <w:rsid w:val="00F5005A"/>
    <w:rsid w:val="00F505AD"/>
    <w:rsid w:val="00F50B62"/>
    <w:rsid w:val="00F51739"/>
    <w:rsid w:val="00F5173E"/>
    <w:rsid w:val="00F52A56"/>
    <w:rsid w:val="00F52DAC"/>
    <w:rsid w:val="00F532BF"/>
    <w:rsid w:val="00F53AFF"/>
    <w:rsid w:val="00F543CA"/>
    <w:rsid w:val="00F54AC3"/>
    <w:rsid w:val="00F54F40"/>
    <w:rsid w:val="00F5526D"/>
    <w:rsid w:val="00F5531C"/>
    <w:rsid w:val="00F55385"/>
    <w:rsid w:val="00F555FB"/>
    <w:rsid w:val="00F55A40"/>
    <w:rsid w:val="00F5637C"/>
    <w:rsid w:val="00F564CE"/>
    <w:rsid w:val="00F570DB"/>
    <w:rsid w:val="00F573CD"/>
    <w:rsid w:val="00F57AC6"/>
    <w:rsid w:val="00F57D94"/>
    <w:rsid w:val="00F60BAE"/>
    <w:rsid w:val="00F60C54"/>
    <w:rsid w:val="00F60CDF"/>
    <w:rsid w:val="00F622A0"/>
    <w:rsid w:val="00F622B0"/>
    <w:rsid w:val="00F62A13"/>
    <w:rsid w:val="00F63DCF"/>
    <w:rsid w:val="00F6420D"/>
    <w:rsid w:val="00F64449"/>
    <w:rsid w:val="00F64C8D"/>
    <w:rsid w:val="00F66528"/>
    <w:rsid w:val="00F66893"/>
    <w:rsid w:val="00F66A31"/>
    <w:rsid w:val="00F715C1"/>
    <w:rsid w:val="00F71CC5"/>
    <w:rsid w:val="00F72364"/>
    <w:rsid w:val="00F723A4"/>
    <w:rsid w:val="00F72CF3"/>
    <w:rsid w:val="00F7345E"/>
    <w:rsid w:val="00F73EE5"/>
    <w:rsid w:val="00F7489E"/>
    <w:rsid w:val="00F74990"/>
    <w:rsid w:val="00F756F3"/>
    <w:rsid w:val="00F75A49"/>
    <w:rsid w:val="00F76079"/>
    <w:rsid w:val="00F761E6"/>
    <w:rsid w:val="00F76267"/>
    <w:rsid w:val="00F77551"/>
    <w:rsid w:val="00F77699"/>
    <w:rsid w:val="00F8043B"/>
    <w:rsid w:val="00F80869"/>
    <w:rsid w:val="00F8088A"/>
    <w:rsid w:val="00F80AFB"/>
    <w:rsid w:val="00F817B7"/>
    <w:rsid w:val="00F82025"/>
    <w:rsid w:val="00F8233F"/>
    <w:rsid w:val="00F8246C"/>
    <w:rsid w:val="00F8356E"/>
    <w:rsid w:val="00F83622"/>
    <w:rsid w:val="00F83625"/>
    <w:rsid w:val="00F83AA6"/>
    <w:rsid w:val="00F83ED7"/>
    <w:rsid w:val="00F84F63"/>
    <w:rsid w:val="00F853C2"/>
    <w:rsid w:val="00F854CC"/>
    <w:rsid w:val="00F85B76"/>
    <w:rsid w:val="00F86389"/>
    <w:rsid w:val="00F866A4"/>
    <w:rsid w:val="00F86D31"/>
    <w:rsid w:val="00F87501"/>
    <w:rsid w:val="00F8778A"/>
    <w:rsid w:val="00F91427"/>
    <w:rsid w:val="00F92E7C"/>
    <w:rsid w:val="00F93329"/>
    <w:rsid w:val="00F93DFE"/>
    <w:rsid w:val="00F93F72"/>
    <w:rsid w:val="00F950A4"/>
    <w:rsid w:val="00F96341"/>
    <w:rsid w:val="00F96548"/>
    <w:rsid w:val="00F96B30"/>
    <w:rsid w:val="00F9771C"/>
    <w:rsid w:val="00F97BBA"/>
    <w:rsid w:val="00FA0309"/>
    <w:rsid w:val="00FA03C2"/>
    <w:rsid w:val="00FA1A12"/>
    <w:rsid w:val="00FA2630"/>
    <w:rsid w:val="00FA2F7D"/>
    <w:rsid w:val="00FA2FE3"/>
    <w:rsid w:val="00FA305E"/>
    <w:rsid w:val="00FA4238"/>
    <w:rsid w:val="00FA56F5"/>
    <w:rsid w:val="00FA5B95"/>
    <w:rsid w:val="00FA692C"/>
    <w:rsid w:val="00FA72DE"/>
    <w:rsid w:val="00FA77C1"/>
    <w:rsid w:val="00FB02E7"/>
    <w:rsid w:val="00FB10F5"/>
    <w:rsid w:val="00FB139B"/>
    <w:rsid w:val="00FB2771"/>
    <w:rsid w:val="00FB2FB1"/>
    <w:rsid w:val="00FB3A38"/>
    <w:rsid w:val="00FB4502"/>
    <w:rsid w:val="00FB4C1D"/>
    <w:rsid w:val="00FB516E"/>
    <w:rsid w:val="00FB5385"/>
    <w:rsid w:val="00FB585F"/>
    <w:rsid w:val="00FB5DD0"/>
    <w:rsid w:val="00FB6551"/>
    <w:rsid w:val="00FB69D7"/>
    <w:rsid w:val="00FB6D50"/>
    <w:rsid w:val="00FB7409"/>
    <w:rsid w:val="00FC0106"/>
    <w:rsid w:val="00FC0117"/>
    <w:rsid w:val="00FC0C9A"/>
    <w:rsid w:val="00FC0FD2"/>
    <w:rsid w:val="00FC1A78"/>
    <w:rsid w:val="00FC24C2"/>
    <w:rsid w:val="00FC256B"/>
    <w:rsid w:val="00FC2BA2"/>
    <w:rsid w:val="00FC341A"/>
    <w:rsid w:val="00FC3529"/>
    <w:rsid w:val="00FC42CE"/>
    <w:rsid w:val="00FC53DE"/>
    <w:rsid w:val="00FC5B28"/>
    <w:rsid w:val="00FC6683"/>
    <w:rsid w:val="00FC7256"/>
    <w:rsid w:val="00FC728A"/>
    <w:rsid w:val="00FC73A4"/>
    <w:rsid w:val="00FC7D1D"/>
    <w:rsid w:val="00FC7F06"/>
    <w:rsid w:val="00FC7FAD"/>
    <w:rsid w:val="00FC7FC6"/>
    <w:rsid w:val="00FD0BBC"/>
    <w:rsid w:val="00FD18B6"/>
    <w:rsid w:val="00FD2B30"/>
    <w:rsid w:val="00FD38D2"/>
    <w:rsid w:val="00FD3A13"/>
    <w:rsid w:val="00FD3E5F"/>
    <w:rsid w:val="00FD420C"/>
    <w:rsid w:val="00FD49C2"/>
    <w:rsid w:val="00FD4D71"/>
    <w:rsid w:val="00FD5DA0"/>
    <w:rsid w:val="00FD6A38"/>
    <w:rsid w:val="00FD7779"/>
    <w:rsid w:val="00FD7EFB"/>
    <w:rsid w:val="00FD7F4F"/>
    <w:rsid w:val="00FE0139"/>
    <w:rsid w:val="00FE0A37"/>
    <w:rsid w:val="00FE1AFD"/>
    <w:rsid w:val="00FE1DE5"/>
    <w:rsid w:val="00FE2277"/>
    <w:rsid w:val="00FE356A"/>
    <w:rsid w:val="00FE47E1"/>
    <w:rsid w:val="00FE4918"/>
    <w:rsid w:val="00FE5226"/>
    <w:rsid w:val="00FE5247"/>
    <w:rsid w:val="00FE6388"/>
    <w:rsid w:val="00FE6C29"/>
    <w:rsid w:val="00FF009C"/>
    <w:rsid w:val="00FF06DB"/>
    <w:rsid w:val="00FF16F6"/>
    <w:rsid w:val="00FF3C58"/>
    <w:rsid w:val="00FF5243"/>
    <w:rsid w:val="00FF66EC"/>
    <w:rsid w:val="00FF6E38"/>
    <w:rsid w:val="00FF7436"/>
    <w:rsid w:val="00FF7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99f,#9ecdf8,#f00000,#00326e"/>
    </o:shapedefaults>
    <o:shapelayout v:ext="edit">
      <o:idmap v:ext="edit" data="1"/>
    </o:shapelayout>
  </w:shapeDefaults>
  <w:decimalSymbol w:val="."/>
  <w:listSeparator w:val=","/>
  <w15:docId w15:val="{0A8D629A-0CC1-44A1-86FD-43A0CF90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D7E73"/>
    <w:pPr>
      <w:widowControl w:val="0"/>
      <w:jc w:val="both"/>
    </w:pPr>
    <w:rPr>
      <w:rFonts w:eastAsia="楷体"/>
      <w:kern w:val="2"/>
      <w:sz w:val="24"/>
      <w:szCs w:val="24"/>
    </w:rPr>
  </w:style>
  <w:style w:type="paragraph" w:styleId="1">
    <w:name w:val="heading 1"/>
    <w:basedOn w:val="a0"/>
    <w:next w:val="a0"/>
    <w:qFormat/>
    <w:rsid w:val="00F83ED7"/>
    <w:pPr>
      <w:keepNext/>
      <w:keepLines/>
      <w:spacing w:beforeLines="50" w:afterLines="50"/>
      <w:outlineLvl w:val="0"/>
    </w:pPr>
    <w:rPr>
      <w:rFonts w:ascii="楷体" w:hAnsi="楷体"/>
      <w:b/>
      <w:color w:val="003366"/>
      <w:sz w:val="28"/>
      <w:szCs w:val="28"/>
    </w:rPr>
  </w:style>
  <w:style w:type="paragraph" w:styleId="2">
    <w:name w:val="heading 2"/>
    <w:basedOn w:val="a0"/>
    <w:next w:val="a0"/>
    <w:qFormat/>
    <w:rsid w:val="00E00A33"/>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qFormat/>
    <w:rsid w:val="00C577DD"/>
    <w:pPr>
      <w:keepNext/>
      <w:keepLines/>
      <w:spacing w:before="260" w:after="260" w:line="416" w:lineRule="auto"/>
      <w:outlineLvl w:val="2"/>
    </w:pPr>
    <w:rPr>
      <w:b/>
      <w:bCs/>
      <w:sz w:val="32"/>
      <w:szCs w:val="32"/>
    </w:rPr>
  </w:style>
  <w:style w:type="paragraph" w:styleId="5">
    <w:name w:val="heading 5"/>
    <w:basedOn w:val="a0"/>
    <w:next w:val="a0"/>
    <w:qFormat/>
    <w:rsid w:val="00B75DD0"/>
    <w:pPr>
      <w:keepNext/>
      <w:jc w:val="center"/>
      <w:outlineLvl w:val="4"/>
    </w:pPr>
    <w:rPr>
      <w:rFonts w:ascii="Arial" w:eastAsia="黑体" w:hAnsi="Arial" w:cs="Arial"/>
      <w:b/>
      <w:bCs/>
      <w:kern w:val="0"/>
      <w:sz w:val="18"/>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157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Char"/>
    <w:uiPriority w:val="99"/>
    <w:rsid w:val="00021EF5"/>
    <w:pPr>
      <w:tabs>
        <w:tab w:val="center" w:pos="4153"/>
        <w:tab w:val="right" w:pos="8306"/>
      </w:tabs>
      <w:snapToGrid w:val="0"/>
      <w:jc w:val="center"/>
    </w:pPr>
    <w:rPr>
      <w:sz w:val="18"/>
      <w:szCs w:val="18"/>
    </w:rPr>
  </w:style>
  <w:style w:type="character" w:customStyle="1" w:styleId="Char">
    <w:name w:val="页眉 Char"/>
    <w:link w:val="a5"/>
    <w:uiPriority w:val="99"/>
    <w:rsid w:val="004833F1"/>
    <w:rPr>
      <w:rFonts w:eastAsia="宋体"/>
      <w:kern w:val="2"/>
      <w:sz w:val="18"/>
      <w:szCs w:val="18"/>
      <w:lang w:val="en-US" w:eastAsia="zh-CN" w:bidi="ar-SA"/>
    </w:rPr>
  </w:style>
  <w:style w:type="paragraph" w:styleId="a6">
    <w:name w:val="footer"/>
    <w:basedOn w:val="a0"/>
    <w:link w:val="Char0"/>
    <w:uiPriority w:val="99"/>
    <w:rsid w:val="00021EF5"/>
    <w:pPr>
      <w:tabs>
        <w:tab w:val="center" w:pos="4153"/>
        <w:tab w:val="right" w:pos="8306"/>
      </w:tabs>
      <w:snapToGrid w:val="0"/>
      <w:jc w:val="left"/>
    </w:pPr>
    <w:rPr>
      <w:sz w:val="18"/>
      <w:szCs w:val="18"/>
    </w:rPr>
  </w:style>
  <w:style w:type="character" w:customStyle="1" w:styleId="Char0">
    <w:name w:val="页脚 Char"/>
    <w:link w:val="a6"/>
    <w:uiPriority w:val="99"/>
    <w:rsid w:val="004833F1"/>
    <w:rPr>
      <w:rFonts w:eastAsia="宋体"/>
      <w:kern w:val="2"/>
      <w:sz w:val="18"/>
      <w:szCs w:val="18"/>
      <w:lang w:val="en-US" w:eastAsia="zh-CN" w:bidi="ar-SA"/>
    </w:rPr>
  </w:style>
  <w:style w:type="paragraph" w:customStyle="1" w:styleId="a">
    <w:name w:val="封面正文"/>
    <w:basedOn w:val="a0"/>
    <w:rsid w:val="00401122"/>
    <w:pPr>
      <w:numPr>
        <w:numId w:val="3"/>
      </w:numPr>
      <w:spacing w:afterLines="50" w:line="300" w:lineRule="exact"/>
    </w:pPr>
    <w:rPr>
      <w:rFonts w:ascii="Arial" w:eastAsia="黑体" w:hAnsi="Arial"/>
      <w:b/>
      <w:sz w:val="18"/>
      <w:szCs w:val="21"/>
    </w:rPr>
  </w:style>
  <w:style w:type="paragraph" w:customStyle="1" w:styleId="a7">
    <w:name w:val="封边字"/>
    <w:basedOn w:val="a0"/>
    <w:link w:val="Char1"/>
    <w:rsid w:val="00AD3F58"/>
    <w:pPr>
      <w:tabs>
        <w:tab w:val="right" w:pos="3119"/>
      </w:tabs>
      <w:spacing w:line="240" w:lineRule="exact"/>
    </w:pPr>
    <w:rPr>
      <w:rFonts w:ascii="Arial" w:eastAsia="楷体_GB2312" w:hAnsi="Arial" w:cs="Arial"/>
      <w:color w:val="000000"/>
      <w:sz w:val="18"/>
      <w:szCs w:val="16"/>
    </w:rPr>
  </w:style>
  <w:style w:type="character" w:customStyle="1" w:styleId="Char1">
    <w:name w:val="封边字 Char"/>
    <w:link w:val="a7"/>
    <w:rsid w:val="00AD3F58"/>
    <w:rPr>
      <w:rFonts w:ascii="Arial" w:eastAsia="楷体_GB2312" w:hAnsi="Arial" w:cs="Arial"/>
      <w:color w:val="000000"/>
      <w:kern w:val="2"/>
      <w:sz w:val="18"/>
      <w:szCs w:val="16"/>
      <w:lang w:val="en-US" w:eastAsia="zh-CN" w:bidi="ar-SA"/>
    </w:rPr>
  </w:style>
  <w:style w:type="paragraph" w:customStyle="1" w:styleId="a8">
    <w:name w:val="内正文"/>
    <w:basedOn w:val="a0"/>
    <w:rsid w:val="00153924"/>
    <w:pPr>
      <w:spacing w:afterLines="50" w:line="360" w:lineRule="exact"/>
      <w:ind w:leftChars="1350" w:left="2835"/>
    </w:pPr>
    <w:rPr>
      <w:rFonts w:ascii="宋体" w:hAnsi="宋体"/>
      <w:szCs w:val="21"/>
    </w:rPr>
  </w:style>
  <w:style w:type="paragraph" w:styleId="a9">
    <w:name w:val="Balloon Text"/>
    <w:basedOn w:val="a0"/>
    <w:rsid w:val="00B75DD0"/>
    <w:rPr>
      <w:rFonts w:ascii="Arial" w:eastAsia="黑体" w:hAnsi="Arial"/>
      <w:sz w:val="18"/>
      <w:szCs w:val="18"/>
    </w:rPr>
  </w:style>
  <w:style w:type="paragraph" w:customStyle="1" w:styleId="xl32">
    <w:name w:val="xl32"/>
    <w:basedOn w:val="a0"/>
    <w:semiHidden/>
    <w:rsid w:val="00B75DD0"/>
    <w:pPr>
      <w:widowControl/>
      <w:spacing w:before="100" w:beforeAutospacing="1" w:after="100" w:afterAutospacing="1"/>
      <w:jc w:val="center"/>
    </w:pPr>
    <w:rPr>
      <w:rFonts w:ascii="黑体" w:eastAsia="黑体" w:hAnsi="Arial Unicode MS" w:cs="Arial Unicode MS" w:hint="eastAsia"/>
      <w:kern w:val="0"/>
      <w:sz w:val="18"/>
      <w:szCs w:val="18"/>
    </w:rPr>
  </w:style>
  <w:style w:type="character" w:styleId="aa">
    <w:name w:val="Hyperlink"/>
    <w:uiPriority w:val="99"/>
    <w:rsid w:val="00B75DD0"/>
    <w:rPr>
      <w:color w:val="0000FF"/>
      <w:u w:val="single"/>
    </w:rPr>
  </w:style>
  <w:style w:type="character" w:styleId="ab">
    <w:name w:val="page number"/>
    <w:basedOn w:val="a1"/>
    <w:rsid w:val="008F1970"/>
  </w:style>
  <w:style w:type="paragraph" w:customStyle="1" w:styleId="ac">
    <w:name w:val="三级标题"/>
    <w:basedOn w:val="a0"/>
    <w:autoRedefine/>
    <w:rsid w:val="005B12C3"/>
    <w:pPr>
      <w:spacing w:after="72"/>
    </w:pPr>
    <w:rPr>
      <w:rFonts w:ascii="Arial" w:eastAsia="汉仪楷体简" w:hAnsi="Arial" w:cs="宋体"/>
      <w:b/>
      <w:color w:val="000080"/>
    </w:rPr>
  </w:style>
  <w:style w:type="paragraph" w:customStyle="1" w:styleId="ad">
    <w:name w:val="表格内题"/>
    <w:basedOn w:val="a0"/>
    <w:autoRedefine/>
    <w:rsid w:val="005B12C3"/>
    <w:pPr>
      <w:ind w:left="113"/>
    </w:pPr>
    <w:rPr>
      <w:rFonts w:ascii="Arial" w:eastAsia="黑体" w:hAnsi="Arial" w:cs="宋体"/>
      <w:b/>
      <w:sz w:val="18"/>
      <w:szCs w:val="20"/>
    </w:rPr>
  </w:style>
  <w:style w:type="paragraph" w:customStyle="1" w:styleId="ae">
    <w:name w:val="表格内正文"/>
    <w:basedOn w:val="a0"/>
    <w:autoRedefine/>
    <w:rsid w:val="005B12C3"/>
    <w:pPr>
      <w:ind w:left="113"/>
    </w:pPr>
    <w:rPr>
      <w:rFonts w:ascii="Arial" w:eastAsia="黑体" w:hAnsi="Arial" w:cs="Arial"/>
      <w:sz w:val="18"/>
      <w:szCs w:val="20"/>
    </w:rPr>
  </w:style>
  <w:style w:type="paragraph" w:styleId="af">
    <w:name w:val="caption"/>
    <w:basedOn w:val="a0"/>
    <w:next w:val="a0"/>
    <w:qFormat/>
    <w:rsid w:val="007676C0"/>
    <w:rPr>
      <w:rFonts w:ascii="Arial" w:eastAsia="黑体" w:hAnsi="Arial" w:cs="Arial"/>
      <w:sz w:val="20"/>
      <w:szCs w:val="20"/>
    </w:rPr>
  </w:style>
  <w:style w:type="paragraph" w:styleId="10">
    <w:name w:val="toc 1"/>
    <w:basedOn w:val="a0"/>
    <w:next w:val="a0"/>
    <w:autoRedefine/>
    <w:uiPriority w:val="39"/>
    <w:rsid w:val="00E00A33"/>
  </w:style>
  <w:style w:type="paragraph" w:styleId="20">
    <w:name w:val="toc 2"/>
    <w:basedOn w:val="a0"/>
    <w:next w:val="a0"/>
    <w:autoRedefine/>
    <w:semiHidden/>
    <w:rsid w:val="00E00A33"/>
    <w:pPr>
      <w:ind w:leftChars="200" w:left="420"/>
    </w:pPr>
  </w:style>
  <w:style w:type="paragraph" w:styleId="af0">
    <w:name w:val="table of figures"/>
    <w:basedOn w:val="a0"/>
    <w:next w:val="a0"/>
    <w:uiPriority w:val="99"/>
    <w:rsid w:val="0044376C"/>
    <w:pPr>
      <w:ind w:left="420" w:hanging="420"/>
      <w:jc w:val="left"/>
    </w:pPr>
    <w:rPr>
      <w:rFonts w:ascii="Calibri" w:hAnsi="Calibri"/>
      <w:smallCaps/>
      <w:sz w:val="20"/>
      <w:szCs w:val="20"/>
    </w:rPr>
  </w:style>
  <w:style w:type="paragraph" w:customStyle="1" w:styleId="af1">
    <w:name w:val="大表题"/>
    <w:basedOn w:val="a0"/>
    <w:rsid w:val="008B5536"/>
    <w:pPr>
      <w:pBdr>
        <w:top w:val="single" w:sz="8" w:space="1" w:color="FF6600"/>
      </w:pBdr>
      <w:spacing w:beforeLines="100" w:line="320" w:lineRule="exact"/>
      <w:textAlignment w:val="center"/>
    </w:pPr>
    <w:rPr>
      <w:rFonts w:ascii="黑体" w:eastAsia="黑体" w:hAnsi="Arial" w:cs="Arial"/>
      <w:b/>
      <w:color w:val="FF6600"/>
      <w:sz w:val="18"/>
      <w:szCs w:val="18"/>
    </w:rPr>
  </w:style>
  <w:style w:type="paragraph" w:customStyle="1" w:styleId="af2">
    <w:name w:val="大表字"/>
    <w:basedOn w:val="a0"/>
    <w:rsid w:val="008B5536"/>
    <w:pPr>
      <w:pBdr>
        <w:top w:val="single" w:sz="4" w:space="2" w:color="FF6600"/>
        <w:bottom w:val="single" w:sz="4" w:space="0" w:color="FF6600"/>
      </w:pBdr>
      <w:shd w:val="clear" w:color="auto" w:fill="E6E6E6"/>
      <w:spacing w:line="300" w:lineRule="exact"/>
      <w:jc w:val="left"/>
      <w:textAlignment w:val="center"/>
    </w:pPr>
    <w:rPr>
      <w:rFonts w:ascii="Arial" w:eastAsia="黑体" w:hAnsi="Arial" w:cs="宋体"/>
      <w:b/>
      <w:bCs/>
      <w:sz w:val="18"/>
      <w:szCs w:val="18"/>
    </w:rPr>
  </w:style>
  <w:style w:type="paragraph" w:customStyle="1" w:styleId="af3">
    <w:name w:val="大表格字"/>
    <w:basedOn w:val="a0"/>
    <w:rsid w:val="008B5536"/>
    <w:pPr>
      <w:spacing w:line="300" w:lineRule="exact"/>
      <w:jc w:val="left"/>
      <w:textAlignment w:val="center"/>
    </w:pPr>
    <w:rPr>
      <w:rFonts w:ascii="Arial" w:eastAsia="汉仪中等线简" w:hAnsi="Arial" w:cs="Arial"/>
      <w:color w:val="000000"/>
      <w:sz w:val="18"/>
      <w:szCs w:val="18"/>
    </w:rPr>
  </w:style>
  <w:style w:type="paragraph" w:customStyle="1" w:styleId="af4">
    <w:name w:val="资料字"/>
    <w:basedOn w:val="a0"/>
    <w:rsid w:val="008B5536"/>
    <w:pPr>
      <w:pBdr>
        <w:top w:val="single" w:sz="8" w:space="1" w:color="FF6600"/>
      </w:pBdr>
      <w:spacing w:afterLines="50" w:line="240" w:lineRule="exact"/>
      <w:ind w:leftChars="1350" w:left="2835"/>
    </w:pPr>
    <w:rPr>
      <w:rFonts w:ascii="Arial" w:eastAsia="楷体_GB2312" w:hAnsi="Arial" w:cs="Arial"/>
      <w:i/>
      <w:iCs/>
      <w:color w:val="000000"/>
      <w:sz w:val="16"/>
      <w:szCs w:val="16"/>
    </w:rPr>
  </w:style>
  <w:style w:type="character" w:styleId="af5">
    <w:name w:val="annotation reference"/>
    <w:semiHidden/>
    <w:rsid w:val="00033526"/>
    <w:rPr>
      <w:sz w:val="21"/>
      <w:szCs w:val="21"/>
    </w:rPr>
  </w:style>
  <w:style w:type="paragraph" w:styleId="af6">
    <w:name w:val="annotation text"/>
    <w:basedOn w:val="a0"/>
    <w:semiHidden/>
    <w:rsid w:val="00033526"/>
    <w:pPr>
      <w:jc w:val="left"/>
    </w:pPr>
  </w:style>
  <w:style w:type="paragraph" w:styleId="af7">
    <w:name w:val="annotation subject"/>
    <w:basedOn w:val="af6"/>
    <w:next w:val="af6"/>
    <w:semiHidden/>
    <w:rsid w:val="00033526"/>
    <w:rPr>
      <w:b/>
      <w:bCs/>
    </w:rPr>
  </w:style>
  <w:style w:type="paragraph" w:styleId="af8">
    <w:name w:val="Normal (Web)"/>
    <w:basedOn w:val="a0"/>
    <w:uiPriority w:val="99"/>
    <w:rsid w:val="004833F1"/>
    <w:pPr>
      <w:widowControl/>
      <w:spacing w:before="100" w:beforeAutospacing="1" w:after="100" w:afterAutospacing="1"/>
      <w:ind w:firstLine="440"/>
      <w:jc w:val="left"/>
    </w:pPr>
    <w:rPr>
      <w:rFonts w:ascii="宋体" w:hAnsi="宋体"/>
      <w:kern w:val="0"/>
    </w:rPr>
  </w:style>
  <w:style w:type="paragraph" w:styleId="af9">
    <w:name w:val="Document Map"/>
    <w:basedOn w:val="a0"/>
    <w:semiHidden/>
    <w:rsid w:val="00FC3529"/>
    <w:pPr>
      <w:shd w:val="clear" w:color="auto" w:fill="000080"/>
    </w:pPr>
  </w:style>
  <w:style w:type="paragraph" w:styleId="afa">
    <w:name w:val="List Paragraph"/>
    <w:basedOn w:val="a0"/>
    <w:uiPriority w:val="34"/>
    <w:qFormat/>
    <w:rsid w:val="00B51F04"/>
    <w:pPr>
      <w:ind w:firstLineChars="200" w:firstLine="420"/>
    </w:pPr>
  </w:style>
  <w:style w:type="table" w:customStyle="1" w:styleId="-21">
    <w:name w:val="浅色底纹 - 强调文字颜色 21"/>
    <w:basedOn w:val="a2"/>
    <w:uiPriority w:val="60"/>
    <w:rsid w:val="00ED439F"/>
    <w:rPr>
      <w:rFonts w:ascii="Calibri" w:hAnsi="Calibri"/>
      <w:color w:val="943634"/>
      <w:kern w:val="2"/>
      <w:sz w:val="21"/>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b">
    <w:name w:val="Placeholder Text"/>
    <w:uiPriority w:val="99"/>
    <w:semiHidden/>
    <w:rsid w:val="004F32E4"/>
    <w:rPr>
      <w:color w:val="808080"/>
    </w:rPr>
  </w:style>
  <w:style w:type="paragraph" w:styleId="afc">
    <w:name w:val="Plain Text"/>
    <w:basedOn w:val="a0"/>
    <w:link w:val="Char2"/>
    <w:uiPriority w:val="99"/>
    <w:unhideWhenUsed/>
    <w:rsid w:val="00D272A0"/>
    <w:rPr>
      <w:rFonts w:ascii="宋体" w:hAnsi="Courier New"/>
      <w:szCs w:val="21"/>
    </w:rPr>
  </w:style>
  <w:style w:type="character" w:customStyle="1" w:styleId="Char2">
    <w:name w:val="纯文本 Char"/>
    <w:link w:val="afc"/>
    <w:uiPriority w:val="99"/>
    <w:rsid w:val="00D272A0"/>
    <w:rPr>
      <w:rFonts w:ascii="宋体" w:hAnsi="Courier New" w:cs="Courier New"/>
      <w:kern w:val="2"/>
      <w:sz w:val="21"/>
      <w:szCs w:val="21"/>
    </w:rPr>
  </w:style>
  <w:style w:type="paragraph" w:styleId="TOC">
    <w:name w:val="TOC Heading"/>
    <w:basedOn w:val="1"/>
    <w:next w:val="a0"/>
    <w:uiPriority w:val="39"/>
    <w:semiHidden/>
    <w:unhideWhenUsed/>
    <w:qFormat/>
    <w:rsid w:val="00215B0A"/>
    <w:pPr>
      <w:widowControl/>
      <w:spacing w:before="480" w:line="276" w:lineRule="auto"/>
      <w:jc w:val="left"/>
      <w:outlineLvl w:val="9"/>
    </w:pPr>
    <w:rPr>
      <w:rFonts w:ascii="Cambria" w:hAnsi="Cambria"/>
      <w:color w:val="365F91"/>
      <w:kern w:val="0"/>
    </w:rPr>
  </w:style>
  <w:style w:type="character" w:customStyle="1" w:styleId="quicktakefundname1">
    <w:name w:val="quicktake_fundname1"/>
    <w:rsid w:val="007A54AA"/>
    <w:rPr>
      <w:b/>
      <w:bCs/>
      <w:sz w:val="18"/>
      <w:szCs w:val="18"/>
    </w:rPr>
  </w:style>
  <w:style w:type="table" w:customStyle="1" w:styleId="11">
    <w:name w:val="浅色底纹1"/>
    <w:basedOn w:val="a2"/>
    <w:uiPriority w:val="60"/>
    <w:rsid w:val="00EE3549"/>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0">
    <w:name w:val="Table Web 3"/>
    <w:basedOn w:val="a2"/>
    <w:rsid w:val="00143D31"/>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50">
    <w:name w:val="Table Columns 5"/>
    <w:basedOn w:val="a2"/>
    <w:rsid w:val="00143D31"/>
    <w:pPr>
      <w:widowControl w:val="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d">
    <w:name w:val="Title"/>
    <w:basedOn w:val="a0"/>
    <w:next w:val="a0"/>
    <w:link w:val="Char3"/>
    <w:qFormat/>
    <w:rsid w:val="00992ED1"/>
    <w:pPr>
      <w:spacing w:before="240" w:after="60"/>
      <w:jc w:val="center"/>
      <w:outlineLvl w:val="0"/>
    </w:pPr>
    <w:rPr>
      <w:rFonts w:ascii="Cambria" w:hAnsi="Cambria"/>
      <w:b/>
      <w:bCs/>
      <w:sz w:val="32"/>
      <w:szCs w:val="32"/>
    </w:rPr>
  </w:style>
  <w:style w:type="character" w:customStyle="1" w:styleId="Char3">
    <w:name w:val="标题 Char"/>
    <w:link w:val="afd"/>
    <w:rsid w:val="00992ED1"/>
    <w:rPr>
      <w:rFonts w:ascii="Cambria" w:hAnsi="Cambria" w:cs="Times New Roman"/>
      <w:b/>
      <w:bCs/>
      <w:kern w:val="2"/>
      <w:sz w:val="32"/>
      <w:szCs w:val="32"/>
    </w:rPr>
  </w:style>
  <w:style w:type="table" w:customStyle="1" w:styleId="21">
    <w:name w:val="浅色底纹2"/>
    <w:basedOn w:val="a2"/>
    <w:uiPriority w:val="60"/>
    <w:rsid w:val="00874372"/>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xtcontent11">
    <w:name w:val="txtcontent11"/>
    <w:rsid w:val="00554DF4"/>
    <w:rPr>
      <w:rFonts w:ascii="ˎ̥" w:hAnsi="ˎ̥" w:hint="default"/>
      <w:b w:val="0"/>
      <w:bCs w:val="0"/>
      <w:color w:val="000000"/>
      <w:sz w:val="21"/>
      <w:szCs w:val="21"/>
    </w:rPr>
  </w:style>
  <w:style w:type="paragraph" w:customStyle="1" w:styleId="p0">
    <w:name w:val="p0"/>
    <w:basedOn w:val="a0"/>
    <w:rsid w:val="00830F7E"/>
    <w:pPr>
      <w:widowControl/>
      <w:spacing w:before="100" w:beforeAutospacing="1" w:after="100" w:afterAutospacing="1"/>
      <w:jc w:val="left"/>
    </w:pPr>
    <w:rPr>
      <w:rFonts w:ascii="宋体" w:hAnsi="宋体" w:cs="宋体"/>
      <w:kern w:val="0"/>
    </w:rPr>
  </w:style>
  <w:style w:type="paragraph" w:customStyle="1" w:styleId="Default">
    <w:name w:val="Default"/>
    <w:rsid w:val="006F38D3"/>
    <w:pPr>
      <w:widowControl w:val="0"/>
      <w:autoSpaceDE w:val="0"/>
      <w:autoSpaceDN w:val="0"/>
      <w:adjustRightInd w:val="0"/>
    </w:pPr>
    <w:rPr>
      <w:rFonts w:ascii="宋体" w:cs="宋体"/>
      <w:color w:val="000000"/>
      <w:sz w:val="24"/>
      <w:szCs w:val="24"/>
    </w:rPr>
  </w:style>
  <w:style w:type="table" w:styleId="22">
    <w:name w:val="Table Columns 2"/>
    <w:basedOn w:val="a2"/>
    <w:rsid w:val="00A84039"/>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浅色底纹3"/>
    <w:basedOn w:val="a2"/>
    <w:uiPriority w:val="60"/>
    <w:rsid w:val="001B3D29"/>
    <w:rPr>
      <w:rFonts w:ascii="Calibri" w:hAnsi="Calibri"/>
      <w:color w:val="000000"/>
      <w:kern w:val="2"/>
      <w:sz w:val="21"/>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1">
    <w:name w:val="title1"/>
    <w:rsid w:val="00B46B81"/>
    <w:rPr>
      <w:rFonts w:ascii="微软雅黑" w:eastAsia="微软雅黑" w:hAnsi="微软雅黑" w:hint="eastAsia"/>
      <w:b/>
      <w:bCs/>
      <w:color w:val="333333"/>
      <w:sz w:val="23"/>
      <w:szCs w:val="23"/>
    </w:rPr>
  </w:style>
  <w:style w:type="character" w:styleId="afe">
    <w:name w:val="FollowedHyperlink"/>
    <w:uiPriority w:val="99"/>
    <w:unhideWhenUsed/>
    <w:rsid w:val="000F062E"/>
    <w:rPr>
      <w:color w:val="954F72"/>
      <w:u w:val="single"/>
    </w:rPr>
  </w:style>
  <w:style w:type="paragraph" w:customStyle="1" w:styleId="font5">
    <w:name w:val="font5"/>
    <w:basedOn w:val="a0"/>
    <w:rsid w:val="000F062E"/>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0"/>
    <w:rsid w:val="000F06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hAnsi="楷体" w:cs="宋体"/>
      <w:kern w:val="0"/>
    </w:rPr>
  </w:style>
  <w:style w:type="paragraph" w:customStyle="1" w:styleId="xl66">
    <w:name w:val="xl66"/>
    <w:basedOn w:val="a0"/>
    <w:rsid w:val="000F06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hAnsi="楷体" w:cs="宋体"/>
      <w:kern w:val="0"/>
    </w:rPr>
  </w:style>
  <w:style w:type="paragraph" w:customStyle="1" w:styleId="xl67">
    <w:name w:val="xl67"/>
    <w:basedOn w:val="a0"/>
    <w:rsid w:val="000F062E"/>
    <w:pPr>
      <w:widowControl/>
      <w:spacing w:before="100" w:beforeAutospacing="1" w:after="100" w:afterAutospacing="1"/>
      <w:jc w:val="left"/>
    </w:pPr>
    <w:rPr>
      <w:rFonts w:ascii="楷体" w:hAnsi="楷体" w:cs="宋体"/>
      <w:kern w:val="0"/>
    </w:rPr>
  </w:style>
  <w:style w:type="paragraph" w:customStyle="1" w:styleId="xl68">
    <w:name w:val="xl68"/>
    <w:basedOn w:val="a0"/>
    <w:rsid w:val="000F06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楷体" w:hAnsi="楷体" w:cs="宋体"/>
      <w:kern w:val="0"/>
    </w:rPr>
  </w:style>
  <w:style w:type="paragraph" w:customStyle="1" w:styleId="xl69">
    <w:name w:val="xl69"/>
    <w:basedOn w:val="a0"/>
    <w:rsid w:val="000F06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楷体" w:hAnsi="楷体" w:cs="宋体"/>
      <w:kern w:val="0"/>
    </w:rPr>
  </w:style>
  <w:style w:type="paragraph" w:customStyle="1" w:styleId="xl70">
    <w:name w:val="xl70"/>
    <w:basedOn w:val="a0"/>
    <w:rsid w:val="00F877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楷体" w:hAnsi="楷体" w:cs="宋体"/>
      <w:kern w:val="0"/>
      <w:sz w:val="20"/>
      <w:szCs w:val="20"/>
    </w:rPr>
  </w:style>
  <w:style w:type="paragraph" w:customStyle="1" w:styleId="xl71">
    <w:name w:val="xl71"/>
    <w:basedOn w:val="a0"/>
    <w:rsid w:val="00F877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楷体" w:hAnsi="楷体" w:cs="宋体"/>
      <w:kern w:val="0"/>
      <w:sz w:val="20"/>
      <w:szCs w:val="20"/>
    </w:rPr>
  </w:style>
  <w:style w:type="paragraph" w:customStyle="1" w:styleId="xl72">
    <w:name w:val="xl72"/>
    <w:basedOn w:val="a0"/>
    <w:rsid w:val="00BF0A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hAnsi="楷体" w:cs="宋体"/>
      <w:kern w:val="0"/>
      <w:sz w:val="20"/>
      <w:szCs w:val="20"/>
    </w:rPr>
  </w:style>
  <w:style w:type="paragraph" w:customStyle="1" w:styleId="xl73">
    <w:name w:val="xl73"/>
    <w:basedOn w:val="a0"/>
    <w:rsid w:val="00BF0A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 w:hAnsi="楷体" w:cs="宋体"/>
      <w:kern w:val="0"/>
      <w:sz w:val="20"/>
      <w:szCs w:val="20"/>
    </w:rPr>
  </w:style>
  <w:style w:type="paragraph" w:customStyle="1" w:styleId="xl74">
    <w:name w:val="xl74"/>
    <w:basedOn w:val="a0"/>
    <w:rsid w:val="00BF0A9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楷体" w:hAnsi="楷体" w:cs="宋体"/>
      <w:kern w:val="0"/>
      <w:sz w:val="20"/>
      <w:szCs w:val="20"/>
    </w:rPr>
  </w:style>
  <w:style w:type="paragraph" w:customStyle="1" w:styleId="xl75">
    <w:name w:val="xl75"/>
    <w:basedOn w:val="a0"/>
    <w:rsid w:val="00BF0A9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楷体" w:hAnsi="楷体" w:cs="宋体"/>
      <w:kern w:val="0"/>
      <w:sz w:val="20"/>
      <w:szCs w:val="20"/>
    </w:rPr>
  </w:style>
  <w:style w:type="paragraph" w:customStyle="1" w:styleId="xl63">
    <w:name w:val="xl63"/>
    <w:basedOn w:val="a0"/>
    <w:rsid w:val="006302A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楷体_GB2312" w:eastAsia="楷体_GB2312" w:hAnsi="宋体" w:cs="宋体"/>
      <w:kern w:val="0"/>
      <w:sz w:val="20"/>
      <w:szCs w:val="20"/>
    </w:rPr>
  </w:style>
  <w:style w:type="paragraph" w:customStyle="1" w:styleId="xl64">
    <w:name w:val="xl64"/>
    <w:basedOn w:val="a0"/>
    <w:rsid w:val="006302A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楷体_GB2312" w:eastAsia="楷体_GB2312" w:hAnsi="宋体" w:cs="宋体"/>
      <w:kern w:val="0"/>
      <w:sz w:val="20"/>
      <w:szCs w:val="20"/>
    </w:rPr>
  </w:style>
  <w:style w:type="paragraph" w:styleId="z-">
    <w:name w:val="HTML Top of Form"/>
    <w:basedOn w:val="a0"/>
    <w:next w:val="a0"/>
    <w:link w:val="z-Char"/>
    <w:hidden/>
    <w:uiPriority w:val="99"/>
    <w:unhideWhenUsed/>
    <w:rsid w:val="006302A7"/>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1"/>
    <w:link w:val="z-"/>
    <w:uiPriority w:val="99"/>
    <w:rsid w:val="006302A7"/>
    <w:rPr>
      <w:rFonts w:ascii="Arial" w:hAnsi="Arial" w:cs="Arial"/>
      <w:vanish/>
      <w:sz w:val="16"/>
      <w:szCs w:val="16"/>
    </w:rPr>
  </w:style>
  <w:style w:type="paragraph" w:styleId="z-0">
    <w:name w:val="HTML Bottom of Form"/>
    <w:basedOn w:val="a0"/>
    <w:next w:val="a0"/>
    <w:link w:val="z-Char0"/>
    <w:hidden/>
    <w:uiPriority w:val="99"/>
    <w:unhideWhenUsed/>
    <w:rsid w:val="006302A7"/>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1"/>
    <w:link w:val="z-0"/>
    <w:uiPriority w:val="99"/>
    <w:rsid w:val="006302A7"/>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1809">
      <w:bodyDiv w:val="1"/>
      <w:marLeft w:val="0"/>
      <w:marRight w:val="0"/>
      <w:marTop w:val="0"/>
      <w:marBottom w:val="0"/>
      <w:divBdr>
        <w:top w:val="none" w:sz="0" w:space="0" w:color="auto"/>
        <w:left w:val="none" w:sz="0" w:space="0" w:color="auto"/>
        <w:bottom w:val="none" w:sz="0" w:space="0" w:color="auto"/>
        <w:right w:val="none" w:sz="0" w:space="0" w:color="auto"/>
      </w:divBdr>
    </w:div>
    <w:div w:id="16319589">
      <w:bodyDiv w:val="1"/>
      <w:marLeft w:val="0"/>
      <w:marRight w:val="0"/>
      <w:marTop w:val="0"/>
      <w:marBottom w:val="0"/>
      <w:divBdr>
        <w:top w:val="none" w:sz="0" w:space="0" w:color="auto"/>
        <w:left w:val="none" w:sz="0" w:space="0" w:color="auto"/>
        <w:bottom w:val="none" w:sz="0" w:space="0" w:color="auto"/>
        <w:right w:val="none" w:sz="0" w:space="0" w:color="auto"/>
      </w:divBdr>
    </w:div>
    <w:div w:id="36660000">
      <w:bodyDiv w:val="1"/>
      <w:marLeft w:val="0"/>
      <w:marRight w:val="0"/>
      <w:marTop w:val="0"/>
      <w:marBottom w:val="0"/>
      <w:divBdr>
        <w:top w:val="none" w:sz="0" w:space="0" w:color="auto"/>
        <w:left w:val="none" w:sz="0" w:space="0" w:color="auto"/>
        <w:bottom w:val="none" w:sz="0" w:space="0" w:color="auto"/>
        <w:right w:val="none" w:sz="0" w:space="0" w:color="auto"/>
      </w:divBdr>
    </w:div>
    <w:div w:id="44985140">
      <w:bodyDiv w:val="1"/>
      <w:marLeft w:val="0"/>
      <w:marRight w:val="0"/>
      <w:marTop w:val="0"/>
      <w:marBottom w:val="0"/>
      <w:divBdr>
        <w:top w:val="none" w:sz="0" w:space="0" w:color="auto"/>
        <w:left w:val="none" w:sz="0" w:space="0" w:color="auto"/>
        <w:bottom w:val="none" w:sz="0" w:space="0" w:color="auto"/>
        <w:right w:val="none" w:sz="0" w:space="0" w:color="auto"/>
      </w:divBdr>
    </w:div>
    <w:div w:id="49815525">
      <w:bodyDiv w:val="1"/>
      <w:marLeft w:val="0"/>
      <w:marRight w:val="0"/>
      <w:marTop w:val="0"/>
      <w:marBottom w:val="0"/>
      <w:divBdr>
        <w:top w:val="none" w:sz="0" w:space="0" w:color="auto"/>
        <w:left w:val="none" w:sz="0" w:space="0" w:color="auto"/>
        <w:bottom w:val="none" w:sz="0" w:space="0" w:color="auto"/>
        <w:right w:val="none" w:sz="0" w:space="0" w:color="auto"/>
      </w:divBdr>
    </w:div>
    <w:div w:id="56897582">
      <w:bodyDiv w:val="1"/>
      <w:marLeft w:val="0"/>
      <w:marRight w:val="0"/>
      <w:marTop w:val="0"/>
      <w:marBottom w:val="0"/>
      <w:divBdr>
        <w:top w:val="none" w:sz="0" w:space="0" w:color="auto"/>
        <w:left w:val="none" w:sz="0" w:space="0" w:color="auto"/>
        <w:bottom w:val="none" w:sz="0" w:space="0" w:color="auto"/>
        <w:right w:val="none" w:sz="0" w:space="0" w:color="auto"/>
      </w:divBdr>
    </w:div>
    <w:div w:id="69348176">
      <w:bodyDiv w:val="1"/>
      <w:marLeft w:val="0"/>
      <w:marRight w:val="0"/>
      <w:marTop w:val="0"/>
      <w:marBottom w:val="0"/>
      <w:divBdr>
        <w:top w:val="none" w:sz="0" w:space="0" w:color="auto"/>
        <w:left w:val="none" w:sz="0" w:space="0" w:color="auto"/>
        <w:bottom w:val="none" w:sz="0" w:space="0" w:color="auto"/>
        <w:right w:val="none" w:sz="0" w:space="0" w:color="auto"/>
      </w:divBdr>
      <w:divsChild>
        <w:div w:id="975376215">
          <w:marLeft w:val="0"/>
          <w:marRight w:val="0"/>
          <w:marTop w:val="0"/>
          <w:marBottom w:val="0"/>
          <w:divBdr>
            <w:top w:val="none" w:sz="0" w:space="0" w:color="auto"/>
            <w:left w:val="none" w:sz="0" w:space="0" w:color="auto"/>
            <w:bottom w:val="none" w:sz="0" w:space="0" w:color="auto"/>
            <w:right w:val="none" w:sz="0" w:space="0" w:color="auto"/>
          </w:divBdr>
          <w:divsChild>
            <w:div w:id="124392884">
              <w:marLeft w:val="0"/>
              <w:marRight w:val="0"/>
              <w:marTop w:val="0"/>
              <w:marBottom w:val="0"/>
              <w:divBdr>
                <w:top w:val="none" w:sz="0" w:space="0" w:color="auto"/>
                <w:left w:val="none" w:sz="0" w:space="0" w:color="auto"/>
                <w:bottom w:val="none" w:sz="0" w:space="0" w:color="auto"/>
                <w:right w:val="none" w:sz="0" w:space="0" w:color="auto"/>
              </w:divBdr>
              <w:divsChild>
                <w:div w:id="1743020422">
                  <w:marLeft w:val="0"/>
                  <w:marRight w:val="0"/>
                  <w:marTop w:val="0"/>
                  <w:marBottom w:val="0"/>
                  <w:divBdr>
                    <w:top w:val="none" w:sz="0" w:space="0" w:color="auto"/>
                    <w:left w:val="none" w:sz="0" w:space="0" w:color="auto"/>
                    <w:bottom w:val="none" w:sz="0" w:space="0" w:color="auto"/>
                    <w:right w:val="none" w:sz="0" w:space="0" w:color="auto"/>
                  </w:divBdr>
                  <w:divsChild>
                    <w:div w:id="1880124603">
                      <w:marLeft w:val="0"/>
                      <w:marRight w:val="0"/>
                      <w:marTop w:val="0"/>
                      <w:marBottom w:val="0"/>
                      <w:divBdr>
                        <w:top w:val="none" w:sz="0" w:space="0" w:color="auto"/>
                        <w:left w:val="none" w:sz="0" w:space="0" w:color="auto"/>
                        <w:bottom w:val="none" w:sz="0" w:space="0" w:color="auto"/>
                        <w:right w:val="none" w:sz="0" w:space="0" w:color="auto"/>
                      </w:divBdr>
                      <w:divsChild>
                        <w:div w:id="266429216">
                          <w:marLeft w:val="0"/>
                          <w:marRight w:val="0"/>
                          <w:marTop w:val="0"/>
                          <w:marBottom w:val="0"/>
                          <w:divBdr>
                            <w:top w:val="none" w:sz="0" w:space="0" w:color="auto"/>
                            <w:left w:val="none" w:sz="0" w:space="0" w:color="auto"/>
                            <w:bottom w:val="none" w:sz="0" w:space="0" w:color="auto"/>
                            <w:right w:val="none" w:sz="0" w:space="0" w:color="auto"/>
                          </w:divBdr>
                          <w:divsChild>
                            <w:div w:id="1134984448">
                              <w:marLeft w:val="0"/>
                              <w:marRight w:val="0"/>
                              <w:marTop w:val="0"/>
                              <w:marBottom w:val="0"/>
                              <w:divBdr>
                                <w:top w:val="none" w:sz="0" w:space="0" w:color="auto"/>
                                <w:left w:val="none" w:sz="0" w:space="0" w:color="auto"/>
                                <w:bottom w:val="none" w:sz="0" w:space="0" w:color="auto"/>
                                <w:right w:val="none" w:sz="0" w:space="0" w:color="auto"/>
                              </w:divBdr>
                              <w:divsChild>
                                <w:div w:id="1884557828">
                                  <w:marLeft w:val="0"/>
                                  <w:marRight w:val="0"/>
                                  <w:marTop w:val="0"/>
                                  <w:marBottom w:val="0"/>
                                  <w:divBdr>
                                    <w:top w:val="none" w:sz="0" w:space="0" w:color="auto"/>
                                    <w:left w:val="none" w:sz="0" w:space="0" w:color="auto"/>
                                    <w:bottom w:val="none" w:sz="0" w:space="0" w:color="auto"/>
                                    <w:right w:val="none" w:sz="0" w:space="0" w:color="auto"/>
                                  </w:divBdr>
                                  <w:divsChild>
                                    <w:div w:id="1590190420">
                                      <w:marLeft w:val="0"/>
                                      <w:marRight w:val="0"/>
                                      <w:marTop w:val="0"/>
                                      <w:marBottom w:val="0"/>
                                      <w:divBdr>
                                        <w:top w:val="none" w:sz="0" w:space="0" w:color="auto"/>
                                        <w:left w:val="none" w:sz="0" w:space="0" w:color="auto"/>
                                        <w:bottom w:val="none" w:sz="0" w:space="0" w:color="auto"/>
                                        <w:right w:val="none" w:sz="0" w:space="0" w:color="auto"/>
                                      </w:divBdr>
                                      <w:divsChild>
                                        <w:div w:id="1006251724">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05770">
      <w:bodyDiv w:val="1"/>
      <w:marLeft w:val="0"/>
      <w:marRight w:val="0"/>
      <w:marTop w:val="0"/>
      <w:marBottom w:val="0"/>
      <w:divBdr>
        <w:top w:val="none" w:sz="0" w:space="0" w:color="auto"/>
        <w:left w:val="none" w:sz="0" w:space="0" w:color="auto"/>
        <w:bottom w:val="none" w:sz="0" w:space="0" w:color="auto"/>
        <w:right w:val="none" w:sz="0" w:space="0" w:color="auto"/>
      </w:divBdr>
    </w:div>
    <w:div w:id="110245272">
      <w:bodyDiv w:val="1"/>
      <w:marLeft w:val="0"/>
      <w:marRight w:val="0"/>
      <w:marTop w:val="0"/>
      <w:marBottom w:val="0"/>
      <w:divBdr>
        <w:top w:val="none" w:sz="0" w:space="0" w:color="auto"/>
        <w:left w:val="none" w:sz="0" w:space="0" w:color="auto"/>
        <w:bottom w:val="none" w:sz="0" w:space="0" w:color="auto"/>
        <w:right w:val="none" w:sz="0" w:space="0" w:color="auto"/>
      </w:divBdr>
    </w:div>
    <w:div w:id="111562248">
      <w:bodyDiv w:val="1"/>
      <w:marLeft w:val="0"/>
      <w:marRight w:val="0"/>
      <w:marTop w:val="0"/>
      <w:marBottom w:val="0"/>
      <w:divBdr>
        <w:top w:val="none" w:sz="0" w:space="0" w:color="auto"/>
        <w:left w:val="none" w:sz="0" w:space="0" w:color="auto"/>
        <w:bottom w:val="none" w:sz="0" w:space="0" w:color="auto"/>
        <w:right w:val="none" w:sz="0" w:space="0" w:color="auto"/>
      </w:divBdr>
    </w:div>
    <w:div w:id="119037581">
      <w:bodyDiv w:val="1"/>
      <w:marLeft w:val="0"/>
      <w:marRight w:val="0"/>
      <w:marTop w:val="0"/>
      <w:marBottom w:val="0"/>
      <w:divBdr>
        <w:top w:val="none" w:sz="0" w:space="0" w:color="auto"/>
        <w:left w:val="none" w:sz="0" w:space="0" w:color="auto"/>
        <w:bottom w:val="none" w:sz="0" w:space="0" w:color="auto"/>
        <w:right w:val="none" w:sz="0" w:space="0" w:color="auto"/>
      </w:divBdr>
    </w:div>
    <w:div w:id="131758007">
      <w:bodyDiv w:val="1"/>
      <w:marLeft w:val="0"/>
      <w:marRight w:val="0"/>
      <w:marTop w:val="0"/>
      <w:marBottom w:val="0"/>
      <w:divBdr>
        <w:top w:val="none" w:sz="0" w:space="0" w:color="auto"/>
        <w:left w:val="none" w:sz="0" w:space="0" w:color="auto"/>
        <w:bottom w:val="none" w:sz="0" w:space="0" w:color="auto"/>
        <w:right w:val="none" w:sz="0" w:space="0" w:color="auto"/>
      </w:divBdr>
    </w:div>
    <w:div w:id="13553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2143">
          <w:marLeft w:val="0"/>
          <w:marRight w:val="0"/>
          <w:marTop w:val="0"/>
          <w:marBottom w:val="0"/>
          <w:divBdr>
            <w:top w:val="none" w:sz="0" w:space="0" w:color="auto"/>
            <w:left w:val="none" w:sz="0" w:space="0" w:color="auto"/>
            <w:bottom w:val="none" w:sz="0" w:space="0" w:color="auto"/>
            <w:right w:val="none" w:sz="0" w:space="0" w:color="auto"/>
          </w:divBdr>
          <w:divsChild>
            <w:div w:id="540896976">
              <w:marLeft w:val="0"/>
              <w:marRight w:val="0"/>
              <w:marTop w:val="0"/>
              <w:marBottom w:val="0"/>
              <w:divBdr>
                <w:top w:val="none" w:sz="0" w:space="0" w:color="auto"/>
                <w:left w:val="none" w:sz="0" w:space="0" w:color="auto"/>
                <w:bottom w:val="none" w:sz="0" w:space="0" w:color="auto"/>
                <w:right w:val="none" w:sz="0" w:space="0" w:color="auto"/>
              </w:divBdr>
              <w:divsChild>
                <w:div w:id="63768400">
                  <w:marLeft w:val="0"/>
                  <w:marRight w:val="0"/>
                  <w:marTop w:val="0"/>
                  <w:marBottom w:val="0"/>
                  <w:divBdr>
                    <w:top w:val="single" w:sz="18" w:space="0" w:color="08237A"/>
                    <w:left w:val="none" w:sz="0" w:space="0" w:color="auto"/>
                    <w:bottom w:val="none" w:sz="0" w:space="0" w:color="auto"/>
                    <w:right w:val="none" w:sz="0" w:space="0" w:color="auto"/>
                  </w:divBdr>
                  <w:divsChild>
                    <w:div w:id="1287007145">
                      <w:marLeft w:val="0"/>
                      <w:marRight w:val="0"/>
                      <w:marTop w:val="0"/>
                      <w:marBottom w:val="0"/>
                      <w:divBdr>
                        <w:top w:val="single" w:sz="2" w:space="7" w:color="BBBBBB"/>
                        <w:left w:val="single" w:sz="6" w:space="0" w:color="BBBBBB"/>
                        <w:bottom w:val="single" w:sz="6" w:space="0" w:color="BBBBBB"/>
                        <w:right w:val="single" w:sz="6" w:space="0" w:color="BBBBBB"/>
                      </w:divBdr>
                      <w:divsChild>
                        <w:div w:id="1091976268">
                          <w:marLeft w:val="0"/>
                          <w:marRight w:val="0"/>
                          <w:marTop w:val="0"/>
                          <w:marBottom w:val="0"/>
                          <w:divBdr>
                            <w:top w:val="none" w:sz="0" w:space="0" w:color="auto"/>
                            <w:left w:val="none" w:sz="0" w:space="0" w:color="auto"/>
                            <w:bottom w:val="none" w:sz="0" w:space="0" w:color="auto"/>
                            <w:right w:val="none" w:sz="0" w:space="0" w:color="auto"/>
                          </w:divBdr>
                          <w:divsChild>
                            <w:div w:id="849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9339">
      <w:bodyDiv w:val="1"/>
      <w:marLeft w:val="0"/>
      <w:marRight w:val="0"/>
      <w:marTop w:val="0"/>
      <w:marBottom w:val="0"/>
      <w:divBdr>
        <w:top w:val="none" w:sz="0" w:space="0" w:color="auto"/>
        <w:left w:val="none" w:sz="0" w:space="0" w:color="auto"/>
        <w:bottom w:val="none" w:sz="0" w:space="0" w:color="auto"/>
        <w:right w:val="none" w:sz="0" w:space="0" w:color="auto"/>
      </w:divBdr>
    </w:div>
    <w:div w:id="147013532">
      <w:bodyDiv w:val="1"/>
      <w:marLeft w:val="0"/>
      <w:marRight w:val="0"/>
      <w:marTop w:val="0"/>
      <w:marBottom w:val="0"/>
      <w:divBdr>
        <w:top w:val="none" w:sz="0" w:space="0" w:color="auto"/>
        <w:left w:val="none" w:sz="0" w:space="0" w:color="auto"/>
        <w:bottom w:val="none" w:sz="0" w:space="0" w:color="auto"/>
        <w:right w:val="none" w:sz="0" w:space="0" w:color="auto"/>
      </w:divBdr>
    </w:div>
    <w:div w:id="164328472">
      <w:bodyDiv w:val="1"/>
      <w:marLeft w:val="0"/>
      <w:marRight w:val="0"/>
      <w:marTop w:val="0"/>
      <w:marBottom w:val="0"/>
      <w:divBdr>
        <w:top w:val="none" w:sz="0" w:space="0" w:color="auto"/>
        <w:left w:val="none" w:sz="0" w:space="0" w:color="auto"/>
        <w:bottom w:val="none" w:sz="0" w:space="0" w:color="auto"/>
        <w:right w:val="none" w:sz="0" w:space="0" w:color="auto"/>
      </w:divBdr>
      <w:divsChild>
        <w:div w:id="131144065">
          <w:marLeft w:val="0"/>
          <w:marRight w:val="0"/>
          <w:marTop w:val="0"/>
          <w:marBottom w:val="0"/>
          <w:divBdr>
            <w:top w:val="none" w:sz="0" w:space="0" w:color="auto"/>
            <w:left w:val="none" w:sz="0" w:space="0" w:color="auto"/>
            <w:bottom w:val="none" w:sz="0" w:space="0" w:color="auto"/>
            <w:right w:val="none" w:sz="0" w:space="0" w:color="auto"/>
          </w:divBdr>
          <w:divsChild>
            <w:div w:id="762647310">
              <w:marLeft w:val="0"/>
              <w:marRight w:val="0"/>
              <w:marTop w:val="0"/>
              <w:marBottom w:val="0"/>
              <w:divBdr>
                <w:top w:val="none" w:sz="0" w:space="0" w:color="auto"/>
                <w:left w:val="none" w:sz="0" w:space="0" w:color="auto"/>
                <w:bottom w:val="none" w:sz="0" w:space="0" w:color="auto"/>
                <w:right w:val="none" w:sz="0" w:space="0" w:color="auto"/>
              </w:divBdr>
              <w:divsChild>
                <w:div w:id="1476601386">
                  <w:marLeft w:val="0"/>
                  <w:marRight w:val="0"/>
                  <w:marTop w:val="0"/>
                  <w:marBottom w:val="0"/>
                  <w:divBdr>
                    <w:top w:val="single" w:sz="18" w:space="0" w:color="08237A"/>
                    <w:left w:val="none" w:sz="0" w:space="0" w:color="auto"/>
                    <w:bottom w:val="none" w:sz="0" w:space="0" w:color="auto"/>
                    <w:right w:val="none" w:sz="0" w:space="0" w:color="auto"/>
                  </w:divBdr>
                  <w:divsChild>
                    <w:div w:id="285738437">
                      <w:marLeft w:val="0"/>
                      <w:marRight w:val="0"/>
                      <w:marTop w:val="0"/>
                      <w:marBottom w:val="0"/>
                      <w:divBdr>
                        <w:top w:val="single" w:sz="2" w:space="7" w:color="BBBBBB"/>
                        <w:left w:val="single" w:sz="6" w:space="0" w:color="BBBBBB"/>
                        <w:bottom w:val="single" w:sz="6" w:space="0" w:color="BBBBBB"/>
                        <w:right w:val="single" w:sz="6" w:space="0" w:color="BBBBBB"/>
                      </w:divBdr>
                      <w:divsChild>
                        <w:div w:id="1992706957">
                          <w:marLeft w:val="0"/>
                          <w:marRight w:val="0"/>
                          <w:marTop w:val="0"/>
                          <w:marBottom w:val="0"/>
                          <w:divBdr>
                            <w:top w:val="none" w:sz="0" w:space="0" w:color="auto"/>
                            <w:left w:val="none" w:sz="0" w:space="0" w:color="auto"/>
                            <w:bottom w:val="none" w:sz="0" w:space="0" w:color="auto"/>
                            <w:right w:val="none" w:sz="0" w:space="0" w:color="auto"/>
                          </w:divBdr>
                          <w:divsChild>
                            <w:div w:id="15390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4434">
      <w:bodyDiv w:val="1"/>
      <w:marLeft w:val="0"/>
      <w:marRight w:val="0"/>
      <w:marTop w:val="0"/>
      <w:marBottom w:val="0"/>
      <w:divBdr>
        <w:top w:val="none" w:sz="0" w:space="0" w:color="auto"/>
        <w:left w:val="none" w:sz="0" w:space="0" w:color="auto"/>
        <w:bottom w:val="none" w:sz="0" w:space="0" w:color="auto"/>
        <w:right w:val="none" w:sz="0" w:space="0" w:color="auto"/>
      </w:divBdr>
    </w:div>
    <w:div w:id="195974794">
      <w:bodyDiv w:val="1"/>
      <w:marLeft w:val="0"/>
      <w:marRight w:val="0"/>
      <w:marTop w:val="0"/>
      <w:marBottom w:val="0"/>
      <w:divBdr>
        <w:top w:val="none" w:sz="0" w:space="0" w:color="auto"/>
        <w:left w:val="none" w:sz="0" w:space="0" w:color="auto"/>
        <w:bottom w:val="none" w:sz="0" w:space="0" w:color="auto"/>
        <w:right w:val="none" w:sz="0" w:space="0" w:color="auto"/>
      </w:divBdr>
    </w:div>
    <w:div w:id="206994187">
      <w:bodyDiv w:val="1"/>
      <w:marLeft w:val="0"/>
      <w:marRight w:val="0"/>
      <w:marTop w:val="0"/>
      <w:marBottom w:val="0"/>
      <w:divBdr>
        <w:top w:val="none" w:sz="0" w:space="0" w:color="auto"/>
        <w:left w:val="none" w:sz="0" w:space="0" w:color="auto"/>
        <w:bottom w:val="none" w:sz="0" w:space="0" w:color="auto"/>
        <w:right w:val="none" w:sz="0" w:space="0" w:color="auto"/>
      </w:divBdr>
      <w:divsChild>
        <w:div w:id="569774455">
          <w:marLeft w:val="0"/>
          <w:marRight w:val="0"/>
          <w:marTop w:val="0"/>
          <w:marBottom w:val="0"/>
          <w:divBdr>
            <w:top w:val="none" w:sz="0" w:space="0" w:color="auto"/>
            <w:left w:val="none" w:sz="0" w:space="0" w:color="auto"/>
            <w:bottom w:val="none" w:sz="0" w:space="0" w:color="auto"/>
            <w:right w:val="none" w:sz="0" w:space="0" w:color="auto"/>
          </w:divBdr>
          <w:divsChild>
            <w:div w:id="1799445254">
              <w:marLeft w:val="0"/>
              <w:marRight w:val="0"/>
              <w:marTop w:val="0"/>
              <w:marBottom w:val="0"/>
              <w:divBdr>
                <w:top w:val="none" w:sz="0" w:space="0" w:color="auto"/>
                <w:left w:val="none" w:sz="0" w:space="0" w:color="auto"/>
                <w:bottom w:val="none" w:sz="0" w:space="0" w:color="auto"/>
                <w:right w:val="none" w:sz="0" w:space="0" w:color="auto"/>
              </w:divBdr>
              <w:divsChild>
                <w:div w:id="1870021052">
                  <w:marLeft w:val="0"/>
                  <w:marRight w:val="0"/>
                  <w:marTop w:val="0"/>
                  <w:marBottom w:val="0"/>
                  <w:divBdr>
                    <w:top w:val="none" w:sz="0" w:space="0" w:color="auto"/>
                    <w:left w:val="none" w:sz="0" w:space="0" w:color="auto"/>
                    <w:bottom w:val="none" w:sz="0" w:space="0" w:color="auto"/>
                    <w:right w:val="none" w:sz="0" w:space="0" w:color="auto"/>
                  </w:divBdr>
                  <w:divsChild>
                    <w:div w:id="165636326">
                      <w:marLeft w:val="0"/>
                      <w:marRight w:val="0"/>
                      <w:marTop w:val="0"/>
                      <w:marBottom w:val="0"/>
                      <w:divBdr>
                        <w:top w:val="single" w:sz="6" w:space="14" w:color="C0D8F2"/>
                        <w:left w:val="single" w:sz="6" w:space="16" w:color="C0D8F2"/>
                        <w:bottom w:val="single" w:sz="6" w:space="10" w:color="C0D8F2"/>
                        <w:right w:val="single" w:sz="6" w:space="16" w:color="C0D8F2"/>
                      </w:divBdr>
                      <w:divsChild>
                        <w:div w:id="8724009">
                          <w:marLeft w:val="0"/>
                          <w:marRight w:val="0"/>
                          <w:marTop w:val="0"/>
                          <w:marBottom w:val="0"/>
                          <w:divBdr>
                            <w:top w:val="none" w:sz="0" w:space="0" w:color="auto"/>
                            <w:left w:val="none" w:sz="0" w:space="0" w:color="auto"/>
                            <w:bottom w:val="none" w:sz="0" w:space="0" w:color="auto"/>
                            <w:right w:val="none" w:sz="0" w:space="0" w:color="auto"/>
                          </w:divBdr>
                          <w:divsChild>
                            <w:div w:id="8801699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85528">
      <w:bodyDiv w:val="1"/>
      <w:marLeft w:val="0"/>
      <w:marRight w:val="0"/>
      <w:marTop w:val="0"/>
      <w:marBottom w:val="0"/>
      <w:divBdr>
        <w:top w:val="none" w:sz="0" w:space="0" w:color="auto"/>
        <w:left w:val="none" w:sz="0" w:space="0" w:color="auto"/>
        <w:bottom w:val="none" w:sz="0" w:space="0" w:color="auto"/>
        <w:right w:val="none" w:sz="0" w:space="0" w:color="auto"/>
      </w:divBdr>
    </w:div>
    <w:div w:id="217866931">
      <w:bodyDiv w:val="1"/>
      <w:marLeft w:val="0"/>
      <w:marRight w:val="0"/>
      <w:marTop w:val="0"/>
      <w:marBottom w:val="0"/>
      <w:divBdr>
        <w:top w:val="none" w:sz="0" w:space="0" w:color="auto"/>
        <w:left w:val="none" w:sz="0" w:space="0" w:color="auto"/>
        <w:bottom w:val="none" w:sz="0" w:space="0" w:color="auto"/>
        <w:right w:val="none" w:sz="0" w:space="0" w:color="auto"/>
      </w:divBdr>
    </w:div>
    <w:div w:id="231696437">
      <w:bodyDiv w:val="1"/>
      <w:marLeft w:val="0"/>
      <w:marRight w:val="0"/>
      <w:marTop w:val="0"/>
      <w:marBottom w:val="0"/>
      <w:divBdr>
        <w:top w:val="none" w:sz="0" w:space="0" w:color="auto"/>
        <w:left w:val="none" w:sz="0" w:space="0" w:color="auto"/>
        <w:bottom w:val="none" w:sz="0" w:space="0" w:color="auto"/>
        <w:right w:val="none" w:sz="0" w:space="0" w:color="auto"/>
      </w:divBdr>
    </w:div>
    <w:div w:id="242379202">
      <w:bodyDiv w:val="1"/>
      <w:marLeft w:val="0"/>
      <w:marRight w:val="0"/>
      <w:marTop w:val="0"/>
      <w:marBottom w:val="0"/>
      <w:divBdr>
        <w:top w:val="none" w:sz="0" w:space="0" w:color="auto"/>
        <w:left w:val="none" w:sz="0" w:space="0" w:color="auto"/>
        <w:bottom w:val="none" w:sz="0" w:space="0" w:color="auto"/>
        <w:right w:val="none" w:sz="0" w:space="0" w:color="auto"/>
      </w:divBdr>
    </w:div>
    <w:div w:id="244842852">
      <w:bodyDiv w:val="1"/>
      <w:marLeft w:val="0"/>
      <w:marRight w:val="0"/>
      <w:marTop w:val="0"/>
      <w:marBottom w:val="0"/>
      <w:divBdr>
        <w:top w:val="none" w:sz="0" w:space="0" w:color="auto"/>
        <w:left w:val="none" w:sz="0" w:space="0" w:color="auto"/>
        <w:bottom w:val="none" w:sz="0" w:space="0" w:color="auto"/>
        <w:right w:val="none" w:sz="0" w:space="0" w:color="auto"/>
      </w:divBdr>
    </w:div>
    <w:div w:id="245115133">
      <w:bodyDiv w:val="1"/>
      <w:marLeft w:val="0"/>
      <w:marRight w:val="0"/>
      <w:marTop w:val="0"/>
      <w:marBottom w:val="0"/>
      <w:divBdr>
        <w:top w:val="none" w:sz="0" w:space="0" w:color="auto"/>
        <w:left w:val="none" w:sz="0" w:space="0" w:color="auto"/>
        <w:bottom w:val="none" w:sz="0" w:space="0" w:color="auto"/>
        <w:right w:val="none" w:sz="0" w:space="0" w:color="auto"/>
      </w:divBdr>
    </w:div>
    <w:div w:id="253436981">
      <w:bodyDiv w:val="1"/>
      <w:marLeft w:val="0"/>
      <w:marRight w:val="0"/>
      <w:marTop w:val="0"/>
      <w:marBottom w:val="0"/>
      <w:divBdr>
        <w:top w:val="none" w:sz="0" w:space="0" w:color="auto"/>
        <w:left w:val="none" w:sz="0" w:space="0" w:color="auto"/>
        <w:bottom w:val="none" w:sz="0" w:space="0" w:color="auto"/>
        <w:right w:val="none" w:sz="0" w:space="0" w:color="auto"/>
      </w:divBdr>
      <w:divsChild>
        <w:div w:id="793135646">
          <w:marLeft w:val="0"/>
          <w:marRight w:val="0"/>
          <w:marTop w:val="0"/>
          <w:marBottom w:val="0"/>
          <w:divBdr>
            <w:top w:val="none" w:sz="0" w:space="0" w:color="auto"/>
            <w:left w:val="none" w:sz="0" w:space="0" w:color="auto"/>
            <w:bottom w:val="none" w:sz="0" w:space="0" w:color="auto"/>
            <w:right w:val="none" w:sz="0" w:space="0" w:color="auto"/>
          </w:divBdr>
          <w:divsChild>
            <w:div w:id="1969778110">
              <w:marLeft w:val="0"/>
              <w:marRight w:val="0"/>
              <w:marTop w:val="0"/>
              <w:marBottom w:val="0"/>
              <w:divBdr>
                <w:top w:val="none" w:sz="0" w:space="0" w:color="auto"/>
                <w:left w:val="none" w:sz="0" w:space="0" w:color="auto"/>
                <w:bottom w:val="none" w:sz="0" w:space="0" w:color="auto"/>
                <w:right w:val="none" w:sz="0" w:space="0" w:color="auto"/>
              </w:divBdr>
              <w:divsChild>
                <w:div w:id="1205943176">
                  <w:marLeft w:val="0"/>
                  <w:marRight w:val="0"/>
                  <w:marTop w:val="0"/>
                  <w:marBottom w:val="0"/>
                  <w:divBdr>
                    <w:top w:val="single" w:sz="18" w:space="0" w:color="08237A"/>
                    <w:left w:val="none" w:sz="0" w:space="0" w:color="auto"/>
                    <w:bottom w:val="none" w:sz="0" w:space="0" w:color="auto"/>
                    <w:right w:val="none" w:sz="0" w:space="0" w:color="auto"/>
                  </w:divBdr>
                  <w:divsChild>
                    <w:div w:id="1513304092">
                      <w:marLeft w:val="0"/>
                      <w:marRight w:val="0"/>
                      <w:marTop w:val="0"/>
                      <w:marBottom w:val="0"/>
                      <w:divBdr>
                        <w:top w:val="single" w:sz="2" w:space="7" w:color="BBBBBB"/>
                        <w:left w:val="single" w:sz="6" w:space="0" w:color="BBBBBB"/>
                        <w:bottom w:val="single" w:sz="6" w:space="0" w:color="BBBBBB"/>
                        <w:right w:val="single" w:sz="6" w:space="0" w:color="BBBBBB"/>
                      </w:divBdr>
                      <w:divsChild>
                        <w:div w:id="1358895311">
                          <w:marLeft w:val="0"/>
                          <w:marRight w:val="0"/>
                          <w:marTop w:val="0"/>
                          <w:marBottom w:val="0"/>
                          <w:divBdr>
                            <w:top w:val="none" w:sz="0" w:space="0" w:color="auto"/>
                            <w:left w:val="none" w:sz="0" w:space="0" w:color="auto"/>
                            <w:bottom w:val="none" w:sz="0" w:space="0" w:color="auto"/>
                            <w:right w:val="none" w:sz="0" w:space="0" w:color="auto"/>
                          </w:divBdr>
                          <w:divsChild>
                            <w:div w:id="20275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0760">
      <w:bodyDiv w:val="1"/>
      <w:marLeft w:val="0"/>
      <w:marRight w:val="0"/>
      <w:marTop w:val="0"/>
      <w:marBottom w:val="0"/>
      <w:divBdr>
        <w:top w:val="none" w:sz="0" w:space="0" w:color="auto"/>
        <w:left w:val="none" w:sz="0" w:space="0" w:color="auto"/>
        <w:bottom w:val="none" w:sz="0" w:space="0" w:color="auto"/>
        <w:right w:val="none" w:sz="0" w:space="0" w:color="auto"/>
      </w:divBdr>
    </w:div>
    <w:div w:id="281764366">
      <w:bodyDiv w:val="1"/>
      <w:marLeft w:val="0"/>
      <w:marRight w:val="0"/>
      <w:marTop w:val="0"/>
      <w:marBottom w:val="0"/>
      <w:divBdr>
        <w:top w:val="none" w:sz="0" w:space="0" w:color="auto"/>
        <w:left w:val="none" w:sz="0" w:space="0" w:color="auto"/>
        <w:bottom w:val="none" w:sz="0" w:space="0" w:color="auto"/>
        <w:right w:val="none" w:sz="0" w:space="0" w:color="auto"/>
      </w:divBdr>
    </w:div>
    <w:div w:id="283005237">
      <w:bodyDiv w:val="1"/>
      <w:marLeft w:val="0"/>
      <w:marRight w:val="0"/>
      <w:marTop w:val="0"/>
      <w:marBottom w:val="0"/>
      <w:divBdr>
        <w:top w:val="none" w:sz="0" w:space="0" w:color="auto"/>
        <w:left w:val="none" w:sz="0" w:space="0" w:color="auto"/>
        <w:bottom w:val="none" w:sz="0" w:space="0" w:color="auto"/>
        <w:right w:val="none" w:sz="0" w:space="0" w:color="auto"/>
      </w:divBdr>
      <w:divsChild>
        <w:div w:id="1301610857">
          <w:marLeft w:val="0"/>
          <w:marRight w:val="0"/>
          <w:marTop w:val="100"/>
          <w:marBottom w:val="100"/>
          <w:divBdr>
            <w:top w:val="none" w:sz="0" w:space="0" w:color="auto"/>
            <w:left w:val="none" w:sz="0" w:space="0" w:color="auto"/>
            <w:bottom w:val="none" w:sz="0" w:space="0" w:color="auto"/>
            <w:right w:val="none" w:sz="0" w:space="0" w:color="auto"/>
          </w:divBdr>
          <w:divsChild>
            <w:div w:id="1940409048">
              <w:marLeft w:val="225"/>
              <w:marRight w:val="225"/>
              <w:marTop w:val="225"/>
              <w:marBottom w:val="0"/>
              <w:divBdr>
                <w:top w:val="none" w:sz="0" w:space="0" w:color="auto"/>
                <w:left w:val="none" w:sz="0" w:space="0" w:color="auto"/>
                <w:bottom w:val="none" w:sz="0" w:space="0" w:color="auto"/>
                <w:right w:val="none" w:sz="0" w:space="0" w:color="auto"/>
              </w:divBdr>
              <w:divsChild>
                <w:div w:id="754712782">
                  <w:marLeft w:val="0"/>
                  <w:marRight w:val="150"/>
                  <w:marTop w:val="100"/>
                  <w:marBottom w:val="100"/>
                  <w:divBdr>
                    <w:top w:val="none" w:sz="0" w:space="0" w:color="auto"/>
                    <w:left w:val="none" w:sz="0" w:space="0" w:color="auto"/>
                    <w:bottom w:val="none" w:sz="0" w:space="0" w:color="auto"/>
                    <w:right w:val="none" w:sz="0" w:space="0" w:color="auto"/>
                  </w:divBdr>
                  <w:divsChild>
                    <w:div w:id="784276807">
                      <w:marLeft w:val="0"/>
                      <w:marRight w:val="0"/>
                      <w:marTop w:val="100"/>
                      <w:marBottom w:val="100"/>
                      <w:divBdr>
                        <w:top w:val="none" w:sz="0" w:space="0" w:color="auto"/>
                        <w:left w:val="none" w:sz="0" w:space="0" w:color="auto"/>
                        <w:bottom w:val="none" w:sz="0" w:space="0" w:color="auto"/>
                        <w:right w:val="none" w:sz="0" w:space="0" w:color="auto"/>
                      </w:divBdr>
                      <w:divsChild>
                        <w:div w:id="1764649285">
                          <w:marLeft w:val="75"/>
                          <w:marRight w:val="0"/>
                          <w:marTop w:val="300"/>
                          <w:marBottom w:val="0"/>
                          <w:divBdr>
                            <w:top w:val="none" w:sz="0" w:space="0" w:color="auto"/>
                            <w:left w:val="none" w:sz="0" w:space="0" w:color="auto"/>
                            <w:bottom w:val="none" w:sz="0" w:space="0" w:color="auto"/>
                            <w:right w:val="none" w:sz="0" w:space="0" w:color="auto"/>
                          </w:divBdr>
                          <w:divsChild>
                            <w:div w:id="7302747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87126005">
      <w:bodyDiv w:val="1"/>
      <w:marLeft w:val="0"/>
      <w:marRight w:val="0"/>
      <w:marTop w:val="0"/>
      <w:marBottom w:val="0"/>
      <w:divBdr>
        <w:top w:val="none" w:sz="0" w:space="0" w:color="auto"/>
        <w:left w:val="none" w:sz="0" w:space="0" w:color="auto"/>
        <w:bottom w:val="none" w:sz="0" w:space="0" w:color="auto"/>
        <w:right w:val="none" w:sz="0" w:space="0" w:color="auto"/>
      </w:divBdr>
    </w:div>
    <w:div w:id="289938243">
      <w:bodyDiv w:val="1"/>
      <w:marLeft w:val="0"/>
      <w:marRight w:val="0"/>
      <w:marTop w:val="0"/>
      <w:marBottom w:val="0"/>
      <w:divBdr>
        <w:top w:val="none" w:sz="0" w:space="0" w:color="auto"/>
        <w:left w:val="none" w:sz="0" w:space="0" w:color="auto"/>
        <w:bottom w:val="none" w:sz="0" w:space="0" w:color="auto"/>
        <w:right w:val="none" w:sz="0" w:space="0" w:color="auto"/>
      </w:divBdr>
    </w:div>
    <w:div w:id="318273768">
      <w:bodyDiv w:val="1"/>
      <w:marLeft w:val="0"/>
      <w:marRight w:val="0"/>
      <w:marTop w:val="0"/>
      <w:marBottom w:val="0"/>
      <w:divBdr>
        <w:top w:val="none" w:sz="0" w:space="0" w:color="auto"/>
        <w:left w:val="none" w:sz="0" w:space="0" w:color="auto"/>
        <w:bottom w:val="none" w:sz="0" w:space="0" w:color="auto"/>
        <w:right w:val="none" w:sz="0" w:space="0" w:color="auto"/>
      </w:divBdr>
    </w:div>
    <w:div w:id="323515397">
      <w:bodyDiv w:val="1"/>
      <w:marLeft w:val="0"/>
      <w:marRight w:val="0"/>
      <w:marTop w:val="0"/>
      <w:marBottom w:val="0"/>
      <w:divBdr>
        <w:top w:val="none" w:sz="0" w:space="0" w:color="auto"/>
        <w:left w:val="none" w:sz="0" w:space="0" w:color="auto"/>
        <w:bottom w:val="none" w:sz="0" w:space="0" w:color="auto"/>
        <w:right w:val="none" w:sz="0" w:space="0" w:color="auto"/>
      </w:divBdr>
    </w:div>
    <w:div w:id="335881621">
      <w:bodyDiv w:val="1"/>
      <w:marLeft w:val="0"/>
      <w:marRight w:val="0"/>
      <w:marTop w:val="0"/>
      <w:marBottom w:val="0"/>
      <w:divBdr>
        <w:top w:val="none" w:sz="0" w:space="0" w:color="auto"/>
        <w:left w:val="none" w:sz="0" w:space="0" w:color="auto"/>
        <w:bottom w:val="none" w:sz="0" w:space="0" w:color="auto"/>
        <w:right w:val="none" w:sz="0" w:space="0" w:color="auto"/>
      </w:divBdr>
    </w:div>
    <w:div w:id="336545280">
      <w:bodyDiv w:val="1"/>
      <w:marLeft w:val="0"/>
      <w:marRight w:val="0"/>
      <w:marTop w:val="0"/>
      <w:marBottom w:val="0"/>
      <w:divBdr>
        <w:top w:val="none" w:sz="0" w:space="0" w:color="auto"/>
        <w:left w:val="none" w:sz="0" w:space="0" w:color="auto"/>
        <w:bottom w:val="none" w:sz="0" w:space="0" w:color="auto"/>
        <w:right w:val="none" w:sz="0" w:space="0" w:color="auto"/>
      </w:divBdr>
    </w:div>
    <w:div w:id="357509318">
      <w:bodyDiv w:val="1"/>
      <w:marLeft w:val="0"/>
      <w:marRight w:val="0"/>
      <w:marTop w:val="0"/>
      <w:marBottom w:val="0"/>
      <w:divBdr>
        <w:top w:val="none" w:sz="0" w:space="0" w:color="auto"/>
        <w:left w:val="none" w:sz="0" w:space="0" w:color="auto"/>
        <w:bottom w:val="none" w:sz="0" w:space="0" w:color="auto"/>
        <w:right w:val="none" w:sz="0" w:space="0" w:color="auto"/>
      </w:divBdr>
    </w:div>
    <w:div w:id="364454430">
      <w:bodyDiv w:val="1"/>
      <w:marLeft w:val="0"/>
      <w:marRight w:val="0"/>
      <w:marTop w:val="0"/>
      <w:marBottom w:val="0"/>
      <w:divBdr>
        <w:top w:val="none" w:sz="0" w:space="0" w:color="auto"/>
        <w:left w:val="none" w:sz="0" w:space="0" w:color="auto"/>
        <w:bottom w:val="none" w:sz="0" w:space="0" w:color="auto"/>
        <w:right w:val="none" w:sz="0" w:space="0" w:color="auto"/>
      </w:divBdr>
    </w:div>
    <w:div w:id="365909967">
      <w:bodyDiv w:val="1"/>
      <w:marLeft w:val="0"/>
      <w:marRight w:val="0"/>
      <w:marTop w:val="0"/>
      <w:marBottom w:val="0"/>
      <w:divBdr>
        <w:top w:val="none" w:sz="0" w:space="0" w:color="auto"/>
        <w:left w:val="none" w:sz="0" w:space="0" w:color="auto"/>
        <w:bottom w:val="none" w:sz="0" w:space="0" w:color="auto"/>
        <w:right w:val="none" w:sz="0" w:space="0" w:color="auto"/>
      </w:divBdr>
    </w:div>
    <w:div w:id="374279614">
      <w:bodyDiv w:val="1"/>
      <w:marLeft w:val="0"/>
      <w:marRight w:val="0"/>
      <w:marTop w:val="0"/>
      <w:marBottom w:val="0"/>
      <w:divBdr>
        <w:top w:val="none" w:sz="0" w:space="0" w:color="auto"/>
        <w:left w:val="none" w:sz="0" w:space="0" w:color="auto"/>
        <w:bottom w:val="none" w:sz="0" w:space="0" w:color="auto"/>
        <w:right w:val="none" w:sz="0" w:space="0" w:color="auto"/>
      </w:divBdr>
    </w:div>
    <w:div w:id="377777473">
      <w:bodyDiv w:val="1"/>
      <w:marLeft w:val="0"/>
      <w:marRight w:val="0"/>
      <w:marTop w:val="0"/>
      <w:marBottom w:val="0"/>
      <w:divBdr>
        <w:top w:val="none" w:sz="0" w:space="0" w:color="auto"/>
        <w:left w:val="none" w:sz="0" w:space="0" w:color="auto"/>
        <w:bottom w:val="none" w:sz="0" w:space="0" w:color="auto"/>
        <w:right w:val="none" w:sz="0" w:space="0" w:color="auto"/>
      </w:divBdr>
    </w:div>
    <w:div w:id="379985553">
      <w:bodyDiv w:val="1"/>
      <w:marLeft w:val="0"/>
      <w:marRight w:val="0"/>
      <w:marTop w:val="0"/>
      <w:marBottom w:val="0"/>
      <w:divBdr>
        <w:top w:val="none" w:sz="0" w:space="0" w:color="auto"/>
        <w:left w:val="none" w:sz="0" w:space="0" w:color="auto"/>
        <w:bottom w:val="none" w:sz="0" w:space="0" w:color="auto"/>
        <w:right w:val="none" w:sz="0" w:space="0" w:color="auto"/>
      </w:divBdr>
      <w:divsChild>
        <w:div w:id="1181965676">
          <w:marLeft w:val="0"/>
          <w:marRight w:val="0"/>
          <w:marTop w:val="0"/>
          <w:marBottom w:val="0"/>
          <w:divBdr>
            <w:top w:val="none" w:sz="0" w:space="0" w:color="auto"/>
            <w:left w:val="none" w:sz="0" w:space="0" w:color="auto"/>
            <w:bottom w:val="none" w:sz="0" w:space="0" w:color="auto"/>
            <w:right w:val="none" w:sz="0" w:space="0" w:color="auto"/>
          </w:divBdr>
          <w:divsChild>
            <w:div w:id="1204555395">
              <w:marLeft w:val="0"/>
              <w:marRight w:val="0"/>
              <w:marTop w:val="0"/>
              <w:marBottom w:val="0"/>
              <w:divBdr>
                <w:top w:val="single" w:sz="6" w:space="0" w:color="C8D8F2"/>
                <w:left w:val="none" w:sz="0" w:space="0" w:color="auto"/>
                <w:bottom w:val="none" w:sz="0" w:space="0" w:color="auto"/>
                <w:right w:val="none" w:sz="0" w:space="0" w:color="auto"/>
              </w:divBdr>
              <w:divsChild>
                <w:div w:id="499008488">
                  <w:marLeft w:val="0"/>
                  <w:marRight w:val="0"/>
                  <w:marTop w:val="0"/>
                  <w:marBottom w:val="0"/>
                  <w:divBdr>
                    <w:top w:val="none" w:sz="0" w:space="0" w:color="auto"/>
                    <w:left w:val="none" w:sz="0" w:space="0" w:color="auto"/>
                    <w:bottom w:val="none" w:sz="0" w:space="0" w:color="auto"/>
                    <w:right w:val="none" w:sz="0" w:space="0" w:color="auto"/>
                  </w:divBdr>
                  <w:divsChild>
                    <w:div w:id="1024674995">
                      <w:marLeft w:val="0"/>
                      <w:marRight w:val="0"/>
                      <w:marTop w:val="0"/>
                      <w:marBottom w:val="0"/>
                      <w:divBdr>
                        <w:top w:val="none" w:sz="0" w:space="0" w:color="auto"/>
                        <w:left w:val="none" w:sz="0" w:space="0" w:color="auto"/>
                        <w:bottom w:val="none" w:sz="0" w:space="0" w:color="auto"/>
                        <w:right w:val="none" w:sz="0" w:space="0" w:color="auto"/>
                      </w:divBdr>
                      <w:divsChild>
                        <w:div w:id="25450190">
                          <w:marLeft w:val="0"/>
                          <w:marRight w:val="0"/>
                          <w:marTop w:val="0"/>
                          <w:marBottom w:val="0"/>
                          <w:divBdr>
                            <w:top w:val="none" w:sz="0" w:space="0" w:color="auto"/>
                            <w:left w:val="none" w:sz="0" w:space="0" w:color="auto"/>
                            <w:bottom w:val="none" w:sz="0" w:space="0" w:color="auto"/>
                            <w:right w:val="none" w:sz="0" w:space="0" w:color="auto"/>
                          </w:divBdr>
                          <w:divsChild>
                            <w:div w:id="2866188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022207">
      <w:bodyDiv w:val="1"/>
      <w:marLeft w:val="0"/>
      <w:marRight w:val="0"/>
      <w:marTop w:val="0"/>
      <w:marBottom w:val="0"/>
      <w:divBdr>
        <w:top w:val="none" w:sz="0" w:space="0" w:color="auto"/>
        <w:left w:val="none" w:sz="0" w:space="0" w:color="auto"/>
        <w:bottom w:val="none" w:sz="0" w:space="0" w:color="auto"/>
        <w:right w:val="none" w:sz="0" w:space="0" w:color="auto"/>
      </w:divBdr>
    </w:div>
    <w:div w:id="407848935">
      <w:bodyDiv w:val="1"/>
      <w:marLeft w:val="0"/>
      <w:marRight w:val="0"/>
      <w:marTop w:val="0"/>
      <w:marBottom w:val="0"/>
      <w:divBdr>
        <w:top w:val="none" w:sz="0" w:space="0" w:color="auto"/>
        <w:left w:val="none" w:sz="0" w:space="0" w:color="auto"/>
        <w:bottom w:val="none" w:sz="0" w:space="0" w:color="auto"/>
        <w:right w:val="none" w:sz="0" w:space="0" w:color="auto"/>
      </w:divBdr>
    </w:div>
    <w:div w:id="424616282">
      <w:bodyDiv w:val="1"/>
      <w:marLeft w:val="0"/>
      <w:marRight w:val="0"/>
      <w:marTop w:val="0"/>
      <w:marBottom w:val="0"/>
      <w:divBdr>
        <w:top w:val="none" w:sz="0" w:space="0" w:color="auto"/>
        <w:left w:val="none" w:sz="0" w:space="0" w:color="auto"/>
        <w:bottom w:val="none" w:sz="0" w:space="0" w:color="auto"/>
        <w:right w:val="none" w:sz="0" w:space="0" w:color="auto"/>
      </w:divBdr>
    </w:div>
    <w:div w:id="437986362">
      <w:bodyDiv w:val="1"/>
      <w:marLeft w:val="0"/>
      <w:marRight w:val="0"/>
      <w:marTop w:val="0"/>
      <w:marBottom w:val="0"/>
      <w:divBdr>
        <w:top w:val="none" w:sz="0" w:space="0" w:color="auto"/>
        <w:left w:val="none" w:sz="0" w:space="0" w:color="auto"/>
        <w:bottom w:val="none" w:sz="0" w:space="0" w:color="auto"/>
        <w:right w:val="none" w:sz="0" w:space="0" w:color="auto"/>
      </w:divBdr>
      <w:divsChild>
        <w:div w:id="833838561">
          <w:marLeft w:val="0"/>
          <w:marRight w:val="0"/>
          <w:marTop w:val="0"/>
          <w:marBottom w:val="0"/>
          <w:divBdr>
            <w:top w:val="none" w:sz="0" w:space="0" w:color="auto"/>
            <w:left w:val="none" w:sz="0" w:space="0" w:color="auto"/>
            <w:bottom w:val="none" w:sz="0" w:space="0" w:color="auto"/>
            <w:right w:val="none" w:sz="0" w:space="0" w:color="auto"/>
          </w:divBdr>
          <w:divsChild>
            <w:div w:id="892496868">
              <w:marLeft w:val="0"/>
              <w:marRight w:val="0"/>
              <w:marTop w:val="0"/>
              <w:marBottom w:val="0"/>
              <w:divBdr>
                <w:top w:val="none" w:sz="0" w:space="0" w:color="auto"/>
                <w:left w:val="none" w:sz="0" w:space="0" w:color="auto"/>
                <w:bottom w:val="none" w:sz="0" w:space="0" w:color="auto"/>
                <w:right w:val="none" w:sz="0" w:space="0" w:color="auto"/>
              </w:divBdr>
              <w:divsChild>
                <w:div w:id="1892839406">
                  <w:marLeft w:val="0"/>
                  <w:marRight w:val="0"/>
                  <w:marTop w:val="0"/>
                  <w:marBottom w:val="0"/>
                  <w:divBdr>
                    <w:top w:val="single" w:sz="18" w:space="0" w:color="08237A"/>
                    <w:left w:val="none" w:sz="0" w:space="0" w:color="auto"/>
                    <w:bottom w:val="none" w:sz="0" w:space="0" w:color="auto"/>
                    <w:right w:val="none" w:sz="0" w:space="0" w:color="auto"/>
                  </w:divBdr>
                  <w:divsChild>
                    <w:div w:id="2142456526">
                      <w:marLeft w:val="0"/>
                      <w:marRight w:val="0"/>
                      <w:marTop w:val="0"/>
                      <w:marBottom w:val="0"/>
                      <w:divBdr>
                        <w:top w:val="single" w:sz="2" w:space="7" w:color="BBBBBB"/>
                        <w:left w:val="single" w:sz="6" w:space="0" w:color="BBBBBB"/>
                        <w:bottom w:val="single" w:sz="6" w:space="0" w:color="BBBBBB"/>
                        <w:right w:val="single" w:sz="6" w:space="0" w:color="BBBBBB"/>
                      </w:divBdr>
                      <w:divsChild>
                        <w:div w:id="1432971298">
                          <w:marLeft w:val="0"/>
                          <w:marRight w:val="0"/>
                          <w:marTop w:val="0"/>
                          <w:marBottom w:val="0"/>
                          <w:divBdr>
                            <w:top w:val="none" w:sz="0" w:space="0" w:color="auto"/>
                            <w:left w:val="none" w:sz="0" w:space="0" w:color="auto"/>
                            <w:bottom w:val="none" w:sz="0" w:space="0" w:color="auto"/>
                            <w:right w:val="none" w:sz="0" w:space="0" w:color="auto"/>
                          </w:divBdr>
                          <w:divsChild>
                            <w:div w:id="9463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536084">
      <w:bodyDiv w:val="1"/>
      <w:marLeft w:val="0"/>
      <w:marRight w:val="0"/>
      <w:marTop w:val="0"/>
      <w:marBottom w:val="0"/>
      <w:divBdr>
        <w:top w:val="none" w:sz="0" w:space="0" w:color="auto"/>
        <w:left w:val="none" w:sz="0" w:space="0" w:color="auto"/>
        <w:bottom w:val="none" w:sz="0" w:space="0" w:color="auto"/>
        <w:right w:val="none" w:sz="0" w:space="0" w:color="auto"/>
      </w:divBdr>
    </w:div>
    <w:div w:id="480657058">
      <w:bodyDiv w:val="1"/>
      <w:marLeft w:val="0"/>
      <w:marRight w:val="0"/>
      <w:marTop w:val="0"/>
      <w:marBottom w:val="0"/>
      <w:divBdr>
        <w:top w:val="none" w:sz="0" w:space="0" w:color="auto"/>
        <w:left w:val="none" w:sz="0" w:space="0" w:color="auto"/>
        <w:bottom w:val="none" w:sz="0" w:space="0" w:color="auto"/>
        <w:right w:val="none" w:sz="0" w:space="0" w:color="auto"/>
      </w:divBdr>
    </w:div>
    <w:div w:id="498270778">
      <w:bodyDiv w:val="1"/>
      <w:marLeft w:val="0"/>
      <w:marRight w:val="0"/>
      <w:marTop w:val="0"/>
      <w:marBottom w:val="0"/>
      <w:divBdr>
        <w:top w:val="none" w:sz="0" w:space="0" w:color="auto"/>
        <w:left w:val="none" w:sz="0" w:space="0" w:color="auto"/>
        <w:bottom w:val="none" w:sz="0" w:space="0" w:color="auto"/>
        <w:right w:val="none" w:sz="0" w:space="0" w:color="auto"/>
      </w:divBdr>
    </w:div>
    <w:div w:id="500434929">
      <w:bodyDiv w:val="1"/>
      <w:marLeft w:val="0"/>
      <w:marRight w:val="0"/>
      <w:marTop w:val="0"/>
      <w:marBottom w:val="0"/>
      <w:divBdr>
        <w:top w:val="none" w:sz="0" w:space="0" w:color="auto"/>
        <w:left w:val="none" w:sz="0" w:space="0" w:color="auto"/>
        <w:bottom w:val="none" w:sz="0" w:space="0" w:color="auto"/>
        <w:right w:val="none" w:sz="0" w:space="0" w:color="auto"/>
      </w:divBdr>
    </w:div>
    <w:div w:id="514078498">
      <w:bodyDiv w:val="1"/>
      <w:marLeft w:val="0"/>
      <w:marRight w:val="0"/>
      <w:marTop w:val="0"/>
      <w:marBottom w:val="0"/>
      <w:divBdr>
        <w:top w:val="none" w:sz="0" w:space="0" w:color="auto"/>
        <w:left w:val="none" w:sz="0" w:space="0" w:color="auto"/>
        <w:bottom w:val="none" w:sz="0" w:space="0" w:color="auto"/>
        <w:right w:val="none" w:sz="0" w:space="0" w:color="auto"/>
      </w:divBdr>
      <w:divsChild>
        <w:div w:id="1557545239">
          <w:marLeft w:val="0"/>
          <w:marRight w:val="0"/>
          <w:marTop w:val="68"/>
          <w:marBottom w:val="68"/>
          <w:divBdr>
            <w:top w:val="none" w:sz="0" w:space="0" w:color="auto"/>
            <w:left w:val="none" w:sz="0" w:space="0" w:color="auto"/>
            <w:bottom w:val="none" w:sz="0" w:space="0" w:color="auto"/>
            <w:right w:val="none" w:sz="0" w:space="0" w:color="auto"/>
          </w:divBdr>
          <w:divsChild>
            <w:div w:id="1249462436">
              <w:marLeft w:val="0"/>
              <w:marRight w:val="0"/>
              <w:marTop w:val="0"/>
              <w:marBottom w:val="0"/>
              <w:divBdr>
                <w:top w:val="single" w:sz="6" w:space="0" w:color="BEBEBE"/>
                <w:left w:val="single" w:sz="6" w:space="0" w:color="BEBEBE"/>
                <w:bottom w:val="single" w:sz="6" w:space="0" w:color="BEBEBE"/>
                <w:right w:val="single" w:sz="6" w:space="0" w:color="BEBEBE"/>
              </w:divBdr>
              <w:divsChild>
                <w:div w:id="1981568912">
                  <w:marLeft w:val="0"/>
                  <w:marRight w:val="0"/>
                  <w:marTop w:val="0"/>
                  <w:marBottom w:val="0"/>
                  <w:divBdr>
                    <w:top w:val="none" w:sz="0" w:space="0" w:color="auto"/>
                    <w:left w:val="none" w:sz="0" w:space="0" w:color="auto"/>
                    <w:bottom w:val="none" w:sz="0" w:space="0" w:color="auto"/>
                    <w:right w:val="none" w:sz="0" w:space="0" w:color="auto"/>
                  </w:divBdr>
                  <w:divsChild>
                    <w:div w:id="745998006">
                      <w:marLeft w:val="0"/>
                      <w:marRight w:val="0"/>
                      <w:marTop w:val="0"/>
                      <w:marBottom w:val="0"/>
                      <w:divBdr>
                        <w:top w:val="none" w:sz="0" w:space="0" w:color="auto"/>
                        <w:left w:val="none" w:sz="0" w:space="0" w:color="auto"/>
                        <w:bottom w:val="none" w:sz="0" w:space="0" w:color="auto"/>
                        <w:right w:val="none" w:sz="0" w:space="0" w:color="auto"/>
                      </w:divBdr>
                      <w:divsChild>
                        <w:div w:id="5380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412275">
      <w:bodyDiv w:val="1"/>
      <w:marLeft w:val="0"/>
      <w:marRight w:val="0"/>
      <w:marTop w:val="0"/>
      <w:marBottom w:val="0"/>
      <w:divBdr>
        <w:top w:val="none" w:sz="0" w:space="0" w:color="auto"/>
        <w:left w:val="none" w:sz="0" w:space="0" w:color="auto"/>
        <w:bottom w:val="none" w:sz="0" w:space="0" w:color="auto"/>
        <w:right w:val="none" w:sz="0" w:space="0" w:color="auto"/>
      </w:divBdr>
    </w:div>
    <w:div w:id="531764342">
      <w:bodyDiv w:val="1"/>
      <w:marLeft w:val="0"/>
      <w:marRight w:val="0"/>
      <w:marTop w:val="0"/>
      <w:marBottom w:val="0"/>
      <w:divBdr>
        <w:top w:val="none" w:sz="0" w:space="0" w:color="auto"/>
        <w:left w:val="none" w:sz="0" w:space="0" w:color="auto"/>
        <w:bottom w:val="none" w:sz="0" w:space="0" w:color="auto"/>
        <w:right w:val="none" w:sz="0" w:space="0" w:color="auto"/>
      </w:divBdr>
    </w:div>
    <w:div w:id="540675543">
      <w:bodyDiv w:val="1"/>
      <w:marLeft w:val="0"/>
      <w:marRight w:val="0"/>
      <w:marTop w:val="0"/>
      <w:marBottom w:val="0"/>
      <w:divBdr>
        <w:top w:val="none" w:sz="0" w:space="0" w:color="auto"/>
        <w:left w:val="none" w:sz="0" w:space="0" w:color="auto"/>
        <w:bottom w:val="none" w:sz="0" w:space="0" w:color="auto"/>
        <w:right w:val="none" w:sz="0" w:space="0" w:color="auto"/>
      </w:divBdr>
      <w:divsChild>
        <w:div w:id="840656684">
          <w:marLeft w:val="0"/>
          <w:marRight w:val="0"/>
          <w:marTop w:val="75"/>
          <w:marBottom w:val="75"/>
          <w:divBdr>
            <w:top w:val="none" w:sz="0" w:space="0" w:color="auto"/>
            <w:left w:val="none" w:sz="0" w:space="0" w:color="auto"/>
            <w:bottom w:val="none" w:sz="0" w:space="0" w:color="auto"/>
            <w:right w:val="none" w:sz="0" w:space="0" w:color="auto"/>
          </w:divBdr>
          <w:divsChild>
            <w:div w:id="1155148257">
              <w:marLeft w:val="0"/>
              <w:marRight w:val="0"/>
              <w:marTop w:val="0"/>
              <w:marBottom w:val="0"/>
              <w:divBdr>
                <w:top w:val="single" w:sz="6" w:space="0" w:color="BEBEBE"/>
                <w:left w:val="single" w:sz="6" w:space="0" w:color="BEBEBE"/>
                <w:bottom w:val="single" w:sz="6" w:space="0" w:color="BEBEBE"/>
                <w:right w:val="single" w:sz="6" w:space="0" w:color="BEBEBE"/>
              </w:divBdr>
              <w:divsChild>
                <w:div w:id="1034111920">
                  <w:marLeft w:val="0"/>
                  <w:marRight w:val="0"/>
                  <w:marTop w:val="0"/>
                  <w:marBottom w:val="0"/>
                  <w:divBdr>
                    <w:top w:val="none" w:sz="0" w:space="0" w:color="auto"/>
                    <w:left w:val="none" w:sz="0" w:space="0" w:color="auto"/>
                    <w:bottom w:val="none" w:sz="0" w:space="0" w:color="auto"/>
                    <w:right w:val="none" w:sz="0" w:space="0" w:color="auto"/>
                  </w:divBdr>
                  <w:divsChild>
                    <w:div w:id="1140533029">
                      <w:marLeft w:val="0"/>
                      <w:marRight w:val="0"/>
                      <w:marTop w:val="0"/>
                      <w:marBottom w:val="0"/>
                      <w:divBdr>
                        <w:top w:val="none" w:sz="0" w:space="0" w:color="auto"/>
                        <w:left w:val="none" w:sz="0" w:space="0" w:color="auto"/>
                        <w:bottom w:val="none" w:sz="0" w:space="0" w:color="auto"/>
                        <w:right w:val="none" w:sz="0" w:space="0" w:color="auto"/>
                      </w:divBdr>
                      <w:divsChild>
                        <w:div w:id="1479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33622">
      <w:bodyDiv w:val="1"/>
      <w:marLeft w:val="0"/>
      <w:marRight w:val="0"/>
      <w:marTop w:val="0"/>
      <w:marBottom w:val="0"/>
      <w:divBdr>
        <w:top w:val="none" w:sz="0" w:space="0" w:color="auto"/>
        <w:left w:val="none" w:sz="0" w:space="0" w:color="auto"/>
        <w:bottom w:val="none" w:sz="0" w:space="0" w:color="auto"/>
        <w:right w:val="none" w:sz="0" w:space="0" w:color="auto"/>
      </w:divBdr>
    </w:div>
    <w:div w:id="580413355">
      <w:bodyDiv w:val="1"/>
      <w:marLeft w:val="0"/>
      <w:marRight w:val="0"/>
      <w:marTop w:val="0"/>
      <w:marBottom w:val="0"/>
      <w:divBdr>
        <w:top w:val="none" w:sz="0" w:space="0" w:color="auto"/>
        <w:left w:val="none" w:sz="0" w:space="0" w:color="auto"/>
        <w:bottom w:val="none" w:sz="0" w:space="0" w:color="auto"/>
        <w:right w:val="none" w:sz="0" w:space="0" w:color="auto"/>
      </w:divBdr>
    </w:div>
    <w:div w:id="584649918">
      <w:bodyDiv w:val="1"/>
      <w:marLeft w:val="0"/>
      <w:marRight w:val="0"/>
      <w:marTop w:val="0"/>
      <w:marBottom w:val="0"/>
      <w:divBdr>
        <w:top w:val="none" w:sz="0" w:space="0" w:color="auto"/>
        <w:left w:val="none" w:sz="0" w:space="0" w:color="auto"/>
        <w:bottom w:val="none" w:sz="0" w:space="0" w:color="auto"/>
        <w:right w:val="none" w:sz="0" w:space="0" w:color="auto"/>
      </w:divBdr>
    </w:div>
    <w:div w:id="600144867">
      <w:bodyDiv w:val="1"/>
      <w:marLeft w:val="0"/>
      <w:marRight w:val="0"/>
      <w:marTop w:val="0"/>
      <w:marBottom w:val="0"/>
      <w:divBdr>
        <w:top w:val="none" w:sz="0" w:space="0" w:color="auto"/>
        <w:left w:val="none" w:sz="0" w:space="0" w:color="auto"/>
        <w:bottom w:val="none" w:sz="0" w:space="0" w:color="auto"/>
        <w:right w:val="none" w:sz="0" w:space="0" w:color="auto"/>
      </w:divBdr>
    </w:div>
    <w:div w:id="601300202">
      <w:bodyDiv w:val="1"/>
      <w:marLeft w:val="0"/>
      <w:marRight w:val="0"/>
      <w:marTop w:val="0"/>
      <w:marBottom w:val="0"/>
      <w:divBdr>
        <w:top w:val="none" w:sz="0" w:space="0" w:color="auto"/>
        <w:left w:val="none" w:sz="0" w:space="0" w:color="auto"/>
        <w:bottom w:val="none" w:sz="0" w:space="0" w:color="auto"/>
        <w:right w:val="none" w:sz="0" w:space="0" w:color="auto"/>
      </w:divBdr>
    </w:div>
    <w:div w:id="603851758">
      <w:bodyDiv w:val="1"/>
      <w:marLeft w:val="0"/>
      <w:marRight w:val="0"/>
      <w:marTop w:val="0"/>
      <w:marBottom w:val="0"/>
      <w:divBdr>
        <w:top w:val="none" w:sz="0" w:space="0" w:color="auto"/>
        <w:left w:val="none" w:sz="0" w:space="0" w:color="auto"/>
        <w:bottom w:val="none" w:sz="0" w:space="0" w:color="auto"/>
        <w:right w:val="none" w:sz="0" w:space="0" w:color="auto"/>
      </w:divBdr>
    </w:div>
    <w:div w:id="611857919">
      <w:bodyDiv w:val="1"/>
      <w:marLeft w:val="0"/>
      <w:marRight w:val="0"/>
      <w:marTop w:val="0"/>
      <w:marBottom w:val="0"/>
      <w:divBdr>
        <w:top w:val="none" w:sz="0" w:space="0" w:color="auto"/>
        <w:left w:val="none" w:sz="0" w:space="0" w:color="auto"/>
        <w:bottom w:val="none" w:sz="0" w:space="0" w:color="auto"/>
        <w:right w:val="none" w:sz="0" w:space="0" w:color="auto"/>
      </w:divBdr>
    </w:div>
    <w:div w:id="637880362">
      <w:bodyDiv w:val="1"/>
      <w:marLeft w:val="0"/>
      <w:marRight w:val="0"/>
      <w:marTop w:val="0"/>
      <w:marBottom w:val="0"/>
      <w:divBdr>
        <w:top w:val="none" w:sz="0" w:space="0" w:color="auto"/>
        <w:left w:val="none" w:sz="0" w:space="0" w:color="auto"/>
        <w:bottom w:val="none" w:sz="0" w:space="0" w:color="auto"/>
        <w:right w:val="none" w:sz="0" w:space="0" w:color="auto"/>
      </w:divBdr>
    </w:div>
    <w:div w:id="674040329">
      <w:bodyDiv w:val="1"/>
      <w:marLeft w:val="0"/>
      <w:marRight w:val="0"/>
      <w:marTop w:val="0"/>
      <w:marBottom w:val="0"/>
      <w:divBdr>
        <w:top w:val="none" w:sz="0" w:space="0" w:color="auto"/>
        <w:left w:val="none" w:sz="0" w:space="0" w:color="auto"/>
        <w:bottom w:val="none" w:sz="0" w:space="0" w:color="auto"/>
        <w:right w:val="none" w:sz="0" w:space="0" w:color="auto"/>
      </w:divBdr>
      <w:divsChild>
        <w:div w:id="847599733">
          <w:marLeft w:val="0"/>
          <w:marRight w:val="0"/>
          <w:marTop w:val="0"/>
          <w:marBottom w:val="0"/>
          <w:divBdr>
            <w:top w:val="none" w:sz="0" w:space="0" w:color="auto"/>
            <w:left w:val="none" w:sz="0" w:space="0" w:color="auto"/>
            <w:bottom w:val="none" w:sz="0" w:space="0" w:color="auto"/>
            <w:right w:val="none" w:sz="0" w:space="0" w:color="auto"/>
          </w:divBdr>
          <w:divsChild>
            <w:div w:id="381944260">
              <w:marLeft w:val="0"/>
              <w:marRight w:val="0"/>
              <w:marTop w:val="0"/>
              <w:marBottom w:val="0"/>
              <w:divBdr>
                <w:top w:val="none" w:sz="0" w:space="0" w:color="auto"/>
                <w:left w:val="none" w:sz="0" w:space="0" w:color="auto"/>
                <w:bottom w:val="none" w:sz="0" w:space="0" w:color="auto"/>
                <w:right w:val="none" w:sz="0" w:space="0" w:color="auto"/>
              </w:divBdr>
              <w:divsChild>
                <w:div w:id="2090693891">
                  <w:marLeft w:val="0"/>
                  <w:marRight w:val="0"/>
                  <w:marTop w:val="0"/>
                  <w:marBottom w:val="0"/>
                  <w:divBdr>
                    <w:top w:val="single" w:sz="18" w:space="0" w:color="08237A"/>
                    <w:left w:val="none" w:sz="0" w:space="0" w:color="auto"/>
                    <w:bottom w:val="none" w:sz="0" w:space="0" w:color="auto"/>
                    <w:right w:val="none" w:sz="0" w:space="0" w:color="auto"/>
                  </w:divBdr>
                  <w:divsChild>
                    <w:div w:id="1820807650">
                      <w:marLeft w:val="0"/>
                      <w:marRight w:val="0"/>
                      <w:marTop w:val="0"/>
                      <w:marBottom w:val="0"/>
                      <w:divBdr>
                        <w:top w:val="single" w:sz="2" w:space="7" w:color="BBBBBB"/>
                        <w:left w:val="single" w:sz="6" w:space="0" w:color="BBBBBB"/>
                        <w:bottom w:val="single" w:sz="6" w:space="0" w:color="BBBBBB"/>
                        <w:right w:val="single" w:sz="6" w:space="0" w:color="BBBBBB"/>
                      </w:divBdr>
                      <w:divsChild>
                        <w:div w:id="1764960812">
                          <w:marLeft w:val="0"/>
                          <w:marRight w:val="0"/>
                          <w:marTop w:val="0"/>
                          <w:marBottom w:val="0"/>
                          <w:divBdr>
                            <w:top w:val="none" w:sz="0" w:space="0" w:color="auto"/>
                            <w:left w:val="none" w:sz="0" w:space="0" w:color="auto"/>
                            <w:bottom w:val="none" w:sz="0" w:space="0" w:color="auto"/>
                            <w:right w:val="none" w:sz="0" w:space="0" w:color="auto"/>
                          </w:divBdr>
                          <w:divsChild>
                            <w:div w:id="17721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91599">
      <w:bodyDiv w:val="1"/>
      <w:marLeft w:val="0"/>
      <w:marRight w:val="0"/>
      <w:marTop w:val="0"/>
      <w:marBottom w:val="0"/>
      <w:divBdr>
        <w:top w:val="none" w:sz="0" w:space="0" w:color="auto"/>
        <w:left w:val="none" w:sz="0" w:space="0" w:color="auto"/>
        <w:bottom w:val="none" w:sz="0" w:space="0" w:color="auto"/>
        <w:right w:val="none" w:sz="0" w:space="0" w:color="auto"/>
      </w:divBdr>
      <w:divsChild>
        <w:div w:id="1646811216">
          <w:marLeft w:val="0"/>
          <w:marRight w:val="0"/>
          <w:marTop w:val="0"/>
          <w:marBottom w:val="0"/>
          <w:divBdr>
            <w:top w:val="none" w:sz="0" w:space="0" w:color="auto"/>
            <w:left w:val="none" w:sz="0" w:space="0" w:color="auto"/>
            <w:bottom w:val="none" w:sz="0" w:space="0" w:color="auto"/>
            <w:right w:val="none" w:sz="0" w:space="0" w:color="auto"/>
          </w:divBdr>
          <w:divsChild>
            <w:div w:id="948780506">
              <w:marLeft w:val="0"/>
              <w:marRight w:val="0"/>
              <w:marTop w:val="0"/>
              <w:marBottom w:val="0"/>
              <w:divBdr>
                <w:top w:val="none" w:sz="0" w:space="0" w:color="auto"/>
                <w:left w:val="none" w:sz="0" w:space="0" w:color="auto"/>
                <w:bottom w:val="none" w:sz="0" w:space="0" w:color="auto"/>
                <w:right w:val="none" w:sz="0" w:space="0" w:color="auto"/>
              </w:divBdr>
              <w:divsChild>
                <w:div w:id="1668821410">
                  <w:marLeft w:val="0"/>
                  <w:marRight w:val="0"/>
                  <w:marTop w:val="0"/>
                  <w:marBottom w:val="0"/>
                  <w:divBdr>
                    <w:top w:val="single" w:sz="18" w:space="0" w:color="08237A"/>
                    <w:left w:val="none" w:sz="0" w:space="0" w:color="auto"/>
                    <w:bottom w:val="none" w:sz="0" w:space="0" w:color="auto"/>
                    <w:right w:val="none" w:sz="0" w:space="0" w:color="auto"/>
                  </w:divBdr>
                  <w:divsChild>
                    <w:div w:id="313603662">
                      <w:marLeft w:val="0"/>
                      <w:marRight w:val="0"/>
                      <w:marTop w:val="0"/>
                      <w:marBottom w:val="0"/>
                      <w:divBdr>
                        <w:top w:val="single" w:sz="2" w:space="7" w:color="BBBBBB"/>
                        <w:left w:val="single" w:sz="6" w:space="0" w:color="BBBBBB"/>
                        <w:bottom w:val="single" w:sz="6" w:space="0" w:color="BBBBBB"/>
                        <w:right w:val="single" w:sz="6" w:space="0" w:color="BBBBBB"/>
                      </w:divBdr>
                      <w:divsChild>
                        <w:div w:id="986737298">
                          <w:marLeft w:val="0"/>
                          <w:marRight w:val="0"/>
                          <w:marTop w:val="0"/>
                          <w:marBottom w:val="0"/>
                          <w:divBdr>
                            <w:top w:val="none" w:sz="0" w:space="0" w:color="auto"/>
                            <w:left w:val="none" w:sz="0" w:space="0" w:color="auto"/>
                            <w:bottom w:val="none" w:sz="0" w:space="0" w:color="auto"/>
                            <w:right w:val="none" w:sz="0" w:space="0" w:color="auto"/>
                          </w:divBdr>
                          <w:divsChild>
                            <w:div w:id="3397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97066">
      <w:bodyDiv w:val="1"/>
      <w:marLeft w:val="0"/>
      <w:marRight w:val="0"/>
      <w:marTop w:val="0"/>
      <w:marBottom w:val="0"/>
      <w:divBdr>
        <w:top w:val="none" w:sz="0" w:space="0" w:color="auto"/>
        <w:left w:val="none" w:sz="0" w:space="0" w:color="auto"/>
        <w:bottom w:val="none" w:sz="0" w:space="0" w:color="auto"/>
        <w:right w:val="none" w:sz="0" w:space="0" w:color="auto"/>
      </w:divBdr>
    </w:div>
    <w:div w:id="701563334">
      <w:bodyDiv w:val="1"/>
      <w:marLeft w:val="0"/>
      <w:marRight w:val="0"/>
      <w:marTop w:val="0"/>
      <w:marBottom w:val="0"/>
      <w:divBdr>
        <w:top w:val="none" w:sz="0" w:space="0" w:color="auto"/>
        <w:left w:val="none" w:sz="0" w:space="0" w:color="auto"/>
        <w:bottom w:val="none" w:sz="0" w:space="0" w:color="auto"/>
        <w:right w:val="none" w:sz="0" w:space="0" w:color="auto"/>
      </w:divBdr>
      <w:divsChild>
        <w:div w:id="245112408">
          <w:marLeft w:val="0"/>
          <w:marRight w:val="0"/>
          <w:marTop w:val="0"/>
          <w:marBottom w:val="0"/>
          <w:divBdr>
            <w:top w:val="none" w:sz="0" w:space="0" w:color="auto"/>
            <w:left w:val="none" w:sz="0" w:space="0" w:color="auto"/>
            <w:bottom w:val="none" w:sz="0" w:space="0" w:color="auto"/>
            <w:right w:val="none" w:sz="0" w:space="0" w:color="auto"/>
          </w:divBdr>
          <w:divsChild>
            <w:div w:id="1143959523">
              <w:marLeft w:val="0"/>
              <w:marRight w:val="0"/>
              <w:marTop w:val="0"/>
              <w:marBottom w:val="0"/>
              <w:divBdr>
                <w:top w:val="none" w:sz="0" w:space="0" w:color="auto"/>
                <w:left w:val="none" w:sz="0" w:space="0" w:color="auto"/>
                <w:bottom w:val="none" w:sz="0" w:space="0" w:color="auto"/>
                <w:right w:val="none" w:sz="0" w:space="0" w:color="auto"/>
              </w:divBdr>
              <w:divsChild>
                <w:div w:id="122702361">
                  <w:marLeft w:val="0"/>
                  <w:marRight w:val="0"/>
                  <w:marTop w:val="0"/>
                  <w:marBottom w:val="0"/>
                  <w:divBdr>
                    <w:top w:val="single" w:sz="18" w:space="0" w:color="08237A"/>
                    <w:left w:val="none" w:sz="0" w:space="0" w:color="auto"/>
                    <w:bottom w:val="none" w:sz="0" w:space="0" w:color="auto"/>
                    <w:right w:val="none" w:sz="0" w:space="0" w:color="auto"/>
                  </w:divBdr>
                  <w:divsChild>
                    <w:div w:id="904947542">
                      <w:marLeft w:val="0"/>
                      <w:marRight w:val="0"/>
                      <w:marTop w:val="0"/>
                      <w:marBottom w:val="0"/>
                      <w:divBdr>
                        <w:top w:val="single" w:sz="2" w:space="7" w:color="BBBBBB"/>
                        <w:left w:val="single" w:sz="6" w:space="0" w:color="BBBBBB"/>
                        <w:bottom w:val="single" w:sz="6" w:space="0" w:color="BBBBBB"/>
                        <w:right w:val="single" w:sz="6" w:space="0" w:color="BBBBBB"/>
                      </w:divBdr>
                      <w:divsChild>
                        <w:div w:id="302545933">
                          <w:marLeft w:val="0"/>
                          <w:marRight w:val="0"/>
                          <w:marTop w:val="0"/>
                          <w:marBottom w:val="0"/>
                          <w:divBdr>
                            <w:top w:val="none" w:sz="0" w:space="0" w:color="auto"/>
                            <w:left w:val="none" w:sz="0" w:space="0" w:color="auto"/>
                            <w:bottom w:val="none" w:sz="0" w:space="0" w:color="auto"/>
                            <w:right w:val="none" w:sz="0" w:space="0" w:color="auto"/>
                          </w:divBdr>
                          <w:divsChild>
                            <w:div w:id="13280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830122">
      <w:bodyDiv w:val="1"/>
      <w:marLeft w:val="0"/>
      <w:marRight w:val="0"/>
      <w:marTop w:val="0"/>
      <w:marBottom w:val="0"/>
      <w:divBdr>
        <w:top w:val="none" w:sz="0" w:space="0" w:color="auto"/>
        <w:left w:val="none" w:sz="0" w:space="0" w:color="auto"/>
        <w:bottom w:val="none" w:sz="0" w:space="0" w:color="auto"/>
        <w:right w:val="none" w:sz="0" w:space="0" w:color="auto"/>
      </w:divBdr>
      <w:divsChild>
        <w:div w:id="396783905">
          <w:marLeft w:val="0"/>
          <w:marRight w:val="0"/>
          <w:marTop w:val="0"/>
          <w:marBottom w:val="0"/>
          <w:divBdr>
            <w:top w:val="none" w:sz="0" w:space="0" w:color="auto"/>
            <w:left w:val="none" w:sz="0" w:space="0" w:color="auto"/>
            <w:bottom w:val="none" w:sz="0" w:space="0" w:color="auto"/>
            <w:right w:val="none" w:sz="0" w:space="0" w:color="auto"/>
          </w:divBdr>
          <w:divsChild>
            <w:div w:id="260844411">
              <w:marLeft w:val="0"/>
              <w:marRight w:val="0"/>
              <w:marTop w:val="0"/>
              <w:marBottom w:val="0"/>
              <w:divBdr>
                <w:top w:val="none" w:sz="0" w:space="0" w:color="auto"/>
                <w:left w:val="none" w:sz="0" w:space="0" w:color="auto"/>
                <w:bottom w:val="none" w:sz="0" w:space="0" w:color="auto"/>
                <w:right w:val="none" w:sz="0" w:space="0" w:color="auto"/>
              </w:divBdr>
              <w:divsChild>
                <w:div w:id="1518420200">
                  <w:marLeft w:val="0"/>
                  <w:marRight w:val="0"/>
                  <w:marTop w:val="0"/>
                  <w:marBottom w:val="0"/>
                  <w:divBdr>
                    <w:top w:val="single" w:sz="18" w:space="0" w:color="08237A"/>
                    <w:left w:val="none" w:sz="0" w:space="0" w:color="auto"/>
                    <w:bottom w:val="none" w:sz="0" w:space="0" w:color="auto"/>
                    <w:right w:val="none" w:sz="0" w:space="0" w:color="auto"/>
                  </w:divBdr>
                  <w:divsChild>
                    <w:div w:id="414859234">
                      <w:marLeft w:val="0"/>
                      <w:marRight w:val="0"/>
                      <w:marTop w:val="0"/>
                      <w:marBottom w:val="0"/>
                      <w:divBdr>
                        <w:top w:val="single" w:sz="2" w:space="7" w:color="BBBBBB"/>
                        <w:left w:val="single" w:sz="6" w:space="0" w:color="BBBBBB"/>
                        <w:bottom w:val="single" w:sz="6" w:space="0" w:color="BBBBBB"/>
                        <w:right w:val="single" w:sz="6" w:space="0" w:color="BBBBBB"/>
                      </w:divBdr>
                      <w:divsChild>
                        <w:div w:id="1713530377">
                          <w:marLeft w:val="0"/>
                          <w:marRight w:val="0"/>
                          <w:marTop w:val="0"/>
                          <w:marBottom w:val="0"/>
                          <w:divBdr>
                            <w:top w:val="none" w:sz="0" w:space="0" w:color="auto"/>
                            <w:left w:val="none" w:sz="0" w:space="0" w:color="auto"/>
                            <w:bottom w:val="none" w:sz="0" w:space="0" w:color="auto"/>
                            <w:right w:val="none" w:sz="0" w:space="0" w:color="auto"/>
                          </w:divBdr>
                          <w:divsChild>
                            <w:div w:id="6727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197885">
      <w:bodyDiv w:val="1"/>
      <w:marLeft w:val="0"/>
      <w:marRight w:val="0"/>
      <w:marTop w:val="0"/>
      <w:marBottom w:val="0"/>
      <w:divBdr>
        <w:top w:val="none" w:sz="0" w:space="0" w:color="auto"/>
        <w:left w:val="none" w:sz="0" w:space="0" w:color="auto"/>
        <w:bottom w:val="none" w:sz="0" w:space="0" w:color="auto"/>
        <w:right w:val="none" w:sz="0" w:space="0" w:color="auto"/>
      </w:divBdr>
    </w:div>
    <w:div w:id="713312330">
      <w:bodyDiv w:val="1"/>
      <w:marLeft w:val="0"/>
      <w:marRight w:val="0"/>
      <w:marTop w:val="0"/>
      <w:marBottom w:val="0"/>
      <w:divBdr>
        <w:top w:val="none" w:sz="0" w:space="0" w:color="auto"/>
        <w:left w:val="none" w:sz="0" w:space="0" w:color="auto"/>
        <w:bottom w:val="none" w:sz="0" w:space="0" w:color="auto"/>
        <w:right w:val="none" w:sz="0" w:space="0" w:color="auto"/>
      </w:divBdr>
    </w:div>
    <w:div w:id="726798580">
      <w:bodyDiv w:val="1"/>
      <w:marLeft w:val="0"/>
      <w:marRight w:val="0"/>
      <w:marTop w:val="0"/>
      <w:marBottom w:val="0"/>
      <w:divBdr>
        <w:top w:val="none" w:sz="0" w:space="0" w:color="auto"/>
        <w:left w:val="none" w:sz="0" w:space="0" w:color="auto"/>
        <w:bottom w:val="none" w:sz="0" w:space="0" w:color="auto"/>
        <w:right w:val="none" w:sz="0" w:space="0" w:color="auto"/>
      </w:divBdr>
    </w:div>
    <w:div w:id="732505178">
      <w:bodyDiv w:val="1"/>
      <w:marLeft w:val="0"/>
      <w:marRight w:val="0"/>
      <w:marTop w:val="0"/>
      <w:marBottom w:val="0"/>
      <w:divBdr>
        <w:top w:val="none" w:sz="0" w:space="0" w:color="auto"/>
        <w:left w:val="none" w:sz="0" w:space="0" w:color="auto"/>
        <w:bottom w:val="none" w:sz="0" w:space="0" w:color="auto"/>
        <w:right w:val="none" w:sz="0" w:space="0" w:color="auto"/>
      </w:divBdr>
    </w:div>
    <w:div w:id="732970976">
      <w:bodyDiv w:val="1"/>
      <w:marLeft w:val="0"/>
      <w:marRight w:val="0"/>
      <w:marTop w:val="0"/>
      <w:marBottom w:val="0"/>
      <w:divBdr>
        <w:top w:val="none" w:sz="0" w:space="0" w:color="auto"/>
        <w:left w:val="none" w:sz="0" w:space="0" w:color="auto"/>
        <w:bottom w:val="none" w:sz="0" w:space="0" w:color="auto"/>
        <w:right w:val="none" w:sz="0" w:space="0" w:color="auto"/>
      </w:divBdr>
    </w:div>
    <w:div w:id="735317108">
      <w:bodyDiv w:val="1"/>
      <w:marLeft w:val="0"/>
      <w:marRight w:val="0"/>
      <w:marTop w:val="0"/>
      <w:marBottom w:val="0"/>
      <w:divBdr>
        <w:top w:val="none" w:sz="0" w:space="0" w:color="auto"/>
        <w:left w:val="none" w:sz="0" w:space="0" w:color="auto"/>
        <w:bottom w:val="none" w:sz="0" w:space="0" w:color="auto"/>
        <w:right w:val="none" w:sz="0" w:space="0" w:color="auto"/>
      </w:divBdr>
      <w:divsChild>
        <w:div w:id="1815103667">
          <w:marLeft w:val="0"/>
          <w:marRight w:val="0"/>
          <w:marTop w:val="0"/>
          <w:marBottom w:val="0"/>
          <w:divBdr>
            <w:top w:val="none" w:sz="0" w:space="0" w:color="auto"/>
            <w:left w:val="none" w:sz="0" w:space="0" w:color="auto"/>
            <w:bottom w:val="none" w:sz="0" w:space="0" w:color="auto"/>
            <w:right w:val="none" w:sz="0" w:space="0" w:color="auto"/>
          </w:divBdr>
          <w:divsChild>
            <w:div w:id="1829132674">
              <w:marLeft w:val="0"/>
              <w:marRight w:val="0"/>
              <w:marTop w:val="0"/>
              <w:marBottom w:val="0"/>
              <w:divBdr>
                <w:top w:val="none" w:sz="0" w:space="0" w:color="auto"/>
                <w:left w:val="none" w:sz="0" w:space="0" w:color="auto"/>
                <w:bottom w:val="none" w:sz="0" w:space="0" w:color="auto"/>
                <w:right w:val="none" w:sz="0" w:space="0" w:color="auto"/>
              </w:divBdr>
              <w:divsChild>
                <w:div w:id="1530485489">
                  <w:marLeft w:val="0"/>
                  <w:marRight w:val="0"/>
                  <w:marTop w:val="0"/>
                  <w:marBottom w:val="0"/>
                  <w:divBdr>
                    <w:top w:val="single" w:sz="18" w:space="0" w:color="08237A"/>
                    <w:left w:val="none" w:sz="0" w:space="0" w:color="auto"/>
                    <w:bottom w:val="none" w:sz="0" w:space="0" w:color="auto"/>
                    <w:right w:val="none" w:sz="0" w:space="0" w:color="auto"/>
                  </w:divBdr>
                  <w:divsChild>
                    <w:div w:id="2044555324">
                      <w:marLeft w:val="0"/>
                      <w:marRight w:val="0"/>
                      <w:marTop w:val="0"/>
                      <w:marBottom w:val="0"/>
                      <w:divBdr>
                        <w:top w:val="single" w:sz="2" w:space="7" w:color="BBBBBB"/>
                        <w:left w:val="single" w:sz="6" w:space="0" w:color="BBBBBB"/>
                        <w:bottom w:val="single" w:sz="6" w:space="0" w:color="BBBBBB"/>
                        <w:right w:val="single" w:sz="6" w:space="0" w:color="BBBBBB"/>
                      </w:divBdr>
                      <w:divsChild>
                        <w:div w:id="830565870">
                          <w:marLeft w:val="0"/>
                          <w:marRight w:val="0"/>
                          <w:marTop w:val="0"/>
                          <w:marBottom w:val="0"/>
                          <w:divBdr>
                            <w:top w:val="none" w:sz="0" w:space="0" w:color="auto"/>
                            <w:left w:val="none" w:sz="0" w:space="0" w:color="auto"/>
                            <w:bottom w:val="none" w:sz="0" w:space="0" w:color="auto"/>
                            <w:right w:val="none" w:sz="0" w:space="0" w:color="auto"/>
                          </w:divBdr>
                          <w:divsChild>
                            <w:div w:id="2480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18154">
      <w:bodyDiv w:val="1"/>
      <w:marLeft w:val="0"/>
      <w:marRight w:val="0"/>
      <w:marTop w:val="0"/>
      <w:marBottom w:val="0"/>
      <w:divBdr>
        <w:top w:val="none" w:sz="0" w:space="0" w:color="auto"/>
        <w:left w:val="none" w:sz="0" w:space="0" w:color="auto"/>
        <w:bottom w:val="none" w:sz="0" w:space="0" w:color="auto"/>
        <w:right w:val="none" w:sz="0" w:space="0" w:color="auto"/>
      </w:divBdr>
    </w:div>
    <w:div w:id="747651725">
      <w:bodyDiv w:val="1"/>
      <w:marLeft w:val="0"/>
      <w:marRight w:val="0"/>
      <w:marTop w:val="0"/>
      <w:marBottom w:val="0"/>
      <w:divBdr>
        <w:top w:val="none" w:sz="0" w:space="0" w:color="auto"/>
        <w:left w:val="none" w:sz="0" w:space="0" w:color="auto"/>
        <w:bottom w:val="none" w:sz="0" w:space="0" w:color="auto"/>
        <w:right w:val="none" w:sz="0" w:space="0" w:color="auto"/>
      </w:divBdr>
    </w:div>
    <w:div w:id="751857715">
      <w:bodyDiv w:val="1"/>
      <w:marLeft w:val="0"/>
      <w:marRight w:val="0"/>
      <w:marTop w:val="0"/>
      <w:marBottom w:val="0"/>
      <w:divBdr>
        <w:top w:val="none" w:sz="0" w:space="0" w:color="auto"/>
        <w:left w:val="none" w:sz="0" w:space="0" w:color="auto"/>
        <w:bottom w:val="none" w:sz="0" w:space="0" w:color="auto"/>
        <w:right w:val="none" w:sz="0" w:space="0" w:color="auto"/>
      </w:divBdr>
    </w:div>
    <w:div w:id="752749303">
      <w:bodyDiv w:val="1"/>
      <w:marLeft w:val="0"/>
      <w:marRight w:val="0"/>
      <w:marTop w:val="0"/>
      <w:marBottom w:val="0"/>
      <w:divBdr>
        <w:top w:val="none" w:sz="0" w:space="0" w:color="auto"/>
        <w:left w:val="none" w:sz="0" w:space="0" w:color="auto"/>
        <w:bottom w:val="none" w:sz="0" w:space="0" w:color="auto"/>
        <w:right w:val="none" w:sz="0" w:space="0" w:color="auto"/>
      </w:divBdr>
    </w:div>
    <w:div w:id="773981995">
      <w:bodyDiv w:val="1"/>
      <w:marLeft w:val="0"/>
      <w:marRight w:val="0"/>
      <w:marTop w:val="0"/>
      <w:marBottom w:val="0"/>
      <w:divBdr>
        <w:top w:val="none" w:sz="0" w:space="0" w:color="auto"/>
        <w:left w:val="none" w:sz="0" w:space="0" w:color="auto"/>
        <w:bottom w:val="none" w:sz="0" w:space="0" w:color="auto"/>
        <w:right w:val="none" w:sz="0" w:space="0" w:color="auto"/>
      </w:divBdr>
      <w:divsChild>
        <w:div w:id="288555890">
          <w:marLeft w:val="0"/>
          <w:marRight w:val="0"/>
          <w:marTop w:val="0"/>
          <w:marBottom w:val="0"/>
          <w:divBdr>
            <w:top w:val="none" w:sz="0" w:space="0" w:color="auto"/>
            <w:left w:val="none" w:sz="0" w:space="0" w:color="auto"/>
            <w:bottom w:val="none" w:sz="0" w:space="0" w:color="auto"/>
            <w:right w:val="none" w:sz="0" w:space="0" w:color="auto"/>
          </w:divBdr>
          <w:divsChild>
            <w:div w:id="1217938644">
              <w:marLeft w:val="0"/>
              <w:marRight w:val="0"/>
              <w:marTop w:val="0"/>
              <w:marBottom w:val="0"/>
              <w:divBdr>
                <w:top w:val="none" w:sz="0" w:space="0" w:color="auto"/>
                <w:left w:val="none" w:sz="0" w:space="0" w:color="auto"/>
                <w:bottom w:val="dashed" w:sz="6" w:space="8" w:color="8E8E8E"/>
                <w:right w:val="none" w:sz="0" w:space="0" w:color="auto"/>
              </w:divBdr>
            </w:div>
          </w:divsChild>
        </w:div>
      </w:divsChild>
    </w:div>
    <w:div w:id="781412508">
      <w:bodyDiv w:val="1"/>
      <w:marLeft w:val="0"/>
      <w:marRight w:val="0"/>
      <w:marTop w:val="0"/>
      <w:marBottom w:val="0"/>
      <w:divBdr>
        <w:top w:val="none" w:sz="0" w:space="0" w:color="auto"/>
        <w:left w:val="none" w:sz="0" w:space="0" w:color="auto"/>
        <w:bottom w:val="none" w:sz="0" w:space="0" w:color="auto"/>
        <w:right w:val="none" w:sz="0" w:space="0" w:color="auto"/>
      </w:divBdr>
    </w:div>
    <w:div w:id="788547471">
      <w:bodyDiv w:val="1"/>
      <w:marLeft w:val="0"/>
      <w:marRight w:val="0"/>
      <w:marTop w:val="0"/>
      <w:marBottom w:val="0"/>
      <w:divBdr>
        <w:top w:val="none" w:sz="0" w:space="0" w:color="auto"/>
        <w:left w:val="none" w:sz="0" w:space="0" w:color="auto"/>
        <w:bottom w:val="none" w:sz="0" w:space="0" w:color="auto"/>
        <w:right w:val="none" w:sz="0" w:space="0" w:color="auto"/>
      </w:divBdr>
    </w:div>
    <w:div w:id="807011001">
      <w:bodyDiv w:val="1"/>
      <w:marLeft w:val="0"/>
      <w:marRight w:val="0"/>
      <w:marTop w:val="0"/>
      <w:marBottom w:val="0"/>
      <w:divBdr>
        <w:top w:val="none" w:sz="0" w:space="0" w:color="auto"/>
        <w:left w:val="none" w:sz="0" w:space="0" w:color="auto"/>
        <w:bottom w:val="none" w:sz="0" w:space="0" w:color="auto"/>
        <w:right w:val="none" w:sz="0" w:space="0" w:color="auto"/>
      </w:divBdr>
      <w:divsChild>
        <w:div w:id="1395549576">
          <w:marLeft w:val="0"/>
          <w:marRight w:val="0"/>
          <w:marTop w:val="68"/>
          <w:marBottom w:val="68"/>
          <w:divBdr>
            <w:top w:val="none" w:sz="0" w:space="0" w:color="auto"/>
            <w:left w:val="none" w:sz="0" w:space="0" w:color="auto"/>
            <w:bottom w:val="none" w:sz="0" w:space="0" w:color="auto"/>
            <w:right w:val="none" w:sz="0" w:space="0" w:color="auto"/>
          </w:divBdr>
          <w:divsChild>
            <w:div w:id="755979492">
              <w:marLeft w:val="0"/>
              <w:marRight w:val="0"/>
              <w:marTop w:val="0"/>
              <w:marBottom w:val="0"/>
              <w:divBdr>
                <w:top w:val="single" w:sz="6" w:space="0" w:color="BEBEBE"/>
                <w:left w:val="single" w:sz="6" w:space="0" w:color="BEBEBE"/>
                <w:bottom w:val="single" w:sz="6" w:space="0" w:color="BEBEBE"/>
                <w:right w:val="single" w:sz="6" w:space="0" w:color="BEBEBE"/>
              </w:divBdr>
              <w:divsChild>
                <w:div w:id="447045036">
                  <w:marLeft w:val="0"/>
                  <w:marRight w:val="0"/>
                  <w:marTop w:val="0"/>
                  <w:marBottom w:val="0"/>
                  <w:divBdr>
                    <w:top w:val="none" w:sz="0" w:space="0" w:color="auto"/>
                    <w:left w:val="none" w:sz="0" w:space="0" w:color="auto"/>
                    <w:bottom w:val="none" w:sz="0" w:space="0" w:color="auto"/>
                    <w:right w:val="none" w:sz="0" w:space="0" w:color="auto"/>
                  </w:divBdr>
                  <w:divsChild>
                    <w:div w:id="1160803373">
                      <w:marLeft w:val="0"/>
                      <w:marRight w:val="0"/>
                      <w:marTop w:val="0"/>
                      <w:marBottom w:val="0"/>
                      <w:divBdr>
                        <w:top w:val="none" w:sz="0" w:space="0" w:color="auto"/>
                        <w:left w:val="none" w:sz="0" w:space="0" w:color="auto"/>
                        <w:bottom w:val="none" w:sz="0" w:space="0" w:color="auto"/>
                        <w:right w:val="none" w:sz="0" w:space="0" w:color="auto"/>
                      </w:divBdr>
                      <w:divsChild>
                        <w:div w:id="14093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210430">
      <w:bodyDiv w:val="1"/>
      <w:marLeft w:val="0"/>
      <w:marRight w:val="0"/>
      <w:marTop w:val="0"/>
      <w:marBottom w:val="0"/>
      <w:divBdr>
        <w:top w:val="none" w:sz="0" w:space="0" w:color="auto"/>
        <w:left w:val="none" w:sz="0" w:space="0" w:color="auto"/>
        <w:bottom w:val="none" w:sz="0" w:space="0" w:color="auto"/>
        <w:right w:val="none" w:sz="0" w:space="0" w:color="auto"/>
      </w:divBdr>
    </w:div>
    <w:div w:id="819225380">
      <w:bodyDiv w:val="1"/>
      <w:marLeft w:val="0"/>
      <w:marRight w:val="0"/>
      <w:marTop w:val="0"/>
      <w:marBottom w:val="0"/>
      <w:divBdr>
        <w:top w:val="none" w:sz="0" w:space="0" w:color="auto"/>
        <w:left w:val="none" w:sz="0" w:space="0" w:color="auto"/>
        <w:bottom w:val="none" w:sz="0" w:space="0" w:color="auto"/>
        <w:right w:val="none" w:sz="0" w:space="0" w:color="auto"/>
      </w:divBdr>
    </w:div>
    <w:div w:id="836533388">
      <w:bodyDiv w:val="1"/>
      <w:marLeft w:val="0"/>
      <w:marRight w:val="0"/>
      <w:marTop w:val="0"/>
      <w:marBottom w:val="0"/>
      <w:divBdr>
        <w:top w:val="none" w:sz="0" w:space="0" w:color="auto"/>
        <w:left w:val="none" w:sz="0" w:space="0" w:color="auto"/>
        <w:bottom w:val="none" w:sz="0" w:space="0" w:color="auto"/>
        <w:right w:val="none" w:sz="0" w:space="0" w:color="auto"/>
      </w:divBdr>
    </w:div>
    <w:div w:id="841549191">
      <w:bodyDiv w:val="1"/>
      <w:marLeft w:val="0"/>
      <w:marRight w:val="0"/>
      <w:marTop w:val="0"/>
      <w:marBottom w:val="0"/>
      <w:divBdr>
        <w:top w:val="none" w:sz="0" w:space="0" w:color="auto"/>
        <w:left w:val="none" w:sz="0" w:space="0" w:color="auto"/>
        <w:bottom w:val="none" w:sz="0" w:space="0" w:color="auto"/>
        <w:right w:val="none" w:sz="0" w:space="0" w:color="auto"/>
      </w:divBdr>
    </w:div>
    <w:div w:id="843740609">
      <w:bodyDiv w:val="1"/>
      <w:marLeft w:val="0"/>
      <w:marRight w:val="0"/>
      <w:marTop w:val="0"/>
      <w:marBottom w:val="0"/>
      <w:divBdr>
        <w:top w:val="none" w:sz="0" w:space="0" w:color="auto"/>
        <w:left w:val="none" w:sz="0" w:space="0" w:color="auto"/>
        <w:bottom w:val="none" w:sz="0" w:space="0" w:color="auto"/>
        <w:right w:val="none" w:sz="0" w:space="0" w:color="auto"/>
      </w:divBdr>
    </w:div>
    <w:div w:id="855584000">
      <w:bodyDiv w:val="1"/>
      <w:marLeft w:val="0"/>
      <w:marRight w:val="0"/>
      <w:marTop w:val="0"/>
      <w:marBottom w:val="0"/>
      <w:divBdr>
        <w:top w:val="none" w:sz="0" w:space="0" w:color="auto"/>
        <w:left w:val="none" w:sz="0" w:space="0" w:color="auto"/>
        <w:bottom w:val="none" w:sz="0" w:space="0" w:color="auto"/>
        <w:right w:val="none" w:sz="0" w:space="0" w:color="auto"/>
      </w:divBdr>
    </w:div>
    <w:div w:id="867719001">
      <w:bodyDiv w:val="1"/>
      <w:marLeft w:val="0"/>
      <w:marRight w:val="0"/>
      <w:marTop w:val="0"/>
      <w:marBottom w:val="0"/>
      <w:divBdr>
        <w:top w:val="none" w:sz="0" w:space="0" w:color="auto"/>
        <w:left w:val="none" w:sz="0" w:space="0" w:color="auto"/>
        <w:bottom w:val="none" w:sz="0" w:space="0" w:color="auto"/>
        <w:right w:val="none" w:sz="0" w:space="0" w:color="auto"/>
      </w:divBdr>
    </w:div>
    <w:div w:id="868224987">
      <w:bodyDiv w:val="1"/>
      <w:marLeft w:val="0"/>
      <w:marRight w:val="0"/>
      <w:marTop w:val="0"/>
      <w:marBottom w:val="0"/>
      <w:divBdr>
        <w:top w:val="none" w:sz="0" w:space="0" w:color="auto"/>
        <w:left w:val="none" w:sz="0" w:space="0" w:color="auto"/>
        <w:bottom w:val="none" w:sz="0" w:space="0" w:color="auto"/>
        <w:right w:val="none" w:sz="0" w:space="0" w:color="auto"/>
      </w:divBdr>
    </w:div>
    <w:div w:id="879510626">
      <w:bodyDiv w:val="1"/>
      <w:marLeft w:val="0"/>
      <w:marRight w:val="0"/>
      <w:marTop w:val="0"/>
      <w:marBottom w:val="0"/>
      <w:divBdr>
        <w:top w:val="none" w:sz="0" w:space="0" w:color="auto"/>
        <w:left w:val="none" w:sz="0" w:space="0" w:color="auto"/>
        <w:bottom w:val="none" w:sz="0" w:space="0" w:color="auto"/>
        <w:right w:val="none" w:sz="0" w:space="0" w:color="auto"/>
      </w:divBdr>
    </w:div>
    <w:div w:id="889265746">
      <w:bodyDiv w:val="1"/>
      <w:marLeft w:val="0"/>
      <w:marRight w:val="0"/>
      <w:marTop w:val="0"/>
      <w:marBottom w:val="0"/>
      <w:divBdr>
        <w:top w:val="none" w:sz="0" w:space="0" w:color="auto"/>
        <w:left w:val="none" w:sz="0" w:space="0" w:color="auto"/>
        <w:bottom w:val="none" w:sz="0" w:space="0" w:color="auto"/>
        <w:right w:val="none" w:sz="0" w:space="0" w:color="auto"/>
      </w:divBdr>
    </w:div>
    <w:div w:id="894387093">
      <w:bodyDiv w:val="1"/>
      <w:marLeft w:val="0"/>
      <w:marRight w:val="0"/>
      <w:marTop w:val="0"/>
      <w:marBottom w:val="0"/>
      <w:divBdr>
        <w:top w:val="none" w:sz="0" w:space="0" w:color="auto"/>
        <w:left w:val="none" w:sz="0" w:space="0" w:color="auto"/>
        <w:bottom w:val="none" w:sz="0" w:space="0" w:color="auto"/>
        <w:right w:val="none" w:sz="0" w:space="0" w:color="auto"/>
      </w:divBdr>
    </w:div>
    <w:div w:id="896209794">
      <w:bodyDiv w:val="1"/>
      <w:marLeft w:val="0"/>
      <w:marRight w:val="0"/>
      <w:marTop w:val="0"/>
      <w:marBottom w:val="0"/>
      <w:divBdr>
        <w:top w:val="none" w:sz="0" w:space="0" w:color="auto"/>
        <w:left w:val="none" w:sz="0" w:space="0" w:color="auto"/>
        <w:bottom w:val="none" w:sz="0" w:space="0" w:color="auto"/>
        <w:right w:val="none" w:sz="0" w:space="0" w:color="auto"/>
      </w:divBdr>
      <w:divsChild>
        <w:div w:id="71897144">
          <w:marLeft w:val="0"/>
          <w:marRight w:val="0"/>
          <w:marTop w:val="0"/>
          <w:marBottom w:val="0"/>
          <w:divBdr>
            <w:top w:val="none" w:sz="0" w:space="0" w:color="auto"/>
            <w:left w:val="none" w:sz="0" w:space="0" w:color="auto"/>
            <w:bottom w:val="none" w:sz="0" w:space="0" w:color="auto"/>
            <w:right w:val="none" w:sz="0" w:space="0" w:color="auto"/>
          </w:divBdr>
          <w:divsChild>
            <w:div w:id="1872374697">
              <w:marLeft w:val="0"/>
              <w:marRight w:val="0"/>
              <w:marTop w:val="0"/>
              <w:marBottom w:val="0"/>
              <w:divBdr>
                <w:top w:val="none" w:sz="0" w:space="0" w:color="auto"/>
                <w:left w:val="none" w:sz="0" w:space="0" w:color="auto"/>
                <w:bottom w:val="none" w:sz="0" w:space="0" w:color="auto"/>
                <w:right w:val="none" w:sz="0" w:space="0" w:color="auto"/>
              </w:divBdr>
              <w:divsChild>
                <w:div w:id="581910245">
                  <w:marLeft w:val="0"/>
                  <w:marRight w:val="0"/>
                  <w:marTop w:val="0"/>
                  <w:marBottom w:val="0"/>
                  <w:divBdr>
                    <w:top w:val="single" w:sz="18" w:space="0" w:color="08237A"/>
                    <w:left w:val="none" w:sz="0" w:space="0" w:color="auto"/>
                    <w:bottom w:val="none" w:sz="0" w:space="0" w:color="auto"/>
                    <w:right w:val="none" w:sz="0" w:space="0" w:color="auto"/>
                  </w:divBdr>
                  <w:divsChild>
                    <w:div w:id="806629877">
                      <w:marLeft w:val="0"/>
                      <w:marRight w:val="0"/>
                      <w:marTop w:val="0"/>
                      <w:marBottom w:val="0"/>
                      <w:divBdr>
                        <w:top w:val="single" w:sz="2" w:space="7" w:color="BBBBBB"/>
                        <w:left w:val="single" w:sz="6" w:space="0" w:color="BBBBBB"/>
                        <w:bottom w:val="single" w:sz="6" w:space="0" w:color="BBBBBB"/>
                        <w:right w:val="single" w:sz="6" w:space="0" w:color="BBBBBB"/>
                      </w:divBdr>
                      <w:divsChild>
                        <w:div w:id="77948282">
                          <w:marLeft w:val="0"/>
                          <w:marRight w:val="0"/>
                          <w:marTop w:val="0"/>
                          <w:marBottom w:val="0"/>
                          <w:divBdr>
                            <w:top w:val="none" w:sz="0" w:space="0" w:color="auto"/>
                            <w:left w:val="none" w:sz="0" w:space="0" w:color="auto"/>
                            <w:bottom w:val="none" w:sz="0" w:space="0" w:color="auto"/>
                            <w:right w:val="none" w:sz="0" w:space="0" w:color="auto"/>
                          </w:divBdr>
                          <w:divsChild>
                            <w:div w:id="20315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800098">
      <w:bodyDiv w:val="1"/>
      <w:marLeft w:val="0"/>
      <w:marRight w:val="0"/>
      <w:marTop w:val="0"/>
      <w:marBottom w:val="0"/>
      <w:divBdr>
        <w:top w:val="none" w:sz="0" w:space="0" w:color="auto"/>
        <w:left w:val="none" w:sz="0" w:space="0" w:color="auto"/>
        <w:bottom w:val="none" w:sz="0" w:space="0" w:color="auto"/>
        <w:right w:val="none" w:sz="0" w:space="0" w:color="auto"/>
      </w:divBdr>
    </w:div>
    <w:div w:id="921061693">
      <w:bodyDiv w:val="1"/>
      <w:marLeft w:val="0"/>
      <w:marRight w:val="0"/>
      <w:marTop w:val="0"/>
      <w:marBottom w:val="0"/>
      <w:divBdr>
        <w:top w:val="none" w:sz="0" w:space="0" w:color="auto"/>
        <w:left w:val="none" w:sz="0" w:space="0" w:color="auto"/>
        <w:bottom w:val="none" w:sz="0" w:space="0" w:color="auto"/>
        <w:right w:val="none" w:sz="0" w:space="0" w:color="auto"/>
      </w:divBdr>
    </w:div>
    <w:div w:id="922494634">
      <w:bodyDiv w:val="1"/>
      <w:marLeft w:val="0"/>
      <w:marRight w:val="0"/>
      <w:marTop w:val="0"/>
      <w:marBottom w:val="0"/>
      <w:divBdr>
        <w:top w:val="none" w:sz="0" w:space="0" w:color="auto"/>
        <w:left w:val="none" w:sz="0" w:space="0" w:color="auto"/>
        <w:bottom w:val="none" w:sz="0" w:space="0" w:color="auto"/>
        <w:right w:val="none" w:sz="0" w:space="0" w:color="auto"/>
      </w:divBdr>
    </w:div>
    <w:div w:id="924799360">
      <w:bodyDiv w:val="1"/>
      <w:marLeft w:val="0"/>
      <w:marRight w:val="0"/>
      <w:marTop w:val="0"/>
      <w:marBottom w:val="0"/>
      <w:divBdr>
        <w:top w:val="none" w:sz="0" w:space="0" w:color="auto"/>
        <w:left w:val="none" w:sz="0" w:space="0" w:color="auto"/>
        <w:bottom w:val="none" w:sz="0" w:space="0" w:color="auto"/>
        <w:right w:val="none" w:sz="0" w:space="0" w:color="auto"/>
      </w:divBdr>
    </w:div>
    <w:div w:id="927694846">
      <w:bodyDiv w:val="1"/>
      <w:marLeft w:val="0"/>
      <w:marRight w:val="0"/>
      <w:marTop w:val="0"/>
      <w:marBottom w:val="0"/>
      <w:divBdr>
        <w:top w:val="none" w:sz="0" w:space="0" w:color="auto"/>
        <w:left w:val="none" w:sz="0" w:space="0" w:color="auto"/>
        <w:bottom w:val="none" w:sz="0" w:space="0" w:color="auto"/>
        <w:right w:val="none" w:sz="0" w:space="0" w:color="auto"/>
      </w:divBdr>
    </w:div>
    <w:div w:id="941382578">
      <w:bodyDiv w:val="1"/>
      <w:marLeft w:val="0"/>
      <w:marRight w:val="0"/>
      <w:marTop w:val="0"/>
      <w:marBottom w:val="0"/>
      <w:divBdr>
        <w:top w:val="none" w:sz="0" w:space="0" w:color="auto"/>
        <w:left w:val="none" w:sz="0" w:space="0" w:color="auto"/>
        <w:bottom w:val="none" w:sz="0" w:space="0" w:color="auto"/>
        <w:right w:val="none" w:sz="0" w:space="0" w:color="auto"/>
      </w:divBdr>
      <w:divsChild>
        <w:div w:id="387076867">
          <w:marLeft w:val="0"/>
          <w:marRight w:val="0"/>
          <w:marTop w:val="0"/>
          <w:marBottom w:val="0"/>
          <w:divBdr>
            <w:top w:val="none" w:sz="0" w:space="0" w:color="auto"/>
            <w:left w:val="none" w:sz="0" w:space="0" w:color="auto"/>
            <w:bottom w:val="none" w:sz="0" w:space="0" w:color="auto"/>
            <w:right w:val="none" w:sz="0" w:space="0" w:color="auto"/>
          </w:divBdr>
          <w:divsChild>
            <w:div w:id="577516638">
              <w:marLeft w:val="0"/>
              <w:marRight w:val="0"/>
              <w:marTop w:val="0"/>
              <w:marBottom w:val="0"/>
              <w:divBdr>
                <w:top w:val="none" w:sz="0" w:space="0" w:color="auto"/>
                <w:left w:val="none" w:sz="0" w:space="0" w:color="auto"/>
                <w:bottom w:val="none" w:sz="0" w:space="0" w:color="auto"/>
                <w:right w:val="none" w:sz="0" w:space="0" w:color="auto"/>
              </w:divBdr>
              <w:divsChild>
                <w:div w:id="1107847076">
                  <w:marLeft w:val="0"/>
                  <w:marRight w:val="0"/>
                  <w:marTop w:val="0"/>
                  <w:marBottom w:val="0"/>
                  <w:divBdr>
                    <w:top w:val="single" w:sz="18" w:space="0" w:color="08237A"/>
                    <w:left w:val="none" w:sz="0" w:space="0" w:color="auto"/>
                    <w:bottom w:val="none" w:sz="0" w:space="0" w:color="auto"/>
                    <w:right w:val="none" w:sz="0" w:space="0" w:color="auto"/>
                  </w:divBdr>
                  <w:divsChild>
                    <w:div w:id="1470633604">
                      <w:marLeft w:val="0"/>
                      <w:marRight w:val="0"/>
                      <w:marTop w:val="0"/>
                      <w:marBottom w:val="0"/>
                      <w:divBdr>
                        <w:top w:val="single" w:sz="2" w:space="7" w:color="BBBBBB"/>
                        <w:left w:val="single" w:sz="6" w:space="0" w:color="BBBBBB"/>
                        <w:bottom w:val="single" w:sz="6" w:space="0" w:color="BBBBBB"/>
                        <w:right w:val="single" w:sz="6" w:space="0" w:color="BBBBBB"/>
                      </w:divBdr>
                      <w:divsChild>
                        <w:div w:id="1513883938">
                          <w:marLeft w:val="0"/>
                          <w:marRight w:val="0"/>
                          <w:marTop w:val="0"/>
                          <w:marBottom w:val="0"/>
                          <w:divBdr>
                            <w:top w:val="none" w:sz="0" w:space="0" w:color="auto"/>
                            <w:left w:val="none" w:sz="0" w:space="0" w:color="auto"/>
                            <w:bottom w:val="none" w:sz="0" w:space="0" w:color="auto"/>
                            <w:right w:val="none" w:sz="0" w:space="0" w:color="auto"/>
                          </w:divBdr>
                          <w:divsChild>
                            <w:div w:id="5697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446329">
      <w:bodyDiv w:val="1"/>
      <w:marLeft w:val="0"/>
      <w:marRight w:val="0"/>
      <w:marTop w:val="0"/>
      <w:marBottom w:val="0"/>
      <w:divBdr>
        <w:top w:val="none" w:sz="0" w:space="0" w:color="auto"/>
        <w:left w:val="none" w:sz="0" w:space="0" w:color="auto"/>
        <w:bottom w:val="none" w:sz="0" w:space="0" w:color="auto"/>
        <w:right w:val="none" w:sz="0" w:space="0" w:color="auto"/>
      </w:divBdr>
    </w:div>
    <w:div w:id="980497689">
      <w:bodyDiv w:val="1"/>
      <w:marLeft w:val="0"/>
      <w:marRight w:val="0"/>
      <w:marTop w:val="0"/>
      <w:marBottom w:val="0"/>
      <w:divBdr>
        <w:top w:val="none" w:sz="0" w:space="0" w:color="auto"/>
        <w:left w:val="none" w:sz="0" w:space="0" w:color="auto"/>
        <w:bottom w:val="none" w:sz="0" w:space="0" w:color="auto"/>
        <w:right w:val="none" w:sz="0" w:space="0" w:color="auto"/>
      </w:divBdr>
    </w:div>
    <w:div w:id="988482012">
      <w:bodyDiv w:val="1"/>
      <w:marLeft w:val="0"/>
      <w:marRight w:val="0"/>
      <w:marTop w:val="0"/>
      <w:marBottom w:val="0"/>
      <w:divBdr>
        <w:top w:val="none" w:sz="0" w:space="0" w:color="auto"/>
        <w:left w:val="none" w:sz="0" w:space="0" w:color="auto"/>
        <w:bottom w:val="none" w:sz="0" w:space="0" w:color="auto"/>
        <w:right w:val="none" w:sz="0" w:space="0" w:color="auto"/>
      </w:divBdr>
      <w:divsChild>
        <w:div w:id="2068994456">
          <w:marLeft w:val="0"/>
          <w:marRight w:val="0"/>
          <w:marTop w:val="0"/>
          <w:marBottom w:val="0"/>
          <w:divBdr>
            <w:top w:val="none" w:sz="0" w:space="0" w:color="auto"/>
            <w:left w:val="none" w:sz="0" w:space="0" w:color="auto"/>
            <w:bottom w:val="none" w:sz="0" w:space="0" w:color="auto"/>
            <w:right w:val="none" w:sz="0" w:space="0" w:color="auto"/>
          </w:divBdr>
          <w:divsChild>
            <w:div w:id="1875920120">
              <w:marLeft w:val="0"/>
              <w:marRight w:val="0"/>
              <w:marTop w:val="0"/>
              <w:marBottom w:val="0"/>
              <w:divBdr>
                <w:top w:val="none" w:sz="0" w:space="0" w:color="auto"/>
                <w:left w:val="none" w:sz="0" w:space="0" w:color="auto"/>
                <w:bottom w:val="none" w:sz="0" w:space="0" w:color="auto"/>
                <w:right w:val="none" w:sz="0" w:space="0" w:color="auto"/>
              </w:divBdr>
              <w:divsChild>
                <w:div w:id="559752201">
                  <w:marLeft w:val="0"/>
                  <w:marRight w:val="0"/>
                  <w:marTop w:val="0"/>
                  <w:marBottom w:val="0"/>
                  <w:divBdr>
                    <w:top w:val="single" w:sz="18" w:space="0" w:color="08237A"/>
                    <w:left w:val="none" w:sz="0" w:space="0" w:color="auto"/>
                    <w:bottom w:val="none" w:sz="0" w:space="0" w:color="auto"/>
                    <w:right w:val="none" w:sz="0" w:space="0" w:color="auto"/>
                  </w:divBdr>
                  <w:divsChild>
                    <w:div w:id="21053976">
                      <w:marLeft w:val="0"/>
                      <w:marRight w:val="0"/>
                      <w:marTop w:val="0"/>
                      <w:marBottom w:val="0"/>
                      <w:divBdr>
                        <w:top w:val="single" w:sz="2" w:space="7" w:color="BBBBBB"/>
                        <w:left w:val="single" w:sz="6" w:space="0" w:color="BBBBBB"/>
                        <w:bottom w:val="single" w:sz="6" w:space="0" w:color="BBBBBB"/>
                        <w:right w:val="single" w:sz="6" w:space="0" w:color="BBBBBB"/>
                      </w:divBdr>
                      <w:divsChild>
                        <w:div w:id="1164247143">
                          <w:marLeft w:val="0"/>
                          <w:marRight w:val="0"/>
                          <w:marTop w:val="0"/>
                          <w:marBottom w:val="0"/>
                          <w:divBdr>
                            <w:top w:val="none" w:sz="0" w:space="0" w:color="auto"/>
                            <w:left w:val="none" w:sz="0" w:space="0" w:color="auto"/>
                            <w:bottom w:val="none" w:sz="0" w:space="0" w:color="auto"/>
                            <w:right w:val="none" w:sz="0" w:space="0" w:color="auto"/>
                          </w:divBdr>
                          <w:divsChild>
                            <w:div w:id="1011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255111">
      <w:bodyDiv w:val="1"/>
      <w:marLeft w:val="0"/>
      <w:marRight w:val="0"/>
      <w:marTop w:val="0"/>
      <w:marBottom w:val="0"/>
      <w:divBdr>
        <w:top w:val="none" w:sz="0" w:space="0" w:color="auto"/>
        <w:left w:val="none" w:sz="0" w:space="0" w:color="auto"/>
        <w:bottom w:val="none" w:sz="0" w:space="0" w:color="auto"/>
        <w:right w:val="none" w:sz="0" w:space="0" w:color="auto"/>
      </w:divBdr>
    </w:div>
    <w:div w:id="996572547">
      <w:bodyDiv w:val="1"/>
      <w:marLeft w:val="0"/>
      <w:marRight w:val="0"/>
      <w:marTop w:val="0"/>
      <w:marBottom w:val="0"/>
      <w:divBdr>
        <w:top w:val="none" w:sz="0" w:space="0" w:color="auto"/>
        <w:left w:val="none" w:sz="0" w:space="0" w:color="auto"/>
        <w:bottom w:val="none" w:sz="0" w:space="0" w:color="auto"/>
        <w:right w:val="none" w:sz="0" w:space="0" w:color="auto"/>
      </w:divBdr>
    </w:div>
    <w:div w:id="1006205402">
      <w:bodyDiv w:val="1"/>
      <w:marLeft w:val="0"/>
      <w:marRight w:val="0"/>
      <w:marTop w:val="0"/>
      <w:marBottom w:val="0"/>
      <w:divBdr>
        <w:top w:val="none" w:sz="0" w:space="0" w:color="auto"/>
        <w:left w:val="none" w:sz="0" w:space="0" w:color="auto"/>
        <w:bottom w:val="none" w:sz="0" w:space="0" w:color="auto"/>
        <w:right w:val="none" w:sz="0" w:space="0" w:color="auto"/>
      </w:divBdr>
      <w:divsChild>
        <w:div w:id="2049716602">
          <w:marLeft w:val="0"/>
          <w:marRight w:val="0"/>
          <w:marTop w:val="68"/>
          <w:marBottom w:val="68"/>
          <w:divBdr>
            <w:top w:val="none" w:sz="0" w:space="0" w:color="auto"/>
            <w:left w:val="none" w:sz="0" w:space="0" w:color="auto"/>
            <w:bottom w:val="none" w:sz="0" w:space="0" w:color="auto"/>
            <w:right w:val="none" w:sz="0" w:space="0" w:color="auto"/>
          </w:divBdr>
          <w:divsChild>
            <w:div w:id="1050155059">
              <w:marLeft w:val="0"/>
              <w:marRight w:val="0"/>
              <w:marTop w:val="0"/>
              <w:marBottom w:val="0"/>
              <w:divBdr>
                <w:top w:val="single" w:sz="6" w:space="0" w:color="BEBEBE"/>
                <w:left w:val="single" w:sz="6" w:space="0" w:color="BEBEBE"/>
                <w:bottom w:val="single" w:sz="6" w:space="0" w:color="BEBEBE"/>
                <w:right w:val="single" w:sz="6" w:space="0" w:color="BEBEBE"/>
              </w:divBdr>
              <w:divsChild>
                <w:div w:id="1739745119">
                  <w:marLeft w:val="0"/>
                  <w:marRight w:val="0"/>
                  <w:marTop w:val="0"/>
                  <w:marBottom w:val="0"/>
                  <w:divBdr>
                    <w:top w:val="none" w:sz="0" w:space="0" w:color="auto"/>
                    <w:left w:val="none" w:sz="0" w:space="0" w:color="auto"/>
                    <w:bottom w:val="none" w:sz="0" w:space="0" w:color="auto"/>
                    <w:right w:val="none" w:sz="0" w:space="0" w:color="auto"/>
                  </w:divBdr>
                  <w:divsChild>
                    <w:div w:id="2061319078">
                      <w:marLeft w:val="0"/>
                      <w:marRight w:val="0"/>
                      <w:marTop w:val="0"/>
                      <w:marBottom w:val="0"/>
                      <w:divBdr>
                        <w:top w:val="none" w:sz="0" w:space="0" w:color="auto"/>
                        <w:left w:val="none" w:sz="0" w:space="0" w:color="auto"/>
                        <w:bottom w:val="none" w:sz="0" w:space="0" w:color="auto"/>
                        <w:right w:val="none" w:sz="0" w:space="0" w:color="auto"/>
                      </w:divBdr>
                      <w:divsChild>
                        <w:div w:id="2841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218578">
      <w:bodyDiv w:val="1"/>
      <w:marLeft w:val="0"/>
      <w:marRight w:val="0"/>
      <w:marTop w:val="0"/>
      <w:marBottom w:val="0"/>
      <w:divBdr>
        <w:top w:val="none" w:sz="0" w:space="0" w:color="auto"/>
        <w:left w:val="none" w:sz="0" w:space="0" w:color="auto"/>
        <w:bottom w:val="none" w:sz="0" w:space="0" w:color="auto"/>
        <w:right w:val="none" w:sz="0" w:space="0" w:color="auto"/>
      </w:divBdr>
    </w:div>
    <w:div w:id="1016495893">
      <w:bodyDiv w:val="1"/>
      <w:marLeft w:val="0"/>
      <w:marRight w:val="0"/>
      <w:marTop w:val="0"/>
      <w:marBottom w:val="0"/>
      <w:divBdr>
        <w:top w:val="none" w:sz="0" w:space="0" w:color="auto"/>
        <w:left w:val="none" w:sz="0" w:space="0" w:color="auto"/>
        <w:bottom w:val="none" w:sz="0" w:space="0" w:color="auto"/>
        <w:right w:val="none" w:sz="0" w:space="0" w:color="auto"/>
      </w:divBdr>
    </w:div>
    <w:div w:id="1029532204">
      <w:bodyDiv w:val="1"/>
      <w:marLeft w:val="0"/>
      <w:marRight w:val="0"/>
      <w:marTop w:val="0"/>
      <w:marBottom w:val="0"/>
      <w:divBdr>
        <w:top w:val="none" w:sz="0" w:space="0" w:color="auto"/>
        <w:left w:val="none" w:sz="0" w:space="0" w:color="auto"/>
        <w:bottom w:val="none" w:sz="0" w:space="0" w:color="auto"/>
        <w:right w:val="none" w:sz="0" w:space="0" w:color="auto"/>
      </w:divBdr>
    </w:div>
    <w:div w:id="1035272417">
      <w:bodyDiv w:val="1"/>
      <w:marLeft w:val="0"/>
      <w:marRight w:val="0"/>
      <w:marTop w:val="0"/>
      <w:marBottom w:val="0"/>
      <w:divBdr>
        <w:top w:val="none" w:sz="0" w:space="0" w:color="auto"/>
        <w:left w:val="none" w:sz="0" w:space="0" w:color="auto"/>
        <w:bottom w:val="none" w:sz="0" w:space="0" w:color="auto"/>
        <w:right w:val="none" w:sz="0" w:space="0" w:color="auto"/>
      </w:divBdr>
    </w:div>
    <w:div w:id="1037312783">
      <w:bodyDiv w:val="1"/>
      <w:marLeft w:val="0"/>
      <w:marRight w:val="0"/>
      <w:marTop w:val="0"/>
      <w:marBottom w:val="0"/>
      <w:divBdr>
        <w:top w:val="none" w:sz="0" w:space="0" w:color="auto"/>
        <w:left w:val="none" w:sz="0" w:space="0" w:color="auto"/>
        <w:bottom w:val="none" w:sz="0" w:space="0" w:color="auto"/>
        <w:right w:val="none" w:sz="0" w:space="0" w:color="auto"/>
      </w:divBdr>
    </w:div>
    <w:div w:id="1042285618">
      <w:bodyDiv w:val="1"/>
      <w:marLeft w:val="0"/>
      <w:marRight w:val="0"/>
      <w:marTop w:val="0"/>
      <w:marBottom w:val="0"/>
      <w:divBdr>
        <w:top w:val="none" w:sz="0" w:space="0" w:color="auto"/>
        <w:left w:val="none" w:sz="0" w:space="0" w:color="auto"/>
        <w:bottom w:val="none" w:sz="0" w:space="0" w:color="auto"/>
        <w:right w:val="none" w:sz="0" w:space="0" w:color="auto"/>
      </w:divBdr>
    </w:div>
    <w:div w:id="1051657288">
      <w:bodyDiv w:val="1"/>
      <w:marLeft w:val="0"/>
      <w:marRight w:val="0"/>
      <w:marTop w:val="0"/>
      <w:marBottom w:val="0"/>
      <w:divBdr>
        <w:top w:val="none" w:sz="0" w:space="0" w:color="auto"/>
        <w:left w:val="none" w:sz="0" w:space="0" w:color="auto"/>
        <w:bottom w:val="none" w:sz="0" w:space="0" w:color="auto"/>
        <w:right w:val="none" w:sz="0" w:space="0" w:color="auto"/>
      </w:divBdr>
    </w:div>
    <w:div w:id="1057316756">
      <w:bodyDiv w:val="1"/>
      <w:marLeft w:val="0"/>
      <w:marRight w:val="0"/>
      <w:marTop w:val="0"/>
      <w:marBottom w:val="0"/>
      <w:divBdr>
        <w:top w:val="none" w:sz="0" w:space="0" w:color="auto"/>
        <w:left w:val="none" w:sz="0" w:space="0" w:color="auto"/>
        <w:bottom w:val="none" w:sz="0" w:space="0" w:color="auto"/>
        <w:right w:val="none" w:sz="0" w:space="0" w:color="auto"/>
      </w:divBdr>
    </w:div>
    <w:div w:id="1057700867">
      <w:bodyDiv w:val="1"/>
      <w:marLeft w:val="0"/>
      <w:marRight w:val="0"/>
      <w:marTop w:val="0"/>
      <w:marBottom w:val="0"/>
      <w:divBdr>
        <w:top w:val="none" w:sz="0" w:space="0" w:color="auto"/>
        <w:left w:val="none" w:sz="0" w:space="0" w:color="auto"/>
        <w:bottom w:val="none" w:sz="0" w:space="0" w:color="auto"/>
        <w:right w:val="none" w:sz="0" w:space="0" w:color="auto"/>
      </w:divBdr>
      <w:divsChild>
        <w:div w:id="660936060">
          <w:marLeft w:val="0"/>
          <w:marRight w:val="0"/>
          <w:marTop w:val="0"/>
          <w:marBottom w:val="0"/>
          <w:divBdr>
            <w:top w:val="none" w:sz="0" w:space="0" w:color="auto"/>
            <w:left w:val="none" w:sz="0" w:space="0" w:color="auto"/>
            <w:bottom w:val="none" w:sz="0" w:space="0" w:color="auto"/>
            <w:right w:val="none" w:sz="0" w:space="0" w:color="auto"/>
          </w:divBdr>
          <w:divsChild>
            <w:div w:id="1083334610">
              <w:marLeft w:val="0"/>
              <w:marRight w:val="0"/>
              <w:marTop w:val="0"/>
              <w:marBottom w:val="0"/>
              <w:divBdr>
                <w:top w:val="single" w:sz="6" w:space="0" w:color="C8D8F2"/>
                <w:left w:val="none" w:sz="0" w:space="0" w:color="auto"/>
                <w:bottom w:val="none" w:sz="0" w:space="0" w:color="auto"/>
                <w:right w:val="none" w:sz="0" w:space="0" w:color="auto"/>
              </w:divBdr>
              <w:divsChild>
                <w:div w:id="167407502">
                  <w:marLeft w:val="0"/>
                  <w:marRight w:val="0"/>
                  <w:marTop w:val="0"/>
                  <w:marBottom w:val="0"/>
                  <w:divBdr>
                    <w:top w:val="none" w:sz="0" w:space="0" w:color="auto"/>
                    <w:left w:val="none" w:sz="0" w:space="0" w:color="auto"/>
                    <w:bottom w:val="none" w:sz="0" w:space="0" w:color="auto"/>
                    <w:right w:val="none" w:sz="0" w:space="0" w:color="auto"/>
                  </w:divBdr>
                  <w:divsChild>
                    <w:div w:id="1266039405">
                      <w:marLeft w:val="0"/>
                      <w:marRight w:val="0"/>
                      <w:marTop w:val="0"/>
                      <w:marBottom w:val="0"/>
                      <w:divBdr>
                        <w:top w:val="none" w:sz="0" w:space="0" w:color="auto"/>
                        <w:left w:val="none" w:sz="0" w:space="0" w:color="auto"/>
                        <w:bottom w:val="none" w:sz="0" w:space="0" w:color="auto"/>
                        <w:right w:val="none" w:sz="0" w:space="0" w:color="auto"/>
                      </w:divBdr>
                      <w:divsChild>
                        <w:div w:id="1247962648">
                          <w:marLeft w:val="0"/>
                          <w:marRight w:val="0"/>
                          <w:marTop w:val="0"/>
                          <w:marBottom w:val="0"/>
                          <w:divBdr>
                            <w:top w:val="none" w:sz="0" w:space="0" w:color="auto"/>
                            <w:left w:val="none" w:sz="0" w:space="0" w:color="auto"/>
                            <w:bottom w:val="none" w:sz="0" w:space="0" w:color="auto"/>
                            <w:right w:val="none" w:sz="0" w:space="0" w:color="auto"/>
                          </w:divBdr>
                          <w:divsChild>
                            <w:div w:id="15132292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87912">
      <w:bodyDiv w:val="1"/>
      <w:marLeft w:val="0"/>
      <w:marRight w:val="0"/>
      <w:marTop w:val="0"/>
      <w:marBottom w:val="0"/>
      <w:divBdr>
        <w:top w:val="none" w:sz="0" w:space="0" w:color="auto"/>
        <w:left w:val="none" w:sz="0" w:space="0" w:color="auto"/>
        <w:bottom w:val="none" w:sz="0" w:space="0" w:color="auto"/>
        <w:right w:val="none" w:sz="0" w:space="0" w:color="auto"/>
      </w:divBdr>
      <w:divsChild>
        <w:div w:id="1522544561">
          <w:marLeft w:val="0"/>
          <w:marRight w:val="0"/>
          <w:marTop w:val="0"/>
          <w:marBottom w:val="0"/>
          <w:divBdr>
            <w:top w:val="none" w:sz="0" w:space="0" w:color="auto"/>
            <w:left w:val="none" w:sz="0" w:space="0" w:color="auto"/>
            <w:bottom w:val="none" w:sz="0" w:space="0" w:color="auto"/>
            <w:right w:val="none" w:sz="0" w:space="0" w:color="auto"/>
          </w:divBdr>
          <w:divsChild>
            <w:div w:id="551237385">
              <w:marLeft w:val="0"/>
              <w:marRight w:val="0"/>
              <w:marTop w:val="0"/>
              <w:marBottom w:val="0"/>
              <w:divBdr>
                <w:top w:val="single" w:sz="6" w:space="0" w:color="C8D8F2"/>
                <w:left w:val="none" w:sz="0" w:space="0" w:color="auto"/>
                <w:bottom w:val="none" w:sz="0" w:space="0" w:color="auto"/>
                <w:right w:val="none" w:sz="0" w:space="0" w:color="auto"/>
              </w:divBdr>
              <w:divsChild>
                <w:div w:id="1337878269">
                  <w:marLeft w:val="0"/>
                  <w:marRight w:val="0"/>
                  <w:marTop w:val="0"/>
                  <w:marBottom w:val="0"/>
                  <w:divBdr>
                    <w:top w:val="none" w:sz="0" w:space="0" w:color="auto"/>
                    <w:left w:val="none" w:sz="0" w:space="0" w:color="auto"/>
                    <w:bottom w:val="none" w:sz="0" w:space="0" w:color="auto"/>
                    <w:right w:val="none" w:sz="0" w:space="0" w:color="auto"/>
                  </w:divBdr>
                  <w:divsChild>
                    <w:div w:id="824014194">
                      <w:marLeft w:val="0"/>
                      <w:marRight w:val="0"/>
                      <w:marTop w:val="0"/>
                      <w:marBottom w:val="0"/>
                      <w:divBdr>
                        <w:top w:val="none" w:sz="0" w:space="0" w:color="auto"/>
                        <w:left w:val="none" w:sz="0" w:space="0" w:color="auto"/>
                        <w:bottom w:val="none" w:sz="0" w:space="0" w:color="auto"/>
                        <w:right w:val="none" w:sz="0" w:space="0" w:color="auto"/>
                      </w:divBdr>
                      <w:divsChild>
                        <w:div w:id="1355308987">
                          <w:marLeft w:val="0"/>
                          <w:marRight w:val="0"/>
                          <w:marTop w:val="0"/>
                          <w:marBottom w:val="0"/>
                          <w:divBdr>
                            <w:top w:val="none" w:sz="0" w:space="0" w:color="auto"/>
                            <w:left w:val="none" w:sz="0" w:space="0" w:color="auto"/>
                            <w:bottom w:val="none" w:sz="0" w:space="0" w:color="auto"/>
                            <w:right w:val="none" w:sz="0" w:space="0" w:color="auto"/>
                          </w:divBdr>
                          <w:divsChild>
                            <w:div w:id="49279684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50777">
      <w:bodyDiv w:val="1"/>
      <w:marLeft w:val="0"/>
      <w:marRight w:val="0"/>
      <w:marTop w:val="0"/>
      <w:marBottom w:val="0"/>
      <w:divBdr>
        <w:top w:val="none" w:sz="0" w:space="0" w:color="auto"/>
        <w:left w:val="none" w:sz="0" w:space="0" w:color="auto"/>
        <w:bottom w:val="none" w:sz="0" w:space="0" w:color="auto"/>
        <w:right w:val="none" w:sz="0" w:space="0" w:color="auto"/>
      </w:divBdr>
    </w:div>
    <w:div w:id="1073697406">
      <w:bodyDiv w:val="1"/>
      <w:marLeft w:val="0"/>
      <w:marRight w:val="0"/>
      <w:marTop w:val="0"/>
      <w:marBottom w:val="0"/>
      <w:divBdr>
        <w:top w:val="none" w:sz="0" w:space="0" w:color="auto"/>
        <w:left w:val="none" w:sz="0" w:space="0" w:color="auto"/>
        <w:bottom w:val="none" w:sz="0" w:space="0" w:color="auto"/>
        <w:right w:val="none" w:sz="0" w:space="0" w:color="auto"/>
      </w:divBdr>
    </w:div>
    <w:div w:id="1098256268">
      <w:bodyDiv w:val="1"/>
      <w:marLeft w:val="0"/>
      <w:marRight w:val="0"/>
      <w:marTop w:val="0"/>
      <w:marBottom w:val="0"/>
      <w:divBdr>
        <w:top w:val="none" w:sz="0" w:space="0" w:color="auto"/>
        <w:left w:val="none" w:sz="0" w:space="0" w:color="auto"/>
        <w:bottom w:val="none" w:sz="0" w:space="0" w:color="auto"/>
        <w:right w:val="none" w:sz="0" w:space="0" w:color="auto"/>
      </w:divBdr>
      <w:divsChild>
        <w:div w:id="1864323633">
          <w:marLeft w:val="0"/>
          <w:marRight w:val="0"/>
          <w:marTop w:val="100"/>
          <w:marBottom w:val="100"/>
          <w:divBdr>
            <w:top w:val="none" w:sz="0" w:space="0" w:color="auto"/>
            <w:left w:val="none" w:sz="0" w:space="0" w:color="auto"/>
            <w:bottom w:val="none" w:sz="0" w:space="0" w:color="auto"/>
            <w:right w:val="none" w:sz="0" w:space="0" w:color="auto"/>
          </w:divBdr>
          <w:divsChild>
            <w:div w:id="194343446">
              <w:marLeft w:val="225"/>
              <w:marRight w:val="225"/>
              <w:marTop w:val="0"/>
              <w:marBottom w:val="225"/>
              <w:divBdr>
                <w:top w:val="none" w:sz="0" w:space="0" w:color="auto"/>
                <w:left w:val="none" w:sz="0" w:space="0" w:color="auto"/>
                <w:bottom w:val="none" w:sz="0" w:space="0" w:color="auto"/>
                <w:right w:val="none" w:sz="0" w:space="0" w:color="auto"/>
              </w:divBdr>
              <w:divsChild>
                <w:div w:id="904028434">
                  <w:marLeft w:val="0"/>
                  <w:marRight w:val="0"/>
                  <w:marTop w:val="75"/>
                  <w:marBottom w:val="100"/>
                  <w:divBdr>
                    <w:top w:val="none" w:sz="0" w:space="0" w:color="auto"/>
                    <w:left w:val="none" w:sz="0" w:space="0" w:color="auto"/>
                    <w:bottom w:val="none" w:sz="0" w:space="0" w:color="auto"/>
                    <w:right w:val="none" w:sz="0" w:space="0" w:color="auto"/>
                  </w:divBdr>
                </w:div>
              </w:divsChild>
            </w:div>
          </w:divsChild>
        </w:div>
      </w:divsChild>
    </w:div>
    <w:div w:id="1099326949">
      <w:bodyDiv w:val="1"/>
      <w:marLeft w:val="0"/>
      <w:marRight w:val="0"/>
      <w:marTop w:val="0"/>
      <w:marBottom w:val="0"/>
      <w:divBdr>
        <w:top w:val="none" w:sz="0" w:space="0" w:color="auto"/>
        <w:left w:val="none" w:sz="0" w:space="0" w:color="auto"/>
        <w:bottom w:val="none" w:sz="0" w:space="0" w:color="auto"/>
        <w:right w:val="none" w:sz="0" w:space="0" w:color="auto"/>
      </w:divBdr>
    </w:div>
    <w:div w:id="1116603930">
      <w:bodyDiv w:val="1"/>
      <w:marLeft w:val="0"/>
      <w:marRight w:val="0"/>
      <w:marTop w:val="0"/>
      <w:marBottom w:val="0"/>
      <w:divBdr>
        <w:top w:val="none" w:sz="0" w:space="0" w:color="auto"/>
        <w:left w:val="none" w:sz="0" w:space="0" w:color="auto"/>
        <w:bottom w:val="none" w:sz="0" w:space="0" w:color="auto"/>
        <w:right w:val="none" w:sz="0" w:space="0" w:color="auto"/>
      </w:divBdr>
      <w:divsChild>
        <w:div w:id="1895922945">
          <w:marLeft w:val="0"/>
          <w:marRight w:val="0"/>
          <w:marTop w:val="0"/>
          <w:marBottom w:val="0"/>
          <w:divBdr>
            <w:top w:val="none" w:sz="0" w:space="0" w:color="auto"/>
            <w:left w:val="none" w:sz="0" w:space="0" w:color="auto"/>
            <w:bottom w:val="none" w:sz="0" w:space="0" w:color="auto"/>
            <w:right w:val="none" w:sz="0" w:space="0" w:color="auto"/>
          </w:divBdr>
          <w:divsChild>
            <w:div w:id="513803727">
              <w:marLeft w:val="0"/>
              <w:marRight w:val="0"/>
              <w:marTop w:val="0"/>
              <w:marBottom w:val="0"/>
              <w:divBdr>
                <w:top w:val="none" w:sz="0" w:space="0" w:color="auto"/>
                <w:left w:val="none" w:sz="0" w:space="0" w:color="auto"/>
                <w:bottom w:val="none" w:sz="0" w:space="0" w:color="auto"/>
                <w:right w:val="none" w:sz="0" w:space="0" w:color="auto"/>
              </w:divBdr>
              <w:divsChild>
                <w:div w:id="585726088">
                  <w:marLeft w:val="0"/>
                  <w:marRight w:val="0"/>
                  <w:marTop w:val="0"/>
                  <w:marBottom w:val="0"/>
                  <w:divBdr>
                    <w:top w:val="none" w:sz="0" w:space="0" w:color="auto"/>
                    <w:left w:val="none" w:sz="0" w:space="0" w:color="auto"/>
                    <w:bottom w:val="none" w:sz="0" w:space="0" w:color="auto"/>
                    <w:right w:val="none" w:sz="0" w:space="0" w:color="auto"/>
                  </w:divBdr>
                  <w:divsChild>
                    <w:div w:id="1052194360">
                      <w:marLeft w:val="0"/>
                      <w:marRight w:val="0"/>
                      <w:marTop w:val="0"/>
                      <w:marBottom w:val="0"/>
                      <w:divBdr>
                        <w:top w:val="none" w:sz="0" w:space="0" w:color="auto"/>
                        <w:left w:val="none" w:sz="0" w:space="0" w:color="auto"/>
                        <w:bottom w:val="none" w:sz="0" w:space="0" w:color="auto"/>
                        <w:right w:val="none" w:sz="0" w:space="0" w:color="auto"/>
                      </w:divBdr>
                      <w:divsChild>
                        <w:div w:id="20898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611957">
      <w:bodyDiv w:val="1"/>
      <w:marLeft w:val="0"/>
      <w:marRight w:val="0"/>
      <w:marTop w:val="0"/>
      <w:marBottom w:val="0"/>
      <w:divBdr>
        <w:top w:val="none" w:sz="0" w:space="0" w:color="auto"/>
        <w:left w:val="none" w:sz="0" w:space="0" w:color="auto"/>
        <w:bottom w:val="none" w:sz="0" w:space="0" w:color="auto"/>
        <w:right w:val="none" w:sz="0" w:space="0" w:color="auto"/>
      </w:divBdr>
    </w:div>
    <w:div w:id="1129278892">
      <w:bodyDiv w:val="1"/>
      <w:marLeft w:val="0"/>
      <w:marRight w:val="0"/>
      <w:marTop w:val="0"/>
      <w:marBottom w:val="0"/>
      <w:divBdr>
        <w:top w:val="none" w:sz="0" w:space="0" w:color="auto"/>
        <w:left w:val="none" w:sz="0" w:space="0" w:color="auto"/>
        <w:bottom w:val="none" w:sz="0" w:space="0" w:color="auto"/>
        <w:right w:val="none" w:sz="0" w:space="0" w:color="auto"/>
      </w:divBdr>
    </w:div>
    <w:div w:id="1129321629">
      <w:bodyDiv w:val="1"/>
      <w:marLeft w:val="0"/>
      <w:marRight w:val="0"/>
      <w:marTop w:val="0"/>
      <w:marBottom w:val="0"/>
      <w:divBdr>
        <w:top w:val="none" w:sz="0" w:space="0" w:color="auto"/>
        <w:left w:val="none" w:sz="0" w:space="0" w:color="auto"/>
        <w:bottom w:val="none" w:sz="0" w:space="0" w:color="auto"/>
        <w:right w:val="none" w:sz="0" w:space="0" w:color="auto"/>
      </w:divBdr>
    </w:div>
    <w:div w:id="1150631811">
      <w:bodyDiv w:val="1"/>
      <w:marLeft w:val="0"/>
      <w:marRight w:val="0"/>
      <w:marTop w:val="0"/>
      <w:marBottom w:val="0"/>
      <w:divBdr>
        <w:top w:val="none" w:sz="0" w:space="0" w:color="auto"/>
        <w:left w:val="none" w:sz="0" w:space="0" w:color="auto"/>
        <w:bottom w:val="none" w:sz="0" w:space="0" w:color="auto"/>
        <w:right w:val="none" w:sz="0" w:space="0" w:color="auto"/>
      </w:divBdr>
    </w:div>
    <w:div w:id="1150948548">
      <w:bodyDiv w:val="1"/>
      <w:marLeft w:val="0"/>
      <w:marRight w:val="0"/>
      <w:marTop w:val="0"/>
      <w:marBottom w:val="0"/>
      <w:divBdr>
        <w:top w:val="none" w:sz="0" w:space="0" w:color="auto"/>
        <w:left w:val="none" w:sz="0" w:space="0" w:color="auto"/>
        <w:bottom w:val="none" w:sz="0" w:space="0" w:color="auto"/>
        <w:right w:val="none" w:sz="0" w:space="0" w:color="auto"/>
      </w:divBdr>
    </w:div>
    <w:div w:id="1169829980">
      <w:bodyDiv w:val="1"/>
      <w:marLeft w:val="0"/>
      <w:marRight w:val="0"/>
      <w:marTop w:val="0"/>
      <w:marBottom w:val="0"/>
      <w:divBdr>
        <w:top w:val="none" w:sz="0" w:space="0" w:color="auto"/>
        <w:left w:val="none" w:sz="0" w:space="0" w:color="auto"/>
        <w:bottom w:val="none" w:sz="0" w:space="0" w:color="auto"/>
        <w:right w:val="none" w:sz="0" w:space="0" w:color="auto"/>
      </w:divBdr>
      <w:divsChild>
        <w:div w:id="836455711">
          <w:marLeft w:val="0"/>
          <w:marRight w:val="0"/>
          <w:marTop w:val="0"/>
          <w:marBottom w:val="0"/>
          <w:divBdr>
            <w:top w:val="none" w:sz="0" w:space="0" w:color="auto"/>
            <w:left w:val="none" w:sz="0" w:space="0" w:color="auto"/>
            <w:bottom w:val="none" w:sz="0" w:space="0" w:color="auto"/>
            <w:right w:val="none" w:sz="0" w:space="0" w:color="auto"/>
          </w:divBdr>
          <w:divsChild>
            <w:div w:id="251935913">
              <w:marLeft w:val="0"/>
              <w:marRight w:val="0"/>
              <w:marTop w:val="0"/>
              <w:marBottom w:val="0"/>
              <w:divBdr>
                <w:top w:val="none" w:sz="0" w:space="0" w:color="auto"/>
                <w:left w:val="none" w:sz="0" w:space="0" w:color="auto"/>
                <w:bottom w:val="none" w:sz="0" w:space="0" w:color="auto"/>
                <w:right w:val="none" w:sz="0" w:space="0" w:color="auto"/>
              </w:divBdr>
              <w:divsChild>
                <w:div w:id="413012066">
                  <w:marLeft w:val="0"/>
                  <w:marRight w:val="0"/>
                  <w:marTop w:val="0"/>
                  <w:marBottom w:val="0"/>
                  <w:divBdr>
                    <w:top w:val="single" w:sz="18" w:space="0" w:color="08237A"/>
                    <w:left w:val="none" w:sz="0" w:space="0" w:color="auto"/>
                    <w:bottom w:val="none" w:sz="0" w:space="0" w:color="auto"/>
                    <w:right w:val="none" w:sz="0" w:space="0" w:color="auto"/>
                  </w:divBdr>
                  <w:divsChild>
                    <w:div w:id="998507994">
                      <w:marLeft w:val="0"/>
                      <w:marRight w:val="0"/>
                      <w:marTop w:val="0"/>
                      <w:marBottom w:val="0"/>
                      <w:divBdr>
                        <w:top w:val="single" w:sz="2" w:space="7" w:color="BBBBBB"/>
                        <w:left w:val="single" w:sz="6" w:space="0" w:color="BBBBBB"/>
                        <w:bottom w:val="single" w:sz="6" w:space="0" w:color="BBBBBB"/>
                        <w:right w:val="single" w:sz="6" w:space="0" w:color="BBBBBB"/>
                      </w:divBdr>
                      <w:divsChild>
                        <w:div w:id="1627157537">
                          <w:marLeft w:val="0"/>
                          <w:marRight w:val="0"/>
                          <w:marTop w:val="0"/>
                          <w:marBottom w:val="0"/>
                          <w:divBdr>
                            <w:top w:val="none" w:sz="0" w:space="0" w:color="auto"/>
                            <w:left w:val="none" w:sz="0" w:space="0" w:color="auto"/>
                            <w:bottom w:val="none" w:sz="0" w:space="0" w:color="auto"/>
                            <w:right w:val="none" w:sz="0" w:space="0" w:color="auto"/>
                          </w:divBdr>
                          <w:divsChild>
                            <w:div w:id="14041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261234">
      <w:bodyDiv w:val="1"/>
      <w:marLeft w:val="0"/>
      <w:marRight w:val="0"/>
      <w:marTop w:val="0"/>
      <w:marBottom w:val="0"/>
      <w:divBdr>
        <w:top w:val="none" w:sz="0" w:space="0" w:color="auto"/>
        <w:left w:val="none" w:sz="0" w:space="0" w:color="auto"/>
        <w:bottom w:val="none" w:sz="0" w:space="0" w:color="auto"/>
        <w:right w:val="none" w:sz="0" w:space="0" w:color="auto"/>
      </w:divBdr>
    </w:div>
    <w:div w:id="1173959059">
      <w:bodyDiv w:val="1"/>
      <w:marLeft w:val="0"/>
      <w:marRight w:val="0"/>
      <w:marTop w:val="0"/>
      <w:marBottom w:val="0"/>
      <w:divBdr>
        <w:top w:val="none" w:sz="0" w:space="0" w:color="auto"/>
        <w:left w:val="none" w:sz="0" w:space="0" w:color="auto"/>
        <w:bottom w:val="none" w:sz="0" w:space="0" w:color="auto"/>
        <w:right w:val="none" w:sz="0" w:space="0" w:color="auto"/>
      </w:divBdr>
    </w:div>
    <w:div w:id="1178546612">
      <w:bodyDiv w:val="1"/>
      <w:marLeft w:val="0"/>
      <w:marRight w:val="0"/>
      <w:marTop w:val="0"/>
      <w:marBottom w:val="0"/>
      <w:divBdr>
        <w:top w:val="none" w:sz="0" w:space="0" w:color="auto"/>
        <w:left w:val="none" w:sz="0" w:space="0" w:color="auto"/>
        <w:bottom w:val="none" w:sz="0" w:space="0" w:color="auto"/>
        <w:right w:val="none" w:sz="0" w:space="0" w:color="auto"/>
      </w:divBdr>
    </w:div>
    <w:div w:id="1183935394">
      <w:bodyDiv w:val="1"/>
      <w:marLeft w:val="0"/>
      <w:marRight w:val="0"/>
      <w:marTop w:val="0"/>
      <w:marBottom w:val="0"/>
      <w:divBdr>
        <w:top w:val="none" w:sz="0" w:space="0" w:color="auto"/>
        <w:left w:val="none" w:sz="0" w:space="0" w:color="auto"/>
        <w:bottom w:val="none" w:sz="0" w:space="0" w:color="auto"/>
        <w:right w:val="none" w:sz="0" w:space="0" w:color="auto"/>
      </w:divBdr>
    </w:div>
    <w:div w:id="1184368473">
      <w:bodyDiv w:val="1"/>
      <w:marLeft w:val="0"/>
      <w:marRight w:val="0"/>
      <w:marTop w:val="0"/>
      <w:marBottom w:val="0"/>
      <w:divBdr>
        <w:top w:val="none" w:sz="0" w:space="0" w:color="auto"/>
        <w:left w:val="none" w:sz="0" w:space="0" w:color="auto"/>
        <w:bottom w:val="none" w:sz="0" w:space="0" w:color="auto"/>
        <w:right w:val="none" w:sz="0" w:space="0" w:color="auto"/>
      </w:divBdr>
    </w:div>
    <w:div w:id="1194154441">
      <w:bodyDiv w:val="1"/>
      <w:marLeft w:val="0"/>
      <w:marRight w:val="0"/>
      <w:marTop w:val="0"/>
      <w:marBottom w:val="0"/>
      <w:divBdr>
        <w:top w:val="none" w:sz="0" w:space="0" w:color="auto"/>
        <w:left w:val="none" w:sz="0" w:space="0" w:color="auto"/>
        <w:bottom w:val="none" w:sz="0" w:space="0" w:color="auto"/>
        <w:right w:val="none" w:sz="0" w:space="0" w:color="auto"/>
      </w:divBdr>
    </w:div>
    <w:div w:id="1208492611">
      <w:bodyDiv w:val="1"/>
      <w:marLeft w:val="0"/>
      <w:marRight w:val="0"/>
      <w:marTop w:val="0"/>
      <w:marBottom w:val="0"/>
      <w:divBdr>
        <w:top w:val="none" w:sz="0" w:space="0" w:color="auto"/>
        <w:left w:val="none" w:sz="0" w:space="0" w:color="auto"/>
        <w:bottom w:val="none" w:sz="0" w:space="0" w:color="auto"/>
        <w:right w:val="none" w:sz="0" w:space="0" w:color="auto"/>
      </w:divBdr>
    </w:div>
    <w:div w:id="1223179802">
      <w:bodyDiv w:val="1"/>
      <w:marLeft w:val="0"/>
      <w:marRight w:val="0"/>
      <w:marTop w:val="0"/>
      <w:marBottom w:val="0"/>
      <w:divBdr>
        <w:top w:val="none" w:sz="0" w:space="0" w:color="auto"/>
        <w:left w:val="none" w:sz="0" w:space="0" w:color="auto"/>
        <w:bottom w:val="none" w:sz="0" w:space="0" w:color="auto"/>
        <w:right w:val="none" w:sz="0" w:space="0" w:color="auto"/>
      </w:divBdr>
    </w:div>
    <w:div w:id="1223250520">
      <w:bodyDiv w:val="1"/>
      <w:marLeft w:val="0"/>
      <w:marRight w:val="0"/>
      <w:marTop w:val="0"/>
      <w:marBottom w:val="0"/>
      <w:divBdr>
        <w:top w:val="none" w:sz="0" w:space="0" w:color="auto"/>
        <w:left w:val="none" w:sz="0" w:space="0" w:color="auto"/>
        <w:bottom w:val="none" w:sz="0" w:space="0" w:color="auto"/>
        <w:right w:val="none" w:sz="0" w:space="0" w:color="auto"/>
      </w:divBdr>
    </w:div>
    <w:div w:id="1231774419">
      <w:bodyDiv w:val="1"/>
      <w:marLeft w:val="0"/>
      <w:marRight w:val="0"/>
      <w:marTop w:val="0"/>
      <w:marBottom w:val="0"/>
      <w:divBdr>
        <w:top w:val="none" w:sz="0" w:space="0" w:color="auto"/>
        <w:left w:val="none" w:sz="0" w:space="0" w:color="auto"/>
        <w:bottom w:val="none" w:sz="0" w:space="0" w:color="auto"/>
        <w:right w:val="none" w:sz="0" w:space="0" w:color="auto"/>
      </w:divBdr>
    </w:div>
    <w:div w:id="1233392286">
      <w:bodyDiv w:val="1"/>
      <w:marLeft w:val="0"/>
      <w:marRight w:val="0"/>
      <w:marTop w:val="0"/>
      <w:marBottom w:val="0"/>
      <w:divBdr>
        <w:top w:val="none" w:sz="0" w:space="0" w:color="auto"/>
        <w:left w:val="none" w:sz="0" w:space="0" w:color="auto"/>
        <w:bottom w:val="none" w:sz="0" w:space="0" w:color="auto"/>
        <w:right w:val="none" w:sz="0" w:space="0" w:color="auto"/>
      </w:divBdr>
      <w:divsChild>
        <w:div w:id="1849101818">
          <w:marLeft w:val="0"/>
          <w:marRight w:val="0"/>
          <w:marTop w:val="0"/>
          <w:marBottom w:val="0"/>
          <w:divBdr>
            <w:top w:val="none" w:sz="0" w:space="0" w:color="auto"/>
            <w:left w:val="none" w:sz="0" w:space="0" w:color="auto"/>
            <w:bottom w:val="none" w:sz="0" w:space="0" w:color="auto"/>
            <w:right w:val="none" w:sz="0" w:space="0" w:color="auto"/>
          </w:divBdr>
          <w:divsChild>
            <w:div w:id="714543348">
              <w:marLeft w:val="0"/>
              <w:marRight w:val="0"/>
              <w:marTop w:val="0"/>
              <w:marBottom w:val="0"/>
              <w:divBdr>
                <w:top w:val="none" w:sz="0" w:space="0" w:color="auto"/>
                <w:left w:val="none" w:sz="0" w:space="0" w:color="auto"/>
                <w:bottom w:val="none" w:sz="0" w:space="0" w:color="auto"/>
                <w:right w:val="none" w:sz="0" w:space="0" w:color="auto"/>
              </w:divBdr>
              <w:divsChild>
                <w:div w:id="995571083">
                  <w:marLeft w:val="0"/>
                  <w:marRight w:val="0"/>
                  <w:marTop w:val="0"/>
                  <w:marBottom w:val="0"/>
                  <w:divBdr>
                    <w:top w:val="single" w:sz="18" w:space="0" w:color="08237A"/>
                    <w:left w:val="none" w:sz="0" w:space="0" w:color="auto"/>
                    <w:bottom w:val="none" w:sz="0" w:space="0" w:color="auto"/>
                    <w:right w:val="none" w:sz="0" w:space="0" w:color="auto"/>
                  </w:divBdr>
                  <w:divsChild>
                    <w:div w:id="2094207285">
                      <w:marLeft w:val="0"/>
                      <w:marRight w:val="0"/>
                      <w:marTop w:val="0"/>
                      <w:marBottom w:val="0"/>
                      <w:divBdr>
                        <w:top w:val="single" w:sz="2" w:space="7" w:color="BBBBBB"/>
                        <w:left w:val="single" w:sz="6" w:space="0" w:color="BBBBBB"/>
                        <w:bottom w:val="single" w:sz="6" w:space="0" w:color="BBBBBB"/>
                        <w:right w:val="single" w:sz="6" w:space="0" w:color="BBBBBB"/>
                      </w:divBdr>
                      <w:divsChild>
                        <w:div w:id="734279594">
                          <w:marLeft w:val="0"/>
                          <w:marRight w:val="0"/>
                          <w:marTop w:val="0"/>
                          <w:marBottom w:val="0"/>
                          <w:divBdr>
                            <w:top w:val="none" w:sz="0" w:space="0" w:color="auto"/>
                            <w:left w:val="none" w:sz="0" w:space="0" w:color="auto"/>
                            <w:bottom w:val="none" w:sz="0" w:space="0" w:color="auto"/>
                            <w:right w:val="none" w:sz="0" w:space="0" w:color="auto"/>
                          </w:divBdr>
                          <w:divsChild>
                            <w:div w:id="9334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824090">
      <w:bodyDiv w:val="1"/>
      <w:marLeft w:val="0"/>
      <w:marRight w:val="0"/>
      <w:marTop w:val="0"/>
      <w:marBottom w:val="0"/>
      <w:divBdr>
        <w:top w:val="none" w:sz="0" w:space="0" w:color="auto"/>
        <w:left w:val="none" w:sz="0" w:space="0" w:color="auto"/>
        <w:bottom w:val="none" w:sz="0" w:space="0" w:color="auto"/>
        <w:right w:val="none" w:sz="0" w:space="0" w:color="auto"/>
      </w:divBdr>
    </w:div>
    <w:div w:id="1236238255">
      <w:bodyDiv w:val="1"/>
      <w:marLeft w:val="0"/>
      <w:marRight w:val="0"/>
      <w:marTop w:val="0"/>
      <w:marBottom w:val="0"/>
      <w:divBdr>
        <w:top w:val="none" w:sz="0" w:space="0" w:color="auto"/>
        <w:left w:val="none" w:sz="0" w:space="0" w:color="auto"/>
        <w:bottom w:val="none" w:sz="0" w:space="0" w:color="auto"/>
        <w:right w:val="none" w:sz="0" w:space="0" w:color="auto"/>
      </w:divBdr>
    </w:div>
    <w:div w:id="1236626010">
      <w:bodyDiv w:val="1"/>
      <w:marLeft w:val="0"/>
      <w:marRight w:val="0"/>
      <w:marTop w:val="0"/>
      <w:marBottom w:val="0"/>
      <w:divBdr>
        <w:top w:val="none" w:sz="0" w:space="0" w:color="auto"/>
        <w:left w:val="none" w:sz="0" w:space="0" w:color="auto"/>
        <w:bottom w:val="none" w:sz="0" w:space="0" w:color="auto"/>
        <w:right w:val="none" w:sz="0" w:space="0" w:color="auto"/>
      </w:divBdr>
    </w:div>
    <w:div w:id="1237546020">
      <w:bodyDiv w:val="1"/>
      <w:marLeft w:val="0"/>
      <w:marRight w:val="0"/>
      <w:marTop w:val="0"/>
      <w:marBottom w:val="0"/>
      <w:divBdr>
        <w:top w:val="none" w:sz="0" w:space="0" w:color="auto"/>
        <w:left w:val="none" w:sz="0" w:space="0" w:color="auto"/>
        <w:bottom w:val="none" w:sz="0" w:space="0" w:color="auto"/>
        <w:right w:val="none" w:sz="0" w:space="0" w:color="auto"/>
      </w:divBdr>
    </w:div>
    <w:div w:id="1240410794">
      <w:bodyDiv w:val="1"/>
      <w:marLeft w:val="0"/>
      <w:marRight w:val="0"/>
      <w:marTop w:val="0"/>
      <w:marBottom w:val="0"/>
      <w:divBdr>
        <w:top w:val="none" w:sz="0" w:space="0" w:color="auto"/>
        <w:left w:val="none" w:sz="0" w:space="0" w:color="auto"/>
        <w:bottom w:val="none" w:sz="0" w:space="0" w:color="auto"/>
        <w:right w:val="none" w:sz="0" w:space="0" w:color="auto"/>
      </w:divBdr>
    </w:div>
    <w:div w:id="1258371643">
      <w:bodyDiv w:val="1"/>
      <w:marLeft w:val="0"/>
      <w:marRight w:val="0"/>
      <w:marTop w:val="0"/>
      <w:marBottom w:val="0"/>
      <w:divBdr>
        <w:top w:val="none" w:sz="0" w:space="0" w:color="auto"/>
        <w:left w:val="none" w:sz="0" w:space="0" w:color="auto"/>
        <w:bottom w:val="none" w:sz="0" w:space="0" w:color="auto"/>
        <w:right w:val="none" w:sz="0" w:space="0" w:color="auto"/>
      </w:divBdr>
    </w:div>
    <w:div w:id="1260289742">
      <w:bodyDiv w:val="1"/>
      <w:marLeft w:val="0"/>
      <w:marRight w:val="0"/>
      <w:marTop w:val="0"/>
      <w:marBottom w:val="0"/>
      <w:divBdr>
        <w:top w:val="none" w:sz="0" w:space="0" w:color="auto"/>
        <w:left w:val="none" w:sz="0" w:space="0" w:color="auto"/>
        <w:bottom w:val="none" w:sz="0" w:space="0" w:color="auto"/>
        <w:right w:val="none" w:sz="0" w:space="0" w:color="auto"/>
      </w:divBdr>
      <w:divsChild>
        <w:div w:id="1589457308">
          <w:marLeft w:val="0"/>
          <w:marRight w:val="0"/>
          <w:marTop w:val="0"/>
          <w:marBottom w:val="0"/>
          <w:divBdr>
            <w:top w:val="none" w:sz="0" w:space="0" w:color="auto"/>
            <w:left w:val="none" w:sz="0" w:space="0" w:color="auto"/>
            <w:bottom w:val="none" w:sz="0" w:space="0" w:color="auto"/>
            <w:right w:val="none" w:sz="0" w:space="0" w:color="auto"/>
          </w:divBdr>
          <w:divsChild>
            <w:div w:id="872352107">
              <w:marLeft w:val="0"/>
              <w:marRight w:val="0"/>
              <w:marTop w:val="0"/>
              <w:marBottom w:val="0"/>
              <w:divBdr>
                <w:top w:val="none" w:sz="0" w:space="0" w:color="auto"/>
                <w:left w:val="none" w:sz="0" w:space="0" w:color="auto"/>
                <w:bottom w:val="none" w:sz="0" w:space="0" w:color="auto"/>
                <w:right w:val="none" w:sz="0" w:space="0" w:color="auto"/>
              </w:divBdr>
              <w:divsChild>
                <w:div w:id="698897242">
                  <w:marLeft w:val="0"/>
                  <w:marRight w:val="0"/>
                  <w:marTop w:val="0"/>
                  <w:marBottom w:val="0"/>
                  <w:divBdr>
                    <w:top w:val="single" w:sz="6" w:space="3" w:color="E0E0E0"/>
                    <w:left w:val="single" w:sz="6" w:space="0" w:color="E0E0E0"/>
                    <w:bottom w:val="single" w:sz="6" w:space="7" w:color="E0E0E0"/>
                    <w:right w:val="single" w:sz="6" w:space="0" w:color="E0E0E0"/>
                  </w:divBdr>
                  <w:divsChild>
                    <w:div w:id="11021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872485">
      <w:bodyDiv w:val="1"/>
      <w:marLeft w:val="0"/>
      <w:marRight w:val="0"/>
      <w:marTop w:val="0"/>
      <w:marBottom w:val="0"/>
      <w:divBdr>
        <w:top w:val="none" w:sz="0" w:space="0" w:color="auto"/>
        <w:left w:val="none" w:sz="0" w:space="0" w:color="auto"/>
        <w:bottom w:val="none" w:sz="0" w:space="0" w:color="auto"/>
        <w:right w:val="none" w:sz="0" w:space="0" w:color="auto"/>
      </w:divBdr>
    </w:div>
    <w:div w:id="1267467030">
      <w:bodyDiv w:val="1"/>
      <w:marLeft w:val="0"/>
      <w:marRight w:val="0"/>
      <w:marTop w:val="0"/>
      <w:marBottom w:val="0"/>
      <w:divBdr>
        <w:top w:val="none" w:sz="0" w:space="0" w:color="auto"/>
        <w:left w:val="none" w:sz="0" w:space="0" w:color="auto"/>
        <w:bottom w:val="none" w:sz="0" w:space="0" w:color="auto"/>
        <w:right w:val="none" w:sz="0" w:space="0" w:color="auto"/>
      </w:divBdr>
    </w:div>
    <w:div w:id="1272009589">
      <w:bodyDiv w:val="1"/>
      <w:marLeft w:val="0"/>
      <w:marRight w:val="0"/>
      <w:marTop w:val="0"/>
      <w:marBottom w:val="0"/>
      <w:divBdr>
        <w:top w:val="none" w:sz="0" w:space="0" w:color="auto"/>
        <w:left w:val="none" w:sz="0" w:space="0" w:color="auto"/>
        <w:bottom w:val="none" w:sz="0" w:space="0" w:color="auto"/>
        <w:right w:val="none" w:sz="0" w:space="0" w:color="auto"/>
      </w:divBdr>
    </w:div>
    <w:div w:id="1280406694">
      <w:bodyDiv w:val="1"/>
      <w:marLeft w:val="0"/>
      <w:marRight w:val="0"/>
      <w:marTop w:val="0"/>
      <w:marBottom w:val="0"/>
      <w:divBdr>
        <w:top w:val="none" w:sz="0" w:space="0" w:color="auto"/>
        <w:left w:val="none" w:sz="0" w:space="0" w:color="auto"/>
        <w:bottom w:val="none" w:sz="0" w:space="0" w:color="auto"/>
        <w:right w:val="none" w:sz="0" w:space="0" w:color="auto"/>
      </w:divBdr>
    </w:div>
    <w:div w:id="1280840916">
      <w:bodyDiv w:val="1"/>
      <w:marLeft w:val="0"/>
      <w:marRight w:val="0"/>
      <w:marTop w:val="0"/>
      <w:marBottom w:val="0"/>
      <w:divBdr>
        <w:top w:val="none" w:sz="0" w:space="0" w:color="auto"/>
        <w:left w:val="none" w:sz="0" w:space="0" w:color="auto"/>
        <w:bottom w:val="none" w:sz="0" w:space="0" w:color="auto"/>
        <w:right w:val="none" w:sz="0" w:space="0" w:color="auto"/>
      </w:divBdr>
    </w:div>
    <w:div w:id="1292518370">
      <w:bodyDiv w:val="1"/>
      <w:marLeft w:val="0"/>
      <w:marRight w:val="0"/>
      <w:marTop w:val="0"/>
      <w:marBottom w:val="0"/>
      <w:divBdr>
        <w:top w:val="none" w:sz="0" w:space="0" w:color="auto"/>
        <w:left w:val="none" w:sz="0" w:space="0" w:color="auto"/>
        <w:bottom w:val="none" w:sz="0" w:space="0" w:color="auto"/>
        <w:right w:val="none" w:sz="0" w:space="0" w:color="auto"/>
      </w:divBdr>
    </w:div>
    <w:div w:id="1305544985">
      <w:bodyDiv w:val="1"/>
      <w:marLeft w:val="0"/>
      <w:marRight w:val="0"/>
      <w:marTop w:val="0"/>
      <w:marBottom w:val="0"/>
      <w:divBdr>
        <w:top w:val="none" w:sz="0" w:space="0" w:color="auto"/>
        <w:left w:val="none" w:sz="0" w:space="0" w:color="auto"/>
        <w:bottom w:val="none" w:sz="0" w:space="0" w:color="auto"/>
        <w:right w:val="none" w:sz="0" w:space="0" w:color="auto"/>
      </w:divBdr>
    </w:div>
    <w:div w:id="1317612999">
      <w:bodyDiv w:val="1"/>
      <w:marLeft w:val="0"/>
      <w:marRight w:val="0"/>
      <w:marTop w:val="0"/>
      <w:marBottom w:val="0"/>
      <w:divBdr>
        <w:top w:val="none" w:sz="0" w:space="0" w:color="auto"/>
        <w:left w:val="none" w:sz="0" w:space="0" w:color="auto"/>
        <w:bottom w:val="none" w:sz="0" w:space="0" w:color="auto"/>
        <w:right w:val="none" w:sz="0" w:space="0" w:color="auto"/>
      </w:divBdr>
    </w:div>
    <w:div w:id="1317950990">
      <w:bodyDiv w:val="1"/>
      <w:marLeft w:val="0"/>
      <w:marRight w:val="0"/>
      <w:marTop w:val="0"/>
      <w:marBottom w:val="0"/>
      <w:divBdr>
        <w:top w:val="none" w:sz="0" w:space="0" w:color="auto"/>
        <w:left w:val="none" w:sz="0" w:space="0" w:color="auto"/>
        <w:bottom w:val="none" w:sz="0" w:space="0" w:color="auto"/>
        <w:right w:val="none" w:sz="0" w:space="0" w:color="auto"/>
      </w:divBdr>
    </w:div>
    <w:div w:id="1322080187">
      <w:bodyDiv w:val="1"/>
      <w:marLeft w:val="0"/>
      <w:marRight w:val="0"/>
      <w:marTop w:val="0"/>
      <w:marBottom w:val="0"/>
      <w:divBdr>
        <w:top w:val="none" w:sz="0" w:space="0" w:color="auto"/>
        <w:left w:val="none" w:sz="0" w:space="0" w:color="auto"/>
        <w:bottom w:val="none" w:sz="0" w:space="0" w:color="auto"/>
        <w:right w:val="none" w:sz="0" w:space="0" w:color="auto"/>
      </w:divBdr>
    </w:div>
    <w:div w:id="1325621112">
      <w:bodyDiv w:val="1"/>
      <w:marLeft w:val="0"/>
      <w:marRight w:val="0"/>
      <w:marTop w:val="0"/>
      <w:marBottom w:val="0"/>
      <w:divBdr>
        <w:top w:val="none" w:sz="0" w:space="0" w:color="auto"/>
        <w:left w:val="none" w:sz="0" w:space="0" w:color="auto"/>
        <w:bottom w:val="none" w:sz="0" w:space="0" w:color="auto"/>
        <w:right w:val="none" w:sz="0" w:space="0" w:color="auto"/>
      </w:divBdr>
    </w:div>
    <w:div w:id="1330982682">
      <w:bodyDiv w:val="1"/>
      <w:marLeft w:val="0"/>
      <w:marRight w:val="0"/>
      <w:marTop w:val="0"/>
      <w:marBottom w:val="0"/>
      <w:divBdr>
        <w:top w:val="none" w:sz="0" w:space="0" w:color="auto"/>
        <w:left w:val="none" w:sz="0" w:space="0" w:color="auto"/>
        <w:bottom w:val="none" w:sz="0" w:space="0" w:color="auto"/>
        <w:right w:val="none" w:sz="0" w:space="0" w:color="auto"/>
      </w:divBdr>
    </w:div>
    <w:div w:id="1331569116">
      <w:bodyDiv w:val="1"/>
      <w:marLeft w:val="0"/>
      <w:marRight w:val="0"/>
      <w:marTop w:val="0"/>
      <w:marBottom w:val="0"/>
      <w:divBdr>
        <w:top w:val="none" w:sz="0" w:space="0" w:color="auto"/>
        <w:left w:val="none" w:sz="0" w:space="0" w:color="auto"/>
        <w:bottom w:val="none" w:sz="0" w:space="0" w:color="auto"/>
        <w:right w:val="none" w:sz="0" w:space="0" w:color="auto"/>
      </w:divBdr>
      <w:divsChild>
        <w:div w:id="725761310">
          <w:marLeft w:val="0"/>
          <w:marRight w:val="0"/>
          <w:marTop w:val="0"/>
          <w:marBottom w:val="0"/>
          <w:divBdr>
            <w:top w:val="none" w:sz="0" w:space="0" w:color="auto"/>
            <w:left w:val="none" w:sz="0" w:space="0" w:color="auto"/>
            <w:bottom w:val="none" w:sz="0" w:space="0" w:color="auto"/>
            <w:right w:val="none" w:sz="0" w:space="0" w:color="auto"/>
          </w:divBdr>
          <w:divsChild>
            <w:div w:id="1757556710">
              <w:marLeft w:val="0"/>
              <w:marRight w:val="0"/>
              <w:marTop w:val="0"/>
              <w:marBottom w:val="0"/>
              <w:divBdr>
                <w:top w:val="none" w:sz="0" w:space="0" w:color="auto"/>
                <w:left w:val="none" w:sz="0" w:space="0" w:color="auto"/>
                <w:bottom w:val="none" w:sz="0" w:space="0" w:color="auto"/>
                <w:right w:val="none" w:sz="0" w:space="0" w:color="auto"/>
              </w:divBdr>
              <w:divsChild>
                <w:div w:id="160001111">
                  <w:marLeft w:val="0"/>
                  <w:marRight w:val="0"/>
                  <w:marTop w:val="0"/>
                  <w:marBottom w:val="0"/>
                  <w:divBdr>
                    <w:top w:val="none" w:sz="0" w:space="0" w:color="auto"/>
                    <w:left w:val="none" w:sz="0" w:space="0" w:color="auto"/>
                    <w:bottom w:val="none" w:sz="0" w:space="0" w:color="auto"/>
                    <w:right w:val="none" w:sz="0" w:space="0" w:color="auto"/>
                  </w:divBdr>
                  <w:divsChild>
                    <w:div w:id="558516930">
                      <w:marLeft w:val="0"/>
                      <w:marRight w:val="0"/>
                      <w:marTop w:val="0"/>
                      <w:marBottom w:val="0"/>
                      <w:divBdr>
                        <w:top w:val="none" w:sz="0" w:space="0" w:color="auto"/>
                        <w:left w:val="none" w:sz="0" w:space="0" w:color="auto"/>
                        <w:bottom w:val="none" w:sz="0" w:space="0" w:color="auto"/>
                        <w:right w:val="none" w:sz="0" w:space="0" w:color="auto"/>
                      </w:divBdr>
                      <w:divsChild>
                        <w:div w:id="14555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35902">
      <w:bodyDiv w:val="1"/>
      <w:marLeft w:val="0"/>
      <w:marRight w:val="0"/>
      <w:marTop w:val="0"/>
      <w:marBottom w:val="0"/>
      <w:divBdr>
        <w:top w:val="none" w:sz="0" w:space="0" w:color="auto"/>
        <w:left w:val="none" w:sz="0" w:space="0" w:color="auto"/>
        <w:bottom w:val="none" w:sz="0" w:space="0" w:color="auto"/>
        <w:right w:val="none" w:sz="0" w:space="0" w:color="auto"/>
      </w:divBdr>
    </w:div>
    <w:div w:id="1342782190">
      <w:bodyDiv w:val="1"/>
      <w:marLeft w:val="0"/>
      <w:marRight w:val="0"/>
      <w:marTop w:val="0"/>
      <w:marBottom w:val="0"/>
      <w:divBdr>
        <w:top w:val="none" w:sz="0" w:space="0" w:color="auto"/>
        <w:left w:val="none" w:sz="0" w:space="0" w:color="auto"/>
        <w:bottom w:val="none" w:sz="0" w:space="0" w:color="auto"/>
        <w:right w:val="none" w:sz="0" w:space="0" w:color="auto"/>
      </w:divBdr>
    </w:div>
    <w:div w:id="1344895183">
      <w:bodyDiv w:val="1"/>
      <w:marLeft w:val="0"/>
      <w:marRight w:val="0"/>
      <w:marTop w:val="0"/>
      <w:marBottom w:val="0"/>
      <w:divBdr>
        <w:top w:val="none" w:sz="0" w:space="0" w:color="auto"/>
        <w:left w:val="none" w:sz="0" w:space="0" w:color="auto"/>
        <w:bottom w:val="none" w:sz="0" w:space="0" w:color="auto"/>
        <w:right w:val="none" w:sz="0" w:space="0" w:color="auto"/>
      </w:divBdr>
    </w:div>
    <w:div w:id="1347096423">
      <w:bodyDiv w:val="1"/>
      <w:marLeft w:val="0"/>
      <w:marRight w:val="0"/>
      <w:marTop w:val="0"/>
      <w:marBottom w:val="0"/>
      <w:divBdr>
        <w:top w:val="none" w:sz="0" w:space="0" w:color="auto"/>
        <w:left w:val="none" w:sz="0" w:space="0" w:color="auto"/>
        <w:bottom w:val="none" w:sz="0" w:space="0" w:color="auto"/>
        <w:right w:val="none" w:sz="0" w:space="0" w:color="auto"/>
      </w:divBdr>
      <w:divsChild>
        <w:div w:id="838347664">
          <w:marLeft w:val="0"/>
          <w:marRight w:val="0"/>
          <w:marTop w:val="75"/>
          <w:marBottom w:val="75"/>
          <w:divBdr>
            <w:top w:val="none" w:sz="0" w:space="0" w:color="auto"/>
            <w:left w:val="none" w:sz="0" w:space="0" w:color="auto"/>
            <w:bottom w:val="none" w:sz="0" w:space="0" w:color="auto"/>
            <w:right w:val="none" w:sz="0" w:space="0" w:color="auto"/>
          </w:divBdr>
          <w:divsChild>
            <w:div w:id="1118765374">
              <w:marLeft w:val="0"/>
              <w:marRight w:val="0"/>
              <w:marTop w:val="0"/>
              <w:marBottom w:val="0"/>
              <w:divBdr>
                <w:top w:val="single" w:sz="6" w:space="0" w:color="BEBEBE"/>
                <w:left w:val="single" w:sz="6" w:space="0" w:color="BEBEBE"/>
                <w:bottom w:val="single" w:sz="6" w:space="0" w:color="BEBEBE"/>
                <w:right w:val="single" w:sz="6" w:space="0" w:color="BEBEBE"/>
              </w:divBdr>
              <w:divsChild>
                <w:div w:id="280302999">
                  <w:marLeft w:val="0"/>
                  <w:marRight w:val="0"/>
                  <w:marTop w:val="0"/>
                  <w:marBottom w:val="0"/>
                  <w:divBdr>
                    <w:top w:val="none" w:sz="0" w:space="0" w:color="auto"/>
                    <w:left w:val="none" w:sz="0" w:space="0" w:color="auto"/>
                    <w:bottom w:val="none" w:sz="0" w:space="0" w:color="auto"/>
                    <w:right w:val="none" w:sz="0" w:space="0" w:color="auto"/>
                  </w:divBdr>
                  <w:divsChild>
                    <w:div w:id="793865871">
                      <w:marLeft w:val="0"/>
                      <w:marRight w:val="0"/>
                      <w:marTop w:val="0"/>
                      <w:marBottom w:val="0"/>
                      <w:divBdr>
                        <w:top w:val="none" w:sz="0" w:space="0" w:color="auto"/>
                        <w:left w:val="none" w:sz="0" w:space="0" w:color="auto"/>
                        <w:bottom w:val="none" w:sz="0" w:space="0" w:color="auto"/>
                        <w:right w:val="none" w:sz="0" w:space="0" w:color="auto"/>
                      </w:divBdr>
                      <w:divsChild>
                        <w:div w:id="17242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69445">
      <w:bodyDiv w:val="1"/>
      <w:marLeft w:val="0"/>
      <w:marRight w:val="0"/>
      <w:marTop w:val="0"/>
      <w:marBottom w:val="0"/>
      <w:divBdr>
        <w:top w:val="none" w:sz="0" w:space="0" w:color="auto"/>
        <w:left w:val="none" w:sz="0" w:space="0" w:color="auto"/>
        <w:bottom w:val="none" w:sz="0" w:space="0" w:color="auto"/>
        <w:right w:val="none" w:sz="0" w:space="0" w:color="auto"/>
      </w:divBdr>
    </w:div>
    <w:div w:id="1355883752">
      <w:bodyDiv w:val="1"/>
      <w:marLeft w:val="0"/>
      <w:marRight w:val="0"/>
      <w:marTop w:val="0"/>
      <w:marBottom w:val="0"/>
      <w:divBdr>
        <w:top w:val="none" w:sz="0" w:space="0" w:color="auto"/>
        <w:left w:val="none" w:sz="0" w:space="0" w:color="auto"/>
        <w:bottom w:val="none" w:sz="0" w:space="0" w:color="auto"/>
        <w:right w:val="none" w:sz="0" w:space="0" w:color="auto"/>
      </w:divBdr>
    </w:div>
    <w:div w:id="1367215393">
      <w:bodyDiv w:val="1"/>
      <w:marLeft w:val="0"/>
      <w:marRight w:val="0"/>
      <w:marTop w:val="0"/>
      <w:marBottom w:val="0"/>
      <w:divBdr>
        <w:top w:val="none" w:sz="0" w:space="0" w:color="auto"/>
        <w:left w:val="none" w:sz="0" w:space="0" w:color="auto"/>
        <w:bottom w:val="none" w:sz="0" w:space="0" w:color="auto"/>
        <w:right w:val="none" w:sz="0" w:space="0" w:color="auto"/>
      </w:divBdr>
    </w:div>
    <w:div w:id="1369603022">
      <w:bodyDiv w:val="1"/>
      <w:marLeft w:val="0"/>
      <w:marRight w:val="0"/>
      <w:marTop w:val="0"/>
      <w:marBottom w:val="0"/>
      <w:divBdr>
        <w:top w:val="none" w:sz="0" w:space="0" w:color="auto"/>
        <w:left w:val="none" w:sz="0" w:space="0" w:color="auto"/>
        <w:bottom w:val="none" w:sz="0" w:space="0" w:color="auto"/>
        <w:right w:val="none" w:sz="0" w:space="0" w:color="auto"/>
      </w:divBdr>
    </w:div>
    <w:div w:id="1378358321">
      <w:bodyDiv w:val="1"/>
      <w:marLeft w:val="0"/>
      <w:marRight w:val="0"/>
      <w:marTop w:val="0"/>
      <w:marBottom w:val="0"/>
      <w:divBdr>
        <w:top w:val="none" w:sz="0" w:space="0" w:color="auto"/>
        <w:left w:val="none" w:sz="0" w:space="0" w:color="auto"/>
        <w:bottom w:val="none" w:sz="0" w:space="0" w:color="auto"/>
        <w:right w:val="none" w:sz="0" w:space="0" w:color="auto"/>
      </w:divBdr>
    </w:div>
    <w:div w:id="1384521366">
      <w:bodyDiv w:val="1"/>
      <w:marLeft w:val="0"/>
      <w:marRight w:val="0"/>
      <w:marTop w:val="0"/>
      <w:marBottom w:val="0"/>
      <w:divBdr>
        <w:top w:val="none" w:sz="0" w:space="0" w:color="auto"/>
        <w:left w:val="none" w:sz="0" w:space="0" w:color="auto"/>
        <w:bottom w:val="none" w:sz="0" w:space="0" w:color="auto"/>
        <w:right w:val="none" w:sz="0" w:space="0" w:color="auto"/>
      </w:divBdr>
    </w:div>
    <w:div w:id="1389955154">
      <w:bodyDiv w:val="1"/>
      <w:marLeft w:val="0"/>
      <w:marRight w:val="0"/>
      <w:marTop w:val="0"/>
      <w:marBottom w:val="0"/>
      <w:divBdr>
        <w:top w:val="none" w:sz="0" w:space="0" w:color="auto"/>
        <w:left w:val="none" w:sz="0" w:space="0" w:color="auto"/>
        <w:bottom w:val="none" w:sz="0" w:space="0" w:color="auto"/>
        <w:right w:val="none" w:sz="0" w:space="0" w:color="auto"/>
      </w:divBdr>
    </w:div>
    <w:div w:id="1393889695">
      <w:bodyDiv w:val="1"/>
      <w:marLeft w:val="0"/>
      <w:marRight w:val="0"/>
      <w:marTop w:val="0"/>
      <w:marBottom w:val="0"/>
      <w:divBdr>
        <w:top w:val="none" w:sz="0" w:space="0" w:color="auto"/>
        <w:left w:val="none" w:sz="0" w:space="0" w:color="auto"/>
        <w:bottom w:val="none" w:sz="0" w:space="0" w:color="auto"/>
        <w:right w:val="none" w:sz="0" w:space="0" w:color="auto"/>
      </w:divBdr>
      <w:divsChild>
        <w:div w:id="1103573111">
          <w:marLeft w:val="0"/>
          <w:marRight w:val="0"/>
          <w:marTop w:val="68"/>
          <w:marBottom w:val="68"/>
          <w:divBdr>
            <w:top w:val="none" w:sz="0" w:space="0" w:color="auto"/>
            <w:left w:val="none" w:sz="0" w:space="0" w:color="auto"/>
            <w:bottom w:val="none" w:sz="0" w:space="0" w:color="auto"/>
            <w:right w:val="none" w:sz="0" w:space="0" w:color="auto"/>
          </w:divBdr>
          <w:divsChild>
            <w:div w:id="1947493461">
              <w:marLeft w:val="0"/>
              <w:marRight w:val="0"/>
              <w:marTop w:val="0"/>
              <w:marBottom w:val="0"/>
              <w:divBdr>
                <w:top w:val="single" w:sz="6" w:space="0" w:color="BEBEBE"/>
                <w:left w:val="single" w:sz="6" w:space="0" w:color="BEBEBE"/>
                <w:bottom w:val="single" w:sz="6" w:space="0" w:color="BEBEBE"/>
                <w:right w:val="single" w:sz="6" w:space="0" w:color="BEBEBE"/>
              </w:divBdr>
              <w:divsChild>
                <w:div w:id="902332148">
                  <w:marLeft w:val="0"/>
                  <w:marRight w:val="0"/>
                  <w:marTop w:val="0"/>
                  <w:marBottom w:val="0"/>
                  <w:divBdr>
                    <w:top w:val="none" w:sz="0" w:space="0" w:color="auto"/>
                    <w:left w:val="none" w:sz="0" w:space="0" w:color="auto"/>
                    <w:bottom w:val="none" w:sz="0" w:space="0" w:color="auto"/>
                    <w:right w:val="none" w:sz="0" w:space="0" w:color="auto"/>
                  </w:divBdr>
                  <w:divsChild>
                    <w:div w:id="629281858">
                      <w:marLeft w:val="0"/>
                      <w:marRight w:val="0"/>
                      <w:marTop w:val="0"/>
                      <w:marBottom w:val="0"/>
                      <w:divBdr>
                        <w:top w:val="none" w:sz="0" w:space="0" w:color="auto"/>
                        <w:left w:val="none" w:sz="0" w:space="0" w:color="auto"/>
                        <w:bottom w:val="none" w:sz="0" w:space="0" w:color="auto"/>
                        <w:right w:val="none" w:sz="0" w:space="0" w:color="auto"/>
                      </w:divBdr>
                      <w:divsChild>
                        <w:div w:id="8235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6145">
      <w:bodyDiv w:val="1"/>
      <w:marLeft w:val="0"/>
      <w:marRight w:val="0"/>
      <w:marTop w:val="0"/>
      <w:marBottom w:val="0"/>
      <w:divBdr>
        <w:top w:val="none" w:sz="0" w:space="0" w:color="auto"/>
        <w:left w:val="none" w:sz="0" w:space="0" w:color="auto"/>
        <w:bottom w:val="none" w:sz="0" w:space="0" w:color="auto"/>
        <w:right w:val="none" w:sz="0" w:space="0" w:color="auto"/>
      </w:divBdr>
    </w:div>
    <w:div w:id="1407536336">
      <w:bodyDiv w:val="1"/>
      <w:marLeft w:val="0"/>
      <w:marRight w:val="0"/>
      <w:marTop w:val="0"/>
      <w:marBottom w:val="0"/>
      <w:divBdr>
        <w:top w:val="none" w:sz="0" w:space="0" w:color="auto"/>
        <w:left w:val="none" w:sz="0" w:space="0" w:color="auto"/>
        <w:bottom w:val="none" w:sz="0" w:space="0" w:color="auto"/>
        <w:right w:val="none" w:sz="0" w:space="0" w:color="auto"/>
      </w:divBdr>
    </w:div>
    <w:div w:id="1411655392">
      <w:bodyDiv w:val="1"/>
      <w:marLeft w:val="0"/>
      <w:marRight w:val="0"/>
      <w:marTop w:val="0"/>
      <w:marBottom w:val="0"/>
      <w:divBdr>
        <w:top w:val="none" w:sz="0" w:space="0" w:color="auto"/>
        <w:left w:val="none" w:sz="0" w:space="0" w:color="auto"/>
        <w:bottom w:val="none" w:sz="0" w:space="0" w:color="auto"/>
        <w:right w:val="none" w:sz="0" w:space="0" w:color="auto"/>
      </w:divBdr>
      <w:divsChild>
        <w:div w:id="1185748272">
          <w:marLeft w:val="0"/>
          <w:marRight w:val="0"/>
          <w:marTop w:val="0"/>
          <w:marBottom w:val="0"/>
          <w:divBdr>
            <w:top w:val="none" w:sz="0" w:space="0" w:color="auto"/>
            <w:left w:val="none" w:sz="0" w:space="0" w:color="auto"/>
            <w:bottom w:val="none" w:sz="0" w:space="0" w:color="auto"/>
            <w:right w:val="none" w:sz="0" w:space="0" w:color="auto"/>
          </w:divBdr>
          <w:divsChild>
            <w:div w:id="1591349634">
              <w:marLeft w:val="0"/>
              <w:marRight w:val="0"/>
              <w:marTop w:val="0"/>
              <w:marBottom w:val="0"/>
              <w:divBdr>
                <w:top w:val="none" w:sz="0" w:space="0" w:color="auto"/>
                <w:left w:val="none" w:sz="0" w:space="0" w:color="auto"/>
                <w:bottom w:val="none" w:sz="0" w:space="0" w:color="auto"/>
                <w:right w:val="none" w:sz="0" w:space="0" w:color="auto"/>
              </w:divBdr>
              <w:divsChild>
                <w:div w:id="2073505167">
                  <w:marLeft w:val="0"/>
                  <w:marRight w:val="0"/>
                  <w:marTop w:val="0"/>
                  <w:marBottom w:val="0"/>
                  <w:divBdr>
                    <w:top w:val="single" w:sz="18" w:space="0" w:color="08237A"/>
                    <w:left w:val="none" w:sz="0" w:space="0" w:color="auto"/>
                    <w:bottom w:val="none" w:sz="0" w:space="0" w:color="auto"/>
                    <w:right w:val="none" w:sz="0" w:space="0" w:color="auto"/>
                  </w:divBdr>
                  <w:divsChild>
                    <w:div w:id="1016225001">
                      <w:marLeft w:val="0"/>
                      <w:marRight w:val="0"/>
                      <w:marTop w:val="0"/>
                      <w:marBottom w:val="0"/>
                      <w:divBdr>
                        <w:top w:val="single" w:sz="2" w:space="7" w:color="BBBBBB"/>
                        <w:left w:val="single" w:sz="6" w:space="0" w:color="BBBBBB"/>
                        <w:bottom w:val="single" w:sz="6" w:space="0" w:color="BBBBBB"/>
                        <w:right w:val="single" w:sz="6" w:space="0" w:color="BBBBBB"/>
                      </w:divBdr>
                      <w:divsChild>
                        <w:div w:id="976102274">
                          <w:marLeft w:val="0"/>
                          <w:marRight w:val="0"/>
                          <w:marTop w:val="0"/>
                          <w:marBottom w:val="0"/>
                          <w:divBdr>
                            <w:top w:val="none" w:sz="0" w:space="0" w:color="auto"/>
                            <w:left w:val="none" w:sz="0" w:space="0" w:color="auto"/>
                            <w:bottom w:val="none" w:sz="0" w:space="0" w:color="auto"/>
                            <w:right w:val="none" w:sz="0" w:space="0" w:color="auto"/>
                          </w:divBdr>
                          <w:divsChild>
                            <w:div w:id="4217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209796">
      <w:bodyDiv w:val="1"/>
      <w:marLeft w:val="0"/>
      <w:marRight w:val="0"/>
      <w:marTop w:val="0"/>
      <w:marBottom w:val="0"/>
      <w:divBdr>
        <w:top w:val="none" w:sz="0" w:space="0" w:color="auto"/>
        <w:left w:val="none" w:sz="0" w:space="0" w:color="auto"/>
        <w:bottom w:val="none" w:sz="0" w:space="0" w:color="auto"/>
        <w:right w:val="none" w:sz="0" w:space="0" w:color="auto"/>
      </w:divBdr>
    </w:div>
    <w:div w:id="1419793527">
      <w:bodyDiv w:val="1"/>
      <w:marLeft w:val="0"/>
      <w:marRight w:val="0"/>
      <w:marTop w:val="0"/>
      <w:marBottom w:val="0"/>
      <w:divBdr>
        <w:top w:val="none" w:sz="0" w:space="0" w:color="auto"/>
        <w:left w:val="none" w:sz="0" w:space="0" w:color="auto"/>
        <w:bottom w:val="none" w:sz="0" w:space="0" w:color="auto"/>
        <w:right w:val="none" w:sz="0" w:space="0" w:color="auto"/>
      </w:divBdr>
    </w:div>
    <w:div w:id="1422875145">
      <w:bodyDiv w:val="1"/>
      <w:marLeft w:val="0"/>
      <w:marRight w:val="0"/>
      <w:marTop w:val="0"/>
      <w:marBottom w:val="0"/>
      <w:divBdr>
        <w:top w:val="none" w:sz="0" w:space="0" w:color="auto"/>
        <w:left w:val="none" w:sz="0" w:space="0" w:color="auto"/>
        <w:bottom w:val="none" w:sz="0" w:space="0" w:color="auto"/>
        <w:right w:val="none" w:sz="0" w:space="0" w:color="auto"/>
      </w:divBdr>
      <w:divsChild>
        <w:div w:id="1679313320">
          <w:marLeft w:val="0"/>
          <w:marRight w:val="0"/>
          <w:marTop w:val="0"/>
          <w:marBottom w:val="0"/>
          <w:divBdr>
            <w:top w:val="none" w:sz="0" w:space="0" w:color="auto"/>
            <w:left w:val="none" w:sz="0" w:space="0" w:color="auto"/>
            <w:bottom w:val="none" w:sz="0" w:space="0" w:color="auto"/>
            <w:right w:val="none" w:sz="0" w:space="0" w:color="auto"/>
          </w:divBdr>
          <w:divsChild>
            <w:div w:id="287442423">
              <w:marLeft w:val="0"/>
              <w:marRight w:val="0"/>
              <w:marTop w:val="0"/>
              <w:marBottom w:val="0"/>
              <w:divBdr>
                <w:top w:val="none" w:sz="0" w:space="0" w:color="auto"/>
                <w:left w:val="none" w:sz="0" w:space="0" w:color="auto"/>
                <w:bottom w:val="none" w:sz="0" w:space="0" w:color="auto"/>
                <w:right w:val="none" w:sz="0" w:space="0" w:color="auto"/>
              </w:divBdr>
              <w:divsChild>
                <w:div w:id="1584073265">
                  <w:marLeft w:val="0"/>
                  <w:marRight w:val="0"/>
                  <w:marTop w:val="0"/>
                  <w:marBottom w:val="0"/>
                  <w:divBdr>
                    <w:top w:val="none" w:sz="0" w:space="0" w:color="auto"/>
                    <w:left w:val="none" w:sz="0" w:space="0" w:color="auto"/>
                    <w:bottom w:val="none" w:sz="0" w:space="0" w:color="auto"/>
                    <w:right w:val="none" w:sz="0" w:space="0" w:color="auto"/>
                  </w:divBdr>
                  <w:divsChild>
                    <w:div w:id="1370297001">
                      <w:marLeft w:val="0"/>
                      <w:marRight w:val="0"/>
                      <w:marTop w:val="0"/>
                      <w:marBottom w:val="0"/>
                      <w:divBdr>
                        <w:top w:val="none" w:sz="0" w:space="0" w:color="auto"/>
                        <w:left w:val="none" w:sz="0" w:space="0" w:color="auto"/>
                        <w:bottom w:val="none" w:sz="0" w:space="0" w:color="auto"/>
                        <w:right w:val="none" w:sz="0" w:space="0" w:color="auto"/>
                      </w:divBdr>
                      <w:divsChild>
                        <w:div w:id="12222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331861">
      <w:bodyDiv w:val="1"/>
      <w:marLeft w:val="0"/>
      <w:marRight w:val="0"/>
      <w:marTop w:val="0"/>
      <w:marBottom w:val="0"/>
      <w:divBdr>
        <w:top w:val="none" w:sz="0" w:space="0" w:color="auto"/>
        <w:left w:val="none" w:sz="0" w:space="0" w:color="auto"/>
        <w:bottom w:val="none" w:sz="0" w:space="0" w:color="auto"/>
        <w:right w:val="none" w:sz="0" w:space="0" w:color="auto"/>
      </w:divBdr>
    </w:div>
    <w:div w:id="1439836499">
      <w:bodyDiv w:val="1"/>
      <w:marLeft w:val="0"/>
      <w:marRight w:val="0"/>
      <w:marTop w:val="0"/>
      <w:marBottom w:val="0"/>
      <w:divBdr>
        <w:top w:val="none" w:sz="0" w:space="0" w:color="auto"/>
        <w:left w:val="none" w:sz="0" w:space="0" w:color="auto"/>
        <w:bottom w:val="none" w:sz="0" w:space="0" w:color="auto"/>
        <w:right w:val="none" w:sz="0" w:space="0" w:color="auto"/>
      </w:divBdr>
    </w:div>
    <w:div w:id="1465586212">
      <w:bodyDiv w:val="1"/>
      <w:marLeft w:val="0"/>
      <w:marRight w:val="0"/>
      <w:marTop w:val="0"/>
      <w:marBottom w:val="0"/>
      <w:divBdr>
        <w:top w:val="none" w:sz="0" w:space="0" w:color="auto"/>
        <w:left w:val="none" w:sz="0" w:space="0" w:color="auto"/>
        <w:bottom w:val="none" w:sz="0" w:space="0" w:color="auto"/>
        <w:right w:val="none" w:sz="0" w:space="0" w:color="auto"/>
      </w:divBdr>
    </w:div>
    <w:div w:id="1466389002">
      <w:bodyDiv w:val="1"/>
      <w:marLeft w:val="0"/>
      <w:marRight w:val="0"/>
      <w:marTop w:val="0"/>
      <w:marBottom w:val="0"/>
      <w:divBdr>
        <w:top w:val="none" w:sz="0" w:space="0" w:color="auto"/>
        <w:left w:val="none" w:sz="0" w:space="0" w:color="auto"/>
        <w:bottom w:val="none" w:sz="0" w:space="0" w:color="auto"/>
        <w:right w:val="none" w:sz="0" w:space="0" w:color="auto"/>
      </w:divBdr>
    </w:div>
    <w:div w:id="1470055185">
      <w:bodyDiv w:val="1"/>
      <w:marLeft w:val="0"/>
      <w:marRight w:val="0"/>
      <w:marTop w:val="0"/>
      <w:marBottom w:val="0"/>
      <w:divBdr>
        <w:top w:val="none" w:sz="0" w:space="0" w:color="auto"/>
        <w:left w:val="none" w:sz="0" w:space="0" w:color="auto"/>
        <w:bottom w:val="none" w:sz="0" w:space="0" w:color="auto"/>
        <w:right w:val="none" w:sz="0" w:space="0" w:color="auto"/>
      </w:divBdr>
    </w:div>
    <w:div w:id="1479609604">
      <w:bodyDiv w:val="1"/>
      <w:marLeft w:val="0"/>
      <w:marRight w:val="0"/>
      <w:marTop w:val="0"/>
      <w:marBottom w:val="0"/>
      <w:divBdr>
        <w:top w:val="none" w:sz="0" w:space="0" w:color="auto"/>
        <w:left w:val="none" w:sz="0" w:space="0" w:color="auto"/>
        <w:bottom w:val="none" w:sz="0" w:space="0" w:color="auto"/>
        <w:right w:val="none" w:sz="0" w:space="0" w:color="auto"/>
      </w:divBdr>
    </w:div>
    <w:div w:id="1481464218">
      <w:bodyDiv w:val="1"/>
      <w:marLeft w:val="0"/>
      <w:marRight w:val="0"/>
      <w:marTop w:val="0"/>
      <w:marBottom w:val="0"/>
      <w:divBdr>
        <w:top w:val="none" w:sz="0" w:space="0" w:color="auto"/>
        <w:left w:val="none" w:sz="0" w:space="0" w:color="auto"/>
        <w:bottom w:val="none" w:sz="0" w:space="0" w:color="auto"/>
        <w:right w:val="none" w:sz="0" w:space="0" w:color="auto"/>
      </w:divBdr>
      <w:divsChild>
        <w:div w:id="2039501568">
          <w:marLeft w:val="0"/>
          <w:marRight w:val="0"/>
          <w:marTop w:val="0"/>
          <w:marBottom w:val="0"/>
          <w:divBdr>
            <w:top w:val="none" w:sz="0" w:space="0" w:color="auto"/>
            <w:left w:val="none" w:sz="0" w:space="0" w:color="auto"/>
            <w:bottom w:val="none" w:sz="0" w:space="0" w:color="auto"/>
            <w:right w:val="none" w:sz="0" w:space="0" w:color="auto"/>
          </w:divBdr>
          <w:divsChild>
            <w:div w:id="1819682845">
              <w:marLeft w:val="0"/>
              <w:marRight w:val="0"/>
              <w:marTop w:val="0"/>
              <w:marBottom w:val="0"/>
              <w:divBdr>
                <w:top w:val="none" w:sz="0" w:space="0" w:color="auto"/>
                <w:left w:val="none" w:sz="0" w:space="0" w:color="auto"/>
                <w:bottom w:val="none" w:sz="0" w:space="0" w:color="auto"/>
                <w:right w:val="none" w:sz="0" w:space="0" w:color="auto"/>
              </w:divBdr>
              <w:divsChild>
                <w:div w:id="697314970">
                  <w:marLeft w:val="0"/>
                  <w:marRight w:val="0"/>
                  <w:marTop w:val="0"/>
                  <w:marBottom w:val="0"/>
                  <w:divBdr>
                    <w:top w:val="single" w:sz="18" w:space="0" w:color="08237A"/>
                    <w:left w:val="none" w:sz="0" w:space="0" w:color="auto"/>
                    <w:bottom w:val="none" w:sz="0" w:space="0" w:color="auto"/>
                    <w:right w:val="none" w:sz="0" w:space="0" w:color="auto"/>
                  </w:divBdr>
                  <w:divsChild>
                    <w:div w:id="1947687700">
                      <w:marLeft w:val="0"/>
                      <w:marRight w:val="0"/>
                      <w:marTop w:val="0"/>
                      <w:marBottom w:val="0"/>
                      <w:divBdr>
                        <w:top w:val="single" w:sz="2" w:space="7" w:color="BBBBBB"/>
                        <w:left w:val="single" w:sz="6" w:space="0" w:color="BBBBBB"/>
                        <w:bottom w:val="single" w:sz="6" w:space="0" w:color="BBBBBB"/>
                        <w:right w:val="single" w:sz="6" w:space="0" w:color="BBBBBB"/>
                      </w:divBdr>
                      <w:divsChild>
                        <w:div w:id="1847623198">
                          <w:marLeft w:val="0"/>
                          <w:marRight w:val="0"/>
                          <w:marTop w:val="0"/>
                          <w:marBottom w:val="0"/>
                          <w:divBdr>
                            <w:top w:val="none" w:sz="0" w:space="0" w:color="auto"/>
                            <w:left w:val="none" w:sz="0" w:space="0" w:color="auto"/>
                            <w:bottom w:val="none" w:sz="0" w:space="0" w:color="auto"/>
                            <w:right w:val="none" w:sz="0" w:space="0" w:color="auto"/>
                          </w:divBdr>
                          <w:divsChild>
                            <w:div w:id="18675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3774">
      <w:bodyDiv w:val="1"/>
      <w:marLeft w:val="0"/>
      <w:marRight w:val="0"/>
      <w:marTop w:val="0"/>
      <w:marBottom w:val="0"/>
      <w:divBdr>
        <w:top w:val="none" w:sz="0" w:space="0" w:color="auto"/>
        <w:left w:val="none" w:sz="0" w:space="0" w:color="auto"/>
        <w:bottom w:val="none" w:sz="0" w:space="0" w:color="auto"/>
        <w:right w:val="none" w:sz="0" w:space="0" w:color="auto"/>
      </w:divBdr>
    </w:div>
    <w:div w:id="1493985659">
      <w:bodyDiv w:val="1"/>
      <w:marLeft w:val="0"/>
      <w:marRight w:val="0"/>
      <w:marTop w:val="0"/>
      <w:marBottom w:val="0"/>
      <w:divBdr>
        <w:top w:val="none" w:sz="0" w:space="0" w:color="auto"/>
        <w:left w:val="none" w:sz="0" w:space="0" w:color="auto"/>
        <w:bottom w:val="none" w:sz="0" w:space="0" w:color="auto"/>
        <w:right w:val="none" w:sz="0" w:space="0" w:color="auto"/>
      </w:divBdr>
    </w:div>
    <w:div w:id="1516114469">
      <w:bodyDiv w:val="1"/>
      <w:marLeft w:val="0"/>
      <w:marRight w:val="0"/>
      <w:marTop w:val="0"/>
      <w:marBottom w:val="0"/>
      <w:divBdr>
        <w:top w:val="none" w:sz="0" w:space="0" w:color="auto"/>
        <w:left w:val="none" w:sz="0" w:space="0" w:color="auto"/>
        <w:bottom w:val="none" w:sz="0" w:space="0" w:color="auto"/>
        <w:right w:val="none" w:sz="0" w:space="0" w:color="auto"/>
      </w:divBdr>
    </w:div>
    <w:div w:id="1540973213">
      <w:bodyDiv w:val="1"/>
      <w:marLeft w:val="0"/>
      <w:marRight w:val="0"/>
      <w:marTop w:val="0"/>
      <w:marBottom w:val="0"/>
      <w:divBdr>
        <w:top w:val="none" w:sz="0" w:space="0" w:color="auto"/>
        <w:left w:val="none" w:sz="0" w:space="0" w:color="auto"/>
        <w:bottom w:val="none" w:sz="0" w:space="0" w:color="auto"/>
        <w:right w:val="none" w:sz="0" w:space="0" w:color="auto"/>
      </w:divBdr>
    </w:div>
    <w:div w:id="1545943868">
      <w:bodyDiv w:val="1"/>
      <w:marLeft w:val="0"/>
      <w:marRight w:val="0"/>
      <w:marTop w:val="0"/>
      <w:marBottom w:val="0"/>
      <w:divBdr>
        <w:top w:val="none" w:sz="0" w:space="0" w:color="auto"/>
        <w:left w:val="none" w:sz="0" w:space="0" w:color="auto"/>
        <w:bottom w:val="none" w:sz="0" w:space="0" w:color="auto"/>
        <w:right w:val="none" w:sz="0" w:space="0" w:color="auto"/>
      </w:divBdr>
      <w:divsChild>
        <w:div w:id="1345202955">
          <w:marLeft w:val="0"/>
          <w:marRight w:val="0"/>
          <w:marTop w:val="0"/>
          <w:marBottom w:val="0"/>
          <w:divBdr>
            <w:top w:val="none" w:sz="0" w:space="0" w:color="auto"/>
            <w:left w:val="none" w:sz="0" w:space="0" w:color="auto"/>
            <w:bottom w:val="none" w:sz="0" w:space="0" w:color="auto"/>
            <w:right w:val="none" w:sz="0" w:space="0" w:color="auto"/>
          </w:divBdr>
          <w:divsChild>
            <w:div w:id="280115670">
              <w:marLeft w:val="0"/>
              <w:marRight w:val="0"/>
              <w:marTop w:val="0"/>
              <w:marBottom w:val="0"/>
              <w:divBdr>
                <w:top w:val="none" w:sz="0" w:space="0" w:color="auto"/>
                <w:left w:val="none" w:sz="0" w:space="0" w:color="auto"/>
                <w:bottom w:val="none" w:sz="0" w:space="0" w:color="auto"/>
                <w:right w:val="none" w:sz="0" w:space="0" w:color="auto"/>
              </w:divBdr>
              <w:divsChild>
                <w:div w:id="1640839492">
                  <w:marLeft w:val="0"/>
                  <w:marRight w:val="0"/>
                  <w:marTop w:val="0"/>
                  <w:marBottom w:val="0"/>
                  <w:divBdr>
                    <w:top w:val="single" w:sz="18" w:space="0" w:color="08237A"/>
                    <w:left w:val="none" w:sz="0" w:space="0" w:color="auto"/>
                    <w:bottom w:val="none" w:sz="0" w:space="0" w:color="auto"/>
                    <w:right w:val="none" w:sz="0" w:space="0" w:color="auto"/>
                  </w:divBdr>
                  <w:divsChild>
                    <w:div w:id="2140103643">
                      <w:marLeft w:val="0"/>
                      <w:marRight w:val="0"/>
                      <w:marTop w:val="0"/>
                      <w:marBottom w:val="0"/>
                      <w:divBdr>
                        <w:top w:val="single" w:sz="2" w:space="7" w:color="BBBBBB"/>
                        <w:left w:val="single" w:sz="6" w:space="0" w:color="BBBBBB"/>
                        <w:bottom w:val="single" w:sz="6" w:space="0" w:color="BBBBBB"/>
                        <w:right w:val="single" w:sz="6" w:space="0" w:color="BBBBBB"/>
                      </w:divBdr>
                      <w:divsChild>
                        <w:div w:id="1728338520">
                          <w:marLeft w:val="0"/>
                          <w:marRight w:val="0"/>
                          <w:marTop w:val="0"/>
                          <w:marBottom w:val="0"/>
                          <w:divBdr>
                            <w:top w:val="none" w:sz="0" w:space="0" w:color="auto"/>
                            <w:left w:val="none" w:sz="0" w:space="0" w:color="auto"/>
                            <w:bottom w:val="none" w:sz="0" w:space="0" w:color="auto"/>
                            <w:right w:val="none" w:sz="0" w:space="0" w:color="auto"/>
                          </w:divBdr>
                          <w:divsChild>
                            <w:div w:id="932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82605">
      <w:bodyDiv w:val="1"/>
      <w:marLeft w:val="0"/>
      <w:marRight w:val="0"/>
      <w:marTop w:val="0"/>
      <w:marBottom w:val="0"/>
      <w:divBdr>
        <w:top w:val="none" w:sz="0" w:space="0" w:color="auto"/>
        <w:left w:val="none" w:sz="0" w:space="0" w:color="auto"/>
        <w:bottom w:val="none" w:sz="0" w:space="0" w:color="auto"/>
        <w:right w:val="none" w:sz="0" w:space="0" w:color="auto"/>
      </w:divBdr>
      <w:divsChild>
        <w:div w:id="1938979187">
          <w:marLeft w:val="0"/>
          <w:marRight w:val="0"/>
          <w:marTop w:val="0"/>
          <w:marBottom w:val="0"/>
          <w:divBdr>
            <w:top w:val="none" w:sz="0" w:space="0" w:color="auto"/>
            <w:left w:val="none" w:sz="0" w:space="0" w:color="auto"/>
            <w:bottom w:val="none" w:sz="0" w:space="0" w:color="auto"/>
            <w:right w:val="none" w:sz="0" w:space="0" w:color="auto"/>
          </w:divBdr>
          <w:divsChild>
            <w:div w:id="697008126">
              <w:marLeft w:val="0"/>
              <w:marRight w:val="0"/>
              <w:marTop w:val="0"/>
              <w:marBottom w:val="0"/>
              <w:divBdr>
                <w:top w:val="single" w:sz="6" w:space="0" w:color="C8D8F2"/>
                <w:left w:val="none" w:sz="0" w:space="0" w:color="auto"/>
                <w:bottom w:val="none" w:sz="0" w:space="0" w:color="auto"/>
                <w:right w:val="none" w:sz="0" w:space="0" w:color="auto"/>
              </w:divBdr>
              <w:divsChild>
                <w:div w:id="322007452">
                  <w:marLeft w:val="0"/>
                  <w:marRight w:val="0"/>
                  <w:marTop w:val="0"/>
                  <w:marBottom w:val="0"/>
                  <w:divBdr>
                    <w:top w:val="none" w:sz="0" w:space="0" w:color="auto"/>
                    <w:left w:val="none" w:sz="0" w:space="0" w:color="auto"/>
                    <w:bottom w:val="none" w:sz="0" w:space="0" w:color="auto"/>
                    <w:right w:val="none" w:sz="0" w:space="0" w:color="auto"/>
                  </w:divBdr>
                  <w:divsChild>
                    <w:div w:id="1081176119">
                      <w:marLeft w:val="0"/>
                      <w:marRight w:val="0"/>
                      <w:marTop w:val="0"/>
                      <w:marBottom w:val="0"/>
                      <w:divBdr>
                        <w:top w:val="none" w:sz="0" w:space="0" w:color="auto"/>
                        <w:left w:val="none" w:sz="0" w:space="0" w:color="auto"/>
                        <w:bottom w:val="none" w:sz="0" w:space="0" w:color="auto"/>
                        <w:right w:val="none" w:sz="0" w:space="0" w:color="auto"/>
                      </w:divBdr>
                      <w:divsChild>
                        <w:div w:id="286355392">
                          <w:marLeft w:val="0"/>
                          <w:marRight w:val="0"/>
                          <w:marTop w:val="0"/>
                          <w:marBottom w:val="0"/>
                          <w:divBdr>
                            <w:top w:val="none" w:sz="0" w:space="0" w:color="auto"/>
                            <w:left w:val="none" w:sz="0" w:space="0" w:color="auto"/>
                            <w:bottom w:val="none" w:sz="0" w:space="0" w:color="auto"/>
                            <w:right w:val="none" w:sz="0" w:space="0" w:color="auto"/>
                          </w:divBdr>
                          <w:divsChild>
                            <w:div w:id="1331451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337895">
      <w:bodyDiv w:val="1"/>
      <w:marLeft w:val="0"/>
      <w:marRight w:val="0"/>
      <w:marTop w:val="0"/>
      <w:marBottom w:val="0"/>
      <w:divBdr>
        <w:top w:val="none" w:sz="0" w:space="0" w:color="auto"/>
        <w:left w:val="none" w:sz="0" w:space="0" w:color="auto"/>
        <w:bottom w:val="none" w:sz="0" w:space="0" w:color="auto"/>
        <w:right w:val="none" w:sz="0" w:space="0" w:color="auto"/>
      </w:divBdr>
    </w:div>
    <w:div w:id="1565606859">
      <w:bodyDiv w:val="1"/>
      <w:marLeft w:val="0"/>
      <w:marRight w:val="0"/>
      <w:marTop w:val="0"/>
      <w:marBottom w:val="0"/>
      <w:divBdr>
        <w:top w:val="none" w:sz="0" w:space="0" w:color="auto"/>
        <w:left w:val="none" w:sz="0" w:space="0" w:color="auto"/>
        <w:bottom w:val="none" w:sz="0" w:space="0" w:color="auto"/>
        <w:right w:val="none" w:sz="0" w:space="0" w:color="auto"/>
      </w:divBdr>
    </w:div>
    <w:div w:id="1575356679">
      <w:bodyDiv w:val="1"/>
      <w:marLeft w:val="0"/>
      <w:marRight w:val="0"/>
      <w:marTop w:val="0"/>
      <w:marBottom w:val="0"/>
      <w:divBdr>
        <w:top w:val="none" w:sz="0" w:space="0" w:color="auto"/>
        <w:left w:val="none" w:sz="0" w:space="0" w:color="auto"/>
        <w:bottom w:val="none" w:sz="0" w:space="0" w:color="auto"/>
        <w:right w:val="none" w:sz="0" w:space="0" w:color="auto"/>
      </w:divBdr>
    </w:div>
    <w:div w:id="1588804619">
      <w:bodyDiv w:val="1"/>
      <w:marLeft w:val="0"/>
      <w:marRight w:val="0"/>
      <w:marTop w:val="0"/>
      <w:marBottom w:val="0"/>
      <w:divBdr>
        <w:top w:val="none" w:sz="0" w:space="0" w:color="auto"/>
        <w:left w:val="none" w:sz="0" w:space="0" w:color="auto"/>
        <w:bottom w:val="none" w:sz="0" w:space="0" w:color="auto"/>
        <w:right w:val="none" w:sz="0" w:space="0" w:color="auto"/>
      </w:divBdr>
    </w:div>
    <w:div w:id="1599144988">
      <w:bodyDiv w:val="1"/>
      <w:marLeft w:val="0"/>
      <w:marRight w:val="0"/>
      <w:marTop w:val="0"/>
      <w:marBottom w:val="0"/>
      <w:divBdr>
        <w:top w:val="none" w:sz="0" w:space="0" w:color="auto"/>
        <w:left w:val="none" w:sz="0" w:space="0" w:color="auto"/>
        <w:bottom w:val="none" w:sz="0" w:space="0" w:color="auto"/>
        <w:right w:val="none" w:sz="0" w:space="0" w:color="auto"/>
      </w:divBdr>
      <w:divsChild>
        <w:div w:id="450436931">
          <w:marLeft w:val="0"/>
          <w:marRight w:val="0"/>
          <w:marTop w:val="0"/>
          <w:marBottom w:val="0"/>
          <w:divBdr>
            <w:top w:val="none" w:sz="0" w:space="0" w:color="auto"/>
            <w:left w:val="none" w:sz="0" w:space="0" w:color="auto"/>
            <w:bottom w:val="none" w:sz="0" w:space="0" w:color="auto"/>
            <w:right w:val="none" w:sz="0" w:space="0" w:color="auto"/>
          </w:divBdr>
          <w:divsChild>
            <w:div w:id="1692492781">
              <w:marLeft w:val="0"/>
              <w:marRight w:val="0"/>
              <w:marTop w:val="0"/>
              <w:marBottom w:val="0"/>
              <w:divBdr>
                <w:top w:val="none" w:sz="0" w:space="0" w:color="auto"/>
                <w:left w:val="none" w:sz="0" w:space="0" w:color="auto"/>
                <w:bottom w:val="none" w:sz="0" w:space="0" w:color="auto"/>
                <w:right w:val="none" w:sz="0" w:space="0" w:color="auto"/>
              </w:divBdr>
              <w:divsChild>
                <w:div w:id="184751732">
                  <w:marLeft w:val="0"/>
                  <w:marRight w:val="0"/>
                  <w:marTop w:val="0"/>
                  <w:marBottom w:val="0"/>
                  <w:divBdr>
                    <w:top w:val="single" w:sz="18" w:space="0" w:color="08237A"/>
                    <w:left w:val="none" w:sz="0" w:space="0" w:color="auto"/>
                    <w:bottom w:val="none" w:sz="0" w:space="0" w:color="auto"/>
                    <w:right w:val="none" w:sz="0" w:space="0" w:color="auto"/>
                  </w:divBdr>
                  <w:divsChild>
                    <w:div w:id="768238759">
                      <w:marLeft w:val="0"/>
                      <w:marRight w:val="0"/>
                      <w:marTop w:val="0"/>
                      <w:marBottom w:val="0"/>
                      <w:divBdr>
                        <w:top w:val="single" w:sz="2" w:space="7" w:color="BBBBBB"/>
                        <w:left w:val="single" w:sz="6" w:space="0" w:color="BBBBBB"/>
                        <w:bottom w:val="single" w:sz="6" w:space="0" w:color="BBBBBB"/>
                        <w:right w:val="single" w:sz="6" w:space="0" w:color="BBBBBB"/>
                      </w:divBdr>
                      <w:divsChild>
                        <w:div w:id="1887595956">
                          <w:marLeft w:val="0"/>
                          <w:marRight w:val="0"/>
                          <w:marTop w:val="0"/>
                          <w:marBottom w:val="0"/>
                          <w:divBdr>
                            <w:top w:val="none" w:sz="0" w:space="0" w:color="auto"/>
                            <w:left w:val="none" w:sz="0" w:space="0" w:color="auto"/>
                            <w:bottom w:val="none" w:sz="0" w:space="0" w:color="auto"/>
                            <w:right w:val="none" w:sz="0" w:space="0" w:color="auto"/>
                          </w:divBdr>
                          <w:divsChild>
                            <w:div w:id="11406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377169">
      <w:bodyDiv w:val="1"/>
      <w:marLeft w:val="0"/>
      <w:marRight w:val="0"/>
      <w:marTop w:val="0"/>
      <w:marBottom w:val="0"/>
      <w:divBdr>
        <w:top w:val="none" w:sz="0" w:space="0" w:color="auto"/>
        <w:left w:val="none" w:sz="0" w:space="0" w:color="auto"/>
        <w:bottom w:val="none" w:sz="0" w:space="0" w:color="auto"/>
        <w:right w:val="none" w:sz="0" w:space="0" w:color="auto"/>
      </w:divBdr>
    </w:div>
    <w:div w:id="1601527070">
      <w:bodyDiv w:val="1"/>
      <w:marLeft w:val="0"/>
      <w:marRight w:val="0"/>
      <w:marTop w:val="0"/>
      <w:marBottom w:val="0"/>
      <w:divBdr>
        <w:top w:val="none" w:sz="0" w:space="0" w:color="auto"/>
        <w:left w:val="none" w:sz="0" w:space="0" w:color="auto"/>
        <w:bottom w:val="none" w:sz="0" w:space="0" w:color="auto"/>
        <w:right w:val="none" w:sz="0" w:space="0" w:color="auto"/>
      </w:divBdr>
    </w:div>
    <w:div w:id="1603755249">
      <w:bodyDiv w:val="1"/>
      <w:marLeft w:val="0"/>
      <w:marRight w:val="0"/>
      <w:marTop w:val="0"/>
      <w:marBottom w:val="0"/>
      <w:divBdr>
        <w:top w:val="none" w:sz="0" w:space="0" w:color="auto"/>
        <w:left w:val="none" w:sz="0" w:space="0" w:color="auto"/>
        <w:bottom w:val="none" w:sz="0" w:space="0" w:color="auto"/>
        <w:right w:val="none" w:sz="0" w:space="0" w:color="auto"/>
      </w:divBdr>
    </w:div>
    <w:div w:id="1611085169">
      <w:bodyDiv w:val="1"/>
      <w:marLeft w:val="0"/>
      <w:marRight w:val="0"/>
      <w:marTop w:val="0"/>
      <w:marBottom w:val="0"/>
      <w:divBdr>
        <w:top w:val="none" w:sz="0" w:space="0" w:color="auto"/>
        <w:left w:val="none" w:sz="0" w:space="0" w:color="auto"/>
        <w:bottom w:val="none" w:sz="0" w:space="0" w:color="auto"/>
        <w:right w:val="none" w:sz="0" w:space="0" w:color="auto"/>
      </w:divBdr>
    </w:div>
    <w:div w:id="1616129908">
      <w:bodyDiv w:val="1"/>
      <w:marLeft w:val="0"/>
      <w:marRight w:val="0"/>
      <w:marTop w:val="0"/>
      <w:marBottom w:val="0"/>
      <w:divBdr>
        <w:top w:val="none" w:sz="0" w:space="0" w:color="auto"/>
        <w:left w:val="none" w:sz="0" w:space="0" w:color="auto"/>
        <w:bottom w:val="none" w:sz="0" w:space="0" w:color="auto"/>
        <w:right w:val="none" w:sz="0" w:space="0" w:color="auto"/>
      </w:divBdr>
    </w:div>
    <w:div w:id="1639455010">
      <w:bodyDiv w:val="1"/>
      <w:marLeft w:val="0"/>
      <w:marRight w:val="0"/>
      <w:marTop w:val="0"/>
      <w:marBottom w:val="0"/>
      <w:divBdr>
        <w:top w:val="none" w:sz="0" w:space="0" w:color="auto"/>
        <w:left w:val="none" w:sz="0" w:space="0" w:color="auto"/>
        <w:bottom w:val="none" w:sz="0" w:space="0" w:color="auto"/>
        <w:right w:val="none" w:sz="0" w:space="0" w:color="auto"/>
      </w:divBdr>
      <w:divsChild>
        <w:div w:id="2059551828">
          <w:marLeft w:val="0"/>
          <w:marRight w:val="0"/>
          <w:marTop w:val="0"/>
          <w:marBottom w:val="0"/>
          <w:divBdr>
            <w:top w:val="none" w:sz="0" w:space="0" w:color="auto"/>
            <w:left w:val="none" w:sz="0" w:space="0" w:color="auto"/>
            <w:bottom w:val="none" w:sz="0" w:space="0" w:color="auto"/>
            <w:right w:val="none" w:sz="0" w:space="0" w:color="auto"/>
          </w:divBdr>
          <w:divsChild>
            <w:div w:id="1467355307">
              <w:marLeft w:val="0"/>
              <w:marRight w:val="0"/>
              <w:marTop w:val="0"/>
              <w:marBottom w:val="0"/>
              <w:divBdr>
                <w:top w:val="none" w:sz="0" w:space="0" w:color="auto"/>
                <w:left w:val="none" w:sz="0" w:space="0" w:color="auto"/>
                <w:bottom w:val="none" w:sz="0" w:space="0" w:color="auto"/>
                <w:right w:val="none" w:sz="0" w:space="0" w:color="auto"/>
              </w:divBdr>
              <w:divsChild>
                <w:div w:id="192152181">
                  <w:marLeft w:val="0"/>
                  <w:marRight w:val="0"/>
                  <w:marTop w:val="0"/>
                  <w:marBottom w:val="0"/>
                  <w:divBdr>
                    <w:top w:val="none" w:sz="0" w:space="0" w:color="auto"/>
                    <w:left w:val="none" w:sz="0" w:space="0" w:color="auto"/>
                    <w:bottom w:val="none" w:sz="0" w:space="0" w:color="auto"/>
                    <w:right w:val="none" w:sz="0" w:space="0" w:color="auto"/>
                  </w:divBdr>
                  <w:divsChild>
                    <w:div w:id="251550977">
                      <w:marLeft w:val="0"/>
                      <w:marRight w:val="0"/>
                      <w:marTop w:val="0"/>
                      <w:marBottom w:val="0"/>
                      <w:divBdr>
                        <w:top w:val="none" w:sz="0" w:space="0" w:color="auto"/>
                        <w:left w:val="none" w:sz="0" w:space="0" w:color="auto"/>
                        <w:bottom w:val="none" w:sz="0" w:space="0" w:color="auto"/>
                        <w:right w:val="none" w:sz="0" w:space="0" w:color="auto"/>
                      </w:divBdr>
                      <w:divsChild>
                        <w:div w:id="860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06971">
      <w:bodyDiv w:val="1"/>
      <w:marLeft w:val="0"/>
      <w:marRight w:val="0"/>
      <w:marTop w:val="0"/>
      <w:marBottom w:val="0"/>
      <w:divBdr>
        <w:top w:val="none" w:sz="0" w:space="0" w:color="auto"/>
        <w:left w:val="none" w:sz="0" w:space="0" w:color="auto"/>
        <w:bottom w:val="none" w:sz="0" w:space="0" w:color="auto"/>
        <w:right w:val="none" w:sz="0" w:space="0" w:color="auto"/>
      </w:divBdr>
      <w:divsChild>
        <w:div w:id="875892966">
          <w:marLeft w:val="0"/>
          <w:marRight w:val="0"/>
          <w:marTop w:val="68"/>
          <w:marBottom w:val="68"/>
          <w:divBdr>
            <w:top w:val="none" w:sz="0" w:space="0" w:color="auto"/>
            <w:left w:val="none" w:sz="0" w:space="0" w:color="auto"/>
            <w:bottom w:val="none" w:sz="0" w:space="0" w:color="auto"/>
            <w:right w:val="none" w:sz="0" w:space="0" w:color="auto"/>
          </w:divBdr>
          <w:divsChild>
            <w:div w:id="1355838497">
              <w:marLeft w:val="0"/>
              <w:marRight w:val="0"/>
              <w:marTop w:val="0"/>
              <w:marBottom w:val="0"/>
              <w:divBdr>
                <w:top w:val="single" w:sz="6" w:space="0" w:color="BEBEBE"/>
                <w:left w:val="single" w:sz="6" w:space="0" w:color="BEBEBE"/>
                <w:bottom w:val="single" w:sz="6" w:space="0" w:color="BEBEBE"/>
                <w:right w:val="single" w:sz="6" w:space="0" w:color="BEBEBE"/>
              </w:divBdr>
              <w:divsChild>
                <w:div w:id="254946900">
                  <w:marLeft w:val="0"/>
                  <w:marRight w:val="0"/>
                  <w:marTop w:val="0"/>
                  <w:marBottom w:val="0"/>
                  <w:divBdr>
                    <w:top w:val="none" w:sz="0" w:space="0" w:color="auto"/>
                    <w:left w:val="none" w:sz="0" w:space="0" w:color="auto"/>
                    <w:bottom w:val="none" w:sz="0" w:space="0" w:color="auto"/>
                    <w:right w:val="none" w:sz="0" w:space="0" w:color="auto"/>
                  </w:divBdr>
                  <w:divsChild>
                    <w:div w:id="285232707">
                      <w:marLeft w:val="0"/>
                      <w:marRight w:val="0"/>
                      <w:marTop w:val="0"/>
                      <w:marBottom w:val="0"/>
                      <w:divBdr>
                        <w:top w:val="none" w:sz="0" w:space="0" w:color="auto"/>
                        <w:left w:val="none" w:sz="0" w:space="0" w:color="auto"/>
                        <w:bottom w:val="none" w:sz="0" w:space="0" w:color="auto"/>
                        <w:right w:val="none" w:sz="0" w:space="0" w:color="auto"/>
                      </w:divBdr>
                      <w:divsChild>
                        <w:div w:id="1029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971002">
      <w:bodyDiv w:val="1"/>
      <w:marLeft w:val="0"/>
      <w:marRight w:val="0"/>
      <w:marTop w:val="0"/>
      <w:marBottom w:val="0"/>
      <w:divBdr>
        <w:top w:val="none" w:sz="0" w:space="0" w:color="auto"/>
        <w:left w:val="none" w:sz="0" w:space="0" w:color="auto"/>
        <w:bottom w:val="none" w:sz="0" w:space="0" w:color="auto"/>
        <w:right w:val="none" w:sz="0" w:space="0" w:color="auto"/>
      </w:divBdr>
      <w:divsChild>
        <w:div w:id="1680234298">
          <w:marLeft w:val="0"/>
          <w:marRight w:val="0"/>
          <w:marTop w:val="0"/>
          <w:marBottom w:val="0"/>
          <w:divBdr>
            <w:top w:val="none" w:sz="0" w:space="0" w:color="auto"/>
            <w:left w:val="none" w:sz="0" w:space="0" w:color="auto"/>
            <w:bottom w:val="none" w:sz="0" w:space="0" w:color="auto"/>
            <w:right w:val="none" w:sz="0" w:space="0" w:color="auto"/>
          </w:divBdr>
          <w:divsChild>
            <w:div w:id="1626621599">
              <w:marLeft w:val="0"/>
              <w:marRight w:val="0"/>
              <w:marTop w:val="0"/>
              <w:marBottom w:val="0"/>
              <w:divBdr>
                <w:top w:val="none" w:sz="0" w:space="0" w:color="auto"/>
                <w:left w:val="none" w:sz="0" w:space="0" w:color="auto"/>
                <w:bottom w:val="none" w:sz="0" w:space="0" w:color="auto"/>
                <w:right w:val="none" w:sz="0" w:space="0" w:color="auto"/>
              </w:divBdr>
              <w:divsChild>
                <w:div w:id="510753780">
                  <w:marLeft w:val="0"/>
                  <w:marRight w:val="0"/>
                  <w:marTop w:val="0"/>
                  <w:marBottom w:val="0"/>
                  <w:divBdr>
                    <w:top w:val="none" w:sz="0" w:space="0" w:color="auto"/>
                    <w:left w:val="none" w:sz="0" w:space="0" w:color="auto"/>
                    <w:bottom w:val="none" w:sz="0" w:space="0" w:color="auto"/>
                    <w:right w:val="none" w:sz="0" w:space="0" w:color="auto"/>
                  </w:divBdr>
                  <w:divsChild>
                    <w:div w:id="1229153968">
                      <w:marLeft w:val="0"/>
                      <w:marRight w:val="0"/>
                      <w:marTop w:val="0"/>
                      <w:marBottom w:val="0"/>
                      <w:divBdr>
                        <w:top w:val="none" w:sz="0" w:space="0" w:color="auto"/>
                        <w:left w:val="none" w:sz="0" w:space="0" w:color="auto"/>
                        <w:bottom w:val="none" w:sz="0" w:space="0" w:color="auto"/>
                        <w:right w:val="none" w:sz="0" w:space="0" w:color="auto"/>
                      </w:divBdr>
                      <w:divsChild>
                        <w:div w:id="12136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5883">
      <w:bodyDiv w:val="1"/>
      <w:marLeft w:val="0"/>
      <w:marRight w:val="0"/>
      <w:marTop w:val="0"/>
      <w:marBottom w:val="0"/>
      <w:divBdr>
        <w:top w:val="none" w:sz="0" w:space="0" w:color="auto"/>
        <w:left w:val="none" w:sz="0" w:space="0" w:color="auto"/>
        <w:bottom w:val="none" w:sz="0" w:space="0" w:color="auto"/>
        <w:right w:val="none" w:sz="0" w:space="0" w:color="auto"/>
      </w:divBdr>
      <w:divsChild>
        <w:div w:id="1634603489">
          <w:marLeft w:val="0"/>
          <w:marRight w:val="0"/>
          <w:marTop w:val="68"/>
          <w:marBottom w:val="68"/>
          <w:divBdr>
            <w:top w:val="none" w:sz="0" w:space="0" w:color="auto"/>
            <w:left w:val="none" w:sz="0" w:space="0" w:color="auto"/>
            <w:bottom w:val="none" w:sz="0" w:space="0" w:color="auto"/>
            <w:right w:val="none" w:sz="0" w:space="0" w:color="auto"/>
          </w:divBdr>
          <w:divsChild>
            <w:div w:id="450173442">
              <w:marLeft w:val="0"/>
              <w:marRight w:val="0"/>
              <w:marTop w:val="0"/>
              <w:marBottom w:val="0"/>
              <w:divBdr>
                <w:top w:val="single" w:sz="6" w:space="0" w:color="BEBEBE"/>
                <w:left w:val="single" w:sz="6" w:space="0" w:color="BEBEBE"/>
                <w:bottom w:val="single" w:sz="6" w:space="0" w:color="BEBEBE"/>
                <w:right w:val="single" w:sz="6" w:space="0" w:color="BEBEBE"/>
              </w:divBdr>
              <w:divsChild>
                <w:div w:id="2081321209">
                  <w:marLeft w:val="0"/>
                  <w:marRight w:val="0"/>
                  <w:marTop w:val="0"/>
                  <w:marBottom w:val="0"/>
                  <w:divBdr>
                    <w:top w:val="none" w:sz="0" w:space="0" w:color="auto"/>
                    <w:left w:val="none" w:sz="0" w:space="0" w:color="auto"/>
                    <w:bottom w:val="none" w:sz="0" w:space="0" w:color="auto"/>
                    <w:right w:val="none" w:sz="0" w:space="0" w:color="auto"/>
                  </w:divBdr>
                  <w:divsChild>
                    <w:div w:id="2082284980">
                      <w:marLeft w:val="0"/>
                      <w:marRight w:val="0"/>
                      <w:marTop w:val="0"/>
                      <w:marBottom w:val="0"/>
                      <w:divBdr>
                        <w:top w:val="none" w:sz="0" w:space="0" w:color="auto"/>
                        <w:left w:val="none" w:sz="0" w:space="0" w:color="auto"/>
                        <w:bottom w:val="none" w:sz="0" w:space="0" w:color="auto"/>
                        <w:right w:val="none" w:sz="0" w:space="0" w:color="auto"/>
                      </w:divBdr>
                      <w:divsChild>
                        <w:div w:id="15920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049001">
      <w:bodyDiv w:val="1"/>
      <w:marLeft w:val="0"/>
      <w:marRight w:val="0"/>
      <w:marTop w:val="0"/>
      <w:marBottom w:val="0"/>
      <w:divBdr>
        <w:top w:val="none" w:sz="0" w:space="0" w:color="auto"/>
        <w:left w:val="none" w:sz="0" w:space="0" w:color="auto"/>
        <w:bottom w:val="none" w:sz="0" w:space="0" w:color="auto"/>
        <w:right w:val="none" w:sz="0" w:space="0" w:color="auto"/>
      </w:divBdr>
      <w:divsChild>
        <w:div w:id="1206067418">
          <w:marLeft w:val="0"/>
          <w:marRight w:val="0"/>
          <w:marTop w:val="0"/>
          <w:marBottom w:val="0"/>
          <w:divBdr>
            <w:top w:val="none" w:sz="0" w:space="0" w:color="auto"/>
            <w:left w:val="none" w:sz="0" w:space="0" w:color="auto"/>
            <w:bottom w:val="none" w:sz="0" w:space="0" w:color="auto"/>
            <w:right w:val="none" w:sz="0" w:space="0" w:color="auto"/>
          </w:divBdr>
          <w:divsChild>
            <w:div w:id="1530987766">
              <w:marLeft w:val="0"/>
              <w:marRight w:val="0"/>
              <w:marTop w:val="0"/>
              <w:marBottom w:val="0"/>
              <w:divBdr>
                <w:top w:val="none" w:sz="0" w:space="0" w:color="auto"/>
                <w:left w:val="none" w:sz="0" w:space="0" w:color="auto"/>
                <w:bottom w:val="none" w:sz="0" w:space="0" w:color="auto"/>
                <w:right w:val="none" w:sz="0" w:space="0" w:color="auto"/>
              </w:divBdr>
              <w:divsChild>
                <w:div w:id="1826509115">
                  <w:marLeft w:val="0"/>
                  <w:marRight w:val="0"/>
                  <w:marTop w:val="0"/>
                  <w:marBottom w:val="0"/>
                  <w:divBdr>
                    <w:top w:val="single" w:sz="18" w:space="0" w:color="08237A"/>
                    <w:left w:val="none" w:sz="0" w:space="0" w:color="auto"/>
                    <w:bottom w:val="none" w:sz="0" w:space="0" w:color="auto"/>
                    <w:right w:val="none" w:sz="0" w:space="0" w:color="auto"/>
                  </w:divBdr>
                  <w:divsChild>
                    <w:div w:id="1967618269">
                      <w:marLeft w:val="0"/>
                      <w:marRight w:val="0"/>
                      <w:marTop w:val="0"/>
                      <w:marBottom w:val="0"/>
                      <w:divBdr>
                        <w:top w:val="single" w:sz="2" w:space="7" w:color="BBBBBB"/>
                        <w:left w:val="single" w:sz="6" w:space="0" w:color="BBBBBB"/>
                        <w:bottom w:val="single" w:sz="6" w:space="0" w:color="BBBBBB"/>
                        <w:right w:val="single" w:sz="6" w:space="0" w:color="BBBBBB"/>
                      </w:divBdr>
                      <w:divsChild>
                        <w:div w:id="1443964213">
                          <w:marLeft w:val="0"/>
                          <w:marRight w:val="0"/>
                          <w:marTop w:val="0"/>
                          <w:marBottom w:val="0"/>
                          <w:divBdr>
                            <w:top w:val="none" w:sz="0" w:space="0" w:color="auto"/>
                            <w:left w:val="none" w:sz="0" w:space="0" w:color="auto"/>
                            <w:bottom w:val="none" w:sz="0" w:space="0" w:color="auto"/>
                            <w:right w:val="none" w:sz="0" w:space="0" w:color="auto"/>
                          </w:divBdr>
                          <w:divsChild>
                            <w:div w:id="5828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600536">
      <w:bodyDiv w:val="1"/>
      <w:marLeft w:val="0"/>
      <w:marRight w:val="0"/>
      <w:marTop w:val="0"/>
      <w:marBottom w:val="0"/>
      <w:divBdr>
        <w:top w:val="none" w:sz="0" w:space="0" w:color="auto"/>
        <w:left w:val="none" w:sz="0" w:space="0" w:color="auto"/>
        <w:bottom w:val="none" w:sz="0" w:space="0" w:color="auto"/>
        <w:right w:val="none" w:sz="0" w:space="0" w:color="auto"/>
      </w:divBdr>
    </w:div>
    <w:div w:id="1676806325">
      <w:bodyDiv w:val="1"/>
      <w:marLeft w:val="0"/>
      <w:marRight w:val="0"/>
      <w:marTop w:val="0"/>
      <w:marBottom w:val="0"/>
      <w:divBdr>
        <w:top w:val="none" w:sz="0" w:space="0" w:color="auto"/>
        <w:left w:val="none" w:sz="0" w:space="0" w:color="auto"/>
        <w:bottom w:val="none" w:sz="0" w:space="0" w:color="auto"/>
        <w:right w:val="none" w:sz="0" w:space="0" w:color="auto"/>
      </w:divBdr>
    </w:div>
    <w:div w:id="1677146856">
      <w:bodyDiv w:val="1"/>
      <w:marLeft w:val="0"/>
      <w:marRight w:val="0"/>
      <w:marTop w:val="0"/>
      <w:marBottom w:val="0"/>
      <w:divBdr>
        <w:top w:val="none" w:sz="0" w:space="0" w:color="auto"/>
        <w:left w:val="none" w:sz="0" w:space="0" w:color="auto"/>
        <w:bottom w:val="none" w:sz="0" w:space="0" w:color="auto"/>
        <w:right w:val="none" w:sz="0" w:space="0" w:color="auto"/>
      </w:divBdr>
    </w:div>
    <w:div w:id="1691249694">
      <w:bodyDiv w:val="1"/>
      <w:marLeft w:val="0"/>
      <w:marRight w:val="0"/>
      <w:marTop w:val="0"/>
      <w:marBottom w:val="0"/>
      <w:divBdr>
        <w:top w:val="none" w:sz="0" w:space="0" w:color="auto"/>
        <w:left w:val="none" w:sz="0" w:space="0" w:color="auto"/>
        <w:bottom w:val="none" w:sz="0" w:space="0" w:color="auto"/>
        <w:right w:val="none" w:sz="0" w:space="0" w:color="auto"/>
      </w:divBdr>
    </w:div>
    <w:div w:id="1695182055">
      <w:bodyDiv w:val="1"/>
      <w:marLeft w:val="0"/>
      <w:marRight w:val="0"/>
      <w:marTop w:val="0"/>
      <w:marBottom w:val="0"/>
      <w:divBdr>
        <w:top w:val="none" w:sz="0" w:space="0" w:color="auto"/>
        <w:left w:val="none" w:sz="0" w:space="0" w:color="auto"/>
        <w:bottom w:val="none" w:sz="0" w:space="0" w:color="auto"/>
        <w:right w:val="none" w:sz="0" w:space="0" w:color="auto"/>
      </w:divBdr>
    </w:div>
    <w:div w:id="1704594468">
      <w:bodyDiv w:val="1"/>
      <w:marLeft w:val="0"/>
      <w:marRight w:val="0"/>
      <w:marTop w:val="0"/>
      <w:marBottom w:val="0"/>
      <w:divBdr>
        <w:top w:val="none" w:sz="0" w:space="0" w:color="auto"/>
        <w:left w:val="none" w:sz="0" w:space="0" w:color="auto"/>
        <w:bottom w:val="none" w:sz="0" w:space="0" w:color="auto"/>
        <w:right w:val="none" w:sz="0" w:space="0" w:color="auto"/>
      </w:divBdr>
    </w:div>
    <w:div w:id="1705400192">
      <w:bodyDiv w:val="1"/>
      <w:marLeft w:val="0"/>
      <w:marRight w:val="0"/>
      <w:marTop w:val="0"/>
      <w:marBottom w:val="0"/>
      <w:divBdr>
        <w:top w:val="none" w:sz="0" w:space="0" w:color="auto"/>
        <w:left w:val="none" w:sz="0" w:space="0" w:color="auto"/>
        <w:bottom w:val="none" w:sz="0" w:space="0" w:color="auto"/>
        <w:right w:val="none" w:sz="0" w:space="0" w:color="auto"/>
      </w:divBdr>
    </w:div>
    <w:div w:id="1719472948">
      <w:bodyDiv w:val="1"/>
      <w:marLeft w:val="0"/>
      <w:marRight w:val="0"/>
      <w:marTop w:val="0"/>
      <w:marBottom w:val="0"/>
      <w:divBdr>
        <w:top w:val="none" w:sz="0" w:space="0" w:color="auto"/>
        <w:left w:val="none" w:sz="0" w:space="0" w:color="auto"/>
        <w:bottom w:val="none" w:sz="0" w:space="0" w:color="auto"/>
        <w:right w:val="none" w:sz="0" w:space="0" w:color="auto"/>
      </w:divBdr>
    </w:div>
    <w:div w:id="1735271525">
      <w:bodyDiv w:val="1"/>
      <w:marLeft w:val="0"/>
      <w:marRight w:val="0"/>
      <w:marTop w:val="0"/>
      <w:marBottom w:val="0"/>
      <w:divBdr>
        <w:top w:val="none" w:sz="0" w:space="0" w:color="auto"/>
        <w:left w:val="none" w:sz="0" w:space="0" w:color="auto"/>
        <w:bottom w:val="none" w:sz="0" w:space="0" w:color="auto"/>
        <w:right w:val="none" w:sz="0" w:space="0" w:color="auto"/>
      </w:divBdr>
    </w:div>
    <w:div w:id="1767073249">
      <w:bodyDiv w:val="1"/>
      <w:marLeft w:val="0"/>
      <w:marRight w:val="0"/>
      <w:marTop w:val="0"/>
      <w:marBottom w:val="0"/>
      <w:divBdr>
        <w:top w:val="none" w:sz="0" w:space="0" w:color="auto"/>
        <w:left w:val="none" w:sz="0" w:space="0" w:color="auto"/>
        <w:bottom w:val="none" w:sz="0" w:space="0" w:color="auto"/>
        <w:right w:val="none" w:sz="0" w:space="0" w:color="auto"/>
      </w:divBdr>
    </w:div>
    <w:div w:id="1775707022">
      <w:bodyDiv w:val="1"/>
      <w:marLeft w:val="0"/>
      <w:marRight w:val="0"/>
      <w:marTop w:val="0"/>
      <w:marBottom w:val="0"/>
      <w:divBdr>
        <w:top w:val="none" w:sz="0" w:space="0" w:color="auto"/>
        <w:left w:val="none" w:sz="0" w:space="0" w:color="auto"/>
        <w:bottom w:val="none" w:sz="0" w:space="0" w:color="auto"/>
        <w:right w:val="none" w:sz="0" w:space="0" w:color="auto"/>
      </w:divBdr>
    </w:div>
    <w:div w:id="1780369944">
      <w:bodyDiv w:val="1"/>
      <w:marLeft w:val="0"/>
      <w:marRight w:val="0"/>
      <w:marTop w:val="0"/>
      <w:marBottom w:val="0"/>
      <w:divBdr>
        <w:top w:val="none" w:sz="0" w:space="0" w:color="auto"/>
        <w:left w:val="none" w:sz="0" w:space="0" w:color="auto"/>
        <w:bottom w:val="none" w:sz="0" w:space="0" w:color="auto"/>
        <w:right w:val="none" w:sz="0" w:space="0" w:color="auto"/>
      </w:divBdr>
    </w:div>
    <w:div w:id="1780834414">
      <w:bodyDiv w:val="1"/>
      <w:marLeft w:val="0"/>
      <w:marRight w:val="0"/>
      <w:marTop w:val="0"/>
      <w:marBottom w:val="0"/>
      <w:divBdr>
        <w:top w:val="none" w:sz="0" w:space="0" w:color="auto"/>
        <w:left w:val="none" w:sz="0" w:space="0" w:color="auto"/>
        <w:bottom w:val="none" w:sz="0" w:space="0" w:color="auto"/>
        <w:right w:val="none" w:sz="0" w:space="0" w:color="auto"/>
      </w:divBdr>
    </w:div>
    <w:div w:id="1788936650">
      <w:bodyDiv w:val="1"/>
      <w:marLeft w:val="0"/>
      <w:marRight w:val="0"/>
      <w:marTop w:val="0"/>
      <w:marBottom w:val="0"/>
      <w:divBdr>
        <w:top w:val="none" w:sz="0" w:space="0" w:color="auto"/>
        <w:left w:val="none" w:sz="0" w:space="0" w:color="auto"/>
        <w:bottom w:val="none" w:sz="0" w:space="0" w:color="auto"/>
        <w:right w:val="none" w:sz="0" w:space="0" w:color="auto"/>
      </w:divBdr>
    </w:div>
    <w:div w:id="1799687144">
      <w:bodyDiv w:val="1"/>
      <w:marLeft w:val="0"/>
      <w:marRight w:val="0"/>
      <w:marTop w:val="0"/>
      <w:marBottom w:val="0"/>
      <w:divBdr>
        <w:top w:val="none" w:sz="0" w:space="0" w:color="auto"/>
        <w:left w:val="none" w:sz="0" w:space="0" w:color="auto"/>
        <w:bottom w:val="none" w:sz="0" w:space="0" w:color="auto"/>
        <w:right w:val="none" w:sz="0" w:space="0" w:color="auto"/>
      </w:divBdr>
    </w:div>
    <w:div w:id="1815753619">
      <w:bodyDiv w:val="1"/>
      <w:marLeft w:val="0"/>
      <w:marRight w:val="0"/>
      <w:marTop w:val="0"/>
      <w:marBottom w:val="0"/>
      <w:divBdr>
        <w:top w:val="none" w:sz="0" w:space="0" w:color="auto"/>
        <w:left w:val="none" w:sz="0" w:space="0" w:color="auto"/>
        <w:bottom w:val="none" w:sz="0" w:space="0" w:color="auto"/>
        <w:right w:val="none" w:sz="0" w:space="0" w:color="auto"/>
      </w:divBdr>
    </w:div>
    <w:div w:id="1847359720">
      <w:bodyDiv w:val="1"/>
      <w:marLeft w:val="0"/>
      <w:marRight w:val="0"/>
      <w:marTop w:val="0"/>
      <w:marBottom w:val="0"/>
      <w:divBdr>
        <w:top w:val="none" w:sz="0" w:space="0" w:color="auto"/>
        <w:left w:val="none" w:sz="0" w:space="0" w:color="auto"/>
        <w:bottom w:val="none" w:sz="0" w:space="0" w:color="auto"/>
        <w:right w:val="none" w:sz="0" w:space="0" w:color="auto"/>
      </w:divBdr>
    </w:div>
    <w:div w:id="1849439784">
      <w:bodyDiv w:val="1"/>
      <w:marLeft w:val="0"/>
      <w:marRight w:val="0"/>
      <w:marTop w:val="0"/>
      <w:marBottom w:val="0"/>
      <w:divBdr>
        <w:top w:val="none" w:sz="0" w:space="0" w:color="auto"/>
        <w:left w:val="none" w:sz="0" w:space="0" w:color="auto"/>
        <w:bottom w:val="none" w:sz="0" w:space="0" w:color="auto"/>
        <w:right w:val="none" w:sz="0" w:space="0" w:color="auto"/>
      </w:divBdr>
    </w:div>
    <w:div w:id="1849514391">
      <w:bodyDiv w:val="1"/>
      <w:marLeft w:val="0"/>
      <w:marRight w:val="0"/>
      <w:marTop w:val="0"/>
      <w:marBottom w:val="0"/>
      <w:divBdr>
        <w:top w:val="none" w:sz="0" w:space="0" w:color="auto"/>
        <w:left w:val="none" w:sz="0" w:space="0" w:color="auto"/>
        <w:bottom w:val="none" w:sz="0" w:space="0" w:color="auto"/>
        <w:right w:val="none" w:sz="0" w:space="0" w:color="auto"/>
      </w:divBdr>
    </w:div>
    <w:div w:id="1865442625">
      <w:bodyDiv w:val="1"/>
      <w:marLeft w:val="0"/>
      <w:marRight w:val="0"/>
      <w:marTop w:val="0"/>
      <w:marBottom w:val="0"/>
      <w:divBdr>
        <w:top w:val="none" w:sz="0" w:space="0" w:color="auto"/>
        <w:left w:val="none" w:sz="0" w:space="0" w:color="auto"/>
        <w:bottom w:val="none" w:sz="0" w:space="0" w:color="auto"/>
        <w:right w:val="none" w:sz="0" w:space="0" w:color="auto"/>
      </w:divBdr>
    </w:div>
    <w:div w:id="1869905383">
      <w:bodyDiv w:val="1"/>
      <w:marLeft w:val="0"/>
      <w:marRight w:val="0"/>
      <w:marTop w:val="0"/>
      <w:marBottom w:val="0"/>
      <w:divBdr>
        <w:top w:val="none" w:sz="0" w:space="0" w:color="auto"/>
        <w:left w:val="none" w:sz="0" w:space="0" w:color="auto"/>
        <w:bottom w:val="none" w:sz="0" w:space="0" w:color="auto"/>
        <w:right w:val="none" w:sz="0" w:space="0" w:color="auto"/>
      </w:divBdr>
    </w:div>
    <w:div w:id="1875581789">
      <w:bodyDiv w:val="1"/>
      <w:marLeft w:val="0"/>
      <w:marRight w:val="0"/>
      <w:marTop w:val="0"/>
      <w:marBottom w:val="0"/>
      <w:divBdr>
        <w:top w:val="none" w:sz="0" w:space="0" w:color="auto"/>
        <w:left w:val="none" w:sz="0" w:space="0" w:color="auto"/>
        <w:bottom w:val="none" w:sz="0" w:space="0" w:color="auto"/>
        <w:right w:val="none" w:sz="0" w:space="0" w:color="auto"/>
      </w:divBdr>
    </w:div>
    <w:div w:id="1880898117">
      <w:bodyDiv w:val="1"/>
      <w:marLeft w:val="0"/>
      <w:marRight w:val="0"/>
      <w:marTop w:val="0"/>
      <w:marBottom w:val="0"/>
      <w:divBdr>
        <w:top w:val="none" w:sz="0" w:space="0" w:color="auto"/>
        <w:left w:val="none" w:sz="0" w:space="0" w:color="auto"/>
        <w:bottom w:val="none" w:sz="0" w:space="0" w:color="auto"/>
        <w:right w:val="none" w:sz="0" w:space="0" w:color="auto"/>
      </w:divBdr>
    </w:div>
    <w:div w:id="1882589026">
      <w:bodyDiv w:val="1"/>
      <w:marLeft w:val="0"/>
      <w:marRight w:val="0"/>
      <w:marTop w:val="0"/>
      <w:marBottom w:val="0"/>
      <w:divBdr>
        <w:top w:val="none" w:sz="0" w:space="0" w:color="auto"/>
        <w:left w:val="none" w:sz="0" w:space="0" w:color="auto"/>
        <w:bottom w:val="none" w:sz="0" w:space="0" w:color="auto"/>
        <w:right w:val="none" w:sz="0" w:space="0" w:color="auto"/>
      </w:divBdr>
    </w:div>
    <w:div w:id="1897886022">
      <w:bodyDiv w:val="1"/>
      <w:marLeft w:val="0"/>
      <w:marRight w:val="0"/>
      <w:marTop w:val="0"/>
      <w:marBottom w:val="0"/>
      <w:divBdr>
        <w:top w:val="none" w:sz="0" w:space="0" w:color="auto"/>
        <w:left w:val="none" w:sz="0" w:space="0" w:color="auto"/>
        <w:bottom w:val="none" w:sz="0" w:space="0" w:color="auto"/>
        <w:right w:val="none" w:sz="0" w:space="0" w:color="auto"/>
      </w:divBdr>
    </w:div>
    <w:div w:id="1942491851">
      <w:bodyDiv w:val="1"/>
      <w:marLeft w:val="0"/>
      <w:marRight w:val="0"/>
      <w:marTop w:val="0"/>
      <w:marBottom w:val="0"/>
      <w:divBdr>
        <w:top w:val="none" w:sz="0" w:space="0" w:color="auto"/>
        <w:left w:val="none" w:sz="0" w:space="0" w:color="auto"/>
        <w:bottom w:val="none" w:sz="0" w:space="0" w:color="auto"/>
        <w:right w:val="none" w:sz="0" w:space="0" w:color="auto"/>
      </w:divBdr>
    </w:div>
    <w:div w:id="1943150801">
      <w:bodyDiv w:val="1"/>
      <w:marLeft w:val="0"/>
      <w:marRight w:val="0"/>
      <w:marTop w:val="0"/>
      <w:marBottom w:val="0"/>
      <w:divBdr>
        <w:top w:val="none" w:sz="0" w:space="0" w:color="auto"/>
        <w:left w:val="none" w:sz="0" w:space="0" w:color="auto"/>
        <w:bottom w:val="none" w:sz="0" w:space="0" w:color="auto"/>
        <w:right w:val="none" w:sz="0" w:space="0" w:color="auto"/>
      </w:divBdr>
      <w:divsChild>
        <w:div w:id="1653170993">
          <w:marLeft w:val="0"/>
          <w:marRight w:val="0"/>
          <w:marTop w:val="0"/>
          <w:marBottom w:val="0"/>
          <w:divBdr>
            <w:top w:val="none" w:sz="0" w:space="0" w:color="auto"/>
            <w:left w:val="none" w:sz="0" w:space="0" w:color="auto"/>
            <w:bottom w:val="none" w:sz="0" w:space="0" w:color="auto"/>
            <w:right w:val="none" w:sz="0" w:space="0" w:color="auto"/>
          </w:divBdr>
          <w:divsChild>
            <w:div w:id="2146458653">
              <w:marLeft w:val="0"/>
              <w:marRight w:val="0"/>
              <w:marTop w:val="0"/>
              <w:marBottom w:val="0"/>
              <w:divBdr>
                <w:top w:val="none" w:sz="0" w:space="0" w:color="auto"/>
                <w:left w:val="none" w:sz="0" w:space="0" w:color="auto"/>
                <w:bottom w:val="none" w:sz="0" w:space="0" w:color="auto"/>
                <w:right w:val="none" w:sz="0" w:space="0" w:color="auto"/>
              </w:divBdr>
              <w:divsChild>
                <w:div w:id="252784650">
                  <w:marLeft w:val="0"/>
                  <w:marRight w:val="0"/>
                  <w:marTop w:val="0"/>
                  <w:marBottom w:val="0"/>
                  <w:divBdr>
                    <w:top w:val="single" w:sz="18" w:space="0" w:color="08237A"/>
                    <w:left w:val="none" w:sz="0" w:space="0" w:color="auto"/>
                    <w:bottom w:val="none" w:sz="0" w:space="0" w:color="auto"/>
                    <w:right w:val="none" w:sz="0" w:space="0" w:color="auto"/>
                  </w:divBdr>
                  <w:divsChild>
                    <w:div w:id="862018427">
                      <w:marLeft w:val="0"/>
                      <w:marRight w:val="0"/>
                      <w:marTop w:val="0"/>
                      <w:marBottom w:val="0"/>
                      <w:divBdr>
                        <w:top w:val="single" w:sz="2" w:space="7" w:color="BBBBBB"/>
                        <w:left w:val="single" w:sz="6" w:space="0" w:color="BBBBBB"/>
                        <w:bottom w:val="single" w:sz="6" w:space="0" w:color="BBBBBB"/>
                        <w:right w:val="single" w:sz="6" w:space="0" w:color="BBBBBB"/>
                      </w:divBdr>
                      <w:divsChild>
                        <w:div w:id="1972322580">
                          <w:marLeft w:val="0"/>
                          <w:marRight w:val="0"/>
                          <w:marTop w:val="0"/>
                          <w:marBottom w:val="0"/>
                          <w:divBdr>
                            <w:top w:val="none" w:sz="0" w:space="0" w:color="auto"/>
                            <w:left w:val="none" w:sz="0" w:space="0" w:color="auto"/>
                            <w:bottom w:val="none" w:sz="0" w:space="0" w:color="auto"/>
                            <w:right w:val="none" w:sz="0" w:space="0" w:color="auto"/>
                          </w:divBdr>
                          <w:divsChild>
                            <w:div w:id="21068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047933">
      <w:bodyDiv w:val="1"/>
      <w:marLeft w:val="0"/>
      <w:marRight w:val="0"/>
      <w:marTop w:val="0"/>
      <w:marBottom w:val="0"/>
      <w:divBdr>
        <w:top w:val="none" w:sz="0" w:space="0" w:color="auto"/>
        <w:left w:val="none" w:sz="0" w:space="0" w:color="auto"/>
        <w:bottom w:val="none" w:sz="0" w:space="0" w:color="auto"/>
        <w:right w:val="none" w:sz="0" w:space="0" w:color="auto"/>
      </w:divBdr>
      <w:divsChild>
        <w:div w:id="601692351">
          <w:marLeft w:val="0"/>
          <w:marRight w:val="0"/>
          <w:marTop w:val="68"/>
          <w:marBottom w:val="68"/>
          <w:divBdr>
            <w:top w:val="none" w:sz="0" w:space="0" w:color="auto"/>
            <w:left w:val="none" w:sz="0" w:space="0" w:color="auto"/>
            <w:bottom w:val="none" w:sz="0" w:space="0" w:color="auto"/>
            <w:right w:val="none" w:sz="0" w:space="0" w:color="auto"/>
          </w:divBdr>
          <w:divsChild>
            <w:div w:id="1193152914">
              <w:marLeft w:val="0"/>
              <w:marRight w:val="0"/>
              <w:marTop w:val="0"/>
              <w:marBottom w:val="0"/>
              <w:divBdr>
                <w:top w:val="single" w:sz="6" w:space="0" w:color="BEBEBE"/>
                <w:left w:val="single" w:sz="6" w:space="0" w:color="BEBEBE"/>
                <w:bottom w:val="single" w:sz="6" w:space="0" w:color="BEBEBE"/>
                <w:right w:val="single" w:sz="6" w:space="0" w:color="BEBEBE"/>
              </w:divBdr>
              <w:divsChild>
                <w:div w:id="1482388643">
                  <w:marLeft w:val="0"/>
                  <w:marRight w:val="0"/>
                  <w:marTop w:val="0"/>
                  <w:marBottom w:val="0"/>
                  <w:divBdr>
                    <w:top w:val="none" w:sz="0" w:space="0" w:color="auto"/>
                    <w:left w:val="none" w:sz="0" w:space="0" w:color="auto"/>
                    <w:bottom w:val="none" w:sz="0" w:space="0" w:color="auto"/>
                    <w:right w:val="none" w:sz="0" w:space="0" w:color="auto"/>
                  </w:divBdr>
                  <w:divsChild>
                    <w:div w:id="48237668">
                      <w:marLeft w:val="0"/>
                      <w:marRight w:val="0"/>
                      <w:marTop w:val="0"/>
                      <w:marBottom w:val="0"/>
                      <w:divBdr>
                        <w:top w:val="none" w:sz="0" w:space="0" w:color="auto"/>
                        <w:left w:val="none" w:sz="0" w:space="0" w:color="auto"/>
                        <w:bottom w:val="none" w:sz="0" w:space="0" w:color="auto"/>
                        <w:right w:val="none" w:sz="0" w:space="0" w:color="auto"/>
                      </w:divBdr>
                      <w:divsChild>
                        <w:div w:id="12050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37952">
      <w:bodyDiv w:val="1"/>
      <w:marLeft w:val="0"/>
      <w:marRight w:val="0"/>
      <w:marTop w:val="0"/>
      <w:marBottom w:val="0"/>
      <w:divBdr>
        <w:top w:val="none" w:sz="0" w:space="0" w:color="auto"/>
        <w:left w:val="none" w:sz="0" w:space="0" w:color="auto"/>
        <w:bottom w:val="none" w:sz="0" w:space="0" w:color="auto"/>
        <w:right w:val="none" w:sz="0" w:space="0" w:color="auto"/>
      </w:divBdr>
      <w:divsChild>
        <w:div w:id="184170413">
          <w:marLeft w:val="0"/>
          <w:marRight w:val="0"/>
          <w:marTop w:val="0"/>
          <w:marBottom w:val="0"/>
          <w:divBdr>
            <w:top w:val="none" w:sz="0" w:space="0" w:color="auto"/>
            <w:left w:val="none" w:sz="0" w:space="0" w:color="auto"/>
            <w:bottom w:val="none" w:sz="0" w:space="0" w:color="auto"/>
            <w:right w:val="none" w:sz="0" w:space="0" w:color="auto"/>
          </w:divBdr>
          <w:divsChild>
            <w:div w:id="1246497413">
              <w:marLeft w:val="0"/>
              <w:marRight w:val="0"/>
              <w:marTop w:val="0"/>
              <w:marBottom w:val="0"/>
              <w:divBdr>
                <w:top w:val="none" w:sz="0" w:space="0" w:color="auto"/>
                <w:left w:val="none" w:sz="0" w:space="0" w:color="auto"/>
                <w:bottom w:val="none" w:sz="0" w:space="0" w:color="auto"/>
                <w:right w:val="none" w:sz="0" w:space="0" w:color="auto"/>
              </w:divBdr>
              <w:divsChild>
                <w:div w:id="1277296845">
                  <w:marLeft w:val="0"/>
                  <w:marRight w:val="0"/>
                  <w:marTop w:val="0"/>
                  <w:marBottom w:val="0"/>
                  <w:divBdr>
                    <w:top w:val="single" w:sz="18" w:space="0" w:color="08237A"/>
                    <w:left w:val="none" w:sz="0" w:space="0" w:color="auto"/>
                    <w:bottom w:val="none" w:sz="0" w:space="0" w:color="auto"/>
                    <w:right w:val="none" w:sz="0" w:space="0" w:color="auto"/>
                  </w:divBdr>
                  <w:divsChild>
                    <w:div w:id="1418208043">
                      <w:marLeft w:val="0"/>
                      <w:marRight w:val="0"/>
                      <w:marTop w:val="0"/>
                      <w:marBottom w:val="0"/>
                      <w:divBdr>
                        <w:top w:val="single" w:sz="2" w:space="7" w:color="BBBBBB"/>
                        <w:left w:val="single" w:sz="6" w:space="0" w:color="BBBBBB"/>
                        <w:bottom w:val="single" w:sz="6" w:space="0" w:color="BBBBBB"/>
                        <w:right w:val="single" w:sz="6" w:space="0" w:color="BBBBBB"/>
                      </w:divBdr>
                      <w:divsChild>
                        <w:div w:id="1768958177">
                          <w:marLeft w:val="0"/>
                          <w:marRight w:val="0"/>
                          <w:marTop w:val="0"/>
                          <w:marBottom w:val="0"/>
                          <w:divBdr>
                            <w:top w:val="none" w:sz="0" w:space="0" w:color="auto"/>
                            <w:left w:val="none" w:sz="0" w:space="0" w:color="auto"/>
                            <w:bottom w:val="none" w:sz="0" w:space="0" w:color="auto"/>
                            <w:right w:val="none" w:sz="0" w:space="0" w:color="auto"/>
                          </w:divBdr>
                          <w:divsChild>
                            <w:div w:id="9614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381857">
      <w:bodyDiv w:val="1"/>
      <w:marLeft w:val="0"/>
      <w:marRight w:val="0"/>
      <w:marTop w:val="0"/>
      <w:marBottom w:val="0"/>
      <w:divBdr>
        <w:top w:val="none" w:sz="0" w:space="0" w:color="auto"/>
        <w:left w:val="none" w:sz="0" w:space="0" w:color="auto"/>
        <w:bottom w:val="none" w:sz="0" w:space="0" w:color="auto"/>
        <w:right w:val="none" w:sz="0" w:space="0" w:color="auto"/>
      </w:divBdr>
    </w:div>
    <w:div w:id="1992244902">
      <w:bodyDiv w:val="1"/>
      <w:marLeft w:val="0"/>
      <w:marRight w:val="0"/>
      <w:marTop w:val="0"/>
      <w:marBottom w:val="0"/>
      <w:divBdr>
        <w:top w:val="none" w:sz="0" w:space="0" w:color="auto"/>
        <w:left w:val="none" w:sz="0" w:space="0" w:color="auto"/>
        <w:bottom w:val="none" w:sz="0" w:space="0" w:color="auto"/>
        <w:right w:val="none" w:sz="0" w:space="0" w:color="auto"/>
      </w:divBdr>
    </w:div>
    <w:div w:id="1992950432">
      <w:bodyDiv w:val="1"/>
      <w:marLeft w:val="0"/>
      <w:marRight w:val="0"/>
      <w:marTop w:val="0"/>
      <w:marBottom w:val="0"/>
      <w:divBdr>
        <w:top w:val="none" w:sz="0" w:space="0" w:color="auto"/>
        <w:left w:val="none" w:sz="0" w:space="0" w:color="auto"/>
        <w:bottom w:val="none" w:sz="0" w:space="0" w:color="auto"/>
        <w:right w:val="none" w:sz="0" w:space="0" w:color="auto"/>
      </w:divBdr>
    </w:div>
    <w:div w:id="1997488946">
      <w:bodyDiv w:val="1"/>
      <w:marLeft w:val="0"/>
      <w:marRight w:val="0"/>
      <w:marTop w:val="0"/>
      <w:marBottom w:val="0"/>
      <w:divBdr>
        <w:top w:val="none" w:sz="0" w:space="0" w:color="auto"/>
        <w:left w:val="none" w:sz="0" w:space="0" w:color="auto"/>
        <w:bottom w:val="none" w:sz="0" w:space="0" w:color="auto"/>
        <w:right w:val="none" w:sz="0" w:space="0" w:color="auto"/>
      </w:divBdr>
    </w:div>
    <w:div w:id="1999654785">
      <w:bodyDiv w:val="1"/>
      <w:marLeft w:val="0"/>
      <w:marRight w:val="0"/>
      <w:marTop w:val="0"/>
      <w:marBottom w:val="0"/>
      <w:divBdr>
        <w:top w:val="none" w:sz="0" w:space="0" w:color="auto"/>
        <w:left w:val="none" w:sz="0" w:space="0" w:color="auto"/>
        <w:bottom w:val="none" w:sz="0" w:space="0" w:color="auto"/>
        <w:right w:val="none" w:sz="0" w:space="0" w:color="auto"/>
      </w:divBdr>
    </w:div>
    <w:div w:id="2018460777">
      <w:bodyDiv w:val="1"/>
      <w:marLeft w:val="0"/>
      <w:marRight w:val="0"/>
      <w:marTop w:val="0"/>
      <w:marBottom w:val="0"/>
      <w:divBdr>
        <w:top w:val="none" w:sz="0" w:space="0" w:color="auto"/>
        <w:left w:val="none" w:sz="0" w:space="0" w:color="auto"/>
        <w:bottom w:val="none" w:sz="0" w:space="0" w:color="auto"/>
        <w:right w:val="none" w:sz="0" w:space="0" w:color="auto"/>
      </w:divBdr>
    </w:div>
    <w:div w:id="2020768446">
      <w:bodyDiv w:val="1"/>
      <w:marLeft w:val="0"/>
      <w:marRight w:val="0"/>
      <w:marTop w:val="0"/>
      <w:marBottom w:val="0"/>
      <w:divBdr>
        <w:top w:val="none" w:sz="0" w:space="0" w:color="auto"/>
        <w:left w:val="none" w:sz="0" w:space="0" w:color="auto"/>
        <w:bottom w:val="none" w:sz="0" w:space="0" w:color="auto"/>
        <w:right w:val="none" w:sz="0" w:space="0" w:color="auto"/>
      </w:divBdr>
    </w:div>
    <w:div w:id="2028829992">
      <w:bodyDiv w:val="1"/>
      <w:marLeft w:val="0"/>
      <w:marRight w:val="0"/>
      <w:marTop w:val="0"/>
      <w:marBottom w:val="0"/>
      <w:divBdr>
        <w:top w:val="none" w:sz="0" w:space="0" w:color="auto"/>
        <w:left w:val="none" w:sz="0" w:space="0" w:color="auto"/>
        <w:bottom w:val="none" w:sz="0" w:space="0" w:color="auto"/>
        <w:right w:val="none" w:sz="0" w:space="0" w:color="auto"/>
      </w:divBdr>
      <w:divsChild>
        <w:div w:id="1659921365">
          <w:marLeft w:val="0"/>
          <w:marRight w:val="0"/>
          <w:marTop w:val="0"/>
          <w:marBottom w:val="0"/>
          <w:divBdr>
            <w:top w:val="none" w:sz="0" w:space="0" w:color="auto"/>
            <w:left w:val="none" w:sz="0" w:space="0" w:color="auto"/>
            <w:bottom w:val="none" w:sz="0" w:space="0" w:color="auto"/>
            <w:right w:val="none" w:sz="0" w:space="0" w:color="auto"/>
          </w:divBdr>
          <w:divsChild>
            <w:div w:id="870067356">
              <w:marLeft w:val="0"/>
              <w:marRight w:val="0"/>
              <w:marTop w:val="0"/>
              <w:marBottom w:val="0"/>
              <w:divBdr>
                <w:top w:val="none" w:sz="0" w:space="0" w:color="auto"/>
                <w:left w:val="none" w:sz="0" w:space="0" w:color="auto"/>
                <w:bottom w:val="none" w:sz="0" w:space="0" w:color="auto"/>
                <w:right w:val="none" w:sz="0" w:space="0" w:color="auto"/>
              </w:divBdr>
              <w:divsChild>
                <w:div w:id="1973436191">
                  <w:marLeft w:val="0"/>
                  <w:marRight w:val="0"/>
                  <w:marTop w:val="0"/>
                  <w:marBottom w:val="0"/>
                  <w:divBdr>
                    <w:top w:val="single" w:sz="18" w:space="0" w:color="08237A"/>
                    <w:left w:val="none" w:sz="0" w:space="0" w:color="auto"/>
                    <w:bottom w:val="none" w:sz="0" w:space="0" w:color="auto"/>
                    <w:right w:val="none" w:sz="0" w:space="0" w:color="auto"/>
                  </w:divBdr>
                  <w:divsChild>
                    <w:div w:id="1348828832">
                      <w:marLeft w:val="0"/>
                      <w:marRight w:val="0"/>
                      <w:marTop w:val="0"/>
                      <w:marBottom w:val="0"/>
                      <w:divBdr>
                        <w:top w:val="single" w:sz="2" w:space="7" w:color="BBBBBB"/>
                        <w:left w:val="single" w:sz="6" w:space="0" w:color="BBBBBB"/>
                        <w:bottom w:val="single" w:sz="6" w:space="0" w:color="BBBBBB"/>
                        <w:right w:val="single" w:sz="6" w:space="0" w:color="BBBBBB"/>
                      </w:divBdr>
                      <w:divsChild>
                        <w:div w:id="1266771393">
                          <w:marLeft w:val="0"/>
                          <w:marRight w:val="0"/>
                          <w:marTop w:val="0"/>
                          <w:marBottom w:val="0"/>
                          <w:divBdr>
                            <w:top w:val="none" w:sz="0" w:space="0" w:color="auto"/>
                            <w:left w:val="none" w:sz="0" w:space="0" w:color="auto"/>
                            <w:bottom w:val="none" w:sz="0" w:space="0" w:color="auto"/>
                            <w:right w:val="none" w:sz="0" w:space="0" w:color="auto"/>
                          </w:divBdr>
                          <w:divsChild>
                            <w:div w:id="12799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141346">
      <w:bodyDiv w:val="1"/>
      <w:marLeft w:val="0"/>
      <w:marRight w:val="0"/>
      <w:marTop w:val="0"/>
      <w:marBottom w:val="0"/>
      <w:divBdr>
        <w:top w:val="none" w:sz="0" w:space="0" w:color="auto"/>
        <w:left w:val="none" w:sz="0" w:space="0" w:color="auto"/>
        <w:bottom w:val="none" w:sz="0" w:space="0" w:color="auto"/>
        <w:right w:val="none" w:sz="0" w:space="0" w:color="auto"/>
      </w:divBdr>
    </w:div>
    <w:div w:id="2030980728">
      <w:bodyDiv w:val="1"/>
      <w:marLeft w:val="0"/>
      <w:marRight w:val="0"/>
      <w:marTop w:val="0"/>
      <w:marBottom w:val="0"/>
      <w:divBdr>
        <w:top w:val="none" w:sz="0" w:space="0" w:color="auto"/>
        <w:left w:val="none" w:sz="0" w:space="0" w:color="auto"/>
        <w:bottom w:val="none" w:sz="0" w:space="0" w:color="auto"/>
        <w:right w:val="none" w:sz="0" w:space="0" w:color="auto"/>
      </w:divBdr>
    </w:div>
    <w:div w:id="2036807941">
      <w:bodyDiv w:val="1"/>
      <w:marLeft w:val="0"/>
      <w:marRight w:val="0"/>
      <w:marTop w:val="0"/>
      <w:marBottom w:val="0"/>
      <w:divBdr>
        <w:top w:val="none" w:sz="0" w:space="0" w:color="auto"/>
        <w:left w:val="none" w:sz="0" w:space="0" w:color="auto"/>
        <w:bottom w:val="none" w:sz="0" w:space="0" w:color="auto"/>
        <w:right w:val="none" w:sz="0" w:space="0" w:color="auto"/>
      </w:divBdr>
      <w:divsChild>
        <w:div w:id="1550454198">
          <w:marLeft w:val="0"/>
          <w:marRight w:val="0"/>
          <w:marTop w:val="0"/>
          <w:marBottom w:val="0"/>
          <w:divBdr>
            <w:top w:val="none" w:sz="0" w:space="0" w:color="auto"/>
            <w:left w:val="none" w:sz="0" w:space="0" w:color="auto"/>
            <w:bottom w:val="none" w:sz="0" w:space="0" w:color="auto"/>
            <w:right w:val="none" w:sz="0" w:space="0" w:color="auto"/>
          </w:divBdr>
          <w:divsChild>
            <w:div w:id="1951039342">
              <w:marLeft w:val="0"/>
              <w:marRight w:val="0"/>
              <w:marTop w:val="0"/>
              <w:marBottom w:val="0"/>
              <w:divBdr>
                <w:top w:val="none" w:sz="0" w:space="0" w:color="auto"/>
                <w:left w:val="none" w:sz="0" w:space="0" w:color="auto"/>
                <w:bottom w:val="none" w:sz="0" w:space="0" w:color="auto"/>
                <w:right w:val="none" w:sz="0" w:space="0" w:color="auto"/>
              </w:divBdr>
              <w:divsChild>
                <w:div w:id="1664234419">
                  <w:marLeft w:val="0"/>
                  <w:marRight w:val="0"/>
                  <w:marTop w:val="0"/>
                  <w:marBottom w:val="0"/>
                  <w:divBdr>
                    <w:top w:val="single" w:sz="18" w:space="0" w:color="08237A"/>
                    <w:left w:val="none" w:sz="0" w:space="0" w:color="auto"/>
                    <w:bottom w:val="none" w:sz="0" w:space="0" w:color="auto"/>
                    <w:right w:val="none" w:sz="0" w:space="0" w:color="auto"/>
                  </w:divBdr>
                  <w:divsChild>
                    <w:div w:id="1439180852">
                      <w:marLeft w:val="0"/>
                      <w:marRight w:val="0"/>
                      <w:marTop w:val="0"/>
                      <w:marBottom w:val="0"/>
                      <w:divBdr>
                        <w:top w:val="single" w:sz="2" w:space="7" w:color="BBBBBB"/>
                        <w:left w:val="single" w:sz="6" w:space="0" w:color="BBBBBB"/>
                        <w:bottom w:val="single" w:sz="6" w:space="0" w:color="BBBBBB"/>
                        <w:right w:val="single" w:sz="6" w:space="0" w:color="BBBBBB"/>
                      </w:divBdr>
                      <w:divsChild>
                        <w:div w:id="102308324">
                          <w:marLeft w:val="0"/>
                          <w:marRight w:val="0"/>
                          <w:marTop w:val="0"/>
                          <w:marBottom w:val="0"/>
                          <w:divBdr>
                            <w:top w:val="none" w:sz="0" w:space="0" w:color="auto"/>
                            <w:left w:val="none" w:sz="0" w:space="0" w:color="auto"/>
                            <w:bottom w:val="none" w:sz="0" w:space="0" w:color="auto"/>
                            <w:right w:val="none" w:sz="0" w:space="0" w:color="auto"/>
                          </w:divBdr>
                          <w:divsChild>
                            <w:div w:id="5922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239553">
      <w:bodyDiv w:val="1"/>
      <w:marLeft w:val="0"/>
      <w:marRight w:val="0"/>
      <w:marTop w:val="0"/>
      <w:marBottom w:val="0"/>
      <w:divBdr>
        <w:top w:val="none" w:sz="0" w:space="0" w:color="auto"/>
        <w:left w:val="none" w:sz="0" w:space="0" w:color="auto"/>
        <w:bottom w:val="none" w:sz="0" w:space="0" w:color="auto"/>
        <w:right w:val="none" w:sz="0" w:space="0" w:color="auto"/>
      </w:divBdr>
    </w:div>
    <w:div w:id="2047485677">
      <w:bodyDiv w:val="1"/>
      <w:marLeft w:val="0"/>
      <w:marRight w:val="0"/>
      <w:marTop w:val="0"/>
      <w:marBottom w:val="0"/>
      <w:divBdr>
        <w:top w:val="none" w:sz="0" w:space="0" w:color="auto"/>
        <w:left w:val="none" w:sz="0" w:space="0" w:color="auto"/>
        <w:bottom w:val="none" w:sz="0" w:space="0" w:color="auto"/>
        <w:right w:val="none" w:sz="0" w:space="0" w:color="auto"/>
      </w:divBdr>
    </w:div>
    <w:div w:id="2075159314">
      <w:bodyDiv w:val="1"/>
      <w:marLeft w:val="0"/>
      <w:marRight w:val="0"/>
      <w:marTop w:val="0"/>
      <w:marBottom w:val="0"/>
      <w:divBdr>
        <w:top w:val="none" w:sz="0" w:space="0" w:color="auto"/>
        <w:left w:val="none" w:sz="0" w:space="0" w:color="auto"/>
        <w:bottom w:val="none" w:sz="0" w:space="0" w:color="auto"/>
        <w:right w:val="none" w:sz="0" w:space="0" w:color="auto"/>
      </w:divBdr>
    </w:div>
    <w:div w:id="2077193857">
      <w:bodyDiv w:val="1"/>
      <w:marLeft w:val="0"/>
      <w:marRight w:val="0"/>
      <w:marTop w:val="0"/>
      <w:marBottom w:val="0"/>
      <w:divBdr>
        <w:top w:val="none" w:sz="0" w:space="0" w:color="auto"/>
        <w:left w:val="none" w:sz="0" w:space="0" w:color="auto"/>
        <w:bottom w:val="none" w:sz="0" w:space="0" w:color="auto"/>
        <w:right w:val="none" w:sz="0" w:space="0" w:color="auto"/>
      </w:divBdr>
    </w:div>
    <w:div w:id="2083478499">
      <w:bodyDiv w:val="1"/>
      <w:marLeft w:val="0"/>
      <w:marRight w:val="0"/>
      <w:marTop w:val="0"/>
      <w:marBottom w:val="0"/>
      <w:divBdr>
        <w:top w:val="none" w:sz="0" w:space="0" w:color="auto"/>
        <w:left w:val="none" w:sz="0" w:space="0" w:color="auto"/>
        <w:bottom w:val="none" w:sz="0" w:space="0" w:color="auto"/>
        <w:right w:val="none" w:sz="0" w:space="0" w:color="auto"/>
      </w:divBdr>
    </w:div>
    <w:div w:id="2087457713">
      <w:bodyDiv w:val="1"/>
      <w:marLeft w:val="0"/>
      <w:marRight w:val="0"/>
      <w:marTop w:val="0"/>
      <w:marBottom w:val="0"/>
      <w:divBdr>
        <w:top w:val="none" w:sz="0" w:space="0" w:color="auto"/>
        <w:left w:val="none" w:sz="0" w:space="0" w:color="auto"/>
        <w:bottom w:val="none" w:sz="0" w:space="0" w:color="auto"/>
        <w:right w:val="none" w:sz="0" w:space="0" w:color="auto"/>
      </w:divBdr>
      <w:divsChild>
        <w:div w:id="654068214">
          <w:marLeft w:val="0"/>
          <w:marRight w:val="0"/>
          <w:marTop w:val="75"/>
          <w:marBottom w:val="75"/>
          <w:divBdr>
            <w:top w:val="none" w:sz="0" w:space="0" w:color="auto"/>
            <w:left w:val="none" w:sz="0" w:space="0" w:color="auto"/>
            <w:bottom w:val="none" w:sz="0" w:space="0" w:color="auto"/>
            <w:right w:val="none" w:sz="0" w:space="0" w:color="auto"/>
          </w:divBdr>
          <w:divsChild>
            <w:div w:id="821889396">
              <w:marLeft w:val="0"/>
              <w:marRight w:val="0"/>
              <w:marTop w:val="0"/>
              <w:marBottom w:val="0"/>
              <w:divBdr>
                <w:top w:val="single" w:sz="6" w:space="0" w:color="BEBEBE"/>
                <w:left w:val="single" w:sz="6" w:space="0" w:color="BEBEBE"/>
                <w:bottom w:val="single" w:sz="6" w:space="0" w:color="BEBEBE"/>
                <w:right w:val="single" w:sz="6" w:space="0" w:color="BEBEBE"/>
              </w:divBdr>
              <w:divsChild>
                <w:div w:id="1645237112">
                  <w:marLeft w:val="0"/>
                  <w:marRight w:val="0"/>
                  <w:marTop w:val="0"/>
                  <w:marBottom w:val="0"/>
                  <w:divBdr>
                    <w:top w:val="none" w:sz="0" w:space="0" w:color="auto"/>
                    <w:left w:val="none" w:sz="0" w:space="0" w:color="auto"/>
                    <w:bottom w:val="none" w:sz="0" w:space="0" w:color="auto"/>
                    <w:right w:val="none" w:sz="0" w:space="0" w:color="auto"/>
                  </w:divBdr>
                  <w:divsChild>
                    <w:div w:id="482891161">
                      <w:marLeft w:val="0"/>
                      <w:marRight w:val="0"/>
                      <w:marTop w:val="0"/>
                      <w:marBottom w:val="0"/>
                      <w:divBdr>
                        <w:top w:val="none" w:sz="0" w:space="0" w:color="auto"/>
                        <w:left w:val="none" w:sz="0" w:space="0" w:color="auto"/>
                        <w:bottom w:val="none" w:sz="0" w:space="0" w:color="auto"/>
                        <w:right w:val="none" w:sz="0" w:space="0" w:color="auto"/>
                      </w:divBdr>
                      <w:divsChild>
                        <w:div w:id="11010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9398">
      <w:bodyDiv w:val="1"/>
      <w:marLeft w:val="0"/>
      <w:marRight w:val="0"/>
      <w:marTop w:val="0"/>
      <w:marBottom w:val="0"/>
      <w:divBdr>
        <w:top w:val="none" w:sz="0" w:space="0" w:color="auto"/>
        <w:left w:val="none" w:sz="0" w:space="0" w:color="auto"/>
        <w:bottom w:val="none" w:sz="0" w:space="0" w:color="auto"/>
        <w:right w:val="none" w:sz="0" w:space="0" w:color="auto"/>
      </w:divBdr>
    </w:div>
    <w:div w:id="2106069669">
      <w:bodyDiv w:val="1"/>
      <w:marLeft w:val="0"/>
      <w:marRight w:val="0"/>
      <w:marTop w:val="0"/>
      <w:marBottom w:val="0"/>
      <w:divBdr>
        <w:top w:val="none" w:sz="0" w:space="0" w:color="auto"/>
        <w:left w:val="none" w:sz="0" w:space="0" w:color="auto"/>
        <w:bottom w:val="none" w:sz="0" w:space="0" w:color="auto"/>
        <w:right w:val="none" w:sz="0" w:space="0" w:color="auto"/>
      </w:divBdr>
      <w:divsChild>
        <w:div w:id="1475292149">
          <w:marLeft w:val="0"/>
          <w:marRight w:val="0"/>
          <w:marTop w:val="68"/>
          <w:marBottom w:val="68"/>
          <w:divBdr>
            <w:top w:val="none" w:sz="0" w:space="0" w:color="auto"/>
            <w:left w:val="none" w:sz="0" w:space="0" w:color="auto"/>
            <w:bottom w:val="none" w:sz="0" w:space="0" w:color="auto"/>
            <w:right w:val="none" w:sz="0" w:space="0" w:color="auto"/>
          </w:divBdr>
          <w:divsChild>
            <w:div w:id="1201436316">
              <w:marLeft w:val="0"/>
              <w:marRight w:val="0"/>
              <w:marTop w:val="0"/>
              <w:marBottom w:val="0"/>
              <w:divBdr>
                <w:top w:val="single" w:sz="6" w:space="0" w:color="BEBEBE"/>
                <w:left w:val="single" w:sz="6" w:space="0" w:color="BEBEBE"/>
                <w:bottom w:val="single" w:sz="6" w:space="0" w:color="BEBEBE"/>
                <w:right w:val="single" w:sz="6" w:space="0" w:color="BEBEBE"/>
              </w:divBdr>
              <w:divsChild>
                <w:div w:id="459107537">
                  <w:marLeft w:val="0"/>
                  <w:marRight w:val="0"/>
                  <w:marTop w:val="0"/>
                  <w:marBottom w:val="0"/>
                  <w:divBdr>
                    <w:top w:val="none" w:sz="0" w:space="0" w:color="auto"/>
                    <w:left w:val="none" w:sz="0" w:space="0" w:color="auto"/>
                    <w:bottom w:val="none" w:sz="0" w:space="0" w:color="auto"/>
                    <w:right w:val="none" w:sz="0" w:space="0" w:color="auto"/>
                  </w:divBdr>
                  <w:divsChild>
                    <w:div w:id="1571424984">
                      <w:marLeft w:val="0"/>
                      <w:marRight w:val="0"/>
                      <w:marTop w:val="0"/>
                      <w:marBottom w:val="0"/>
                      <w:divBdr>
                        <w:top w:val="none" w:sz="0" w:space="0" w:color="auto"/>
                        <w:left w:val="none" w:sz="0" w:space="0" w:color="auto"/>
                        <w:bottom w:val="none" w:sz="0" w:space="0" w:color="auto"/>
                        <w:right w:val="none" w:sz="0" w:space="0" w:color="auto"/>
                      </w:divBdr>
                      <w:divsChild>
                        <w:div w:id="3844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465471">
      <w:bodyDiv w:val="1"/>
      <w:marLeft w:val="0"/>
      <w:marRight w:val="0"/>
      <w:marTop w:val="0"/>
      <w:marBottom w:val="0"/>
      <w:divBdr>
        <w:top w:val="none" w:sz="0" w:space="0" w:color="auto"/>
        <w:left w:val="none" w:sz="0" w:space="0" w:color="auto"/>
        <w:bottom w:val="none" w:sz="0" w:space="0" w:color="auto"/>
        <w:right w:val="none" w:sz="0" w:space="0" w:color="auto"/>
      </w:divBdr>
    </w:div>
    <w:div w:id="2142992316">
      <w:bodyDiv w:val="1"/>
      <w:marLeft w:val="0"/>
      <w:marRight w:val="0"/>
      <w:marTop w:val="0"/>
      <w:marBottom w:val="0"/>
      <w:divBdr>
        <w:top w:val="none" w:sz="0" w:space="0" w:color="auto"/>
        <w:left w:val="none" w:sz="0" w:space="0" w:color="auto"/>
        <w:bottom w:val="none" w:sz="0" w:space="0" w:color="auto"/>
        <w:right w:val="none" w:sz="0" w:space="0" w:color="auto"/>
      </w:divBdr>
    </w:div>
    <w:div w:id="2143881616">
      <w:bodyDiv w:val="1"/>
      <w:marLeft w:val="0"/>
      <w:marRight w:val="0"/>
      <w:marTop w:val="0"/>
      <w:marBottom w:val="0"/>
      <w:divBdr>
        <w:top w:val="none" w:sz="0" w:space="0" w:color="auto"/>
        <w:left w:val="none" w:sz="0" w:space="0" w:color="auto"/>
        <w:bottom w:val="none" w:sz="0" w:space="0" w:color="auto"/>
        <w:right w:val="none" w:sz="0" w:space="0" w:color="auto"/>
      </w:divBdr>
      <w:divsChild>
        <w:div w:id="481507425">
          <w:marLeft w:val="0"/>
          <w:marRight w:val="0"/>
          <w:marTop w:val="0"/>
          <w:marBottom w:val="0"/>
          <w:divBdr>
            <w:top w:val="none" w:sz="0" w:space="0" w:color="auto"/>
            <w:left w:val="none" w:sz="0" w:space="0" w:color="auto"/>
            <w:bottom w:val="none" w:sz="0" w:space="0" w:color="auto"/>
            <w:right w:val="none" w:sz="0" w:space="0" w:color="auto"/>
          </w:divBdr>
          <w:divsChild>
            <w:div w:id="617377554">
              <w:marLeft w:val="0"/>
              <w:marRight w:val="0"/>
              <w:marTop w:val="0"/>
              <w:marBottom w:val="0"/>
              <w:divBdr>
                <w:top w:val="single" w:sz="6" w:space="0" w:color="C8D8F2"/>
                <w:left w:val="none" w:sz="0" w:space="0" w:color="auto"/>
                <w:bottom w:val="none" w:sz="0" w:space="0" w:color="auto"/>
                <w:right w:val="none" w:sz="0" w:space="0" w:color="auto"/>
              </w:divBdr>
              <w:divsChild>
                <w:div w:id="195706235">
                  <w:marLeft w:val="0"/>
                  <w:marRight w:val="0"/>
                  <w:marTop w:val="0"/>
                  <w:marBottom w:val="0"/>
                  <w:divBdr>
                    <w:top w:val="none" w:sz="0" w:space="0" w:color="auto"/>
                    <w:left w:val="none" w:sz="0" w:space="0" w:color="auto"/>
                    <w:bottom w:val="none" w:sz="0" w:space="0" w:color="auto"/>
                    <w:right w:val="none" w:sz="0" w:space="0" w:color="auto"/>
                  </w:divBdr>
                  <w:divsChild>
                    <w:div w:id="573316108">
                      <w:marLeft w:val="0"/>
                      <w:marRight w:val="0"/>
                      <w:marTop w:val="0"/>
                      <w:marBottom w:val="0"/>
                      <w:divBdr>
                        <w:top w:val="none" w:sz="0" w:space="0" w:color="auto"/>
                        <w:left w:val="none" w:sz="0" w:space="0" w:color="auto"/>
                        <w:bottom w:val="none" w:sz="0" w:space="0" w:color="auto"/>
                        <w:right w:val="none" w:sz="0" w:space="0" w:color="auto"/>
                      </w:divBdr>
                      <w:divsChild>
                        <w:div w:id="1822890861">
                          <w:marLeft w:val="0"/>
                          <w:marRight w:val="0"/>
                          <w:marTop w:val="0"/>
                          <w:marBottom w:val="0"/>
                          <w:divBdr>
                            <w:top w:val="none" w:sz="0" w:space="0" w:color="auto"/>
                            <w:left w:val="none" w:sz="0" w:space="0" w:color="auto"/>
                            <w:bottom w:val="none" w:sz="0" w:space="0" w:color="auto"/>
                            <w:right w:val="none" w:sz="0" w:space="0" w:color="auto"/>
                          </w:divBdr>
                          <w:divsChild>
                            <w:div w:id="10263700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F:\&#24037;&#20316;\&#30740;&#31350;\&#22522;&#37329;&#31574;&#30053;&#25253;&#21578;\&#26376;&#25253;&#20351;&#29992;22.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3.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istrator\Desktop\&#25968;&#25454;&#32479;&#35745;&#21644;&#20570;&#22270;.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19978;&#28023;&#35777;&#21048;\&#19978;&#28023;&#35777;&#21048;-&#22522;&#37329;&#20135;&#21697;&#21457;&#23637;&#26376;&#25253;\&#25968;&#25454;&#32479;&#35745;&#21644;&#20570;&#22270;.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dministrator\Desktop\&#25968;&#25454;&#32479;&#35745;&#21644;&#20570;&#2227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215217511087557"/>
          <c:y val="0"/>
          <c:w val="0.70372712250801617"/>
          <c:h val="0.83705467325058946"/>
        </c:manualLayout>
      </c:layout>
      <c:barChart>
        <c:barDir val="bar"/>
        <c:grouping val="clustered"/>
        <c:varyColors val="0"/>
        <c:ser>
          <c:idx val="0"/>
          <c:order val="0"/>
          <c:tx>
            <c:strRef>
              <c:f>行业!$C$29</c:f>
              <c:strCache>
                <c:ptCount val="1"/>
                <c:pt idx="0">
                  <c:v>月度涨幅(%)</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行业!$B$30:$B$35</c:f>
              <c:strCache>
                <c:ptCount val="6"/>
                <c:pt idx="0">
                  <c:v>小盘指数</c:v>
                </c:pt>
                <c:pt idx="1">
                  <c:v>中盘指数</c:v>
                </c:pt>
                <c:pt idx="2">
                  <c:v>大盘指数</c:v>
                </c:pt>
                <c:pt idx="3">
                  <c:v>中市盈率指数</c:v>
                </c:pt>
                <c:pt idx="4">
                  <c:v>低市盈率指数</c:v>
                </c:pt>
                <c:pt idx="5">
                  <c:v>高市盈率指数</c:v>
                </c:pt>
              </c:strCache>
            </c:strRef>
          </c:cat>
          <c:val>
            <c:numRef>
              <c:f>行业!$C$30:$C$35</c:f>
              <c:numCache>
                <c:formatCode>#,##0.00_ </c:formatCode>
                <c:ptCount val="6"/>
                <c:pt idx="0">
                  <c:v>4.83</c:v>
                </c:pt>
                <c:pt idx="1">
                  <c:v>2.69</c:v>
                </c:pt>
                <c:pt idx="2">
                  <c:v>-0.64</c:v>
                </c:pt>
                <c:pt idx="3">
                  <c:v>4.96</c:v>
                </c:pt>
                <c:pt idx="4">
                  <c:v>-0.26</c:v>
                </c:pt>
                <c:pt idx="5">
                  <c:v>5.22</c:v>
                </c:pt>
              </c:numCache>
            </c:numRef>
          </c:val>
        </c:ser>
        <c:dLbls>
          <c:showLegendKey val="0"/>
          <c:showVal val="0"/>
          <c:showCatName val="0"/>
          <c:showSerName val="0"/>
          <c:showPercent val="0"/>
          <c:showBubbleSize val="0"/>
        </c:dLbls>
        <c:gapWidth val="227"/>
        <c:overlap val="-48"/>
        <c:axId val="552132952"/>
        <c:axId val="552133344"/>
      </c:barChart>
      <c:catAx>
        <c:axId val="552132952"/>
        <c:scaling>
          <c:orientation val="minMax"/>
        </c:scaling>
        <c:delete val="0"/>
        <c:axPos val="l"/>
        <c:majorGridlines>
          <c:spPr>
            <a:ln w="9525">
              <a:solidFill>
                <a:schemeClr val="tx1">
                  <a:lumMod val="15000"/>
                  <a:lumOff val="85000"/>
                </a:schemeClr>
              </a:solidFill>
              <a:prstDash val="dashDot"/>
            </a:ln>
            <a:effectLst/>
          </c:spPr>
        </c:majorGridlines>
        <c:numFmt formatCode="General" sourceLinked="1"/>
        <c:majorTickMark val="out"/>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zh-CN"/>
          </a:p>
        </c:txPr>
        <c:crossAx val="552133344"/>
        <c:crossesAt val="0"/>
        <c:auto val="1"/>
        <c:lblAlgn val="ctr"/>
        <c:lblOffset val="100"/>
        <c:noMultiLvlLbl val="0"/>
      </c:catAx>
      <c:valAx>
        <c:axId val="552133344"/>
        <c:scaling>
          <c:orientation val="minMax"/>
        </c:scaling>
        <c:delete val="0"/>
        <c:axPos val="b"/>
        <c:numFmt formatCode="#,##0.00_ "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crossAx val="552132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8637129368321432E-2"/>
          <c:y val="4.5454545454545456E-2"/>
          <c:w val="0.90649832428864485"/>
          <c:h val="0.77394984217281215"/>
        </c:manualLayout>
      </c:layout>
      <c:barChart>
        <c:barDir val="col"/>
        <c:grouping val="clustered"/>
        <c:varyColors val="0"/>
        <c:ser>
          <c:idx val="0"/>
          <c:order val="0"/>
          <c:tx>
            <c:strRef>
              <c:f>行业!$K$3</c:f>
              <c:strCache>
                <c:ptCount val="1"/>
                <c:pt idx="0">
                  <c:v>月度涨幅(%)</c:v>
                </c:pt>
              </c:strCache>
            </c:strRef>
          </c:tx>
          <c:spPr>
            <a:solidFill>
              <a:schemeClr val="accent1">
                <a:alpha val="70000"/>
              </a:schemeClr>
            </a:solidFill>
            <a:ln>
              <a:noFill/>
            </a:ln>
            <a:effectLst/>
          </c:spPr>
          <c:invertIfNegative val="0"/>
          <c:cat>
            <c:strRef>
              <c:f>行业!$J$4:$J$31</c:f>
              <c:strCache>
                <c:ptCount val="28"/>
                <c:pt idx="0">
                  <c:v>电子</c:v>
                </c:pt>
                <c:pt idx="1">
                  <c:v>国防军工</c:v>
                </c:pt>
                <c:pt idx="2">
                  <c:v>电气设备</c:v>
                </c:pt>
                <c:pt idx="3">
                  <c:v>食品饮料</c:v>
                </c:pt>
                <c:pt idx="4">
                  <c:v>计算机</c:v>
                </c:pt>
                <c:pt idx="5">
                  <c:v>轻工制造</c:v>
                </c:pt>
                <c:pt idx="6">
                  <c:v>机械设备</c:v>
                </c:pt>
                <c:pt idx="7">
                  <c:v>化工</c:v>
                </c:pt>
                <c:pt idx="8">
                  <c:v>通信</c:v>
                </c:pt>
                <c:pt idx="9">
                  <c:v>有色金属</c:v>
                </c:pt>
                <c:pt idx="10">
                  <c:v>汽车</c:v>
                </c:pt>
                <c:pt idx="11">
                  <c:v>综合</c:v>
                </c:pt>
                <c:pt idx="12">
                  <c:v>医药生物</c:v>
                </c:pt>
                <c:pt idx="13">
                  <c:v>家用电器</c:v>
                </c:pt>
                <c:pt idx="14">
                  <c:v>建筑材料</c:v>
                </c:pt>
                <c:pt idx="15">
                  <c:v>建筑装饰</c:v>
                </c:pt>
                <c:pt idx="16">
                  <c:v>农林牧渔</c:v>
                </c:pt>
                <c:pt idx="17">
                  <c:v>采掘</c:v>
                </c:pt>
                <c:pt idx="18">
                  <c:v>房地产</c:v>
                </c:pt>
                <c:pt idx="19">
                  <c:v>公用事业</c:v>
                </c:pt>
                <c:pt idx="20">
                  <c:v>纺织服装</c:v>
                </c:pt>
                <c:pt idx="21">
                  <c:v>休闲服务</c:v>
                </c:pt>
                <c:pt idx="22">
                  <c:v>非银金融</c:v>
                </c:pt>
                <c:pt idx="23">
                  <c:v>商业贸易</c:v>
                </c:pt>
                <c:pt idx="24">
                  <c:v>传媒</c:v>
                </c:pt>
                <c:pt idx="25">
                  <c:v>钢铁</c:v>
                </c:pt>
                <c:pt idx="26">
                  <c:v>交通运输</c:v>
                </c:pt>
                <c:pt idx="27">
                  <c:v>银行</c:v>
                </c:pt>
              </c:strCache>
            </c:strRef>
          </c:cat>
          <c:val>
            <c:numRef>
              <c:f>行业!$K$4:$K$31</c:f>
              <c:numCache>
                <c:formatCode>0.00_ </c:formatCode>
                <c:ptCount val="28"/>
                <c:pt idx="0">
                  <c:v>8.91</c:v>
                </c:pt>
                <c:pt idx="1">
                  <c:v>7.93</c:v>
                </c:pt>
                <c:pt idx="2">
                  <c:v>7.2</c:v>
                </c:pt>
                <c:pt idx="3">
                  <c:v>6.86</c:v>
                </c:pt>
                <c:pt idx="4">
                  <c:v>6.61</c:v>
                </c:pt>
                <c:pt idx="5">
                  <c:v>5.76</c:v>
                </c:pt>
                <c:pt idx="6">
                  <c:v>5.63</c:v>
                </c:pt>
                <c:pt idx="7">
                  <c:v>5.24</c:v>
                </c:pt>
                <c:pt idx="8">
                  <c:v>5.0599999999999996</c:v>
                </c:pt>
                <c:pt idx="9">
                  <c:v>4.8600000000000003</c:v>
                </c:pt>
                <c:pt idx="10">
                  <c:v>4.67</c:v>
                </c:pt>
                <c:pt idx="11">
                  <c:v>4.58</c:v>
                </c:pt>
                <c:pt idx="12">
                  <c:v>4.13</c:v>
                </c:pt>
                <c:pt idx="13">
                  <c:v>4.03</c:v>
                </c:pt>
                <c:pt idx="14">
                  <c:v>2.27</c:v>
                </c:pt>
                <c:pt idx="15">
                  <c:v>1.68</c:v>
                </c:pt>
                <c:pt idx="16">
                  <c:v>1.6</c:v>
                </c:pt>
                <c:pt idx="17">
                  <c:v>1.07</c:v>
                </c:pt>
                <c:pt idx="18">
                  <c:v>0.71</c:v>
                </c:pt>
                <c:pt idx="19">
                  <c:v>0.48</c:v>
                </c:pt>
                <c:pt idx="20">
                  <c:v>0.31</c:v>
                </c:pt>
                <c:pt idx="21">
                  <c:v>-0.43</c:v>
                </c:pt>
                <c:pt idx="22">
                  <c:v>-0.54</c:v>
                </c:pt>
                <c:pt idx="23">
                  <c:v>-0.67</c:v>
                </c:pt>
                <c:pt idx="24">
                  <c:v>-1.1599999999999999</c:v>
                </c:pt>
                <c:pt idx="25">
                  <c:v>-1.71</c:v>
                </c:pt>
                <c:pt idx="26">
                  <c:v>-1.83</c:v>
                </c:pt>
                <c:pt idx="27">
                  <c:v>-2.42</c:v>
                </c:pt>
              </c:numCache>
            </c:numRef>
          </c:val>
        </c:ser>
        <c:dLbls>
          <c:showLegendKey val="0"/>
          <c:showVal val="0"/>
          <c:showCatName val="0"/>
          <c:showSerName val="0"/>
          <c:showPercent val="0"/>
          <c:showBubbleSize val="0"/>
        </c:dLbls>
        <c:gapWidth val="80"/>
        <c:overlap val="25"/>
        <c:axId val="552137264"/>
        <c:axId val="552137656"/>
      </c:barChart>
      <c:catAx>
        <c:axId val="552137264"/>
        <c:scaling>
          <c:orientation val="minMax"/>
        </c:scaling>
        <c:delete val="0"/>
        <c:axPos val="b"/>
        <c:numFmt formatCode="0.00_ " sourceLinked="0"/>
        <c:majorTickMark val="none"/>
        <c:minorTickMark val="none"/>
        <c:tickLblPos val="low"/>
        <c:spPr>
          <a:noFill/>
          <a:ln w="15875" cap="flat" cmpd="sng" algn="ctr">
            <a:solidFill>
              <a:schemeClr val="tx1">
                <a:lumMod val="25000"/>
                <a:lumOff val="75000"/>
              </a:schemeClr>
            </a:solidFill>
            <a:round/>
          </a:ln>
          <a:effectLst/>
        </c:spPr>
        <c:txPr>
          <a:bodyPr rot="-2700000" spcFirstLastPara="1" vertOverflow="ellipsis" wrap="square" anchor="ctr" anchorCtr="1"/>
          <a:lstStyle/>
          <a:p>
            <a:pPr>
              <a:defRPr sz="600" b="0" i="0" u="none" strike="noStrike" kern="1200" cap="none" spc="20" normalizeH="0" baseline="0">
                <a:solidFill>
                  <a:schemeClr val="tx1">
                    <a:lumMod val="65000"/>
                    <a:lumOff val="35000"/>
                  </a:schemeClr>
                </a:solidFill>
                <a:latin typeface="+mn-lt"/>
                <a:ea typeface="+mn-ea"/>
                <a:cs typeface="+mn-cs"/>
              </a:defRPr>
            </a:pPr>
            <a:endParaRPr lang="zh-CN"/>
          </a:p>
        </c:txPr>
        <c:crossAx val="552137656"/>
        <c:crosses val="autoZero"/>
        <c:auto val="1"/>
        <c:lblAlgn val="ctr"/>
        <c:lblOffset val="0"/>
        <c:tickLblSkip val="1"/>
        <c:tickMarkSkip val="1"/>
        <c:noMultiLvlLbl val="0"/>
      </c:catAx>
      <c:valAx>
        <c:axId val="552137656"/>
        <c:scaling>
          <c:orientation val="minMax"/>
        </c:scaling>
        <c:delete val="0"/>
        <c:axPos val="l"/>
        <c:majorGridlines>
          <c:spPr>
            <a:ln w="9525" cap="flat" cmpd="sng" algn="ctr">
              <a:solidFill>
                <a:schemeClr val="tx1">
                  <a:lumMod val="5000"/>
                  <a:lumOff val="95000"/>
                </a:schemeClr>
              </a:solidFill>
              <a:prstDash val="dashDot"/>
              <a:round/>
            </a:ln>
            <a:effectLst/>
          </c:spPr>
        </c:majorGridlines>
        <c:numFmt formatCode="#,##0.00_ " sourceLinked="0"/>
        <c:majorTickMark val="none"/>
        <c:minorTickMark val="none"/>
        <c:tickLblPos val="low"/>
        <c:spPr>
          <a:noFill/>
          <a:ln>
            <a:noFill/>
          </a:ln>
          <a:effectLst/>
        </c:spPr>
        <c:txPr>
          <a:bodyPr rot="0" spcFirstLastPara="1" vertOverflow="ellipsis"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zh-CN"/>
          </a:p>
        </c:txPr>
        <c:crossAx val="552137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6097186932808"/>
          <c:y val="4.9886621315192746E-2"/>
          <c:w val="0.80560831287717372"/>
          <c:h val="0.70882818219151178"/>
        </c:manualLayout>
      </c:layout>
      <c:barChart>
        <c:barDir val="col"/>
        <c:grouping val="clustered"/>
        <c:varyColors val="0"/>
        <c:ser>
          <c:idx val="0"/>
          <c:order val="0"/>
          <c:tx>
            <c:strRef>
              <c:f>按预期收益率!$B$2</c:f>
              <c:strCache>
                <c:ptCount val="1"/>
                <c:pt idx="0">
                  <c:v>产品总数</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按预期收益率!$A$3:$A$68</c:f>
              <c:strCache>
                <c:ptCount val="66"/>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2016-06</c:v>
                </c:pt>
              </c:strCache>
            </c:strRef>
          </c:cat>
          <c:val>
            <c:numRef>
              <c:f>按预期收益率!$B$3:$B$68</c:f>
              <c:numCache>
                <c:formatCode>#,##0</c:formatCode>
                <c:ptCount val="66"/>
                <c:pt idx="0">
                  <c:v>1703</c:v>
                </c:pt>
                <c:pt idx="1">
                  <c:v>1385</c:v>
                </c:pt>
                <c:pt idx="2">
                  <c:v>2061</c:v>
                </c:pt>
                <c:pt idx="3">
                  <c:v>1759</c:v>
                </c:pt>
                <c:pt idx="4">
                  <c:v>1959</c:v>
                </c:pt>
                <c:pt idx="5">
                  <c:v>2218</c:v>
                </c:pt>
                <c:pt idx="6">
                  <c:v>2147</c:v>
                </c:pt>
                <c:pt idx="7">
                  <c:v>2144</c:v>
                </c:pt>
                <c:pt idx="8">
                  <c:v>2286</c:v>
                </c:pt>
                <c:pt idx="9">
                  <c:v>2288</c:v>
                </c:pt>
                <c:pt idx="10">
                  <c:v>2310</c:v>
                </c:pt>
                <c:pt idx="11">
                  <c:v>1971</c:v>
                </c:pt>
                <c:pt idx="12">
                  <c:v>1860</c:v>
                </c:pt>
                <c:pt idx="13">
                  <c:v>2331</c:v>
                </c:pt>
                <c:pt idx="14">
                  <c:v>2537</c:v>
                </c:pt>
                <c:pt idx="15">
                  <c:v>2213</c:v>
                </c:pt>
                <c:pt idx="16">
                  <c:v>2507</c:v>
                </c:pt>
                <c:pt idx="17">
                  <c:v>2509</c:v>
                </c:pt>
                <c:pt idx="18">
                  <c:v>2755</c:v>
                </c:pt>
                <c:pt idx="19">
                  <c:v>3112</c:v>
                </c:pt>
                <c:pt idx="20">
                  <c:v>3023</c:v>
                </c:pt>
                <c:pt idx="21">
                  <c:v>2018</c:v>
                </c:pt>
                <c:pt idx="22">
                  <c:v>3289</c:v>
                </c:pt>
                <c:pt idx="23">
                  <c:v>3448</c:v>
                </c:pt>
                <c:pt idx="24">
                  <c:v>3311</c:v>
                </c:pt>
                <c:pt idx="25">
                  <c:v>2620</c:v>
                </c:pt>
                <c:pt idx="26">
                  <c:v>3108</c:v>
                </c:pt>
                <c:pt idx="27">
                  <c:v>2884</c:v>
                </c:pt>
                <c:pt idx="28">
                  <c:v>3123</c:v>
                </c:pt>
                <c:pt idx="29">
                  <c:v>3039</c:v>
                </c:pt>
                <c:pt idx="30">
                  <c:v>3525</c:v>
                </c:pt>
                <c:pt idx="31">
                  <c:v>3377</c:v>
                </c:pt>
                <c:pt idx="32">
                  <c:v>3416</c:v>
                </c:pt>
                <c:pt idx="33">
                  <c:v>3082</c:v>
                </c:pt>
                <c:pt idx="34">
                  <c:v>3598</c:v>
                </c:pt>
                <c:pt idx="35">
                  <c:v>3902</c:v>
                </c:pt>
                <c:pt idx="36">
                  <c:v>3822</c:v>
                </c:pt>
                <c:pt idx="37">
                  <c:v>3337</c:v>
                </c:pt>
                <c:pt idx="38">
                  <c:v>4285</c:v>
                </c:pt>
                <c:pt idx="39">
                  <c:v>4242</c:v>
                </c:pt>
                <c:pt idx="40">
                  <c:v>4290</c:v>
                </c:pt>
                <c:pt idx="41">
                  <c:v>4675</c:v>
                </c:pt>
                <c:pt idx="42">
                  <c:v>4966</c:v>
                </c:pt>
                <c:pt idx="43">
                  <c:v>5000</c:v>
                </c:pt>
                <c:pt idx="44">
                  <c:v>5408</c:v>
                </c:pt>
                <c:pt idx="45">
                  <c:v>4669</c:v>
                </c:pt>
                <c:pt idx="46">
                  <c:v>5016</c:v>
                </c:pt>
                <c:pt idx="47">
                  <c:v>5843</c:v>
                </c:pt>
                <c:pt idx="48">
                  <c:v>5511</c:v>
                </c:pt>
                <c:pt idx="49">
                  <c:v>4794</c:v>
                </c:pt>
                <c:pt idx="50">
                  <c:v>6488</c:v>
                </c:pt>
                <c:pt idx="51">
                  <c:v>6835</c:v>
                </c:pt>
                <c:pt idx="52">
                  <c:v>5905</c:v>
                </c:pt>
                <c:pt idx="53">
                  <c:v>5881</c:v>
                </c:pt>
                <c:pt idx="54">
                  <c:v>5924</c:v>
                </c:pt>
                <c:pt idx="55">
                  <c:v>5442</c:v>
                </c:pt>
                <c:pt idx="56">
                  <c:v>5877</c:v>
                </c:pt>
                <c:pt idx="57">
                  <c:v>5191</c:v>
                </c:pt>
                <c:pt idx="58">
                  <c:v>5659</c:v>
                </c:pt>
                <c:pt idx="59">
                  <c:v>6376</c:v>
                </c:pt>
                <c:pt idx="60">
                  <c:v>5947</c:v>
                </c:pt>
                <c:pt idx="61">
                  <c:v>4941</c:v>
                </c:pt>
                <c:pt idx="62">
                  <c:v>6828</c:v>
                </c:pt>
                <c:pt idx="63">
                  <c:v>6278</c:v>
                </c:pt>
                <c:pt idx="64">
                  <c:v>6599</c:v>
                </c:pt>
                <c:pt idx="65">
                  <c:v>6421</c:v>
                </c:pt>
              </c:numCache>
            </c:numRef>
          </c:val>
        </c:ser>
        <c:dLbls>
          <c:showLegendKey val="0"/>
          <c:showVal val="0"/>
          <c:showCatName val="0"/>
          <c:showSerName val="0"/>
          <c:showPercent val="0"/>
          <c:showBubbleSize val="0"/>
        </c:dLbls>
        <c:gapWidth val="247"/>
        <c:axId val="552146280"/>
        <c:axId val="552146672"/>
      </c:barChart>
      <c:lineChart>
        <c:grouping val="standard"/>
        <c:varyColors val="0"/>
        <c:ser>
          <c:idx val="1"/>
          <c:order val="1"/>
          <c:tx>
            <c:strRef>
              <c:f>按预期收益率!$C$2</c:f>
              <c:strCache>
                <c:ptCount val="1"/>
                <c:pt idx="0">
                  <c:v>平均预期收益率(%)</c:v>
                </c:pt>
              </c:strCache>
            </c:strRef>
          </c:tx>
          <c:spPr>
            <a:ln w="15875" cap="rnd">
              <a:solidFill>
                <a:schemeClr val="accent2"/>
              </a:solidFill>
              <a:round/>
            </a:ln>
            <a:effectLst/>
          </c:spPr>
          <c:marker>
            <c:symbol val="none"/>
          </c:marker>
          <c:cat>
            <c:strRef>
              <c:f>按预期收益率!$A$3:$A$68</c:f>
              <c:strCache>
                <c:ptCount val="66"/>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2016-06</c:v>
                </c:pt>
              </c:strCache>
            </c:strRef>
          </c:cat>
          <c:val>
            <c:numRef>
              <c:f>按预期收益率!$C$3:$C$68</c:f>
              <c:numCache>
                <c:formatCode>#,##0.00</c:formatCode>
                <c:ptCount val="66"/>
                <c:pt idx="0">
                  <c:v>3.5832868981999999</c:v>
                </c:pt>
                <c:pt idx="1">
                  <c:v>3.6506005136000002</c:v>
                </c:pt>
                <c:pt idx="2">
                  <c:v>3.8298144934999998</c:v>
                </c:pt>
                <c:pt idx="3">
                  <c:v>3.8715008149000001</c:v>
                </c:pt>
                <c:pt idx="4">
                  <c:v>3.8647846557999999</c:v>
                </c:pt>
                <c:pt idx="5">
                  <c:v>4.5319534007</c:v>
                </c:pt>
                <c:pt idx="6">
                  <c:v>4.5897498808000003</c:v>
                </c:pt>
                <c:pt idx="7">
                  <c:v>4.4954311474999997</c:v>
                </c:pt>
                <c:pt idx="8">
                  <c:v>4.7677347241000003</c:v>
                </c:pt>
                <c:pt idx="9">
                  <c:v>4.8119365436999999</c:v>
                </c:pt>
                <c:pt idx="10">
                  <c:v>4.9757959128999998</c:v>
                </c:pt>
                <c:pt idx="11">
                  <c:v>5.0883992701</c:v>
                </c:pt>
                <c:pt idx="12">
                  <c:v>5.0545585893</c:v>
                </c:pt>
                <c:pt idx="13">
                  <c:v>4.8644706873999999</c:v>
                </c:pt>
                <c:pt idx="14">
                  <c:v>4.8013887979999996</c:v>
                </c:pt>
                <c:pt idx="15">
                  <c:v>4.6661129820999996</c:v>
                </c:pt>
                <c:pt idx="16">
                  <c:v>4.5026882596000002</c:v>
                </c:pt>
                <c:pt idx="17">
                  <c:v>4.4068525134999996</c:v>
                </c:pt>
                <c:pt idx="18">
                  <c:v>4.2731749905000003</c:v>
                </c:pt>
                <c:pt idx="19">
                  <c:v>4.1414739653000003</c:v>
                </c:pt>
                <c:pt idx="20">
                  <c:v>4.1490639344</c:v>
                </c:pt>
                <c:pt idx="21">
                  <c:v>4.1634525967</c:v>
                </c:pt>
                <c:pt idx="22">
                  <c:v>4.2645699503000003</c:v>
                </c:pt>
                <c:pt idx="23">
                  <c:v>4.4542978157000004</c:v>
                </c:pt>
                <c:pt idx="24">
                  <c:v>4.3689292738000001</c:v>
                </c:pt>
                <c:pt idx="25">
                  <c:v>4.3321736484000004</c:v>
                </c:pt>
                <c:pt idx="26">
                  <c:v>4.2965874792000003</c:v>
                </c:pt>
                <c:pt idx="27">
                  <c:v>4.2664821892999996</c:v>
                </c:pt>
                <c:pt idx="28">
                  <c:v>4.2455879171999999</c:v>
                </c:pt>
                <c:pt idx="29">
                  <c:v>4.7716060729000001</c:v>
                </c:pt>
                <c:pt idx="30">
                  <c:v>4.6651667662999996</c:v>
                </c:pt>
                <c:pt idx="31">
                  <c:v>4.7124039852999999</c:v>
                </c:pt>
                <c:pt idx="32">
                  <c:v>4.9923644966999996</c:v>
                </c:pt>
                <c:pt idx="33">
                  <c:v>4.9801215046999996</c:v>
                </c:pt>
                <c:pt idx="34">
                  <c:v>5.1447478992000004</c:v>
                </c:pt>
                <c:pt idx="35">
                  <c:v>5.6794363341</c:v>
                </c:pt>
                <c:pt idx="36">
                  <c:v>5.7795556467000004</c:v>
                </c:pt>
                <c:pt idx="37">
                  <c:v>5.6635488161999996</c:v>
                </c:pt>
                <c:pt idx="38">
                  <c:v>5.5418977713000004</c:v>
                </c:pt>
                <c:pt idx="39">
                  <c:v>5.3976706056000001</c:v>
                </c:pt>
                <c:pt idx="40">
                  <c:v>5.2324498670999997</c:v>
                </c:pt>
                <c:pt idx="41">
                  <c:v>5.2417230430000004</c:v>
                </c:pt>
                <c:pt idx="42">
                  <c:v>5.1410396991000002</c:v>
                </c:pt>
                <c:pt idx="43">
                  <c:v>5.1241331122</c:v>
                </c:pt>
                <c:pt idx="44">
                  <c:v>5.1578884614999998</c:v>
                </c:pt>
                <c:pt idx="45">
                  <c:v>5.1189957692999997</c:v>
                </c:pt>
                <c:pt idx="46">
                  <c:v>5.0654678182000001</c:v>
                </c:pt>
                <c:pt idx="47">
                  <c:v>5.1843818632999996</c:v>
                </c:pt>
                <c:pt idx="48">
                  <c:v>5.2392842381999998</c:v>
                </c:pt>
                <c:pt idx="49">
                  <c:v>5.2456499676000004</c:v>
                </c:pt>
                <c:pt idx="50">
                  <c:v>5.1935608355999996</c:v>
                </c:pt>
                <c:pt idx="51">
                  <c:v>5.2134911960999997</c:v>
                </c:pt>
                <c:pt idx="52">
                  <c:v>5.1332951944999996</c:v>
                </c:pt>
                <c:pt idx="53">
                  <c:v>5.0590082935999998</c:v>
                </c:pt>
                <c:pt idx="54">
                  <c:v>4.9571919971999998</c:v>
                </c:pt>
                <c:pt idx="55">
                  <c:v>4.7615831740000001</c:v>
                </c:pt>
                <c:pt idx="56">
                  <c:v>4.6546677328000001</c:v>
                </c:pt>
                <c:pt idx="57">
                  <c:v>4.5224439506999996</c:v>
                </c:pt>
                <c:pt idx="58">
                  <c:v>4.3565508221</c:v>
                </c:pt>
                <c:pt idx="59">
                  <c:v>4.3509323432000002</c:v>
                </c:pt>
                <c:pt idx="60">
                  <c:v>4.264336535</c:v>
                </c:pt>
                <c:pt idx="61">
                  <c:v>4.2025226172999997</c:v>
                </c:pt>
                <c:pt idx="62">
                  <c:v>4.1160266909000001</c:v>
                </c:pt>
                <c:pt idx="63">
                  <c:v>4.0055171273000001</c:v>
                </c:pt>
                <c:pt idx="64">
                  <c:v>3.8959489226000001</c:v>
                </c:pt>
                <c:pt idx="65">
                  <c:v>3.8705698075999999</c:v>
                </c:pt>
              </c:numCache>
            </c:numRef>
          </c:val>
          <c:smooth val="0"/>
        </c:ser>
        <c:dLbls>
          <c:showLegendKey val="0"/>
          <c:showVal val="0"/>
          <c:showCatName val="0"/>
          <c:showSerName val="0"/>
          <c:showPercent val="0"/>
          <c:showBubbleSize val="0"/>
        </c:dLbls>
        <c:marker val="1"/>
        <c:smooth val="0"/>
        <c:axId val="402456288"/>
        <c:axId val="552147064"/>
      </c:lineChart>
      <c:catAx>
        <c:axId val="55214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zh-CN"/>
          </a:p>
        </c:txPr>
        <c:crossAx val="552146672"/>
        <c:crosses val="autoZero"/>
        <c:auto val="1"/>
        <c:lblAlgn val="ctr"/>
        <c:lblOffset val="100"/>
        <c:noMultiLvlLbl val="0"/>
      </c:catAx>
      <c:valAx>
        <c:axId val="552146672"/>
        <c:scaling>
          <c:orientation val="minMax"/>
        </c:scaling>
        <c:delete val="0"/>
        <c:axPos val="l"/>
        <c:majorGridlines>
          <c:spPr>
            <a:ln w="9525" cap="flat" cmpd="sng" algn="ctr">
              <a:solidFill>
                <a:schemeClr val="tx1">
                  <a:lumMod val="15000"/>
                  <a:lumOff val="85000"/>
                </a:schemeClr>
              </a:solidFill>
              <a:prstDash val="dashDot"/>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crossAx val="552146280"/>
        <c:crosses val="autoZero"/>
        <c:crossBetween val="between"/>
      </c:valAx>
      <c:valAx>
        <c:axId val="55214706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zh-CN"/>
          </a:p>
        </c:txPr>
        <c:crossAx val="402456288"/>
        <c:crosses val="max"/>
        <c:crossBetween val="between"/>
      </c:valAx>
      <c:catAx>
        <c:axId val="402456288"/>
        <c:scaling>
          <c:orientation val="minMax"/>
        </c:scaling>
        <c:delete val="1"/>
        <c:axPos val="b"/>
        <c:numFmt formatCode="General" sourceLinked="1"/>
        <c:majorTickMark val="none"/>
        <c:minorTickMark val="none"/>
        <c:tickLblPos val="nextTo"/>
        <c:crossAx val="552147064"/>
        <c:crosses val="autoZero"/>
        <c:auto val="1"/>
        <c:lblAlgn val="ctr"/>
        <c:lblOffset val="100"/>
        <c:noMultiLvlLbl val="0"/>
      </c:catAx>
      <c:spPr>
        <a:noFill/>
        <a:ln>
          <a:noFill/>
        </a:ln>
        <a:effectLst/>
      </c:spPr>
    </c:plotArea>
    <c:legend>
      <c:legendPos val="b"/>
      <c:layout>
        <c:manualLayout>
          <c:xMode val="edge"/>
          <c:yMode val="edge"/>
          <c:x val="7.2039787640181319E-2"/>
          <c:y val="0.91439855732319153"/>
          <c:w val="0.86209436888570734"/>
          <c:h val="7.653114789222777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6270683555859"/>
          <c:y val="5.7082855193831043E-2"/>
          <c:w val="0.87884309026589069"/>
          <c:h val="0.65221881507609725"/>
        </c:manualLayout>
      </c:layout>
      <c:lineChart>
        <c:grouping val="standard"/>
        <c:varyColors val="0"/>
        <c:ser>
          <c:idx val="0"/>
          <c:order val="0"/>
          <c:tx>
            <c:strRef>
              <c:f>Sheet1!$B$2</c:f>
              <c:strCache>
                <c:ptCount val="1"/>
                <c:pt idx="0">
                  <c:v>1个月以下</c:v>
                </c:pt>
              </c:strCache>
            </c:strRef>
          </c:tx>
          <c:spPr>
            <a:ln w="31750" cap="rnd">
              <a:solidFill>
                <a:schemeClr val="accent1"/>
              </a:solidFill>
              <a:round/>
            </a:ln>
            <a:effectLst>
              <a:outerShdw blurRad="57150" dist="19050" dir="5400000" algn="ctr" rotWithShape="0">
                <a:srgbClr val="000000">
                  <a:alpha val="63000"/>
                </a:srgbClr>
              </a:outerShdw>
            </a:effectLst>
          </c:spPr>
          <c:marker>
            <c:symbol val="none"/>
          </c:marker>
          <c:cat>
            <c:strRef>
              <c:f>Sheet1!$A$3:$A$68</c:f>
              <c:strCache>
                <c:ptCount val="66"/>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2016/6/1</c:v>
                </c:pt>
              </c:strCache>
            </c:strRef>
          </c:cat>
          <c:val>
            <c:numRef>
              <c:f>Sheet1!$B$3:$B$68</c:f>
              <c:numCache>
                <c:formatCode>#,##0.0000</c:formatCode>
                <c:ptCount val="66"/>
                <c:pt idx="0">
                  <c:v>3.2173476684</c:v>
                </c:pt>
                <c:pt idx="1">
                  <c:v>3.5108259669000002</c:v>
                </c:pt>
                <c:pt idx="2">
                  <c:v>3.5000700758000001</c:v>
                </c:pt>
                <c:pt idx="3">
                  <c:v>3.5797618473999999</c:v>
                </c:pt>
                <c:pt idx="4">
                  <c:v>3.5036136187000002</c:v>
                </c:pt>
                <c:pt idx="5">
                  <c:v>3.9546498507000001</c:v>
                </c:pt>
                <c:pt idx="6">
                  <c:v>4.5716411931999996</c:v>
                </c:pt>
                <c:pt idx="7">
                  <c:v>4.4661465347</c:v>
                </c:pt>
                <c:pt idx="8">
                  <c:v>4.2390228013</c:v>
                </c:pt>
                <c:pt idx="9">
                  <c:v>4.4233336133999996</c:v>
                </c:pt>
                <c:pt idx="10">
                  <c:v>4.3473010169000004</c:v>
                </c:pt>
                <c:pt idx="11">
                  <c:v>4.1957723502000004</c:v>
                </c:pt>
                <c:pt idx="12">
                  <c:v>3.8517633803</c:v>
                </c:pt>
                <c:pt idx="13">
                  <c:v>3.7490306569</c:v>
                </c:pt>
                <c:pt idx="14">
                  <c:v>4.0552999999999999</c:v>
                </c:pt>
                <c:pt idx="15">
                  <c:v>4.0855881118999999</c:v>
                </c:pt>
                <c:pt idx="16">
                  <c:v>4.0705882352999998</c:v>
                </c:pt>
                <c:pt idx="17">
                  <c:v>3.8843390000000002</c:v>
                </c:pt>
                <c:pt idx="18">
                  <c:v>3.9605102041000002</c:v>
                </c:pt>
                <c:pt idx="19">
                  <c:v>3.7186544600999998</c:v>
                </c:pt>
                <c:pt idx="20">
                  <c:v>3.6906741573000001</c:v>
                </c:pt>
                <c:pt idx="21">
                  <c:v>3.9320976189999999</c:v>
                </c:pt>
                <c:pt idx="22">
                  <c:v>3.0416666666999999</c:v>
                </c:pt>
                <c:pt idx="23">
                  <c:v>4.1519230769000002</c:v>
                </c:pt>
                <c:pt idx="24">
                  <c:v>4.1359374999999998</c:v>
                </c:pt>
                <c:pt idx="25">
                  <c:v>3.7428571429000002</c:v>
                </c:pt>
                <c:pt idx="26">
                  <c:v>3.6971428570999998</c:v>
                </c:pt>
                <c:pt idx="27">
                  <c:v>3.5925925926</c:v>
                </c:pt>
                <c:pt idx="28">
                  <c:v>3.9270270269999998</c:v>
                </c:pt>
                <c:pt idx="29">
                  <c:v>3.7562500000000001</c:v>
                </c:pt>
                <c:pt idx="30">
                  <c:v>4.5210416667000004</c:v>
                </c:pt>
                <c:pt idx="31">
                  <c:v>4.0711538461999996</c:v>
                </c:pt>
                <c:pt idx="32">
                  <c:v>4.1500000000000004</c:v>
                </c:pt>
                <c:pt idx="33">
                  <c:v>4.765625</c:v>
                </c:pt>
                <c:pt idx="34">
                  <c:v>4.3727272726999997</c:v>
                </c:pt>
                <c:pt idx="35">
                  <c:v>4.6782608695999999</c:v>
                </c:pt>
                <c:pt idx="36">
                  <c:v>5.3003999999999998</c:v>
                </c:pt>
                <c:pt idx="37">
                  <c:v>5.0315789473999999</c:v>
                </c:pt>
                <c:pt idx="38">
                  <c:v>5.1846874999999999</c:v>
                </c:pt>
                <c:pt idx="39">
                  <c:v>4.9428124999999996</c:v>
                </c:pt>
                <c:pt idx="40">
                  <c:v>4.9263157895000003</c:v>
                </c:pt>
                <c:pt idx="41">
                  <c:v>4.8795454544999997</c:v>
                </c:pt>
                <c:pt idx="42">
                  <c:v>4.8600000000000003</c:v>
                </c:pt>
                <c:pt idx="43">
                  <c:v>5.2320000000000002</c:v>
                </c:pt>
                <c:pt idx="44">
                  <c:v>5.0286363636000004</c:v>
                </c:pt>
                <c:pt idx="45">
                  <c:v>5.0277777777999999</c:v>
                </c:pt>
                <c:pt idx="46">
                  <c:v>4.890625</c:v>
                </c:pt>
                <c:pt idx="47">
                  <c:v>4.7169999999999996</c:v>
                </c:pt>
                <c:pt idx="48">
                  <c:v>5.1244444443999999</c:v>
                </c:pt>
                <c:pt idx="49">
                  <c:v>4.8418918918999996</c:v>
                </c:pt>
                <c:pt idx="50">
                  <c:v>4.3880952381</c:v>
                </c:pt>
                <c:pt idx="51">
                  <c:v>4.9277777778000003</c:v>
                </c:pt>
                <c:pt idx="52">
                  <c:v>5.0136363635999999</c:v>
                </c:pt>
                <c:pt idx="53">
                  <c:v>4.2439999999999998</c:v>
                </c:pt>
                <c:pt idx="54">
                  <c:v>4.1235294117999999</c:v>
                </c:pt>
                <c:pt idx="55">
                  <c:v>3.3318478261000002</c:v>
                </c:pt>
                <c:pt idx="56">
                  <c:v>3.7679487179</c:v>
                </c:pt>
                <c:pt idx="57">
                  <c:v>3.5807692308000001</c:v>
                </c:pt>
                <c:pt idx="58">
                  <c:v>3.3907142857000001</c:v>
                </c:pt>
                <c:pt idx="59">
                  <c:v>3.5494897959</c:v>
                </c:pt>
                <c:pt idx="60">
                  <c:v>3.222</c:v>
                </c:pt>
                <c:pt idx="61">
                  <c:v>3.3544303797000001</c:v>
                </c:pt>
                <c:pt idx="62">
                  <c:v>3.1201298701</c:v>
                </c:pt>
                <c:pt idx="63">
                  <c:v>3.1244117647</c:v>
                </c:pt>
                <c:pt idx="64">
                  <c:v>3.1629310345000001</c:v>
                </c:pt>
                <c:pt idx="65" formatCode="General">
                  <c:v>3.1</c:v>
                </c:pt>
              </c:numCache>
            </c:numRef>
          </c:val>
          <c:smooth val="0"/>
        </c:ser>
        <c:ser>
          <c:idx val="1"/>
          <c:order val="1"/>
          <c:tx>
            <c:strRef>
              <c:f>Sheet1!$C$2</c:f>
              <c:strCache>
                <c:ptCount val="1"/>
                <c:pt idx="0">
                  <c:v>1-3个月</c:v>
                </c:pt>
              </c:strCache>
            </c:strRef>
          </c:tx>
          <c:spPr>
            <a:ln w="31750" cap="rnd">
              <a:solidFill>
                <a:schemeClr val="accent2"/>
              </a:solidFill>
              <a:prstDash val="sysDash"/>
              <a:round/>
            </a:ln>
            <a:effectLst>
              <a:outerShdw blurRad="57150" dist="19050" dir="5400000" algn="ctr" rotWithShape="0">
                <a:srgbClr val="000000">
                  <a:alpha val="63000"/>
                </a:srgbClr>
              </a:outerShdw>
            </a:effectLst>
          </c:spPr>
          <c:marker>
            <c:symbol val="none"/>
          </c:marker>
          <c:cat>
            <c:strRef>
              <c:f>Sheet1!$A$3:$A$68</c:f>
              <c:strCache>
                <c:ptCount val="66"/>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2016/6/1</c:v>
                </c:pt>
              </c:strCache>
            </c:strRef>
          </c:cat>
          <c:val>
            <c:numRef>
              <c:f>Sheet1!$C$3:$C$68</c:f>
              <c:numCache>
                <c:formatCode>#,##0.0000</c:formatCode>
                <c:ptCount val="66"/>
                <c:pt idx="0">
                  <c:v>2.8261875000000001</c:v>
                </c:pt>
                <c:pt idx="1">
                  <c:v>2.9661211678999999</c:v>
                </c:pt>
                <c:pt idx="2">
                  <c:v>3.2746264705999999</c:v>
                </c:pt>
                <c:pt idx="3">
                  <c:v>3.3478770949999999</c:v>
                </c:pt>
                <c:pt idx="4">
                  <c:v>3.6064514562999999</c:v>
                </c:pt>
                <c:pt idx="5">
                  <c:v>3.8015007721999998</c:v>
                </c:pt>
                <c:pt idx="6">
                  <c:v>3.9313497537000002</c:v>
                </c:pt>
                <c:pt idx="7">
                  <c:v>4.4367883177999996</c:v>
                </c:pt>
                <c:pt idx="8">
                  <c:v>4.5662148438000001</c:v>
                </c:pt>
                <c:pt idx="9">
                  <c:v>4.6663385321000002</c:v>
                </c:pt>
                <c:pt idx="10">
                  <c:v>4.8298213793000002</c:v>
                </c:pt>
                <c:pt idx="11">
                  <c:v>4.8957883621000002</c:v>
                </c:pt>
                <c:pt idx="12">
                  <c:v>4.8112981480999997</c:v>
                </c:pt>
                <c:pt idx="13">
                  <c:v>5.0906352853000003</c:v>
                </c:pt>
                <c:pt idx="14">
                  <c:v>5.1278223242000003</c:v>
                </c:pt>
                <c:pt idx="15">
                  <c:v>4.9704973333</c:v>
                </c:pt>
                <c:pt idx="16">
                  <c:v>4.7544404365000004</c:v>
                </c:pt>
                <c:pt idx="17">
                  <c:v>4.7492669441000004</c:v>
                </c:pt>
                <c:pt idx="18">
                  <c:v>4.4923667888000001</c:v>
                </c:pt>
                <c:pt idx="19">
                  <c:v>4.3061347115000004</c:v>
                </c:pt>
                <c:pt idx="20">
                  <c:v>4.1909790647999996</c:v>
                </c:pt>
                <c:pt idx="21">
                  <c:v>4.0690454545000003</c:v>
                </c:pt>
                <c:pt idx="22">
                  <c:v>3.8451331126000001</c:v>
                </c:pt>
                <c:pt idx="23">
                  <c:v>4.1272765624999996</c:v>
                </c:pt>
                <c:pt idx="24">
                  <c:v>4.2102903930000002</c:v>
                </c:pt>
                <c:pt idx="25">
                  <c:v>4.2959160304999999</c:v>
                </c:pt>
                <c:pt idx="26">
                  <c:v>4.3138144330000001</c:v>
                </c:pt>
                <c:pt idx="27">
                  <c:v>4.2249345794000002</c:v>
                </c:pt>
                <c:pt idx="28">
                  <c:v>4.2163412204000004</c:v>
                </c:pt>
                <c:pt idx="29">
                  <c:v>4.1439093369000002</c:v>
                </c:pt>
                <c:pt idx="30">
                  <c:v>4.3245889640000001</c:v>
                </c:pt>
                <c:pt idx="31">
                  <c:v>4.5875657200999997</c:v>
                </c:pt>
                <c:pt idx="32">
                  <c:v>4.5663063781000002</c:v>
                </c:pt>
                <c:pt idx="33">
                  <c:v>4.6000493827</c:v>
                </c:pt>
                <c:pt idx="34">
                  <c:v>4.7218321677999997</c:v>
                </c:pt>
                <c:pt idx="35">
                  <c:v>4.7802697368000002</c:v>
                </c:pt>
                <c:pt idx="36">
                  <c:v>5.1618730489000004</c:v>
                </c:pt>
                <c:pt idx="37">
                  <c:v>5.6040147835000003</c:v>
                </c:pt>
                <c:pt idx="38">
                  <c:v>5.6925311203</c:v>
                </c:pt>
                <c:pt idx="39">
                  <c:v>5.5715816216</c:v>
                </c:pt>
                <c:pt idx="40">
                  <c:v>5.4221850859999998</c:v>
                </c:pt>
                <c:pt idx="41">
                  <c:v>5.2812121951000002</c:v>
                </c:pt>
                <c:pt idx="42">
                  <c:v>5.1510460578000004</c:v>
                </c:pt>
                <c:pt idx="43">
                  <c:v>5.1495686900999997</c:v>
                </c:pt>
                <c:pt idx="44">
                  <c:v>5.1109006733999998</c:v>
                </c:pt>
                <c:pt idx="45">
                  <c:v>5.0742969858000002</c:v>
                </c:pt>
                <c:pt idx="46">
                  <c:v>5.0678880406999998</c:v>
                </c:pt>
                <c:pt idx="47">
                  <c:v>4.9813916349999996</c:v>
                </c:pt>
                <c:pt idx="48">
                  <c:v>5.0386921529000004</c:v>
                </c:pt>
                <c:pt idx="49">
                  <c:v>5.1351200905000001</c:v>
                </c:pt>
                <c:pt idx="50">
                  <c:v>5.1982159351000004</c:v>
                </c:pt>
                <c:pt idx="51">
                  <c:v>5.2088967945000002</c:v>
                </c:pt>
                <c:pt idx="52">
                  <c:v>5.1763971119000001</c:v>
                </c:pt>
                <c:pt idx="53">
                  <c:v>5.1072454545000001</c:v>
                </c:pt>
                <c:pt idx="54">
                  <c:v>5.0556892735999996</c:v>
                </c:pt>
                <c:pt idx="55">
                  <c:v>4.7571575091999998</c:v>
                </c:pt>
                <c:pt idx="56">
                  <c:v>4.6394530979999997</c:v>
                </c:pt>
                <c:pt idx="57">
                  <c:v>4.5002381898000001</c:v>
                </c:pt>
                <c:pt idx="58">
                  <c:v>4.3288242327999997</c:v>
                </c:pt>
                <c:pt idx="59">
                  <c:v>4.3706993485999996</c:v>
                </c:pt>
                <c:pt idx="60">
                  <c:v>4.2419265072999996</c:v>
                </c:pt>
                <c:pt idx="61">
                  <c:v>4.1676200685999998</c:v>
                </c:pt>
                <c:pt idx="62">
                  <c:v>4.1139818182000001</c:v>
                </c:pt>
                <c:pt idx="63">
                  <c:v>4.0116061903000002</c:v>
                </c:pt>
                <c:pt idx="64">
                  <c:v>3.9023794108000001</c:v>
                </c:pt>
                <c:pt idx="65" formatCode="General">
                  <c:v>3.8866141323000001</c:v>
                </c:pt>
              </c:numCache>
            </c:numRef>
          </c:val>
          <c:smooth val="0"/>
        </c:ser>
        <c:ser>
          <c:idx val="2"/>
          <c:order val="2"/>
          <c:tx>
            <c:strRef>
              <c:f>Sheet1!$D$2</c:f>
              <c:strCache>
                <c:ptCount val="1"/>
                <c:pt idx="0">
                  <c:v>3-6个月</c:v>
                </c:pt>
              </c:strCache>
            </c:strRef>
          </c:tx>
          <c:spPr>
            <a:ln w="31750" cap="rnd">
              <a:solidFill>
                <a:schemeClr val="accent3"/>
              </a:solidFill>
              <a:round/>
            </a:ln>
            <a:effectLst>
              <a:outerShdw blurRad="57150" dist="19050" dir="5400000" algn="ctr" rotWithShape="0">
                <a:srgbClr val="000000">
                  <a:alpha val="63000"/>
                </a:srgbClr>
              </a:outerShdw>
            </a:effectLst>
          </c:spPr>
          <c:marker>
            <c:symbol val="none"/>
          </c:marker>
          <c:cat>
            <c:strRef>
              <c:f>Sheet1!$A$3:$A$68</c:f>
              <c:strCache>
                <c:ptCount val="66"/>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2016/6/1</c:v>
                </c:pt>
              </c:strCache>
            </c:strRef>
          </c:cat>
          <c:val>
            <c:numRef>
              <c:f>Sheet1!$D$3:$D$68</c:f>
              <c:numCache>
                <c:formatCode>#,##0.0000</c:formatCode>
                <c:ptCount val="66"/>
                <c:pt idx="0">
                  <c:v>2.9759285713999999</c:v>
                </c:pt>
                <c:pt idx="1">
                  <c:v>2.8880555555999998</c:v>
                </c:pt>
                <c:pt idx="2">
                  <c:v>2.9706644444000001</c:v>
                </c:pt>
                <c:pt idx="3">
                  <c:v>3.1458715596000002</c:v>
                </c:pt>
                <c:pt idx="4">
                  <c:v>3.3767910448</c:v>
                </c:pt>
                <c:pt idx="5">
                  <c:v>3.6667857143</c:v>
                </c:pt>
                <c:pt idx="6">
                  <c:v>3.7868303704000001</c:v>
                </c:pt>
                <c:pt idx="7">
                  <c:v>3.9779824560999999</c:v>
                </c:pt>
                <c:pt idx="8">
                  <c:v>4.0252173913</c:v>
                </c:pt>
                <c:pt idx="9">
                  <c:v>4.3818402596999997</c:v>
                </c:pt>
                <c:pt idx="10">
                  <c:v>4.5505447673999999</c:v>
                </c:pt>
                <c:pt idx="11">
                  <c:v>4.8480515419000003</c:v>
                </c:pt>
                <c:pt idx="12">
                  <c:v>4.7328638498000002</c:v>
                </c:pt>
                <c:pt idx="13">
                  <c:v>4.9121315789000004</c:v>
                </c:pt>
                <c:pt idx="14">
                  <c:v>5.3330894309000003</c:v>
                </c:pt>
                <c:pt idx="15">
                  <c:v>5.3903028301999996</c:v>
                </c:pt>
                <c:pt idx="16">
                  <c:v>5.3259375000000002</c:v>
                </c:pt>
                <c:pt idx="17">
                  <c:v>5.4347804734</c:v>
                </c:pt>
                <c:pt idx="18">
                  <c:v>5.2377824267999999</c:v>
                </c:pt>
                <c:pt idx="19">
                  <c:v>5.0005012460999998</c:v>
                </c:pt>
                <c:pt idx="20">
                  <c:v>4.9879317934999996</c:v>
                </c:pt>
                <c:pt idx="21">
                  <c:v>4.7118343022999998</c:v>
                </c:pt>
                <c:pt idx="22">
                  <c:v>4.5976443396000004</c:v>
                </c:pt>
                <c:pt idx="23">
                  <c:v>4.5846777777999996</c:v>
                </c:pt>
                <c:pt idx="24">
                  <c:v>4.4758220588000004</c:v>
                </c:pt>
                <c:pt idx="25">
                  <c:v>4.4361811475000001</c:v>
                </c:pt>
                <c:pt idx="26">
                  <c:v>4.3680000000000003</c:v>
                </c:pt>
                <c:pt idx="27">
                  <c:v>4.3992993630999999</c:v>
                </c:pt>
                <c:pt idx="28">
                  <c:v>4.5407339450000004</c:v>
                </c:pt>
                <c:pt idx="29">
                  <c:v>4.4954010694999997</c:v>
                </c:pt>
                <c:pt idx="30">
                  <c:v>4.4622461537999998</c:v>
                </c:pt>
                <c:pt idx="31">
                  <c:v>4.4022018348999996</c:v>
                </c:pt>
                <c:pt idx="32">
                  <c:v>4.4471321695999997</c:v>
                </c:pt>
                <c:pt idx="33">
                  <c:v>4.5929561644000003</c:v>
                </c:pt>
                <c:pt idx="34">
                  <c:v>4.5603666667000002</c:v>
                </c:pt>
                <c:pt idx="35">
                  <c:v>4.7292550142999996</c:v>
                </c:pt>
                <c:pt idx="36">
                  <c:v>4.8964013228000001</c:v>
                </c:pt>
                <c:pt idx="37">
                  <c:v>5.0543226027000001</c:v>
                </c:pt>
                <c:pt idx="38">
                  <c:v>5.2839971780999999</c:v>
                </c:pt>
                <c:pt idx="39">
                  <c:v>5.4178117646999997</c:v>
                </c:pt>
                <c:pt idx="40">
                  <c:v>5.5250000000000004</c:v>
                </c:pt>
                <c:pt idx="41">
                  <c:v>5.7322909090999996</c:v>
                </c:pt>
                <c:pt idx="42">
                  <c:v>5.7842095587999998</c:v>
                </c:pt>
                <c:pt idx="43">
                  <c:v>5.6388636364</c:v>
                </c:pt>
                <c:pt idx="44">
                  <c:v>5.5229850746000002</c:v>
                </c:pt>
                <c:pt idx="45">
                  <c:v>5.3942735043000001</c:v>
                </c:pt>
                <c:pt idx="46">
                  <c:v>5.2736215334000001</c:v>
                </c:pt>
                <c:pt idx="47">
                  <c:v>5.2741479523999999</c:v>
                </c:pt>
                <c:pt idx="48">
                  <c:v>5.2847240915000002</c:v>
                </c:pt>
                <c:pt idx="49">
                  <c:v>5.2580669710999999</c:v>
                </c:pt>
                <c:pt idx="50">
                  <c:v>5.1600112740000004</c:v>
                </c:pt>
                <c:pt idx="51">
                  <c:v>5.2077272726999997</c:v>
                </c:pt>
                <c:pt idx="52">
                  <c:v>5.213993007</c:v>
                </c:pt>
                <c:pt idx="53">
                  <c:v>5.2452950076000002</c:v>
                </c:pt>
                <c:pt idx="54">
                  <c:v>5.3144105409</c:v>
                </c:pt>
                <c:pt idx="55">
                  <c:v>4.8585597826000004</c:v>
                </c:pt>
                <c:pt idx="56">
                  <c:v>4.7608309938</c:v>
                </c:pt>
                <c:pt idx="57">
                  <c:v>4.6063405337000001</c:v>
                </c:pt>
                <c:pt idx="58">
                  <c:v>4.4131059431999997</c:v>
                </c:pt>
                <c:pt idx="59">
                  <c:v>4.3962985075000001</c:v>
                </c:pt>
                <c:pt idx="60">
                  <c:v>4.3060226658999996</c:v>
                </c:pt>
                <c:pt idx="61">
                  <c:v>4.2676692209000002</c:v>
                </c:pt>
                <c:pt idx="62">
                  <c:v>4.1532351473000002</c:v>
                </c:pt>
                <c:pt idx="63">
                  <c:v>4.0330292332999997</c:v>
                </c:pt>
                <c:pt idx="64">
                  <c:v>3.9110911884999999</c:v>
                </c:pt>
                <c:pt idx="65" formatCode="General">
                  <c:v>3.8515702062999999</c:v>
                </c:pt>
              </c:numCache>
            </c:numRef>
          </c:val>
          <c:smooth val="0"/>
        </c:ser>
        <c:ser>
          <c:idx val="3"/>
          <c:order val="3"/>
          <c:tx>
            <c:strRef>
              <c:f>Sheet1!$E$2</c:f>
              <c:strCache>
                <c:ptCount val="1"/>
                <c:pt idx="0">
                  <c:v>6-12个月</c:v>
                </c:pt>
              </c:strCache>
            </c:strRef>
          </c:tx>
          <c:spPr>
            <a:ln w="31750" cap="rnd">
              <a:solidFill>
                <a:schemeClr val="accent4"/>
              </a:solidFill>
              <a:prstDash val="sysDot"/>
              <a:round/>
            </a:ln>
            <a:effectLst>
              <a:outerShdw blurRad="57150" dist="19050" dir="5400000" algn="ctr" rotWithShape="0">
                <a:srgbClr val="000000">
                  <a:alpha val="63000"/>
                </a:srgbClr>
              </a:outerShdw>
            </a:effectLst>
          </c:spPr>
          <c:marker>
            <c:symbol val="none"/>
          </c:marker>
          <c:cat>
            <c:strRef>
              <c:f>Sheet1!$A$3:$A$68</c:f>
              <c:strCache>
                <c:ptCount val="66"/>
                <c:pt idx="0">
                  <c:v>2011-01</c:v>
                </c:pt>
                <c:pt idx="1">
                  <c:v>2011-02</c:v>
                </c:pt>
                <c:pt idx="2">
                  <c:v>2011-03</c:v>
                </c:pt>
                <c:pt idx="3">
                  <c:v>2011-04</c:v>
                </c:pt>
                <c:pt idx="4">
                  <c:v>2011-05</c:v>
                </c:pt>
                <c:pt idx="5">
                  <c:v>2011-06</c:v>
                </c:pt>
                <c:pt idx="6">
                  <c:v>2011-07</c:v>
                </c:pt>
                <c:pt idx="7">
                  <c:v>2011-08</c:v>
                </c:pt>
                <c:pt idx="8">
                  <c:v>2011-09</c:v>
                </c:pt>
                <c:pt idx="9">
                  <c:v>2011-10</c:v>
                </c:pt>
                <c:pt idx="10">
                  <c:v>2011-11</c:v>
                </c:pt>
                <c:pt idx="11">
                  <c:v>2011-12</c:v>
                </c:pt>
                <c:pt idx="12">
                  <c:v>2012-01</c:v>
                </c:pt>
                <c:pt idx="13">
                  <c:v>2012-02</c:v>
                </c:pt>
                <c:pt idx="14">
                  <c:v>2012-03</c:v>
                </c:pt>
                <c:pt idx="15">
                  <c:v>2012-04</c:v>
                </c:pt>
                <c:pt idx="16">
                  <c:v>2012-05</c:v>
                </c:pt>
                <c:pt idx="17">
                  <c:v>2012-06</c:v>
                </c:pt>
                <c:pt idx="18">
                  <c:v>2012-07</c:v>
                </c:pt>
                <c:pt idx="19">
                  <c:v>2012-08</c:v>
                </c:pt>
                <c:pt idx="20">
                  <c:v>2012-09</c:v>
                </c:pt>
                <c:pt idx="21">
                  <c:v>2012-10</c:v>
                </c:pt>
                <c:pt idx="22">
                  <c:v>2012-11</c:v>
                </c:pt>
                <c:pt idx="23">
                  <c:v>2012-12</c:v>
                </c:pt>
                <c:pt idx="24">
                  <c:v>2013-01</c:v>
                </c:pt>
                <c:pt idx="25">
                  <c:v>2013-02</c:v>
                </c:pt>
                <c:pt idx="26">
                  <c:v>2013-03</c:v>
                </c:pt>
                <c:pt idx="27">
                  <c:v>2013-04</c:v>
                </c:pt>
                <c:pt idx="28">
                  <c:v>2013-05</c:v>
                </c:pt>
                <c:pt idx="29">
                  <c:v>2013-06</c:v>
                </c:pt>
                <c:pt idx="30">
                  <c:v>2013-07</c:v>
                </c:pt>
                <c:pt idx="31">
                  <c:v>2013-08</c:v>
                </c:pt>
                <c:pt idx="32">
                  <c:v>2013-09</c:v>
                </c:pt>
                <c:pt idx="33">
                  <c:v>2013-10</c:v>
                </c:pt>
                <c:pt idx="34">
                  <c:v>2013-11</c:v>
                </c:pt>
                <c:pt idx="35">
                  <c:v>2013-12</c:v>
                </c:pt>
                <c:pt idx="36">
                  <c:v>2014-01</c:v>
                </c:pt>
                <c:pt idx="37">
                  <c:v>2014-02</c:v>
                </c:pt>
                <c:pt idx="38">
                  <c:v>2014-03</c:v>
                </c:pt>
                <c:pt idx="39">
                  <c:v>2014-04</c:v>
                </c:pt>
                <c:pt idx="40">
                  <c:v>2014-05</c:v>
                </c:pt>
                <c:pt idx="41">
                  <c:v>2014-06</c:v>
                </c:pt>
                <c:pt idx="42">
                  <c:v>2014-07</c:v>
                </c:pt>
                <c:pt idx="43">
                  <c:v>2014-08</c:v>
                </c:pt>
                <c:pt idx="44">
                  <c:v>2014-09</c:v>
                </c:pt>
                <c:pt idx="45">
                  <c:v>2014-10</c:v>
                </c:pt>
                <c:pt idx="46">
                  <c:v>2014-11</c:v>
                </c:pt>
                <c:pt idx="47">
                  <c:v>2014-12</c:v>
                </c:pt>
                <c:pt idx="48">
                  <c:v>2015-01</c:v>
                </c:pt>
                <c:pt idx="49">
                  <c:v>2015-02</c:v>
                </c:pt>
                <c:pt idx="50">
                  <c:v>2015-03</c:v>
                </c:pt>
                <c:pt idx="51">
                  <c:v>2015-04</c:v>
                </c:pt>
                <c:pt idx="52">
                  <c:v>2015-05</c:v>
                </c:pt>
                <c:pt idx="53">
                  <c:v>2015-06</c:v>
                </c:pt>
                <c:pt idx="54">
                  <c:v>2015-07</c:v>
                </c:pt>
                <c:pt idx="55">
                  <c:v>2015-08</c:v>
                </c:pt>
                <c:pt idx="56">
                  <c:v>2015-09</c:v>
                </c:pt>
                <c:pt idx="57">
                  <c:v>2015-10</c:v>
                </c:pt>
                <c:pt idx="58">
                  <c:v>2015-11</c:v>
                </c:pt>
                <c:pt idx="59">
                  <c:v>2015-12</c:v>
                </c:pt>
                <c:pt idx="60">
                  <c:v>2016-01</c:v>
                </c:pt>
                <c:pt idx="61">
                  <c:v>2016-02</c:v>
                </c:pt>
                <c:pt idx="62">
                  <c:v>2016-03</c:v>
                </c:pt>
                <c:pt idx="63">
                  <c:v>2016-04</c:v>
                </c:pt>
                <c:pt idx="64">
                  <c:v>2016-05</c:v>
                </c:pt>
                <c:pt idx="65">
                  <c:v>2016/6/1</c:v>
                </c:pt>
              </c:strCache>
            </c:strRef>
          </c:cat>
          <c:val>
            <c:numRef>
              <c:f>Sheet1!$E$3:$E$68</c:f>
              <c:numCache>
                <c:formatCode>#,##0.0000</c:formatCode>
                <c:ptCount val="66"/>
                <c:pt idx="0">
                  <c:v>3.8988337349000002</c:v>
                </c:pt>
                <c:pt idx="1">
                  <c:v>3.4629090909000002</c:v>
                </c:pt>
                <c:pt idx="2">
                  <c:v>3.8860669902999998</c:v>
                </c:pt>
                <c:pt idx="3">
                  <c:v>3.7728969999999999</c:v>
                </c:pt>
                <c:pt idx="4">
                  <c:v>3.7639114286000002</c:v>
                </c:pt>
                <c:pt idx="5">
                  <c:v>3.7208835616</c:v>
                </c:pt>
                <c:pt idx="6">
                  <c:v>4.1537972603000002</c:v>
                </c:pt>
                <c:pt idx="7">
                  <c:v>3.4578125000000002</c:v>
                </c:pt>
                <c:pt idx="8">
                  <c:v>3.549047619</c:v>
                </c:pt>
                <c:pt idx="9">
                  <c:v>3.8451851852000001</c:v>
                </c:pt>
                <c:pt idx="10">
                  <c:v>3.8969090908999999</c:v>
                </c:pt>
                <c:pt idx="11">
                  <c:v>4.4772380951999997</c:v>
                </c:pt>
                <c:pt idx="12">
                  <c:v>4.5310101009999997</c:v>
                </c:pt>
                <c:pt idx="13">
                  <c:v>4.3056756756999999</c:v>
                </c:pt>
                <c:pt idx="14">
                  <c:v>4.7680093750000001</c:v>
                </c:pt>
                <c:pt idx="15">
                  <c:v>5.0887984127000001</c:v>
                </c:pt>
                <c:pt idx="16">
                  <c:v>5.4958938462000004</c:v>
                </c:pt>
                <c:pt idx="17">
                  <c:v>5.3379882353000001</c:v>
                </c:pt>
                <c:pt idx="18">
                  <c:v>5.1477692307999998</c:v>
                </c:pt>
                <c:pt idx="19">
                  <c:v>5.3695192307999999</c:v>
                </c:pt>
                <c:pt idx="20">
                  <c:v>5.4602298611000002</c:v>
                </c:pt>
                <c:pt idx="21">
                  <c:v>5.2373652173999998</c:v>
                </c:pt>
                <c:pt idx="22">
                  <c:v>5.1927428570999998</c:v>
                </c:pt>
                <c:pt idx="23">
                  <c:v>5.4270833332999997</c:v>
                </c:pt>
                <c:pt idx="24">
                  <c:v>4.9375</c:v>
                </c:pt>
                <c:pt idx="25">
                  <c:v>5.0900392856999996</c:v>
                </c:pt>
                <c:pt idx="26">
                  <c:v>4.9826086956999998</c:v>
                </c:pt>
                <c:pt idx="27">
                  <c:v>5.0152173913000002</c:v>
                </c:pt>
                <c:pt idx="28">
                  <c:v>4.9890361446</c:v>
                </c:pt>
                <c:pt idx="29">
                  <c:v>4.7272815534000001</c:v>
                </c:pt>
                <c:pt idx="30">
                  <c:v>4.7386666667000004</c:v>
                </c:pt>
                <c:pt idx="31">
                  <c:v>4.5967728972000002</c:v>
                </c:pt>
                <c:pt idx="32">
                  <c:v>4.5173006134999998</c:v>
                </c:pt>
                <c:pt idx="33">
                  <c:v>4.4325174824999998</c:v>
                </c:pt>
                <c:pt idx="34">
                  <c:v>4.4023703703999999</c:v>
                </c:pt>
                <c:pt idx="35">
                  <c:v>4.7514651163000003</c:v>
                </c:pt>
                <c:pt idx="36">
                  <c:v>4.4733160622000003</c:v>
                </c:pt>
                <c:pt idx="37">
                  <c:v>4.6082887700999997</c:v>
                </c:pt>
                <c:pt idx="38">
                  <c:v>6.8705056180000001</c:v>
                </c:pt>
                <c:pt idx="39">
                  <c:v>4.5878125000000001</c:v>
                </c:pt>
                <c:pt idx="40">
                  <c:v>4.7628481013000004</c:v>
                </c:pt>
                <c:pt idx="41">
                  <c:v>5.0332057415999998</c:v>
                </c:pt>
                <c:pt idx="42">
                  <c:v>5.2329807692000001</c:v>
                </c:pt>
                <c:pt idx="43">
                  <c:v>5.1837853107000003</c:v>
                </c:pt>
                <c:pt idx="44">
                  <c:v>5.5346700508</c:v>
                </c:pt>
                <c:pt idx="45">
                  <c:v>5.5309411764999998</c:v>
                </c:pt>
                <c:pt idx="46">
                  <c:v>5.5076076555000002</c:v>
                </c:pt>
                <c:pt idx="47">
                  <c:v>5.6836842105000001</c:v>
                </c:pt>
                <c:pt idx="48">
                  <c:v>5.5830503145000003</c:v>
                </c:pt>
                <c:pt idx="49">
                  <c:v>5.5939705882000004</c:v>
                </c:pt>
                <c:pt idx="50">
                  <c:v>5.6137673130000003</c:v>
                </c:pt>
                <c:pt idx="51">
                  <c:v>5.4644866920000004</c:v>
                </c:pt>
                <c:pt idx="52">
                  <c:v>5.5142187500000004</c:v>
                </c:pt>
                <c:pt idx="53">
                  <c:v>5.4502325580999997</c:v>
                </c:pt>
                <c:pt idx="54">
                  <c:v>5.4059907834000001</c:v>
                </c:pt>
                <c:pt idx="55">
                  <c:v>4.7694068802</c:v>
                </c:pt>
                <c:pt idx="56">
                  <c:v>4.6016503496999999</c:v>
                </c:pt>
                <c:pt idx="57">
                  <c:v>4.5313210227000003</c:v>
                </c:pt>
                <c:pt idx="58">
                  <c:v>4.4085890410999999</c:v>
                </c:pt>
                <c:pt idx="59">
                  <c:v>4.324602649</c:v>
                </c:pt>
                <c:pt idx="60">
                  <c:v>4.2787467362999996</c:v>
                </c:pt>
                <c:pt idx="61">
                  <c:v>4.2305745341999996</c:v>
                </c:pt>
                <c:pt idx="62">
                  <c:v>4.0908449396000002</c:v>
                </c:pt>
                <c:pt idx="63">
                  <c:v>3.9681301652999998</c:v>
                </c:pt>
                <c:pt idx="64">
                  <c:v>3.8810644531</c:v>
                </c:pt>
                <c:pt idx="65" formatCode="General">
                  <c:v>3.8594964752999998</c:v>
                </c:pt>
              </c:numCache>
            </c:numRef>
          </c:val>
          <c:smooth val="0"/>
        </c:ser>
        <c:dLbls>
          <c:showLegendKey val="0"/>
          <c:showVal val="0"/>
          <c:showCatName val="0"/>
          <c:showSerName val="0"/>
          <c:showPercent val="0"/>
          <c:showBubbleSize val="0"/>
        </c:dLbls>
        <c:smooth val="0"/>
        <c:axId val="402451192"/>
        <c:axId val="394914368"/>
      </c:lineChart>
      <c:catAx>
        <c:axId val="4024511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4914368"/>
        <c:crosses val="autoZero"/>
        <c:auto val="1"/>
        <c:lblAlgn val="ctr"/>
        <c:lblOffset val="100"/>
        <c:noMultiLvlLbl val="0"/>
      </c:catAx>
      <c:valAx>
        <c:axId val="394914368"/>
        <c:scaling>
          <c:orientation val="minMax"/>
        </c:scaling>
        <c:delete val="0"/>
        <c:axPos val="l"/>
        <c:majorGridlines>
          <c:spPr>
            <a:ln w="9525" cap="flat" cmpd="sng" algn="ctr">
              <a:solidFill>
                <a:schemeClr val="tx1">
                  <a:lumMod val="15000"/>
                  <a:lumOff val="85000"/>
                </a:schemeClr>
              </a:solidFill>
              <a:prstDash val="dashDot"/>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02451192"/>
        <c:crosses val="autoZero"/>
        <c:crossBetween val="between"/>
      </c:valAx>
      <c:spPr>
        <a:noFill/>
        <a:ln>
          <a:noFill/>
        </a:ln>
        <a:effectLst/>
      </c:spPr>
    </c:plotArea>
    <c:legend>
      <c:legendPos val="b"/>
      <c:layout>
        <c:manualLayout>
          <c:xMode val="edge"/>
          <c:yMode val="edge"/>
          <c:x val="0.05"/>
          <c:y val="0.91272857776562299"/>
          <c:w val="0.9"/>
          <c:h val="7.40984556511853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集合理财作图!$B$38</c:f>
              <c:strCache>
                <c:ptCount val="1"/>
                <c:pt idx="0">
                  <c:v>数量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集合理财作图!$A$39:$A$47</c:f>
              <c:strCache>
                <c:ptCount val="9"/>
                <c:pt idx="0">
                  <c:v>2015-10</c:v>
                </c:pt>
                <c:pt idx="1">
                  <c:v>2015-11</c:v>
                </c:pt>
                <c:pt idx="2">
                  <c:v>2015-12</c:v>
                </c:pt>
                <c:pt idx="3">
                  <c:v>2016-1</c:v>
                </c:pt>
                <c:pt idx="4">
                  <c:v>2016-2</c:v>
                </c:pt>
                <c:pt idx="5">
                  <c:v>2016-3</c:v>
                </c:pt>
                <c:pt idx="6">
                  <c:v>2016-4</c:v>
                </c:pt>
                <c:pt idx="7">
                  <c:v>2016-5</c:v>
                </c:pt>
                <c:pt idx="8">
                  <c:v>2016-6</c:v>
                </c:pt>
              </c:strCache>
            </c:strRef>
          </c:cat>
          <c:val>
            <c:numRef>
              <c:f>集合理财作图!$B$39:$B$47</c:f>
              <c:numCache>
                <c:formatCode>#,##0</c:formatCode>
                <c:ptCount val="9"/>
                <c:pt idx="0">
                  <c:v>4</c:v>
                </c:pt>
                <c:pt idx="1">
                  <c:v>7</c:v>
                </c:pt>
                <c:pt idx="2">
                  <c:v>12</c:v>
                </c:pt>
                <c:pt idx="3">
                  <c:v>11</c:v>
                </c:pt>
                <c:pt idx="4">
                  <c:v>12</c:v>
                </c:pt>
                <c:pt idx="5">
                  <c:v>12</c:v>
                </c:pt>
                <c:pt idx="6">
                  <c:v>11</c:v>
                </c:pt>
                <c:pt idx="7">
                  <c:v>13</c:v>
                </c:pt>
                <c:pt idx="8" formatCode="General">
                  <c:v>4</c:v>
                </c:pt>
              </c:numCache>
            </c:numRef>
          </c:val>
        </c:ser>
        <c:dLbls>
          <c:showLegendKey val="0"/>
          <c:showVal val="0"/>
          <c:showCatName val="0"/>
          <c:showSerName val="0"/>
          <c:showPercent val="0"/>
          <c:showBubbleSize val="0"/>
        </c:dLbls>
        <c:gapWidth val="150"/>
        <c:axId val="305446952"/>
        <c:axId val="553043168"/>
      </c:barChart>
      <c:lineChart>
        <c:grouping val="standard"/>
        <c:varyColors val="0"/>
        <c:ser>
          <c:idx val="1"/>
          <c:order val="1"/>
          <c:tx>
            <c:strRef>
              <c:f>集合理财作图!$C$38</c:f>
              <c:strCache>
                <c:ptCount val="1"/>
                <c:pt idx="0">
                  <c:v>发行份额(亿份)（右轴）</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集合理财作图!$A$39:$A$47</c:f>
              <c:strCache>
                <c:ptCount val="9"/>
                <c:pt idx="0">
                  <c:v>2015-10</c:v>
                </c:pt>
                <c:pt idx="1">
                  <c:v>2015-11</c:v>
                </c:pt>
                <c:pt idx="2">
                  <c:v>2015-12</c:v>
                </c:pt>
                <c:pt idx="3">
                  <c:v>2016-1</c:v>
                </c:pt>
                <c:pt idx="4">
                  <c:v>2016-2</c:v>
                </c:pt>
                <c:pt idx="5">
                  <c:v>2016-3</c:v>
                </c:pt>
                <c:pt idx="6">
                  <c:v>2016-4</c:v>
                </c:pt>
                <c:pt idx="7">
                  <c:v>2016-5</c:v>
                </c:pt>
                <c:pt idx="8">
                  <c:v>2016-6</c:v>
                </c:pt>
              </c:strCache>
            </c:strRef>
          </c:cat>
          <c:val>
            <c:numRef>
              <c:f>集合理财作图!$C$39:$C$47</c:f>
              <c:numCache>
                <c:formatCode>#,##0.00</c:formatCode>
                <c:ptCount val="9"/>
                <c:pt idx="0">
                  <c:v>95.544032808599994</c:v>
                </c:pt>
                <c:pt idx="1">
                  <c:v>217.776866681</c:v>
                </c:pt>
                <c:pt idx="2">
                  <c:v>356.42093359220002</c:v>
                </c:pt>
                <c:pt idx="3">
                  <c:v>369.74894859889997</c:v>
                </c:pt>
                <c:pt idx="4">
                  <c:v>233.7120286224</c:v>
                </c:pt>
                <c:pt idx="5">
                  <c:v>257.51834319839998</c:v>
                </c:pt>
                <c:pt idx="6">
                  <c:v>280.59799415779997</c:v>
                </c:pt>
                <c:pt idx="7">
                  <c:v>134.376916526</c:v>
                </c:pt>
                <c:pt idx="8">
                  <c:v>99.8</c:v>
                </c:pt>
              </c:numCache>
            </c:numRef>
          </c:val>
          <c:smooth val="0"/>
        </c:ser>
        <c:ser>
          <c:idx val="2"/>
          <c:order val="2"/>
          <c:tx>
            <c:strRef>
              <c:f>集合理财作图!$D$38</c:f>
              <c:strCache>
                <c:ptCount val="1"/>
                <c:pt idx="0">
                  <c:v>发行占比(%)（右轴）</c:v>
                </c:pt>
              </c:strCache>
            </c:strRef>
          </c:tx>
          <c:spPr>
            <a:ln w="28575" cap="rnd">
              <a:solidFill>
                <a:sysClr val="window" lastClr="FFFFFF">
                  <a:lumMod val="65000"/>
                </a:sysClr>
              </a:solidFill>
              <a:prstDash val="sysDash"/>
              <a:round/>
            </a:ln>
            <a:effectLst>
              <a:outerShdw blurRad="57150" dist="19050" dir="5400000" algn="ctr" rotWithShape="0">
                <a:srgbClr val="000000">
                  <a:alpha val="63000"/>
                </a:srgbClr>
              </a:outerShdw>
            </a:effectLst>
          </c:spPr>
          <c:marker>
            <c:symbol val="none"/>
          </c:marker>
          <c:cat>
            <c:strRef>
              <c:f>集合理财作图!$A$39:$A$47</c:f>
              <c:strCache>
                <c:ptCount val="9"/>
                <c:pt idx="0">
                  <c:v>2015-10</c:v>
                </c:pt>
                <c:pt idx="1">
                  <c:v>2015-11</c:v>
                </c:pt>
                <c:pt idx="2">
                  <c:v>2015-12</c:v>
                </c:pt>
                <c:pt idx="3">
                  <c:v>2016-1</c:v>
                </c:pt>
                <c:pt idx="4">
                  <c:v>2016-2</c:v>
                </c:pt>
                <c:pt idx="5">
                  <c:v>2016-3</c:v>
                </c:pt>
                <c:pt idx="6">
                  <c:v>2016-4</c:v>
                </c:pt>
                <c:pt idx="7">
                  <c:v>2016-5</c:v>
                </c:pt>
                <c:pt idx="8">
                  <c:v>2016-6</c:v>
                </c:pt>
              </c:strCache>
            </c:strRef>
          </c:cat>
          <c:val>
            <c:numRef>
              <c:f>集合理财作图!$D$39:$D$47</c:f>
              <c:numCache>
                <c:formatCode>#,##0.00</c:formatCode>
                <c:ptCount val="9"/>
                <c:pt idx="0">
                  <c:v>34.328456951218598</c:v>
                </c:pt>
                <c:pt idx="1">
                  <c:v>17.552418644044302</c:v>
                </c:pt>
                <c:pt idx="2">
                  <c:v>41.394641179243003</c:v>
                </c:pt>
                <c:pt idx="3">
                  <c:v>49.358133500543502</c:v>
                </c:pt>
                <c:pt idx="4">
                  <c:v>56.496681930329203</c:v>
                </c:pt>
                <c:pt idx="5">
                  <c:v>41.299146761552599</c:v>
                </c:pt>
                <c:pt idx="6">
                  <c:v>43.0151961751613</c:v>
                </c:pt>
                <c:pt idx="7">
                  <c:v>18.076768477258899</c:v>
                </c:pt>
                <c:pt idx="8">
                  <c:v>34.24</c:v>
                </c:pt>
              </c:numCache>
            </c:numRef>
          </c:val>
          <c:smooth val="0"/>
        </c:ser>
        <c:dLbls>
          <c:showLegendKey val="0"/>
          <c:showVal val="0"/>
          <c:showCatName val="0"/>
          <c:showSerName val="0"/>
          <c:showPercent val="0"/>
          <c:showBubbleSize val="0"/>
        </c:dLbls>
        <c:marker val="1"/>
        <c:smooth val="0"/>
        <c:axId val="553043952"/>
        <c:axId val="553042384"/>
      </c:lineChart>
      <c:catAx>
        <c:axId val="305446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3168"/>
        <c:crosses val="autoZero"/>
        <c:auto val="1"/>
        <c:lblAlgn val="ctr"/>
        <c:lblOffset val="100"/>
        <c:noMultiLvlLbl val="0"/>
      </c:catAx>
      <c:valAx>
        <c:axId val="553043168"/>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305446952"/>
        <c:crosses val="autoZero"/>
        <c:crossBetween val="between"/>
      </c:valAx>
      <c:valAx>
        <c:axId val="55304238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3952"/>
        <c:crosses val="max"/>
        <c:crossBetween val="between"/>
      </c:valAx>
      <c:catAx>
        <c:axId val="553043952"/>
        <c:scaling>
          <c:orientation val="minMax"/>
        </c:scaling>
        <c:delete val="1"/>
        <c:axPos val="b"/>
        <c:numFmt formatCode="General" sourceLinked="1"/>
        <c:majorTickMark val="out"/>
        <c:minorTickMark val="none"/>
        <c:tickLblPos val="none"/>
        <c:crossAx val="553042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legend>
    <c:plotVisOnly val="1"/>
    <c:dispBlanksAs val="gap"/>
    <c:showDLblsOverMax val="0"/>
  </c:chart>
  <c:spPr>
    <a:solidFill>
      <a:schemeClr val="bg1"/>
    </a:solidFill>
    <a:ln w="9525" cap="flat" cmpd="sng" algn="ctr">
      <a:solidFill>
        <a:srgbClr val="948A54"/>
      </a:solidFill>
      <a:round/>
    </a:ln>
    <a:effectLst/>
  </c:spPr>
  <c:txPr>
    <a:bodyPr/>
    <a:lstStyle/>
    <a:p>
      <a:pPr>
        <a:defRPr>
          <a:latin typeface="楷体_GB2312" panose="02010609030101010101" pitchFamily="49" charset="-122"/>
          <a:ea typeface="楷体_GB2312" panose="02010609030101010101" pitchFamily="49" charset="-122"/>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25204506811231E-2"/>
          <c:y val="4.8963997412253671E-2"/>
          <c:w val="0.88062651683022053"/>
          <c:h val="0.70241830065359845"/>
        </c:manualLayout>
      </c:layout>
      <c:barChart>
        <c:barDir val="col"/>
        <c:grouping val="stacked"/>
        <c:varyColors val="0"/>
        <c:ser>
          <c:idx val="0"/>
          <c:order val="0"/>
          <c:tx>
            <c:strRef>
              <c:f>公募!$D$2</c:f>
              <c:strCache>
                <c:ptCount val="1"/>
                <c:pt idx="0">
                  <c:v>股票型</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公募!$D$50:$D$58</c:f>
              <c:numCache>
                <c:formatCode>General</c:formatCode>
                <c:ptCount val="9"/>
                <c:pt idx="0">
                  <c:v>4</c:v>
                </c:pt>
                <c:pt idx="1">
                  <c:v>8</c:v>
                </c:pt>
                <c:pt idx="2">
                  <c:v>9</c:v>
                </c:pt>
                <c:pt idx="3">
                  <c:v>5</c:v>
                </c:pt>
                <c:pt idx="4">
                  <c:v>4</c:v>
                </c:pt>
                <c:pt idx="5">
                  <c:v>1</c:v>
                </c:pt>
                <c:pt idx="6">
                  <c:v>4</c:v>
                </c:pt>
                <c:pt idx="7">
                  <c:v>3</c:v>
                </c:pt>
                <c:pt idx="8">
                  <c:v>2</c:v>
                </c:pt>
              </c:numCache>
            </c:numRef>
          </c:val>
        </c:ser>
        <c:ser>
          <c:idx val="1"/>
          <c:order val="1"/>
          <c:tx>
            <c:strRef>
              <c:f>公募!$E$2</c:f>
              <c:strCache>
                <c:ptCount val="1"/>
                <c:pt idx="0">
                  <c:v>债券型</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公募!$E$50:$E$58</c:f>
              <c:numCache>
                <c:formatCode>General</c:formatCode>
                <c:ptCount val="9"/>
                <c:pt idx="0">
                  <c:v>8</c:v>
                </c:pt>
                <c:pt idx="1">
                  <c:v>22</c:v>
                </c:pt>
                <c:pt idx="2">
                  <c:v>12</c:v>
                </c:pt>
                <c:pt idx="3">
                  <c:v>13</c:v>
                </c:pt>
                <c:pt idx="4">
                  <c:v>8</c:v>
                </c:pt>
                <c:pt idx="5">
                  <c:v>29</c:v>
                </c:pt>
                <c:pt idx="6">
                  <c:v>23</c:v>
                </c:pt>
                <c:pt idx="7">
                  <c:v>29</c:v>
                </c:pt>
                <c:pt idx="8">
                  <c:v>19</c:v>
                </c:pt>
              </c:numCache>
            </c:numRef>
          </c:val>
        </c:ser>
        <c:ser>
          <c:idx val="2"/>
          <c:order val="2"/>
          <c:tx>
            <c:strRef>
              <c:f>公募!$F$2</c:f>
              <c:strCache>
                <c:ptCount val="1"/>
                <c:pt idx="0">
                  <c:v>混合型</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公募!$F$50:$F$58</c:f>
              <c:numCache>
                <c:formatCode>General</c:formatCode>
                <c:ptCount val="9"/>
                <c:pt idx="0">
                  <c:v>10</c:v>
                </c:pt>
                <c:pt idx="1">
                  <c:v>57</c:v>
                </c:pt>
                <c:pt idx="2">
                  <c:v>22</c:v>
                </c:pt>
                <c:pt idx="3">
                  <c:v>43</c:v>
                </c:pt>
                <c:pt idx="4">
                  <c:v>18</c:v>
                </c:pt>
                <c:pt idx="5">
                  <c:v>20</c:v>
                </c:pt>
                <c:pt idx="6">
                  <c:v>31</c:v>
                </c:pt>
                <c:pt idx="7">
                  <c:v>33</c:v>
                </c:pt>
                <c:pt idx="8">
                  <c:v>12</c:v>
                </c:pt>
              </c:numCache>
            </c:numRef>
          </c:val>
        </c:ser>
        <c:ser>
          <c:idx val="3"/>
          <c:order val="3"/>
          <c:tx>
            <c:strRef>
              <c:f>公募!$G$2</c:f>
              <c:strCache>
                <c:ptCount val="1"/>
                <c:pt idx="0">
                  <c:v>指数型</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公募!$G$50:$G$58</c:f>
              <c:numCache>
                <c:formatCode>General</c:formatCode>
                <c:ptCount val="9"/>
                <c:pt idx="0">
                  <c:v>1</c:v>
                </c:pt>
                <c:pt idx="1">
                  <c:v>1</c:v>
                </c:pt>
                <c:pt idx="2">
                  <c:v>4</c:v>
                </c:pt>
                <c:pt idx="3">
                  <c:v>2</c:v>
                </c:pt>
                <c:pt idx="4">
                  <c:v>0</c:v>
                </c:pt>
                <c:pt idx="5">
                  <c:v>1</c:v>
                </c:pt>
                <c:pt idx="6">
                  <c:v>2</c:v>
                </c:pt>
                <c:pt idx="7">
                  <c:v>1</c:v>
                </c:pt>
                <c:pt idx="8">
                  <c:v>3</c:v>
                </c:pt>
              </c:numCache>
            </c:numRef>
          </c:val>
        </c:ser>
        <c:ser>
          <c:idx val="4"/>
          <c:order val="4"/>
          <c:tx>
            <c:strRef>
              <c:f>公募!$H$2</c:f>
              <c:strCache>
                <c:ptCount val="1"/>
                <c:pt idx="0">
                  <c:v>货币型</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公募!$H$50:$H$58</c:f>
              <c:numCache>
                <c:formatCode>General</c:formatCode>
                <c:ptCount val="9"/>
                <c:pt idx="0">
                  <c:v>7</c:v>
                </c:pt>
                <c:pt idx="1">
                  <c:v>6</c:v>
                </c:pt>
                <c:pt idx="2">
                  <c:v>8</c:v>
                </c:pt>
                <c:pt idx="3">
                  <c:v>4</c:v>
                </c:pt>
                <c:pt idx="4">
                  <c:v>0</c:v>
                </c:pt>
                <c:pt idx="5">
                  <c:v>1</c:v>
                </c:pt>
                <c:pt idx="6">
                  <c:v>2</c:v>
                </c:pt>
                <c:pt idx="7">
                  <c:v>4</c:v>
                </c:pt>
                <c:pt idx="8">
                  <c:v>5</c:v>
                </c:pt>
              </c:numCache>
            </c:numRef>
          </c:val>
        </c:ser>
        <c:ser>
          <c:idx val="5"/>
          <c:order val="5"/>
          <c:tx>
            <c:strRef>
              <c:f>公募!$I$2</c:f>
              <c:strCache>
                <c:ptCount val="1"/>
                <c:pt idx="0">
                  <c:v>QDII</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公募!$I$50:$I$58</c:f>
              <c:numCache>
                <c:formatCode>General</c:formatCode>
                <c:ptCount val="9"/>
                <c:pt idx="0">
                  <c:v>1</c:v>
                </c:pt>
                <c:pt idx="1">
                  <c:v>0</c:v>
                </c:pt>
                <c:pt idx="2">
                  <c:v>2</c:v>
                </c:pt>
                <c:pt idx="3">
                  <c:v>0</c:v>
                </c:pt>
                <c:pt idx="4">
                  <c:v>3</c:v>
                </c:pt>
                <c:pt idx="5">
                  <c:v>1</c:v>
                </c:pt>
                <c:pt idx="6">
                  <c:v>1</c:v>
                </c:pt>
                <c:pt idx="7">
                  <c:v>3</c:v>
                </c:pt>
                <c:pt idx="8">
                  <c:v>0</c:v>
                </c:pt>
              </c:numCache>
            </c:numRef>
          </c:val>
        </c:ser>
        <c:ser>
          <c:idx val="6"/>
          <c:order val="6"/>
          <c:tx>
            <c:strRef>
              <c:f>公募!$J$2</c:f>
              <c:strCache>
                <c:ptCount val="1"/>
                <c:pt idx="0">
                  <c:v>其它</c:v>
                </c:pt>
              </c:strCache>
            </c:strRef>
          </c:tx>
          <c:invertIfNegative val="0"/>
          <c:cat>
            <c:strRef>
              <c:f>公募!$A$50:$A$58</c:f>
              <c:strCache>
                <c:ptCount val="9"/>
                <c:pt idx="0">
                  <c:v>10月</c:v>
                </c:pt>
                <c:pt idx="1">
                  <c:v>11月</c:v>
                </c:pt>
                <c:pt idx="2">
                  <c:v>12月</c:v>
                </c:pt>
                <c:pt idx="3">
                  <c:v>1月</c:v>
                </c:pt>
                <c:pt idx="4">
                  <c:v>2月</c:v>
                </c:pt>
                <c:pt idx="5">
                  <c:v>3月</c:v>
                </c:pt>
                <c:pt idx="6">
                  <c:v>4月</c:v>
                </c:pt>
                <c:pt idx="7">
                  <c:v>5月</c:v>
                </c:pt>
                <c:pt idx="8">
                  <c:v>6月</c:v>
                </c:pt>
              </c:strCache>
            </c:strRef>
          </c:cat>
          <c:val>
            <c:numRef>
              <c:f>公募!$J$50:$J$58</c:f>
              <c:numCache>
                <c:formatCode>General</c:formatCode>
                <c:ptCount val="9"/>
                <c:pt idx="0">
                  <c:v>3</c:v>
                </c:pt>
                <c:pt idx="1">
                  <c:v>7</c:v>
                </c:pt>
                <c:pt idx="2">
                  <c:v>12</c:v>
                </c:pt>
                <c:pt idx="3">
                  <c:v>11</c:v>
                </c:pt>
                <c:pt idx="4">
                  <c:v>12</c:v>
                </c:pt>
                <c:pt idx="5">
                  <c:v>12</c:v>
                </c:pt>
                <c:pt idx="6">
                  <c:v>13</c:v>
                </c:pt>
                <c:pt idx="7">
                  <c:v>14</c:v>
                </c:pt>
                <c:pt idx="8">
                  <c:v>4</c:v>
                </c:pt>
              </c:numCache>
            </c:numRef>
          </c:val>
        </c:ser>
        <c:dLbls>
          <c:showLegendKey val="0"/>
          <c:showVal val="0"/>
          <c:showCatName val="0"/>
          <c:showSerName val="0"/>
          <c:showPercent val="0"/>
          <c:showBubbleSize val="0"/>
        </c:dLbls>
        <c:gapWidth val="150"/>
        <c:overlap val="100"/>
        <c:axId val="553039640"/>
        <c:axId val="553038856"/>
      </c:barChart>
      <c:catAx>
        <c:axId val="553039640"/>
        <c:scaling>
          <c:orientation val="minMax"/>
        </c:scaling>
        <c:delete val="0"/>
        <c:axPos val="b"/>
        <c:numFmt formatCode="General" sourceLinked="0"/>
        <c:majorTickMark val="out"/>
        <c:minorTickMark val="none"/>
        <c:tickLblPos val="nextTo"/>
        <c:txPr>
          <a:bodyPr rot="0"/>
          <a:lstStyle/>
          <a:p>
            <a:pPr>
              <a:defRPr/>
            </a:pPr>
            <a:endParaRPr lang="zh-CN"/>
          </a:p>
        </c:txPr>
        <c:crossAx val="553038856"/>
        <c:crosses val="autoZero"/>
        <c:auto val="1"/>
        <c:lblAlgn val="ctr"/>
        <c:lblOffset val="100"/>
        <c:noMultiLvlLbl val="0"/>
      </c:catAx>
      <c:valAx>
        <c:axId val="553038856"/>
        <c:scaling>
          <c:orientation val="minMax"/>
        </c:scaling>
        <c:delete val="0"/>
        <c:axPos val="l"/>
        <c:numFmt formatCode="General" sourceLinked="1"/>
        <c:majorTickMark val="out"/>
        <c:minorTickMark val="none"/>
        <c:tickLblPos val="nextTo"/>
        <c:crossAx val="553039640"/>
        <c:crosses val="autoZero"/>
        <c:crossBetween val="between"/>
      </c:valAx>
    </c:plotArea>
    <c:legend>
      <c:legendPos val="b"/>
      <c:layout>
        <c:manualLayout>
          <c:xMode val="edge"/>
          <c:yMode val="edge"/>
          <c:x val="5.8060467815398184E-2"/>
          <c:y val="0.88086986469999862"/>
          <c:w val="0.89999985431341734"/>
          <c:h val="6.6799657379857547E-2"/>
        </c:manualLayout>
      </c:layout>
      <c:overlay val="0"/>
    </c:legend>
    <c:plotVisOnly val="1"/>
    <c:dispBlanksAs val="gap"/>
    <c:showDLblsOverMax val="0"/>
  </c:chart>
  <c:spPr>
    <a:ln>
      <a:solidFill>
        <a:schemeClr val="bg2">
          <a:lumMod val="50000"/>
        </a:schemeClr>
      </a:solidFill>
    </a:ln>
  </c:spPr>
  <c:txPr>
    <a:bodyPr/>
    <a:lstStyle/>
    <a:p>
      <a:pPr>
        <a:defRPr sz="1050">
          <a:latin typeface="楷体_GB2312" panose="02010609030101010101" pitchFamily="49" charset="-122"/>
          <a:ea typeface="楷体_GB2312" panose="02010609030101010101" pitchFamily="49" charset="-122"/>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20373117774678E-2"/>
          <c:y val="5.2497561136923582E-2"/>
          <c:w val="0.79622224974961253"/>
          <c:h val="0.67935752304706809"/>
        </c:manualLayout>
      </c:layout>
      <c:barChart>
        <c:barDir val="col"/>
        <c:grouping val="clustered"/>
        <c:varyColors val="0"/>
        <c:ser>
          <c:idx val="0"/>
          <c:order val="0"/>
          <c:tx>
            <c:strRef>
              <c:f>集合理财作图!$B$1</c:f>
              <c:strCache>
                <c:ptCount val="1"/>
                <c:pt idx="0">
                  <c:v>总数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集合理财作图!$A$6:$A$19</c:f>
              <c:strCache>
                <c:ptCount val="14"/>
                <c:pt idx="0">
                  <c:v>2015-05</c:v>
                </c:pt>
                <c:pt idx="1">
                  <c:v>2015-06</c:v>
                </c:pt>
                <c:pt idx="2">
                  <c:v>2015-07</c:v>
                </c:pt>
                <c:pt idx="3">
                  <c:v>2015-08</c:v>
                </c:pt>
                <c:pt idx="4">
                  <c:v>2015-09</c:v>
                </c:pt>
                <c:pt idx="5">
                  <c:v>2015-10</c:v>
                </c:pt>
                <c:pt idx="6">
                  <c:v>2015-11</c:v>
                </c:pt>
                <c:pt idx="7">
                  <c:v>2015-12</c:v>
                </c:pt>
                <c:pt idx="8">
                  <c:v>2016-1</c:v>
                </c:pt>
                <c:pt idx="9">
                  <c:v>2016-2</c:v>
                </c:pt>
                <c:pt idx="10">
                  <c:v>2016-3</c:v>
                </c:pt>
                <c:pt idx="11">
                  <c:v>2016-4</c:v>
                </c:pt>
                <c:pt idx="12">
                  <c:v>2016-5</c:v>
                </c:pt>
                <c:pt idx="13">
                  <c:v>2016-6</c:v>
                </c:pt>
              </c:strCache>
            </c:strRef>
          </c:cat>
          <c:val>
            <c:numRef>
              <c:f>集合理财作图!$B$6:$B$19</c:f>
              <c:numCache>
                <c:formatCode>#,##0</c:formatCode>
                <c:ptCount val="14"/>
                <c:pt idx="0">
                  <c:v>584</c:v>
                </c:pt>
                <c:pt idx="1">
                  <c:v>636</c:v>
                </c:pt>
                <c:pt idx="2">
                  <c:v>483</c:v>
                </c:pt>
                <c:pt idx="3">
                  <c:v>451</c:v>
                </c:pt>
                <c:pt idx="4">
                  <c:v>426</c:v>
                </c:pt>
                <c:pt idx="5">
                  <c:v>322</c:v>
                </c:pt>
                <c:pt idx="6">
                  <c:v>504</c:v>
                </c:pt>
                <c:pt idx="7">
                  <c:v>639</c:v>
                </c:pt>
                <c:pt idx="8">
                  <c:v>514</c:v>
                </c:pt>
                <c:pt idx="9">
                  <c:v>327</c:v>
                </c:pt>
                <c:pt idx="10">
                  <c:v>666</c:v>
                </c:pt>
                <c:pt idx="11">
                  <c:v>730</c:v>
                </c:pt>
                <c:pt idx="12">
                  <c:v>913</c:v>
                </c:pt>
                <c:pt idx="13">
                  <c:v>988</c:v>
                </c:pt>
              </c:numCache>
            </c:numRef>
          </c:val>
        </c:ser>
        <c:dLbls>
          <c:showLegendKey val="0"/>
          <c:showVal val="0"/>
          <c:showCatName val="0"/>
          <c:showSerName val="0"/>
          <c:showPercent val="0"/>
          <c:showBubbleSize val="0"/>
        </c:dLbls>
        <c:gapWidth val="219"/>
        <c:axId val="553040032"/>
        <c:axId val="553042776"/>
      </c:barChart>
      <c:lineChart>
        <c:grouping val="standard"/>
        <c:varyColors val="0"/>
        <c:ser>
          <c:idx val="1"/>
          <c:order val="1"/>
          <c:tx>
            <c:strRef>
              <c:f>集合理财作图!$C$1</c:f>
              <c:strCache>
                <c:ptCount val="1"/>
                <c:pt idx="0">
                  <c:v>发行份额(亿份)</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集合理财作图!$A$6:$A$19</c:f>
              <c:strCache>
                <c:ptCount val="14"/>
                <c:pt idx="0">
                  <c:v>2015-05</c:v>
                </c:pt>
                <c:pt idx="1">
                  <c:v>2015-06</c:v>
                </c:pt>
                <c:pt idx="2">
                  <c:v>2015-07</c:v>
                </c:pt>
                <c:pt idx="3">
                  <c:v>2015-08</c:v>
                </c:pt>
                <c:pt idx="4">
                  <c:v>2015-09</c:v>
                </c:pt>
                <c:pt idx="5">
                  <c:v>2015-10</c:v>
                </c:pt>
                <c:pt idx="6">
                  <c:v>2015-11</c:v>
                </c:pt>
                <c:pt idx="7">
                  <c:v>2015-12</c:v>
                </c:pt>
                <c:pt idx="8">
                  <c:v>2016-1</c:v>
                </c:pt>
                <c:pt idx="9">
                  <c:v>2016-2</c:v>
                </c:pt>
                <c:pt idx="10">
                  <c:v>2016-3</c:v>
                </c:pt>
                <c:pt idx="11">
                  <c:v>2016-4</c:v>
                </c:pt>
                <c:pt idx="12">
                  <c:v>2016-5</c:v>
                </c:pt>
                <c:pt idx="13">
                  <c:v>2016-6</c:v>
                </c:pt>
              </c:strCache>
            </c:strRef>
          </c:cat>
          <c:val>
            <c:numRef>
              <c:f>集合理财作图!$C$6:$C$19</c:f>
              <c:numCache>
                <c:formatCode>#,##0.00</c:formatCode>
                <c:ptCount val="14"/>
                <c:pt idx="0">
                  <c:v>589.39885253520004</c:v>
                </c:pt>
                <c:pt idx="1">
                  <c:v>609.7679226473</c:v>
                </c:pt>
                <c:pt idx="2">
                  <c:v>505.75504901340003</c:v>
                </c:pt>
                <c:pt idx="3">
                  <c:v>423.2022526184</c:v>
                </c:pt>
                <c:pt idx="4">
                  <c:v>228.00960416289999</c:v>
                </c:pt>
                <c:pt idx="5">
                  <c:v>166.32626968540001</c:v>
                </c:pt>
                <c:pt idx="6">
                  <c:v>430.5275209669</c:v>
                </c:pt>
                <c:pt idx="7">
                  <c:v>538.09899853000002</c:v>
                </c:pt>
                <c:pt idx="8">
                  <c:v>225.839154769</c:v>
                </c:pt>
                <c:pt idx="9">
                  <c:v>185.3730361776</c:v>
                </c:pt>
                <c:pt idx="10">
                  <c:v>395.83191698209998</c:v>
                </c:pt>
                <c:pt idx="11">
                  <c:v>476.6962746831</c:v>
                </c:pt>
                <c:pt idx="12">
                  <c:v>527.78481749720004</c:v>
                </c:pt>
                <c:pt idx="13">
                  <c:v>461.83870606390002</c:v>
                </c:pt>
              </c:numCache>
            </c:numRef>
          </c:val>
          <c:smooth val="0"/>
        </c:ser>
        <c:dLbls>
          <c:showLegendKey val="0"/>
          <c:showVal val="0"/>
          <c:showCatName val="0"/>
          <c:showSerName val="0"/>
          <c:showPercent val="0"/>
          <c:showBubbleSize val="0"/>
        </c:dLbls>
        <c:marker val="1"/>
        <c:smooth val="0"/>
        <c:axId val="553040424"/>
        <c:axId val="553041208"/>
      </c:lineChart>
      <c:catAx>
        <c:axId val="553040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2776"/>
        <c:crosses val="autoZero"/>
        <c:auto val="1"/>
        <c:lblAlgn val="ctr"/>
        <c:lblOffset val="100"/>
        <c:noMultiLvlLbl val="0"/>
      </c:catAx>
      <c:valAx>
        <c:axId val="553042776"/>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0032"/>
        <c:crosses val="autoZero"/>
        <c:crossBetween val="between"/>
      </c:valAx>
      <c:valAx>
        <c:axId val="553041208"/>
        <c:scaling>
          <c:orientation val="minMax"/>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0424"/>
        <c:crosses val="max"/>
        <c:crossBetween val="between"/>
      </c:valAx>
      <c:catAx>
        <c:axId val="553040424"/>
        <c:scaling>
          <c:orientation val="minMax"/>
        </c:scaling>
        <c:delete val="1"/>
        <c:axPos val="b"/>
        <c:numFmt formatCode="General" sourceLinked="1"/>
        <c:majorTickMark val="out"/>
        <c:minorTickMark val="none"/>
        <c:tickLblPos val="none"/>
        <c:crossAx val="553041208"/>
        <c:crosses val="autoZero"/>
        <c:auto val="1"/>
        <c:lblAlgn val="ctr"/>
        <c:lblOffset val="100"/>
        <c:noMultiLvlLbl val="0"/>
      </c:catAx>
      <c:spPr>
        <a:noFill/>
        <a:ln>
          <a:noFill/>
        </a:ln>
        <a:effectLst/>
      </c:spPr>
    </c:plotArea>
    <c:legend>
      <c:legendPos val="b"/>
      <c:layout>
        <c:manualLayout>
          <c:xMode val="edge"/>
          <c:yMode val="edge"/>
          <c:x val="0.26707026302421683"/>
          <c:y val="0.90497941434216844"/>
          <c:w val="0.47195711104517341"/>
          <c:h val="7.1158057868320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legend>
    <c:plotVisOnly val="1"/>
    <c:dispBlanksAs val="gap"/>
    <c:showDLblsOverMax val="0"/>
  </c:chart>
  <c:spPr>
    <a:solidFill>
      <a:schemeClr val="bg1"/>
    </a:solidFill>
    <a:ln w="9525" cap="flat" cmpd="sng" algn="ctr">
      <a:solidFill>
        <a:srgbClr val="948A54"/>
      </a:solidFill>
      <a:round/>
    </a:ln>
    <a:effectLst/>
  </c:spPr>
  <c:txPr>
    <a:bodyPr/>
    <a:lstStyle/>
    <a:p>
      <a:pPr>
        <a:defRPr>
          <a:latin typeface="楷体_GB2312" panose="02010609030101010101" pitchFamily="49" charset="-122"/>
          <a:ea typeface="楷体_GB2312" panose="02010609030101010101" pitchFamily="49" charset="-122"/>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154473205819332E-2"/>
          <c:y val="7.2891499847785479E-2"/>
          <c:w val="0.88062651683022053"/>
          <c:h val="0.70241830065359845"/>
        </c:manualLayout>
      </c:layout>
      <c:barChart>
        <c:barDir val="col"/>
        <c:grouping val="stacked"/>
        <c:varyColors val="0"/>
        <c:ser>
          <c:idx val="0"/>
          <c:order val="0"/>
          <c:tx>
            <c:strRef>
              <c:f>券商集合理财!$B$3</c:f>
              <c:strCache>
                <c:ptCount val="1"/>
                <c:pt idx="0">
                  <c:v>股票型</c:v>
                </c:pt>
              </c:strCache>
            </c:strRef>
          </c:tx>
          <c:invertIfNegative val="0"/>
          <c:cat>
            <c:strRef>
              <c:f>券商集合理财!$A$5:$A$13</c:f>
              <c:strCache>
                <c:ptCount val="9"/>
                <c:pt idx="0">
                  <c:v>10月</c:v>
                </c:pt>
                <c:pt idx="1">
                  <c:v>11月</c:v>
                </c:pt>
                <c:pt idx="2">
                  <c:v>12月</c:v>
                </c:pt>
                <c:pt idx="3">
                  <c:v>1月</c:v>
                </c:pt>
                <c:pt idx="4">
                  <c:v>2月</c:v>
                </c:pt>
                <c:pt idx="5">
                  <c:v>3月</c:v>
                </c:pt>
                <c:pt idx="6">
                  <c:v>4月</c:v>
                </c:pt>
                <c:pt idx="7">
                  <c:v>5月 </c:v>
                </c:pt>
                <c:pt idx="8">
                  <c:v>6月</c:v>
                </c:pt>
              </c:strCache>
            </c:strRef>
          </c:cat>
          <c:val>
            <c:numRef>
              <c:f>券商集合理财!$B$5:$B$13</c:f>
              <c:numCache>
                <c:formatCode>0_);[Red]\(0\)</c:formatCode>
                <c:ptCount val="9"/>
                <c:pt idx="0">
                  <c:v>32</c:v>
                </c:pt>
                <c:pt idx="1">
                  <c:v>75</c:v>
                </c:pt>
                <c:pt idx="2">
                  <c:v>38</c:v>
                </c:pt>
                <c:pt idx="3">
                  <c:v>29</c:v>
                </c:pt>
                <c:pt idx="4">
                  <c:v>21</c:v>
                </c:pt>
                <c:pt idx="5">
                  <c:v>58</c:v>
                </c:pt>
                <c:pt idx="6">
                  <c:v>72</c:v>
                </c:pt>
                <c:pt idx="7">
                  <c:v>54</c:v>
                </c:pt>
                <c:pt idx="8">
                  <c:v>69</c:v>
                </c:pt>
              </c:numCache>
            </c:numRef>
          </c:val>
        </c:ser>
        <c:ser>
          <c:idx val="1"/>
          <c:order val="1"/>
          <c:tx>
            <c:strRef>
              <c:f>券商集合理财!$C$3</c:f>
              <c:strCache>
                <c:ptCount val="1"/>
                <c:pt idx="0">
                  <c:v>混合型</c:v>
                </c:pt>
              </c:strCache>
            </c:strRef>
          </c:tx>
          <c:invertIfNegative val="0"/>
          <c:cat>
            <c:strRef>
              <c:f>券商集合理财!$A$5:$A$13</c:f>
              <c:strCache>
                <c:ptCount val="9"/>
                <c:pt idx="0">
                  <c:v>10月</c:v>
                </c:pt>
                <c:pt idx="1">
                  <c:v>11月</c:v>
                </c:pt>
                <c:pt idx="2">
                  <c:v>12月</c:v>
                </c:pt>
                <c:pt idx="3">
                  <c:v>1月</c:v>
                </c:pt>
                <c:pt idx="4">
                  <c:v>2月</c:v>
                </c:pt>
                <c:pt idx="5">
                  <c:v>3月</c:v>
                </c:pt>
                <c:pt idx="6">
                  <c:v>4月</c:v>
                </c:pt>
                <c:pt idx="7">
                  <c:v>5月 </c:v>
                </c:pt>
                <c:pt idx="8">
                  <c:v>6月</c:v>
                </c:pt>
              </c:strCache>
            </c:strRef>
          </c:cat>
          <c:val>
            <c:numRef>
              <c:f>券商集合理财!$C$5:$C$13</c:f>
              <c:numCache>
                <c:formatCode>0_);[Red]\(0\)</c:formatCode>
                <c:ptCount val="9"/>
                <c:pt idx="0">
                  <c:v>126</c:v>
                </c:pt>
                <c:pt idx="1">
                  <c:v>207</c:v>
                </c:pt>
                <c:pt idx="2">
                  <c:v>322</c:v>
                </c:pt>
                <c:pt idx="3">
                  <c:v>235</c:v>
                </c:pt>
                <c:pt idx="4">
                  <c:v>165</c:v>
                </c:pt>
                <c:pt idx="5">
                  <c:v>297</c:v>
                </c:pt>
                <c:pt idx="6">
                  <c:v>305</c:v>
                </c:pt>
                <c:pt idx="7">
                  <c:v>336</c:v>
                </c:pt>
                <c:pt idx="8">
                  <c:v>318</c:v>
                </c:pt>
              </c:numCache>
            </c:numRef>
          </c:val>
        </c:ser>
        <c:ser>
          <c:idx val="2"/>
          <c:order val="2"/>
          <c:tx>
            <c:strRef>
              <c:f>券商集合理财!$D$3</c:f>
              <c:strCache>
                <c:ptCount val="1"/>
                <c:pt idx="0">
                  <c:v>债券型</c:v>
                </c:pt>
              </c:strCache>
            </c:strRef>
          </c:tx>
          <c:invertIfNegative val="0"/>
          <c:cat>
            <c:strRef>
              <c:f>券商集合理财!$A$5:$A$13</c:f>
              <c:strCache>
                <c:ptCount val="9"/>
                <c:pt idx="0">
                  <c:v>10月</c:v>
                </c:pt>
                <c:pt idx="1">
                  <c:v>11月</c:v>
                </c:pt>
                <c:pt idx="2">
                  <c:v>12月</c:v>
                </c:pt>
                <c:pt idx="3">
                  <c:v>1月</c:v>
                </c:pt>
                <c:pt idx="4">
                  <c:v>2月</c:v>
                </c:pt>
                <c:pt idx="5">
                  <c:v>3月</c:v>
                </c:pt>
                <c:pt idx="6">
                  <c:v>4月</c:v>
                </c:pt>
                <c:pt idx="7">
                  <c:v>5月 </c:v>
                </c:pt>
                <c:pt idx="8">
                  <c:v>6月</c:v>
                </c:pt>
              </c:strCache>
            </c:strRef>
          </c:cat>
          <c:val>
            <c:numRef>
              <c:f>券商集合理财!$D$5:$D$13</c:f>
              <c:numCache>
                <c:formatCode>0_);[Red]\(0\)</c:formatCode>
                <c:ptCount val="9"/>
                <c:pt idx="0">
                  <c:v>62</c:v>
                </c:pt>
                <c:pt idx="1">
                  <c:v>101</c:v>
                </c:pt>
                <c:pt idx="2">
                  <c:v>107</c:v>
                </c:pt>
                <c:pt idx="3">
                  <c:v>126</c:v>
                </c:pt>
                <c:pt idx="4">
                  <c:v>80</c:v>
                </c:pt>
                <c:pt idx="5">
                  <c:v>180</c:v>
                </c:pt>
                <c:pt idx="6">
                  <c:v>246</c:v>
                </c:pt>
                <c:pt idx="7">
                  <c:v>290</c:v>
                </c:pt>
                <c:pt idx="8">
                  <c:v>345</c:v>
                </c:pt>
              </c:numCache>
            </c:numRef>
          </c:val>
        </c:ser>
        <c:ser>
          <c:idx val="3"/>
          <c:order val="3"/>
          <c:tx>
            <c:strRef>
              <c:f>券商集合理财!$E$3</c:f>
              <c:strCache>
                <c:ptCount val="1"/>
                <c:pt idx="0">
                  <c:v>货币型</c:v>
                </c:pt>
              </c:strCache>
            </c:strRef>
          </c:tx>
          <c:invertIfNegative val="0"/>
          <c:cat>
            <c:strRef>
              <c:f>券商集合理财!$A$5:$A$13</c:f>
              <c:strCache>
                <c:ptCount val="9"/>
                <c:pt idx="0">
                  <c:v>10月</c:v>
                </c:pt>
                <c:pt idx="1">
                  <c:v>11月</c:v>
                </c:pt>
                <c:pt idx="2">
                  <c:v>12月</c:v>
                </c:pt>
                <c:pt idx="3">
                  <c:v>1月</c:v>
                </c:pt>
                <c:pt idx="4">
                  <c:v>2月</c:v>
                </c:pt>
                <c:pt idx="5">
                  <c:v>3月</c:v>
                </c:pt>
                <c:pt idx="6">
                  <c:v>4月</c:v>
                </c:pt>
                <c:pt idx="7">
                  <c:v>5月 </c:v>
                </c:pt>
                <c:pt idx="8">
                  <c:v>6月</c:v>
                </c:pt>
              </c:strCache>
            </c:strRef>
          </c:cat>
          <c:val>
            <c:numRef>
              <c:f>券商集合理财!$E$5:$E$13</c:f>
              <c:numCache>
                <c:formatCode>0_);[Red]\(0\)</c:formatCode>
                <c:ptCount val="9"/>
                <c:pt idx="0">
                  <c:v>44</c:v>
                </c:pt>
                <c:pt idx="1">
                  <c:v>45</c:v>
                </c:pt>
                <c:pt idx="2">
                  <c:v>52</c:v>
                </c:pt>
                <c:pt idx="3">
                  <c:v>56</c:v>
                </c:pt>
                <c:pt idx="4">
                  <c:v>17</c:v>
                </c:pt>
                <c:pt idx="5">
                  <c:v>30</c:v>
                </c:pt>
                <c:pt idx="6">
                  <c:v>25</c:v>
                </c:pt>
                <c:pt idx="7">
                  <c:v>158</c:v>
                </c:pt>
                <c:pt idx="8">
                  <c:v>171</c:v>
                </c:pt>
              </c:numCache>
            </c:numRef>
          </c:val>
        </c:ser>
        <c:ser>
          <c:idx val="4"/>
          <c:order val="4"/>
          <c:tx>
            <c:strRef>
              <c:f>券商集合理财!$F$3</c:f>
              <c:strCache>
                <c:ptCount val="1"/>
                <c:pt idx="0">
                  <c:v>其他</c:v>
                </c:pt>
              </c:strCache>
            </c:strRef>
          </c:tx>
          <c:invertIfNegative val="0"/>
          <c:cat>
            <c:strRef>
              <c:f>券商集合理财!$A$5:$A$13</c:f>
              <c:strCache>
                <c:ptCount val="9"/>
                <c:pt idx="0">
                  <c:v>10月</c:v>
                </c:pt>
                <c:pt idx="1">
                  <c:v>11月</c:v>
                </c:pt>
                <c:pt idx="2">
                  <c:v>12月</c:v>
                </c:pt>
                <c:pt idx="3">
                  <c:v>1月</c:v>
                </c:pt>
                <c:pt idx="4">
                  <c:v>2月</c:v>
                </c:pt>
                <c:pt idx="5">
                  <c:v>3月</c:v>
                </c:pt>
                <c:pt idx="6">
                  <c:v>4月</c:v>
                </c:pt>
                <c:pt idx="7">
                  <c:v>5月 </c:v>
                </c:pt>
                <c:pt idx="8">
                  <c:v>6月</c:v>
                </c:pt>
              </c:strCache>
            </c:strRef>
          </c:cat>
          <c:val>
            <c:numRef>
              <c:f>券商集合理财!$F$5:$F$13</c:f>
              <c:numCache>
                <c:formatCode>0_);[Red]\(0\)</c:formatCode>
                <c:ptCount val="9"/>
                <c:pt idx="0">
                  <c:v>58</c:v>
                </c:pt>
                <c:pt idx="1">
                  <c:v>76</c:v>
                </c:pt>
                <c:pt idx="2">
                  <c:v>120</c:v>
                </c:pt>
                <c:pt idx="3">
                  <c:v>68</c:v>
                </c:pt>
                <c:pt idx="4">
                  <c:v>44</c:v>
                </c:pt>
                <c:pt idx="5">
                  <c:v>101</c:v>
                </c:pt>
                <c:pt idx="6">
                  <c:v>82</c:v>
                </c:pt>
                <c:pt idx="7">
                  <c:v>75</c:v>
                </c:pt>
                <c:pt idx="8">
                  <c:v>85</c:v>
                </c:pt>
              </c:numCache>
            </c:numRef>
          </c:val>
        </c:ser>
        <c:dLbls>
          <c:showLegendKey val="0"/>
          <c:showVal val="0"/>
          <c:showCatName val="0"/>
          <c:showSerName val="0"/>
          <c:showPercent val="0"/>
          <c:showBubbleSize val="0"/>
        </c:dLbls>
        <c:gapWidth val="150"/>
        <c:overlap val="100"/>
        <c:axId val="553041600"/>
        <c:axId val="553043560"/>
      </c:barChart>
      <c:catAx>
        <c:axId val="553041600"/>
        <c:scaling>
          <c:orientation val="minMax"/>
        </c:scaling>
        <c:delete val="0"/>
        <c:axPos val="b"/>
        <c:numFmt formatCode="General" sourceLinked="0"/>
        <c:majorTickMark val="out"/>
        <c:minorTickMark val="none"/>
        <c:tickLblPos val="nextTo"/>
        <c:txPr>
          <a:bodyPr rot="0"/>
          <a:lstStyle/>
          <a:p>
            <a:pPr>
              <a:defRPr/>
            </a:pPr>
            <a:endParaRPr lang="zh-CN"/>
          </a:p>
        </c:txPr>
        <c:crossAx val="553043560"/>
        <c:crosses val="autoZero"/>
        <c:auto val="1"/>
        <c:lblAlgn val="ctr"/>
        <c:lblOffset val="100"/>
        <c:noMultiLvlLbl val="0"/>
      </c:catAx>
      <c:valAx>
        <c:axId val="553043560"/>
        <c:scaling>
          <c:orientation val="minMax"/>
        </c:scaling>
        <c:delete val="0"/>
        <c:axPos val="l"/>
        <c:numFmt formatCode="0_);[Red]\(0\)" sourceLinked="1"/>
        <c:majorTickMark val="out"/>
        <c:minorTickMark val="none"/>
        <c:tickLblPos val="nextTo"/>
        <c:crossAx val="553041600"/>
        <c:crosses val="autoZero"/>
        <c:crossBetween val="between"/>
      </c:valAx>
    </c:plotArea>
    <c:legend>
      <c:legendPos val="b"/>
      <c:layout>
        <c:manualLayout>
          <c:xMode val="edge"/>
          <c:yMode val="edge"/>
          <c:x val="0.19182772127690206"/>
          <c:y val="0.89354958303353527"/>
          <c:w val="0.62955961641643754"/>
          <c:h val="6.9294508316366035E-2"/>
        </c:manualLayout>
      </c:layout>
      <c:overlay val="0"/>
    </c:legend>
    <c:plotVisOnly val="1"/>
    <c:dispBlanksAs val="gap"/>
    <c:showDLblsOverMax val="0"/>
  </c:chart>
  <c:spPr>
    <a:ln>
      <a:solidFill>
        <a:schemeClr val="bg2">
          <a:lumMod val="50000"/>
        </a:schemeClr>
      </a:solidFill>
    </a:ln>
  </c:spPr>
  <c:txPr>
    <a:bodyPr/>
    <a:lstStyle/>
    <a:p>
      <a:pPr>
        <a:defRPr>
          <a:latin typeface="楷体_GB2312" panose="02010609030101010101" pitchFamily="49" charset="-122"/>
          <a:ea typeface="楷体_GB2312" panose="02010609030101010101" pitchFamily="49" charset="-122"/>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集合理财作图!$B$23</c:f>
              <c:strCache>
                <c:ptCount val="1"/>
                <c:pt idx="0">
                  <c:v>集合理财数量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集合理财作图!$A$24:$A$36</c:f>
              <c:strCache>
                <c:ptCount val="13"/>
                <c:pt idx="0">
                  <c:v>2015-06</c:v>
                </c:pt>
                <c:pt idx="1">
                  <c:v>2015-07</c:v>
                </c:pt>
                <c:pt idx="2">
                  <c:v>2015-08</c:v>
                </c:pt>
                <c:pt idx="3">
                  <c:v>2015-09</c:v>
                </c:pt>
                <c:pt idx="4">
                  <c:v>2015-10</c:v>
                </c:pt>
                <c:pt idx="5">
                  <c:v>2015-11</c:v>
                </c:pt>
                <c:pt idx="6">
                  <c:v>2015-12</c:v>
                </c:pt>
                <c:pt idx="7">
                  <c:v>2016-1</c:v>
                </c:pt>
                <c:pt idx="8">
                  <c:v>2016-2</c:v>
                </c:pt>
                <c:pt idx="9">
                  <c:v>2016-3</c:v>
                </c:pt>
                <c:pt idx="10">
                  <c:v>2016-4</c:v>
                </c:pt>
                <c:pt idx="11">
                  <c:v>2016-5</c:v>
                </c:pt>
                <c:pt idx="12">
                  <c:v>2016-6</c:v>
                </c:pt>
              </c:strCache>
            </c:strRef>
          </c:cat>
          <c:val>
            <c:numRef>
              <c:f>集合理财作图!$B$24:$B$36</c:f>
              <c:numCache>
                <c:formatCode>#,##0</c:formatCode>
                <c:ptCount val="13"/>
                <c:pt idx="0">
                  <c:v>636</c:v>
                </c:pt>
                <c:pt idx="1">
                  <c:v>483</c:v>
                </c:pt>
                <c:pt idx="2">
                  <c:v>451</c:v>
                </c:pt>
                <c:pt idx="3">
                  <c:v>426</c:v>
                </c:pt>
                <c:pt idx="4">
                  <c:v>322</c:v>
                </c:pt>
                <c:pt idx="5">
                  <c:v>504</c:v>
                </c:pt>
                <c:pt idx="6">
                  <c:v>639</c:v>
                </c:pt>
                <c:pt idx="7">
                  <c:v>514</c:v>
                </c:pt>
                <c:pt idx="8">
                  <c:v>327</c:v>
                </c:pt>
                <c:pt idx="9">
                  <c:v>666</c:v>
                </c:pt>
                <c:pt idx="10">
                  <c:v>730</c:v>
                </c:pt>
                <c:pt idx="11">
                  <c:v>913</c:v>
                </c:pt>
                <c:pt idx="12">
                  <c:v>988</c:v>
                </c:pt>
              </c:numCache>
            </c:numRef>
          </c:val>
        </c:ser>
        <c:ser>
          <c:idx val="1"/>
          <c:order val="1"/>
          <c:tx>
            <c:strRef>
              <c:f>集合理财作图!$C$23</c:f>
              <c:strCache>
                <c:ptCount val="1"/>
                <c:pt idx="0">
                  <c:v>公募数量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集合理财作图!$A$24:$A$36</c:f>
              <c:strCache>
                <c:ptCount val="13"/>
                <c:pt idx="0">
                  <c:v>2015-06</c:v>
                </c:pt>
                <c:pt idx="1">
                  <c:v>2015-07</c:v>
                </c:pt>
                <c:pt idx="2">
                  <c:v>2015-08</c:v>
                </c:pt>
                <c:pt idx="3">
                  <c:v>2015-09</c:v>
                </c:pt>
                <c:pt idx="4">
                  <c:v>2015-10</c:v>
                </c:pt>
                <c:pt idx="5">
                  <c:v>2015-11</c:v>
                </c:pt>
                <c:pt idx="6">
                  <c:v>2015-12</c:v>
                </c:pt>
                <c:pt idx="7">
                  <c:v>2016-1</c:v>
                </c:pt>
                <c:pt idx="8">
                  <c:v>2016-2</c:v>
                </c:pt>
                <c:pt idx="9">
                  <c:v>2016-3</c:v>
                </c:pt>
                <c:pt idx="10">
                  <c:v>2016-4</c:v>
                </c:pt>
                <c:pt idx="11">
                  <c:v>2016-5</c:v>
                </c:pt>
                <c:pt idx="12">
                  <c:v>2016-6</c:v>
                </c:pt>
              </c:strCache>
            </c:strRef>
          </c:cat>
          <c:val>
            <c:numRef>
              <c:f>集合理财作图!$C$24:$C$36</c:f>
              <c:numCache>
                <c:formatCode>#,##0</c:formatCode>
                <c:ptCount val="13"/>
                <c:pt idx="0">
                  <c:v>143</c:v>
                </c:pt>
                <c:pt idx="1">
                  <c:v>72</c:v>
                </c:pt>
                <c:pt idx="2">
                  <c:v>39</c:v>
                </c:pt>
                <c:pt idx="3">
                  <c:v>19</c:v>
                </c:pt>
                <c:pt idx="4">
                  <c:v>35</c:v>
                </c:pt>
                <c:pt idx="5">
                  <c:v>100</c:v>
                </c:pt>
                <c:pt idx="6">
                  <c:v>69</c:v>
                </c:pt>
                <c:pt idx="7">
                  <c:v>78</c:v>
                </c:pt>
                <c:pt idx="8">
                  <c:v>45</c:v>
                </c:pt>
                <c:pt idx="9">
                  <c:v>65</c:v>
                </c:pt>
                <c:pt idx="10">
                  <c:v>76</c:v>
                </c:pt>
                <c:pt idx="11">
                  <c:v>87</c:v>
                </c:pt>
                <c:pt idx="12">
                  <c:v>45</c:v>
                </c:pt>
              </c:numCache>
            </c:numRef>
          </c:val>
        </c:ser>
        <c:dLbls>
          <c:showLegendKey val="0"/>
          <c:showVal val="0"/>
          <c:showCatName val="0"/>
          <c:showSerName val="0"/>
          <c:showPercent val="0"/>
          <c:showBubbleSize val="0"/>
        </c:dLbls>
        <c:gapWidth val="150"/>
        <c:axId val="553037680"/>
        <c:axId val="553044344"/>
      </c:barChart>
      <c:lineChart>
        <c:grouping val="standard"/>
        <c:varyColors val="0"/>
        <c:ser>
          <c:idx val="2"/>
          <c:order val="2"/>
          <c:tx>
            <c:strRef>
              <c:f>集合理财作图!$D$23</c:f>
              <c:strCache>
                <c:ptCount val="1"/>
                <c:pt idx="0">
                  <c:v>集合理财发行份额(右轴)</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集合理财作图!$A$24:$A$35</c:f>
              <c:strCache>
                <c:ptCount val="12"/>
                <c:pt idx="0">
                  <c:v>2015-06</c:v>
                </c:pt>
                <c:pt idx="1">
                  <c:v>2015-07</c:v>
                </c:pt>
                <c:pt idx="2">
                  <c:v>2015-08</c:v>
                </c:pt>
                <c:pt idx="3">
                  <c:v>2015-09</c:v>
                </c:pt>
                <c:pt idx="4">
                  <c:v>2015-10</c:v>
                </c:pt>
                <c:pt idx="5">
                  <c:v>2015-11</c:v>
                </c:pt>
                <c:pt idx="6">
                  <c:v>2015-12</c:v>
                </c:pt>
                <c:pt idx="7">
                  <c:v>2016-1</c:v>
                </c:pt>
                <c:pt idx="8">
                  <c:v>2016-2</c:v>
                </c:pt>
                <c:pt idx="9">
                  <c:v>2016-3</c:v>
                </c:pt>
                <c:pt idx="10">
                  <c:v>2016-4</c:v>
                </c:pt>
                <c:pt idx="11">
                  <c:v>2016-5</c:v>
                </c:pt>
              </c:strCache>
            </c:strRef>
          </c:cat>
          <c:val>
            <c:numRef>
              <c:f>集合理财作图!$D$24:$D$36</c:f>
              <c:numCache>
                <c:formatCode>#,##0.00</c:formatCode>
                <c:ptCount val="13"/>
                <c:pt idx="0">
                  <c:v>609.7679226473</c:v>
                </c:pt>
                <c:pt idx="1">
                  <c:v>505.75504901340003</c:v>
                </c:pt>
                <c:pt idx="2">
                  <c:v>423.2022526184</c:v>
                </c:pt>
                <c:pt idx="3">
                  <c:v>228.00960416289999</c:v>
                </c:pt>
                <c:pt idx="4">
                  <c:v>166.32626968540001</c:v>
                </c:pt>
                <c:pt idx="5">
                  <c:v>430.5275209669</c:v>
                </c:pt>
                <c:pt idx="6">
                  <c:v>538.09899853000002</c:v>
                </c:pt>
                <c:pt idx="7">
                  <c:v>225.839154769</c:v>
                </c:pt>
                <c:pt idx="8">
                  <c:v>185.3730361776</c:v>
                </c:pt>
                <c:pt idx="9">
                  <c:v>395.83191698209998</c:v>
                </c:pt>
                <c:pt idx="10">
                  <c:v>476.6962746831</c:v>
                </c:pt>
                <c:pt idx="11">
                  <c:v>527.78481749720004</c:v>
                </c:pt>
                <c:pt idx="12">
                  <c:v>461.83870606390002</c:v>
                </c:pt>
              </c:numCache>
            </c:numRef>
          </c:val>
          <c:smooth val="0"/>
        </c:ser>
        <c:ser>
          <c:idx val="3"/>
          <c:order val="3"/>
          <c:tx>
            <c:strRef>
              <c:f>集合理财作图!$E$23</c:f>
              <c:strCache>
                <c:ptCount val="1"/>
                <c:pt idx="0">
                  <c:v>公募发行份额(右轴)</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集合理财作图!$A$24:$A$35</c:f>
              <c:strCache>
                <c:ptCount val="12"/>
                <c:pt idx="0">
                  <c:v>2015-06</c:v>
                </c:pt>
                <c:pt idx="1">
                  <c:v>2015-07</c:v>
                </c:pt>
                <c:pt idx="2">
                  <c:v>2015-08</c:v>
                </c:pt>
                <c:pt idx="3">
                  <c:v>2015-09</c:v>
                </c:pt>
                <c:pt idx="4">
                  <c:v>2015-10</c:v>
                </c:pt>
                <c:pt idx="5">
                  <c:v>2015-11</c:v>
                </c:pt>
                <c:pt idx="6">
                  <c:v>2015-12</c:v>
                </c:pt>
                <c:pt idx="7">
                  <c:v>2016-1</c:v>
                </c:pt>
                <c:pt idx="8">
                  <c:v>2016-2</c:v>
                </c:pt>
                <c:pt idx="9">
                  <c:v>2016-3</c:v>
                </c:pt>
                <c:pt idx="10">
                  <c:v>2016-4</c:v>
                </c:pt>
                <c:pt idx="11">
                  <c:v>2016-5</c:v>
                </c:pt>
              </c:strCache>
            </c:strRef>
          </c:cat>
          <c:val>
            <c:numRef>
              <c:f>集合理财作图!$E$24:$E$36</c:f>
              <c:numCache>
                <c:formatCode>#,##0.00</c:formatCode>
                <c:ptCount val="13"/>
                <c:pt idx="0">
                  <c:v>2387.8873715942</c:v>
                </c:pt>
                <c:pt idx="1">
                  <c:v>2417.5730964823001</c:v>
                </c:pt>
                <c:pt idx="2">
                  <c:v>193.9006025585</c:v>
                </c:pt>
                <c:pt idx="3">
                  <c:v>185.1507973837</c:v>
                </c:pt>
                <c:pt idx="4">
                  <c:v>278.3231210898</c:v>
                </c:pt>
                <c:pt idx="5">
                  <c:v>1240.7228376751</c:v>
                </c:pt>
                <c:pt idx="6">
                  <c:v>861.03158147659997</c:v>
                </c:pt>
                <c:pt idx="7">
                  <c:v>749.11452758810003</c:v>
                </c:pt>
                <c:pt idx="8">
                  <c:v>413.67390196579998</c:v>
                </c:pt>
                <c:pt idx="9">
                  <c:v>623.54397945610003</c:v>
                </c:pt>
                <c:pt idx="10">
                  <c:v>656.42349537969994</c:v>
                </c:pt>
                <c:pt idx="11">
                  <c:v>1017.4209039053</c:v>
                </c:pt>
                <c:pt idx="12">
                  <c:v>291.49</c:v>
                </c:pt>
              </c:numCache>
            </c:numRef>
          </c:val>
          <c:smooth val="0"/>
        </c:ser>
        <c:dLbls>
          <c:showLegendKey val="0"/>
          <c:showVal val="0"/>
          <c:showCatName val="0"/>
          <c:showSerName val="0"/>
          <c:showPercent val="0"/>
          <c:showBubbleSize val="0"/>
        </c:dLbls>
        <c:marker val="1"/>
        <c:smooth val="0"/>
        <c:axId val="553045128"/>
        <c:axId val="553044736"/>
      </c:lineChart>
      <c:catAx>
        <c:axId val="553037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68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4344"/>
        <c:crosses val="autoZero"/>
        <c:auto val="1"/>
        <c:lblAlgn val="ctr"/>
        <c:lblOffset val="100"/>
        <c:noMultiLvlLbl val="0"/>
      </c:catAx>
      <c:valAx>
        <c:axId val="5530443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37680"/>
        <c:crosses val="autoZero"/>
        <c:crossBetween val="between"/>
      </c:valAx>
      <c:valAx>
        <c:axId val="553044736"/>
        <c:scaling>
          <c:orientation val="minMax"/>
          <c:max val="2500"/>
          <c:min val="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crossAx val="553045128"/>
        <c:crosses val="max"/>
        <c:crossBetween val="between"/>
        <c:majorUnit val="300"/>
      </c:valAx>
      <c:catAx>
        <c:axId val="553045128"/>
        <c:scaling>
          <c:orientation val="minMax"/>
        </c:scaling>
        <c:delete val="1"/>
        <c:axPos val="b"/>
        <c:numFmt formatCode="General" sourceLinked="1"/>
        <c:majorTickMark val="out"/>
        <c:minorTickMark val="none"/>
        <c:tickLblPos val="none"/>
        <c:crossAx val="553044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楷体_GB2312" panose="02010609030101010101" pitchFamily="49" charset="-122"/>
              <a:ea typeface="楷体_GB2312" panose="02010609030101010101" pitchFamily="49" charset="-122"/>
              <a:cs typeface="+mn-cs"/>
            </a:defRPr>
          </a:pPr>
          <a:endParaRPr lang="zh-CN"/>
        </a:p>
      </c:txPr>
    </c:legend>
    <c:plotVisOnly val="1"/>
    <c:dispBlanksAs val="gap"/>
    <c:showDLblsOverMax val="0"/>
  </c:chart>
  <c:spPr>
    <a:solidFill>
      <a:schemeClr val="bg1"/>
    </a:solidFill>
    <a:ln w="9525" cap="flat" cmpd="sng" algn="ctr">
      <a:solidFill>
        <a:srgbClr val="948A54"/>
      </a:solidFill>
      <a:round/>
    </a:ln>
    <a:effectLst/>
  </c:spPr>
  <c:txPr>
    <a:bodyPr/>
    <a:lstStyle/>
    <a:p>
      <a:pPr>
        <a:defRPr>
          <a:latin typeface="楷体_GB2312" panose="02010609030101010101" pitchFamily="49" charset="-122"/>
          <a:ea typeface="楷体_GB2312" panose="02010609030101010101" pitchFamily="49" charset="-122"/>
        </a:defRPr>
      </a:pPr>
      <a:endParaRPr lang="zh-CN"/>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7D4158-CDBA-4AE4-BC99-DA3B1507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837</Words>
  <Characters>4772</Characters>
  <Application>Microsoft Office Word</Application>
  <DocSecurity>0</DocSecurity>
  <Lines>39</Lines>
  <Paragraphs>11</Paragraphs>
  <ScaleCrop>false</ScaleCrop>
  <Company>SHZQ</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主要观点：</dc:title>
  <dc:subject/>
  <dc:creator>王博生</dc:creator>
  <cp:keywords/>
  <cp:lastModifiedBy>杨晗</cp:lastModifiedBy>
  <cp:revision>2</cp:revision>
  <cp:lastPrinted>2016-07-25T08:46:00Z</cp:lastPrinted>
  <dcterms:created xsi:type="dcterms:W3CDTF">2016-07-25T08:56:00Z</dcterms:created>
  <dcterms:modified xsi:type="dcterms:W3CDTF">2016-07-25T08:56:00Z</dcterms:modified>
</cp:coreProperties>
</file>