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37" w:tblpY="-2806"/>
        <w:tblW w:w="3888" w:type="dxa"/>
        <w:shd w:val="clear" w:color="auto" w:fill="E0E0E0"/>
        <w:tblLayout w:type="fixed"/>
        <w:tblLook w:val="01E0" w:firstRow="1" w:lastRow="1" w:firstColumn="1" w:lastColumn="1" w:noHBand="0" w:noVBand="0"/>
      </w:tblPr>
      <w:tblGrid>
        <w:gridCol w:w="534"/>
        <w:gridCol w:w="1554"/>
        <w:gridCol w:w="1800"/>
      </w:tblGrid>
      <w:tr w:rsidR="0063384C" w:rsidRPr="00F57D27" w:rsidTr="004D0283">
        <w:trPr>
          <w:trHeight w:val="709"/>
        </w:trPr>
        <w:tc>
          <w:tcPr>
            <w:tcW w:w="534" w:type="dxa"/>
          </w:tcPr>
          <w:p w:rsidR="0063384C" w:rsidRPr="00F57D27" w:rsidRDefault="0063384C" w:rsidP="004D0283">
            <w:pPr>
              <w:rPr>
                <w:rFonts w:eastAsia="楷体_GB2312" w:hint="eastAsia"/>
                <w:b/>
                <w:color w:val="003366"/>
                <w:sz w:val="24"/>
              </w:rPr>
            </w:pPr>
          </w:p>
        </w:tc>
        <w:tc>
          <w:tcPr>
            <w:tcW w:w="1554" w:type="dxa"/>
          </w:tcPr>
          <w:p w:rsidR="0063384C" w:rsidRPr="00F57D27" w:rsidRDefault="0063384C" w:rsidP="004D0283">
            <w:pPr>
              <w:rPr>
                <w:rFonts w:eastAsia="楷体_GB2312"/>
                <w:b/>
                <w:color w:val="003366"/>
                <w:sz w:val="24"/>
              </w:rPr>
            </w:pPr>
          </w:p>
        </w:tc>
        <w:tc>
          <w:tcPr>
            <w:tcW w:w="1800" w:type="dxa"/>
            <w:vAlign w:val="center"/>
          </w:tcPr>
          <w:p w:rsidR="0063384C" w:rsidRPr="00F57D27" w:rsidRDefault="0063384C" w:rsidP="004D0283">
            <w:pPr>
              <w:rPr>
                <w:rFonts w:eastAsia="楷体_GB2312"/>
                <w:b/>
                <w:color w:val="003366"/>
                <w:sz w:val="24"/>
              </w:rPr>
            </w:pPr>
            <w:r>
              <w:rPr>
                <w:rFonts w:ascii="黑体" w:eastAsia="黑体" w:hAnsi="宋体"/>
                <w:b/>
                <w:noProof/>
                <w:color w:val="003366"/>
                <w:sz w:val="24"/>
              </w:rPr>
              <mc:AlternateContent>
                <mc:Choice Requires="wps">
                  <w:drawing>
                    <wp:anchor distT="0" distB="0" distL="114300" distR="114300" simplePos="0" relativeHeight="251660288" behindDoc="0" locked="0" layoutInCell="1" allowOverlap="1">
                      <wp:simplePos x="0" y="0"/>
                      <wp:positionH relativeFrom="column">
                        <wp:posOffset>847725</wp:posOffset>
                      </wp:positionH>
                      <wp:positionV relativeFrom="paragraph">
                        <wp:posOffset>323215</wp:posOffset>
                      </wp:positionV>
                      <wp:extent cx="5440680" cy="396240"/>
                      <wp:effectExtent l="0" t="0" r="1905" b="444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396240"/>
                              </a:xfrm>
                              <a:prstGeom prst="rect">
                                <a:avLst/>
                              </a:prstGeom>
                              <a:solidFill>
                                <a:srgbClr val="F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283" w:rsidRPr="00FC770C" w:rsidRDefault="004D0283" w:rsidP="0063384C">
                                  <w:pPr>
                                    <w:spacing w:before="100" w:beforeAutospacing="1" w:after="100" w:afterAutospacing="1"/>
                                    <w:ind w:firstLine="284"/>
                                    <w:rPr>
                                      <w:rFonts w:ascii="楷体_GB2312" w:eastAsia="楷体_GB2312" w:hAnsi="宋体-18030" w:cs="宋体-18030"/>
                                      <w:b/>
                                      <w:color w:val="FFFFFF"/>
                                      <w:sz w:val="28"/>
                                      <w:szCs w:val="28"/>
                                    </w:rPr>
                                  </w:pPr>
                                  <w:r>
                                    <w:rPr>
                                      <w:rFonts w:ascii="楷体_GB2312" w:eastAsia="楷体_GB2312" w:hAnsi="宋体-18030" w:cs="宋体-18030" w:hint="eastAsia"/>
                                      <w:b/>
                                      <w:color w:val="FFFFFF"/>
                                      <w:sz w:val="28"/>
                                      <w:szCs w:val="28"/>
                                    </w:rPr>
                                    <w:t xml:space="preserve">                        </w:t>
                                  </w:r>
                                  <w:r>
                                    <w:rPr>
                                      <w:rFonts w:ascii="楷体_GB2312" w:eastAsia="楷体_GB2312" w:hAnsi="宋体-18030" w:cs="宋体-18030"/>
                                      <w:b/>
                                      <w:color w:val="FFFFFF"/>
                                      <w:sz w:val="28"/>
                                      <w:szCs w:val="28"/>
                                    </w:rPr>
                                    <w:t xml:space="preserve"> </w:t>
                                  </w:r>
                                  <w:r w:rsidRPr="00FC770C">
                                    <w:rPr>
                                      <w:rFonts w:ascii="楷体_GB2312" w:eastAsia="楷体_GB2312" w:hAnsi="宋体-18030" w:cs="宋体-18030" w:hint="eastAsia"/>
                                      <w:b/>
                                      <w:color w:val="FFFFFF"/>
                                      <w:sz w:val="28"/>
                                      <w:szCs w:val="28"/>
                                    </w:rPr>
                                    <w:t xml:space="preserve">证券投资基金研究报告/ </w:t>
                                  </w:r>
                                  <w:r>
                                    <w:rPr>
                                      <w:rFonts w:ascii="楷体_GB2312" w:eastAsia="楷体_GB2312" w:hAnsi="宋体-18030" w:cs="宋体-18030"/>
                                      <w:b/>
                                      <w:color w:val="FFFFFF"/>
                                      <w:sz w:val="28"/>
                                      <w:szCs w:val="28"/>
                                    </w:rPr>
                                    <w:t>分级</w:t>
                                  </w:r>
                                  <w:r>
                                    <w:rPr>
                                      <w:rFonts w:ascii="楷体_GB2312" w:eastAsia="楷体_GB2312" w:hAnsi="宋体-18030" w:cs="宋体-18030" w:hint="eastAsia"/>
                                      <w:b/>
                                      <w:color w:val="FFFFFF"/>
                                      <w:sz w:val="28"/>
                                      <w:szCs w:val="28"/>
                                    </w:rPr>
                                    <w:t>基金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66.75pt;margin-top:25.45pt;width:428.4pt;height:3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" fillcolor="#f00000" stroked="f">
                      <v:textbox>
                        <w:txbxContent>
                          <w:p w:rsidR="004D0283" w:rsidRPr="00FC770C" w:rsidRDefault="004D0283" w:rsidP="0063384C">
                            <w:pPr>
                              <w:spacing w:before="100" w:beforeAutospacing="1" w:after="100" w:afterAutospacing="1"/>
                              <w:ind w:firstLine="284"/>
                              <w:rPr>
                                <w:rFonts w:ascii="楷体_GB2312" w:eastAsia="楷体_GB2312" w:hAnsi="宋体-18030" w:cs="宋体-18030"/>
                                <w:b/>
                                <w:color w:val="FFFFFF"/>
                                <w:sz w:val="28"/>
                                <w:szCs w:val="28"/>
                              </w:rPr>
                            </w:pPr>
                            <w:r>
                              <w:rPr>
                                <w:rFonts w:ascii="楷体_GB2312" w:eastAsia="楷体_GB2312" w:hAnsi="宋体-18030" w:cs="宋体-18030" w:hint="eastAsia"/>
                                <w:b/>
                                <w:color w:val="FFFFFF"/>
                                <w:sz w:val="28"/>
                                <w:szCs w:val="28"/>
                              </w:rPr>
                              <w:t xml:space="preserve">                        </w:t>
                            </w:r>
                            <w:r>
                              <w:rPr>
                                <w:rFonts w:ascii="楷体_GB2312" w:eastAsia="楷体_GB2312" w:hAnsi="宋体-18030" w:cs="宋体-18030"/>
                                <w:b/>
                                <w:color w:val="FFFFFF"/>
                                <w:sz w:val="28"/>
                                <w:szCs w:val="28"/>
                              </w:rPr>
                              <w:t xml:space="preserve"> </w:t>
                            </w:r>
                            <w:r w:rsidRPr="00FC770C">
                              <w:rPr>
                                <w:rFonts w:ascii="楷体_GB2312" w:eastAsia="楷体_GB2312" w:hAnsi="宋体-18030" w:cs="宋体-18030" w:hint="eastAsia"/>
                                <w:b/>
                                <w:color w:val="FFFFFF"/>
                                <w:sz w:val="28"/>
                                <w:szCs w:val="28"/>
                              </w:rPr>
                              <w:t xml:space="preserve">证券投资基金研究报告/ </w:t>
                            </w:r>
                            <w:r>
                              <w:rPr>
                                <w:rFonts w:ascii="楷体_GB2312" w:eastAsia="楷体_GB2312" w:hAnsi="宋体-18030" w:cs="宋体-18030"/>
                                <w:b/>
                                <w:color w:val="FFFFFF"/>
                                <w:sz w:val="28"/>
                                <w:szCs w:val="28"/>
                              </w:rPr>
                              <w:t>分级</w:t>
                            </w:r>
                            <w:r>
                              <w:rPr>
                                <w:rFonts w:ascii="楷体_GB2312" w:eastAsia="楷体_GB2312" w:hAnsi="宋体-18030" w:cs="宋体-18030" w:hint="eastAsia"/>
                                <w:b/>
                                <w:color w:val="FFFFFF"/>
                                <w:sz w:val="28"/>
                                <w:szCs w:val="28"/>
                              </w:rPr>
                              <w:t>基金</w:t>
                            </w:r>
                          </w:p>
                        </w:txbxContent>
                      </v:textbox>
                    </v:shape>
                  </w:pict>
                </mc:Fallback>
              </mc:AlternateContent>
            </w:r>
          </w:p>
        </w:tc>
      </w:tr>
      <w:tr w:rsidR="0063384C" w:rsidRPr="00F57D27" w:rsidTr="004D0283">
        <w:trPr>
          <w:trHeight w:val="284"/>
        </w:trPr>
        <w:tc>
          <w:tcPr>
            <w:tcW w:w="534" w:type="dxa"/>
            <w:shd w:val="clear" w:color="auto" w:fill="CDD7FA"/>
          </w:tcPr>
          <w:p w:rsidR="0063384C" w:rsidRPr="00F57D27" w:rsidRDefault="0063384C" w:rsidP="004D0283">
            <w:pPr>
              <w:rPr>
                <w:rFonts w:eastAsia="楷体_GB2312"/>
                <w:b/>
                <w:color w:val="003366"/>
                <w:sz w:val="24"/>
              </w:rPr>
            </w:pPr>
          </w:p>
        </w:tc>
        <w:tc>
          <w:tcPr>
            <w:tcW w:w="3354" w:type="dxa"/>
            <w:gridSpan w:val="2"/>
            <w:shd w:val="clear" w:color="auto" w:fill="CDD7FA"/>
            <w:vAlign w:val="center"/>
          </w:tcPr>
          <w:p w:rsidR="0063384C" w:rsidRPr="00F57D27" w:rsidRDefault="0063384C" w:rsidP="004D0283">
            <w:pPr>
              <w:rPr>
                <w:rFonts w:eastAsia="楷体_GB2312"/>
                <w:b/>
                <w:color w:val="003366"/>
                <w:sz w:val="24"/>
              </w:rPr>
            </w:pPr>
          </w:p>
        </w:tc>
      </w:tr>
      <w:tr w:rsidR="0063384C" w:rsidRPr="00F57D27" w:rsidTr="004D0283">
        <w:trPr>
          <w:trHeight w:val="284"/>
        </w:trPr>
        <w:tc>
          <w:tcPr>
            <w:tcW w:w="534" w:type="dxa"/>
            <w:shd w:val="clear" w:color="auto" w:fill="CDD7FA"/>
          </w:tcPr>
          <w:p w:rsidR="0063384C" w:rsidRPr="00F57D27" w:rsidRDefault="0063384C" w:rsidP="004D0283">
            <w:pPr>
              <w:rPr>
                <w:rFonts w:eastAsia="楷体_GB2312"/>
                <w:b/>
                <w:color w:val="003366"/>
                <w:sz w:val="24"/>
              </w:rPr>
            </w:pPr>
          </w:p>
        </w:tc>
        <w:tc>
          <w:tcPr>
            <w:tcW w:w="3354" w:type="dxa"/>
            <w:gridSpan w:val="2"/>
            <w:shd w:val="clear" w:color="auto" w:fill="CDD7FA"/>
          </w:tcPr>
          <w:p w:rsidR="0063384C" w:rsidRPr="00F57D27" w:rsidRDefault="0063384C" w:rsidP="004D0283">
            <w:pPr>
              <w:rPr>
                <w:rFonts w:eastAsia="楷体_GB2312"/>
                <w:b/>
                <w:color w:val="003366"/>
                <w:sz w:val="24"/>
              </w:rPr>
            </w:pPr>
          </w:p>
        </w:tc>
      </w:tr>
      <w:tr w:rsidR="0063384C" w:rsidRPr="00F57D27" w:rsidTr="004D0283">
        <w:trPr>
          <w:trHeight w:val="2216"/>
        </w:trPr>
        <w:tc>
          <w:tcPr>
            <w:tcW w:w="534" w:type="dxa"/>
            <w:shd w:val="clear" w:color="auto" w:fill="CDD7FA"/>
          </w:tcPr>
          <w:p w:rsidR="0063384C" w:rsidRPr="00F57D27" w:rsidRDefault="0063384C" w:rsidP="004D0283">
            <w:pPr>
              <w:rPr>
                <w:rFonts w:eastAsia="楷体_GB2312"/>
                <w:b/>
                <w:color w:val="003366"/>
                <w:sz w:val="24"/>
              </w:rPr>
            </w:pPr>
            <w:r>
              <w:rPr>
                <w:rFonts w:eastAsia="楷体_GB2312"/>
                <w:b/>
                <w:noProof/>
                <w:color w:val="003366"/>
                <w:sz w:val="24"/>
              </w:rPr>
              <w:drawing>
                <wp:anchor distT="0" distB="0" distL="114300" distR="114300" simplePos="0" relativeHeight="251661312" behindDoc="0" locked="0" layoutInCell="1" allowOverlap="1" wp14:anchorId="6A0955D3" wp14:editId="032E8242">
                  <wp:simplePos x="0" y="0"/>
                  <wp:positionH relativeFrom="column">
                    <wp:posOffset>239534</wp:posOffset>
                  </wp:positionH>
                  <wp:positionV relativeFrom="paragraph">
                    <wp:posOffset>55246</wp:posOffset>
                  </wp:positionV>
                  <wp:extent cx="1717481" cy="818984"/>
                  <wp:effectExtent l="0" t="0" r="0" b="0"/>
                  <wp:wrapNone/>
                  <wp:docPr id="11"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7" cstate="print">
                            <a:clrChange>
                              <a:clrFrom>
                                <a:srgbClr val="D2D2FF"/>
                              </a:clrFrom>
                              <a:clrTo>
                                <a:srgbClr val="D2D2FF">
                                  <a:alpha val="0"/>
                                </a:srgbClr>
                              </a:clrTo>
                            </a:clrChange>
                          </a:blip>
                          <a:srcRect/>
                          <a:stretch>
                            <a:fillRect/>
                          </a:stretch>
                        </pic:blipFill>
                        <pic:spPr bwMode="auto">
                          <a:xfrm>
                            <a:off x="0" y="0"/>
                            <a:ext cx="1717481" cy="818984"/>
                          </a:xfrm>
                          <a:prstGeom prst="rect">
                            <a:avLst/>
                          </a:prstGeom>
                          <a:noFill/>
                          <a:ln w="9525">
                            <a:noFill/>
                            <a:miter lim="800000"/>
                            <a:headEnd/>
                            <a:tailEnd/>
                          </a:ln>
                        </pic:spPr>
                      </pic:pic>
                    </a:graphicData>
                  </a:graphic>
                </wp:anchor>
              </w:drawing>
            </w:r>
          </w:p>
        </w:tc>
        <w:tc>
          <w:tcPr>
            <w:tcW w:w="3354" w:type="dxa"/>
            <w:gridSpan w:val="2"/>
            <w:shd w:val="clear" w:color="auto" w:fill="CDD7FA"/>
          </w:tcPr>
          <w:p w:rsidR="0063384C" w:rsidRPr="00F57D27" w:rsidRDefault="0063384C" w:rsidP="004D0283">
            <w:pPr>
              <w:spacing w:line="360" w:lineRule="auto"/>
              <w:rPr>
                <w:rFonts w:eastAsia="楷体_GB2312"/>
                <w:noProof/>
                <w:sz w:val="24"/>
              </w:rPr>
            </w:pPr>
          </w:p>
        </w:tc>
      </w:tr>
      <w:tr w:rsidR="0063384C" w:rsidRPr="00F57D27" w:rsidTr="004D0283">
        <w:trPr>
          <w:trHeight w:val="457"/>
        </w:trPr>
        <w:tc>
          <w:tcPr>
            <w:tcW w:w="534" w:type="dxa"/>
          </w:tcPr>
          <w:p w:rsidR="0063384C" w:rsidRPr="00D82E82" w:rsidRDefault="0063384C" w:rsidP="004D0283">
            <w:pPr>
              <w:rPr>
                <w:rFonts w:eastAsia="楷体_GB2312"/>
                <w:b/>
                <w:color w:val="003366"/>
              </w:rPr>
            </w:pPr>
          </w:p>
        </w:tc>
        <w:tc>
          <w:tcPr>
            <w:tcW w:w="3354" w:type="dxa"/>
            <w:gridSpan w:val="2"/>
            <w:vAlign w:val="bottom"/>
          </w:tcPr>
          <w:p w:rsidR="0063384C" w:rsidRPr="002D6491" w:rsidRDefault="0063384C" w:rsidP="004D0283">
            <w:pPr>
              <w:spacing w:line="360" w:lineRule="auto"/>
              <w:ind w:left="-288" w:firstLineChars="150" w:firstLine="316"/>
              <w:rPr>
                <w:rFonts w:eastAsia="楷体_GB2312"/>
                <w:b/>
                <w:color w:val="003366"/>
                <w:szCs w:val="21"/>
              </w:rPr>
            </w:pPr>
          </w:p>
        </w:tc>
      </w:tr>
      <w:tr w:rsidR="0063384C" w:rsidRPr="00F57D27" w:rsidTr="004D0283">
        <w:trPr>
          <w:trHeight w:val="284"/>
        </w:trPr>
        <w:tc>
          <w:tcPr>
            <w:tcW w:w="534" w:type="dxa"/>
          </w:tcPr>
          <w:p w:rsidR="0063384C" w:rsidRPr="00F57D27" w:rsidRDefault="0063384C" w:rsidP="004D0283">
            <w:pPr>
              <w:rPr>
                <w:rFonts w:eastAsia="楷体_GB2312"/>
                <w:b/>
                <w:color w:val="003366"/>
                <w:sz w:val="24"/>
              </w:rPr>
            </w:pPr>
          </w:p>
          <w:p w:rsidR="0063384C" w:rsidRPr="00F57D27" w:rsidRDefault="0063384C" w:rsidP="004D0283">
            <w:pPr>
              <w:rPr>
                <w:rFonts w:eastAsia="楷体_GB2312"/>
                <w:b/>
                <w:color w:val="003366"/>
                <w:sz w:val="24"/>
              </w:rPr>
            </w:pPr>
          </w:p>
          <w:p w:rsidR="0063384C" w:rsidRPr="00F57D27" w:rsidRDefault="0063384C" w:rsidP="004D0283">
            <w:pPr>
              <w:rPr>
                <w:rFonts w:eastAsia="楷体_GB2312"/>
                <w:b/>
                <w:color w:val="003366"/>
                <w:sz w:val="24"/>
              </w:rPr>
            </w:pPr>
          </w:p>
        </w:tc>
        <w:tc>
          <w:tcPr>
            <w:tcW w:w="3354" w:type="dxa"/>
            <w:gridSpan w:val="2"/>
            <w:vAlign w:val="center"/>
          </w:tcPr>
          <w:p w:rsidR="0063384C" w:rsidRPr="00CD7632" w:rsidRDefault="0063384C" w:rsidP="0063384C">
            <w:pPr>
              <w:ind w:leftChars="-51" w:rightChars="34" w:right="71" w:hangingChars="51" w:hanging="107"/>
              <w:rPr>
                <w:noProof/>
              </w:rPr>
            </w:pPr>
          </w:p>
        </w:tc>
      </w:tr>
      <w:tr w:rsidR="0063384C" w:rsidRPr="005252C5" w:rsidTr="004D0283">
        <w:trPr>
          <w:trHeight w:val="284"/>
        </w:trPr>
        <w:tc>
          <w:tcPr>
            <w:tcW w:w="534" w:type="dxa"/>
          </w:tcPr>
          <w:p w:rsidR="0063384C" w:rsidRPr="00F57D27" w:rsidRDefault="0063384C" w:rsidP="004D0283">
            <w:pPr>
              <w:rPr>
                <w:rFonts w:eastAsia="楷体_GB2312"/>
                <w:b/>
                <w:color w:val="003366"/>
                <w:sz w:val="24"/>
              </w:rPr>
            </w:pPr>
          </w:p>
        </w:tc>
        <w:tc>
          <w:tcPr>
            <w:tcW w:w="3354" w:type="dxa"/>
            <w:gridSpan w:val="2"/>
          </w:tcPr>
          <w:p w:rsidR="0063384C" w:rsidRPr="005252C5" w:rsidRDefault="0063384C" w:rsidP="004D0283">
            <w:pPr>
              <w:rPr>
                <w:rFonts w:eastAsia="楷体_GB2312"/>
                <w:b/>
                <w:color w:val="003366"/>
              </w:rPr>
            </w:pPr>
            <w:r w:rsidRPr="005252C5">
              <w:rPr>
                <w:rFonts w:eastAsia="楷体_GB2312" w:hint="eastAsia"/>
                <w:b/>
                <w:color w:val="003366"/>
              </w:rPr>
              <w:t>上海证券基金评价研究中心</w:t>
            </w:r>
          </w:p>
          <w:p w:rsidR="0063384C" w:rsidRPr="005252C5" w:rsidRDefault="0063384C" w:rsidP="004D0283">
            <w:pPr>
              <w:rPr>
                <w:rFonts w:eastAsia="楷体_GB2312"/>
                <w:color w:val="003366"/>
              </w:rPr>
            </w:pPr>
          </w:p>
        </w:tc>
      </w:tr>
      <w:tr w:rsidR="0063384C" w:rsidRPr="005252C5" w:rsidTr="004D0283">
        <w:trPr>
          <w:trHeight w:val="284"/>
        </w:trPr>
        <w:tc>
          <w:tcPr>
            <w:tcW w:w="534" w:type="dxa"/>
          </w:tcPr>
          <w:p w:rsidR="0063384C" w:rsidRPr="005252C5" w:rsidRDefault="0063384C" w:rsidP="004D0283">
            <w:pPr>
              <w:rPr>
                <w:rFonts w:eastAsia="楷体_GB2312"/>
                <w:b/>
                <w:color w:val="003366"/>
                <w:sz w:val="24"/>
              </w:rPr>
            </w:pPr>
          </w:p>
        </w:tc>
        <w:tc>
          <w:tcPr>
            <w:tcW w:w="3354" w:type="dxa"/>
            <w:gridSpan w:val="2"/>
          </w:tcPr>
          <w:p w:rsidR="0063384C" w:rsidRPr="005252C5" w:rsidRDefault="0063384C" w:rsidP="0063384C">
            <w:pPr>
              <w:rPr>
                <w:rFonts w:eastAsia="楷体_GB2312"/>
                <w:b/>
                <w:color w:val="003366"/>
              </w:rPr>
            </w:pPr>
            <w:r w:rsidRPr="005252C5">
              <w:rPr>
                <w:rFonts w:eastAsia="楷体_GB2312" w:hint="eastAsia"/>
                <w:b/>
                <w:color w:val="003366"/>
              </w:rPr>
              <w:t>李颖</w:t>
            </w:r>
          </w:p>
          <w:p w:rsidR="0063384C" w:rsidRPr="005252C5" w:rsidRDefault="0063384C" w:rsidP="0063384C">
            <w:pPr>
              <w:rPr>
                <w:rFonts w:eastAsia="楷体_GB2312"/>
                <w:color w:val="003366"/>
              </w:rPr>
            </w:pPr>
            <w:r w:rsidRPr="005252C5">
              <w:rPr>
                <w:rFonts w:eastAsia="楷体_GB2312" w:hint="eastAsia"/>
                <w:color w:val="003366"/>
              </w:rPr>
              <w:t>执业证书编号：</w:t>
            </w:r>
            <w:r w:rsidRPr="005252C5">
              <w:rPr>
                <w:rFonts w:eastAsia="楷体_GB2312"/>
                <w:b/>
                <w:color w:val="003366"/>
                <w:sz w:val="24"/>
              </w:rPr>
              <w:t>S0870512110001</w:t>
            </w:r>
            <w:r w:rsidRPr="005252C5">
              <w:rPr>
                <w:rFonts w:eastAsia="楷体_GB2312" w:hint="eastAsia"/>
                <w:color w:val="003366"/>
              </w:rPr>
              <w:t>邮箱：</w:t>
            </w:r>
            <w:r w:rsidRPr="005252C5">
              <w:rPr>
                <w:rFonts w:eastAsia="楷体_GB2312"/>
                <w:color w:val="003366"/>
              </w:rPr>
              <w:t>liying</w:t>
            </w:r>
            <w:r w:rsidRPr="005252C5">
              <w:rPr>
                <w:rFonts w:eastAsia="楷体_GB2312" w:hint="eastAsia"/>
                <w:color w:val="003366"/>
              </w:rPr>
              <w:t>@shzq.com</w:t>
            </w:r>
          </w:p>
          <w:p w:rsidR="0063384C" w:rsidRPr="005252C5" w:rsidRDefault="0063384C" w:rsidP="0063384C">
            <w:pPr>
              <w:rPr>
                <w:rFonts w:eastAsia="楷体_GB2312"/>
                <w:b/>
                <w:color w:val="003366"/>
                <w:sz w:val="24"/>
              </w:rPr>
            </w:pPr>
            <w:r w:rsidRPr="005252C5">
              <w:rPr>
                <w:rFonts w:eastAsia="楷体_GB2312" w:hint="eastAsia"/>
                <w:color w:val="003366"/>
              </w:rPr>
              <w:t>电话：（</w:t>
            </w:r>
            <w:r w:rsidRPr="005252C5">
              <w:rPr>
                <w:rFonts w:eastAsia="楷体_GB2312" w:hint="eastAsia"/>
                <w:color w:val="003366"/>
              </w:rPr>
              <w:t>021</w:t>
            </w:r>
            <w:r w:rsidRPr="005252C5">
              <w:rPr>
                <w:rFonts w:eastAsia="楷体_GB2312" w:hint="eastAsia"/>
                <w:color w:val="003366"/>
              </w:rPr>
              <w:t>）</w:t>
            </w:r>
            <w:r w:rsidRPr="005252C5">
              <w:rPr>
                <w:rFonts w:eastAsia="楷体_GB2312"/>
                <w:color w:val="003366"/>
              </w:rPr>
              <w:t>53686117</w:t>
            </w:r>
          </w:p>
        </w:tc>
      </w:tr>
      <w:tr w:rsidR="0063384C" w:rsidRPr="005252C5" w:rsidTr="004D0283">
        <w:trPr>
          <w:trHeight w:val="284"/>
        </w:trPr>
        <w:tc>
          <w:tcPr>
            <w:tcW w:w="534" w:type="dxa"/>
          </w:tcPr>
          <w:p w:rsidR="0063384C" w:rsidRPr="005252C5" w:rsidRDefault="0063384C" w:rsidP="004D0283">
            <w:pPr>
              <w:rPr>
                <w:rFonts w:eastAsia="楷体_GB2312"/>
                <w:b/>
                <w:color w:val="003366"/>
                <w:sz w:val="24"/>
              </w:rPr>
            </w:pPr>
          </w:p>
        </w:tc>
        <w:tc>
          <w:tcPr>
            <w:tcW w:w="3354" w:type="dxa"/>
            <w:gridSpan w:val="2"/>
          </w:tcPr>
          <w:p w:rsidR="0063384C" w:rsidRPr="005252C5" w:rsidRDefault="0063384C" w:rsidP="004D0283">
            <w:pPr>
              <w:rPr>
                <w:rFonts w:eastAsia="楷体_GB2312"/>
                <w:b/>
                <w:color w:val="003366"/>
              </w:rPr>
            </w:pPr>
            <w:proofErr w:type="gramStart"/>
            <w:r w:rsidRPr="005252C5">
              <w:rPr>
                <w:rFonts w:eastAsia="楷体_GB2312" w:hint="eastAsia"/>
                <w:b/>
                <w:color w:val="003366"/>
              </w:rPr>
              <w:t>闻嘉琦</w:t>
            </w:r>
            <w:proofErr w:type="gramEnd"/>
          </w:p>
          <w:p w:rsidR="0063384C" w:rsidRPr="005252C5" w:rsidRDefault="0063384C" w:rsidP="004D0283">
            <w:r w:rsidRPr="005252C5">
              <w:rPr>
                <w:rFonts w:eastAsia="楷体_GB2312" w:hint="eastAsia"/>
                <w:color w:val="003366"/>
              </w:rPr>
              <w:t>执业证书编号：</w:t>
            </w:r>
            <w:r w:rsidRPr="005252C5">
              <w:rPr>
                <w:rFonts w:eastAsia="楷体_GB2312" w:hint="eastAsia"/>
                <w:b/>
                <w:color w:val="003366"/>
                <w:sz w:val="24"/>
              </w:rPr>
              <w:t>S0870115050013</w:t>
            </w:r>
          </w:p>
          <w:p w:rsidR="0063384C" w:rsidRPr="005252C5" w:rsidRDefault="0063384C" w:rsidP="004D0283">
            <w:pPr>
              <w:rPr>
                <w:rFonts w:eastAsia="楷体_GB2312"/>
                <w:color w:val="003366"/>
              </w:rPr>
            </w:pPr>
            <w:r w:rsidRPr="005252C5">
              <w:rPr>
                <w:rFonts w:eastAsia="楷体_GB2312" w:hint="eastAsia"/>
                <w:color w:val="003366"/>
              </w:rPr>
              <w:t>邮箱：</w:t>
            </w:r>
            <w:r w:rsidRPr="005252C5">
              <w:rPr>
                <w:rFonts w:eastAsia="楷体_GB2312" w:hint="eastAsia"/>
                <w:color w:val="003366"/>
              </w:rPr>
              <w:t>wenjiaqi@shzq.com</w:t>
            </w:r>
          </w:p>
          <w:p w:rsidR="0063384C" w:rsidRPr="005252C5" w:rsidRDefault="0063384C" w:rsidP="0063384C">
            <w:pPr>
              <w:rPr>
                <w:rFonts w:eastAsia="楷体_GB2312"/>
                <w:b/>
                <w:color w:val="003366"/>
                <w:sz w:val="24"/>
              </w:rPr>
            </w:pPr>
            <w:r w:rsidRPr="005252C5">
              <w:rPr>
                <w:rFonts w:eastAsia="楷体_GB2312" w:hint="eastAsia"/>
                <w:color w:val="003366"/>
              </w:rPr>
              <w:t>电话：（</w:t>
            </w:r>
            <w:r w:rsidRPr="005252C5">
              <w:rPr>
                <w:rFonts w:eastAsia="楷体_GB2312" w:hint="eastAsia"/>
                <w:color w:val="003366"/>
              </w:rPr>
              <w:t>021</w:t>
            </w:r>
            <w:r w:rsidRPr="005252C5">
              <w:rPr>
                <w:rFonts w:eastAsia="楷体_GB2312" w:hint="eastAsia"/>
                <w:color w:val="003366"/>
              </w:rPr>
              <w:t>）</w:t>
            </w:r>
            <w:r w:rsidRPr="005252C5">
              <w:rPr>
                <w:rFonts w:eastAsia="楷体_GB2312"/>
                <w:color w:val="003366"/>
              </w:rPr>
              <w:t>53686113</w:t>
            </w:r>
          </w:p>
        </w:tc>
      </w:tr>
      <w:tr w:rsidR="0063384C" w:rsidRPr="005252C5" w:rsidTr="004D0283">
        <w:trPr>
          <w:trHeight w:val="284"/>
        </w:trPr>
        <w:tc>
          <w:tcPr>
            <w:tcW w:w="534" w:type="dxa"/>
          </w:tcPr>
          <w:p w:rsidR="0063384C" w:rsidRPr="005252C5" w:rsidRDefault="0063384C" w:rsidP="004D0283">
            <w:pPr>
              <w:rPr>
                <w:rFonts w:eastAsia="楷体_GB2312"/>
                <w:b/>
                <w:color w:val="003366"/>
                <w:sz w:val="24"/>
              </w:rPr>
            </w:pPr>
          </w:p>
        </w:tc>
        <w:tc>
          <w:tcPr>
            <w:tcW w:w="3354" w:type="dxa"/>
            <w:gridSpan w:val="2"/>
          </w:tcPr>
          <w:tbl>
            <w:tblPr>
              <w:tblpPr w:leftFromText="180" w:rightFromText="180" w:vertAnchor="text" w:horzAnchor="page" w:tblpX="37" w:tblpY="-2806"/>
              <w:tblW w:w="3888" w:type="dxa"/>
              <w:shd w:val="clear" w:color="auto" w:fill="E0E0E0"/>
              <w:tblLayout w:type="fixed"/>
              <w:tblLook w:val="01E0" w:firstRow="1" w:lastRow="1" w:firstColumn="1" w:lastColumn="1" w:noHBand="0" w:noVBand="0"/>
            </w:tblPr>
            <w:tblGrid>
              <w:gridCol w:w="3420"/>
              <w:gridCol w:w="468"/>
            </w:tblGrid>
            <w:tr w:rsidR="0063384C" w:rsidRPr="005252C5" w:rsidTr="004D0283">
              <w:trPr>
                <w:trHeight w:hRule="exact" w:val="284"/>
              </w:trPr>
              <w:tc>
                <w:tcPr>
                  <w:tcW w:w="3888" w:type="dxa"/>
                  <w:gridSpan w:val="2"/>
                </w:tcPr>
                <w:p w:rsidR="0063384C" w:rsidRPr="005252C5" w:rsidRDefault="0063384C" w:rsidP="00D45450">
                  <w:pPr>
                    <w:pStyle w:val="a6"/>
                    <w:rPr>
                      <w:rFonts w:eastAsia="楷体_GB2312"/>
                      <w:color w:val="003366"/>
                      <w:sz w:val="24"/>
                    </w:rPr>
                  </w:pPr>
                </w:p>
              </w:tc>
            </w:tr>
            <w:tr w:rsidR="0063384C" w:rsidRPr="005252C5" w:rsidTr="004D0283">
              <w:trPr>
                <w:gridAfter w:val="1"/>
                <w:wAfter w:w="468" w:type="dxa"/>
                <w:trHeight w:hRule="exact" w:val="284"/>
              </w:trPr>
              <w:tc>
                <w:tcPr>
                  <w:tcW w:w="3420" w:type="dxa"/>
                </w:tcPr>
                <w:p w:rsidR="0063384C" w:rsidRPr="005252C5" w:rsidRDefault="0063384C" w:rsidP="004D0283">
                  <w:pPr>
                    <w:rPr>
                      <w:rFonts w:eastAsia="楷体_GB2312"/>
                      <w:sz w:val="24"/>
                    </w:rPr>
                  </w:pPr>
                </w:p>
              </w:tc>
            </w:tr>
            <w:tr w:rsidR="0063384C" w:rsidRPr="005252C5" w:rsidTr="004D0283">
              <w:trPr>
                <w:gridAfter w:val="1"/>
                <w:wAfter w:w="468" w:type="dxa"/>
                <w:trHeight w:hRule="exact" w:val="284"/>
              </w:trPr>
              <w:tc>
                <w:tcPr>
                  <w:tcW w:w="3420" w:type="dxa"/>
                </w:tcPr>
                <w:p w:rsidR="00D45450" w:rsidRPr="005252C5" w:rsidRDefault="00D45450" w:rsidP="00D45450">
                  <w:pPr>
                    <w:pStyle w:val="a6"/>
                    <w:rPr>
                      <w:rFonts w:hAnsi="宋体" w:cs="宋体"/>
                    </w:rPr>
                  </w:pPr>
                  <w:r w:rsidRPr="005252C5">
                    <w:rPr>
                      <w:rFonts w:eastAsia="黑体" w:hint="eastAsia"/>
                      <w:b/>
                      <w:color w:val="003366"/>
                      <w:sz w:val="24"/>
                    </w:rPr>
                    <w:t>报告</w:t>
                  </w:r>
                  <w:r w:rsidRPr="005252C5">
                    <w:rPr>
                      <w:rFonts w:eastAsia="黑体"/>
                      <w:b/>
                      <w:color w:val="003366"/>
                      <w:sz w:val="24"/>
                    </w:rPr>
                    <w:t>日期</w:t>
                  </w:r>
                  <w:r w:rsidRPr="005252C5">
                    <w:rPr>
                      <w:rFonts w:eastAsia="黑体" w:hint="eastAsia"/>
                      <w:b/>
                      <w:color w:val="003366"/>
                      <w:sz w:val="24"/>
                    </w:rPr>
                    <w:t>：</w:t>
                  </w:r>
                  <w:r w:rsidRPr="005252C5">
                    <w:rPr>
                      <w:rFonts w:ascii="Times New Roman" w:eastAsia="楷体_GB2312" w:hAnsi="Times New Roman" w:cs="Times New Roman"/>
                      <w:color w:val="003366"/>
                      <w:szCs w:val="24"/>
                    </w:rPr>
                    <w:t>2016</w:t>
                  </w:r>
                  <w:r w:rsidRPr="005252C5">
                    <w:rPr>
                      <w:rFonts w:ascii="Times New Roman" w:eastAsia="楷体_GB2312" w:hAnsi="Times New Roman" w:cs="Times New Roman"/>
                      <w:color w:val="003366"/>
                      <w:szCs w:val="24"/>
                    </w:rPr>
                    <w:t>年</w:t>
                  </w:r>
                  <w:r w:rsidR="00582817" w:rsidRPr="005252C5">
                    <w:rPr>
                      <w:rFonts w:ascii="Times New Roman" w:eastAsia="楷体_GB2312" w:hAnsi="Times New Roman" w:cs="Times New Roman" w:hint="eastAsia"/>
                      <w:color w:val="003366"/>
                      <w:szCs w:val="24"/>
                    </w:rPr>
                    <w:t>7</w:t>
                  </w:r>
                  <w:r w:rsidRPr="005252C5">
                    <w:rPr>
                      <w:rFonts w:ascii="Times New Roman" w:eastAsia="楷体_GB2312" w:hAnsi="Times New Roman" w:cs="Times New Roman"/>
                      <w:color w:val="003366"/>
                      <w:szCs w:val="24"/>
                    </w:rPr>
                    <w:t>月</w:t>
                  </w:r>
                  <w:r w:rsidR="009521B1" w:rsidRPr="005252C5">
                    <w:rPr>
                      <w:rFonts w:ascii="Times New Roman" w:eastAsia="楷体_GB2312" w:hAnsi="Times New Roman" w:cs="Times New Roman"/>
                      <w:color w:val="003366"/>
                      <w:szCs w:val="24"/>
                    </w:rPr>
                    <w:t>25</w:t>
                  </w:r>
                  <w:r w:rsidR="00582817" w:rsidRPr="005252C5">
                    <w:rPr>
                      <w:rFonts w:ascii="Times New Roman" w:eastAsia="楷体_GB2312" w:hAnsi="Times New Roman" w:cs="Times New Roman" w:hint="eastAsia"/>
                      <w:color w:val="003366"/>
                      <w:szCs w:val="24"/>
                    </w:rPr>
                    <w:t>日</w:t>
                  </w:r>
                </w:p>
                <w:p w:rsidR="0063384C" w:rsidRPr="005252C5" w:rsidRDefault="0063384C" w:rsidP="00D45450">
                  <w:pPr>
                    <w:rPr>
                      <w:rFonts w:ascii="黑体" w:eastAsia="黑体"/>
                      <w:b/>
                      <w:color w:val="003366"/>
                      <w:sz w:val="24"/>
                    </w:rPr>
                  </w:pPr>
                </w:p>
              </w:tc>
            </w:tr>
            <w:tr w:rsidR="0063384C" w:rsidRPr="005252C5" w:rsidTr="004D0283">
              <w:trPr>
                <w:gridAfter w:val="1"/>
                <w:wAfter w:w="468" w:type="dxa"/>
                <w:trHeight w:hRule="exact" w:val="284"/>
              </w:trPr>
              <w:tc>
                <w:tcPr>
                  <w:tcW w:w="3420" w:type="dxa"/>
                </w:tcPr>
                <w:p w:rsidR="0063384C" w:rsidRPr="005252C5" w:rsidRDefault="0063384C" w:rsidP="004D0283">
                  <w:pPr>
                    <w:rPr>
                      <w:rFonts w:eastAsia="楷体_GB2312"/>
                      <w:b/>
                      <w:color w:val="003366"/>
                      <w:sz w:val="24"/>
                    </w:rPr>
                  </w:pPr>
                </w:p>
              </w:tc>
            </w:tr>
            <w:tr w:rsidR="0063384C" w:rsidRPr="005252C5" w:rsidTr="004D0283">
              <w:trPr>
                <w:gridAfter w:val="1"/>
                <w:wAfter w:w="468" w:type="dxa"/>
                <w:trHeight w:hRule="exact" w:val="284"/>
              </w:trPr>
              <w:tc>
                <w:tcPr>
                  <w:tcW w:w="3420" w:type="dxa"/>
                </w:tcPr>
                <w:p w:rsidR="0063384C" w:rsidRPr="005252C5" w:rsidRDefault="0063384C" w:rsidP="004D0283">
                  <w:pPr>
                    <w:rPr>
                      <w:rFonts w:ascii="黑体" w:eastAsia="黑体"/>
                      <w:b/>
                      <w:color w:val="003366"/>
                      <w:sz w:val="24"/>
                    </w:rPr>
                  </w:pPr>
                  <w:r w:rsidRPr="005252C5">
                    <w:rPr>
                      <w:rFonts w:eastAsia="黑体" w:hint="eastAsia"/>
                      <w:b/>
                      <w:color w:val="003366"/>
                      <w:sz w:val="24"/>
                    </w:rPr>
                    <w:t>相关报告：</w:t>
                  </w:r>
                </w:p>
              </w:tc>
            </w:tr>
            <w:tr w:rsidR="0063384C" w:rsidRPr="005252C5" w:rsidTr="004D0283">
              <w:trPr>
                <w:gridAfter w:val="1"/>
                <w:wAfter w:w="468" w:type="dxa"/>
                <w:trHeight w:hRule="exact" w:val="2396"/>
              </w:trPr>
              <w:tc>
                <w:tcPr>
                  <w:tcW w:w="3420" w:type="dxa"/>
                </w:tcPr>
                <w:p w:rsidR="0063384C" w:rsidRPr="005252C5" w:rsidRDefault="0063384C" w:rsidP="004D0283">
                  <w:pPr>
                    <w:rPr>
                      <w:rFonts w:eastAsia="楷体_GB2312"/>
                      <w:sz w:val="18"/>
                      <w:szCs w:val="18"/>
                    </w:rPr>
                  </w:pPr>
                </w:p>
                <w:p w:rsidR="0063384C" w:rsidRPr="005252C5" w:rsidRDefault="0063384C" w:rsidP="004D0283">
                  <w:pPr>
                    <w:rPr>
                      <w:rFonts w:eastAsia="楷体_GB2312"/>
                      <w:sz w:val="18"/>
                      <w:szCs w:val="18"/>
                    </w:rPr>
                  </w:pPr>
                </w:p>
                <w:p w:rsidR="0063384C" w:rsidRPr="005252C5" w:rsidRDefault="0063384C" w:rsidP="004D0283">
                  <w:pPr>
                    <w:rPr>
                      <w:rFonts w:eastAsia="黑体"/>
                      <w:b/>
                      <w:color w:val="003366"/>
                      <w:sz w:val="24"/>
                    </w:rPr>
                  </w:pPr>
                </w:p>
              </w:tc>
            </w:tr>
          </w:tbl>
          <w:p w:rsidR="0063384C" w:rsidRPr="005252C5" w:rsidRDefault="0063384C" w:rsidP="004D0283">
            <w:pPr>
              <w:rPr>
                <w:rFonts w:eastAsia="楷体_GB2312"/>
                <w:b/>
                <w:color w:val="003366"/>
                <w:sz w:val="28"/>
                <w:szCs w:val="28"/>
              </w:rPr>
            </w:pPr>
          </w:p>
        </w:tc>
      </w:tr>
    </w:tbl>
    <w:p w:rsidR="0063384C" w:rsidRPr="005252C5" w:rsidRDefault="0063384C" w:rsidP="0063384C">
      <w:pPr>
        <w:numPr>
          <w:ilvl w:val="0"/>
          <w:numId w:val="1"/>
        </w:numPr>
        <w:spacing w:line="360" w:lineRule="auto"/>
        <w:rPr>
          <w:rFonts w:ascii="黑体" w:eastAsia="黑体" w:hAnsi="宋体"/>
          <w:b/>
          <w:color w:val="003366"/>
          <w:sz w:val="24"/>
        </w:rPr>
      </w:pPr>
      <w:r w:rsidRPr="005252C5">
        <w:rPr>
          <w:rFonts w:ascii="黑体" w:eastAsia="黑体" w:hAnsi="宋体"/>
          <w:b/>
          <w:noProof/>
          <w:color w:val="003366"/>
          <w:sz w:val="24"/>
        </w:rPr>
        <mc:AlternateContent>
          <mc:Choice Requires="wps">
            <w:drawing>
              <wp:anchor distT="0" distB="0" distL="114300" distR="114300" simplePos="0" relativeHeight="251659264" behindDoc="0" locked="0" layoutInCell="1" allowOverlap="1">
                <wp:simplePos x="0" y="0"/>
                <wp:positionH relativeFrom="column">
                  <wp:posOffset>-684530</wp:posOffset>
                </wp:positionH>
                <wp:positionV relativeFrom="paragraph">
                  <wp:posOffset>-1252220</wp:posOffset>
                </wp:positionV>
                <wp:extent cx="5370195" cy="2167255"/>
                <wp:effectExtent l="0" t="3810" r="0" b="635"/>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0195" cy="2167255"/>
                        </a:xfrm>
                        <a:prstGeom prst="rect">
                          <a:avLst/>
                        </a:prstGeom>
                        <a:solidFill>
                          <a:srgbClr val="0032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283" w:rsidRDefault="004D0283" w:rsidP="0063384C">
                            <w:pPr>
                              <w:rPr>
                                <w:rFonts w:ascii="宋体-18030" w:eastAsia="宋体-18030" w:hAnsi="宋体-18030" w:cs="宋体-18030"/>
                                <w:szCs w:val="21"/>
                              </w:rPr>
                            </w:pPr>
                          </w:p>
                          <w:p w:rsidR="004D0283" w:rsidRDefault="004D0283" w:rsidP="0063384C">
                            <w:pPr>
                              <w:rPr>
                                <w:rFonts w:ascii="宋体-18030" w:eastAsia="宋体-18030" w:hAnsi="宋体-18030" w:cs="宋体-18030"/>
                                <w:szCs w:val="21"/>
                              </w:rPr>
                            </w:pPr>
                          </w:p>
                          <w:p w:rsidR="004D0283" w:rsidRDefault="004D0283" w:rsidP="0063384C">
                            <w:pPr>
                              <w:rPr>
                                <w:rFonts w:ascii="宋体-18030" w:eastAsia="宋体-18030" w:hAnsi="宋体-18030" w:cs="宋体-18030"/>
                                <w:szCs w:val="21"/>
                              </w:rPr>
                            </w:pPr>
                          </w:p>
                          <w:p w:rsidR="004D0283" w:rsidRDefault="004D0283" w:rsidP="0063384C">
                            <w:pPr>
                              <w:rPr>
                                <w:rFonts w:ascii="宋体-18030" w:eastAsia="宋体-18030" w:hAnsi="宋体-18030" w:cs="宋体-18030"/>
                                <w:szCs w:val="21"/>
                              </w:rPr>
                            </w:pPr>
                          </w:p>
                          <w:p w:rsidR="004D0283" w:rsidRPr="00C2401C" w:rsidRDefault="004D0283" w:rsidP="0063384C">
                            <w:pPr>
                              <w:rPr>
                                <w:rFonts w:ascii="宋体-18030" w:eastAsia="宋体-18030" w:hAnsi="宋体-18030" w:cs="宋体-18030"/>
                                <w:szCs w:val="21"/>
                              </w:rPr>
                            </w:pPr>
                          </w:p>
                          <w:p w:rsidR="004D0283" w:rsidRDefault="002F5D6E" w:rsidP="0063384C">
                            <w:pPr>
                              <w:wordWrap w:val="0"/>
                              <w:spacing w:beforeLines="150" w:before="468"/>
                              <w:ind w:rightChars="70" w:right="147"/>
                              <w:jc w:val="right"/>
                              <w:rPr>
                                <w:rFonts w:ascii="黑体" w:eastAsia="黑体" w:hAnsi="宋体" w:cs="宋体-18030"/>
                                <w:b/>
                                <w:color w:val="FFFFFF"/>
                                <w:sz w:val="30"/>
                                <w:szCs w:val="30"/>
                              </w:rPr>
                            </w:pPr>
                            <w:r w:rsidRPr="002F5D6E">
                              <w:rPr>
                                <w:rFonts w:ascii="黑体" w:eastAsia="黑体" w:hAnsi="宋体" w:cs="宋体-18030" w:hint="eastAsia"/>
                                <w:b/>
                                <w:color w:val="FFFFFF"/>
                                <w:sz w:val="30"/>
                                <w:szCs w:val="30"/>
                              </w:rPr>
                              <w:t>港股大涨，H</w:t>
                            </w:r>
                            <w:proofErr w:type="gramStart"/>
                            <w:r w:rsidRPr="002F5D6E">
                              <w:rPr>
                                <w:rFonts w:ascii="黑体" w:eastAsia="黑体" w:hAnsi="宋体" w:cs="宋体-18030" w:hint="eastAsia"/>
                                <w:b/>
                                <w:color w:val="FFFFFF"/>
                                <w:sz w:val="30"/>
                                <w:szCs w:val="30"/>
                              </w:rPr>
                              <w:t>股分级基金</w:t>
                            </w:r>
                            <w:proofErr w:type="gramEnd"/>
                            <w:r w:rsidRPr="002F5D6E">
                              <w:rPr>
                                <w:rFonts w:ascii="黑体" w:eastAsia="黑体" w:hAnsi="宋体" w:cs="宋体-18030" w:hint="eastAsia"/>
                                <w:b/>
                                <w:color w:val="FFFFFF"/>
                                <w:sz w:val="30"/>
                                <w:szCs w:val="30"/>
                              </w:rPr>
                              <w:t>涨幅差异大</w:t>
                            </w:r>
                          </w:p>
                          <w:p w:rsidR="004D0283" w:rsidRPr="004E3270" w:rsidRDefault="004D0283" w:rsidP="0063384C">
                            <w:pPr>
                              <w:wordWrap w:val="0"/>
                              <w:jc w:val="right"/>
                              <w:rPr>
                                <w:rFonts w:ascii="楷体_GB2312" w:eastAsia="楷体_GB2312"/>
                                <w:b/>
                                <w:szCs w:val="21"/>
                              </w:rPr>
                            </w:pPr>
                            <w:r>
                              <w:rPr>
                                <w:rFonts w:ascii="楷体_GB2312" w:eastAsia="楷体_GB2312" w:hint="eastAsia"/>
                                <w:b/>
                                <w:szCs w:val="21"/>
                              </w:rPr>
                              <w:t>--</w:t>
                            </w:r>
                            <w:r w:rsidRPr="004E62DA">
                              <w:rPr>
                                <w:rFonts w:hint="eastAsia"/>
                              </w:rPr>
                              <w:t xml:space="preserve"> </w:t>
                            </w:r>
                            <w:r>
                              <w:rPr>
                                <w:rFonts w:ascii="楷体_GB2312" w:eastAsia="楷体_GB2312" w:hint="eastAsia"/>
                                <w:b/>
                                <w:szCs w:val="21"/>
                              </w:rPr>
                              <w:t xml:space="preserve">分级基金周报   </w:t>
                            </w:r>
                          </w:p>
                          <w:p w:rsidR="004D0283" w:rsidRPr="00AF7DC8" w:rsidRDefault="004D0283" w:rsidP="0063384C">
                            <w:pPr>
                              <w:spacing w:line="360" w:lineRule="auto"/>
                              <w:jc w:val="center"/>
                              <w:rPr>
                                <w:rFonts w:ascii="黑体" w:eastAsia="黑体" w:hAnsi="宋体" w:cs="宋体-18030"/>
                                <w:b/>
                                <w:color w:val="FFFFFF"/>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7" type="#_x0000_t202" style="position:absolute;left:0;text-align:left;margin-left:-53.9pt;margin-top:-98.6pt;width:422.85pt;height:17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" fillcolor="#00326e" stroked="f">
                <v:textbox>
                  <w:txbxContent>
                    <w:p w:rsidR="004D0283" w:rsidRDefault="004D0283" w:rsidP="0063384C">
                      <w:pPr>
                        <w:rPr>
                          <w:rFonts w:ascii="宋体-18030" w:eastAsia="宋体-18030" w:hAnsi="宋体-18030" w:cs="宋体-18030"/>
                          <w:szCs w:val="21"/>
                        </w:rPr>
                      </w:pPr>
                    </w:p>
                    <w:p w:rsidR="004D0283" w:rsidRDefault="004D0283" w:rsidP="0063384C">
                      <w:pPr>
                        <w:rPr>
                          <w:rFonts w:ascii="宋体-18030" w:eastAsia="宋体-18030" w:hAnsi="宋体-18030" w:cs="宋体-18030"/>
                          <w:szCs w:val="21"/>
                        </w:rPr>
                      </w:pPr>
                    </w:p>
                    <w:p w:rsidR="004D0283" w:rsidRDefault="004D0283" w:rsidP="0063384C">
                      <w:pPr>
                        <w:rPr>
                          <w:rFonts w:ascii="宋体-18030" w:eastAsia="宋体-18030" w:hAnsi="宋体-18030" w:cs="宋体-18030"/>
                          <w:szCs w:val="21"/>
                        </w:rPr>
                      </w:pPr>
                    </w:p>
                    <w:p w:rsidR="004D0283" w:rsidRDefault="004D0283" w:rsidP="0063384C">
                      <w:pPr>
                        <w:rPr>
                          <w:rFonts w:ascii="宋体-18030" w:eastAsia="宋体-18030" w:hAnsi="宋体-18030" w:cs="宋体-18030"/>
                          <w:szCs w:val="21"/>
                        </w:rPr>
                      </w:pPr>
                    </w:p>
                    <w:p w:rsidR="004D0283" w:rsidRPr="00C2401C" w:rsidRDefault="004D0283" w:rsidP="0063384C">
                      <w:pPr>
                        <w:rPr>
                          <w:rFonts w:ascii="宋体-18030" w:eastAsia="宋体-18030" w:hAnsi="宋体-18030" w:cs="宋体-18030"/>
                          <w:szCs w:val="21"/>
                        </w:rPr>
                      </w:pPr>
                    </w:p>
                    <w:p w:rsidR="004D0283" w:rsidRDefault="002F5D6E" w:rsidP="0063384C">
                      <w:pPr>
                        <w:wordWrap w:val="0"/>
                        <w:spacing w:beforeLines="150" w:before="468"/>
                        <w:ind w:rightChars="70" w:right="147"/>
                        <w:jc w:val="right"/>
                        <w:rPr>
                          <w:rFonts w:ascii="黑体" w:eastAsia="黑体" w:hAnsi="宋体" w:cs="宋体-18030"/>
                          <w:b/>
                          <w:color w:val="FFFFFF"/>
                          <w:sz w:val="30"/>
                          <w:szCs w:val="30"/>
                        </w:rPr>
                      </w:pPr>
                      <w:r w:rsidRPr="002F5D6E">
                        <w:rPr>
                          <w:rFonts w:ascii="黑体" w:eastAsia="黑体" w:hAnsi="宋体" w:cs="宋体-18030" w:hint="eastAsia"/>
                          <w:b/>
                          <w:color w:val="FFFFFF"/>
                          <w:sz w:val="30"/>
                          <w:szCs w:val="30"/>
                        </w:rPr>
                        <w:t>港股大涨，H</w:t>
                      </w:r>
                      <w:proofErr w:type="gramStart"/>
                      <w:r w:rsidRPr="002F5D6E">
                        <w:rPr>
                          <w:rFonts w:ascii="黑体" w:eastAsia="黑体" w:hAnsi="宋体" w:cs="宋体-18030" w:hint="eastAsia"/>
                          <w:b/>
                          <w:color w:val="FFFFFF"/>
                          <w:sz w:val="30"/>
                          <w:szCs w:val="30"/>
                        </w:rPr>
                        <w:t>股分级基金</w:t>
                      </w:r>
                      <w:proofErr w:type="gramEnd"/>
                      <w:r w:rsidRPr="002F5D6E">
                        <w:rPr>
                          <w:rFonts w:ascii="黑体" w:eastAsia="黑体" w:hAnsi="宋体" w:cs="宋体-18030" w:hint="eastAsia"/>
                          <w:b/>
                          <w:color w:val="FFFFFF"/>
                          <w:sz w:val="30"/>
                          <w:szCs w:val="30"/>
                        </w:rPr>
                        <w:t>涨幅差异大</w:t>
                      </w:r>
                    </w:p>
                    <w:p w:rsidR="004D0283" w:rsidRPr="004E3270" w:rsidRDefault="004D0283" w:rsidP="0063384C">
                      <w:pPr>
                        <w:wordWrap w:val="0"/>
                        <w:jc w:val="right"/>
                        <w:rPr>
                          <w:rFonts w:ascii="楷体_GB2312" w:eastAsia="楷体_GB2312"/>
                          <w:b/>
                          <w:szCs w:val="21"/>
                        </w:rPr>
                      </w:pPr>
                      <w:r>
                        <w:rPr>
                          <w:rFonts w:ascii="楷体_GB2312" w:eastAsia="楷体_GB2312" w:hint="eastAsia"/>
                          <w:b/>
                          <w:szCs w:val="21"/>
                        </w:rPr>
                        <w:t>--</w:t>
                      </w:r>
                      <w:r w:rsidRPr="004E62DA">
                        <w:rPr>
                          <w:rFonts w:hint="eastAsia"/>
                        </w:rPr>
                        <w:t xml:space="preserve"> </w:t>
                      </w:r>
                      <w:r>
                        <w:rPr>
                          <w:rFonts w:ascii="楷体_GB2312" w:eastAsia="楷体_GB2312" w:hint="eastAsia"/>
                          <w:b/>
                          <w:szCs w:val="21"/>
                        </w:rPr>
                        <w:t xml:space="preserve">分级基金周报   </w:t>
                      </w:r>
                    </w:p>
                    <w:p w:rsidR="004D0283" w:rsidRPr="00AF7DC8" w:rsidRDefault="004D0283" w:rsidP="0063384C">
                      <w:pPr>
                        <w:spacing w:line="360" w:lineRule="auto"/>
                        <w:jc w:val="center"/>
                        <w:rPr>
                          <w:rFonts w:ascii="黑体" w:eastAsia="黑体" w:hAnsi="宋体" w:cs="宋体-18030"/>
                          <w:b/>
                          <w:color w:val="FFFFFF"/>
                          <w:sz w:val="30"/>
                          <w:szCs w:val="30"/>
                        </w:rPr>
                      </w:pPr>
                    </w:p>
                  </w:txbxContent>
                </v:textbox>
              </v:shape>
            </w:pict>
          </mc:Fallback>
        </mc:AlternateContent>
      </w:r>
      <w:r w:rsidRPr="005252C5">
        <w:rPr>
          <w:rFonts w:ascii="黑体" w:eastAsia="黑体" w:hAnsi="宋体"/>
          <w:b/>
          <w:color w:val="003366"/>
          <w:sz w:val="24"/>
        </w:rPr>
        <w:br/>
      </w:r>
    </w:p>
    <w:p w:rsidR="0063384C" w:rsidRPr="005252C5" w:rsidRDefault="0063384C" w:rsidP="0063384C">
      <w:pPr>
        <w:numPr>
          <w:ilvl w:val="0"/>
          <w:numId w:val="1"/>
        </w:numPr>
        <w:spacing w:line="360" w:lineRule="auto"/>
        <w:rPr>
          <w:rFonts w:ascii="黑体" w:eastAsia="黑体" w:hAnsi="宋体"/>
          <w:b/>
          <w:color w:val="003366"/>
          <w:sz w:val="24"/>
        </w:rPr>
      </w:pPr>
    </w:p>
    <w:p w:rsidR="0063384C" w:rsidRPr="005252C5" w:rsidRDefault="0063384C" w:rsidP="0063384C">
      <w:pPr>
        <w:rPr>
          <w:rFonts w:ascii="黑体" w:eastAsia="黑体" w:hAnsi="宋体"/>
          <w:b/>
          <w:color w:val="003366"/>
          <w:sz w:val="24"/>
        </w:rPr>
      </w:pPr>
    </w:p>
    <w:p w:rsidR="0037593F" w:rsidRPr="005252C5" w:rsidRDefault="0037593F" w:rsidP="0063384C">
      <w:pPr>
        <w:rPr>
          <w:rFonts w:ascii="黑体" w:eastAsia="黑体" w:hAnsi="宋体"/>
          <w:b/>
          <w:color w:val="003366"/>
          <w:sz w:val="24"/>
        </w:rPr>
      </w:pPr>
    </w:p>
    <w:p w:rsidR="0037593F" w:rsidRPr="005252C5" w:rsidRDefault="0037593F" w:rsidP="0063384C">
      <w:pPr>
        <w:rPr>
          <w:rFonts w:ascii="黑体" w:eastAsia="黑体" w:hAnsi="宋体"/>
          <w:b/>
          <w:color w:val="003366"/>
          <w:sz w:val="24"/>
        </w:rPr>
      </w:pPr>
    </w:p>
    <w:p w:rsidR="0037593F" w:rsidRPr="005252C5" w:rsidRDefault="0037593F" w:rsidP="0063384C">
      <w:pPr>
        <w:rPr>
          <w:rFonts w:ascii="黑体" w:eastAsia="黑体" w:hAnsi="宋体"/>
          <w:b/>
          <w:color w:val="003366"/>
          <w:sz w:val="24"/>
        </w:rPr>
      </w:pPr>
    </w:p>
    <w:p w:rsidR="0037593F" w:rsidRDefault="0063384C" w:rsidP="0037593F">
      <w:pPr>
        <w:numPr>
          <w:ilvl w:val="0"/>
          <w:numId w:val="1"/>
        </w:numPr>
        <w:spacing w:line="360" w:lineRule="auto"/>
        <w:rPr>
          <w:rFonts w:ascii="黑体" w:eastAsia="黑体" w:hAnsi="宋体"/>
          <w:b/>
          <w:color w:val="003366"/>
          <w:sz w:val="24"/>
        </w:rPr>
      </w:pPr>
      <w:r w:rsidRPr="005252C5">
        <w:rPr>
          <w:rFonts w:ascii="黑体" w:eastAsia="黑体" w:hAnsi="宋体" w:hint="eastAsia"/>
          <w:b/>
          <w:color w:val="003366"/>
          <w:sz w:val="24"/>
        </w:rPr>
        <w:t>主要观点：</w:t>
      </w:r>
    </w:p>
    <w:p w:rsidR="005252C5" w:rsidRPr="005252C5" w:rsidRDefault="005252C5" w:rsidP="005252C5">
      <w:pPr>
        <w:spacing w:line="360" w:lineRule="auto"/>
        <w:ind w:left="425"/>
        <w:rPr>
          <w:rFonts w:ascii="黑体" w:eastAsia="黑体" w:hAnsi="宋体" w:hint="eastAsia"/>
          <w:b/>
          <w:color w:val="003366"/>
          <w:sz w:val="24"/>
        </w:rPr>
      </w:pPr>
    </w:p>
    <w:p w:rsidR="0063384C" w:rsidRPr="005252C5" w:rsidRDefault="005252C5" w:rsidP="005252C5">
      <w:pPr>
        <w:pStyle w:val="a7"/>
        <w:numPr>
          <w:ilvl w:val="0"/>
          <w:numId w:val="5"/>
        </w:numPr>
        <w:snapToGrid w:val="0"/>
        <w:spacing w:line="360" w:lineRule="auto"/>
        <w:ind w:left="851" w:firstLineChars="0"/>
        <w:contextualSpacing/>
        <w:rPr>
          <w:rFonts w:ascii="楷体_GB2312" w:eastAsia="楷体_GB2312" w:hAnsi="宋体" w:cs="宋体"/>
          <w:kern w:val="0"/>
          <w:szCs w:val="21"/>
        </w:rPr>
      </w:pPr>
      <w:r w:rsidRPr="005252C5">
        <w:rPr>
          <w:rFonts w:ascii="楷体_GB2312" w:eastAsia="楷体_GB2312" w:hAnsi="华文楷体" w:hint="eastAsia"/>
        </w:rPr>
        <w:t>上周基础市场徘徊，分级市场有所降温，B份额成交较前周显著回落，A份额成交相对活跃。市场调整趋势不明，分级B投资者不妨降低</w:t>
      </w:r>
      <w:proofErr w:type="gramStart"/>
      <w:r w:rsidRPr="005252C5">
        <w:rPr>
          <w:rFonts w:ascii="楷体_GB2312" w:eastAsia="楷体_GB2312" w:hAnsi="华文楷体" w:hint="eastAsia"/>
        </w:rPr>
        <w:t>仓位</w:t>
      </w:r>
      <w:proofErr w:type="gramEnd"/>
      <w:r w:rsidRPr="005252C5">
        <w:rPr>
          <w:rFonts w:ascii="楷体_GB2312" w:eastAsia="楷体_GB2312" w:hAnsi="华文楷体" w:hint="eastAsia"/>
        </w:rPr>
        <w:t>等待机会，在机会出现时，历史收益佳、弹性较好的品种适合配置；分级A价格在债市收益率下行的趋势下尚有上涨空间，高收益率、流动性佳的品种仍有配置价值。</w:t>
      </w:r>
    </w:p>
    <w:p w:rsidR="005252C5" w:rsidRPr="005252C5" w:rsidRDefault="005252C5" w:rsidP="005252C5">
      <w:pPr>
        <w:pStyle w:val="a7"/>
        <w:snapToGrid w:val="0"/>
        <w:spacing w:line="360" w:lineRule="auto"/>
        <w:ind w:left="851" w:firstLineChars="0" w:firstLine="0"/>
        <w:contextualSpacing/>
        <w:rPr>
          <w:rFonts w:ascii="楷体_GB2312" w:eastAsia="楷体_GB2312" w:hAnsi="宋体" w:cs="宋体" w:hint="eastAsia"/>
          <w:kern w:val="0"/>
          <w:szCs w:val="21"/>
        </w:rPr>
      </w:pPr>
    </w:p>
    <w:p w:rsidR="005252C5" w:rsidRPr="005252C5" w:rsidRDefault="005252C5" w:rsidP="005252C5">
      <w:pPr>
        <w:pStyle w:val="a7"/>
        <w:numPr>
          <w:ilvl w:val="0"/>
          <w:numId w:val="5"/>
        </w:numPr>
        <w:snapToGrid w:val="0"/>
        <w:spacing w:line="360" w:lineRule="auto"/>
        <w:ind w:left="851" w:firstLineChars="0"/>
        <w:contextualSpacing/>
        <w:rPr>
          <w:rFonts w:ascii="楷体_GB2312" w:eastAsia="楷体_GB2312" w:hAnsi="宋体" w:cs="宋体" w:hint="eastAsia"/>
          <w:kern w:val="0"/>
          <w:szCs w:val="21"/>
        </w:rPr>
      </w:pPr>
      <w:r w:rsidRPr="005252C5">
        <w:rPr>
          <w:rFonts w:ascii="楷体_GB2312" w:eastAsia="楷体_GB2312" w:hAnsi="宋体" w:cs="宋体" w:hint="eastAsia"/>
          <w:kern w:val="0"/>
          <w:szCs w:val="21"/>
        </w:rPr>
        <w:t>分级B杠杆份额活跃度下降，但场内份额仍呈扩大趋势，整体维持平价交易。股票分级B价格平均下跌3.74%（剔除日均成交量不足100万份的品种），平均折价率为0.02%。</w:t>
      </w:r>
      <w:r>
        <w:rPr>
          <w:rFonts w:ascii="楷体_GB2312" w:eastAsia="楷体_GB2312" w:hAnsi="宋体" w:cs="宋体" w:hint="eastAsia"/>
          <w:kern w:val="0"/>
          <w:szCs w:val="21"/>
        </w:rPr>
        <w:t>近一个月来</w:t>
      </w:r>
      <w:r w:rsidRPr="005252C5">
        <w:rPr>
          <w:rFonts w:ascii="楷体_GB2312" w:eastAsia="楷体_GB2312" w:hAnsi="宋体" w:cs="宋体" w:hint="eastAsia"/>
          <w:kern w:val="0"/>
          <w:szCs w:val="21"/>
        </w:rPr>
        <w:t>恒生指数反弹已接近9%，然而市场跟踪H股的2</w:t>
      </w:r>
      <w:r>
        <w:rPr>
          <w:rFonts w:ascii="楷体_GB2312" w:eastAsia="楷体_GB2312" w:hAnsi="宋体" w:cs="宋体" w:hint="eastAsia"/>
          <w:kern w:val="0"/>
          <w:szCs w:val="21"/>
        </w:rPr>
        <w:t>只分级基金价格表现迥异，产品溢价率成主因。</w:t>
      </w:r>
    </w:p>
    <w:p w:rsidR="005252C5" w:rsidRPr="005252C5" w:rsidRDefault="005252C5" w:rsidP="005252C5">
      <w:pPr>
        <w:pStyle w:val="a7"/>
        <w:snapToGrid w:val="0"/>
        <w:spacing w:line="360" w:lineRule="auto"/>
        <w:ind w:left="993" w:firstLineChars="0" w:firstLine="0"/>
        <w:contextualSpacing/>
        <w:rPr>
          <w:rFonts w:ascii="楷体_GB2312" w:eastAsia="楷体_GB2312" w:hAnsi="宋体" w:cs="宋体" w:hint="eastAsia"/>
          <w:kern w:val="0"/>
          <w:szCs w:val="21"/>
        </w:rPr>
      </w:pPr>
    </w:p>
    <w:p w:rsidR="00DF221E" w:rsidRPr="005252C5" w:rsidRDefault="005252C5" w:rsidP="005252C5">
      <w:pPr>
        <w:pStyle w:val="a7"/>
        <w:numPr>
          <w:ilvl w:val="0"/>
          <w:numId w:val="3"/>
        </w:numPr>
        <w:snapToGrid w:val="0"/>
        <w:spacing w:line="360" w:lineRule="auto"/>
        <w:ind w:firstLineChars="0"/>
        <w:contextualSpacing/>
        <w:rPr>
          <w:rFonts w:ascii="楷体_GB2312" w:eastAsia="楷体_GB2312" w:hAnsi="宋体" w:cs="宋体"/>
          <w:kern w:val="0"/>
          <w:szCs w:val="21"/>
        </w:rPr>
      </w:pPr>
      <w:r w:rsidRPr="005252C5">
        <w:rPr>
          <w:rFonts w:ascii="楷体_GB2312" w:eastAsia="楷体_GB2312" w:hint="eastAsia"/>
          <w:szCs w:val="21"/>
        </w:rPr>
        <w:t>分级A价格回归，高隐含收益率品种涨幅较高。前周全市场分级A平均价格上扬0.85%（剔除日均成交量不足100万份的品种），平均折价0.30%。具体品种方面，隐含收益率高的品种涨幅较大，隐含收益率排前10的分级A平均周涨幅达1.10%。</w:t>
      </w:r>
    </w:p>
    <w:p w:rsidR="00DF221E" w:rsidRPr="005252C5" w:rsidRDefault="00DF221E" w:rsidP="00DF221E">
      <w:pPr>
        <w:pStyle w:val="a7"/>
        <w:rPr>
          <w:rFonts w:ascii="楷体_GB2312" w:eastAsia="楷体_GB2312" w:hAnsi="宋体" w:cs="宋体"/>
          <w:kern w:val="0"/>
          <w:szCs w:val="21"/>
        </w:rPr>
      </w:pPr>
    </w:p>
    <w:p w:rsidR="001F6A1C" w:rsidRPr="00CE3745" w:rsidRDefault="001F6A1C" w:rsidP="00582817">
      <w:pPr>
        <w:snapToGrid w:val="0"/>
        <w:spacing w:line="360" w:lineRule="auto"/>
        <w:contextualSpacing/>
        <w:rPr>
          <w:rFonts w:ascii="楷体_GB2312" w:eastAsia="楷体_GB2312" w:hAnsi="宋体" w:cs="宋体"/>
          <w:kern w:val="0"/>
          <w:szCs w:val="21"/>
        </w:rPr>
      </w:pPr>
    </w:p>
    <w:p w:rsidR="0063384C" w:rsidRPr="00CE3745" w:rsidRDefault="0063384C" w:rsidP="0063384C">
      <w:pPr>
        <w:snapToGrid w:val="0"/>
        <w:spacing w:line="360" w:lineRule="auto"/>
        <w:ind w:firstLine="420"/>
        <w:contextualSpacing/>
        <w:rPr>
          <w:rFonts w:ascii="楷体_GB2312" w:eastAsia="楷体_GB2312" w:hAnsi="宋体" w:cs="宋体"/>
          <w:kern w:val="0"/>
          <w:szCs w:val="21"/>
        </w:rPr>
      </w:pPr>
    </w:p>
    <w:p w:rsidR="0063384C" w:rsidRPr="000B4882" w:rsidRDefault="0063384C" w:rsidP="00582817">
      <w:pPr>
        <w:spacing w:beforeLines="50" w:before="156" w:afterLines="50" w:after="156"/>
        <w:rPr>
          <w:rFonts w:ascii="楷体_GB2312" w:eastAsia="楷体_GB2312"/>
          <w:noProof/>
          <w:color w:val="000000"/>
        </w:rPr>
        <w:sectPr w:rsidR="0063384C" w:rsidRPr="000B4882" w:rsidSect="004D0283">
          <w:headerReference w:type="default" r:id="rId8"/>
          <w:footerReference w:type="even" r:id="rId9"/>
          <w:footerReference w:type="default" r:id="rId10"/>
          <w:pgSz w:w="11906" w:h="16838"/>
          <w:pgMar w:top="851" w:right="567" w:bottom="851" w:left="4536" w:header="851" w:footer="992" w:gutter="0"/>
          <w:cols w:space="425"/>
          <w:docGrid w:type="lines" w:linePitch="312"/>
        </w:sectPr>
      </w:pPr>
    </w:p>
    <w:p w:rsidR="00DA251D" w:rsidRDefault="00DA251D" w:rsidP="00D90536">
      <w:pPr>
        <w:spacing w:beforeLines="50" w:before="156" w:afterLines="50" w:after="156"/>
        <w:ind w:leftChars="1147" w:left="2409" w:firstLineChars="177" w:firstLine="426"/>
        <w:rPr>
          <w:rFonts w:ascii="楷体_GB2312" w:eastAsia="楷体_GB2312" w:hAnsi="楷体" w:cs="宋体-18030"/>
          <w:b/>
          <w:bCs/>
          <w:color w:val="003366"/>
          <w:kern w:val="44"/>
          <w:sz w:val="24"/>
        </w:rPr>
      </w:pPr>
    </w:p>
    <w:p w:rsidR="001F6A1C" w:rsidRDefault="00DA251D" w:rsidP="001F6A1C">
      <w:pPr>
        <w:spacing w:line="360" w:lineRule="auto"/>
        <w:ind w:firstLineChars="200" w:firstLine="482"/>
        <w:rPr>
          <w:rFonts w:ascii="楷体_GB2312" w:eastAsia="楷体_GB2312" w:hAnsi="楷体" w:cs="宋体-18030"/>
          <w:b/>
          <w:bCs/>
          <w:color w:val="003366"/>
          <w:kern w:val="44"/>
          <w:sz w:val="24"/>
        </w:rPr>
      </w:pPr>
      <w:r w:rsidRPr="00D90536">
        <w:rPr>
          <w:rFonts w:ascii="楷体_GB2312" w:eastAsia="楷体_GB2312" w:hAnsi="楷体" w:cs="宋体-18030" w:hint="eastAsia"/>
          <w:b/>
          <w:bCs/>
          <w:color w:val="003366"/>
          <w:kern w:val="44"/>
          <w:sz w:val="24"/>
        </w:rPr>
        <w:t>基础市场分析：</w:t>
      </w:r>
    </w:p>
    <w:p w:rsidR="002F5D6E" w:rsidRPr="002F5D6E" w:rsidRDefault="002F5D6E" w:rsidP="002F5D6E">
      <w:pPr>
        <w:spacing w:line="360" w:lineRule="auto"/>
        <w:ind w:firstLine="435"/>
        <w:rPr>
          <w:rFonts w:ascii="楷体_GB2312" w:eastAsia="楷体_GB2312" w:hAnsi="华文楷体"/>
        </w:rPr>
      </w:pPr>
      <w:r w:rsidRPr="002F5D6E">
        <w:rPr>
          <w:rFonts w:ascii="楷体_GB2312" w:eastAsia="楷体_GB2312" w:hAnsi="华文楷体" w:hint="eastAsia"/>
        </w:rPr>
        <w:t>上周基础市场徘徊，分级市场有所降温，B份额成交较前周显著回落，A份额成交相对活跃。市场调整趋势不明，分级B投资者不妨降低</w:t>
      </w:r>
      <w:proofErr w:type="gramStart"/>
      <w:r w:rsidRPr="002F5D6E">
        <w:rPr>
          <w:rFonts w:ascii="楷体_GB2312" w:eastAsia="楷体_GB2312" w:hAnsi="华文楷体" w:hint="eastAsia"/>
        </w:rPr>
        <w:t>仓位</w:t>
      </w:r>
      <w:proofErr w:type="gramEnd"/>
      <w:r w:rsidRPr="002F5D6E">
        <w:rPr>
          <w:rFonts w:ascii="楷体_GB2312" w:eastAsia="楷体_GB2312" w:hAnsi="华文楷体" w:hint="eastAsia"/>
        </w:rPr>
        <w:t>等待机会，在机会出现时，历史收益佳、弹性较好的品种适合配置；分级A价格在债市收益率下行的趋势下尚有上涨空间，高收益率、流动性佳的品种仍有配置价值。</w:t>
      </w:r>
    </w:p>
    <w:p w:rsidR="00C40319" w:rsidRDefault="002F5D6E" w:rsidP="002F5D6E">
      <w:pPr>
        <w:spacing w:line="360" w:lineRule="auto"/>
        <w:ind w:firstLine="435"/>
        <w:rPr>
          <w:rFonts w:ascii="楷体_GB2312" w:eastAsia="楷体_GB2312" w:hAnsi="华文楷体"/>
        </w:rPr>
      </w:pPr>
      <w:r w:rsidRPr="002F5D6E">
        <w:rPr>
          <w:rFonts w:ascii="楷体_GB2312" w:eastAsia="楷体_GB2312" w:hAnsi="华文楷体" w:hint="eastAsia"/>
        </w:rPr>
        <w:t>有色、食品饮料、军工、煤炭类分级基金跌幅居前，体育以及TMT板块类分级基金表现相对较好。截至上周五，全市场股票型分级</w:t>
      </w:r>
      <w:proofErr w:type="gramStart"/>
      <w:r w:rsidRPr="002F5D6E">
        <w:rPr>
          <w:rFonts w:ascii="楷体_GB2312" w:eastAsia="楷体_GB2312" w:hAnsi="华文楷体" w:hint="eastAsia"/>
        </w:rPr>
        <w:t>母基金周整体</w:t>
      </w:r>
      <w:proofErr w:type="gramEnd"/>
      <w:r w:rsidRPr="002F5D6E">
        <w:rPr>
          <w:rFonts w:ascii="楷体_GB2312" w:eastAsia="楷体_GB2312" w:hAnsi="华文楷体" w:hint="eastAsia"/>
        </w:rPr>
        <w:t>下跌1.26%，平均溢价0.03%%。市场套利机会较少，相对溢价较高的长盛上证50整体溢价率为2.05%，其A/B份额上周日均成交仅几十万，流动性较差。近几周分级基金热点和行情显示，市场情绪相对谨慎，热点较为散乱，持续性不强。</w:t>
      </w:r>
    </w:p>
    <w:tbl>
      <w:tblPr>
        <w:tblW w:w="10977" w:type="dxa"/>
        <w:tblInd w:w="-885" w:type="dxa"/>
        <w:tblBorders>
          <w:top w:val="single" w:sz="12" w:space="0" w:color="767171" w:themeColor="background2" w:themeShade="80"/>
          <w:insideH w:val="single" w:sz="12" w:space="0" w:color="C00000"/>
        </w:tblBorders>
        <w:tblLayout w:type="fixed"/>
        <w:tblLook w:val="04A0" w:firstRow="1" w:lastRow="0" w:firstColumn="1" w:lastColumn="0" w:noHBand="0" w:noVBand="1"/>
      </w:tblPr>
      <w:tblGrid>
        <w:gridCol w:w="5387"/>
        <w:gridCol w:w="5590"/>
      </w:tblGrid>
      <w:tr w:rsidR="00D90536" w:rsidRPr="00FC2D2B" w:rsidTr="004D0283">
        <w:tc>
          <w:tcPr>
            <w:tcW w:w="5387" w:type="dxa"/>
          </w:tcPr>
          <w:p w:rsidR="00D90536" w:rsidRPr="00304FEB" w:rsidRDefault="00D90536" w:rsidP="001E3FC2">
            <w:pPr>
              <w:spacing w:line="360" w:lineRule="auto"/>
              <w:jc w:val="left"/>
              <w:rPr>
                <w:rFonts w:ascii="楷体_GB2312" w:eastAsia="楷体_GB2312" w:hAnsi="楷体"/>
                <w:b/>
                <w:color w:val="000000"/>
                <w:sz w:val="18"/>
                <w:szCs w:val="18"/>
              </w:rPr>
            </w:pPr>
            <w:r w:rsidRPr="00FC2D2B">
              <w:rPr>
                <w:rFonts w:ascii="楷体_GB2312" w:eastAsia="楷体_GB2312" w:hAnsi="楷体" w:hint="eastAsia"/>
                <w:b/>
                <w:color w:val="000000"/>
                <w:sz w:val="18"/>
                <w:szCs w:val="18"/>
              </w:rPr>
              <w:t>图</w:t>
            </w:r>
            <w:r>
              <w:rPr>
                <w:rFonts w:ascii="楷体_GB2312" w:eastAsia="楷体_GB2312" w:hAnsi="楷体"/>
                <w:b/>
                <w:color w:val="000000"/>
                <w:sz w:val="18"/>
                <w:szCs w:val="18"/>
              </w:rPr>
              <w:t>1</w:t>
            </w:r>
            <w:r w:rsidR="005511C8">
              <w:rPr>
                <w:rFonts w:ascii="楷体_GB2312" w:eastAsia="楷体_GB2312" w:hAnsi="楷体" w:hint="eastAsia"/>
                <w:b/>
                <w:color w:val="000000"/>
                <w:sz w:val="18"/>
                <w:szCs w:val="18"/>
              </w:rPr>
              <w:t>.</w:t>
            </w:r>
            <w:proofErr w:type="gramStart"/>
            <w:r w:rsidR="005511C8">
              <w:rPr>
                <w:rFonts w:ascii="楷体_GB2312" w:eastAsia="楷体_GB2312" w:hAnsi="楷体" w:hint="eastAsia"/>
                <w:b/>
                <w:color w:val="000000"/>
                <w:sz w:val="18"/>
                <w:szCs w:val="18"/>
              </w:rPr>
              <w:t>周度主要</w:t>
            </w:r>
            <w:proofErr w:type="gramEnd"/>
            <w:r w:rsidR="005511C8">
              <w:rPr>
                <w:rFonts w:ascii="楷体_GB2312" w:eastAsia="楷体_GB2312" w:hAnsi="楷体" w:hint="eastAsia"/>
                <w:b/>
                <w:color w:val="000000"/>
                <w:sz w:val="18"/>
                <w:szCs w:val="18"/>
              </w:rPr>
              <w:t>股指涨跌幅</w:t>
            </w:r>
          </w:p>
        </w:tc>
        <w:tc>
          <w:tcPr>
            <w:tcW w:w="5590" w:type="dxa"/>
          </w:tcPr>
          <w:p w:rsidR="00D90536" w:rsidRPr="00C82167" w:rsidRDefault="00D90536" w:rsidP="00FC753C">
            <w:pPr>
              <w:spacing w:line="360" w:lineRule="auto"/>
              <w:jc w:val="left"/>
              <w:rPr>
                <w:rFonts w:ascii="楷体_GB2312" w:eastAsia="楷体_GB2312" w:hAnsi="楷体"/>
                <w:b/>
                <w:color w:val="000000"/>
                <w:sz w:val="18"/>
                <w:szCs w:val="18"/>
              </w:rPr>
            </w:pPr>
            <w:r w:rsidRPr="00FC2D2B">
              <w:rPr>
                <w:rFonts w:ascii="楷体_GB2312" w:eastAsia="楷体_GB2312" w:hAnsi="楷体" w:hint="eastAsia"/>
                <w:b/>
                <w:color w:val="000000"/>
                <w:sz w:val="18"/>
                <w:szCs w:val="18"/>
              </w:rPr>
              <w:t>图</w:t>
            </w:r>
            <w:r>
              <w:rPr>
                <w:rFonts w:ascii="楷体_GB2312" w:eastAsia="楷体_GB2312" w:hAnsi="楷体"/>
                <w:b/>
                <w:color w:val="000000"/>
                <w:sz w:val="18"/>
                <w:szCs w:val="18"/>
              </w:rPr>
              <w:t>2</w:t>
            </w:r>
            <w:r w:rsidRPr="00FC2D2B">
              <w:rPr>
                <w:rFonts w:ascii="楷体_GB2312" w:eastAsia="楷体_GB2312" w:hAnsi="楷体" w:hint="eastAsia"/>
                <w:b/>
                <w:color w:val="000000"/>
                <w:sz w:val="18"/>
                <w:szCs w:val="18"/>
              </w:rPr>
              <w:t>.</w:t>
            </w:r>
            <w:r w:rsidR="00D44746">
              <w:rPr>
                <w:rFonts w:ascii="楷体_GB2312" w:eastAsia="楷体_GB2312" w:hAnsi="楷体" w:hint="eastAsia"/>
                <w:b/>
                <w:color w:val="000000"/>
                <w:sz w:val="18"/>
                <w:szCs w:val="18"/>
              </w:rPr>
              <w:t>分级A、B</w:t>
            </w:r>
            <w:r w:rsidR="00FC753C">
              <w:rPr>
                <w:rFonts w:ascii="楷体_GB2312" w:eastAsia="楷体_GB2312" w:hAnsi="楷体" w:hint="eastAsia"/>
                <w:b/>
                <w:color w:val="000000"/>
                <w:sz w:val="18"/>
                <w:szCs w:val="18"/>
              </w:rPr>
              <w:t>最近</w:t>
            </w:r>
            <w:r w:rsidR="00FC753C">
              <w:rPr>
                <w:rFonts w:ascii="楷体_GB2312" w:eastAsia="楷体_GB2312" w:hAnsi="楷体"/>
                <w:b/>
                <w:color w:val="000000"/>
                <w:sz w:val="18"/>
                <w:szCs w:val="18"/>
              </w:rPr>
              <w:t>三周</w:t>
            </w:r>
            <w:r w:rsidR="00FC753C">
              <w:rPr>
                <w:rFonts w:ascii="楷体_GB2312" w:eastAsia="楷体_GB2312" w:hAnsi="楷体" w:hint="eastAsia"/>
                <w:b/>
                <w:color w:val="000000"/>
                <w:sz w:val="18"/>
                <w:szCs w:val="18"/>
              </w:rPr>
              <w:t>周</w:t>
            </w:r>
            <w:r w:rsidR="00FC753C">
              <w:rPr>
                <w:rFonts w:ascii="楷体_GB2312" w:eastAsia="楷体_GB2312" w:hAnsi="楷体"/>
                <w:b/>
                <w:color w:val="000000"/>
                <w:sz w:val="18"/>
                <w:szCs w:val="18"/>
              </w:rPr>
              <w:t>成交量</w:t>
            </w:r>
          </w:p>
        </w:tc>
      </w:tr>
      <w:tr w:rsidR="00D90536" w:rsidRPr="00FC2D2B" w:rsidTr="007C7656">
        <w:trPr>
          <w:trHeight w:val="3272"/>
        </w:trPr>
        <w:tc>
          <w:tcPr>
            <w:tcW w:w="5387" w:type="dxa"/>
          </w:tcPr>
          <w:p w:rsidR="00D90536" w:rsidRPr="00FC2D2B" w:rsidRDefault="009E3BC5" w:rsidP="004D0283">
            <w:pPr>
              <w:spacing w:line="360" w:lineRule="auto"/>
              <w:ind w:left="1" w:hanging="1"/>
              <w:jc w:val="center"/>
              <w:rPr>
                <w:rFonts w:ascii="楷体_GB2312" w:eastAsia="楷体_GB2312" w:hAnsi="楷体"/>
                <w:color w:val="000000"/>
                <w:sz w:val="18"/>
                <w:szCs w:val="18"/>
              </w:rPr>
            </w:pPr>
            <w:r>
              <w:rPr>
                <w:noProof/>
              </w:rPr>
              <w:drawing>
                <wp:inline distT="0" distB="0" distL="0" distR="0" wp14:anchorId="26BFB040" wp14:editId="22D95015">
                  <wp:extent cx="3283585" cy="2152650"/>
                  <wp:effectExtent l="0" t="0" r="0" b="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5590" w:type="dxa"/>
          </w:tcPr>
          <w:p w:rsidR="00D90536" w:rsidRPr="00FC2D2B" w:rsidRDefault="007C7656" w:rsidP="004D0283">
            <w:pPr>
              <w:spacing w:line="360" w:lineRule="auto"/>
              <w:jc w:val="center"/>
              <w:rPr>
                <w:rFonts w:ascii="楷体_GB2312" w:eastAsia="楷体_GB2312" w:hAnsi="楷体"/>
                <w:color w:val="000000"/>
                <w:sz w:val="18"/>
                <w:szCs w:val="18"/>
              </w:rPr>
            </w:pPr>
            <w:r>
              <w:rPr>
                <w:noProof/>
              </w:rPr>
              <w:drawing>
                <wp:inline distT="0" distB="0" distL="0" distR="0" wp14:anchorId="78CC4C58" wp14:editId="5099BE02">
                  <wp:extent cx="3412490" cy="2047240"/>
                  <wp:effectExtent l="0" t="0" r="0" b="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D90536" w:rsidRPr="00FC2D2B" w:rsidTr="004D0283">
        <w:tc>
          <w:tcPr>
            <w:tcW w:w="10977" w:type="dxa"/>
            <w:gridSpan w:val="2"/>
          </w:tcPr>
          <w:p w:rsidR="00D90536" w:rsidRPr="00205537" w:rsidRDefault="00D90536" w:rsidP="00D90536">
            <w:pPr>
              <w:jc w:val="left"/>
              <w:rPr>
                <w:rFonts w:ascii="楷体_GB2312" w:eastAsia="楷体_GB2312" w:hAnsi="楷体"/>
                <w:color w:val="000000"/>
                <w:sz w:val="18"/>
                <w:szCs w:val="18"/>
              </w:rPr>
            </w:pPr>
            <w:r w:rsidRPr="00205537">
              <w:rPr>
                <w:rFonts w:ascii="楷体_GB2312" w:eastAsia="楷体_GB2312" w:hAnsi="楷体" w:hint="eastAsia"/>
                <w:color w:val="000000"/>
                <w:sz w:val="18"/>
                <w:szCs w:val="18"/>
              </w:rPr>
              <w:t>数据来源：</w:t>
            </w:r>
            <w:r>
              <w:rPr>
                <w:rFonts w:ascii="楷体_GB2312" w:eastAsia="楷体_GB2312" w:hAnsi="楷体"/>
                <w:color w:val="000000"/>
                <w:sz w:val="18"/>
                <w:szCs w:val="18"/>
              </w:rPr>
              <w:t xml:space="preserve"> </w:t>
            </w:r>
            <w:r w:rsidRPr="00205537">
              <w:rPr>
                <w:rFonts w:ascii="楷体_GB2312" w:eastAsia="楷体_GB2312" w:hAnsi="楷体" w:hint="eastAsia"/>
                <w:color w:val="000000"/>
                <w:sz w:val="18"/>
                <w:szCs w:val="18"/>
              </w:rPr>
              <w:t>Wind资讯 上海证券基金评价研究中心</w:t>
            </w:r>
          </w:p>
          <w:p w:rsidR="00D90536" w:rsidRPr="00FC2D2B" w:rsidRDefault="00D90536" w:rsidP="007C7656">
            <w:pPr>
              <w:jc w:val="left"/>
              <w:rPr>
                <w:rFonts w:ascii="楷体_GB2312" w:eastAsia="楷体_GB2312" w:hAnsi="楷体"/>
                <w:i/>
                <w:color w:val="000000"/>
                <w:sz w:val="18"/>
                <w:szCs w:val="18"/>
              </w:rPr>
            </w:pPr>
            <w:r w:rsidRPr="00205537">
              <w:rPr>
                <w:rFonts w:ascii="楷体_GB2312" w:eastAsia="楷体_GB2312" w:hAnsi="楷体" w:hint="eastAsia"/>
                <w:color w:val="000000"/>
                <w:sz w:val="18"/>
                <w:szCs w:val="18"/>
              </w:rPr>
              <w:t>数据截至2016年</w:t>
            </w:r>
            <w:r w:rsidR="00C40319">
              <w:rPr>
                <w:rFonts w:ascii="楷体_GB2312" w:eastAsia="楷体_GB2312" w:hAnsi="楷体"/>
                <w:color w:val="000000"/>
                <w:sz w:val="18"/>
                <w:szCs w:val="18"/>
              </w:rPr>
              <w:t>7</w:t>
            </w:r>
            <w:r>
              <w:rPr>
                <w:rFonts w:ascii="楷体_GB2312" w:eastAsia="楷体_GB2312" w:hAnsi="楷体"/>
                <w:color w:val="000000"/>
                <w:sz w:val="18"/>
                <w:szCs w:val="18"/>
              </w:rPr>
              <w:t>月</w:t>
            </w:r>
            <w:r w:rsidR="007C7656">
              <w:rPr>
                <w:rFonts w:ascii="楷体_GB2312" w:eastAsia="楷体_GB2312" w:hAnsi="楷体"/>
                <w:color w:val="000000"/>
                <w:sz w:val="18"/>
                <w:szCs w:val="18"/>
              </w:rPr>
              <w:t>25</w:t>
            </w:r>
            <w:r w:rsidRPr="00205537">
              <w:rPr>
                <w:rFonts w:ascii="楷体_GB2312" w:eastAsia="楷体_GB2312" w:hAnsi="楷体" w:hint="eastAsia"/>
                <w:color w:val="000000"/>
                <w:sz w:val="18"/>
                <w:szCs w:val="18"/>
              </w:rPr>
              <w:t>日</w:t>
            </w:r>
          </w:p>
        </w:tc>
      </w:tr>
    </w:tbl>
    <w:p w:rsidR="00DF221E" w:rsidRPr="00D90536" w:rsidRDefault="00DF221E" w:rsidP="00D90536">
      <w:pPr>
        <w:spacing w:beforeLines="50" w:before="156" w:afterLines="50" w:after="156"/>
        <w:rPr>
          <w:rFonts w:ascii="楷体_GB2312" w:eastAsia="楷体_GB2312" w:hAnsi="楷体" w:cs="宋体-18030"/>
          <w:b/>
          <w:bCs/>
          <w:color w:val="003366"/>
          <w:kern w:val="44"/>
          <w:sz w:val="24"/>
        </w:rPr>
      </w:pPr>
    </w:p>
    <w:p w:rsidR="00D90536" w:rsidRDefault="00D90536" w:rsidP="00DF221E">
      <w:pPr>
        <w:pStyle w:val="a7"/>
        <w:numPr>
          <w:ilvl w:val="0"/>
          <w:numId w:val="2"/>
        </w:numPr>
        <w:spacing w:beforeLines="50" w:before="156" w:afterLines="50" w:after="156"/>
        <w:ind w:left="1134" w:firstLineChars="0"/>
        <w:rPr>
          <w:rFonts w:ascii="楷体_GB2312" w:eastAsia="楷体_GB2312" w:hAnsi="楷体" w:cs="宋体-18030"/>
          <w:b/>
          <w:bCs/>
          <w:color w:val="003366"/>
          <w:kern w:val="44"/>
          <w:sz w:val="24"/>
        </w:rPr>
      </w:pPr>
      <w:r w:rsidRPr="009F5778">
        <w:rPr>
          <w:rFonts w:ascii="楷体_GB2312" w:eastAsia="楷体_GB2312" w:hAnsi="楷体" w:cs="宋体-18030"/>
          <w:b/>
          <w:bCs/>
          <w:color w:val="003366"/>
          <w:kern w:val="44"/>
          <w:sz w:val="24"/>
        </w:rPr>
        <w:t>分级</w:t>
      </w:r>
      <w:r w:rsidRPr="009F5778">
        <w:rPr>
          <w:rFonts w:ascii="楷体_GB2312" w:eastAsia="楷体_GB2312" w:hAnsi="楷体" w:cs="宋体-18030" w:hint="eastAsia"/>
          <w:b/>
          <w:bCs/>
          <w:color w:val="003366"/>
          <w:kern w:val="44"/>
          <w:sz w:val="24"/>
        </w:rPr>
        <w:t>B</w:t>
      </w:r>
      <w:r w:rsidRPr="009F5778">
        <w:rPr>
          <w:rFonts w:ascii="楷体_GB2312" w:eastAsia="楷体_GB2312" w:hAnsi="楷体" w:cs="宋体-18030"/>
          <w:b/>
          <w:bCs/>
          <w:color w:val="003366"/>
          <w:kern w:val="44"/>
          <w:sz w:val="24"/>
        </w:rPr>
        <w:t>：</w:t>
      </w:r>
    </w:p>
    <w:p w:rsidR="002F5D6E" w:rsidRPr="002F5D6E" w:rsidRDefault="002F5D6E" w:rsidP="002F5D6E">
      <w:pPr>
        <w:spacing w:line="360" w:lineRule="auto"/>
        <w:ind w:firstLineChars="200" w:firstLine="420"/>
        <w:rPr>
          <w:rFonts w:ascii="楷体_GB2312" w:eastAsia="楷体_GB2312"/>
          <w:szCs w:val="21"/>
        </w:rPr>
      </w:pPr>
      <w:r w:rsidRPr="002F5D6E">
        <w:rPr>
          <w:rFonts w:ascii="楷体_GB2312" w:eastAsia="楷体_GB2312" w:hint="eastAsia"/>
          <w:szCs w:val="21"/>
        </w:rPr>
        <w:t>分级B杠杆份额活跃度下降，但场内份额仍呈扩大趋势，整体维持平价交易。受基础市场震荡影响，周区间分级B市场成交大幅下降，区间成交321.92亿份，较前周下降近三成。分级B总份额仍表现为净流入，较前周提高了近18亿份。从价格水平来看，股票分级B价格平均下跌3.74%（剔除日均成交量不足100万份的品种），平均折价率为0.02%</w:t>
      </w:r>
      <w:r w:rsidR="005252C5">
        <w:rPr>
          <w:rFonts w:ascii="楷体_GB2312" w:eastAsia="楷体_GB2312" w:hint="eastAsia"/>
          <w:szCs w:val="21"/>
        </w:rPr>
        <w:t>。</w:t>
      </w:r>
      <w:r w:rsidRPr="002F5D6E">
        <w:rPr>
          <w:rFonts w:ascii="楷体_GB2312" w:eastAsia="楷体_GB2312" w:hint="eastAsia"/>
          <w:szCs w:val="21"/>
        </w:rPr>
        <w:t>周涨幅前三甲分别是中</w:t>
      </w:r>
      <w:proofErr w:type="gramStart"/>
      <w:r w:rsidRPr="002F5D6E">
        <w:rPr>
          <w:rFonts w:ascii="楷体_GB2312" w:eastAsia="楷体_GB2312" w:hint="eastAsia"/>
          <w:szCs w:val="21"/>
        </w:rPr>
        <w:t>招商国证生物</w:t>
      </w:r>
      <w:proofErr w:type="gramEnd"/>
      <w:r w:rsidRPr="002F5D6E">
        <w:rPr>
          <w:rFonts w:ascii="楷体_GB2312" w:eastAsia="楷体_GB2312" w:hint="eastAsia"/>
          <w:szCs w:val="21"/>
        </w:rPr>
        <w:t>医药B（4.47%）、</w:t>
      </w:r>
      <w:proofErr w:type="gramStart"/>
      <w:r w:rsidRPr="002F5D6E">
        <w:rPr>
          <w:rFonts w:ascii="楷体_GB2312" w:eastAsia="楷体_GB2312" w:hint="eastAsia"/>
          <w:szCs w:val="21"/>
        </w:rPr>
        <w:t>汇添富</w:t>
      </w:r>
      <w:proofErr w:type="gramEnd"/>
      <w:r w:rsidRPr="002F5D6E">
        <w:rPr>
          <w:rFonts w:ascii="楷体_GB2312" w:eastAsia="楷体_GB2312" w:hint="eastAsia"/>
          <w:szCs w:val="21"/>
        </w:rPr>
        <w:t>恒生指数B（2.56%）、银河沪深300成长B（2.11%）。从杠杆水平上来看，市场调整引导分级杠杆水平上升，股票型分级B平均价格杠杆为2.23，较前周有所降低。具体杠杆分布情况来看，房地产、军工、创业板、煤炭的品种的平均杠杆在2倍之上，而证券公司和有色板块的平均杠杆在2倍之下。</w:t>
      </w:r>
    </w:p>
    <w:p w:rsidR="00582817" w:rsidRDefault="00582817" w:rsidP="002F5D6E">
      <w:pPr>
        <w:spacing w:line="360" w:lineRule="auto"/>
        <w:ind w:firstLineChars="200" w:firstLine="420"/>
        <w:rPr>
          <w:rFonts w:ascii="楷体_GB2312" w:eastAsia="楷体_GB2312"/>
          <w:szCs w:val="21"/>
        </w:rPr>
      </w:pPr>
    </w:p>
    <w:p w:rsidR="005252C5" w:rsidRDefault="005252C5" w:rsidP="002F5D6E">
      <w:pPr>
        <w:spacing w:line="360" w:lineRule="auto"/>
        <w:ind w:firstLineChars="200" w:firstLine="420"/>
        <w:rPr>
          <w:rFonts w:ascii="楷体_GB2312" w:eastAsia="楷体_GB2312" w:hint="eastAsia"/>
          <w:szCs w:val="21"/>
        </w:rPr>
      </w:pPr>
    </w:p>
    <w:tbl>
      <w:tblPr>
        <w:tblW w:w="10977" w:type="dxa"/>
        <w:tblInd w:w="-885" w:type="dxa"/>
        <w:tblBorders>
          <w:top w:val="single" w:sz="12" w:space="0" w:color="767171" w:themeColor="background2" w:themeShade="80"/>
          <w:insideH w:val="single" w:sz="12" w:space="0" w:color="C00000"/>
        </w:tblBorders>
        <w:tblLayout w:type="fixed"/>
        <w:tblLook w:val="04A0" w:firstRow="1" w:lastRow="0" w:firstColumn="1" w:lastColumn="0" w:noHBand="0" w:noVBand="1"/>
      </w:tblPr>
      <w:tblGrid>
        <w:gridCol w:w="5387"/>
        <w:gridCol w:w="5590"/>
      </w:tblGrid>
      <w:tr w:rsidR="00D90536" w:rsidRPr="00FC2D2B" w:rsidTr="004D0283">
        <w:tc>
          <w:tcPr>
            <w:tcW w:w="5387" w:type="dxa"/>
          </w:tcPr>
          <w:p w:rsidR="00D90536" w:rsidRPr="00304FEB" w:rsidRDefault="00D90536" w:rsidP="005511C8">
            <w:pPr>
              <w:spacing w:line="360" w:lineRule="auto"/>
              <w:jc w:val="left"/>
              <w:rPr>
                <w:rFonts w:ascii="楷体_GB2312" w:eastAsia="楷体_GB2312" w:hAnsi="楷体"/>
                <w:b/>
                <w:color w:val="000000"/>
                <w:sz w:val="18"/>
                <w:szCs w:val="18"/>
              </w:rPr>
            </w:pPr>
            <w:r w:rsidRPr="00FC2D2B">
              <w:rPr>
                <w:rFonts w:ascii="楷体_GB2312" w:eastAsia="楷体_GB2312" w:hAnsi="楷体" w:hint="eastAsia"/>
                <w:b/>
                <w:color w:val="000000"/>
                <w:sz w:val="18"/>
                <w:szCs w:val="18"/>
              </w:rPr>
              <w:t>图</w:t>
            </w:r>
            <w:r>
              <w:rPr>
                <w:rFonts w:ascii="楷体_GB2312" w:eastAsia="楷体_GB2312" w:hAnsi="楷体"/>
                <w:b/>
                <w:color w:val="000000"/>
                <w:sz w:val="18"/>
                <w:szCs w:val="18"/>
              </w:rPr>
              <w:t>3</w:t>
            </w:r>
            <w:r w:rsidRPr="00FC2D2B">
              <w:rPr>
                <w:rFonts w:ascii="楷体_GB2312" w:eastAsia="楷体_GB2312" w:hAnsi="楷体" w:hint="eastAsia"/>
                <w:b/>
                <w:color w:val="000000"/>
                <w:sz w:val="18"/>
                <w:szCs w:val="18"/>
              </w:rPr>
              <w:t>.</w:t>
            </w:r>
            <w:r w:rsidR="001E3FC2">
              <w:rPr>
                <w:rFonts w:ascii="楷体_GB2312" w:eastAsia="楷体_GB2312" w:hAnsi="楷体" w:hint="eastAsia"/>
                <w:b/>
                <w:color w:val="000000"/>
                <w:sz w:val="18"/>
                <w:szCs w:val="18"/>
              </w:rPr>
              <w:t>过去</w:t>
            </w:r>
            <w:r w:rsidR="0079245F">
              <w:rPr>
                <w:rFonts w:ascii="楷体_GB2312" w:eastAsia="楷体_GB2312" w:hAnsi="楷体" w:hint="eastAsia"/>
                <w:b/>
                <w:color w:val="000000"/>
                <w:sz w:val="18"/>
                <w:szCs w:val="18"/>
              </w:rPr>
              <w:t>一</w:t>
            </w:r>
            <w:r w:rsidR="005511C8">
              <w:rPr>
                <w:rFonts w:ascii="楷体_GB2312" w:eastAsia="楷体_GB2312" w:hAnsi="楷体" w:hint="eastAsia"/>
                <w:b/>
                <w:color w:val="000000"/>
                <w:sz w:val="18"/>
                <w:szCs w:val="18"/>
              </w:rPr>
              <w:t>年被动</w:t>
            </w:r>
            <w:r w:rsidR="005511C8">
              <w:rPr>
                <w:rFonts w:ascii="楷体_GB2312" w:eastAsia="楷体_GB2312" w:hAnsi="楷体"/>
                <w:b/>
                <w:color w:val="000000"/>
                <w:sz w:val="18"/>
                <w:szCs w:val="18"/>
              </w:rPr>
              <w:t>指数型</w:t>
            </w:r>
            <w:r w:rsidR="001E3FC2">
              <w:rPr>
                <w:rFonts w:ascii="楷体_GB2312" w:eastAsia="楷体_GB2312" w:hAnsi="楷体" w:hint="eastAsia"/>
                <w:b/>
                <w:color w:val="000000"/>
                <w:sz w:val="18"/>
                <w:szCs w:val="18"/>
              </w:rPr>
              <w:t>分级B平均溢价</w:t>
            </w:r>
            <w:proofErr w:type="gramStart"/>
            <w:r w:rsidR="001E3FC2">
              <w:rPr>
                <w:rFonts w:ascii="楷体_GB2312" w:eastAsia="楷体_GB2312" w:hAnsi="楷体" w:hint="eastAsia"/>
                <w:b/>
                <w:color w:val="000000"/>
                <w:sz w:val="18"/>
                <w:szCs w:val="18"/>
              </w:rPr>
              <w:t>率走势</w:t>
            </w:r>
            <w:proofErr w:type="gramEnd"/>
            <w:r w:rsidR="001E3FC2">
              <w:rPr>
                <w:rFonts w:ascii="楷体_GB2312" w:eastAsia="楷体_GB2312" w:hAnsi="楷体"/>
                <w:b/>
                <w:color w:val="000000"/>
                <w:sz w:val="18"/>
                <w:szCs w:val="18"/>
              </w:rPr>
              <w:t>图</w:t>
            </w:r>
          </w:p>
        </w:tc>
        <w:tc>
          <w:tcPr>
            <w:tcW w:w="5590" w:type="dxa"/>
          </w:tcPr>
          <w:p w:rsidR="00D90536" w:rsidRPr="00C82167" w:rsidRDefault="00D90536" w:rsidP="006F094D">
            <w:pPr>
              <w:spacing w:line="360" w:lineRule="auto"/>
              <w:jc w:val="left"/>
              <w:rPr>
                <w:rFonts w:ascii="楷体_GB2312" w:eastAsia="楷体_GB2312" w:hAnsi="楷体"/>
                <w:b/>
                <w:color w:val="000000"/>
                <w:sz w:val="18"/>
                <w:szCs w:val="18"/>
              </w:rPr>
            </w:pPr>
            <w:r w:rsidRPr="00FC2D2B">
              <w:rPr>
                <w:rFonts w:ascii="楷体_GB2312" w:eastAsia="楷体_GB2312" w:hAnsi="楷体" w:hint="eastAsia"/>
                <w:b/>
                <w:color w:val="000000"/>
                <w:sz w:val="18"/>
                <w:szCs w:val="18"/>
              </w:rPr>
              <w:t>图</w:t>
            </w:r>
            <w:r>
              <w:rPr>
                <w:rFonts w:ascii="楷体_GB2312" w:eastAsia="楷体_GB2312" w:hAnsi="楷体"/>
                <w:b/>
                <w:color w:val="000000"/>
                <w:sz w:val="18"/>
                <w:szCs w:val="18"/>
              </w:rPr>
              <w:t>4</w:t>
            </w:r>
            <w:r w:rsidR="005511C8">
              <w:rPr>
                <w:rFonts w:ascii="楷体_GB2312" w:eastAsia="楷体_GB2312" w:hAnsi="楷体"/>
                <w:b/>
                <w:color w:val="000000"/>
                <w:sz w:val="18"/>
                <w:szCs w:val="18"/>
              </w:rPr>
              <w:t>.</w:t>
            </w:r>
            <w:r w:rsidR="006F094D">
              <w:rPr>
                <w:rFonts w:ascii="楷体_GB2312" w:eastAsia="楷体_GB2312" w:hAnsi="楷体" w:hint="eastAsia"/>
                <w:b/>
                <w:color w:val="000000"/>
                <w:sz w:val="18"/>
                <w:szCs w:val="18"/>
              </w:rPr>
              <w:t>过去五周</w:t>
            </w:r>
            <w:r w:rsidR="001E3FC2">
              <w:rPr>
                <w:rFonts w:ascii="楷体_GB2312" w:eastAsia="楷体_GB2312" w:hAnsi="楷体" w:hint="eastAsia"/>
                <w:b/>
                <w:color w:val="000000"/>
                <w:sz w:val="18"/>
                <w:szCs w:val="18"/>
              </w:rPr>
              <w:t>分级B</w:t>
            </w:r>
            <w:r w:rsidR="006F094D">
              <w:rPr>
                <w:rFonts w:ascii="楷体_GB2312" w:eastAsia="楷体_GB2312" w:hAnsi="楷体" w:hint="eastAsia"/>
                <w:b/>
                <w:color w:val="000000"/>
                <w:sz w:val="18"/>
                <w:szCs w:val="18"/>
              </w:rPr>
              <w:t>场内份额净流量</w:t>
            </w:r>
            <w:r w:rsidR="007F62DC">
              <w:rPr>
                <w:rFonts w:ascii="楷体_GB2312" w:eastAsia="楷体_GB2312" w:hAnsi="楷体" w:hint="eastAsia"/>
                <w:b/>
                <w:color w:val="000000"/>
                <w:sz w:val="18"/>
                <w:szCs w:val="18"/>
              </w:rPr>
              <w:t>(亿份</w:t>
            </w:r>
            <w:r w:rsidR="007F62DC">
              <w:rPr>
                <w:rFonts w:ascii="楷体_GB2312" w:eastAsia="楷体_GB2312" w:hAnsi="楷体"/>
                <w:b/>
                <w:color w:val="000000"/>
                <w:sz w:val="18"/>
                <w:szCs w:val="18"/>
              </w:rPr>
              <w:t>)</w:t>
            </w:r>
          </w:p>
        </w:tc>
      </w:tr>
      <w:tr w:rsidR="00D90536" w:rsidRPr="00FC2D2B" w:rsidTr="007C7656">
        <w:trPr>
          <w:trHeight w:val="2664"/>
        </w:trPr>
        <w:tc>
          <w:tcPr>
            <w:tcW w:w="5387" w:type="dxa"/>
          </w:tcPr>
          <w:p w:rsidR="00D90536" w:rsidRPr="00FC2D2B" w:rsidRDefault="007C7656" w:rsidP="004D0283">
            <w:pPr>
              <w:spacing w:line="360" w:lineRule="auto"/>
              <w:ind w:left="1" w:hanging="1"/>
              <w:jc w:val="center"/>
              <w:rPr>
                <w:rFonts w:ascii="楷体_GB2312" w:eastAsia="楷体_GB2312" w:hAnsi="楷体"/>
                <w:color w:val="000000"/>
                <w:sz w:val="18"/>
                <w:szCs w:val="18"/>
              </w:rPr>
            </w:pPr>
            <w:r>
              <w:rPr>
                <w:noProof/>
              </w:rPr>
              <w:drawing>
                <wp:inline distT="0" distB="0" distL="0" distR="0" wp14:anchorId="1A2F2817" wp14:editId="1E21BCBF">
                  <wp:extent cx="3283585" cy="2085975"/>
                  <wp:effectExtent l="0" t="0" r="0" b="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5590" w:type="dxa"/>
          </w:tcPr>
          <w:p w:rsidR="00D90536" w:rsidRPr="00FC2D2B" w:rsidRDefault="007C7656" w:rsidP="004D0283">
            <w:pPr>
              <w:spacing w:line="360" w:lineRule="auto"/>
              <w:jc w:val="center"/>
              <w:rPr>
                <w:rFonts w:ascii="楷体_GB2312" w:eastAsia="楷体_GB2312" w:hAnsi="楷体"/>
                <w:color w:val="000000"/>
                <w:sz w:val="18"/>
                <w:szCs w:val="18"/>
              </w:rPr>
            </w:pPr>
            <w:r>
              <w:rPr>
                <w:noProof/>
              </w:rPr>
              <w:drawing>
                <wp:inline distT="0" distB="0" distL="0" distR="0" wp14:anchorId="53857B4D" wp14:editId="42D8259E">
                  <wp:extent cx="3412490" cy="2047240"/>
                  <wp:effectExtent l="0" t="0" r="0" b="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D90536" w:rsidRPr="00FC2D2B" w:rsidTr="004D0283">
        <w:tc>
          <w:tcPr>
            <w:tcW w:w="10977" w:type="dxa"/>
            <w:gridSpan w:val="2"/>
          </w:tcPr>
          <w:p w:rsidR="00D90536" w:rsidRPr="00205537" w:rsidRDefault="00D90536" w:rsidP="004D0283">
            <w:pPr>
              <w:jc w:val="left"/>
              <w:rPr>
                <w:rFonts w:ascii="楷体_GB2312" w:eastAsia="楷体_GB2312" w:hAnsi="楷体"/>
                <w:color w:val="000000"/>
                <w:sz w:val="18"/>
                <w:szCs w:val="18"/>
              </w:rPr>
            </w:pPr>
            <w:r w:rsidRPr="00205537">
              <w:rPr>
                <w:rFonts w:ascii="楷体_GB2312" w:eastAsia="楷体_GB2312" w:hAnsi="楷体" w:hint="eastAsia"/>
                <w:color w:val="000000"/>
                <w:sz w:val="18"/>
                <w:szCs w:val="18"/>
              </w:rPr>
              <w:t>数据来源：</w:t>
            </w:r>
            <w:r>
              <w:rPr>
                <w:rFonts w:ascii="楷体_GB2312" w:eastAsia="楷体_GB2312" w:hAnsi="楷体"/>
                <w:color w:val="000000"/>
                <w:sz w:val="18"/>
                <w:szCs w:val="18"/>
              </w:rPr>
              <w:t xml:space="preserve"> </w:t>
            </w:r>
            <w:r w:rsidRPr="00205537">
              <w:rPr>
                <w:rFonts w:ascii="楷体_GB2312" w:eastAsia="楷体_GB2312" w:hAnsi="楷体" w:hint="eastAsia"/>
                <w:color w:val="000000"/>
                <w:sz w:val="18"/>
                <w:szCs w:val="18"/>
              </w:rPr>
              <w:t>Wind资讯 上海证券基金评价研究中心</w:t>
            </w:r>
          </w:p>
          <w:p w:rsidR="00D90536" w:rsidRDefault="00D90536" w:rsidP="00EC214C">
            <w:pPr>
              <w:jc w:val="left"/>
              <w:rPr>
                <w:rFonts w:ascii="楷体_GB2312" w:eastAsia="楷体_GB2312" w:hAnsi="楷体"/>
                <w:color w:val="000000"/>
                <w:sz w:val="18"/>
                <w:szCs w:val="18"/>
              </w:rPr>
            </w:pPr>
            <w:r w:rsidRPr="00205537">
              <w:rPr>
                <w:rFonts w:ascii="楷体_GB2312" w:eastAsia="楷体_GB2312" w:hAnsi="楷体" w:hint="eastAsia"/>
                <w:color w:val="000000"/>
                <w:sz w:val="18"/>
                <w:szCs w:val="18"/>
              </w:rPr>
              <w:t>数据截至</w:t>
            </w:r>
            <w:r w:rsidR="00D45450">
              <w:rPr>
                <w:rFonts w:ascii="楷体_GB2312" w:eastAsia="楷体_GB2312" w:hAnsi="楷体" w:hint="eastAsia"/>
                <w:color w:val="000000"/>
                <w:sz w:val="18"/>
                <w:szCs w:val="18"/>
              </w:rPr>
              <w:t xml:space="preserve">： </w:t>
            </w:r>
            <w:r w:rsidRPr="00205537">
              <w:rPr>
                <w:rFonts w:ascii="楷体_GB2312" w:eastAsia="楷体_GB2312" w:hAnsi="楷体" w:hint="eastAsia"/>
                <w:color w:val="000000"/>
                <w:sz w:val="18"/>
                <w:szCs w:val="18"/>
              </w:rPr>
              <w:t>2016年</w:t>
            </w:r>
            <w:r w:rsidR="00EC214C">
              <w:rPr>
                <w:rFonts w:ascii="楷体_GB2312" w:eastAsia="楷体_GB2312" w:hAnsi="楷体"/>
                <w:color w:val="000000"/>
                <w:sz w:val="18"/>
                <w:szCs w:val="18"/>
              </w:rPr>
              <w:t>7</w:t>
            </w:r>
            <w:r>
              <w:rPr>
                <w:rFonts w:ascii="楷体_GB2312" w:eastAsia="楷体_GB2312" w:hAnsi="楷体"/>
                <w:color w:val="000000"/>
                <w:sz w:val="18"/>
                <w:szCs w:val="18"/>
              </w:rPr>
              <w:t>月</w:t>
            </w:r>
            <w:r w:rsidR="007C7656">
              <w:rPr>
                <w:rFonts w:ascii="楷体_GB2312" w:eastAsia="楷体_GB2312" w:hAnsi="楷体"/>
                <w:color w:val="000000"/>
                <w:sz w:val="18"/>
                <w:szCs w:val="18"/>
              </w:rPr>
              <w:t>25</w:t>
            </w:r>
            <w:r w:rsidRPr="00205537">
              <w:rPr>
                <w:rFonts w:ascii="楷体_GB2312" w:eastAsia="楷体_GB2312" w:hAnsi="楷体" w:hint="eastAsia"/>
                <w:color w:val="000000"/>
                <w:sz w:val="18"/>
                <w:szCs w:val="18"/>
              </w:rPr>
              <w:t>日</w:t>
            </w:r>
          </w:p>
          <w:p w:rsidR="002F5D6E" w:rsidRPr="00FC2D2B" w:rsidRDefault="002F5D6E" w:rsidP="00EC214C">
            <w:pPr>
              <w:jc w:val="left"/>
              <w:rPr>
                <w:rFonts w:ascii="楷体_GB2312" w:eastAsia="楷体_GB2312" w:hAnsi="楷体"/>
                <w:i/>
                <w:color w:val="000000"/>
                <w:sz w:val="18"/>
                <w:szCs w:val="18"/>
              </w:rPr>
            </w:pPr>
          </w:p>
        </w:tc>
      </w:tr>
    </w:tbl>
    <w:p w:rsidR="005252C5" w:rsidRDefault="005252C5" w:rsidP="00BC4B95">
      <w:pPr>
        <w:spacing w:line="360" w:lineRule="auto"/>
        <w:ind w:firstLineChars="200" w:firstLine="420"/>
        <w:rPr>
          <w:rFonts w:ascii="楷体_GB2312" w:eastAsia="楷体_GB2312"/>
          <w:szCs w:val="21"/>
        </w:rPr>
      </w:pPr>
    </w:p>
    <w:p w:rsidR="00582817" w:rsidRDefault="002F5D6E" w:rsidP="00BC4B95">
      <w:pPr>
        <w:spacing w:line="360" w:lineRule="auto"/>
        <w:ind w:firstLineChars="200" w:firstLine="420"/>
        <w:rPr>
          <w:rFonts w:ascii="楷体_GB2312" w:eastAsia="楷体_GB2312"/>
          <w:szCs w:val="21"/>
        </w:rPr>
      </w:pPr>
      <w:r w:rsidRPr="002F5D6E">
        <w:rPr>
          <w:rFonts w:ascii="楷体_GB2312" w:eastAsia="楷体_GB2312" w:hint="eastAsia"/>
          <w:szCs w:val="21"/>
        </w:rPr>
        <w:t>近一个月以来，恒生指数反弹已接近9%，然而市场跟踪H股的2只分级基金价格表现迥异。</w:t>
      </w:r>
      <w:proofErr w:type="gramStart"/>
      <w:r w:rsidRPr="002F5D6E">
        <w:rPr>
          <w:rFonts w:ascii="楷体_GB2312" w:eastAsia="楷体_GB2312" w:hint="eastAsia"/>
          <w:szCs w:val="21"/>
        </w:rPr>
        <w:t>汇添富</w:t>
      </w:r>
      <w:proofErr w:type="gramEnd"/>
      <w:r w:rsidRPr="002F5D6E">
        <w:rPr>
          <w:rFonts w:ascii="楷体_GB2312" w:eastAsia="楷体_GB2312" w:hint="eastAsia"/>
          <w:szCs w:val="21"/>
        </w:rPr>
        <w:t>恒生指数B自6月20日以来上涨了近17%，体现了近2倍的价格杠杆水平。同期，银华恒生H股B杠杆水平高于</w:t>
      </w:r>
      <w:proofErr w:type="gramStart"/>
      <w:r w:rsidRPr="002F5D6E">
        <w:rPr>
          <w:rFonts w:ascii="楷体_GB2312" w:eastAsia="楷体_GB2312" w:hint="eastAsia"/>
          <w:szCs w:val="21"/>
        </w:rPr>
        <w:t>汇添富</w:t>
      </w:r>
      <w:proofErr w:type="gramEnd"/>
      <w:r w:rsidRPr="002F5D6E">
        <w:rPr>
          <w:rFonts w:ascii="楷体_GB2312" w:eastAsia="楷体_GB2312" w:hint="eastAsia"/>
          <w:szCs w:val="21"/>
        </w:rPr>
        <w:t>恒生指数B，价格却仅仅上涨10%，未能体现出杠杆属性。究其原因，银华恒生H股属于无下</w:t>
      </w:r>
      <w:proofErr w:type="gramStart"/>
      <w:r w:rsidRPr="002F5D6E">
        <w:rPr>
          <w:rFonts w:ascii="楷体_GB2312" w:eastAsia="楷体_GB2312" w:hint="eastAsia"/>
          <w:szCs w:val="21"/>
        </w:rPr>
        <w:t>折机制</w:t>
      </w:r>
      <w:proofErr w:type="gramEnd"/>
      <w:r w:rsidRPr="002F5D6E">
        <w:rPr>
          <w:rFonts w:ascii="楷体_GB2312" w:eastAsia="楷体_GB2312" w:hint="eastAsia"/>
          <w:szCs w:val="21"/>
        </w:rPr>
        <w:t>的分级基金品种，产品对A份额本金的保护有限，所以市场长期对其A份额的定价较低。从历史数据来看，自今年以来，银华恒生H股A的平均折价率达13.67%，这种长期折价情况使B份额有较大溢价压力，事实上银华恒生H股B长期处于溢价状态。在6月20日，银华恒生H股B的溢价率高达25.83%，7月22日银华恒生H股B的溢价率下降至13.00%，跟踪指数的上涨被不断降低的溢价率所吸收，故在价格的变动幅度上没有体现出跟随指数的显著提升。所以对看好H股，而买进此产品的投资者并没有得到预期想要的杠杆结果。我们一直强调精选分级产品的重要性，杠杆份额的溢价原因可能来自市场情绪因素，也有可能是产品设计因素导致。相对而言，各项机制较为完备的B份额体现出杠杆的中性属性，受其他因素干扰较小，相对杠杆效果的可预期性较强。</w:t>
      </w:r>
    </w:p>
    <w:p w:rsidR="005252C5" w:rsidRDefault="005252C5" w:rsidP="00BC4B95">
      <w:pPr>
        <w:spacing w:line="360" w:lineRule="auto"/>
        <w:ind w:firstLineChars="200" w:firstLine="420"/>
        <w:rPr>
          <w:rFonts w:ascii="楷体_GB2312" w:eastAsia="楷体_GB2312"/>
          <w:szCs w:val="21"/>
        </w:rPr>
      </w:pPr>
    </w:p>
    <w:p w:rsidR="005252C5" w:rsidRDefault="005252C5" w:rsidP="00BC4B95">
      <w:pPr>
        <w:spacing w:line="360" w:lineRule="auto"/>
        <w:ind w:firstLineChars="200" w:firstLine="420"/>
        <w:rPr>
          <w:rFonts w:ascii="楷体_GB2312" w:eastAsia="楷体_GB2312"/>
          <w:szCs w:val="21"/>
        </w:rPr>
      </w:pPr>
    </w:p>
    <w:p w:rsidR="005252C5" w:rsidRDefault="005252C5" w:rsidP="00BC4B95">
      <w:pPr>
        <w:spacing w:line="360" w:lineRule="auto"/>
        <w:ind w:firstLineChars="200" w:firstLine="420"/>
        <w:rPr>
          <w:rFonts w:ascii="楷体_GB2312" w:eastAsia="楷体_GB2312"/>
          <w:szCs w:val="21"/>
        </w:rPr>
      </w:pPr>
    </w:p>
    <w:p w:rsidR="005252C5" w:rsidRDefault="005252C5" w:rsidP="00BC4B95">
      <w:pPr>
        <w:spacing w:line="360" w:lineRule="auto"/>
        <w:ind w:firstLineChars="200" w:firstLine="420"/>
        <w:rPr>
          <w:rFonts w:ascii="楷体_GB2312" w:eastAsia="楷体_GB2312"/>
          <w:szCs w:val="21"/>
        </w:rPr>
      </w:pPr>
    </w:p>
    <w:p w:rsidR="005252C5" w:rsidRDefault="005252C5" w:rsidP="00BC4B95">
      <w:pPr>
        <w:spacing w:line="360" w:lineRule="auto"/>
        <w:ind w:firstLineChars="200" w:firstLine="420"/>
        <w:rPr>
          <w:rFonts w:ascii="楷体_GB2312" w:eastAsia="楷体_GB2312"/>
          <w:szCs w:val="21"/>
        </w:rPr>
      </w:pPr>
    </w:p>
    <w:p w:rsidR="005252C5" w:rsidRDefault="005252C5" w:rsidP="00BC4B95">
      <w:pPr>
        <w:spacing w:line="360" w:lineRule="auto"/>
        <w:ind w:firstLineChars="200" w:firstLine="420"/>
        <w:rPr>
          <w:rFonts w:ascii="楷体_GB2312" w:eastAsia="楷体_GB2312" w:hint="eastAsia"/>
          <w:szCs w:val="21"/>
        </w:rPr>
      </w:pPr>
    </w:p>
    <w:p w:rsidR="002F5D6E" w:rsidRPr="00C40319" w:rsidRDefault="002F5D6E" w:rsidP="00BC4B95">
      <w:pPr>
        <w:spacing w:line="360" w:lineRule="auto"/>
        <w:ind w:firstLineChars="200" w:firstLine="420"/>
        <w:rPr>
          <w:rFonts w:ascii="楷体_GB2312" w:eastAsia="楷体_GB2312"/>
          <w:szCs w:val="21"/>
        </w:rPr>
      </w:pPr>
    </w:p>
    <w:tbl>
      <w:tblPr>
        <w:tblW w:w="11766" w:type="dxa"/>
        <w:tblInd w:w="-1276" w:type="dxa"/>
        <w:tblBorders>
          <w:top w:val="single" w:sz="12" w:space="0" w:color="767171" w:themeColor="background2" w:themeShade="80"/>
          <w:insideH w:val="single" w:sz="12" w:space="0" w:color="C00000"/>
        </w:tblBorders>
        <w:tblLayout w:type="fixed"/>
        <w:tblLook w:val="04A0" w:firstRow="1" w:lastRow="0" w:firstColumn="1" w:lastColumn="0" w:noHBand="0" w:noVBand="1"/>
      </w:tblPr>
      <w:tblGrid>
        <w:gridCol w:w="11766"/>
      </w:tblGrid>
      <w:tr w:rsidR="00474CE3" w:rsidRPr="00FC2D2B" w:rsidTr="00474CE3">
        <w:tc>
          <w:tcPr>
            <w:tcW w:w="11766" w:type="dxa"/>
          </w:tcPr>
          <w:p w:rsidR="00474CE3" w:rsidRPr="00474CE3" w:rsidRDefault="00474CE3" w:rsidP="0079245F">
            <w:pPr>
              <w:spacing w:line="360" w:lineRule="auto"/>
              <w:jc w:val="left"/>
              <w:rPr>
                <w:rFonts w:ascii="楷体_GB2312" w:eastAsia="楷体_GB2312" w:hAnsi="楷体"/>
                <w:b/>
                <w:color w:val="000000"/>
                <w:sz w:val="18"/>
                <w:szCs w:val="18"/>
              </w:rPr>
            </w:pPr>
            <w:r w:rsidRPr="00FC2D2B">
              <w:rPr>
                <w:rFonts w:ascii="楷体_GB2312" w:eastAsia="楷体_GB2312" w:hAnsi="楷体" w:hint="eastAsia"/>
                <w:b/>
                <w:color w:val="000000"/>
                <w:sz w:val="18"/>
                <w:szCs w:val="18"/>
              </w:rPr>
              <w:t>图</w:t>
            </w:r>
            <w:r w:rsidR="00D45450">
              <w:rPr>
                <w:rFonts w:ascii="楷体_GB2312" w:eastAsia="楷体_GB2312" w:hAnsi="楷体" w:hint="eastAsia"/>
                <w:b/>
                <w:color w:val="000000"/>
                <w:sz w:val="18"/>
                <w:szCs w:val="18"/>
              </w:rPr>
              <w:t>5</w:t>
            </w:r>
            <w:r w:rsidRPr="00FC2D2B">
              <w:rPr>
                <w:rFonts w:ascii="楷体_GB2312" w:eastAsia="楷体_GB2312" w:hAnsi="楷体" w:hint="eastAsia"/>
                <w:b/>
                <w:color w:val="000000"/>
                <w:sz w:val="18"/>
                <w:szCs w:val="18"/>
              </w:rPr>
              <w:t>.</w:t>
            </w:r>
            <w:r w:rsidR="0079245F" w:rsidRPr="0079245F">
              <w:rPr>
                <w:rFonts w:ascii="楷体_GB2312" w:eastAsia="楷体_GB2312" w:hAnsi="楷体" w:hint="eastAsia"/>
                <w:b/>
                <w:color w:val="000000"/>
                <w:sz w:val="18"/>
                <w:szCs w:val="18"/>
              </w:rPr>
              <w:t>股票分级B跟踪指数周涨跌幅</w:t>
            </w:r>
          </w:p>
        </w:tc>
      </w:tr>
      <w:tr w:rsidR="00474CE3" w:rsidRPr="00FC2D2B" w:rsidTr="007C7656">
        <w:trPr>
          <w:trHeight w:val="2664"/>
        </w:trPr>
        <w:tc>
          <w:tcPr>
            <w:tcW w:w="11766" w:type="dxa"/>
          </w:tcPr>
          <w:p w:rsidR="00474CE3" w:rsidRPr="00FC2D2B" w:rsidRDefault="007C7656" w:rsidP="004D0283">
            <w:pPr>
              <w:spacing w:line="360" w:lineRule="auto"/>
              <w:jc w:val="center"/>
              <w:rPr>
                <w:rFonts w:ascii="楷体_GB2312" w:eastAsia="楷体_GB2312" w:hAnsi="楷体"/>
                <w:color w:val="000000"/>
                <w:sz w:val="18"/>
                <w:szCs w:val="18"/>
              </w:rPr>
            </w:pPr>
            <w:r>
              <w:rPr>
                <w:noProof/>
              </w:rPr>
              <w:drawing>
                <wp:inline distT="0" distB="0" distL="0" distR="0" wp14:anchorId="495D4EBA" wp14:editId="1BA221B2">
                  <wp:extent cx="7334250" cy="2726055"/>
                  <wp:effectExtent l="0" t="0" r="0" b="17145"/>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7B11CD" w:rsidRPr="00FC2D2B" w:rsidTr="00474CE3">
        <w:tc>
          <w:tcPr>
            <w:tcW w:w="11766" w:type="dxa"/>
          </w:tcPr>
          <w:p w:rsidR="007B11CD" w:rsidRPr="00205537" w:rsidRDefault="007B11CD" w:rsidP="004D0283">
            <w:pPr>
              <w:jc w:val="left"/>
              <w:rPr>
                <w:rFonts w:ascii="楷体_GB2312" w:eastAsia="楷体_GB2312" w:hAnsi="楷体"/>
                <w:color w:val="000000"/>
                <w:sz w:val="18"/>
                <w:szCs w:val="18"/>
              </w:rPr>
            </w:pPr>
            <w:r w:rsidRPr="00205537">
              <w:rPr>
                <w:rFonts w:ascii="楷体_GB2312" w:eastAsia="楷体_GB2312" w:hAnsi="楷体" w:hint="eastAsia"/>
                <w:color w:val="000000"/>
                <w:sz w:val="18"/>
                <w:szCs w:val="18"/>
              </w:rPr>
              <w:t>数据来源：</w:t>
            </w:r>
            <w:r>
              <w:rPr>
                <w:rFonts w:ascii="楷体_GB2312" w:eastAsia="楷体_GB2312" w:hAnsi="楷体"/>
                <w:color w:val="000000"/>
                <w:sz w:val="18"/>
                <w:szCs w:val="18"/>
              </w:rPr>
              <w:t xml:space="preserve"> </w:t>
            </w:r>
            <w:r w:rsidRPr="00205537">
              <w:rPr>
                <w:rFonts w:ascii="楷体_GB2312" w:eastAsia="楷体_GB2312" w:hAnsi="楷体" w:hint="eastAsia"/>
                <w:color w:val="000000"/>
                <w:sz w:val="18"/>
                <w:szCs w:val="18"/>
              </w:rPr>
              <w:t>Wind资讯 上海证券基金评价研究中心</w:t>
            </w:r>
          </w:p>
          <w:p w:rsidR="007B11CD" w:rsidRPr="00FC2D2B" w:rsidRDefault="007B11CD" w:rsidP="002F5D6E">
            <w:pPr>
              <w:jc w:val="left"/>
              <w:rPr>
                <w:rFonts w:ascii="楷体_GB2312" w:eastAsia="楷体_GB2312" w:hAnsi="楷体"/>
                <w:i/>
                <w:color w:val="000000"/>
                <w:sz w:val="18"/>
                <w:szCs w:val="18"/>
              </w:rPr>
            </w:pPr>
            <w:r w:rsidRPr="00205537">
              <w:rPr>
                <w:rFonts w:ascii="楷体_GB2312" w:eastAsia="楷体_GB2312" w:hAnsi="楷体" w:hint="eastAsia"/>
                <w:color w:val="000000"/>
                <w:sz w:val="18"/>
                <w:szCs w:val="18"/>
              </w:rPr>
              <w:t>数据截至</w:t>
            </w:r>
            <w:r w:rsidR="00D45450">
              <w:rPr>
                <w:rFonts w:ascii="楷体_GB2312" w:eastAsia="楷体_GB2312" w:hAnsi="楷体" w:hint="eastAsia"/>
                <w:color w:val="000000"/>
                <w:sz w:val="18"/>
                <w:szCs w:val="18"/>
              </w:rPr>
              <w:t xml:space="preserve">： </w:t>
            </w:r>
            <w:r w:rsidRPr="00205537">
              <w:rPr>
                <w:rFonts w:ascii="楷体_GB2312" w:eastAsia="楷体_GB2312" w:hAnsi="楷体" w:hint="eastAsia"/>
                <w:color w:val="000000"/>
                <w:sz w:val="18"/>
                <w:szCs w:val="18"/>
              </w:rPr>
              <w:t>2016年</w:t>
            </w:r>
            <w:r w:rsidR="00BC4B95">
              <w:rPr>
                <w:rFonts w:ascii="楷体_GB2312" w:eastAsia="楷体_GB2312" w:hAnsi="楷体"/>
                <w:color w:val="000000"/>
                <w:sz w:val="18"/>
                <w:szCs w:val="18"/>
              </w:rPr>
              <w:t>7</w:t>
            </w:r>
            <w:r>
              <w:rPr>
                <w:rFonts w:ascii="楷体_GB2312" w:eastAsia="楷体_GB2312" w:hAnsi="楷体"/>
                <w:color w:val="000000"/>
                <w:sz w:val="18"/>
                <w:szCs w:val="18"/>
              </w:rPr>
              <w:t>月</w:t>
            </w:r>
            <w:r w:rsidR="002F5D6E">
              <w:rPr>
                <w:rFonts w:ascii="楷体_GB2312" w:eastAsia="楷体_GB2312" w:hAnsi="楷体"/>
                <w:color w:val="000000"/>
                <w:sz w:val="18"/>
                <w:szCs w:val="18"/>
              </w:rPr>
              <w:t>25</w:t>
            </w:r>
            <w:r w:rsidRPr="00205537">
              <w:rPr>
                <w:rFonts w:ascii="楷体_GB2312" w:eastAsia="楷体_GB2312" w:hAnsi="楷体" w:hint="eastAsia"/>
                <w:color w:val="000000"/>
                <w:sz w:val="18"/>
                <w:szCs w:val="18"/>
              </w:rPr>
              <w:t>日</w:t>
            </w:r>
          </w:p>
        </w:tc>
      </w:tr>
    </w:tbl>
    <w:p w:rsidR="00582817" w:rsidRDefault="00582817" w:rsidP="00BC4B95">
      <w:pPr>
        <w:spacing w:beforeLines="50" w:before="156" w:afterLines="50" w:after="156"/>
        <w:rPr>
          <w:rFonts w:ascii="楷体_GB2312" w:eastAsia="楷体_GB2312" w:hAnsi="楷体" w:cs="宋体-18030"/>
          <w:b/>
          <w:bCs/>
          <w:color w:val="003366"/>
          <w:kern w:val="44"/>
          <w:sz w:val="24"/>
        </w:rPr>
      </w:pPr>
    </w:p>
    <w:p w:rsidR="00582817" w:rsidRPr="00582817" w:rsidRDefault="00BC4B95" w:rsidP="00BC4B95">
      <w:pPr>
        <w:spacing w:beforeLines="50" w:before="156" w:afterLines="50" w:after="156"/>
        <w:rPr>
          <w:rFonts w:ascii="楷体_GB2312" w:eastAsia="楷体_GB2312" w:hAnsi="楷体" w:cs="宋体-18030"/>
          <w:b/>
          <w:bCs/>
          <w:color w:val="003366"/>
          <w:kern w:val="44"/>
          <w:sz w:val="24"/>
        </w:rPr>
      </w:pPr>
      <w:r>
        <w:rPr>
          <w:rFonts w:ascii="楷体_GB2312" w:eastAsia="楷体_GB2312" w:hAnsi="楷体" w:cs="宋体-18030" w:hint="eastAsia"/>
          <w:b/>
          <w:bCs/>
          <w:color w:val="003366"/>
          <w:kern w:val="44"/>
          <w:sz w:val="24"/>
        </w:rPr>
        <w:t>（二</w:t>
      </w:r>
      <w:r>
        <w:rPr>
          <w:rFonts w:ascii="楷体_GB2312" w:eastAsia="楷体_GB2312" w:hAnsi="楷体" w:cs="宋体-18030"/>
          <w:b/>
          <w:bCs/>
          <w:color w:val="003366"/>
          <w:kern w:val="44"/>
          <w:sz w:val="24"/>
        </w:rPr>
        <w:t>）</w:t>
      </w:r>
      <w:r w:rsidR="00D90536" w:rsidRPr="00BC4B95">
        <w:rPr>
          <w:rFonts w:ascii="楷体_GB2312" w:eastAsia="楷体_GB2312" w:hAnsi="楷体" w:cs="宋体-18030"/>
          <w:b/>
          <w:bCs/>
          <w:color w:val="003366"/>
          <w:kern w:val="44"/>
          <w:sz w:val="24"/>
        </w:rPr>
        <w:t>分级</w:t>
      </w:r>
      <w:r w:rsidR="00D90536" w:rsidRPr="00BC4B95">
        <w:rPr>
          <w:rFonts w:ascii="楷体_GB2312" w:eastAsia="楷体_GB2312" w:hAnsi="楷体" w:cs="宋体-18030" w:hint="eastAsia"/>
          <w:b/>
          <w:bCs/>
          <w:color w:val="003366"/>
          <w:kern w:val="44"/>
          <w:sz w:val="24"/>
        </w:rPr>
        <w:t>A</w:t>
      </w:r>
      <w:r w:rsidR="00D90536" w:rsidRPr="00BC4B95">
        <w:rPr>
          <w:rFonts w:ascii="楷体_GB2312" w:eastAsia="楷体_GB2312" w:hAnsi="楷体" w:cs="宋体-18030"/>
          <w:b/>
          <w:bCs/>
          <w:color w:val="003366"/>
          <w:kern w:val="44"/>
          <w:sz w:val="24"/>
        </w:rPr>
        <w:t>：</w:t>
      </w:r>
    </w:p>
    <w:p w:rsidR="00582817" w:rsidRPr="002F5D6E" w:rsidRDefault="002F5D6E" w:rsidP="002F5D6E">
      <w:pPr>
        <w:spacing w:line="360" w:lineRule="auto"/>
        <w:ind w:firstLineChars="200" w:firstLine="422"/>
        <w:rPr>
          <w:rFonts w:ascii="楷体_GB2312" w:eastAsia="楷体_GB2312" w:hAnsi="华文楷体"/>
        </w:rPr>
      </w:pPr>
      <w:r w:rsidRPr="00B86E76">
        <w:rPr>
          <w:rFonts w:ascii="楷体_GB2312" w:eastAsia="楷体_GB2312" w:hAnsi="华文楷体" w:hint="eastAsia"/>
          <w:b/>
        </w:rPr>
        <w:t>分级A价格</w:t>
      </w:r>
      <w:r w:rsidRPr="00B86E76">
        <w:rPr>
          <w:rFonts w:ascii="楷体_GB2312" w:eastAsia="楷体_GB2312" w:hAnsi="华文楷体"/>
          <w:b/>
        </w:rPr>
        <w:t>回归，</w:t>
      </w:r>
      <w:r w:rsidRPr="00B86E76">
        <w:rPr>
          <w:rFonts w:ascii="楷体_GB2312" w:eastAsia="楷体_GB2312" w:hAnsi="华文楷体" w:hint="eastAsia"/>
          <w:b/>
        </w:rPr>
        <w:t>高隐含</w:t>
      </w:r>
      <w:r w:rsidRPr="00B86E76">
        <w:rPr>
          <w:rFonts w:ascii="楷体_GB2312" w:eastAsia="楷体_GB2312" w:hAnsi="华文楷体"/>
          <w:b/>
        </w:rPr>
        <w:t>收益率品种涨幅较高</w:t>
      </w:r>
      <w:r w:rsidRPr="00B86E76">
        <w:rPr>
          <w:rFonts w:ascii="楷体_GB2312" w:eastAsia="楷体_GB2312" w:hAnsi="华文楷体" w:hint="eastAsia"/>
          <w:b/>
        </w:rPr>
        <w:t>。</w:t>
      </w:r>
      <w:r>
        <w:rPr>
          <w:rFonts w:ascii="楷体_GB2312" w:eastAsia="楷体_GB2312" w:hAnsi="华文楷体"/>
        </w:rPr>
        <w:t>前周</w:t>
      </w:r>
      <w:r w:rsidRPr="00E50555">
        <w:rPr>
          <w:rFonts w:ascii="楷体_GB2312" w:eastAsia="楷体_GB2312" w:hAnsi="华文楷体" w:hint="eastAsia"/>
        </w:rPr>
        <w:t>全市场分级A平均价格上扬</w:t>
      </w:r>
      <w:r>
        <w:rPr>
          <w:rFonts w:ascii="楷体_GB2312" w:eastAsia="楷体_GB2312" w:hAnsi="华文楷体"/>
        </w:rPr>
        <w:t>0.85</w:t>
      </w:r>
      <w:r w:rsidRPr="00E50555">
        <w:rPr>
          <w:rFonts w:ascii="楷体_GB2312" w:eastAsia="楷体_GB2312" w:hAnsi="华文楷体" w:hint="eastAsia"/>
        </w:rPr>
        <w:t>%（剔除日均成交量不足100</w:t>
      </w:r>
      <w:r>
        <w:rPr>
          <w:rFonts w:ascii="楷体_GB2312" w:eastAsia="楷体_GB2312" w:hAnsi="华文楷体" w:hint="eastAsia"/>
        </w:rPr>
        <w:t>万份的品种），平均折价</w:t>
      </w:r>
      <w:r>
        <w:rPr>
          <w:rFonts w:ascii="楷体_GB2312" w:eastAsia="楷体_GB2312" w:hAnsi="华文楷体"/>
        </w:rPr>
        <w:t>0.30</w:t>
      </w:r>
      <w:r w:rsidRPr="00E50555">
        <w:rPr>
          <w:rFonts w:ascii="楷体_GB2312" w:eastAsia="楷体_GB2312" w:hAnsi="华文楷体" w:hint="eastAsia"/>
        </w:rPr>
        <w:t>%。</w:t>
      </w:r>
      <w:r>
        <w:rPr>
          <w:rFonts w:ascii="楷体_GB2312" w:eastAsia="楷体_GB2312" w:hAnsi="华文楷体" w:hint="eastAsia"/>
        </w:rPr>
        <w:t>具体</w:t>
      </w:r>
      <w:r>
        <w:rPr>
          <w:rFonts w:ascii="楷体_GB2312" w:eastAsia="楷体_GB2312" w:hAnsi="华文楷体"/>
        </w:rPr>
        <w:t>品种方面，</w:t>
      </w:r>
      <w:r>
        <w:rPr>
          <w:rFonts w:ascii="楷体_GB2312" w:eastAsia="楷体_GB2312" w:hAnsi="华文楷体" w:hint="eastAsia"/>
        </w:rPr>
        <w:t>隐含</w:t>
      </w:r>
      <w:r>
        <w:rPr>
          <w:rFonts w:ascii="楷体_GB2312" w:eastAsia="楷体_GB2312" w:hAnsi="华文楷体"/>
        </w:rPr>
        <w:t>收益率</w:t>
      </w:r>
      <w:r>
        <w:rPr>
          <w:rFonts w:ascii="楷体_GB2312" w:eastAsia="楷体_GB2312" w:hAnsi="华文楷体" w:hint="eastAsia"/>
        </w:rPr>
        <w:t>高的品种</w:t>
      </w:r>
      <w:r>
        <w:rPr>
          <w:rFonts w:ascii="楷体_GB2312" w:eastAsia="楷体_GB2312" w:hAnsi="华文楷体"/>
        </w:rPr>
        <w:t>涨幅较大，</w:t>
      </w:r>
      <w:r>
        <w:rPr>
          <w:rFonts w:ascii="楷体_GB2312" w:eastAsia="楷体_GB2312" w:hAnsi="华文楷体" w:hint="eastAsia"/>
        </w:rPr>
        <w:t>隐含</w:t>
      </w:r>
      <w:r>
        <w:rPr>
          <w:rFonts w:ascii="楷体_GB2312" w:eastAsia="楷体_GB2312" w:hAnsi="华文楷体"/>
        </w:rPr>
        <w:t>收益率排前</w:t>
      </w:r>
      <w:r>
        <w:rPr>
          <w:rFonts w:ascii="楷体_GB2312" w:eastAsia="楷体_GB2312" w:hAnsi="华文楷体" w:hint="eastAsia"/>
        </w:rPr>
        <w:t>10的</w:t>
      </w:r>
      <w:r>
        <w:rPr>
          <w:rFonts w:ascii="楷体_GB2312" w:eastAsia="楷体_GB2312" w:hAnsi="华文楷体"/>
        </w:rPr>
        <w:t>分级A</w:t>
      </w:r>
      <w:r>
        <w:rPr>
          <w:rFonts w:ascii="楷体_GB2312" w:eastAsia="楷体_GB2312" w:hAnsi="华文楷体" w:hint="eastAsia"/>
        </w:rPr>
        <w:t>平均周</w:t>
      </w:r>
      <w:r>
        <w:rPr>
          <w:rFonts w:ascii="楷体_GB2312" w:eastAsia="楷体_GB2312" w:hAnsi="华文楷体"/>
        </w:rPr>
        <w:t>涨幅</w:t>
      </w:r>
      <w:r>
        <w:rPr>
          <w:rFonts w:ascii="楷体_GB2312" w:eastAsia="楷体_GB2312" w:hAnsi="华文楷体" w:hint="eastAsia"/>
        </w:rPr>
        <w:t>达</w:t>
      </w:r>
      <w:r>
        <w:rPr>
          <w:rFonts w:ascii="楷体_GB2312" w:eastAsia="楷体_GB2312" w:hAnsi="华文楷体"/>
        </w:rPr>
        <w:t>1.10%。</w:t>
      </w:r>
      <w:r w:rsidRPr="00E50555">
        <w:rPr>
          <w:rFonts w:ascii="楷体_GB2312" w:eastAsia="楷体_GB2312" w:hAnsi="华文楷体" w:hint="eastAsia"/>
        </w:rPr>
        <w:t>区间分级</w:t>
      </w:r>
      <w:r>
        <w:rPr>
          <w:rFonts w:ascii="楷体_GB2312" w:eastAsia="楷体_GB2312" w:hAnsi="华文楷体"/>
        </w:rPr>
        <w:t>A</w:t>
      </w:r>
      <w:r w:rsidRPr="00E50555">
        <w:rPr>
          <w:rFonts w:ascii="楷体_GB2312" w:eastAsia="楷体_GB2312" w:hAnsi="华文楷体" w:hint="eastAsia"/>
        </w:rPr>
        <w:t>市场</w:t>
      </w:r>
      <w:r w:rsidRPr="00E50555">
        <w:rPr>
          <w:rFonts w:ascii="楷体_GB2312" w:eastAsia="楷体_GB2312" w:hAnsi="华文楷体"/>
        </w:rPr>
        <w:t>成交</w:t>
      </w:r>
      <w:r>
        <w:rPr>
          <w:rFonts w:ascii="楷体_GB2312" w:eastAsia="楷体_GB2312" w:hAnsi="华文楷体"/>
        </w:rPr>
        <w:t>71.69</w:t>
      </w:r>
      <w:r w:rsidRPr="00E50555">
        <w:rPr>
          <w:rFonts w:ascii="楷体_GB2312" w:eastAsia="楷体_GB2312" w:hAnsi="华文楷体" w:hint="eastAsia"/>
        </w:rPr>
        <w:t>亿</w:t>
      </w:r>
      <w:r w:rsidRPr="00E50555">
        <w:rPr>
          <w:rFonts w:ascii="楷体_GB2312" w:eastAsia="楷体_GB2312" w:hAnsi="华文楷体"/>
        </w:rPr>
        <w:t>份，</w:t>
      </w:r>
      <w:r w:rsidRPr="00E50555">
        <w:rPr>
          <w:rFonts w:ascii="楷体_GB2312" w:eastAsia="楷体_GB2312" w:hAnsi="华文楷体" w:hint="eastAsia"/>
        </w:rPr>
        <w:t>市场活跃度</w:t>
      </w:r>
      <w:r>
        <w:rPr>
          <w:rFonts w:ascii="楷体_GB2312" w:eastAsia="楷体_GB2312" w:hAnsi="华文楷体" w:hint="eastAsia"/>
        </w:rPr>
        <w:t>较</w:t>
      </w:r>
      <w:r>
        <w:rPr>
          <w:rFonts w:ascii="楷体_GB2312" w:eastAsia="楷体_GB2312" w:hAnsi="华文楷体"/>
        </w:rPr>
        <w:t>前周</w:t>
      </w:r>
      <w:r>
        <w:rPr>
          <w:rFonts w:ascii="楷体_GB2312" w:eastAsia="楷体_GB2312" w:hAnsi="华文楷体" w:hint="eastAsia"/>
        </w:rPr>
        <w:t>持平，其</w:t>
      </w:r>
      <w:r>
        <w:rPr>
          <w:rFonts w:ascii="楷体_GB2312" w:eastAsia="楷体_GB2312" w:hAnsi="华文楷体"/>
        </w:rPr>
        <w:t>并未跟随分级</w:t>
      </w:r>
      <w:r>
        <w:rPr>
          <w:rFonts w:ascii="楷体_GB2312" w:eastAsia="楷体_GB2312" w:hAnsi="华文楷体" w:hint="eastAsia"/>
        </w:rPr>
        <w:t>B成交</w:t>
      </w:r>
      <w:r>
        <w:rPr>
          <w:rFonts w:ascii="楷体_GB2312" w:eastAsia="楷体_GB2312" w:hAnsi="华文楷体"/>
        </w:rPr>
        <w:t>萎缩而大降</w:t>
      </w:r>
      <w:r w:rsidRPr="00E50555">
        <w:rPr>
          <w:rFonts w:ascii="楷体_GB2312" w:eastAsia="楷体_GB2312" w:hAnsi="华文楷体" w:hint="eastAsia"/>
        </w:rPr>
        <w:t>。</w:t>
      </w:r>
      <w:r>
        <w:rPr>
          <w:rFonts w:ascii="楷体_GB2312" w:eastAsia="楷体_GB2312" w:hAnsi="华文楷体" w:hint="eastAsia"/>
        </w:rPr>
        <w:t>后市</w:t>
      </w:r>
      <w:r>
        <w:rPr>
          <w:rFonts w:ascii="楷体_GB2312" w:eastAsia="楷体_GB2312" w:hAnsi="华文楷体"/>
        </w:rPr>
        <w:t>分级</w:t>
      </w:r>
      <w:r>
        <w:rPr>
          <w:rFonts w:ascii="楷体_GB2312" w:eastAsia="楷体_GB2312" w:hAnsi="华文楷体" w:hint="eastAsia"/>
        </w:rPr>
        <w:t>A的隐含</w:t>
      </w:r>
      <w:r>
        <w:rPr>
          <w:rFonts w:ascii="楷体_GB2312" w:eastAsia="楷体_GB2312" w:hAnsi="华文楷体"/>
        </w:rPr>
        <w:t>收益率跟随债市无风险</w:t>
      </w:r>
      <w:r>
        <w:rPr>
          <w:rFonts w:ascii="楷体_GB2312" w:eastAsia="楷体_GB2312" w:hAnsi="华文楷体" w:hint="eastAsia"/>
        </w:rPr>
        <w:t>利率</w:t>
      </w:r>
      <w:r>
        <w:rPr>
          <w:rFonts w:ascii="楷体_GB2312" w:eastAsia="楷体_GB2312" w:hAnsi="华文楷体"/>
        </w:rPr>
        <w:t>下行是趋势，</w:t>
      </w:r>
      <w:r>
        <w:rPr>
          <w:rFonts w:ascii="楷体_GB2312" w:eastAsia="楷体_GB2312" w:hAnsi="华文楷体" w:hint="eastAsia"/>
        </w:rPr>
        <w:t>预计分级A价格</w:t>
      </w:r>
      <w:r>
        <w:rPr>
          <w:rFonts w:ascii="楷体_GB2312" w:eastAsia="楷体_GB2312" w:hAnsi="华文楷体"/>
        </w:rPr>
        <w:t>仍有</w:t>
      </w:r>
      <w:r>
        <w:rPr>
          <w:rFonts w:ascii="楷体_GB2312" w:eastAsia="楷体_GB2312" w:hAnsi="华文楷体" w:hint="eastAsia"/>
        </w:rPr>
        <w:t>一定</w:t>
      </w:r>
      <w:r>
        <w:rPr>
          <w:rFonts w:ascii="楷体_GB2312" w:eastAsia="楷体_GB2312" w:hAnsi="华文楷体"/>
        </w:rPr>
        <w:t>的上涨空间</w:t>
      </w:r>
      <w:r>
        <w:rPr>
          <w:rFonts w:ascii="楷体_GB2312" w:eastAsia="楷体_GB2312" w:hAnsi="华文楷体" w:hint="eastAsia"/>
        </w:rPr>
        <w:t>。</w:t>
      </w:r>
    </w:p>
    <w:tbl>
      <w:tblPr>
        <w:tblW w:w="10977" w:type="dxa"/>
        <w:tblInd w:w="-885" w:type="dxa"/>
        <w:tblBorders>
          <w:top w:val="single" w:sz="12" w:space="0" w:color="767171" w:themeColor="background2" w:themeShade="80"/>
          <w:insideH w:val="single" w:sz="12" w:space="0" w:color="C00000"/>
        </w:tblBorders>
        <w:tblLayout w:type="fixed"/>
        <w:tblLook w:val="04A0" w:firstRow="1" w:lastRow="0" w:firstColumn="1" w:lastColumn="0" w:noHBand="0" w:noVBand="1"/>
      </w:tblPr>
      <w:tblGrid>
        <w:gridCol w:w="5387"/>
        <w:gridCol w:w="5590"/>
      </w:tblGrid>
      <w:tr w:rsidR="00D90536" w:rsidRPr="00FC2D2B" w:rsidTr="004D0283">
        <w:tc>
          <w:tcPr>
            <w:tcW w:w="5387" w:type="dxa"/>
          </w:tcPr>
          <w:p w:rsidR="00D90536" w:rsidRPr="00304FEB" w:rsidRDefault="00D90536" w:rsidP="00474CE3">
            <w:pPr>
              <w:spacing w:line="360" w:lineRule="auto"/>
              <w:jc w:val="left"/>
              <w:rPr>
                <w:rFonts w:ascii="楷体_GB2312" w:eastAsia="楷体_GB2312" w:hAnsi="楷体"/>
                <w:b/>
                <w:color w:val="000000"/>
                <w:sz w:val="18"/>
                <w:szCs w:val="18"/>
              </w:rPr>
            </w:pPr>
            <w:r w:rsidRPr="00FC2D2B">
              <w:rPr>
                <w:rFonts w:ascii="楷体_GB2312" w:eastAsia="楷体_GB2312" w:hAnsi="楷体" w:hint="eastAsia"/>
                <w:b/>
                <w:color w:val="000000"/>
                <w:sz w:val="18"/>
                <w:szCs w:val="18"/>
              </w:rPr>
              <w:t>图</w:t>
            </w:r>
            <w:r w:rsidR="00D45450">
              <w:rPr>
                <w:rFonts w:ascii="楷体_GB2312" w:eastAsia="楷体_GB2312" w:hAnsi="楷体" w:hint="eastAsia"/>
                <w:b/>
                <w:color w:val="000000"/>
                <w:sz w:val="18"/>
                <w:szCs w:val="18"/>
              </w:rPr>
              <w:t>6.</w:t>
            </w:r>
            <w:r w:rsidR="00474CE3">
              <w:rPr>
                <w:rFonts w:ascii="楷体_GB2312" w:eastAsia="楷体_GB2312" w:hAnsi="楷体" w:hint="eastAsia"/>
                <w:b/>
                <w:color w:val="000000"/>
                <w:sz w:val="18"/>
                <w:szCs w:val="18"/>
              </w:rPr>
              <w:t>各</w:t>
            </w:r>
            <w:r w:rsidR="00474CE3" w:rsidRPr="00474CE3">
              <w:rPr>
                <w:rFonts w:ascii="楷体_GB2312" w:eastAsia="楷体_GB2312" w:hAnsi="楷体"/>
                <w:b/>
                <w:bCs/>
                <w:color w:val="000000"/>
                <w:sz w:val="18"/>
                <w:szCs w:val="18"/>
              </w:rPr>
              <w:t>利差分类分级A</w:t>
            </w:r>
            <w:r w:rsidR="00E21469">
              <w:rPr>
                <w:rFonts w:ascii="楷体_GB2312" w:eastAsia="楷体_GB2312" w:hAnsi="楷体" w:hint="eastAsia"/>
                <w:b/>
                <w:bCs/>
                <w:color w:val="000000"/>
                <w:sz w:val="18"/>
                <w:szCs w:val="18"/>
              </w:rPr>
              <w:t>流动性</w:t>
            </w:r>
            <w:r w:rsidR="00E21469">
              <w:rPr>
                <w:rFonts w:ascii="楷体_GB2312" w:eastAsia="楷体_GB2312" w:hAnsi="楷体"/>
                <w:b/>
                <w:bCs/>
                <w:color w:val="000000"/>
                <w:sz w:val="18"/>
                <w:szCs w:val="18"/>
              </w:rPr>
              <w:t>加权</w:t>
            </w:r>
            <w:r w:rsidR="00474CE3" w:rsidRPr="00474CE3">
              <w:rPr>
                <w:rFonts w:ascii="楷体_GB2312" w:eastAsia="楷体_GB2312" w:hAnsi="楷体"/>
                <w:b/>
                <w:bCs/>
                <w:color w:val="000000"/>
                <w:sz w:val="18"/>
                <w:szCs w:val="18"/>
              </w:rPr>
              <w:t>累计收益率</w:t>
            </w:r>
          </w:p>
        </w:tc>
        <w:tc>
          <w:tcPr>
            <w:tcW w:w="5590" w:type="dxa"/>
          </w:tcPr>
          <w:p w:rsidR="00D90536" w:rsidRPr="00C82167" w:rsidRDefault="00D90536" w:rsidP="00D45450">
            <w:pPr>
              <w:spacing w:line="360" w:lineRule="auto"/>
              <w:jc w:val="left"/>
              <w:rPr>
                <w:rFonts w:ascii="楷体_GB2312" w:eastAsia="楷体_GB2312" w:hAnsi="楷体"/>
                <w:b/>
                <w:color w:val="000000"/>
                <w:sz w:val="18"/>
                <w:szCs w:val="18"/>
              </w:rPr>
            </w:pPr>
            <w:r w:rsidRPr="00FC2D2B">
              <w:rPr>
                <w:rFonts w:ascii="楷体_GB2312" w:eastAsia="楷体_GB2312" w:hAnsi="楷体" w:hint="eastAsia"/>
                <w:b/>
                <w:color w:val="000000"/>
                <w:sz w:val="18"/>
                <w:szCs w:val="18"/>
              </w:rPr>
              <w:t>图</w:t>
            </w:r>
            <w:r w:rsidR="00D45450">
              <w:rPr>
                <w:rFonts w:ascii="楷体_GB2312" w:eastAsia="楷体_GB2312" w:hAnsi="楷体"/>
                <w:b/>
                <w:color w:val="000000"/>
                <w:sz w:val="18"/>
                <w:szCs w:val="18"/>
              </w:rPr>
              <w:t>7.</w:t>
            </w:r>
            <w:r w:rsidR="00231166">
              <w:rPr>
                <w:rFonts w:ascii="楷体_GB2312" w:eastAsia="楷体_GB2312" w:hAnsi="楷体" w:hint="eastAsia"/>
                <w:b/>
                <w:color w:val="000000"/>
                <w:sz w:val="18"/>
                <w:szCs w:val="18"/>
              </w:rPr>
              <w:t>过去</w:t>
            </w:r>
            <w:r w:rsidR="0037593F">
              <w:rPr>
                <w:rFonts w:ascii="楷体_GB2312" w:eastAsia="楷体_GB2312" w:hAnsi="楷体" w:hint="eastAsia"/>
                <w:b/>
                <w:color w:val="000000"/>
                <w:sz w:val="18"/>
                <w:szCs w:val="18"/>
              </w:rPr>
              <w:t>两个</w:t>
            </w:r>
            <w:r w:rsidR="00231166">
              <w:rPr>
                <w:rFonts w:ascii="楷体_GB2312" w:eastAsia="楷体_GB2312" w:hAnsi="楷体" w:hint="eastAsia"/>
                <w:b/>
                <w:color w:val="000000"/>
                <w:sz w:val="18"/>
                <w:szCs w:val="18"/>
              </w:rPr>
              <w:t>月</w:t>
            </w:r>
            <w:r w:rsidR="00C455FD">
              <w:rPr>
                <w:rFonts w:ascii="楷体_GB2312" w:eastAsia="楷体_GB2312" w:hAnsi="楷体" w:hint="eastAsia"/>
                <w:b/>
                <w:color w:val="000000"/>
                <w:sz w:val="18"/>
                <w:szCs w:val="18"/>
              </w:rPr>
              <w:t>隐含</w:t>
            </w:r>
            <w:r w:rsidR="00C455FD">
              <w:rPr>
                <w:rFonts w:ascii="楷体_GB2312" w:eastAsia="楷体_GB2312" w:hAnsi="楷体"/>
                <w:b/>
                <w:color w:val="000000"/>
                <w:sz w:val="18"/>
                <w:szCs w:val="18"/>
              </w:rPr>
              <w:t>收益率</w:t>
            </w:r>
            <w:r w:rsidR="00DD4907">
              <w:rPr>
                <w:rFonts w:ascii="楷体_GB2312" w:eastAsia="楷体_GB2312" w:hAnsi="楷体" w:hint="eastAsia"/>
                <w:b/>
                <w:color w:val="000000"/>
                <w:sz w:val="18"/>
                <w:szCs w:val="18"/>
              </w:rPr>
              <w:t>与10年</w:t>
            </w:r>
            <w:r w:rsidR="00DD4907">
              <w:rPr>
                <w:rFonts w:ascii="楷体_GB2312" w:eastAsia="楷体_GB2312" w:hAnsi="楷体"/>
                <w:b/>
                <w:color w:val="000000"/>
                <w:sz w:val="18"/>
                <w:szCs w:val="18"/>
              </w:rPr>
              <w:t>企业债</w:t>
            </w:r>
            <w:r w:rsidR="00DD4907">
              <w:rPr>
                <w:rFonts w:ascii="楷体_GB2312" w:eastAsia="楷体_GB2312" w:hAnsi="楷体" w:hint="eastAsia"/>
                <w:b/>
                <w:color w:val="000000"/>
                <w:sz w:val="18"/>
                <w:szCs w:val="18"/>
              </w:rPr>
              <w:t>AA</w:t>
            </w:r>
            <w:r w:rsidR="00DD4907">
              <w:rPr>
                <w:rFonts w:ascii="楷体_GB2312" w:eastAsia="楷体_GB2312" w:hAnsi="楷体"/>
                <w:b/>
                <w:color w:val="000000"/>
                <w:sz w:val="18"/>
                <w:szCs w:val="18"/>
              </w:rPr>
              <w:t>+</w:t>
            </w:r>
            <w:r w:rsidR="00DD4907">
              <w:rPr>
                <w:rFonts w:ascii="楷体_GB2312" w:eastAsia="楷体_GB2312" w:hAnsi="楷体" w:hint="eastAsia"/>
                <w:b/>
                <w:color w:val="000000"/>
                <w:sz w:val="18"/>
                <w:szCs w:val="18"/>
              </w:rPr>
              <w:t>利率</w:t>
            </w:r>
            <w:r w:rsidR="00DD4907">
              <w:rPr>
                <w:rFonts w:ascii="楷体_GB2312" w:eastAsia="楷体_GB2312" w:hAnsi="楷体"/>
                <w:b/>
                <w:color w:val="000000"/>
                <w:sz w:val="18"/>
                <w:szCs w:val="18"/>
              </w:rPr>
              <w:t>走势</w:t>
            </w:r>
          </w:p>
        </w:tc>
      </w:tr>
      <w:tr w:rsidR="00D90536" w:rsidRPr="00FC2D2B" w:rsidTr="00271904">
        <w:trPr>
          <w:trHeight w:val="2664"/>
        </w:trPr>
        <w:tc>
          <w:tcPr>
            <w:tcW w:w="5387" w:type="dxa"/>
          </w:tcPr>
          <w:p w:rsidR="00D90536" w:rsidRPr="00FC2D2B" w:rsidRDefault="00271904" w:rsidP="004D0283">
            <w:pPr>
              <w:spacing w:line="360" w:lineRule="auto"/>
              <w:ind w:left="1" w:hanging="1"/>
              <w:jc w:val="center"/>
              <w:rPr>
                <w:rFonts w:ascii="楷体_GB2312" w:eastAsia="楷体_GB2312" w:hAnsi="楷体"/>
                <w:color w:val="000000"/>
                <w:sz w:val="18"/>
                <w:szCs w:val="18"/>
              </w:rPr>
            </w:pPr>
            <w:r>
              <w:rPr>
                <w:noProof/>
              </w:rPr>
              <w:drawing>
                <wp:inline distT="0" distB="0" distL="0" distR="0" wp14:anchorId="2E10E412" wp14:editId="590A5C41">
                  <wp:extent cx="3283585" cy="1970405"/>
                  <wp:effectExtent l="0" t="0" r="12065" b="10795"/>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5590" w:type="dxa"/>
          </w:tcPr>
          <w:p w:rsidR="00D90536" w:rsidRPr="00FC2D2B" w:rsidRDefault="00271904" w:rsidP="004D0283">
            <w:pPr>
              <w:spacing w:line="360" w:lineRule="auto"/>
              <w:jc w:val="center"/>
              <w:rPr>
                <w:rFonts w:ascii="楷体_GB2312" w:eastAsia="楷体_GB2312" w:hAnsi="楷体"/>
                <w:color w:val="000000"/>
                <w:sz w:val="18"/>
                <w:szCs w:val="18"/>
              </w:rPr>
            </w:pPr>
            <w:r>
              <w:rPr>
                <w:noProof/>
              </w:rPr>
              <w:drawing>
                <wp:inline distT="0" distB="0" distL="0" distR="0" wp14:anchorId="763C604E" wp14:editId="054799D5">
                  <wp:extent cx="3412490" cy="2047240"/>
                  <wp:effectExtent l="0" t="0" r="16510" b="1016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D90536" w:rsidRPr="00FC2D2B" w:rsidTr="004D0283">
        <w:tc>
          <w:tcPr>
            <w:tcW w:w="10977" w:type="dxa"/>
            <w:gridSpan w:val="2"/>
          </w:tcPr>
          <w:p w:rsidR="00D90536" w:rsidRPr="00205537" w:rsidRDefault="00D90536" w:rsidP="00D90536">
            <w:pPr>
              <w:jc w:val="left"/>
              <w:rPr>
                <w:rFonts w:ascii="楷体_GB2312" w:eastAsia="楷体_GB2312" w:hAnsi="楷体"/>
                <w:color w:val="000000"/>
                <w:sz w:val="18"/>
                <w:szCs w:val="18"/>
              </w:rPr>
            </w:pPr>
            <w:r w:rsidRPr="00205537">
              <w:rPr>
                <w:rFonts w:ascii="楷体_GB2312" w:eastAsia="楷体_GB2312" w:hAnsi="楷体" w:hint="eastAsia"/>
                <w:color w:val="000000"/>
                <w:sz w:val="18"/>
                <w:szCs w:val="18"/>
              </w:rPr>
              <w:lastRenderedPageBreak/>
              <w:t>数据来源：</w:t>
            </w:r>
            <w:r>
              <w:rPr>
                <w:rFonts w:ascii="楷体_GB2312" w:eastAsia="楷体_GB2312" w:hAnsi="楷体"/>
                <w:color w:val="000000"/>
                <w:sz w:val="18"/>
                <w:szCs w:val="18"/>
              </w:rPr>
              <w:t xml:space="preserve"> </w:t>
            </w:r>
            <w:r w:rsidRPr="00205537">
              <w:rPr>
                <w:rFonts w:ascii="楷体_GB2312" w:eastAsia="楷体_GB2312" w:hAnsi="楷体" w:hint="eastAsia"/>
                <w:color w:val="000000"/>
                <w:sz w:val="18"/>
                <w:szCs w:val="18"/>
              </w:rPr>
              <w:t>Wind资讯 上海证券基金评价研究中心</w:t>
            </w:r>
          </w:p>
          <w:p w:rsidR="00D90536" w:rsidRPr="00FC2D2B" w:rsidRDefault="00D90536" w:rsidP="002F5D6E">
            <w:pPr>
              <w:jc w:val="left"/>
              <w:rPr>
                <w:rFonts w:ascii="楷体_GB2312" w:eastAsia="楷体_GB2312" w:hAnsi="楷体"/>
                <w:i/>
                <w:color w:val="000000"/>
                <w:sz w:val="18"/>
                <w:szCs w:val="18"/>
              </w:rPr>
            </w:pPr>
            <w:r w:rsidRPr="00205537">
              <w:rPr>
                <w:rFonts w:ascii="楷体_GB2312" w:eastAsia="楷体_GB2312" w:hAnsi="楷体" w:hint="eastAsia"/>
                <w:color w:val="000000"/>
                <w:sz w:val="18"/>
                <w:szCs w:val="18"/>
              </w:rPr>
              <w:t>数据截至</w:t>
            </w:r>
            <w:r w:rsidR="00D45450">
              <w:rPr>
                <w:rFonts w:ascii="楷体_GB2312" w:eastAsia="楷体_GB2312" w:hAnsi="楷体" w:hint="eastAsia"/>
                <w:color w:val="000000"/>
                <w:sz w:val="18"/>
                <w:szCs w:val="18"/>
              </w:rPr>
              <w:t xml:space="preserve">： </w:t>
            </w:r>
            <w:r w:rsidRPr="00205537">
              <w:rPr>
                <w:rFonts w:ascii="楷体_GB2312" w:eastAsia="楷体_GB2312" w:hAnsi="楷体" w:hint="eastAsia"/>
                <w:color w:val="000000"/>
                <w:sz w:val="18"/>
                <w:szCs w:val="18"/>
              </w:rPr>
              <w:t>2016年</w:t>
            </w:r>
            <w:r w:rsidR="00BC4B95">
              <w:rPr>
                <w:rFonts w:ascii="楷体_GB2312" w:eastAsia="楷体_GB2312" w:hAnsi="楷体"/>
                <w:color w:val="000000"/>
                <w:sz w:val="18"/>
                <w:szCs w:val="18"/>
              </w:rPr>
              <w:t>7</w:t>
            </w:r>
            <w:r>
              <w:rPr>
                <w:rFonts w:ascii="楷体_GB2312" w:eastAsia="楷体_GB2312" w:hAnsi="楷体"/>
                <w:color w:val="000000"/>
                <w:sz w:val="18"/>
                <w:szCs w:val="18"/>
              </w:rPr>
              <w:t>月</w:t>
            </w:r>
            <w:r w:rsidR="002F5D6E">
              <w:rPr>
                <w:rFonts w:ascii="楷体_GB2312" w:eastAsia="楷体_GB2312" w:hAnsi="楷体"/>
                <w:color w:val="000000"/>
                <w:sz w:val="18"/>
                <w:szCs w:val="18"/>
              </w:rPr>
              <w:t>25</w:t>
            </w:r>
            <w:r w:rsidRPr="00205537">
              <w:rPr>
                <w:rFonts w:ascii="楷体_GB2312" w:eastAsia="楷体_GB2312" w:hAnsi="楷体" w:hint="eastAsia"/>
                <w:color w:val="000000"/>
                <w:sz w:val="18"/>
                <w:szCs w:val="18"/>
              </w:rPr>
              <w:t>日</w:t>
            </w:r>
          </w:p>
        </w:tc>
      </w:tr>
    </w:tbl>
    <w:p w:rsidR="00DD4907" w:rsidRDefault="00DD4907" w:rsidP="001D75D7">
      <w:pPr>
        <w:spacing w:beforeLines="50" w:before="156" w:afterLines="50" w:after="156"/>
        <w:rPr>
          <w:rFonts w:ascii="楷体_GB2312" w:eastAsia="楷体_GB2312" w:hAnsi="楷体" w:cs="宋体-18030"/>
          <w:b/>
          <w:bCs/>
          <w:color w:val="003366"/>
          <w:kern w:val="44"/>
          <w:sz w:val="24"/>
        </w:rPr>
      </w:pPr>
    </w:p>
    <w:tbl>
      <w:tblPr>
        <w:tblW w:w="10977" w:type="dxa"/>
        <w:tblInd w:w="-885" w:type="dxa"/>
        <w:tblBorders>
          <w:top w:val="single" w:sz="12" w:space="0" w:color="767171" w:themeColor="background2" w:themeShade="80"/>
          <w:insideH w:val="single" w:sz="12" w:space="0" w:color="C00000"/>
        </w:tblBorders>
        <w:tblLayout w:type="fixed"/>
        <w:tblLook w:val="04A0" w:firstRow="1" w:lastRow="0" w:firstColumn="1" w:lastColumn="0" w:noHBand="0" w:noVBand="1"/>
      </w:tblPr>
      <w:tblGrid>
        <w:gridCol w:w="10977"/>
      </w:tblGrid>
      <w:tr w:rsidR="009148E8" w:rsidRPr="00FC2D2B" w:rsidTr="004D0283">
        <w:tc>
          <w:tcPr>
            <w:tcW w:w="10977" w:type="dxa"/>
          </w:tcPr>
          <w:p w:rsidR="009148E8" w:rsidRPr="00C82167" w:rsidRDefault="009148E8" w:rsidP="009148E8">
            <w:pPr>
              <w:spacing w:line="360" w:lineRule="auto"/>
              <w:jc w:val="left"/>
              <w:rPr>
                <w:rFonts w:ascii="楷体_GB2312" w:eastAsia="楷体_GB2312" w:hAnsi="楷体"/>
                <w:b/>
                <w:color w:val="000000"/>
                <w:sz w:val="18"/>
                <w:szCs w:val="18"/>
              </w:rPr>
            </w:pPr>
            <w:r w:rsidRPr="00FC2D2B">
              <w:rPr>
                <w:rFonts w:ascii="楷体_GB2312" w:eastAsia="楷体_GB2312" w:hAnsi="楷体" w:hint="eastAsia"/>
                <w:b/>
                <w:color w:val="000000"/>
                <w:sz w:val="18"/>
                <w:szCs w:val="18"/>
              </w:rPr>
              <w:t>图</w:t>
            </w:r>
            <w:r w:rsidR="00D45450">
              <w:rPr>
                <w:rFonts w:ascii="楷体_GB2312" w:eastAsia="楷体_GB2312" w:hAnsi="楷体"/>
                <w:b/>
                <w:color w:val="000000"/>
                <w:sz w:val="18"/>
                <w:szCs w:val="18"/>
              </w:rPr>
              <w:t>8.</w:t>
            </w:r>
            <w:r>
              <w:rPr>
                <w:rFonts w:ascii="楷体_GB2312" w:eastAsia="楷体_GB2312" w:hAnsi="楷体" w:hint="eastAsia"/>
                <w:b/>
                <w:color w:val="000000"/>
                <w:sz w:val="18"/>
                <w:szCs w:val="18"/>
              </w:rPr>
              <w:t>各分级</w:t>
            </w:r>
            <w:r w:rsidR="0072758A">
              <w:rPr>
                <w:rFonts w:ascii="楷体_GB2312" w:eastAsia="楷体_GB2312" w:hAnsi="楷体" w:hint="eastAsia"/>
                <w:b/>
                <w:color w:val="000000"/>
                <w:sz w:val="18"/>
                <w:szCs w:val="18"/>
              </w:rPr>
              <w:t>简单平均</w:t>
            </w:r>
            <w:r>
              <w:rPr>
                <w:rFonts w:ascii="楷体_GB2312" w:eastAsia="楷体_GB2312" w:hAnsi="楷体" w:hint="eastAsia"/>
                <w:b/>
                <w:color w:val="000000"/>
                <w:sz w:val="18"/>
                <w:szCs w:val="18"/>
              </w:rPr>
              <w:t>A隐含收益率以及成交量图</w:t>
            </w:r>
          </w:p>
        </w:tc>
      </w:tr>
      <w:tr w:rsidR="009148E8" w:rsidRPr="00FC2D2B" w:rsidTr="00582817">
        <w:trPr>
          <w:trHeight w:val="7902"/>
        </w:trPr>
        <w:tc>
          <w:tcPr>
            <w:tcW w:w="10977" w:type="dxa"/>
          </w:tcPr>
          <w:p w:rsidR="009148E8" w:rsidRDefault="009148E8" w:rsidP="004D0283">
            <w:pPr>
              <w:spacing w:line="360" w:lineRule="auto"/>
              <w:jc w:val="center"/>
              <w:rPr>
                <w:rFonts w:ascii="楷体_GB2312" w:eastAsia="楷体_GB2312" w:hAnsi="楷体"/>
                <w:color w:val="000000"/>
                <w:sz w:val="18"/>
                <w:szCs w:val="18"/>
              </w:rPr>
            </w:pPr>
          </w:p>
          <w:p w:rsidR="009148E8" w:rsidRPr="009148E8" w:rsidRDefault="005D2EB6" w:rsidP="009148E8">
            <w:pPr>
              <w:widowControl/>
              <w:jc w:val="left"/>
              <w:rPr>
                <w:rFonts w:ascii="宋体" w:hAnsi="宋体" w:cs="宋体"/>
                <w:kern w:val="0"/>
                <w:sz w:val="24"/>
              </w:rPr>
            </w:pPr>
            <w:r w:rsidRPr="005D2EB6">
              <w:rPr>
                <w:rFonts w:ascii="宋体" w:hAnsi="宋体" w:cs="宋体"/>
                <w:noProof/>
                <w:kern w:val="0"/>
                <w:sz w:val="24"/>
              </w:rPr>
              <w:drawing>
                <wp:inline distT="0" distB="0" distL="0" distR="0">
                  <wp:extent cx="6696075" cy="526732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6075" cy="5267325"/>
                          </a:xfrm>
                          <a:prstGeom prst="rect">
                            <a:avLst/>
                          </a:prstGeom>
                          <a:noFill/>
                          <a:ln>
                            <a:noFill/>
                          </a:ln>
                        </pic:spPr>
                      </pic:pic>
                    </a:graphicData>
                  </a:graphic>
                </wp:inline>
              </w:drawing>
            </w:r>
          </w:p>
        </w:tc>
      </w:tr>
      <w:tr w:rsidR="009148E8" w:rsidRPr="00FC2D2B" w:rsidTr="004D0283">
        <w:tc>
          <w:tcPr>
            <w:tcW w:w="10977" w:type="dxa"/>
          </w:tcPr>
          <w:p w:rsidR="00255911" w:rsidRDefault="00255911" w:rsidP="004D0283">
            <w:pPr>
              <w:jc w:val="left"/>
              <w:rPr>
                <w:rFonts w:ascii="楷体_GB2312" w:eastAsia="楷体_GB2312" w:hAnsi="楷体"/>
                <w:color w:val="000000"/>
                <w:sz w:val="18"/>
                <w:szCs w:val="18"/>
              </w:rPr>
            </w:pPr>
            <w:r>
              <w:rPr>
                <w:rFonts w:ascii="楷体_GB2312" w:eastAsia="楷体_GB2312" w:hAnsi="楷体" w:hint="eastAsia"/>
                <w:color w:val="000000"/>
                <w:sz w:val="18"/>
                <w:szCs w:val="18"/>
              </w:rPr>
              <w:t>注1：气泡大小代表周间日平均交易量的大小</w:t>
            </w:r>
          </w:p>
          <w:p w:rsidR="0037461A" w:rsidRDefault="0037461A" w:rsidP="004D0283">
            <w:pPr>
              <w:jc w:val="left"/>
              <w:rPr>
                <w:rFonts w:ascii="楷体_GB2312" w:eastAsia="楷体_GB2312" w:hAnsi="楷体"/>
                <w:color w:val="000000"/>
                <w:sz w:val="18"/>
                <w:szCs w:val="18"/>
              </w:rPr>
            </w:pPr>
            <w:r>
              <w:rPr>
                <w:rFonts w:ascii="楷体_GB2312" w:eastAsia="楷体_GB2312" w:hAnsi="楷体" w:hint="eastAsia"/>
                <w:color w:val="000000"/>
                <w:sz w:val="18"/>
                <w:szCs w:val="18"/>
              </w:rPr>
              <w:t>注</w:t>
            </w:r>
            <w:r w:rsidR="00255911">
              <w:rPr>
                <w:rFonts w:ascii="楷体_GB2312" w:eastAsia="楷体_GB2312" w:hAnsi="楷体" w:hint="eastAsia"/>
                <w:color w:val="000000"/>
                <w:sz w:val="18"/>
                <w:szCs w:val="18"/>
              </w:rPr>
              <w:t>2</w:t>
            </w:r>
            <w:r>
              <w:rPr>
                <w:rFonts w:ascii="楷体_GB2312" w:eastAsia="楷体_GB2312" w:hAnsi="楷体" w:hint="eastAsia"/>
                <w:color w:val="000000"/>
                <w:sz w:val="18"/>
                <w:szCs w:val="18"/>
              </w:rPr>
              <w:t>：</w:t>
            </w:r>
            <w:r w:rsidR="0037593F">
              <w:rPr>
                <w:rFonts w:ascii="楷体_GB2312" w:eastAsia="楷体_GB2312" w:hAnsi="楷体" w:hint="eastAsia"/>
                <w:color w:val="000000"/>
                <w:sz w:val="18"/>
                <w:szCs w:val="18"/>
              </w:rPr>
              <w:t>银华恒生H股A与申万菱信深成指A无下折机制，较高的折价导致其隐含收益率较高。</w:t>
            </w:r>
            <w:r w:rsidR="0037593F">
              <w:rPr>
                <w:rFonts w:ascii="楷体_GB2312" w:eastAsia="楷体_GB2312" w:hAnsi="楷体"/>
                <w:color w:val="000000"/>
                <w:sz w:val="18"/>
                <w:szCs w:val="18"/>
              </w:rPr>
              <w:t xml:space="preserve"> </w:t>
            </w:r>
          </w:p>
          <w:p w:rsidR="009148E8" w:rsidRPr="00205537" w:rsidRDefault="009148E8" w:rsidP="004D0283">
            <w:pPr>
              <w:jc w:val="left"/>
              <w:rPr>
                <w:rFonts w:ascii="楷体_GB2312" w:eastAsia="楷体_GB2312" w:hAnsi="楷体"/>
                <w:color w:val="000000"/>
                <w:sz w:val="18"/>
                <w:szCs w:val="18"/>
              </w:rPr>
            </w:pPr>
            <w:r w:rsidRPr="00205537">
              <w:rPr>
                <w:rFonts w:ascii="楷体_GB2312" w:eastAsia="楷体_GB2312" w:hAnsi="楷体" w:hint="eastAsia"/>
                <w:color w:val="000000"/>
                <w:sz w:val="18"/>
                <w:szCs w:val="18"/>
              </w:rPr>
              <w:t>数据来源：</w:t>
            </w:r>
            <w:r>
              <w:rPr>
                <w:rFonts w:ascii="楷体_GB2312" w:eastAsia="楷体_GB2312" w:hAnsi="楷体"/>
                <w:color w:val="000000"/>
                <w:sz w:val="18"/>
                <w:szCs w:val="18"/>
              </w:rPr>
              <w:t xml:space="preserve"> </w:t>
            </w:r>
            <w:r w:rsidRPr="00205537">
              <w:rPr>
                <w:rFonts w:ascii="楷体_GB2312" w:eastAsia="楷体_GB2312" w:hAnsi="楷体" w:hint="eastAsia"/>
                <w:color w:val="000000"/>
                <w:sz w:val="18"/>
                <w:szCs w:val="18"/>
              </w:rPr>
              <w:t>Wind资讯 上海证券基金评价研究中心</w:t>
            </w:r>
          </w:p>
          <w:p w:rsidR="009148E8" w:rsidRPr="00FC2D2B" w:rsidRDefault="009148E8" w:rsidP="002F5D6E">
            <w:pPr>
              <w:jc w:val="left"/>
              <w:rPr>
                <w:rFonts w:ascii="楷体_GB2312" w:eastAsia="楷体_GB2312" w:hAnsi="楷体"/>
                <w:i/>
                <w:color w:val="000000"/>
                <w:sz w:val="18"/>
                <w:szCs w:val="18"/>
              </w:rPr>
            </w:pPr>
            <w:r w:rsidRPr="00205537">
              <w:rPr>
                <w:rFonts w:ascii="楷体_GB2312" w:eastAsia="楷体_GB2312" w:hAnsi="楷体" w:hint="eastAsia"/>
                <w:color w:val="000000"/>
                <w:sz w:val="18"/>
                <w:szCs w:val="18"/>
              </w:rPr>
              <w:t>数据截至</w:t>
            </w:r>
            <w:r w:rsidR="00D45450">
              <w:rPr>
                <w:rFonts w:ascii="楷体_GB2312" w:eastAsia="楷体_GB2312" w:hAnsi="楷体" w:hint="eastAsia"/>
                <w:color w:val="000000"/>
                <w:sz w:val="18"/>
                <w:szCs w:val="18"/>
              </w:rPr>
              <w:t xml:space="preserve">： </w:t>
            </w:r>
            <w:r w:rsidRPr="00205537">
              <w:rPr>
                <w:rFonts w:ascii="楷体_GB2312" w:eastAsia="楷体_GB2312" w:hAnsi="楷体" w:hint="eastAsia"/>
                <w:color w:val="000000"/>
                <w:sz w:val="18"/>
                <w:szCs w:val="18"/>
              </w:rPr>
              <w:t>2016年</w:t>
            </w:r>
            <w:r w:rsidR="00794BDF">
              <w:rPr>
                <w:rFonts w:ascii="楷体_GB2312" w:eastAsia="楷体_GB2312" w:hAnsi="楷体"/>
                <w:color w:val="000000"/>
                <w:sz w:val="18"/>
                <w:szCs w:val="18"/>
              </w:rPr>
              <w:t>7</w:t>
            </w:r>
            <w:r>
              <w:rPr>
                <w:rFonts w:ascii="楷体_GB2312" w:eastAsia="楷体_GB2312" w:hAnsi="楷体"/>
                <w:color w:val="000000"/>
                <w:sz w:val="18"/>
                <w:szCs w:val="18"/>
              </w:rPr>
              <w:t>月</w:t>
            </w:r>
            <w:r w:rsidR="002F5D6E">
              <w:rPr>
                <w:rFonts w:ascii="楷体_GB2312" w:eastAsia="楷体_GB2312" w:hAnsi="楷体"/>
                <w:color w:val="000000"/>
                <w:sz w:val="18"/>
                <w:szCs w:val="18"/>
              </w:rPr>
              <w:t>25</w:t>
            </w:r>
            <w:r w:rsidRPr="00205537">
              <w:rPr>
                <w:rFonts w:ascii="楷体_GB2312" w:eastAsia="楷体_GB2312" w:hAnsi="楷体" w:hint="eastAsia"/>
                <w:color w:val="000000"/>
                <w:sz w:val="18"/>
                <w:szCs w:val="18"/>
              </w:rPr>
              <w:t>日</w:t>
            </w:r>
          </w:p>
        </w:tc>
      </w:tr>
    </w:tbl>
    <w:p w:rsidR="00794BDF" w:rsidRDefault="00794BDF" w:rsidP="001D75D7">
      <w:pPr>
        <w:spacing w:beforeLines="50" w:before="156" w:afterLines="50" w:after="156"/>
        <w:rPr>
          <w:rFonts w:ascii="楷体_GB2312" w:eastAsia="楷体_GB2312" w:hAnsi="楷体" w:cs="宋体-18030"/>
          <w:b/>
          <w:bCs/>
          <w:color w:val="003366"/>
          <w:kern w:val="44"/>
          <w:sz w:val="24"/>
        </w:rPr>
      </w:pPr>
    </w:p>
    <w:p w:rsidR="00FE2062" w:rsidRDefault="00FE2062" w:rsidP="001D75D7">
      <w:pPr>
        <w:spacing w:beforeLines="50" w:before="156" w:afterLines="50" w:after="156"/>
        <w:rPr>
          <w:rFonts w:ascii="楷体_GB2312" w:eastAsia="楷体_GB2312" w:hAnsi="楷体" w:cs="宋体-18030"/>
          <w:b/>
          <w:bCs/>
          <w:color w:val="003366"/>
          <w:kern w:val="44"/>
          <w:sz w:val="24"/>
        </w:rPr>
      </w:pPr>
    </w:p>
    <w:p w:rsidR="00FE2062" w:rsidRDefault="00FE2062" w:rsidP="001D75D7">
      <w:pPr>
        <w:spacing w:beforeLines="50" w:before="156" w:afterLines="50" w:after="156"/>
        <w:rPr>
          <w:rFonts w:ascii="楷体_GB2312" w:eastAsia="楷体_GB2312" w:hAnsi="楷体" w:cs="宋体-18030"/>
          <w:b/>
          <w:bCs/>
          <w:color w:val="003366"/>
          <w:kern w:val="44"/>
          <w:sz w:val="24"/>
        </w:rPr>
      </w:pPr>
      <w:bookmarkStart w:id="0" w:name="_GoBack"/>
      <w:bookmarkEnd w:id="0"/>
    </w:p>
    <w:p w:rsidR="00FE2062" w:rsidRPr="001D75D7" w:rsidRDefault="00FE2062" w:rsidP="001D75D7">
      <w:pPr>
        <w:spacing w:beforeLines="50" w:before="156" w:afterLines="50" w:after="156"/>
        <w:rPr>
          <w:rFonts w:ascii="楷体_GB2312" w:eastAsia="楷体_GB2312" w:hAnsi="楷体" w:cs="宋体-18030" w:hint="eastAsia"/>
          <w:b/>
          <w:bCs/>
          <w:color w:val="003366"/>
          <w:kern w:val="44"/>
          <w:sz w:val="24"/>
        </w:rPr>
      </w:pPr>
    </w:p>
    <w:p w:rsidR="00D90536" w:rsidRPr="00D90536" w:rsidRDefault="00D90536" w:rsidP="00D90536">
      <w:pPr>
        <w:spacing w:line="360" w:lineRule="auto"/>
        <w:ind w:leftChars="-135" w:left="-283"/>
        <w:jc w:val="left"/>
        <w:rPr>
          <w:rFonts w:ascii="楷体_GB2312" w:eastAsia="楷体_GB2312" w:hAnsi="楷体"/>
          <w:b/>
          <w:color w:val="000000"/>
          <w:sz w:val="18"/>
          <w:szCs w:val="18"/>
        </w:rPr>
      </w:pPr>
      <w:r w:rsidRPr="00D90536">
        <w:rPr>
          <w:rFonts w:ascii="楷体_GB2312" w:eastAsia="楷体_GB2312" w:hAnsi="楷体" w:hint="eastAsia"/>
          <w:b/>
          <w:color w:val="000000"/>
          <w:sz w:val="18"/>
          <w:szCs w:val="18"/>
        </w:rPr>
        <w:lastRenderedPageBreak/>
        <w:t>表</w:t>
      </w:r>
      <w:r>
        <w:rPr>
          <w:rFonts w:ascii="楷体_GB2312" w:eastAsia="楷体_GB2312" w:hAnsi="楷体"/>
          <w:b/>
          <w:color w:val="000000"/>
          <w:sz w:val="18"/>
          <w:szCs w:val="18"/>
        </w:rPr>
        <w:t>1</w:t>
      </w:r>
      <w:r w:rsidR="00D45450">
        <w:rPr>
          <w:rFonts w:ascii="楷体_GB2312" w:eastAsia="楷体_GB2312" w:hAnsi="楷体"/>
          <w:b/>
          <w:color w:val="000000"/>
          <w:sz w:val="18"/>
          <w:szCs w:val="18"/>
        </w:rPr>
        <w:t>.</w:t>
      </w:r>
      <w:r>
        <w:rPr>
          <w:rFonts w:ascii="楷体_GB2312" w:eastAsia="楷体_GB2312" w:hAnsi="楷体" w:hint="eastAsia"/>
          <w:b/>
          <w:color w:val="000000"/>
          <w:sz w:val="18"/>
          <w:szCs w:val="18"/>
        </w:rPr>
        <w:t>分级基金数据</w:t>
      </w:r>
    </w:p>
    <w:tbl>
      <w:tblPr>
        <w:tblW w:w="6149" w:type="pct"/>
        <w:tblInd w:w="-1281" w:type="dxa"/>
        <w:tblLayout w:type="fixed"/>
        <w:tblLook w:val="04A0" w:firstRow="1" w:lastRow="0" w:firstColumn="1" w:lastColumn="0" w:noHBand="0" w:noVBand="1"/>
      </w:tblPr>
      <w:tblGrid>
        <w:gridCol w:w="1275"/>
        <w:gridCol w:w="1277"/>
        <w:gridCol w:w="1293"/>
        <w:gridCol w:w="1276"/>
        <w:gridCol w:w="1276"/>
        <w:gridCol w:w="1283"/>
        <w:gridCol w:w="1276"/>
        <w:gridCol w:w="1276"/>
        <w:gridCol w:w="1267"/>
      </w:tblGrid>
      <w:tr w:rsidR="00C455FD" w:rsidRPr="00FC2D2B" w:rsidTr="002F5D6E">
        <w:trPr>
          <w:trHeight w:val="439"/>
        </w:trPr>
        <w:tc>
          <w:tcPr>
            <w:tcW w:w="1671" w:type="pct"/>
            <w:gridSpan w:val="3"/>
            <w:tcBorders>
              <w:top w:val="single" w:sz="4" w:space="0" w:color="DA9694"/>
              <w:left w:val="single" w:sz="4" w:space="0" w:color="DA9694"/>
              <w:bottom w:val="single" w:sz="4" w:space="0" w:color="DA9694"/>
              <w:right w:val="nil"/>
            </w:tcBorders>
            <w:shd w:val="clear" w:color="C0504D" w:fill="C0504D"/>
            <w:noWrap/>
            <w:vAlign w:val="center"/>
            <w:hideMark/>
          </w:tcPr>
          <w:p w:rsidR="00C455FD" w:rsidRPr="00B32035" w:rsidRDefault="00C455FD" w:rsidP="00C455FD">
            <w:pPr>
              <w:jc w:val="center"/>
              <w:rPr>
                <w:rFonts w:ascii="楷体_GB2312" w:eastAsia="楷体_GB2312" w:hAnsi="楷体" w:cs="宋体"/>
                <w:b/>
                <w:bCs/>
                <w:color w:val="FFFFFF"/>
                <w:kern w:val="0"/>
                <w:sz w:val="18"/>
                <w:szCs w:val="18"/>
              </w:rPr>
            </w:pPr>
            <w:r w:rsidRPr="00B32035">
              <w:rPr>
                <w:rFonts w:ascii="楷体_GB2312" w:eastAsia="楷体_GB2312" w:hAnsi="楷体" w:cs="宋体" w:hint="eastAsia"/>
                <w:b/>
                <w:bCs/>
                <w:color w:val="FFFFFF"/>
                <w:kern w:val="0"/>
                <w:sz w:val="18"/>
                <w:szCs w:val="18"/>
              </w:rPr>
              <w:t>股票分级B价格涨幅前十</w:t>
            </w:r>
          </w:p>
        </w:tc>
        <w:tc>
          <w:tcPr>
            <w:tcW w:w="1668" w:type="pct"/>
            <w:gridSpan w:val="3"/>
            <w:tcBorders>
              <w:top w:val="single" w:sz="4" w:space="0" w:color="DA9694"/>
              <w:left w:val="single" w:sz="4" w:space="0" w:color="DA9694"/>
              <w:bottom w:val="single" w:sz="4" w:space="0" w:color="DA9694"/>
              <w:right w:val="nil"/>
            </w:tcBorders>
            <w:shd w:val="clear" w:color="C0504D" w:fill="C0504D"/>
            <w:vAlign w:val="center"/>
          </w:tcPr>
          <w:p w:rsidR="00C455FD" w:rsidRPr="00B32035" w:rsidRDefault="00C455FD" w:rsidP="00C455FD">
            <w:pPr>
              <w:jc w:val="center"/>
              <w:rPr>
                <w:rFonts w:ascii="楷体_GB2312" w:eastAsia="楷体_GB2312" w:hAnsi="楷体" w:cs="宋体"/>
                <w:b/>
                <w:bCs/>
                <w:color w:val="FFFFFF"/>
                <w:kern w:val="0"/>
                <w:sz w:val="18"/>
                <w:szCs w:val="18"/>
              </w:rPr>
            </w:pPr>
            <w:r w:rsidRPr="00B32035">
              <w:rPr>
                <w:rFonts w:ascii="楷体_GB2312" w:eastAsia="楷体_GB2312" w:hAnsi="楷体" w:cs="宋体" w:hint="eastAsia"/>
                <w:b/>
                <w:bCs/>
                <w:color w:val="FFFFFF"/>
                <w:kern w:val="0"/>
                <w:sz w:val="18"/>
                <w:szCs w:val="18"/>
              </w:rPr>
              <w:t>股票分级B价格涨幅前十</w:t>
            </w:r>
          </w:p>
        </w:tc>
        <w:tc>
          <w:tcPr>
            <w:tcW w:w="1661" w:type="pct"/>
            <w:gridSpan w:val="3"/>
            <w:tcBorders>
              <w:top w:val="single" w:sz="4" w:space="0" w:color="DA9694"/>
              <w:left w:val="single" w:sz="4" w:space="0" w:color="DA9694"/>
              <w:bottom w:val="single" w:sz="4" w:space="0" w:color="DA9694"/>
              <w:right w:val="nil"/>
            </w:tcBorders>
            <w:shd w:val="clear" w:color="C0504D" w:fill="C0504D"/>
            <w:vAlign w:val="center"/>
          </w:tcPr>
          <w:p w:rsidR="00C455FD" w:rsidRPr="00B32035" w:rsidRDefault="00C455FD" w:rsidP="00C455FD">
            <w:pPr>
              <w:jc w:val="center"/>
              <w:rPr>
                <w:rFonts w:ascii="楷体_GB2312" w:eastAsia="楷体_GB2312" w:hAnsi="楷体" w:cs="宋体"/>
                <w:b/>
                <w:bCs/>
                <w:color w:val="FFFFFF"/>
                <w:kern w:val="0"/>
                <w:sz w:val="18"/>
                <w:szCs w:val="18"/>
              </w:rPr>
            </w:pPr>
            <w:r w:rsidRPr="00B32035">
              <w:rPr>
                <w:rFonts w:ascii="楷体_GB2312" w:eastAsia="楷体_GB2312" w:hAnsi="楷体" w:cs="宋体" w:hint="eastAsia"/>
                <w:b/>
                <w:bCs/>
                <w:color w:val="FFFFFF"/>
                <w:kern w:val="0"/>
                <w:sz w:val="18"/>
                <w:szCs w:val="18"/>
              </w:rPr>
              <w:t>股票分级B价格涨幅前十</w:t>
            </w:r>
          </w:p>
        </w:tc>
      </w:tr>
      <w:tr w:rsidR="00C455FD" w:rsidRPr="00FC2D2B" w:rsidTr="002F5D6E">
        <w:trPr>
          <w:trHeight w:val="439"/>
        </w:trPr>
        <w:tc>
          <w:tcPr>
            <w:tcW w:w="554" w:type="pct"/>
            <w:tcBorders>
              <w:top w:val="single" w:sz="4" w:space="0" w:color="DA9694"/>
              <w:left w:val="single" w:sz="4" w:space="0" w:color="DA9694"/>
              <w:bottom w:val="single" w:sz="4" w:space="0" w:color="DA9694"/>
              <w:right w:val="nil"/>
            </w:tcBorders>
            <w:shd w:val="clear" w:color="auto" w:fill="auto"/>
            <w:noWrap/>
            <w:vAlign w:val="center"/>
          </w:tcPr>
          <w:p w:rsidR="00C455FD" w:rsidRPr="00C455FD" w:rsidRDefault="00C455FD" w:rsidP="00C455FD">
            <w:pPr>
              <w:widowControl/>
              <w:jc w:val="center"/>
              <w:rPr>
                <w:rFonts w:ascii="楷体_GB2312" w:eastAsia="楷体_GB2312" w:hAnsi="宋体" w:cs="宋体"/>
                <w:color w:val="000000"/>
                <w:kern w:val="0"/>
                <w:sz w:val="18"/>
                <w:szCs w:val="18"/>
              </w:rPr>
            </w:pPr>
            <w:r w:rsidRPr="00C455FD">
              <w:rPr>
                <w:rFonts w:ascii="楷体_GB2312" w:eastAsia="楷体_GB2312" w:hAnsi="宋体" w:cs="宋体" w:hint="eastAsia"/>
                <w:color w:val="000000"/>
                <w:kern w:val="0"/>
                <w:sz w:val="18"/>
                <w:szCs w:val="18"/>
              </w:rPr>
              <w:t>基金代码</w:t>
            </w:r>
          </w:p>
        </w:tc>
        <w:tc>
          <w:tcPr>
            <w:tcW w:w="555" w:type="pct"/>
            <w:tcBorders>
              <w:top w:val="single" w:sz="4" w:space="0" w:color="DA9694"/>
              <w:left w:val="single" w:sz="4" w:space="0" w:color="DA9694"/>
              <w:bottom w:val="single" w:sz="4" w:space="0" w:color="DA9694"/>
              <w:right w:val="single" w:sz="4" w:space="0" w:color="DA9694"/>
            </w:tcBorders>
            <w:shd w:val="clear" w:color="auto" w:fill="auto"/>
            <w:vAlign w:val="center"/>
          </w:tcPr>
          <w:p w:rsidR="00C455FD" w:rsidRPr="00C455FD" w:rsidRDefault="00C455FD" w:rsidP="00C455FD">
            <w:pPr>
              <w:widowControl/>
              <w:jc w:val="center"/>
              <w:rPr>
                <w:rFonts w:ascii="楷体_GB2312" w:eastAsia="楷体_GB2312" w:hAnsi="宋体" w:cs="宋体"/>
                <w:color w:val="000000"/>
                <w:kern w:val="0"/>
                <w:sz w:val="18"/>
                <w:szCs w:val="18"/>
              </w:rPr>
            </w:pPr>
            <w:r w:rsidRPr="00C455FD">
              <w:rPr>
                <w:rFonts w:ascii="楷体_GB2312" w:eastAsia="楷体_GB2312" w:hAnsi="宋体" w:cs="宋体" w:hint="eastAsia"/>
                <w:color w:val="000000"/>
                <w:kern w:val="0"/>
                <w:sz w:val="18"/>
                <w:szCs w:val="18"/>
              </w:rPr>
              <w:t>基金简称</w:t>
            </w:r>
          </w:p>
        </w:tc>
        <w:tc>
          <w:tcPr>
            <w:tcW w:w="561" w:type="pct"/>
            <w:tcBorders>
              <w:top w:val="single" w:sz="4" w:space="0" w:color="DA9694"/>
              <w:left w:val="single" w:sz="4" w:space="0" w:color="DA9694"/>
              <w:bottom w:val="single" w:sz="4" w:space="0" w:color="DA9694"/>
              <w:right w:val="single" w:sz="4" w:space="0" w:color="DA9694"/>
            </w:tcBorders>
            <w:shd w:val="clear" w:color="auto" w:fill="auto"/>
            <w:vAlign w:val="center"/>
          </w:tcPr>
          <w:p w:rsidR="00C455FD" w:rsidRPr="00C455FD" w:rsidRDefault="00C455FD" w:rsidP="00C455FD">
            <w:pPr>
              <w:widowControl/>
              <w:jc w:val="center"/>
              <w:rPr>
                <w:rFonts w:ascii="楷体_GB2312" w:eastAsia="楷体_GB2312" w:hAnsi="宋体" w:cs="宋体"/>
                <w:color w:val="000000"/>
                <w:kern w:val="0"/>
                <w:sz w:val="18"/>
                <w:szCs w:val="18"/>
              </w:rPr>
            </w:pPr>
            <w:r w:rsidRPr="00C455FD">
              <w:rPr>
                <w:rFonts w:ascii="楷体_GB2312" w:eastAsia="楷体_GB2312" w:hAnsi="宋体" w:cs="宋体" w:hint="eastAsia"/>
                <w:color w:val="000000"/>
                <w:kern w:val="0"/>
                <w:sz w:val="18"/>
                <w:szCs w:val="18"/>
              </w:rPr>
              <w:t>价格涨幅（%）</w:t>
            </w:r>
          </w:p>
        </w:tc>
        <w:tc>
          <w:tcPr>
            <w:tcW w:w="555" w:type="pct"/>
            <w:tcBorders>
              <w:top w:val="single" w:sz="4" w:space="0" w:color="DA9694"/>
              <w:left w:val="single" w:sz="4" w:space="0" w:color="DA9694"/>
              <w:bottom w:val="single" w:sz="4" w:space="0" w:color="DA9694"/>
              <w:right w:val="nil"/>
            </w:tcBorders>
            <w:shd w:val="clear" w:color="auto" w:fill="auto"/>
            <w:vAlign w:val="center"/>
          </w:tcPr>
          <w:p w:rsidR="00C455FD" w:rsidRPr="00C455FD" w:rsidRDefault="00C455FD" w:rsidP="00C455FD">
            <w:pPr>
              <w:widowControl/>
              <w:jc w:val="center"/>
              <w:rPr>
                <w:rFonts w:ascii="楷体_GB2312" w:eastAsia="楷体_GB2312" w:hAnsi="宋体" w:cs="宋体"/>
                <w:color w:val="000000"/>
                <w:kern w:val="0"/>
                <w:sz w:val="18"/>
                <w:szCs w:val="18"/>
              </w:rPr>
            </w:pPr>
            <w:r w:rsidRPr="00C455FD">
              <w:rPr>
                <w:rFonts w:ascii="楷体_GB2312" w:eastAsia="楷体_GB2312" w:hAnsi="宋体" w:cs="宋体" w:hint="eastAsia"/>
                <w:color w:val="000000"/>
                <w:kern w:val="0"/>
                <w:sz w:val="18"/>
                <w:szCs w:val="18"/>
              </w:rPr>
              <w:t>基金代码</w:t>
            </w:r>
          </w:p>
        </w:tc>
        <w:tc>
          <w:tcPr>
            <w:tcW w:w="555" w:type="pct"/>
            <w:tcBorders>
              <w:top w:val="single" w:sz="4" w:space="0" w:color="DA9694"/>
              <w:left w:val="single" w:sz="4" w:space="0" w:color="DA9694"/>
              <w:bottom w:val="single" w:sz="4" w:space="0" w:color="DA9694"/>
              <w:right w:val="nil"/>
            </w:tcBorders>
            <w:shd w:val="clear" w:color="auto" w:fill="auto"/>
            <w:vAlign w:val="center"/>
          </w:tcPr>
          <w:p w:rsidR="00C455FD" w:rsidRPr="00C455FD" w:rsidRDefault="00C455FD" w:rsidP="00C455FD">
            <w:pPr>
              <w:widowControl/>
              <w:jc w:val="center"/>
              <w:rPr>
                <w:rFonts w:ascii="楷体_GB2312" w:eastAsia="楷体_GB2312" w:hAnsi="宋体" w:cs="宋体"/>
                <w:color w:val="000000"/>
                <w:kern w:val="0"/>
                <w:sz w:val="18"/>
                <w:szCs w:val="18"/>
              </w:rPr>
            </w:pPr>
            <w:r w:rsidRPr="00C455FD">
              <w:rPr>
                <w:rFonts w:ascii="楷体_GB2312" w:eastAsia="楷体_GB2312" w:hAnsi="宋体" w:cs="宋体" w:hint="eastAsia"/>
                <w:color w:val="000000"/>
                <w:kern w:val="0"/>
                <w:sz w:val="18"/>
                <w:szCs w:val="18"/>
              </w:rPr>
              <w:t>基金简称</w:t>
            </w:r>
          </w:p>
        </w:tc>
        <w:tc>
          <w:tcPr>
            <w:tcW w:w="558" w:type="pct"/>
            <w:tcBorders>
              <w:top w:val="single" w:sz="4" w:space="0" w:color="DA9694"/>
              <w:left w:val="single" w:sz="4" w:space="0" w:color="DA9694"/>
              <w:bottom w:val="single" w:sz="4" w:space="0" w:color="DA9694"/>
              <w:right w:val="nil"/>
            </w:tcBorders>
            <w:shd w:val="clear" w:color="auto" w:fill="auto"/>
            <w:vAlign w:val="center"/>
          </w:tcPr>
          <w:p w:rsidR="00C455FD" w:rsidRPr="00C455FD" w:rsidRDefault="00C455FD" w:rsidP="00C455FD">
            <w:pPr>
              <w:widowControl/>
              <w:jc w:val="center"/>
              <w:rPr>
                <w:rFonts w:ascii="楷体_GB2312" w:eastAsia="楷体_GB2312" w:hAnsi="宋体" w:cs="宋体"/>
                <w:color w:val="000000"/>
                <w:kern w:val="0"/>
                <w:sz w:val="18"/>
                <w:szCs w:val="18"/>
              </w:rPr>
            </w:pPr>
            <w:r w:rsidRPr="00C455FD">
              <w:rPr>
                <w:rFonts w:ascii="楷体_GB2312" w:eastAsia="楷体_GB2312" w:hAnsi="宋体" w:cs="宋体" w:hint="eastAsia"/>
                <w:color w:val="000000"/>
                <w:kern w:val="0"/>
                <w:sz w:val="18"/>
                <w:szCs w:val="18"/>
              </w:rPr>
              <w:t>价格涨幅（%）</w:t>
            </w:r>
          </w:p>
        </w:tc>
        <w:tc>
          <w:tcPr>
            <w:tcW w:w="555" w:type="pct"/>
            <w:tcBorders>
              <w:top w:val="single" w:sz="4" w:space="0" w:color="DA9694"/>
              <w:left w:val="single" w:sz="4" w:space="0" w:color="DA9694"/>
              <w:bottom w:val="single" w:sz="4" w:space="0" w:color="DA9694"/>
              <w:right w:val="nil"/>
            </w:tcBorders>
            <w:shd w:val="clear" w:color="auto" w:fill="auto"/>
            <w:vAlign w:val="center"/>
          </w:tcPr>
          <w:p w:rsidR="00C455FD" w:rsidRPr="00C455FD" w:rsidRDefault="00C455FD" w:rsidP="00C455FD">
            <w:pPr>
              <w:widowControl/>
              <w:jc w:val="center"/>
              <w:rPr>
                <w:rFonts w:ascii="楷体_GB2312" w:eastAsia="楷体_GB2312" w:hAnsi="宋体" w:cs="宋体"/>
                <w:color w:val="000000"/>
                <w:kern w:val="0"/>
                <w:sz w:val="18"/>
                <w:szCs w:val="18"/>
              </w:rPr>
            </w:pPr>
            <w:r w:rsidRPr="00C455FD">
              <w:rPr>
                <w:rFonts w:ascii="楷体_GB2312" w:eastAsia="楷体_GB2312" w:hAnsi="宋体" w:cs="宋体" w:hint="eastAsia"/>
                <w:color w:val="000000"/>
                <w:kern w:val="0"/>
                <w:sz w:val="18"/>
                <w:szCs w:val="18"/>
              </w:rPr>
              <w:t>基金代码</w:t>
            </w:r>
          </w:p>
        </w:tc>
        <w:tc>
          <w:tcPr>
            <w:tcW w:w="555" w:type="pct"/>
            <w:tcBorders>
              <w:top w:val="single" w:sz="4" w:space="0" w:color="DA9694"/>
              <w:left w:val="single" w:sz="4" w:space="0" w:color="DA9694"/>
              <w:bottom w:val="single" w:sz="4" w:space="0" w:color="DA9694"/>
              <w:right w:val="nil"/>
            </w:tcBorders>
            <w:shd w:val="clear" w:color="auto" w:fill="auto"/>
            <w:vAlign w:val="center"/>
          </w:tcPr>
          <w:p w:rsidR="00C455FD" w:rsidRPr="00C455FD" w:rsidRDefault="00C455FD" w:rsidP="00C455FD">
            <w:pPr>
              <w:widowControl/>
              <w:jc w:val="center"/>
              <w:rPr>
                <w:rFonts w:ascii="楷体_GB2312" w:eastAsia="楷体_GB2312" w:hAnsi="宋体" w:cs="宋体"/>
                <w:color w:val="000000"/>
                <w:kern w:val="0"/>
                <w:sz w:val="18"/>
                <w:szCs w:val="18"/>
              </w:rPr>
            </w:pPr>
            <w:r w:rsidRPr="00C455FD">
              <w:rPr>
                <w:rFonts w:ascii="楷体_GB2312" w:eastAsia="楷体_GB2312" w:hAnsi="宋体" w:cs="宋体" w:hint="eastAsia"/>
                <w:color w:val="000000"/>
                <w:kern w:val="0"/>
                <w:sz w:val="18"/>
                <w:szCs w:val="18"/>
              </w:rPr>
              <w:t>基金简称</w:t>
            </w:r>
          </w:p>
        </w:tc>
        <w:tc>
          <w:tcPr>
            <w:tcW w:w="552" w:type="pct"/>
            <w:tcBorders>
              <w:top w:val="single" w:sz="4" w:space="0" w:color="DA9694"/>
              <w:left w:val="single" w:sz="4" w:space="0" w:color="DA9694"/>
              <w:bottom w:val="single" w:sz="4" w:space="0" w:color="DA9694"/>
              <w:right w:val="nil"/>
            </w:tcBorders>
            <w:shd w:val="clear" w:color="auto" w:fill="auto"/>
            <w:vAlign w:val="center"/>
          </w:tcPr>
          <w:p w:rsidR="00C455FD" w:rsidRPr="00C455FD" w:rsidRDefault="00C455FD" w:rsidP="00C455FD">
            <w:pPr>
              <w:widowControl/>
              <w:jc w:val="center"/>
              <w:rPr>
                <w:rFonts w:ascii="楷体_GB2312" w:eastAsia="楷体_GB2312" w:hAnsi="宋体" w:cs="宋体"/>
                <w:color w:val="000000"/>
                <w:kern w:val="0"/>
                <w:sz w:val="18"/>
                <w:szCs w:val="18"/>
              </w:rPr>
            </w:pPr>
            <w:r w:rsidRPr="00C455FD">
              <w:rPr>
                <w:rFonts w:ascii="楷体_GB2312" w:eastAsia="楷体_GB2312" w:hAnsi="宋体" w:cs="宋体" w:hint="eastAsia"/>
                <w:color w:val="000000"/>
                <w:kern w:val="0"/>
                <w:sz w:val="18"/>
                <w:szCs w:val="18"/>
              </w:rPr>
              <w:t>预期收益率（%）</w:t>
            </w:r>
          </w:p>
        </w:tc>
      </w:tr>
      <w:tr w:rsidR="002F5D6E" w:rsidRPr="00FC2D2B" w:rsidTr="002F5D6E">
        <w:trPr>
          <w:trHeight w:val="439"/>
        </w:trPr>
        <w:tc>
          <w:tcPr>
            <w:tcW w:w="554" w:type="pct"/>
            <w:tcBorders>
              <w:top w:val="single" w:sz="4" w:space="0" w:color="DA9694"/>
              <w:left w:val="single" w:sz="4" w:space="0" w:color="DA9694"/>
              <w:bottom w:val="single" w:sz="4" w:space="0" w:color="DA9694"/>
              <w:right w:val="nil"/>
            </w:tcBorders>
            <w:shd w:val="clear" w:color="F2DCDB" w:fill="F2DCDB"/>
            <w:noWrap/>
            <w:vAlign w:val="center"/>
            <w:hideMark/>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150272.SZ</w:t>
            </w:r>
          </w:p>
        </w:tc>
        <w:tc>
          <w:tcPr>
            <w:tcW w:w="555"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2F5D6E" w:rsidRPr="002F5D6E" w:rsidRDefault="002F5D6E" w:rsidP="002F5D6E">
            <w:pPr>
              <w:jc w:val="center"/>
              <w:rPr>
                <w:rFonts w:ascii="楷体_GB2312" w:eastAsia="楷体_GB2312" w:hAnsi="宋体" w:cs="宋体"/>
                <w:color w:val="000000"/>
                <w:kern w:val="0"/>
                <w:sz w:val="18"/>
                <w:szCs w:val="18"/>
              </w:rPr>
            </w:pPr>
            <w:proofErr w:type="gramStart"/>
            <w:r w:rsidRPr="002F5D6E">
              <w:rPr>
                <w:rFonts w:ascii="楷体_GB2312" w:eastAsia="楷体_GB2312" w:hAnsi="宋体" w:cs="宋体" w:hint="eastAsia"/>
                <w:color w:val="000000"/>
                <w:kern w:val="0"/>
                <w:sz w:val="18"/>
                <w:szCs w:val="18"/>
              </w:rPr>
              <w:t>招商国证生物</w:t>
            </w:r>
            <w:proofErr w:type="gramEnd"/>
            <w:r w:rsidRPr="002F5D6E">
              <w:rPr>
                <w:rFonts w:ascii="楷体_GB2312" w:eastAsia="楷体_GB2312" w:hAnsi="宋体" w:cs="宋体" w:hint="eastAsia"/>
                <w:color w:val="000000"/>
                <w:kern w:val="0"/>
                <w:sz w:val="18"/>
                <w:szCs w:val="18"/>
              </w:rPr>
              <w:t>医药B</w:t>
            </w:r>
          </w:p>
        </w:tc>
        <w:tc>
          <w:tcPr>
            <w:tcW w:w="561"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4.47</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150021.SZ</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富国汇利回报分级B</w:t>
            </w:r>
          </w:p>
        </w:tc>
        <w:tc>
          <w:tcPr>
            <w:tcW w:w="558"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1.85</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150331.SZ</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建信中证互联网金融A</w:t>
            </w:r>
          </w:p>
        </w:tc>
        <w:tc>
          <w:tcPr>
            <w:tcW w:w="552"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5.46</w:t>
            </w:r>
          </w:p>
        </w:tc>
      </w:tr>
      <w:tr w:rsidR="002F5D6E" w:rsidRPr="00FC2D2B" w:rsidTr="002F5D6E">
        <w:trPr>
          <w:trHeight w:val="439"/>
        </w:trPr>
        <w:tc>
          <w:tcPr>
            <w:tcW w:w="554" w:type="pct"/>
            <w:tcBorders>
              <w:top w:val="single" w:sz="4" w:space="0" w:color="DA9694"/>
              <w:left w:val="single" w:sz="4" w:space="0" w:color="DA9694"/>
              <w:bottom w:val="single" w:sz="4" w:space="0" w:color="DA9694"/>
              <w:right w:val="nil"/>
            </w:tcBorders>
            <w:shd w:val="clear" w:color="auto" w:fill="auto"/>
            <w:noWrap/>
            <w:vAlign w:val="center"/>
            <w:hideMark/>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150170.SZ</w:t>
            </w:r>
          </w:p>
        </w:tc>
        <w:tc>
          <w:tcPr>
            <w:tcW w:w="555" w:type="pct"/>
            <w:tcBorders>
              <w:top w:val="single" w:sz="4" w:space="0" w:color="DA9694"/>
              <w:left w:val="single" w:sz="4" w:space="0" w:color="DA9694"/>
              <w:bottom w:val="single" w:sz="4" w:space="0" w:color="DA9694"/>
              <w:right w:val="single" w:sz="4" w:space="0" w:color="DA9694"/>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proofErr w:type="gramStart"/>
            <w:r w:rsidRPr="002F5D6E">
              <w:rPr>
                <w:rFonts w:ascii="楷体_GB2312" w:eastAsia="楷体_GB2312" w:hAnsi="宋体" w:cs="宋体" w:hint="eastAsia"/>
                <w:color w:val="000000"/>
                <w:kern w:val="0"/>
                <w:sz w:val="18"/>
                <w:szCs w:val="18"/>
              </w:rPr>
              <w:t>汇添富</w:t>
            </w:r>
            <w:proofErr w:type="gramEnd"/>
            <w:r w:rsidRPr="002F5D6E">
              <w:rPr>
                <w:rFonts w:ascii="楷体_GB2312" w:eastAsia="楷体_GB2312" w:hAnsi="宋体" w:cs="宋体" w:hint="eastAsia"/>
                <w:color w:val="000000"/>
                <w:kern w:val="0"/>
                <w:sz w:val="18"/>
                <w:szCs w:val="18"/>
              </w:rPr>
              <w:t>恒生指数B</w:t>
            </w:r>
          </w:p>
        </w:tc>
        <w:tc>
          <w:tcPr>
            <w:tcW w:w="561" w:type="pct"/>
            <w:tcBorders>
              <w:top w:val="single" w:sz="4" w:space="0" w:color="DA9694"/>
              <w:left w:val="single" w:sz="4" w:space="0" w:color="DA9694"/>
              <w:bottom w:val="single" w:sz="4" w:space="0" w:color="DA9694"/>
              <w:right w:val="single" w:sz="4" w:space="0" w:color="DA9694"/>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2.56</w:t>
            </w:r>
          </w:p>
        </w:tc>
        <w:tc>
          <w:tcPr>
            <w:tcW w:w="555"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150160.SZ</w:t>
            </w:r>
          </w:p>
        </w:tc>
        <w:tc>
          <w:tcPr>
            <w:tcW w:w="555"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融通</w:t>
            </w:r>
            <w:proofErr w:type="gramStart"/>
            <w:r w:rsidRPr="002F5D6E">
              <w:rPr>
                <w:rFonts w:ascii="楷体_GB2312" w:eastAsia="楷体_GB2312" w:hAnsi="宋体" w:cs="宋体" w:hint="eastAsia"/>
                <w:color w:val="000000"/>
                <w:kern w:val="0"/>
                <w:sz w:val="18"/>
                <w:szCs w:val="18"/>
              </w:rPr>
              <w:t>通</w:t>
            </w:r>
            <w:proofErr w:type="gramEnd"/>
            <w:r w:rsidRPr="002F5D6E">
              <w:rPr>
                <w:rFonts w:ascii="楷体_GB2312" w:eastAsia="楷体_GB2312" w:hAnsi="宋体" w:cs="宋体" w:hint="eastAsia"/>
                <w:color w:val="000000"/>
                <w:kern w:val="0"/>
                <w:sz w:val="18"/>
                <w:szCs w:val="18"/>
              </w:rPr>
              <w:t>福B</w:t>
            </w:r>
          </w:p>
        </w:tc>
        <w:tc>
          <w:tcPr>
            <w:tcW w:w="558"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1.22</w:t>
            </w:r>
          </w:p>
        </w:tc>
        <w:tc>
          <w:tcPr>
            <w:tcW w:w="555"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150321.SZ</w:t>
            </w:r>
          </w:p>
        </w:tc>
        <w:tc>
          <w:tcPr>
            <w:tcW w:w="555" w:type="pct"/>
            <w:tcBorders>
              <w:top w:val="single" w:sz="4" w:space="0" w:color="DA9694"/>
              <w:left w:val="single" w:sz="4" w:space="0" w:color="DA9694"/>
              <w:bottom w:val="single" w:sz="4" w:space="0" w:color="DA9694"/>
              <w:right w:val="nil"/>
            </w:tcBorders>
            <w:shd w:val="clear" w:color="auto" w:fill="auto"/>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富国中证煤炭A</w:t>
            </w:r>
          </w:p>
        </w:tc>
        <w:tc>
          <w:tcPr>
            <w:tcW w:w="552" w:type="pct"/>
            <w:tcBorders>
              <w:top w:val="single" w:sz="4" w:space="0" w:color="DA9694"/>
              <w:left w:val="single" w:sz="4" w:space="0" w:color="DA9694"/>
              <w:bottom w:val="single" w:sz="4" w:space="0" w:color="DA9694"/>
              <w:right w:val="nil"/>
            </w:tcBorders>
            <w:shd w:val="clear" w:color="auto" w:fill="auto"/>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5.42</w:t>
            </w:r>
          </w:p>
        </w:tc>
      </w:tr>
      <w:tr w:rsidR="002F5D6E" w:rsidRPr="00FC2D2B" w:rsidTr="002F5D6E">
        <w:trPr>
          <w:trHeight w:val="439"/>
        </w:trPr>
        <w:tc>
          <w:tcPr>
            <w:tcW w:w="554" w:type="pct"/>
            <w:tcBorders>
              <w:top w:val="single" w:sz="4" w:space="0" w:color="DA9694"/>
              <w:left w:val="single" w:sz="4" w:space="0" w:color="DA9694"/>
              <w:bottom w:val="single" w:sz="4" w:space="0" w:color="DA9694"/>
              <w:right w:val="nil"/>
            </w:tcBorders>
            <w:shd w:val="clear" w:color="F2DCDB" w:fill="F2DCDB"/>
            <w:noWrap/>
            <w:vAlign w:val="center"/>
            <w:hideMark/>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150122.SZ</w:t>
            </w:r>
          </w:p>
        </w:tc>
        <w:tc>
          <w:tcPr>
            <w:tcW w:w="555"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银河沪深300成长B</w:t>
            </w:r>
          </w:p>
        </w:tc>
        <w:tc>
          <w:tcPr>
            <w:tcW w:w="561"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2.11</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150067.SZ</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国泰互利B</w:t>
            </w:r>
          </w:p>
        </w:tc>
        <w:tc>
          <w:tcPr>
            <w:tcW w:w="558"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1.01</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150221.SZ</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前海开源中航军工A</w:t>
            </w:r>
          </w:p>
        </w:tc>
        <w:tc>
          <w:tcPr>
            <w:tcW w:w="552"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5.41</w:t>
            </w:r>
          </w:p>
        </w:tc>
      </w:tr>
      <w:tr w:rsidR="002F5D6E" w:rsidRPr="00FC2D2B" w:rsidTr="002F5D6E">
        <w:trPr>
          <w:trHeight w:val="439"/>
        </w:trPr>
        <w:tc>
          <w:tcPr>
            <w:tcW w:w="554" w:type="pct"/>
            <w:tcBorders>
              <w:top w:val="single" w:sz="4" w:space="0" w:color="DA9694"/>
              <w:left w:val="single" w:sz="4" w:space="0" w:color="DA9694"/>
              <w:bottom w:val="single" w:sz="4" w:space="0" w:color="DA9694"/>
              <w:right w:val="nil"/>
            </w:tcBorders>
            <w:shd w:val="clear" w:color="auto" w:fill="auto"/>
            <w:noWrap/>
            <w:vAlign w:val="center"/>
            <w:hideMark/>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150308.SZ</w:t>
            </w:r>
          </w:p>
        </w:tc>
        <w:tc>
          <w:tcPr>
            <w:tcW w:w="555" w:type="pct"/>
            <w:tcBorders>
              <w:top w:val="single" w:sz="4" w:space="0" w:color="DA9694"/>
              <w:left w:val="single" w:sz="4" w:space="0" w:color="DA9694"/>
              <w:bottom w:val="single" w:sz="4" w:space="0" w:color="DA9694"/>
              <w:right w:val="single" w:sz="4" w:space="0" w:color="DA9694"/>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富国中</w:t>
            </w:r>
            <w:proofErr w:type="gramStart"/>
            <w:r w:rsidRPr="002F5D6E">
              <w:rPr>
                <w:rFonts w:ascii="楷体_GB2312" w:eastAsia="楷体_GB2312" w:hAnsi="宋体" w:cs="宋体" w:hint="eastAsia"/>
                <w:color w:val="000000"/>
                <w:kern w:val="0"/>
                <w:sz w:val="18"/>
                <w:szCs w:val="18"/>
              </w:rPr>
              <w:t>证体育</w:t>
            </w:r>
            <w:proofErr w:type="gramEnd"/>
            <w:r w:rsidRPr="002F5D6E">
              <w:rPr>
                <w:rFonts w:ascii="楷体_GB2312" w:eastAsia="楷体_GB2312" w:hAnsi="宋体" w:cs="宋体" w:hint="eastAsia"/>
                <w:color w:val="000000"/>
                <w:kern w:val="0"/>
                <w:sz w:val="18"/>
                <w:szCs w:val="18"/>
              </w:rPr>
              <w:t>产业B</w:t>
            </w:r>
          </w:p>
        </w:tc>
        <w:tc>
          <w:tcPr>
            <w:tcW w:w="561" w:type="pct"/>
            <w:tcBorders>
              <w:top w:val="single" w:sz="4" w:space="0" w:color="DA9694"/>
              <w:left w:val="single" w:sz="4" w:space="0" w:color="DA9694"/>
              <w:bottom w:val="single" w:sz="4" w:space="0" w:color="DA9694"/>
              <w:right w:val="single" w:sz="4" w:space="0" w:color="DA9694"/>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1.53</w:t>
            </w:r>
          </w:p>
        </w:tc>
        <w:tc>
          <w:tcPr>
            <w:tcW w:w="555"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150154.SZ</w:t>
            </w:r>
          </w:p>
        </w:tc>
        <w:tc>
          <w:tcPr>
            <w:tcW w:w="555"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中</w:t>
            </w:r>
            <w:proofErr w:type="gramStart"/>
            <w:r w:rsidRPr="002F5D6E">
              <w:rPr>
                <w:rFonts w:ascii="楷体_GB2312" w:eastAsia="楷体_GB2312" w:hAnsi="宋体" w:cs="宋体" w:hint="eastAsia"/>
                <w:color w:val="000000"/>
                <w:kern w:val="0"/>
                <w:sz w:val="18"/>
                <w:szCs w:val="18"/>
              </w:rPr>
              <w:t>海惠丰纯债</w:t>
            </w:r>
            <w:proofErr w:type="gramEnd"/>
            <w:r w:rsidRPr="002F5D6E">
              <w:rPr>
                <w:rFonts w:ascii="楷体_GB2312" w:eastAsia="楷体_GB2312" w:hAnsi="宋体" w:cs="宋体" w:hint="eastAsia"/>
                <w:color w:val="000000"/>
                <w:kern w:val="0"/>
                <w:sz w:val="18"/>
                <w:szCs w:val="18"/>
              </w:rPr>
              <w:t>B</w:t>
            </w:r>
          </w:p>
        </w:tc>
        <w:tc>
          <w:tcPr>
            <w:tcW w:w="558"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0.98</w:t>
            </w:r>
          </w:p>
        </w:tc>
        <w:tc>
          <w:tcPr>
            <w:tcW w:w="555"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150303.SZ</w:t>
            </w:r>
          </w:p>
        </w:tc>
        <w:tc>
          <w:tcPr>
            <w:tcW w:w="555" w:type="pct"/>
            <w:tcBorders>
              <w:top w:val="single" w:sz="4" w:space="0" w:color="DA9694"/>
              <w:left w:val="single" w:sz="4" w:space="0" w:color="DA9694"/>
              <w:bottom w:val="single" w:sz="4" w:space="0" w:color="DA9694"/>
              <w:right w:val="nil"/>
            </w:tcBorders>
            <w:shd w:val="clear" w:color="auto" w:fill="auto"/>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华安创业板50A</w:t>
            </w:r>
          </w:p>
        </w:tc>
        <w:tc>
          <w:tcPr>
            <w:tcW w:w="552" w:type="pct"/>
            <w:tcBorders>
              <w:top w:val="single" w:sz="4" w:space="0" w:color="DA9694"/>
              <w:left w:val="single" w:sz="4" w:space="0" w:color="DA9694"/>
              <w:bottom w:val="single" w:sz="4" w:space="0" w:color="DA9694"/>
              <w:right w:val="nil"/>
            </w:tcBorders>
            <w:shd w:val="clear" w:color="auto" w:fill="auto"/>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5.39</w:t>
            </w:r>
          </w:p>
        </w:tc>
      </w:tr>
      <w:tr w:rsidR="002F5D6E" w:rsidRPr="00FC2D2B" w:rsidTr="002F5D6E">
        <w:trPr>
          <w:trHeight w:val="439"/>
        </w:trPr>
        <w:tc>
          <w:tcPr>
            <w:tcW w:w="554" w:type="pct"/>
            <w:tcBorders>
              <w:top w:val="single" w:sz="4" w:space="0" w:color="DA9694"/>
              <w:left w:val="single" w:sz="4" w:space="0" w:color="DA9694"/>
              <w:bottom w:val="single" w:sz="4" w:space="0" w:color="DA9694"/>
              <w:right w:val="nil"/>
            </w:tcBorders>
            <w:shd w:val="clear" w:color="F2DCDB" w:fill="F2DCDB"/>
            <w:noWrap/>
            <w:vAlign w:val="center"/>
            <w:hideMark/>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150258.SZ</w:t>
            </w:r>
          </w:p>
        </w:tc>
        <w:tc>
          <w:tcPr>
            <w:tcW w:w="555"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易方达生物科技B</w:t>
            </w:r>
          </w:p>
        </w:tc>
        <w:tc>
          <w:tcPr>
            <w:tcW w:w="561"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1.49</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150165.SZ</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东吴中证可转换债券B</w:t>
            </w:r>
          </w:p>
        </w:tc>
        <w:tc>
          <w:tcPr>
            <w:tcW w:w="558"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0.60</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150289.SZ</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proofErr w:type="gramStart"/>
            <w:r w:rsidRPr="002F5D6E">
              <w:rPr>
                <w:rFonts w:ascii="楷体_GB2312" w:eastAsia="楷体_GB2312" w:hAnsi="宋体" w:cs="宋体" w:hint="eastAsia"/>
                <w:color w:val="000000"/>
                <w:kern w:val="0"/>
                <w:sz w:val="18"/>
                <w:szCs w:val="18"/>
              </w:rPr>
              <w:t>中融中</w:t>
            </w:r>
            <w:proofErr w:type="gramEnd"/>
            <w:r w:rsidRPr="002F5D6E">
              <w:rPr>
                <w:rFonts w:ascii="楷体_GB2312" w:eastAsia="楷体_GB2312" w:hAnsi="宋体" w:cs="宋体" w:hint="eastAsia"/>
                <w:color w:val="000000"/>
                <w:kern w:val="0"/>
                <w:sz w:val="18"/>
                <w:szCs w:val="18"/>
              </w:rPr>
              <w:t>证煤炭A</w:t>
            </w:r>
          </w:p>
        </w:tc>
        <w:tc>
          <w:tcPr>
            <w:tcW w:w="552"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5.38</w:t>
            </w:r>
          </w:p>
        </w:tc>
      </w:tr>
      <w:tr w:rsidR="002F5D6E" w:rsidRPr="00FC2D2B" w:rsidTr="002F5D6E">
        <w:trPr>
          <w:trHeight w:val="439"/>
        </w:trPr>
        <w:tc>
          <w:tcPr>
            <w:tcW w:w="554" w:type="pct"/>
            <w:tcBorders>
              <w:top w:val="single" w:sz="4" w:space="0" w:color="DA9694"/>
              <w:left w:val="single" w:sz="4" w:space="0" w:color="DA9694"/>
              <w:bottom w:val="single" w:sz="4" w:space="0" w:color="DA9694"/>
              <w:right w:val="nil"/>
            </w:tcBorders>
            <w:shd w:val="clear" w:color="auto" w:fill="auto"/>
            <w:noWrap/>
            <w:vAlign w:val="center"/>
            <w:hideMark/>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150310.SZ</w:t>
            </w:r>
          </w:p>
        </w:tc>
        <w:tc>
          <w:tcPr>
            <w:tcW w:w="555" w:type="pct"/>
            <w:tcBorders>
              <w:top w:val="single" w:sz="4" w:space="0" w:color="DA9694"/>
              <w:left w:val="single" w:sz="4" w:space="0" w:color="DA9694"/>
              <w:bottom w:val="single" w:sz="4" w:space="0" w:color="DA9694"/>
              <w:right w:val="single" w:sz="4" w:space="0" w:color="DA9694"/>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信</w:t>
            </w:r>
            <w:proofErr w:type="gramStart"/>
            <w:r w:rsidRPr="002F5D6E">
              <w:rPr>
                <w:rFonts w:ascii="楷体_GB2312" w:eastAsia="楷体_GB2312" w:hAnsi="宋体" w:cs="宋体" w:hint="eastAsia"/>
                <w:color w:val="000000"/>
                <w:kern w:val="0"/>
                <w:sz w:val="18"/>
                <w:szCs w:val="18"/>
              </w:rPr>
              <w:t>诚中证信息</w:t>
            </w:r>
            <w:proofErr w:type="gramEnd"/>
            <w:r w:rsidRPr="002F5D6E">
              <w:rPr>
                <w:rFonts w:ascii="楷体_GB2312" w:eastAsia="楷体_GB2312" w:hAnsi="宋体" w:cs="宋体" w:hint="eastAsia"/>
                <w:color w:val="000000"/>
                <w:kern w:val="0"/>
                <w:sz w:val="18"/>
                <w:szCs w:val="18"/>
              </w:rPr>
              <w:t>安全B</w:t>
            </w:r>
          </w:p>
        </w:tc>
        <w:tc>
          <w:tcPr>
            <w:tcW w:w="561" w:type="pct"/>
            <w:tcBorders>
              <w:top w:val="single" w:sz="4" w:space="0" w:color="DA9694"/>
              <w:left w:val="single" w:sz="4" w:space="0" w:color="DA9694"/>
              <w:bottom w:val="single" w:sz="4" w:space="0" w:color="DA9694"/>
              <w:right w:val="single" w:sz="4" w:space="0" w:color="DA9694"/>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1.21</w:t>
            </w:r>
          </w:p>
        </w:tc>
        <w:tc>
          <w:tcPr>
            <w:tcW w:w="555"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150161.SZ</w:t>
            </w:r>
          </w:p>
        </w:tc>
        <w:tc>
          <w:tcPr>
            <w:tcW w:w="555"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新华惠鑫分级B</w:t>
            </w:r>
          </w:p>
        </w:tc>
        <w:tc>
          <w:tcPr>
            <w:tcW w:w="558"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0.52</w:t>
            </w:r>
          </w:p>
        </w:tc>
        <w:tc>
          <w:tcPr>
            <w:tcW w:w="555"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150291.SZ</w:t>
            </w:r>
          </w:p>
        </w:tc>
        <w:tc>
          <w:tcPr>
            <w:tcW w:w="555" w:type="pct"/>
            <w:tcBorders>
              <w:top w:val="single" w:sz="4" w:space="0" w:color="DA9694"/>
              <w:left w:val="single" w:sz="4" w:space="0" w:color="DA9694"/>
              <w:bottom w:val="single" w:sz="4" w:space="0" w:color="DA9694"/>
              <w:right w:val="nil"/>
            </w:tcBorders>
            <w:shd w:val="clear" w:color="auto" w:fill="auto"/>
            <w:vAlign w:val="center"/>
          </w:tcPr>
          <w:p w:rsidR="002F5D6E" w:rsidRPr="002F5D6E" w:rsidRDefault="002F5D6E" w:rsidP="002F5D6E">
            <w:pPr>
              <w:widowControl/>
              <w:jc w:val="center"/>
              <w:rPr>
                <w:rFonts w:ascii="楷体_GB2312" w:eastAsia="楷体_GB2312" w:hAnsi="宋体" w:cs="宋体"/>
                <w:color w:val="000000"/>
                <w:kern w:val="0"/>
                <w:sz w:val="18"/>
                <w:szCs w:val="18"/>
              </w:rPr>
            </w:pPr>
            <w:proofErr w:type="gramStart"/>
            <w:r w:rsidRPr="002F5D6E">
              <w:rPr>
                <w:rFonts w:ascii="楷体_GB2312" w:eastAsia="楷体_GB2312" w:hAnsi="宋体" w:cs="宋体" w:hint="eastAsia"/>
                <w:color w:val="000000"/>
                <w:kern w:val="0"/>
                <w:sz w:val="18"/>
                <w:szCs w:val="18"/>
              </w:rPr>
              <w:t>中融中证银行</w:t>
            </w:r>
            <w:proofErr w:type="gramEnd"/>
            <w:r w:rsidRPr="002F5D6E">
              <w:rPr>
                <w:rFonts w:ascii="楷体_GB2312" w:eastAsia="楷体_GB2312" w:hAnsi="宋体" w:cs="宋体" w:hint="eastAsia"/>
                <w:color w:val="000000"/>
                <w:kern w:val="0"/>
                <w:sz w:val="18"/>
                <w:szCs w:val="18"/>
              </w:rPr>
              <w:t>A</w:t>
            </w:r>
          </w:p>
        </w:tc>
        <w:tc>
          <w:tcPr>
            <w:tcW w:w="552" w:type="pct"/>
            <w:tcBorders>
              <w:top w:val="single" w:sz="4" w:space="0" w:color="DA9694"/>
              <w:left w:val="single" w:sz="4" w:space="0" w:color="DA9694"/>
              <w:bottom w:val="single" w:sz="4" w:space="0" w:color="DA9694"/>
              <w:right w:val="nil"/>
            </w:tcBorders>
            <w:shd w:val="clear" w:color="auto" w:fill="auto"/>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5.38</w:t>
            </w:r>
          </w:p>
        </w:tc>
      </w:tr>
      <w:tr w:rsidR="002F5D6E" w:rsidRPr="00FC2D2B" w:rsidTr="002F5D6E">
        <w:trPr>
          <w:trHeight w:val="439"/>
        </w:trPr>
        <w:tc>
          <w:tcPr>
            <w:tcW w:w="554" w:type="pct"/>
            <w:tcBorders>
              <w:top w:val="single" w:sz="4" w:space="0" w:color="DA9694"/>
              <w:left w:val="single" w:sz="4" w:space="0" w:color="DA9694"/>
              <w:bottom w:val="single" w:sz="4" w:space="0" w:color="DA9694"/>
              <w:right w:val="nil"/>
            </w:tcBorders>
            <w:shd w:val="clear" w:color="F2DCDB" w:fill="F2DCDB"/>
            <w:noWrap/>
            <w:vAlign w:val="center"/>
            <w:hideMark/>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150113.SZ</w:t>
            </w:r>
          </w:p>
        </w:tc>
        <w:tc>
          <w:tcPr>
            <w:tcW w:w="555"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proofErr w:type="gramStart"/>
            <w:r w:rsidRPr="002F5D6E">
              <w:rPr>
                <w:rFonts w:ascii="楷体_GB2312" w:eastAsia="楷体_GB2312" w:hAnsi="宋体" w:cs="宋体" w:hint="eastAsia"/>
                <w:color w:val="000000"/>
                <w:kern w:val="0"/>
                <w:sz w:val="18"/>
                <w:szCs w:val="18"/>
              </w:rPr>
              <w:t>工银瑞信</w:t>
            </w:r>
            <w:proofErr w:type="gramEnd"/>
            <w:r w:rsidRPr="002F5D6E">
              <w:rPr>
                <w:rFonts w:ascii="楷体_GB2312" w:eastAsia="楷体_GB2312" w:hAnsi="宋体" w:cs="宋体" w:hint="eastAsia"/>
                <w:color w:val="000000"/>
                <w:kern w:val="0"/>
                <w:sz w:val="18"/>
                <w:szCs w:val="18"/>
              </w:rPr>
              <w:t>深证100B</w:t>
            </w:r>
          </w:p>
        </w:tc>
        <w:tc>
          <w:tcPr>
            <w:tcW w:w="561"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1.09</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150156.SZ</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中银互利B</w:t>
            </w:r>
          </w:p>
        </w:tc>
        <w:tc>
          <w:tcPr>
            <w:tcW w:w="558"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0.48</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150335.SZ</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融通中证军工A</w:t>
            </w:r>
          </w:p>
        </w:tc>
        <w:tc>
          <w:tcPr>
            <w:tcW w:w="552"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5.38</w:t>
            </w:r>
          </w:p>
        </w:tc>
      </w:tr>
      <w:tr w:rsidR="002F5D6E" w:rsidRPr="00FC2D2B" w:rsidTr="002F5D6E">
        <w:trPr>
          <w:trHeight w:val="439"/>
        </w:trPr>
        <w:tc>
          <w:tcPr>
            <w:tcW w:w="554" w:type="pct"/>
            <w:tcBorders>
              <w:top w:val="single" w:sz="4" w:space="0" w:color="DA9694"/>
              <w:left w:val="single" w:sz="4" w:space="0" w:color="DA9694"/>
              <w:bottom w:val="single" w:sz="4" w:space="0" w:color="DA9694"/>
              <w:right w:val="nil"/>
            </w:tcBorders>
            <w:shd w:val="clear" w:color="auto" w:fill="auto"/>
            <w:noWrap/>
            <w:vAlign w:val="center"/>
            <w:hideMark/>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150298.SZ</w:t>
            </w:r>
          </w:p>
        </w:tc>
        <w:tc>
          <w:tcPr>
            <w:tcW w:w="555" w:type="pct"/>
            <w:tcBorders>
              <w:top w:val="single" w:sz="4" w:space="0" w:color="DA9694"/>
              <w:left w:val="single" w:sz="4" w:space="0" w:color="DA9694"/>
              <w:bottom w:val="single" w:sz="4" w:space="0" w:color="DA9694"/>
              <w:right w:val="single" w:sz="4" w:space="0" w:color="DA9694"/>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南方中证互联网B</w:t>
            </w:r>
          </w:p>
        </w:tc>
        <w:tc>
          <w:tcPr>
            <w:tcW w:w="561" w:type="pct"/>
            <w:tcBorders>
              <w:top w:val="single" w:sz="4" w:space="0" w:color="DA9694"/>
              <w:left w:val="single" w:sz="4" w:space="0" w:color="DA9694"/>
              <w:bottom w:val="single" w:sz="4" w:space="0" w:color="DA9694"/>
              <w:right w:val="single" w:sz="4" w:space="0" w:color="DA9694"/>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0.96</w:t>
            </w:r>
          </w:p>
        </w:tc>
        <w:tc>
          <w:tcPr>
            <w:tcW w:w="555"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150040.SZ</w:t>
            </w:r>
          </w:p>
        </w:tc>
        <w:tc>
          <w:tcPr>
            <w:tcW w:w="555"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proofErr w:type="gramStart"/>
            <w:r w:rsidRPr="002F5D6E">
              <w:rPr>
                <w:rFonts w:ascii="楷体_GB2312" w:eastAsia="楷体_GB2312" w:hAnsi="宋体" w:cs="宋体" w:hint="eastAsia"/>
                <w:color w:val="000000"/>
                <w:kern w:val="0"/>
                <w:sz w:val="18"/>
                <w:szCs w:val="18"/>
              </w:rPr>
              <w:t>中欧鼎利分级</w:t>
            </w:r>
            <w:proofErr w:type="gramEnd"/>
            <w:r w:rsidRPr="002F5D6E">
              <w:rPr>
                <w:rFonts w:ascii="楷体_GB2312" w:eastAsia="楷体_GB2312" w:hAnsi="宋体" w:cs="宋体" w:hint="eastAsia"/>
                <w:color w:val="000000"/>
                <w:kern w:val="0"/>
                <w:sz w:val="18"/>
                <w:szCs w:val="18"/>
              </w:rPr>
              <w:t>B</w:t>
            </w:r>
          </w:p>
        </w:tc>
        <w:tc>
          <w:tcPr>
            <w:tcW w:w="558"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0.47</w:t>
            </w:r>
          </w:p>
        </w:tc>
        <w:tc>
          <w:tcPr>
            <w:tcW w:w="555"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150117.SZ</w:t>
            </w:r>
          </w:p>
        </w:tc>
        <w:tc>
          <w:tcPr>
            <w:tcW w:w="555" w:type="pct"/>
            <w:tcBorders>
              <w:top w:val="single" w:sz="4" w:space="0" w:color="DA9694"/>
              <w:left w:val="single" w:sz="4" w:space="0" w:color="DA9694"/>
              <w:bottom w:val="single" w:sz="4" w:space="0" w:color="DA9694"/>
              <w:right w:val="nil"/>
            </w:tcBorders>
            <w:shd w:val="clear" w:color="auto" w:fill="auto"/>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国泰国证房地产A</w:t>
            </w:r>
          </w:p>
        </w:tc>
        <w:tc>
          <w:tcPr>
            <w:tcW w:w="552" w:type="pct"/>
            <w:tcBorders>
              <w:top w:val="single" w:sz="4" w:space="0" w:color="DA9694"/>
              <w:left w:val="single" w:sz="4" w:space="0" w:color="DA9694"/>
              <w:bottom w:val="single" w:sz="4" w:space="0" w:color="DA9694"/>
              <w:right w:val="nil"/>
            </w:tcBorders>
            <w:shd w:val="clear" w:color="auto" w:fill="auto"/>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5.37</w:t>
            </w:r>
          </w:p>
        </w:tc>
      </w:tr>
      <w:tr w:rsidR="002F5D6E" w:rsidRPr="00FC2D2B" w:rsidTr="002F5D6E">
        <w:trPr>
          <w:trHeight w:val="439"/>
        </w:trPr>
        <w:tc>
          <w:tcPr>
            <w:tcW w:w="554" w:type="pct"/>
            <w:tcBorders>
              <w:top w:val="single" w:sz="4" w:space="0" w:color="DA9694"/>
              <w:left w:val="single" w:sz="4" w:space="0" w:color="DA9694"/>
              <w:bottom w:val="single" w:sz="4" w:space="0" w:color="DA9694"/>
              <w:right w:val="nil"/>
            </w:tcBorders>
            <w:shd w:val="clear" w:color="F2DCDB" w:fill="F2DCDB"/>
            <w:noWrap/>
            <w:vAlign w:val="center"/>
            <w:hideMark/>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150093.SZ</w:t>
            </w:r>
          </w:p>
        </w:tc>
        <w:tc>
          <w:tcPr>
            <w:tcW w:w="555"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诺德深证300B</w:t>
            </w:r>
          </w:p>
        </w:tc>
        <w:tc>
          <w:tcPr>
            <w:tcW w:w="561"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0.74</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150142.SZ</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proofErr w:type="gramStart"/>
            <w:r w:rsidRPr="002F5D6E">
              <w:rPr>
                <w:rFonts w:ascii="楷体_GB2312" w:eastAsia="楷体_GB2312" w:hAnsi="宋体" w:cs="宋体" w:hint="eastAsia"/>
                <w:color w:val="000000"/>
                <w:kern w:val="0"/>
                <w:sz w:val="18"/>
                <w:szCs w:val="18"/>
              </w:rPr>
              <w:t>汇添富</w:t>
            </w:r>
            <w:proofErr w:type="gramEnd"/>
            <w:r w:rsidRPr="002F5D6E">
              <w:rPr>
                <w:rFonts w:ascii="楷体_GB2312" w:eastAsia="楷体_GB2312" w:hAnsi="宋体" w:cs="宋体" w:hint="eastAsia"/>
                <w:color w:val="000000"/>
                <w:kern w:val="0"/>
                <w:sz w:val="18"/>
                <w:szCs w:val="18"/>
              </w:rPr>
              <w:t>互利分级B</w:t>
            </w:r>
          </w:p>
        </w:tc>
        <w:tc>
          <w:tcPr>
            <w:tcW w:w="558"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-0.13</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150299.SZ</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华安中</w:t>
            </w:r>
            <w:proofErr w:type="gramStart"/>
            <w:r w:rsidRPr="002F5D6E">
              <w:rPr>
                <w:rFonts w:ascii="楷体_GB2312" w:eastAsia="楷体_GB2312" w:hAnsi="宋体" w:cs="宋体" w:hint="eastAsia"/>
                <w:color w:val="000000"/>
                <w:kern w:val="0"/>
                <w:sz w:val="18"/>
                <w:szCs w:val="18"/>
              </w:rPr>
              <w:t>证银行</w:t>
            </w:r>
            <w:proofErr w:type="gramEnd"/>
            <w:r w:rsidRPr="002F5D6E">
              <w:rPr>
                <w:rFonts w:ascii="楷体_GB2312" w:eastAsia="楷体_GB2312" w:hAnsi="宋体" w:cs="宋体" w:hint="eastAsia"/>
                <w:color w:val="000000"/>
                <w:kern w:val="0"/>
                <w:sz w:val="18"/>
                <w:szCs w:val="18"/>
              </w:rPr>
              <w:t>A</w:t>
            </w:r>
          </w:p>
        </w:tc>
        <w:tc>
          <w:tcPr>
            <w:tcW w:w="552"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5.37</w:t>
            </w:r>
          </w:p>
        </w:tc>
      </w:tr>
      <w:tr w:rsidR="002F5D6E" w:rsidRPr="00FC2D2B" w:rsidTr="002F5D6E">
        <w:trPr>
          <w:trHeight w:val="439"/>
        </w:trPr>
        <w:tc>
          <w:tcPr>
            <w:tcW w:w="554" w:type="pct"/>
            <w:tcBorders>
              <w:top w:val="single" w:sz="4" w:space="0" w:color="DA9694"/>
              <w:left w:val="single" w:sz="4" w:space="0" w:color="DA9694"/>
              <w:bottom w:val="single" w:sz="4" w:space="0" w:color="DA9694"/>
              <w:right w:val="nil"/>
            </w:tcBorders>
            <w:shd w:val="clear" w:color="auto" w:fill="auto"/>
            <w:noWrap/>
            <w:vAlign w:val="center"/>
            <w:hideMark/>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150174.SZ</w:t>
            </w:r>
          </w:p>
        </w:tc>
        <w:tc>
          <w:tcPr>
            <w:tcW w:w="555" w:type="pct"/>
            <w:tcBorders>
              <w:top w:val="single" w:sz="4" w:space="0" w:color="DA9694"/>
              <w:left w:val="single" w:sz="4" w:space="0" w:color="DA9694"/>
              <w:bottom w:val="single" w:sz="4" w:space="0" w:color="DA9694"/>
              <w:right w:val="single" w:sz="4" w:space="0" w:color="DA9694"/>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proofErr w:type="gramStart"/>
            <w:r w:rsidRPr="002F5D6E">
              <w:rPr>
                <w:rFonts w:ascii="楷体_GB2312" w:eastAsia="楷体_GB2312" w:hAnsi="宋体" w:cs="宋体" w:hint="eastAsia"/>
                <w:color w:val="000000"/>
                <w:kern w:val="0"/>
                <w:sz w:val="18"/>
                <w:szCs w:val="18"/>
              </w:rPr>
              <w:t>信诚中证</w:t>
            </w:r>
            <w:proofErr w:type="gramEnd"/>
            <w:r w:rsidRPr="002F5D6E">
              <w:rPr>
                <w:rFonts w:ascii="楷体_GB2312" w:eastAsia="楷体_GB2312" w:hAnsi="宋体" w:cs="宋体" w:hint="eastAsia"/>
                <w:color w:val="000000"/>
                <w:kern w:val="0"/>
                <w:sz w:val="18"/>
                <w:szCs w:val="18"/>
              </w:rPr>
              <w:t>TMT产业B</w:t>
            </w:r>
          </w:p>
        </w:tc>
        <w:tc>
          <w:tcPr>
            <w:tcW w:w="561" w:type="pct"/>
            <w:tcBorders>
              <w:top w:val="single" w:sz="4" w:space="0" w:color="DA9694"/>
              <w:left w:val="single" w:sz="4" w:space="0" w:color="DA9694"/>
              <w:bottom w:val="single" w:sz="4" w:space="0" w:color="DA9694"/>
              <w:right w:val="single" w:sz="4" w:space="0" w:color="DA9694"/>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0.62</w:t>
            </w:r>
          </w:p>
        </w:tc>
        <w:tc>
          <w:tcPr>
            <w:tcW w:w="555"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150033.SZ</w:t>
            </w:r>
          </w:p>
        </w:tc>
        <w:tc>
          <w:tcPr>
            <w:tcW w:w="555"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嘉实多利进取</w:t>
            </w:r>
          </w:p>
        </w:tc>
        <w:tc>
          <w:tcPr>
            <w:tcW w:w="558"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-0.41</w:t>
            </w:r>
          </w:p>
        </w:tc>
        <w:tc>
          <w:tcPr>
            <w:tcW w:w="555"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150287.SZ</w:t>
            </w:r>
          </w:p>
        </w:tc>
        <w:tc>
          <w:tcPr>
            <w:tcW w:w="555" w:type="pct"/>
            <w:tcBorders>
              <w:top w:val="single" w:sz="4" w:space="0" w:color="DA9694"/>
              <w:left w:val="single" w:sz="4" w:space="0" w:color="DA9694"/>
              <w:bottom w:val="single" w:sz="4" w:space="0" w:color="DA9694"/>
              <w:right w:val="nil"/>
            </w:tcBorders>
            <w:shd w:val="clear" w:color="auto" w:fill="auto"/>
            <w:vAlign w:val="center"/>
          </w:tcPr>
          <w:p w:rsidR="002F5D6E" w:rsidRPr="002F5D6E" w:rsidRDefault="002F5D6E" w:rsidP="002F5D6E">
            <w:pPr>
              <w:widowControl/>
              <w:jc w:val="center"/>
              <w:rPr>
                <w:rFonts w:ascii="楷体_GB2312" w:eastAsia="楷体_GB2312" w:hAnsi="宋体" w:cs="宋体"/>
                <w:color w:val="000000"/>
                <w:kern w:val="0"/>
                <w:sz w:val="18"/>
                <w:szCs w:val="18"/>
              </w:rPr>
            </w:pPr>
            <w:proofErr w:type="gramStart"/>
            <w:r w:rsidRPr="002F5D6E">
              <w:rPr>
                <w:rFonts w:ascii="楷体_GB2312" w:eastAsia="楷体_GB2312" w:hAnsi="宋体" w:cs="宋体" w:hint="eastAsia"/>
                <w:color w:val="000000"/>
                <w:kern w:val="0"/>
                <w:sz w:val="18"/>
                <w:szCs w:val="18"/>
              </w:rPr>
              <w:t>中融国证</w:t>
            </w:r>
            <w:proofErr w:type="gramEnd"/>
            <w:r w:rsidRPr="002F5D6E">
              <w:rPr>
                <w:rFonts w:ascii="楷体_GB2312" w:eastAsia="楷体_GB2312" w:hAnsi="宋体" w:cs="宋体" w:hint="eastAsia"/>
                <w:color w:val="000000"/>
                <w:kern w:val="0"/>
                <w:sz w:val="18"/>
                <w:szCs w:val="18"/>
              </w:rPr>
              <w:t>钢铁A</w:t>
            </w:r>
          </w:p>
        </w:tc>
        <w:tc>
          <w:tcPr>
            <w:tcW w:w="552" w:type="pct"/>
            <w:tcBorders>
              <w:top w:val="single" w:sz="4" w:space="0" w:color="DA9694"/>
              <w:left w:val="single" w:sz="4" w:space="0" w:color="DA9694"/>
              <w:bottom w:val="single" w:sz="4" w:space="0" w:color="DA9694"/>
              <w:right w:val="nil"/>
            </w:tcBorders>
            <w:shd w:val="clear" w:color="auto" w:fill="auto"/>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5.37</w:t>
            </w:r>
          </w:p>
        </w:tc>
      </w:tr>
    </w:tbl>
    <w:p w:rsidR="00D90536" w:rsidRDefault="00D90536" w:rsidP="00D90536">
      <w:pPr>
        <w:pStyle w:val="a7"/>
        <w:spacing w:beforeLines="50" w:before="156" w:afterLines="50" w:after="156"/>
        <w:ind w:left="851" w:firstLineChars="0" w:firstLine="0"/>
        <w:rPr>
          <w:rFonts w:ascii="楷体_GB2312" w:eastAsia="楷体_GB2312" w:hAnsi="楷体" w:cs="宋体-18030"/>
          <w:b/>
          <w:bCs/>
          <w:color w:val="003366"/>
          <w:kern w:val="44"/>
          <w:sz w:val="24"/>
        </w:rPr>
      </w:pPr>
    </w:p>
    <w:tbl>
      <w:tblPr>
        <w:tblW w:w="6139" w:type="pct"/>
        <w:tblInd w:w="-1281" w:type="dxa"/>
        <w:tblLayout w:type="fixed"/>
        <w:tblLook w:val="04A0" w:firstRow="1" w:lastRow="0" w:firstColumn="1" w:lastColumn="0" w:noHBand="0" w:noVBand="1"/>
      </w:tblPr>
      <w:tblGrid>
        <w:gridCol w:w="1273"/>
        <w:gridCol w:w="2559"/>
        <w:gridCol w:w="1845"/>
        <w:gridCol w:w="1417"/>
        <w:gridCol w:w="2412"/>
        <w:gridCol w:w="1980"/>
      </w:tblGrid>
      <w:tr w:rsidR="00C455FD" w:rsidRPr="00FC2D2B" w:rsidTr="00C455FD">
        <w:trPr>
          <w:trHeight w:val="439"/>
        </w:trPr>
        <w:tc>
          <w:tcPr>
            <w:tcW w:w="2471" w:type="pct"/>
            <w:gridSpan w:val="3"/>
            <w:tcBorders>
              <w:top w:val="single" w:sz="4" w:space="0" w:color="DA9694"/>
              <w:left w:val="nil"/>
              <w:bottom w:val="single" w:sz="4" w:space="0" w:color="DA9694"/>
              <w:right w:val="nil"/>
            </w:tcBorders>
            <w:shd w:val="clear" w:color="C0504D" w:fill="C0504D"/>
            <w:noWrap/>
            <w:vAlign w:val="center"/>
            <w:hideMark/>
          </w:tcPr>
          <w:p w:rsidR="00C455FD" w:rsidRPr="00B32035" w:rsidRDefault="00C455FD" w:rsidP="00C455FD">
            <w:pPr>
              <w:jc w:val="center"/>
              <w:rPr>
                <w:rFonts w:ascii="楷体_GB2312" w:eastAsia="楷体_GB2312" w:hAnsi="楷体" w:cs="宋体"/>
                <w:b/>
                <w:bCs/>
                <w:color w:val="FFFFFF"/>
                <w:kern w:val="0"/>
                <w:sz w:val="18"/>
                <w:szCs w:val="18"/>
              </w:rPr>
            </w:pPr>
            <w:r w:rsidRPr="00B32035">
              <w:rPr>
                <w:rFonts w:ascii="楷体_GB2312" w:eastAsia="楷体_GB2312" w:hAnsi="楷体" w:cs="宋体" w:hint="eastAsia"/>
                <w:b/>
                <w:bCs/>
                <w:color w:val="FFFFFF"/>
                <w:kern w:val="0"/>
                <w:sz w:val="18"/>
                <w:szCs w:val="18"/>
              </w:rPr>
              <w:t>分级B距离下折前十</w:t>
            </w:r>
          </w:p>
        </w:tc>
        <w:tc>
          <w:tcPr>
            <w:tcW w:w="2529" w:type="pct"/>
            <w:gridSpan w:val="3"/>
            <w:tcBorders>
              <w:top w:val="single" w:sz="4" w:space="0" w:color="DA9694"/>
              <w:left w:val="nil"/>
              <w:bottom w:val="single" w:sz="4" w:space="0" w:color="DA9694"/>
              <w:right w:val="nil"/>
            </w:tcBorders>
            <w:shd w:val="clear" w:color="C0504D" w:fill="C0504D"/>
            <w:noWrap/>
            <w:vAlign w:val="center"/>
            <w:hideMark/>
          </w:tcPr>
          <w:p w:rsidR="00C455FD" w:rsidRPr="00B32035" w:rsidRDefault="00C455FD" w:rsidP="00C455FD">
            <w:pPr>
              <w:jc w:val="center"/>
              <w:rPr>
                <w:rFonts w:ascii="楷体_GB2312" w:eastAsia="楷体_GB2312" w:hAnsi="楷体" w:cs="宋体"/>
                <w:b/>
                <w:bCs/>
                <w:color w:val="FFFFFF"/>
                <w:kern w:val="0"/>
                <w:sz w:val="18"/>
                <w:szCs w:val="18"/>
              </w:rPr>
            </w:pPr>
            <w:r w:rsidRPr="00B32035">
              <w:rPr>
                <w:rFonts w:ascii="楷体_GB2312" w:eastAsia="楷体_GB2312" w:hAnsi="楷体" w:cs="宋体" w:hint="eastAsia"/>
                <w:b/>
                <w:bCs/>
                <w:color w:val="FFFFFF"/>
                <w:kern w:val="0"/>
                <w:sz w:val="18"/>
                <w:szCs w:val="18"/>
              </w:rPr>
              <w:t>股票分级B价格杠杆前十</w:t>
            </w:r>
          </w:p>
        </w:tc>
      </w:tr>
      <w:tr w:rsidR="00C455FD" w:rsidRPr="00FC2D2B" w:rsidTr="00C455FD">
        <w:trPr>
          <w:trHeight w:val="439"/>
        </w:trPr>
        <w:tc>
          <w:tcPr>
            <w:tcW w:w="554" w:type="pct"/>
            <w:tcBorders>
              <w:top w:val="single" w:sz="4" w:space="0" w:color="DA9694"/>
              <w:left w:val="single" w:sz="4" w:space="0" w:color="DA9694"/>
              <w:bottom w:val="single" w:sz="4" w:space="0" w:color="DA9694"/>
              <w:right w:val="nil"/>
            </w:tcBorders>
            <w:shd w:val="clear" w:color="auto" w:fill="auto"/>
            <w:noWrap/>
            <w:vAlign w:val="center"/>
          </w:tcPr>
          <w:p w:rsidR="00C455FD" w:rsidRPr="00C455FD" w:rsidRDefault="00C455FD" w:rsidP="00C455FD">
            <w:pPr>
              <w:widowControl/>
              <w:jc w:val="center"/>
              <w:rPr>
                <w:rFonts w:ascii="楷体_GB2312" w:eastAsia="楷体_GB2312" w:hAnsi="宋体" w:cs="宋体"/>
                <w:color w:val="000000"/>
                <w:kern w:val="0"/>
                <w:sz w:val="18"/>
                <w:szCs w:val="18"/>
              </w:rPr>
            </w:pPr>
            <w:r w:rsidRPr="00C455FD">
              <w:rPr>
                <w:rFonts w:ascii="楷体_GB2312" w:eastAsia="楷体_GB2312" w:hAnsi="宋体" w:cs="宋体" w:hint="eastAsia"/>
                <w:color w:val="000000"/>
                <w:kern w:val="0"/>
                <w:sz w:val="18"/>
                <w:szCs w:val="18"/>
              </w:rPr>
              <w:t>基金代码</w:t>
            </w:r>
          </w:p>
        </w:tc>
        <w:tc>
          <w:tcPr>
            <w:tcW w:w="1114" w:type="pct"/>
            <w:tcBorders>
              <w:top w:val="single" w:sz="4" w:space="0" w:color="DA9694"/>
              <w:left w:val="single" w:sz="4" w:space="0" w:color="DA9694"/>
              <w:bottom w:val="single" w:sz="4" w:space="0" w:color="DA9694"/>
              <w:right w:val="single" w:sz="4" w:space="0" w:color="DA9694"/>
            </w:tcBorders>
            <w:shd w:val="clear" w:color="auto" w:fill="auto"/>
            <w:vAlign w:val="center"/>
          </w:tcPr>
          <w:p w:rsidR="00C455FD" w:rsidRPr="00C455FD" w:rsidRDefault="00C455FD" w:rsidP="00C455FD">
            <w:pPr>
              <w:widowControl/>
              <w:jc w:val="center"/>
              <w:rPr>
                <w:rFonts w:ascii="楷体_GB2312" w:eastAsia="楷体_GB2312" w:hAnsi="宋体" w:cs="宋体"/>
                <w:color w:val="000000"/>
                <w:kern w:val="0"/>
                <w:sz w:val="18"/>
                <w:szCs w:val="18"/>
              </w:rPr>
            </w:pPr>
            <w:r w:rsidRPr="00C455FD">
              <w:rPr>
                <w:rFonts w:ascii="楷体_GB2312" w:eastAsia="楷体_GB2312" w:hAnsi="宋体" w:cs="宋体" w:hint="eastAsia"/>
                <w:color w:val="000000"/>
                <w:kern w:val="0"/>
                <w:sz w:val="18"/>
                <w:szCs w:val="18"/>
              </w:rPr>
              <w:t>基金简称</w:t>
            </w:r>
          </w:p>
        </w:tc>
        <w:tc>
          <w:tcPr>
            <w:tcW w:w="803" w:type="pct"/>
            <w:tcBorders>
              <w:top w:val="single" w:sz="4" w:space="0" w:color="DA9694"/>
              <w:left w:val="single" w:sz="4" w:space="0" w:color="DA9694"/>
              <w:bottom w:val="single" w:sz="4" w:space="0" w:color="DA9694"/>
              <w:right w:val="single" w:sz="4" w:space="0" w:color="DA9694"/>
            </w:tcBorders>
            <w:shd w:val="clear" w:color="auto" w:fill="auto"/>
            <w:vAlign w:val="center"/>
          </w:tcPr>
          <w:p w:rsidR="00C455FD" w:rsidRPr="00C455FD" w:rsidRDefault="00C455FD" w:rsidP="00C455FD">
            <w:pPr>
              <w:widowControl/>
              <w:jc w:val="center"/>
              <w:rPr>
                <w:rFonts w:ascii="楷体_GB2312" w:eastAsia="楷体_GB2312" w:hAnsi="宋体" w:cs="宋体"/>
                <w:color w:val="000000"/>
                <w:kern w:val="0"/>
                <w:sz w:val="18"/>
                <w:szCs w:val="18"/>
              </w:rPr>
            </w:pPr>
            <w:proofErr w:type="gramStart"/>
            <w:r w:rsidRPr="00C455FD">
              <w:rPr>
                <w:rFonts w:ascii="楷体_GB2312" w:eastAsia="楷体_GB2312" w:hAnsi="宋体" w:cs="宋体" w:hint="eastAsia"/>
                <w:color w:val="000000"/>
                <w:kern w:val="0"/>
                <w:sz w:val="18"/>
                <w:szCs w:val="18"/>
              </w:rPr>
              <w:t>母基金</w:t>
            </w:r>
            <w:proofErr w:type="gramEnd"/>
            <w:r w:rsidRPr="00C455FD">
              <w:rPr>
                <w:rFonts w:ascii="楷体_GB2312" w:eastAsia="楷体_GB2312" w:hAnsi="宋体" w:cs="宋体" w:hint="eastAsia"/>
                <w:color w:val="000000"/>
                <w:kern w:val="0"/>
                <w:sz w:val="18"/>
                <w:szCs w:val="18"/>
              </w:rPr>
              <w:t>距离下折（估测）</w:t>
            </w:r>
          </w:p>
        </w:tc>
        <w:tc>
          <w:tcPr>
            <w:tcW w:w="617" w:type="pct"/>
            <w:tcBorders>
              <w:top w:val="single" w:sz="4" w:space="0" w:color="DA9694"/>
              <w:left w:val="single" w:sz="4" w:space="0" w:color="DA9694"/>
              <w:bottom w:val="single" w:sz="4" w:space="0" w:color="DA9694"/>
              <w:right w:val="nil"/>
            </w:tcBorders>
            <w:shd w:val="clear" w:color="auto" w:fill="auto"/>
            <w:vAlign w:val="center"/>
          </w:tcPr>
          <w:p w:rsidR="00C455FD" w:rsidRPr="00C455FD" w:rsidRDefault="00C455FD" w:rsidP="00C455FD">
            <w:pPr>
              <w:widowControl/>
              <w:jc w:val="center"/>
              <w:rPr>
                <w:rFonts w:ascii="楷体_GB2312" w:eastAsia="楷体_GB2312" w:hAnsi="宋体" w:cs="宋体"/>
                <w:color w:val="000000"/>
                <w:kern w:val="0"/>
                <w:sz w:val="18"/>
                <w:szCs w:val="18"/>
              </w:rPr>
            </w:pPr>
            <w:r w:rsidRPr="00C455FD">
              <w:rPr>
                <w:rFonts w:ascii="楷体_GB2312" w:eastAsia="楷体_GB2312" w:hAnsi="宋体" w:cs="宋体" w:hint="eastAsia"/>
                <w:color w:val="000000"/>
                <w:kern w:val="0"/>
                <w:sz w:val="18"/>
                <w:szCs w:val="18"/>
              </w:rPr>
              <w:t>基金代码</w:t>
            </w:r>
          </w:p>
        </w:tc>
        <w:tc>
          <w:tcPr>
            <w:tcW w:w="1050" w:type="pct"/>
            <w:tcBorders>
              <w:top w:val="single" w:sz="4" w:space="0" w:color="DA9694"/>
              <w:left w:val="single" w:sz="4" w:space="0" w:color="DA9694"/>
              <w:bottom w:val="single" w:sz="4" w:space="0" w:color="DA9694"/>
              <w:right w:val="nil"/>
            </w:tcBorders>
            <w:shd w:val="clear" w:color="auto" w:fill="auto"/>
            <w:vAlign w:val="center"/>
          </w:tcPr>
          <w:p w:rsidR="00C455FD" w:rsidRPr="00C455FD" w:rsidRDefault="00C455FD" w:rsidP="00C455FD">
            <w:pPr>
              <w:widowControl/>
              <w:jc w:val="center"/>
              <w:rPr>
                <w:rFonts w:ascii="楷体_GB2312" w:eastAsia="楷体_GB2312" w:hAnsi="宋体" w:cs="宋体"/>
                <w:color w:val="000000"/>
                <w:kern w:val="0"/>
                <w:sz w:val="18"/>
                <w:szCs w:val="18"/>
              </w:rPr>
            </w:pPr>
            <w:r w:rsidRPr="00C455FD">
              <w:rPr>
                <w:rFonts w:ascii="楷体_GB2312" w:eastAsia="楷体_GB2312" w:hAnsi="宋体" w:cs="宋体" w:hint="eastAsia"/>
                <w:color w:val="000000"/>
                <w:kern w:val="0"/>
                <w:sz w:val="18"/>
                <w:szCs w:val="18"/>
              </w:rPr>
              <w:t>基金简称</w:t>
            </w:r>
          </w:p>
        </w:tc>
        <w:tc>
          <w:tcPr>
            <w:tcW w:w="862" w:type="pct"/>
            <w:tcBorders>
              <w:top w:val="single" w:sz="4" w:space="0" w:color="DA9694"/>
              <w:left w:val="single" w:sz="4" w:space="0" w:color="DA9694"/>
              <w:bottom w:val="single" w:sz="4" w:space="0" w:color="DA9694"/>
              <w:right w:val="nil"/>
            </w:tcBorders>
            <w:shd w:val="clear" w:color="auto" w:fill="auto"/>
            <w:vAlign w:val="center"/>
          </w:tcPr>
          <w:p w:rsidR="00C455FD" w:rsidRPr="00C455FD" w:rsidRDefault="00C455FD" w:rsidP="00C455FD">
            <w:pPr>
              <w:widowControl/>
              <w:jc w:val="center"/>
              <w:rPr>
                <w:rFonts w:ascii="楷体_GB2312" w:eastAsia="楷体_GB2312" w:hAnsi="宋体" w:cs="宋体"/>
                <w:color w:val="000000"/>
                <w:kern w:val="0"/>
                <w:sz w:val="18"/>
                <w:szCs w:val="18"/>
              </w:rPr>
            </w:pPr>
            <w:r w:rsidRPr="00C455FD">
              <w:rPr>
                <w:rFonts w:ascii="楷体_GB2312" w:eastAsia="楷体_GB2312" w:hAnsi="宋体" w:cs="宋体" w:hint="eastAsia"/>
                <w:color w:val="000000"/>
                <w:kern w:val="0"/>
                <w:sz w:val="18"/>
                <w:szCs w:val="18"/>
              </w:rPr>
              <w:t>价格杠杆</w:t>
            </w:r>
          </w:p>
        </w:tc>
      </w:tr>
      <w:tr w:rsidR="002F5D6E" w:rsidRPr="00FC2D2B" w:rsidTr="00C455FD">
        <w:trPr>
          <w:trHeight w:val="439"/>
        </w:trPr>
        <w:tc>
          <w:tcPr>
            <w:tcW w:w="554" w:type="pct"/>
            <w:tcBorders>
              <w:top w:val="single" w:sz="4" w:space="0" w:color="DA9694"/>
              <w:left w:val="single" w:sz="4" w:space="0" w:color="DA9694"/>
              <w:bottom w:val="single" w:sz="4" w:space="0" w:color="DA9694"/>
              <w:right w:val="nil"/>
            </w:tcBorders>
            <w:shd w:val="clear" w:color="F2DCDB" w:fill="F2DCDB"/>
            <w:noWrap/>
            <w:vAlign w:val="center"/>
            <w:hideMark/>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150208.SZ</w:t>
            </w:r>
          </w:p>
        </w:tc>
        <w:tc>
          <w:tcPr>
            <w:tcW w:w="1114"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2F5D6E" w:rsidRPr="002F5D6E" w:rsidRDefault="002F5D6E" w:rsidP="002F5D6E">
            <w:pPr>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招商沪深300地产B</w:t>
            </w:r>
          </w:p>
        </w:tc>
        <w:tc>
          <w:tcPr>
            <w:tcW w:w="803"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7.73%</w:t>
            </w:r>
          </w:p>
        </w:tc>
        <w:tc>
          <w:tcPr>
            <w:tcW w:w="617"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150208.SZ</w:t>
            </w:r>
          </w:p>
        </w:tc>
        <w:tc>
          <w:tcPr>
            <w:tcW w:w="1050"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招商沪深300地产B</w:t>
            </w:r>
          </w:p>
        </w:tc>
        <w:tc>
          <w:tcPr>
            <w:tcW w:w="862"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3.59</w:t>
            </w:r>
          </w:p>
        </w:tc>
      </w:tr>
      <w:tr w:rsidR="002F5D6E" w:rsidRPr="00FC2D2B" w:rsidTr="00C455FD">
        <w:trPr>
          <w:trHeight w:val="439"/>
        </w:trPr>
        <w:tc>
          <w:tcPr>
            <w:tcW w:w="554" w:type="pct"/>
            <w:tcBorders>
              <w:top w:val="single" w:sz="4" w:space="0" w:color="DA9694"/>
              <w:left w:val="single" w:sz="4" w:space="0" w:color="DA9694"/>
              <w:bottom w:val="single" w:sz="4" w:space="0" w:color="DA9694"/>
              <w:right w:val="nil"/>
            </w:tcBorders>
            <w:shd w:val="clear" w:color="auto" w:fill="auto"/>
            <w:noWrap/>
            <w:vAlign w:val="center"/>
            <w:hideMark/>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150282.SZ</w:t>
            </w:r>
          </w:p>
        </w:tc>
        <w:tc>
          <w:tcPr>
            <w:tcW w:w="1114" w:type="pct"/>
            <w:tcBorders>
              <w:top w:val="single" w:sz="4" w:space="0" w:color="DA9694"/>
              <w:left w:val="single" w:sz="4" w:space="0" w:color="DA9694"/>
              <w:bottom w:val="single" w:sz="4" w:space="0" w:color="DA9694"/>
              <w:right w:val="single" w:sz="4" w:space="0" w:color="DA9694"/>
            </w:tcBorders>
            <w:vAlign w:val="center"/>
          </w:tcPr>
          <w:p w:rsidR="002F5D6E" w:rsidRPr="002F5D6E" w:rsidRDefault="002F5D6E" w:rsidP="002F5D6E">
            <w:pPr>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长盛中</w:t>
            </w:r>
            <w:proofErr w:type="gramStart"/>
            <w:r w:rsidRPr="002F5D6E">
              <w:rPr>
                <w:rFonts w:ascii="楷体_GB2312" w:eastAsia="楷体_GB2312" w:hAnsi="宋体" w:cs="宋体" w:hint="eastAsia"/>
                <w:color w:val="000000"/>
                <w:kern w:val="0"/>
                <w:sz w:val="18"/>
                <w:szCs w:val="18"/>
              </w:rPr>
              <w:t>证金融</w:t>
            </w:r>
            <w:proofErr w:type="gramEnd"/>
            <w:r w:rsidRPr="002F5D6E">
              <w:rPr>
                <w:rFonts w:ascii="楷体_GB2312" w:eastAsia="楷体_GB2312" w:hAnsi="宋体" w:cs="宋体" w:hint="eastAsia"/>
                <w:color w:val="000000"/>
                <w:kern w:val="0"/>
                <w:sz w:val="18"/>
                <w:szCs w:val="18"/>
              </w:rPr>
              <w:t>地产B</w:t>
            </w:r>
          </w:p>
        </w:tc>
        <w:tc>
          <w:tcPr>
            <w:tcW w:w="803" w:type="pct"/>
            <w:tcBorders>
              <w:top w:val="single" w:sz="4" w:space="0" w:color="DA9694"/>
              <w:left w:val="single" w:sz="4" w:space="0" w:color="DA9694"/>
              <w:bottom w:val="single" w:sz="4" w:space="0" w:color="DA9694"/>
              <w:right w:val="single" w:sz="4" w:space="0" w:color="DA9694"/>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11.28%</w:t>
            </w:r>
          </w:p>
        </w:tc>
        <w:tc>
          <w:tcPr>
            <w:tcW w:w="617"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150282.SZ</w:t>
            </w:r>
          </w:p>
        </w:tc>
        <w:tc>
          <w:tcPr>
            <w:tcW w:w="1050"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长盛中</w:t>
            </w:r>
            <w:proofErr w:type="gramStart"/>
            <w:r w:rsidRPr="002F5D6E">
              <w:rPr>
                <w:rFonts w:ascii="楷体_GB2312" w:eastAsia="楷体_GB2312" w:hAnsi="宋体" w:cs="宋体" w:hint="eastAsia"/>
                <w:color w:val="000000"/>
                <w:kern w:val="0"/>
                <w:sz w:val="18"/>
                <w:szCs w:val="18"/>
              </w:rPr>
              <w:t>证金融</w:t>
            </w:r>
            <w:proofErr w:type="gramEnd"/>
            <w:r w:rsidRPr="002F5D6E">
              <w:rPr>
                <w:rFonts w:ascii="楷体_GB2312" w:eastAsia="楷体_GB2312" w:hAnsi="宋体" w:cs="宋体" w:hint="eastAsia"/>
                <w:color w:val="000000"/>
                <w:kern w:val="0"/>
                <w:sz w:val="18"/>
                <w:szCs w:val="18"/>
              </w:rPr>
              <w:t>地产B</w:t>
            </w:r>
          </w:p>
        </w:tc>
        <w:tc>
          <w:tcPr>
            <w:tcW w:w="862"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3.45</w:t>
            </w:r>
          </w:p>
        </w:tc>
      </w:tr>
      <w:tr w:rsidR="002F5D6E" w:rsidRPr="00FC2D2B" w:rsidTr="00C455FD">
        <w:trPr>
          <w:trHeight w:val="439"/>
        </w:trPr>
        <w:tc>
          <w:tcPr>
            <w:tcW w:w="554" w:type="pct"/>
            <w:tcBorders>
              <w:top w:val="single" w:sz="4" w:space="0" w:color="DA9694"/>
              <w:left w:val="single" w:sz="4" w:space="0" w:color="DA9694"/>
              <w:bottom w:val="single" w:sz="4" w:space="0" w:color="DA9694"/>
              <w:right w:val="nil"/>
            </w:tcBorders>
            <w:shd w:val="clear" w:color="F2DCDB" w:fill="F2DCDB"/>
            <w:noWrap/>
            <w:vAlign w:val="center"/>
            <w:hideMark/>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150276.SZ</w:t>
            </w:r>
          </w:p>
        </w:tc>
        <w:tc>
          <w:tcPr>
            <w:tcW w:w="1114"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2F5D6E" w:rsidRPr="002F5D6E" w:rsidRDefault="002F5D6E" w:rsidP="002F5D6E">
            <w:pPr>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安信中证一带一路B</w:t>
            </w:r>
          </w:p>
        </w:tc>
        <w:tc>
          <w:tcPr>
            <w:tcW w:w="803"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11.44%</w:t>
            </w:r>
          </w:p>
        </w:tc>
        <w:tc>
          <w:tcPr>
            <w:tcW w:w="617"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150118.SZ</w:t>
            </w:r>
          </w:p>
        </w:tc>
        <w:tc>
          <w:tcPr>
            <w:tcW w:w="1050"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国泰国证房地产B</w:t>
            </w:r>
          </w:p>
        </w:tc>
        <w:tc>
          <w:tcPr>
            <w:tcW w:w="862"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3.38</w:t>
            </w:r>
          </w:p>
        </w:tc>
      </w:tr>
      <w:tr w:rsidR="002F5D6E" w:rsidRPr="00FC2D2B" w:rsidTr="00C455FD">
        <w:trPr>
          <w:trHeight w:val="439"/>
        </w:trPr>
        <w:tc>
          <w:tcPr>
            <w:tcW w:w="554" w:type="pct"/>
            <w:tcBorders>
              <w:top w:val="single" w:sz="4" w:space="0" w:color="DA9694"/>
              <w:left w:val="single" w:sz="4" w:space="0" w:color="DA9694"/>
              <w:bottom w:val="single" w:sz="4" w:space="0" w:color="DA9694"/>
              <w:right w:val="nil"/>
            </w:tcBorders>
            <w:shd w:val="clear" w:color="auto" w:fill="auto"/>
            <w:noWrap/>
            <w:vAlign w:val="center"/>
            <w:hideMark/>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502015.SH</w:t>
            </w:r>
          </w:p>
        </w:tc>
        <w:tc>
          <w:tcPr>
            <w:tcW w:w="1114" w:type="pct"/>
            <w:tcBorders>
              <w:top w:val="single" w:sz="4" w:space="0" w:color="DA9694"/>
              <w:left w:val="single" w:sz="4" w:space="0" w:color="DA9694"/>
              <w:bottom w:val="single" w:sz="4" w:space="0" w:color="DA9694"/>
              <w:right w:val="single" w:sz="4" w:space="0" w:color="DA9694"/>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长盛中</w:t>
            </w:r>
            <w:proofErr w:type="gramStart"/>
            <w:r w:rsidRPr="002F5D6E">
              <w:rPr>
                <w:rFonts w:ascii="楷体_GB2312" w:eastAsia="楷体_GB2312" w:hAnsi="宋体" w:cs="宋体" w:hint="eastAsia"/>
                <w:color w:val="000000"/>
                <w:kern w:val="0"/>
                <w:sz w:val="18"/>
                <w:szCs w:val="18"/>
              </w:rPr>
              <w:t>证申万</w:t>
            </w:r>
            <w:proofErr w:type="gramEnd"/>
            <w:r w:rsidRPr="002F5D6E">
              <w:rPr>
                <w:rFonts w:ascii="楷体_GB2312" w:eastAsia="楷体_GB2312" w:hAnsi="宋体" w:cs="宋体" w:hint="eastAsia"/>
                <w:color w:val="000000"/>
                <w:kern w:val="0"/>
                <w:sz w:val="18"/>
                <w:szCs w:val="18"/>
              </w:rPr>
              <w:t>一带一路B</w:t>
            </w:r>
          </w:p>
        </w:tc>
        <w:tc>
          <w:tcPr>
            <w:tcW w:w="803" w:type="pct"/>
            <w:tcBorders>
              <w:top w:val="single" w:sz="4" w:space="0" w:color="DA9694"/>
              <w:left w:val="single" w:sz="4" w:space="0" w:color="DA9694"/>
              <w:bottom w:val="single" w:sz="4" w:space="0" w:color="DA9694"/>
              <w:right w:val="single" w:sz="4" w:space="0" w:color="DA9694"/>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11.85%</w:t>
            </w:r>
          </w:p>
        </w:tc>
        <w:tc>
          <w:tcPr>
            <w:tcW w:w="617"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150274.SZ</w:t>
            </w:r>
          </w:p>
        </w:tc>
        <w:tc>
          <w:tcPr>
            <w:tcW w:w="1050"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鹏华中证一带一路B</w:t>
            </w:r>
          </w:p>
        </w:tc>
        <w:tc>
          <w:tcPr>
            <w:tcW w:w="862"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3.32</w:t>
            </w:r>
          </w:p>
        </w:tc>
      </w:tr>
      <w:tr w:rsidR="002F5D6E" w:rsidRPr="00FC2D2B" w:rsidTr="00C455FD">
        <w:trPr>
          <w:trHeight w:val="439"/>
        </w:trPr>
        <w:tc>
          <w:tcPr>
            <w:tcW w:w="554" w:type="pct"/>
            <w:tcBorders>
              <w:top w:val="single" w:sz="4" w:space="0" w:color="DA9694"/>
              <w:left w:val="single" w:sz="4" w:space="0" w:color="DA9694"/>
              <w:bottom w:val="single" w:sz="4" w:space="0" w:color="DA9694"/>
              <w:right w:val="nil"/>
            </w:tcBorders>
            <w:shd w:val="clear" w:color="F2DCDB" w:fill="F2DCDB"/>
            <w:noWrap/>
            <w:vAlign w:val="center"/>
            <w:hideMark/>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150274.SZ</w:t>
            </w:r>
          </w:p>
        </w:tc>
        <w:tc>
          <w:tcPr>
            <w:tcW w:w="1114"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鹏华中证一带一路B</w:t>
            </w:r>
          </w:p>
        </w:tc>
        <w:tc>
          <w:tcPr>
            <w:tcW w:w="803"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11.91%</w:t>
            </w:r>
          </w:p>
        </w:tc>
        <w:tc>
          <w:tcPr>
            <w:tcW w:w="617"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502015.SH</w:t>
            </w:r>
          </w:p>
        </w:tc>
        <w:tc>
          <w:tcPr>
            <w:tcW w:w="1050"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长盛中</w:t>
            </w:r>
            <w:proofErr w:type="gramStart"/>
            <w:r w:rsidRPr="002F5D6E">
              <w:rPr>
                <w:rFonts w:ascii="楷体_GB2312" w:eastAsia="楷体_GB2312" w:hAnsi="宋体" w:cs="宋体" w:hint="eastAsia"/>
                <w:color w:val="000000"/>
                <w:kern w:val="0"/>
                <w:sz w:val="18"/>
                <w:szCs w:val="18"/>
              </w:rPr>
              <w:t>证申万</w:t>
            </w:r>
            <w:proofErr w:type="gramEnd"/>
            <w:r w:rsidRPr="002F5D6E">
              <w:rPr>
                <w:rFonts w:ascii="楷体_GB2312" w:eastAsia="楷体_GB2312" w:hAnsi="宋体" w:cs="宋体" w:hint="eastAsia"/>
                <w:color w:val="000000"/>
                <w:kern w:val="0"/>
                <w:sz w:val="18"/>
                <w:szCs w:val="18"/>
              </w:rPr>
              <w:t>一带一路B</w:t>
            </w:r>
          </w:p>
        </w:tc>
        <w:tc>
          <w:tcPr>
            <w:tcW w:w="862"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3.30</w:t>
            </w:r>
          </w:p>
        </w:tc>
      </w:tr>
      <w:tr w:rsidR="002F5D6E" w:rsidRPr="00FC2D2B" w:rsidTr="00C455FD">
        <w:trPr>
          <w:trHeight w:val="439"/>
        </w:trPr>
        <w:tc>
          <w:tcPr>
            <w:tcW w:w="554" w:type="pct"/>
            <w:tcBorders>
              <w:top w:val="single" w:sz="4" w:space="0" w:color="DA9694"/>
              <w:left w:val="single" w:sz="4" w:space="0" w:color="DA9694"/>
              <w:bottom w:val="single" w:sz="4" w:space="0" w:color="DA9694"/>
              <w:right w:val="nil"/>
            </w:tcBorders>
            <w:shd w:val="clear" w:color="auto" w:fill="auto"/>
            <w:noWrap/>
            <w:vAlign w:val="center"/>
            <w:hideMark/>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150278.SZ</w:t>
            </w:r>
          </w:p>
        </w:tc>
        <w:tc>
          <w:tcPr>
            <w:tcW w:w="1114" w:type="pct"/>
            <w:tcBorders>
              <w:top w:val="single" w:sz="4" w:space="0" w:color="DA9694"/>
              <w:left w:val="single" w:sz="4" w:space="0" w:color="DA9694"/>
              <w:bottom w:val="single" w:sz="4" w:space="0" w:color="DA9694"/>
              <w:right w:val="single" w:sz="4" w:space="0" w:color="DA9694"/>
            </w:tcBorders>
            <w:vAlign w:val="center"/>
          </w:tcPr>
          <w:p w:rsidR="002F5D6E" w:rsidRPr="002F5D6E" w:rsidRDefault="002F5D6E" w:rsidP="002F5D6E">
            <w:pPr>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鹏华中</w:t>
            </w:r>
            <w:proofErr w:type="gramStart"/>
            <w:r w:rsidRPr="002F5D6E">
              <w:rPr>
                <w:rFonts w:ascii="楷体_GB2312" w:eastAsia="楷体_GB2312" w:hAnsi="宋体" w:cs="宋体" w:hint="eastAsia"/>
                <w:color w:val="000000"/>
                <w:kern w:val="0"/>
                <w:sz w:val="18"/>
                <w:szCs w:val="18"/>
              </w:rPr>
              <w:t>证高铁产业</w:t>
            </w:r>
            <w:proofErr w:type="gramEnd"/>
            <w:r w:rsidRPr="002F5D6E">
              <w:rPr>
                <w:rFonts w:ascii="楷体_GB2312" w:eastAsia="楷体_GB2312" w:hAnsi="宋体" w:cs="宋体" w:hint="eastAsia"/>
                <w:color w:val="000000"/>
                <w:kern w:val="0"/>
                <w:sz w:val="18"/>
                <w:szCs w:val="18"/>
              </w:rPr>
              <w:t>B</w:t>
            </w:r>
          </w:p>
        </w:tc>
        <w:tc>
          <w:tcPr>
            <w:tcW w:w="803" w:type="pct"/>
            <w:tcBorders>
              <w:top w:val="single" w:sz="4" w:space="0" w:color="DA9694"/>
              <w:left w:val="single" w:sz="4" w:space="0" w:color="DA9694"/>
              <w:bottom w:val="single" w:sz="4" w:space="0" w:color="DA9694"/>
              <w:right w:val="single" w:sz="4" w:space="0" w:color="DA9694"/>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14.05%</w:t>
            </w:r>
          </w:p>
        </w:tc>
        <w:tc>
          <w:tcPr>
            <w:tcW w:w="617"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150276.SZ</w:t>
            </w:r>
          </w:p>
        </w:tc>
        <w:tc>
          <w:tcPr>
            <w:tcW w:w="1050"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安信中证一带一路B</w:t>
            </w:r>
          </w:p>
        </w:tc>
        <w:tc>
          <w:tcPr>
            <w:tcW w:w="862"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3.29</w:t>
            </w:r>
          </w:p>
        </w:tc>
      </w:tr>
      <w:tr w:rsidR="002F5D6E" w:rsidRPr="00FC2D2B" w:rsidTr="00C455FD">
        <w:trPr>
          <w:trHeight w:val="439"/>
        </w:trPr>
        <w:tc>
          <w:tcPr>
            <w:tcW w:w="554" w:type="pct"/>
            <w:tcBorders>
              <w:top w:val="single" w:sz="4" w:space="0" w:color="DA9694"/>
              <w:left w:val="single" w:sz="4" w:space="0" w:color="DA9694"/>
              <w:bottom w:val="single" w:sz="4" w:space="0" w:color="DA9694"/>
              <w:right w:val="nil"/>
            </w:tcBorders>
            <w:shd w:val="clear" w:color="F2DCDB" w:fill="F2DCDB"/>
            <w:noWrap/>
            <w:vAlign w:val="center"/>
            <w:hideMark/>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150118.SZ</w:t>
            </w:r>
          </w:p>
        </w:tc>
        <w:tc>
          <w:tcPr>
            <w:tcW w:w="1114"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国泰国证房地产B</w:t>
            </w:r>
          </w:p>
        </w:tc>
        <w:tc>
          <w:tcPr>
            <w:tcW w:w="803"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14.36%</w:t>
            </w:r>
          </w:p>
        </w:tc>
        <w:tc>
          <w:tcPr>
            <w:tcW w:w="617"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150290.SZ</w:t>
            </w:r>
          </w:p>
        </w:tc>
        <w:tc>
          <w:tcPr>
            <w:tcW w:w="1050"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proofErr w:type="gramStart"/>
            <w:r w:rsidRPr="002F5D6E">
              <w:rPr>
                <w:rFonts w:ascii="楷体_GB2312" w:eastAsia="楷体_GB2312" w:hAnsi="宋体" w:cs="宋体" w:hint="eastAsia"/>
                <w:color w:val="000000"/>
                <w:kern w:val="0"/>
                <w:sz w:val="18"/>
                <w:szCs w:val="18"/>
              </w:rPr>
              <w:t>中融中</w:t>
            </w:r>
            <w:proofErr w:type="gramEnd"/>
            <w:r w:rsidRPr="002F5D6E">
              <w:rPr>
                <w:rFonts w:ascii="楷体_GB2312" w:eastAsia="楷体_GB2312" w:hAnsi="宋体" w:cs="宋体" w:hint="eastAsia"/>
                <w:color w:val="000000"/>
                <w:kern w:val="0"/>
                <w:sz w:val="18"/>
                <w:szCs w:val="18"/>
              </w:rPr>
              <w:t>证煤炭B</w:t>
            </w:r>
          </w:p>
        </w:tc>
        <w:tc>
          <w:tcPr>
            <w:tcW w:w="862"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3.19</w:t>
            </w:r>
          </w:p>
        </w:tc>
      </w:tr>
      <w:tr w:rsidR="002F5D6E" w:rsidRPr="00FC2D2B" w:rsidTr="00C455FD">
        <w:trPr>
          <w:trHeight w:val="439"/>
        </w:trPr>
        <w:tc>
          <w:tcPr>
            <w:tcW w:w="554" w:type="pct"/>
            <w:tcBorders>
              <w:top w:val="single" w:sz="4" w:space="0" w:color="DA9694"/>
              <w:left w:val="single" w:sz="4" w:space="0" w:color="DA9694"/>
              <w:bottom w:val="single" w:sz="4" w:space="0" w:color="DA9694"/>
              <w:right w:val="nil"/>
            </w:tcBorders>
            <w:shd w:val="clear" w:color="auto" w:fill="auto"/>
            <w:noWrap/>
            <w:vAlign w:val="center"/>
            <w:hideMark/>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150095.SZ</w:t>
            </w:r>
          </w:p>
        </w:tc>
        <w:tc>
          <w:tcPr>
            <w:tcW w:w="1114" w:type="pct"/>
            <w:tcBorders>
              <w:top w:val="single" w:sz="4" w:space="0" w:color="DA9694"/>
              <w:left w:val="single" w:sz="4" w:space="0" w:color="DA9694"/>
              <w:bottom w:val="single" w:sz="4" w:space="0" w:color="DA9694"/>
              <w:right w:val="single" w:sz="4" w:space="0" w:color="DA9694"/>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proofErr w:type="gramStart"/>
            <w:r w:rsidRPr="002F5D6E">
              <w:rPr>
                <w:rFonts w:ascii="楷体_GB2312" w:eastAsia="楷体_GB2312" w:hAnsi="宋体" w:cs="宋体" w:hint="eastAsia"/>
                <w:color w:val="000000"/>
                <w:kern w:val="0"/>
                <w:sz w:val="18"/>
                <w:szCs w:val="18"/>
              </w:rPr>
              <w:t>泰信基本</w:t>
            </w:r>
            <w:proofErr w:type="gramEnd"/>
            <w:r w:rsidRPr="002F5D6E">
              <w:rPr>
                <w:rFonts w:ascii="楷体_GB2312" w:eastAsia="楷体_GB2312" w:hAnsi="宋体" w:cs="宋体" w:hint="eastAsia"/>
                <w:color w:val="000000"/>
                <w:kern w:val="0"/>
                <w:sz w:val="18"/>
                <w:szCs w:val="18"/>
              </w:rPr>
              <w:t>面400B</w:t>
            </w:r>
          </w:p>
        </w:tc>
        <w:tc>
          <w:tcPr>
            <w:tcW w:w="803" w:type="pct"/>
            <w:tcBorders>
              <w:top w:val="single" w:sz="4" w:space="0" w:color="DA9694"/>
              <w:left w:val="single" w:sz="4" w:space="0" w:color="DA9694"/>
              <w:bottom w:val="single" w:sz="4" w:space="0" w:color="DA9694"/>
              <w:right w:val="single" w:sz="4" w:space="0" w:color="DA9694"/>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15.03%</w:t>
            </w:r>
          </w:p>
        </w:tc>
        <w:tc>
          <w:tcPr>
            <w:tcW w:w="617"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150214.SZ</w:t>
            </w:r>
          </w:p>
        </w:tc>
        <w:tc>
          <w:tcPr>
            <w:tcW w:w="1050"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国</w:t>
            </w:r>
            <w:proofErr w:type="gramStart"/>
            <w:r w:rsidRPr="002F5D6E">
              <w:rPr>
                <w:rFonts w:ascii="楷体_GB2312" w:eastAsia="楷体_GB2312" w:hAnsi="宋体" w:cs="宋体" w:hint="eastAsia"/>
                <w:color w:val="000000"/>
                <w:kern w:val="0"/>
                <w:sz w:val="18"/>
                <w:szCs w:val="18"/>
              </w:rPr>
              <w:t>投瑞银瑞</w:t>
            </w:r>
            <w:proofErr w:type="gramEnd"/>
            <w:r w:rsidRPr="002F5D6E">
              <w:rPr>
                <w:rFonts w:ascii="楷体_GB2312" w:eastAsia="楷体_GB2312" w:hAnsi="宋体" w:cs="宋体" w:hint="eastAsia"/>
                <w:color w:val="000000"/>
                <w:kern w:val="0"/>
                <w:sz w:val="18"/>
                <w:szCs w:val="18"/>
              </w:rPr>
              <w:t>泽中</w:t>
            </w:r>
            <w:proofErr w:type="gramStart"/>
            <w:r w:rsidRPr="002F5D6E">
              <w:rPr>
                <w:rFonts w:ascii="楷体_GB2312" w:eastAsia="楷体_GB2312" w:hAnsi="宋体" w:cs="宋体" w:hint="eastAsia"/>
                <w:color w:val="000000"/>
                <w:kern w:val="0"/>
                <w:sz w:val="18"/>
                <w:szCs w:val="18"/>
              </w:rPr>
              <w:t>证创业</w:t>
            </w:r>
            <w:proofErr w:type="gramEnd"/>
            <w:r w:rsidRPr="002F5D6E">
              <w:rPr>
                <w:rFonts w:ascii="楷体_GB2312" w:eastAsia="楷体_GB2312" w:hAnsi="宋体" w:cs="宋体" w:hint="eastAsia"/>
                <w:color w:val="000000"/>
                <w:kern w:val="0"/>
                <w:sz w:val="18"/>
                <w:szCs w:val="18"/>
              </w:rPr>
              <w:t>成长B</w:t>
            </w:r>
          </w:p>
        </w:tc>
        <w:tc>
          <w:tcPr>
            <w:tcW w:w="862"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3.14</w:t>
            </w:r>
          </w:p>
        </w:tc>
      </w:tr>
      <w:tr w:rsidR="002F5D6E" w:rsidRPr="00FC2D2B" w:rsidTr="00C455FD">
        <w:trPr>
          <w:trHeight w:val="439"/>
        </w:trPr>
        <w:tc>
          <w:tcPr>
            <w:tcW w:w="554" w:type="pct"/>
            <w:tcBorders>
              <w:top w:val="single" w:sz="4" w:space="0" w:color="DA9694"/>
              <w:left w:val="single" w:sz="4" w:space="0" w:color="DA9694"/>
              <w:bottom w:val="single" w:sz="4" w:space="0" w:color="DA9694"/>
              <w:right w:val="nil"/>
            </w:tcBorders>
            <w:shd w:val="clear" w:color="F2DCDB" w:fill="F2DCDB"/>
            <w:noWrap/>
            <w:vAlign w:val="center"/>
            <w:hideMark/>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150290.SZ</w:t>
            </w:r>
          </w:p>
        </w:tc>
        <w:tc>
          <w:tcPr>
            <w:tcW w:w="1114"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proofErr w:type="gramStart"/>
            <w:r w:rsidRPr="002F5D6E">
              <w:rPr>
                <w:rFonts w:ascii="楷体_GB2312" w:eastAsia="楷体_GB2312" w:hAnsi="宋体" w:cs="宋体" w:hint="eastAsia"/>
                <w:color w:val="000000"/>
                <w:kern w:val="0"/>
                <w:sz w:val="18"/>
                <w:szCs w:val="18"/>
              </w:rPr>
              <w:t>中融中</w:t>
            </w:r>
            <w:proofErr w:type="gramEnd"/>
            <w:r w:rsidRPr="002F5D6E">
              <w:rPr>
                <w:rFonts w:ascii="楷体_GB2312" w:eastAsia="楷体_GB2312" w:hAnsi="宋体" w:cs="宋体" w:hint="eastAsia"/>
                <w:color w:val="000000"/>
                <w:kern w:val="0"/>
                <w:sz w:val="18"/>
                <w:szCs w:val="18"/>
              </w:rPr>
              <w:t>证煤炭B</w:t>
            </w:r>
          </w:p>
        </w:tc>
        <w:tc>
          <w:tcPr>
            <w:tcW w:w="803"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15.26%</w:t>
            </w:r>
          </w:p>
        </w:tc>
        <w:tc>
          <w:tcPr>
            <w:tcW w:w="617"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150095.SZ</w:t>
            </w:r>
          </w:p>
        </w:tc>
        <w:tc>
          <w:tcPr>
            <w:tcW w:w="1050"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proofErr w:type="gramStart"/>
            <w:r w:rsidRPr="002F5D6E">
              <w:rPr>
                <w:rFonts w:ascii="楷体_GB2312" w:eastAsia="楷体_GB2312" w:hAnsi="宋体" w:cs="宋体" w:hint="eastAsia"/>
                <w:color w:val="000000"/>
                <w:kern w:val="0"/>
                <w:sz w:val="18"/>
                <w:szCs w:val="18"/>
              </w:rPr>
              <w:t>泰信基本</w:t>
            </w:r>
            <w:proofErr w:type="gramEnd"/>
            <w:r w:rsidRPr="002F5D6E">
              <w:rPr>
                <w:rFonts w:ascii="楷体_GB2312" w:eastAsia="楷体_GB2312" w:hAnsi="宋体" w:cs="宋体" w:hint="eastAsia"/>
                <w:color w:val="000000"/>
                <w:kern w:val="0"/>
                <w:sz w:val="18"/>
                <w:szCs w:val="18"/>
              </w:rPr>
              <w:t>面400B</w:t>
            </w:r>
          </w:p>
        </w:tc>
        <w:tc>
          <w:tcPr>
            <w:tcW w:w="862" w:type="pct"/>
            <w:tcBorders>
              <w:top w:val="single" w:sz="4" w:space="0" w:color="DA9694"/>
              <w:left w:val="single" w:sz="4" w:space="0" w:color="DA9694"/>
              <w:bottom w:val="single" w:sz="4" w:space="0" w:color="DA9694"/>
              <w:right w:val="nil"/>
            </w:tcBorders>
            <w:shd w:val="clear" w:color="F2DCDB" w:fill="F2DCDB"/>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3.13</w:t>
            </w:r>
          </w:p>
        </w:tc>
      </w:tr>
      <w:tr w:rsidR="002F5D6E" w:rsidRPr="00FC2D2B" w:rsidTr="00C455FD">
        <w:trPr>
          <w:trHeight w:val="439"/>
        </w:trPr>
        <w:tc>
          <w:tcPr>
            <w:tcW w:w="554" w:type="pct"/>
            <w:tcBorders>
              <w:top w:val="single" w:sz="4" w:space="0" w:color="DA9694"/>
              <w:left w:val="single" w:sz="4" w:space="0" w:color="DA9694"/>
              <w:bottom w:val="single" w:sz="4" w:space="0" w:color="DA9694"/>
              <w:right w:val="nil"/>
            </w:tcBorders>
            <w:shd w:val="clear" w:color="auto" w:fill="auto"/>
            <w:noWrap/>
            <w:vAlign w:val="center"/>
            <w:hideMark/>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lastRenderedPageBreak/>
              <w:t>150214.SZ</w:t>
            </w:r>
          </w:p>
        </w:tc>
        <w:tc>
          <w:tcPr>
            <w:tcW w:w="1114" w:type="pct"/>
            <w:tcBorders>
              <w:top w:val="single" w:sz="4" w:space="0" w:color="DA9694"/>
              <w:left w:val="single" w:sz="4" w:space="0" w:color="DA9694"/>
              <w:bottom w:val="single" w:sz="4" w:space="0" w:color="DA9694"/>
              <w:right w:val="single" w:sz="4" w:space="0" w:color="DA9694"/>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国</w:t>
            </w:r>
            <w:proofErr w:type="gramStart"/>
            <w:r w:rsidRPr="002F5D6E">
              <w:rPr>
                <w:rFonts w:ascii="楷体_GB2312" w:eastAsia="楷体_GB2312" w:hAnsi="宋体" w:cs="宋体" w:hint="eastAsia"/>
                <w:color w:val="000000"/>
                <w:kern w:val="0"/>
                <w:sz w:val="18"/>
                <w:szCs w:val="18"/>
              </w:rPr>
              <w:t>投瑞银瑞</w:t>
            </w:r>
            <w:proofErr w:type="gramEnd"/>
            <w:r w:rsidRPr="002F5D6E">
              <w:rPr>
                <w:rFonts w:ascii="楷体_GB2312" w:eastAsia="楷体_GB2312" w:hAnsi="宋体" w:cs="宋体" w:hint="eastAsia"/>
                <w:color w:val="000000"/>
                <w:kern w:val="0"/>
                <w:sz w:val="18"/>
                <w:szCs w:val="18"/>
              </w:rPr>
              <w:t>泽中</w:t>
            </w:r>
            <w:proofErr w:type="gramStart"/>
            <w:r w:rsidRPr="002F5D6E">
              <w:rPr>
                <w:rFonts w:ascii="楷体_GB2312" w:eastAsia="楷体_GB2312" w:hAnsi="宋体" w:cs="宋体" w:hint="eastAsia"/>
                <w:color w:val="000000"/>
                <w:kern w:val="0"/>
                <w:sz w:val="18"/>
                <w:szCs w:val="18"/>
              </w:rPr>
              <w:t>证创业</w:t>
            </w:r>
            <w:proofErr w:type="gramEnd"/>
            <w:r w:rsidRPr="002F5D6E">
              <w:rPr>
                <w:rFonts w:ascii="楷体_GB2312" w:eastAsia="楷体_GB2312" w:hAnsi="宋体" w:cs="宋体" w:hint="eastAsia"/>
                <w:color w:val="000000"/>
                <w:kern w:val="0"/>
                <w:sz w:val="18"/>
                <w:szCs w:val="18"/>
              </w:rPr>
              <w:t>成长B</w:t>
            </w:r>
          </w:p>
        </w:tc>
        <w:tc>
          <w:tcPr>
            <w:tcW w:w="803" w:type="pct"/>
            <w:tcBorders>
              <w:top w:val="single" w:sz="4" w:space="0" w:color="DA9694"/>
              <w:left w:val="single" w:sz="4" w:space="0" w:color="DA9694"/>
              <w:bottom w:val="single" w:sz="4" w:space="0" w:color="DA9694"/>
              <w:right w:val="single" w:sz="4" w:space="0" w:color="DA9694"/>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16.14%</w:t>
            </w:r>
          </w:p>
        </w:tc>
        <w:tc>
          <w:tcPr>
            <w:tcW w:w="617"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150300.SZ</w:t>
            </w:r>
          </w:p>
        </w:tc>
        <w:tc>
          <w:tcPr>
            <w:tcW w:w="1050"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华安中</w:t>
            </w:r>
            <w:proofErr w:type="gramStart"/>
            <w:r w:rsidRPr="002F5D6E">
              <w:rPr>
                <w:rFonts w:ascii="楷体_GB2312" w:eastAsia="楷体_GB2312" w:hAnsi="宋体" w:cs="宋体" w:hint="eastAsia"/>
                <w:color w:val="000000"/>
                <w:kern w:val="0"/>
                <w:sz w:val="18"/>
                <w:szCs w:val="18"/>
              </w:rPr>
              <w:t>证银行</w:t>
            </w:r>
            <w:proofErr w:type="gramEnd"/>
            <w:r w:rsidRPr="002F5D6E">
              <w:rPr>
                <w:rFonts w:ascii="楷体_GB2312" w:eastAsia="楷体_GB2312" w:hAnsi="宋体" w:cs="宋体" w:hint="eastAsia"/>
                <w:color w:val="000000"/>
                <w:kern w:val="0"/>
                <w:sz w:val="18"/>
                <w:szCs w:val="18"/>
              </w:rPr>
              <w:t>B</w:t>
            </w:r>
          </w:p>
        </w:tc>
        <w:tc>
          <w:tcPr>
            <w:tcW w:w="862" w:type="pct"/>
            <w:tcBorders>
              <w:top w:val="single" w:sz="4" w:space="0" w:color="DA9694"/>
              <w:left w:val="single" w:sz="4" w:space="0" w:color="DA9694"/>
              <w:bottom w:val="single" w:sz="4" w:space="0" w:color="DA9694"/>
              <w:right w:val="nil"/>
            </w:tcBorders>
            <w:vAlign w:val="center"/>
          </w:tcPr>
          <w:p w:rsidR="002F5D6E" w:rsidRPr="002F5D6E" w:rsidRDefault="002F5D6E" w:rsidP="002F5D6E">
            <w:pPr>
              <w:widowControl/>
              <w:jc w:val="center"/>
              <w:rPr>
                <w:rFonts w:ascii="楷体_GB2312" w:eastAsia="楷体_GB2312" w:hAnsi="宋体" w:cs="宋体"/>
                <w:color w:val="000000"/>
                <w:kern w:val="0"/>
                <w:sz w:val="18"/>
                <w:szCs w:val="18"/>
              </w:rPr>
            </w:pPr>
            <w:r w:rsidRPr="002F5D6E">
              <w:rPr>
                <w:rFonts w:ascii="楷体_GB2312" w:eastAsia="楷体_GB2312" w:hAnsi="宋体" w:cs="宋体" w:hint="eastAsia"/>
                <w:color w:val="000000"/>
                <w:kern w:val="0"/>
                <w:sz w:val="18"/>
                <w:szCs w:val="18"/>
              </w:rPr>
              <w:t>3.09</w:t>
            </w:r>
          </w:p>
        </w:tc>
      </w:tr>
    </w:tbl>
    <w:p w:rsidR="009148E8" w:rsidRPr="00D90536" w:rsidRDefault="009148E8" w:rsidP="00D90536">
      <w:pPr>
        <w:pStyle w:val="a7"/>
        <w:spacing w:beforeLines="50" w:before="156" w:afterLines="50" w:after="156"/>
        <w:ind w:left="851" w:firstLineChars="0" w:firstLine="0"/>
        <w:rPr>
          <w:rFonts w:ascii="楷体_GB2312" w:eastAsia="楷体_GB2312" w:hAnsi="楷体" w:cs="宋体-18030"/>
          <w:b/>
          <w:bCs/>
          <w:color w:val="003366"/>
          <w:kern w:val="44"/>
          <w:sz w:val="24"/>
        </w:rPr>
      </w:pPr>
    </w:p>
    <w:p w:rsidR="0063384C" w:rsidRPr="00394675" w:rsidRDefault="0063384C" w:rsidP="0063384C">
      <w:pPr>
        <w:pageBreakBefore/>
        <w:spacing w:line="400" w:lineRule="exact"/>
        <w:jc w:val="left"/>
        <w:rPr>
          <w:rFonts w:eastAsia="楷体_GB2312"/>
          <w:b/>
          <w:bCs/>
          <w:color w:val="003366"/>
          <w:szCs w:val="21"/>
        </w:rPr>
      </w:pPr>
      <w:r w:rsidRPr="00394675">
        <w:rPr>
          <w:rFonts w:eastAsia="楷体_GB2312"/>
          <w:b/>
          <w:bCs/>
          <w:color w:val="003366"/>
          <w:szCs w:val="21"/>
        </w:rPr>
        <w:lastRenderedPageBreak/>
        <w:t>分析师承诺</w:t>
      </w:r>
    </w:p>
    <w:p w:rsidR="0063384C" w:rsidRPr="00394675" w:rsidRDefault="0063384C" w:rsidP="0063384C">
      <w:pPr>
        <w:spacing w:beforeLines="50" w:before="156"/>
        <w:rPr>
          <w:rFonts w:eastAsia="楷体_GB2312"/>
          <w:sz w:val="18"/>
          <w:szCs w:val="18"/>
        </w:rPr>
      </w:pPr>
      <w:r w:rsidRPr="00394675">
        <w:rPr>
          <w:rFonts w:eastAsia="楷体_GB2312"/>
          <w:sz w:val="18"/>
          <w:szCs w:val="18"/>
        </w:rPr>
        <w:t>分析师</w:t>
      </w:r>
      <w:r>
        <w:rPr>
          <w:rFonts w:eastAsia="楷体_GB2312" w:hint="eastAsia"/>
          <w:sz w:val="18"/>
          <w:szCs w:val="18"/>
        </w:rPr>
        <w:t xml:space="preserve"> </w:t>
      </w:r>
      <w:r>
        <w:rPr>
          <w:rFonts w:eastAsia="楷体_GB2312" w:hint="eastAsia"/>
          <w:sz w:val="18"/>
          <w:szCs w:val="18"/>
        </w:rPr>
        <w:t>李颖</w:t>
      </w:r>
      <w:r>
        <w:rPr>
          <w:rFonts w:eastAsia="楷体_GB2312" w:hint="eastAsia"/>
          <w:sz w:val="18"/>
          <w:szCs w:val="18"/>
        </w:rPr>
        <w:t xml:space="preserve"> </w:t>
      </w:r>
      <w:proofErr w:type="gramStart"/>
      <w:r>
        <w:rPr>
          <w:rFonts w:eastAsia="楷体_GB2312" w:hint="eastAsia"/>
          <w:sz w:val="18"/>
          <w:szCs w:val="18"/>
        </w:rPr>
        <w:t>闻嘉琦</w:t>
      </w:r>
      <w:proofErr w:type="gramEnd"/>
    </w:p>
    <w:p w:rsidR="0063384C" w:rsidRPr="00653644" w:rsidRDefault="0063384C" w:rsidP="0063384C">
      <w:pPr>
        <w:spacing w:line="300" w:lineRule="exact"/>
        <w:rPr>
          <w:rFonts w:ascii="楷体_GB2312" w:eastAsia="楷体_GB2312"/>
          <w:color w:val="000000"/>
          <w:sz w:val="18"/>
          <w:szCs w:val="18"/>
        </w:rPr>
      </w:pPr>
      <w:r w:rsidRPr="00653644">
        <w:rPr>
          <w:rFonts w:ascii="楷体_GB2312" w:eastAsia="楷体_GB2312" w:hint="eastAsia"/>
          <w:color w:val="000000"/>
          <w:sz w:val="18"/>
          <w:szCs w:val="18"/>
        </w:rPr>
        <w:t>本人</w:t>
      </w:r>
      <w:r>
        <w:rPr>
          <w:rFonts w:ascii="楷体_GB2312" w:eastAsia="楷体_GB2312" w:hint="eastAsia"/>
          <w:color w:val="000000"/>
          <w:sz w:val="18"/>
          <w:szCs w:val="18"/>
        </w:rPr>
        <w:t>以勤勉尽责的职业态度，独立、客观地出具本报告。本报告依据公开的信息来源，力求清晰、准确地反映分析师的研究观点。此外，本人薪酬的任何部分过去不曾与、现在不与、未来也将不会与本报告中的具体推荐意见或观点直接或间接相关。</w:t>
      </w:r>
    </w:p>
    <w:p w:rsidR="0063384C" w:rsidRDefault="0063384C" w:rsidP="0063384C">
      <w:pPr>
        <w:spacing w:line="400" w:lineRule="exact"/>
        <w:jc w:val="left"/>
        <w:rPr>
          <w:rFonts w:ascii="楷体_GB2312" w:eastAsia="楷体_GB2312" w:hAnsi="Arial" w:cs="Arial"/>
          <w:b/>
          <w:bCs/>
          <w:color w:val="FF6600"/>
          <w:szCs w:val="21"/>
        </w:rPr>
      </w:pPr>
    </w:p>
    <w:p w:rsidR="0063384C" w:rsidRDefault="0063384C" w:rsidP="0063384C">
      <w:pPr>
        <w:spacing w:line="400" w:lineRule="exact"/>
        <w:jc w:val="left"/>
        <w:rPr>
          <w:rFonts w:ascii="楷体_GB2312" w:eastAsia="楷体_GB2312" w:hAnsi="Arial" w:cs="Arial"/>
          <w:b/>
          <w:bCs/>
          <w:color w:val="003366"/>
          <w:szCs w:val="21"/>
        </w:rPr>
      </w:pPr>
      <w:r>
        <w:rPr>
          <w:rFonts w:ascii="楷体_GB2312" w:eastAsia="楷体_GB2312" w:hAnsi="Arial" w:cs="Arial" w:hint="eastAsia"/>
          <w:b/>
          <w:bCs/>
          <w:color w:val="003366"/>
          <w:szCs w:val="21"/>
        </w:rPr>
        <w:t>公司业务资格说明</w:t>
      </w:r>
    </w:p>
    <w:p w:rsidR="0063384C" w:rsidRPr="00867DF5" w:rsidRDefault="0063384C" w:rsidP="0063384C">
      <w:pPr>
        <w:spacing w:line="400" w:lineRule="exact"/>
        <w:jc w:val="left"/>
        <w:rPr>
          <w:rFonts w:ascii="楷体_GB2312" w:eastAsia="楷体_GB2312"/>
          <w:color w:val="000000"/>
          <w:sz w:val="18"/>
          <w:szCs w:val="18"/>
        </w:rPr>
      </w:pPr>
      <w:r w:rsidRPr="00867DF5">
        <w:rPr>
          <w:rFonts w:ascii="楷体_GB2312" w:eastAsia="楷体_GB2312" w:hint="eastAsia"/>
          <w:color w:val="000000"/>
          <w:sz w:val="18"/>
          <w:szCs w:val="18"/>
        </w:rPr>
        <w:t>本公司具备证券投资咨询业务资格，是具备协会会员资格的基金评价机构</w:t>
      </w:r>
      <w:r>
        <w:rPr>
          <w:rFonts w:ascii="楷体_GB2312" w:eastAsia="楷体_GB2312" w:hint="eastAsia"/>
          <w:color w:val="000000"/>
          <w:sz w:val="18"/>
          <w:szCs w:val="18"/>
        </w:rPr>
        <w:t>。</w:t>
      </w:r>
    </w:p>
    <w:p w:rsidR="0063384C" w:rsidRDefault="0063384C" w:rsidP="0063384C">
      <w:pPr>
        <w:spacing w:line="400" w:lineRule="exact"/>
        <w:jc w:val="left"/>
        <w:rPr>
          <w:rFonts w:ascii="楷体_GB2312" w:eastAsia="楷体_GB2312" w:hAnsi="Arial" w:cs="Arial"/>
          <w:b/>
          <w:bCs/>
          <w:color w:val="003366"/>
          <w:szCs w:val="21"/>
        </w:rPr>
      </w:pPr>
    </w:p>
    <w:p w:rsidR="0063384C" w:rsidRPr="008F1970" w:rsidRDefault="0063384C" w:rsidP="0063384C">
      <w:pPr>
        <w:spacing w:line="400" w:lineRule="exact"/>
        <w:jc w:val="left"/>
        <w:rPr>
          <w:rFonts w:ascii="楷体_GB2312" w:eastAsia="楷体_GB2312" w:hAnsi="Arial" w:cs="Arial"/>
          <w:b/>
          <w:bCs/>
          <w:color w:val="003366"/>
          <w:szCs w:val="21"/>
        </w:rPr>
      </w:pPr>
      <w:r>
        <w:rPr>
          <w:rFonts w:ascii="楷体_GB2312" w:eastAsia="楷体_GB2312" w:hAnsi="Arial" w:cs="Arial" w:hint="eastAsia"/>
          <w:b/>
          <w:bCs/>
          <w:color w:val="003366"/>
          <w:szCs w:val="21"/>
        </w:rPr>
        <w:t>重要声明</w:t>
      </w:r>
    </w:p>
    <w:p w:rsidR="0063384C" w:rsidRPr="00427DD5" w:rsidRDefault="0063384C" w:rsidP="0063384C">
      <w:pPr>
        <w:spacing w:line="300" w:lineRule="exact"/>
        <w:rPr>
          <w:rFonts w:ascii="楷体_GB2312" w:eastAsia="楷体_GB2312"/>
          <w:color w:val="000000"/>
          <w:sz w:val="18"/>
          <w:szCs w:val="18"/>
        </w:rPr>
      </w:pPr>
      <w:r w:rsidRPr="00427DD5">
        <w:rPr>
          <w:rFonts w:ascii="楷体_GB2312" w:eastAsia="楷体_GB2312" w:hint="eastAsia"/>
          <w:color w:val="000000"/>
          <w:sz w:val="18"/>
          <w:szCs w:val="18"/>
        </w:rPr>
        <w:t>本报告中的信息均来源于已公开的资料，我公司对这些信息的准确性及完整性不作任何保证，不保证该信息未经任何更新，也不保证本公司</w:t>
      </w:r>
      <w:proofErr w:type="gramStart"/>
      <w:r w:rsidRPr="00427DD5">
        <w:rPr>
          <w:rFonts w:ascii="楷体_GB2312" w:eastAsia="楷体_GB2312" w:hint="eastAsia"/>
          <w:color w:val="000000"/>
          <w:sz w:val="18"/>
          <w:szCs w:val="18"/>
        </w:rPr>
        <w:t>作出</w:t>
      </w:r>
      <w:proofErr w:type="gramEnd"/>
      <w:r w:rsidRPr="00427DD5">
        <w:rPr>
          <w:rFonts w:ascii="楷体_GB2312" w:eastAsia="楷体_GB2312" w:hint="eastAsia"/>
          <w:color w:val="000000"/>
          <w:sz w:val="18"/>
          <w:szCs w:val="18"/>
        </w:rPr>
        <w:t>的任何建议不会发生任何变更。在任何情况下，报告中的信息或所表达的意见并不构成所述证券买卖的出价或询价。在任何情况下，我公司不就本报告中的任何内容对任何投资</w:t>
      </w:r>
      <w:proofErr w:type="gramStart"/>
      <w:r w:rsidRPr="00427DD5">
        <w:rPr>
          <w:rFonts w:ascii="楷体_GB2312" w:eastAsia="楷体_GB2312" w:hint="eastAsia"/>
          <w:color w:val="000000"/>
          <w:sz w:val="18"/>
          <w:szCs w:val="18"/>
        </w:rPr>
        <w:t>作出</w:t>
      </w:r>
      <w:proofErr w:type="gramEnd"/>
      <w:r w:rsidRPr="00427DD5">
        <w:rPr>
          <w:rFonts w:ascii="楷体_GB2312" w:eastAsia="楷体_GB2312" w:hint="eastAsia"/>
          <w:color w:val="000000"/>
          <w:sz w:val="18"/>
          <w:szCs w:val="18"/>
        </w:rPr>
        <w:t>任何形式的担保。我公司及其关联机构可能会持有报告中提到的公司所发行的证券并进行交易，还可能为这些公司提供或争取提供投资银行或财务顾问服务。业绩表现数据仅代表过去的表现，不保证未来结果。投资收益和本金将随市场波动，当出售证券资产时可能发生损益。当前的表现可能会高于或低于那时引用的数据。</w:t>
      </w:r>
    </w:p>
    <w:p w:rsidR="0063384C" w:rsidRPr="00427DD5" w:rsidRDefault="0063384C" w:rsidP="0063384C">
      <w:pPr>
        <w:spacing w:line="300" w:lineRule="exact"/>
        <w:rPr>
          <w:rFonts w:ascii="楷体_GB2312" w:eastAsia="楷体_GB2312"/>
          <w:sz w:val="18"/>
          <w:szCs w:val="18"/>
        </w:rPr>
      </w:pPr>
      <w:r w:rsidRPr="00427DD5">
        <w:rPr>
          <w:rFonts w:ascii="楷体_GB2312" w:eastAsia="楷体_GB2312" w:hint="eastAsia"/>
          <w:color w:val="000000"/>
          <w:sz w:val="18"/>
          <w:szCs w:val="18"/>
        </w:rPr>
        <w:t>本报告版权归上海证券有限责任公司所有。未获得上海证券有限责任公司事先书面授权，任何人不得对本报告进行任何形式的发布、复制。如遵循原文本意地引用、刊发，需注明出处为“上海证券基金评价研究中心”。</w:t>
      </w:r>
    </w:p>
    <w:p w:rsidR="0063384C" w:rsidRPr="00693B26" w:rsidRDefault="0063384C" w:rsidP="0063384C">
      <w:pPr>
        <w:spacing w:line="300" w:lineRule="exact"/>
        <w:rPr>
          <w:rFonts w:ascii="楷体_GB2312" w:eastAsia="楷体_GB2312"/>
          <w:sz w:val="18"/>
          <w:szCs w:val="18"/>
        </w:rPr>
      </w:pPr>
    </w:p>
    <w:p w:rsidR="00415862" w:rsidRPr="0063384C" w:rsidRDefault="00415862"/>
    <w:sectPr w:rsidR="00415862" w:rsidRPr="0063384C" w:rsidSect="004D0283">
      <w:headerReference w:type="default" r:id="rId19"/>
      <w:pgSz w:w="11906" w:h="16838"/>
      <w:pgMar w:top="1418" w:right="1133"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F27" w:rsidRDefault="00080F27">
      <w:r>
        <w:separator/>
      </w:r>
    </w:p>
  </w:endnote>
  <w:endnote w:type="continuationSeparator" w:id="0">
    <w:p w:rsidR="00080F27" w:rsidRDefault="00080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宋体-18030">
    <w:altName w:val="宋体"/>
    <w:charset w:val="86"/>
    <w:family w:val="modern"/>
    <w:pitch w:val="fixed"/>
    <w:sig w:usb0="800022A7" w:usb1="880F3C78" w:usb2="000A005E" w:usb3="00000000" w:csb0="00040001"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283" w:rsidRDefault="004D0283" w:rsidP="004D0283">
    <w:pPr>
      <w:pStyle w:val="a4"/>
      <w:framePr w:wrap="around" w:vAnchor="text" w:hAnchor="margin" w:xAlign="right" w:y="1"/>
      <w:rPr>
        <w:rStyle w:val="a5"/>
      </w:rPr>
    </w:pPr>
    <w:r>
      <w:rPr>
        <w:rStyle w:val="a5"/>
        <w:noProof/>
      </w:rPr>
      <w:t>1</w:t>
    </w:r>
  </w:p>
  <w:p w:rsidR="004D0283" w:rsidRDefault="004D0283" w:rsidP="004D0283">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283" w:rsidRDefault="004D0283" w:rsidP="004D0283">
    <w:pPr>
      <w:pStyle w:val="a4"/>
      <w:ind w:right="360"/>
    </w:pPr>
    <w:r>
      <w:rPr>
        <w:noProof/>
      </w:rPr>
      <mc:AlternateContent>
        <mc:Choice Requires="wps">
          <w:drawing>
            <wp:anchor distT="0" distB="0" distL="114300" distR="114300" simplePos="0" relativeHeight="251656704" behindDoc="0" locked="0" layoutInCell="1" allowOverlap="1">
              <wp:simplePos x="0" y="0"/>
              <wp:positionH relativeFrom="page">
                <wp:posOffset>365760</wp:posOffset>
              </wp:positionH>
              <wp:positionV relativeFrom="page">
                <wp:posOffset>9815830</wp:posOffset>
              </wp:positionV>
              <wp:extent cx="6520815" cy="228600"/>
              <wp:effectExtent l="3810" t="0" r="0" b="4445"/>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8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283" w:rsidRPr="00310D17" w:rsidRDefault="004D0283" w:rsidP="004D0283">
                          <w:pPr>
                            <w:pBdr>
                              <w:top w:val="single" w:sz="4" w:space="3" w:color="auto"/>
                            </w:pBdr>
                            <w:topLinePunct/>
                            <w:spacing w:line="200" w:lineRule="exact"/>
                            <w:rPr>
                              <w:rFonts w:ascii="楷体_GB2312" w:eastAsia="楷体_GB2312"/>
                              <w:color w:val="003366"/>
                              <w:szCs w:val="21"/>
                            </w:rPr>
                          </w:pPr>
                          <w:r w:rsidRPr="00FB139B">
                            <w:rPr>
                              <w:rFonts w:ascii="楷体_GB2312" w:eastAsia="楷体_GB2312" w:hint="eastAsia"/>
                              <w:b/>
                              <w:color w:val="003366"/>
                              <w:szCs w:val="21"/>
                            </w:rPr>
                            <w:t>重要提示：</w:t>
                          </w:r>
                          <w:r w:rsidRPr="00EF283B">
                            <w:rPr>
                              <w:rFonts w:ascii="楷体_GB2312" w:eastAsia="楷体_GB2312" w:hint="eastAsia"/>
                              <w:b/>
                              <w:color w:val="003366"/>
                              <w:szCs w:val="21"/>
                            </w:rPr>
                            <w:t>请务必阅读</w:t>
                          </w:r>
                          <w:proofErr w:type="gramStart"/>
                          <w:r w:rsidRPr="00EF283B">
                            <w:rPr>
                              <w:rFonts w:ascii="楷体_GB2312" w:eastAsia="楷体_GB2312" w:hint="eastAsia"/>
                              <w:b/>
                              <w:color w:val="003366"/>
                              <w:szCs w:val="21"/>
                            </w:rPr>
                            <w:t>尾页分析</w:t>
                          </w:r>
                          <w:proofErr w:type="gramEnd"/>
                          <w:r w:rsidRPr="00EF283B">
                            <w:rPr>
                              <w:rFonts w:ascii="楷体_GB2312" w:eastAsia="楷体_GB2312" w:hint="eastAsia"/>
                              <w:b/>
                              <w:color w:val="003366"/>
                              <w:szCs w:val="21"/>
                            </w:rPr>
                            <w:t>师承诺和免责条款</w:t>
                          </w:r>
                          <w:r>
                            <w:rPr>
                              <w:rFonts w:ascii="楷体_GB2312" w:eastAsia="楷体_GB2312" w:hint="eastAsia"/>
                              <w:b/>
                              <w:color w:val="003366"/>
                              <w:szCs w:val="21"/>
                            </w:rPr>
                            <w:t xml:space="preserve">                                                   </w:t>
                          </w:r>
                          <w:r w:rsidRPr="00310D17">
                            <w:rPr>
                              <w:rFonts w:ascii="楷体_GB2312" w:eastAsia="楷体_GB2312"/>
                              <w:color w:val="003366"/>
                              <w:szCs w:val="21"/>
                            </w:rPr>
                            <w:fldChar w:fldCharType="begin"/>
                          </w:r>
                          <w:r w:rsidRPr="00310D17">
                            <w:rPr>
                              <w:rFonts w:ascii="楷体_GB2312" w:eastAsia="楷体_GB2312"/>
                              <w:color w:val="003366"/>
                              <w:szCs w:val="21"/>
                            </w:rPr>
                            <w:instrText xml:space="preserve"> PAGE   \* MERGEFORMAT </w:instrText>
                          </w:r>
                          <w:r w:rsidRPr="00310D17">
                            <w:rPr>
                              <w:rFonts w:ascii="楷体_GB2312" w:eastAsia="楷体_GB2312"/>
                              <w:color w:val="003366"/>
                              <w:szCs w:val="21"/>
                            </w:rPr>
                            <w:fldChar w:fldCharType="separate"/>
                          </w:r>
                          <w:r w:rsidR="0072071D" w:rsidRPr="0072071D">
                            <w:rPr>
                              <w:rFonts w:ascii="楷体_GB2312" w:eastAsia="楷体_GB2312"/>
                              <w:noProof/>
                              <w:color w:val="003366"/>
                              <w:szCs w:val="21"/>
                              <w:lang w:val="zh-CN"/>
                            </w:rPr>
                            <w:t>8</w:t>
                          </w:r>
                          <w:r w:rsidRPr="00310D17">
                            <w:rPr>
                              <w:rFonts w:ascii="楷体_GB2312" w:eastAsia="楷体_GB2312"/>
                              <w:color w:val="003366"/>
                              <w:szCs w:val="2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 o:spid="_x0000_s1028" type="#_x0000_t202" style="position:absolute;margin-left:28.8pt;margin-top:772.9pt;width:513.45pt;height:1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" filled="f" stroked="f">
              <v:textbox inset="0,0,0,0">
                <w:txbxContent>
                  <w:p w:rsidR="004D0283" w:rsidRPr="00310D17" w:rsidRDefault="004D0283" w:rsidP="004D0283">
                    <w:pPr>
                      <w:pBdr>
                        <w:top w:val="single" w:sz="4" w:space="3" w:color="auto"/>
                      </w:pBdr>
                      <w:topLinePunct/>
                      <w:spacing w:line="200" w:lineRule="exact"/>
                      <w:rPr>
                        <w:rFonts w:ascii="楷体_GB2312" w:eastAsia="楷体_GB2312"/>
                        <w:color w:val="003366"/>
                        <w:szCs w:val="21"/>
                      </w:rPr>
                    </w:pPr>
                    <w:r w:rsidRPr="00FB139B">
                      <w:rPr>
                        <w:rFonts w:ascii="楷体_GB2312" w:eastAsia="楷体_GB2312" w:hint="eastAsia"/>
                        <w:b/>
                        <w:color w:val="003366"/>
                        <w:szCs w:val="21"/>
                      </w:rPr>
                      <w:t>重要提示：</w:t>
                    </w:r>
                    <w:r w:rsidRPr="00EF283B">
                      <w:rPr>
                        <w:rFonts w:ascii="楷体_GB2312" w:eastAsia="楷体_GB2312" w:hint="eastAsia"/>
                        <w:b/>
                        <w:color w:val="003366"/>
                        <w:szCs w:val="21"/>
                      </w:rPr>
                      <w:t>请务必阅读</w:t>
                    </w:r>
                    <w:proofErr w:type="gramStart"/>
                    <w:r w:rsidRPr="00EF283B">
                      <w:rPr>
                        <w:rFonts w:ascii="楷体_GB2312" w:eastAsia="楷体_GB2312" w:hint="eastAsia"/>
                        <w:b/>
                        <w:color w:val="003366"/>
                        <w:szCs w:val="21"/>
                      </w:rPr>
                      <w:t>尾页分析</w:t>
                    </w:r>
                    <w:proofErr w:type="gramEnd"/>
                    <w:r w:rsidRPr="00EF283B">
                      <w:rPr>
                        <w:rFonts w:ascii="楷体_GB2312" w:eastAsia="楷体_GB2312" w:hint="eastAsia"/>
                        <w:b/>
                        <w:color w:val="003366"/>
                        <w:szCs w:val="21"/>
                      </w:rPr>
                      <w:t>师承诺和免责条款</w:t>
                    </w:r>
                    <w:r>
                      <w:rPr>
                        <w:rFonts w:ascii="楷体_GB2312" w:eastAsia="楷体_GB2312" w:hint="eastAsia"/>
                        <w:b/>
                        <w:color w:val="003366"/>
                        <w:szCs w:val="21"/>
                      </w:rPr>
                      <w:t xml:space="preserve">                                                   </w:t>
                    </w:r>
                    <w:r w:rsidRPr="00310D17">
                      <w:rPr>
                        <w:rFonts w:ascii="楷体_GB2312" w:eastAsia="楷体_GB2312"/>
                        <w:color w:val="003366"/>
                        <w:szCs w:val="21"/>
                      </w:rPr>
                      <w:fldChar w:fldCharType="begin"/>
                    </w:r>
                    <w:r w:rsidRPr="00310D17">
                      <w:rPr>
                        <w:rFonts w:ascii="楷体_GB2312" w:eastAsia="楷体_GB2312"/>
                        <w:color w:val="003366"/>
                        <w:szCs w:val="21"/>
                      </w:rPr>
                      <w:instrText xml:space="preserve"> PAGE   \* MERGEFORMAT </w:instrText>
                    </w:r>
                    <w:r w:rsidRPr="00310D17">
                      <w:rPr>
                        <w:rFonts w:ascii="楷体_GB2312" w:eastAsia="楷体_GB2312"/>
                        <w:color w:val="003366"/>
                        <w:szCs w:val="21"/>
                      </w:rPr>
                      <w:fldChar w:fldCharType="separate"/>
                    </w:r>
                    <w:r w:rsidR="0072071D" w:rsidRPr="0072071D">
                      <w:rPr>
                        <w:rFonts w:ascii="楷体_GB2312" w:eastAsia="楷体_GB2312"/>
                        <w:noProof/>
                        <w:color w:val="003366"/>
                        <w:szCs w:val="21"/>
                        <w:lang w:val="zh-CN"/>
                      </w:rPr>
                      <w:t>8</w:t>
                    </w:r>
                    <w:r w:rsidRPr="00310D17">
                      <w:rPr>
                        <w:rFonts w:ascii="楷体_GB2312" w:eastAsia="楷体_GB2312"/>
                        <w:color w:val="003366"/>
                        <w:szCs w:val="21"/>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F27" w:rsidRDefault="00080F27">
      <w:r>
        <w:separator/>
      </w:r>
    </w:p>
  </w:footnote>
  <w:footnote w:type="continuationSeparator" w:id="0">
    <w:p w:rsidR="00080F27" w:rsidRDefault="00080F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283" w:rsidRPr="0010121A" w:rsidRDefault="004D0283">
    <w:pPr>
      <w:pStyle w:val="a3"/>
      <w:rPr>
        <w:rFonts w:ascii="楷体_GB2312" w:eastAsia="楷体_GB2312"/>
        <w:b/>
        <w:color w:val="333399"/>
        <w:sz w:val="21"/>
        <w:szCs w:val="21"/>
      </w:rPr>
    </w:pPr>
    <w:r>
      <w:rPr>
        <w:rFonts w:ascii="楷体_GB2312" w:eastAsia="楷体_GB2312" w:hint="eastAsia"/>
        <w:b/>
        <w:color w:val="333399"/>
        <w:sz w:val="21"/>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283" w:rsidRPr="00935FC9" w:rsidRDefault="004D0283" w:rsidP="004D0283">
    <w:pPr>
      <w:pStyle w:val="a3"/>
      <w:jc w:val="left"/>
      <w:rPr>
        <w:rFonts w:ascii="楷体_GB2312" w:eastAsia="楷体_GB2312"/>
        <w:b/>
        <w:color w:val="333399"/>
        <w:sz w:val="24"/>
        <w:szCs w:val="24"/>
      </w:rPr>
    </w:pPr>
    <w:r>
      <w:rPr>
        <w:rFonts w:ascii="楷体_GB2312" w:eastAsia="楷体_GB2312"/>
        <w:b/>
        <w:noProof/>
        <w:color w:val="003366"/>
        <w:sz w:val="21"/>
        <w:szCs w:val="21"/>
      </w:rPr>
      <mc:AlternateContent>
        <mc:Choice Requires="wps">
          <w:drawing>
            <wp:anchor distT="0" distB="0" distL="114300" distR="114300" simplePos="0" relativeHeight="251658752" behindDoc="0" locked="0" layoutInCell="1" allowOverlap="1">
              <wp:simplePos x="0" y="0"/>
              <wp:positionH relativeFrom="column">
                <wp:posOffset>890270</wp:posOffset>
              </wp:positionH>
              <wp:positionV relativeFrom="paragraph">
                <wp:posOffset>260985</wp:posOffset>
              </wp:positionV>
              <wp:extent cx="4939030" cy="0"/>
              <wp:effectExtent l="9525" t="10795" r="13970" b="17780"/>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9030" cy="0"/>
                      </a:xfrm>
                      <a:prstGeom prst="line">
                        <a:avLst/>
                      </a:prstGeom>
                      <a:noFill/>
                      <a:ln w="1905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2304C" id="直接连接符 4"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1pt,20.55pt" to="459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" strokecolor="#036" strokeweight="1.5pt"/>
          </w:pict>
        </mc:Fallback>
      </mc:AlternateContent>
    </w:r>
    <w:r>
      <w:rPr>
        <w:rFonts w:ascii="楷体_GB2312" w:eastAsia="楷体_GB2312" w:hint="eastAsia"/>
        <w:b/>
        <w:noProof/>
        <w:color w:val="003366"/>
        <w:sz w:val="21"/>
        <w:szCs w:val="21"/>
      </w:rPr>
      <w:drawing>
        <wp:inline distT="0" distB="0" distL="0" distR="0" wp14:anchorId="2034CEBC" wp14:editId="24EBB2C7">
          <wp:extent cx="905510" cy="241300"/>
          <wp:effectExtent l="19050" t="0" r="8890" b="0"/>
          <wp:docPr id="9" name="图片 9" descr="yem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emei"/>
                  <pic:cNvPicPr>
                    <a:picLocks noChangeAspect="1" noChangeArrowheads="1"/>
                  </pic:cNvPicPr>
                </pic:nvPicPr>
                <pic:blipFill>
                  <a:blip r:embed="rId1"/>
                  <a:srcRect/>
                  <a:stretch>
                    <a:fillRect/>
                  </a:stretch>
                </pic:blipFill>
                <pic:spPr bwMode="auto">
                  <a:xfrm>
                    <a:off x="0" y="0"/>
                    <a:ext cx="905510" cy="241300"/>
                  </a:xfrm>
                  <a:prstGeom prst="rect">
                    <a:avLst/>
                  </a:prstGeom>
                  <a:noFill/>
                  <a:ln w="9525">
                    <a:noFill/>
                    <a:miter lim="800000"/>
                    <a:headEnd/>
                    <a:tailEnd/>
                  </a:ln>
                </pic:spPr>
              </pic:pic>
            </a:graphicData>
          </a:graphic>
        </wp:inline>
      </w:drawing>
    </w:r>
    <w:r>
      <w:rPr>
        <w:rFonts w:ascii="楷体_GB2312" w:eastAsia="楷体_GB2312"/>
        <w:b/>
        <w:noProof/>
        <w:color w:val="333399"/>
        <w:sz w:val="21"/>
        <w:szCs w:val="21"/>
      </w:rPr>
      <mc:AlternateContent>
        <mc:Choice Requires="wps">
          <w:drawing>
            <wp:anchor distT="0" distB="0" distL="114300" distR="114300" simplePos="0" relativeHeight="251657728" behindDoc="0" locked="0" layoutInCell="1" allowOverlap="1">
              <wp:simplePos x="0" y="0"/>
              <wp:positionH relativeFrom="column">
                <wp:posOffset>-2400300</wp:posOffset>
              </wp:positionH>
              <wp:positionV relativeFrom="paragraph">
                <wp:posOffset>-36195</wp:posOffset>
              </wp:positionV>
              <wp:extent cx="1155065" cy="384810"/>
              <wp:effectExtent l="0" t="0" r="1905" b="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283" w:rsidRDefault="004D0283">
                          <w:r>
                            <w:rPr>
                              <w:noProof/>
                            </w:rPr>
                            <w:drawing>
                              <wp:inline distT="0" distB="0" distL="0" distR="0" wp14:anchorId="6FB2076E" wp14:editId="1BD3F76E">
                                <wp:extent cx="948690" cy="293370"/>
                                <wp:effectExtent l="1905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srcRect/>
                                        <a:stretch>
                                          <a:fillRect/>
                                        </a:stretch>
                                      </pic:blipFill>
                                      <pic:spPr bwMode="auto">
                                        <a:xfrm>
                                          <a:off x="0" y="0"/>
                                          <a:ext cx="948690" cy="2933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9" type="#_x0000_t202" style="position:absolute;margin-left:-189pt;margin-top:-2.85pt;width:90.95pt;height:30.3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" stroked="f">
              <v:textbox style="mso-fit-shape-to-text:t">
                <w:txbxContent>
                  <w:p w:rsidR="004D0283" w:rsidRDefault="004D0283">
                    <w:r>
                      <w:rPr>
                        <w:noProof/>
                      </w:rPr>
                      <w:drawing>
                        <wp:inline distT="0" distB="0" distL="0" distR="0" wp14:anchorId="6FB2076E" wp14:editId="1BD3F76E">
                          <wp:extent cx="948690" cy="293370"/>
                          <wp:effectExtent l="1905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948690" cy="293370"/>
                                  </a:xfrm>
                                  <a:prstGeom prst="rect">
                                    <a:avLst/>
                                  </a:prstGeom>
                                  <a:noFill/>
                                  <a:ln w="9525">
                                    <a:noFill/>
                                    <a:miter lim="800000"/>
                                    <a:headEnd/>
                                    <a:tailEnd/>
                                  </a:ln>
                                </pic:spPr>
                              </pic:pic>
                            </a:graphicData>
                          </a:graphic>
                        </wp:inline>
                      </w:drawing>
                    </w:r>
                  </w:p>
                </w:txbxContent>
              </v:textbox>
            </v:shape>
          </w:pict>
        </mc:Fallback>
      </mc:AlternateContent>
    </w:r>
    <w:r>
      <w:rPr>
        <w:rFonts w:ascii="楷体_GB2312" w:eastAsia="楷体_GB2312" w:hint="eastAsia"/>
        <w:b/>
        <w:color w:val="333399"/>
        <w:sz w:val="21"/>
        <w:szCs w:val="21"/>
      </w:rPr>
      <w:t xml:space="preserve"> </w:t>
    </w:r>
    <w:r w:rsidRPr="00935FC9">
      <w:rPr>
        <w:rFonts w:ascii="楷体_GB2312" w:eastAsia="楷体_GB2312" w:hint="eastAsia"/>
        <w:b/>
        <w:color w:val="333399"/>
        <w:sz w:val="24"/>
        <w:szCs w:val="24"/>
      </w:rPr>
      <w:t xml:space="preserve">   </w:t>
    </w:r>
    <w:r>
      <w:rPr>
        <w:rFonts w:ascii="楷体_GB2312" w:eastAsia="楷体_GB2312" w:hint="eastAsia"/>
        <w:b/>
        <w:color w:val="333399"/>
        <w:sz w:val="24"/>
        <w:szCs w:val="24"/>
      </w:rPr>
      <w:t xml:space="preserve">         </w:t>
    </w:r>
    <w:r w:rsidRPr="00935FC9">
      <w:rPr>
        <w:rFonts w:ascii="楷体_GB2312" w:eastAsia="楷体_GB2312" w:hint="eastAsia"/>
        <w:b/>
        <w:color w:val="333399"/>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8A7E68"/>
    <w:multiLevelType w:val="hybridMultilevel"/>
    <w:tmpl w:val="7550FEA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2DAE2AC4"/>
    <w:multiLevelType w:val="hybridMultilevel"/>
    <w:tmpl w:val="CF464D4A"/>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 w15:restartNumberingAfterBreak="0">
    <w:nsid w:val="5F2010F2"/>
    <w:multiLevelType w:val="hybridMultilevel"/>
    <w:tmpl w:val="7584D7B8"/>
    <w:lvl w:ilvl="0" w:tplc="C8587358">
      <w:start w:val="1"/>
      <w:numFmt w:val="japaneseCounting"/>
      <w:lvlText w:val="（%1）"/>
      <w:lvlJc w:val="left"/>
      <w:pPr>
        <w:ind w:left="3174" w:hanging="765"/>
      </w:pPr>
      <w:rPr>
        <w:rFonts w:hint="default"/>
      </w:rPr>
    </w:lvl>
    <w:lvl w:ilvl="1" w:tplc="04090019" w:tentative="1">
      <w:start w:val="1"/>
      <w:numFmt w:val="lowerLetter"/>
      <w:lvlText w:val="%2)"/>
      <w:lvlJc w:val="left"/>
      <w:pPr>
        <w:ind w:left="3249" w:hanging="420"/>
      </w:pPr>
    </w:lvl>
    <w:lvl w:ilvl="2" w:tplc="0409001B" w:tentative="1">
      <w:start w:val="1"/>
      <w:numFmt w:val="lowerRoman"/>
      <w:lvlText w:val="%3."/>
      <w:lvlJc w:val="right"/>
      <w:pPr>
        <w:ind w:left="3669" w:hanging="420"/>
      </w:pPr>
    </w:lvl>
    <w:lvl w:ilvl="3" w:tplc="0409000F" w:tentative="1">
      <w:start w:val="1"/>
      <w:numFmt w:val="decimal"/>
      <w:lvlText w:val="%4."/>
      <w:lvlJc w:val="left"/>
      <w:pPr>
        <w:ind w:left="4089" w:hanging="420"/>
      </w:pPr>
    </w:lvl>
    <w:lvl w:ilvl="4" w:tplc="04090019" w:tentative="1">
      <w:start w:val="1"/>
      <w:numFmt w:val="lowerLetter"/>
      <w:lvlText w:val="%5)"/>
      <w:lvlJc w:val="left"/>
      <w:pPr>
        <w:ind w:left="4509" w:hanging="420"/>
      </w:pPr>
    </w:lvl>
    <w:lvl w:ilvl="5" w:tplc="0409001B" w:tentative="1">
      <w:start w:val="1"/>
      <w:numFmt w:val="lowerRoman"/>
      <w:lvlText w:val="%6."/>
      <w:lvlJc w:val="right"/>
      <w:pPr>
        <w:ind w:left="4929" w:hanging="420"/>
      </w:pPr>
    </w:lvl>
    <w:lvl w:ilvl="6" w:tplc="0409000F" w:tentative="1">
      <w:start w:val="1"/>
      <w:numFmt w:val="decimal"/>
      <w:lvlText w:val="%7."/>
      <w:lvlJc w:val="left"/>
      <w:pPr>
        <w:ind w:left="5349" w:hanging="420"/>
      </w:pPr>
    </w:lvl>
    <w:lvl w:ilvl="7" w:tplc="04090019" w:tentative="1">
      <w:start w:val="1"/>
      <w:numFmt w:val="lowerLetter"/>
      <w:lvlText w:val="%8)"/>
      <w:lvlJc w:val="left"/>
      <w:pPr>
        <w:ind w:left="5769" w:hanging="420"/>
      </w:pPr>
    </w:lvl>
    <w:lvl w:ilvl="8" w:tplc="0409001B" w:tentative="1">
      <w:start w:val="1"/>
      <w:numFmt w:val="lowerRoman"/>
      <w:lvlText w:val="%9."/>
      <w:lvlJc w:val="right"/>
      <w:pPr>
        <w:ind w:left="6189" w:hanging="420"/>
      </w:pPr>
    </w:lvl>
  </w:abstractNum>
  <w:abstractNum w:abstractNumId="3" w15:restartNumberingAfterBreak="0">
    <w:nsid w:val="6D6E5B7D"/>
    <w:multiLevelType w:val="hybridMultilevel"/>
    <w:tmpl w:val="24AC4B5E"/>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7E1A10C2"/>
    <w:multiLevelType w:val="hybridMultilevel"/>
    <w:tmpl w:val="33A219AA"/>
    <w:lvl w:ilvl="0" w:tplc="A38A7AD4">
      <w:start w:val="1"/>
      <w:numFmt w:val="bullet"/>
      <w:lvlText w:val=""/>
      <w:lvlJc w:val="left"/>
      <w:pPr>
        <w:tabs>
          <w:tab w:val="num" w:pos="425"/>
        </w:tabs>
        <w:ind w:left="425" w:hanging="425"/>
      </w:pPr>
      <w:rPr>
        <w:rFonts w:ascii="Wingdings" w:hAnsi="Wingdings" w:hint="default"/>
        <w:color w:val="003366"/>
      </w:rPr>
    </w:lvl>
    <w:lvl w:ilvl="1" w:tplc="9A60056E" w:tentative="1">
      <w:start w:val="1"/>
      <w:numFmt w:val="bullet"/>
      <w:lvlText w:val=""/>
      <w:lvlJc w:val="left"/>
      <w:pPr>
        <w:tabs>
          <w:tab w:val="num" w:pos="840"/>
        </w:tabs>
        <w:ind w:left="840" w:hanging="420"/>
      </w:pPr>
      <w:rPr>
        <w:rFonts w:ascii="Wingdings" w:hAnsi="Wingdings" w:hint="default"/>
      </w:rPr>
    </w:lvl>
    <w:lvl w:ilvl="2" w:tplc="8BEC58DE" w:tentative="1">
      <w:start w:val="1"/>
      <w:numFmt w:val="bullet"/>
      <w:lvlText w:val=""/>
      <w:lvlJc w:val="left"/>
      <w:pPr>
        <w:tabs>
          <w:tab w:val="num" w:pos="1260"/>
        </w:tabs>
        <w:ind w:left="1260" w:hanging="420"/>
      </w:pPr>
      <w:rPr>
        <w:rFonts w:ascii="Wingdings" w:hAnsi="Wingdings" w:hint="default"/>
      </w:rPr>
    </w:lvl>
    <w:lvl w:ilvl="3" w:tplc="C9B83B34" w:tentative="1">
      <w:start w:val="1"/>
      <w:numFmt w:val="bullet"/>
      <w:lvlText w:val=""/>
      <w:lvlJc w:val="left"/>
      <w:pPr>
        <w:tabs>
          <w:tab w:val="num" w:pos="1680"/>
        </w:tabs>
        <w:ind w:left="1680" w:hanging="420"/>
      </w:pPr>
      <w:rPr>
        <w:rFonts w:ascii="Wingdings" w:hAnsi="Wingdings" w:hint="default"/>
      </w:rPr>
    </w:lvl>
    <w:lvl w:ilvl="4" w:tplc="C64E2148" w:tentative="1">
      <w:start w:val="1"/>
      <w:numFmt w:val="bullet"/>
      <w:lvlText w:val=""/>
      <w:lvlJc w:val="left"/>
      <w:pPr>
        <w:tabs>
          <w:tab w:val="num" w:pos="2100"/>
        </w:tabs>
        <w:ind w:left="2100" w:hanging="420"/>
      </w:pPr>
      <w:rPr>
        <w:rFonts w:ascii="Wingdings" w:hAnsi="Wingdings" w:hint="default"/>
      </w:rPr>
    </w:lvl>
    <w:lvl w:ilvl="5" w:tplc="2A5C8172" w:tentative="1">
      <w:start w:val="1"/>
      <w:numFmt w:val="bullet"/>
      <w:lvlText w:val=""/>
      <w:lvlJc w:val="left"/>
      <w:pPr>
        <w:tabs>
          <w:tab w:val="num" w:pos="2520"/>
        </w:tabs>
        <w:ind w:left="2520" w:hanging="420"/>
      </w:pPr>
      <w:rPr>
        <w:rFonts w:ascii="Wingdings" w:hAnsi="Wingdings" w:hint="default"/>
      </w:rPr>
    </w:lvl>
    <w:lvl w:ilvl="6" w:tplc="88B4F5E0" w:tentative="1">
      <w:start w:val="1"/>
      <w:numFmt w:val="bullet"/>
      <w:lvlText w:val=""/>
      <w:lvlJc w:val="left"/>
      <w:pPr>
        <w:tabs>
          <w:tab w:val="num" w:pos="2940"/>
        </w:tabs>
        <w:ind w:left="2940" w:hanging="420"/>
      </w:pPr>
      <w:rPr>
        <w:rFonts w:ascii="Wingdings" w:hAnsi="Wingdings" w:hint="default"/>
      </w:rPr>
    </w:lvl>
    <w:lvl w:ilvl="7" w:tplc="17E63E7E" w:tentative="1">
      <w:start w:val="1"/>
      <w:numFmt w:val="bullet"/>
      <w:lvlText w:val=""/>
      <w:lvlJc w:val="left"/>
      <w:pPr>
        <w:tabs>
          <w:tab w:val="num" w:pos="3360"/>
        </w:tabs>
        <w:ind w:left="3360" w:hanging="420"/>
      </w:pPr>
      <w:rPr>
        <w:rFonts w:ascii="Wingdings" w:hAnsi="Wingdings" w:hint="default"/>
      </w:rPr>
    </w:lvl>
    <w:lvl w:ilvl="8" w:tplc="D2520B0C" w:tentative="1">
      <w:start w:val="1"/>
      <w:numFmt w:val="bullet"/>
      <w:lvlText w:val=""/>
      <w:lvlJc w:val="left"/>
      <w:pPr>
        <w:tabs>
          <w:tab w:val="num" w:pos="3780"/>
        </w:tabs>
        <w:ind w:left="3780" w:hanging="42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05A"/>
    <w:rsid w:val="000336A0"/>
    <w:rsid w:val="00080F27"/>
    <w:rsid w:val="000E0A44"/>
    <w:rsid w:val="000F4072"/>
    <w:rsid w:val="00102A50"/>
    <w:rsid w:val="00186266"/>
    <w:rsid w:val="001C35CD"/>
    <w:rsid w:val="001D75D7"/>
    <w:rsid w:val="001E3FC2"/>
    <w:rsid w:val="001F6A1C"/>
    <w:rsid w:val="00231166"/>
    <w:rsid w:val="002460A1"/>
    <w:rsid w:val="00253CF5"/>
    <w:rsid w:val="00255911"/>
    <w:rsid w:val="00271904"/>
    <w:rsid w:val="002F5D6E"/>
    <w:rsid w:val="0037461A"/>
    <w:rsid w:val="0037593F"/>
    <w:rsid w:val="003B4313"/>
    <w:rsid w:val="00415862"/>
    <w:rsid w:val="0044556E"/>
    <w:rsid w:val="00474CE3"/>
    <w:rsid w:val="004A1A9C"/>
    <w:rsid w:val="004D0283"/>
    <w:rsid w:val="005252C5"/>
    <w:rsid w:val="00545605"/>
    <w:rsid w:val="005511C8"/>
    <w:rsid w:val="00582817"/>
    <w:rsid w:val="005C72A8"/>
    <w:rsid w:val="005D2EB6"/>
    <w:rsid w:val="00600894"/>
    <w:rsid w:val="00601A70"/>
    <w:rsid w:val="0060577B"/>
    <w:rsid w:val="00623D14"/>
    <w:rsid w:val="0063384C"/>
    <w:rsid w:val="006760C1"/>
    <w:rsid w:val="006C6A1B"/>
    <w:rsid w:val="006F094D"/>
    <w:rsid w:val="0072071D"/>
    <w:rsid w:val="0072758A"/>
    <w:rsid w:val="00731C94"/>
    <w:rsid w:val="0079245F"/>
    <w:rsid w:val="00794BDF"/>
    <w:rsid w:val="007B11CD"/>
    <w:rsid w:val="007C7656"/>
    <w:rsid w:val="007D6307"/>
    <w:rsid w:val="007F62DC"/>
    <w:rsid w:val="008230DD"/>
    <w:rsid w:val="00884DAC"/>
    <w:rsid w:val="008940E3"/>
    <w:rsid w:val="009148E8"/>
    <w:rsid w:val="009521B1"/>
    <w:rsid w:val="009A2726"/>
    <w:rsid w:val="009E3BC5"/>
    <w:rsid w:val="009F5778"/>
    <w:rsid w:val="00A26C96"/>
    <w:rsid w:val="00AC0727"/>
    <w:rsid w:val="00B32035"/>
    <w:rsid w:val="00B8784F"/>
    <w:rsid w:val="00BA0315"/>
    <w:rsid w:val="00BB5DBB"/>
    <w:rsid w:val="00BC4B95"/>
    <w:rsid w:val="00C2405A"/>
    <w:rsid w:val="00C40319"/>
    <w:rsid w:val="00C455FD"/>
    <w:rsid w:val="00CD7982"/>
    <w:rsid w:val="00D44746"/>
    <w:rsid w:val="00D45450"/>
    <w:rsid w:val="00D90536"/>
    <w:rsid w:val="00DA251D"/>
    <w:rsid w:val="00DC000D"/>
    <w:rsid w:val="00DD4907"/>
    <w:rsid w:val="00DE77BB"/>
    <w:rsid w:val="00DF221E"/>
    <w:rsid w:val="00E21469"/>
    <w:rsid w:val="00E27789"/>
    <w:rsid w:val="00E27C01"/>
    <w:rsid w:val="00E602A5"/>
    <w:rsid w:val="00E71ACD"/>
    <w:rsid w:val="00EC214C"/>
    <w:rsid w:val="00EC63E2"/>
    <w:rsid w:val="00F22826"/>
    <w:rsid w:val="00F516E1"/>
    <w:rsid w:val="00FC753C"/>
    <w:rsid w:val="00FE20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58076D4-FBFA-4168-81F2-357531992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384C"/>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63384C"/>
    <w:pPr>
      <w:tabs>
        <w:tab w:val="center" w:pos="4153"/>
        <w:tab w:val="right" w:pos="8306"/>
      </w:tabs>
      <w:snapToGrid w:val="0"/>
      <w:jc w:val="center"/>
    </w:pPr>
    <w:rPr>
      <w:sz w:val="18"/>
      <w:szCs w:val="18"/>
    </w:rPr>
  </w:style>
  <w:style w:type="character" w:customStyle="1" w:styleId="Char">
    <w:name w:val="页眉 Char"/>
    <w:basedOn w:val="a0"/>
    <w:link w:val="a3"/>
    <w:uiPriority w:val="99"/>
    <w:rsid w:val="0063384C"/>
    <w:rPr>
      <w:rFonts w:ascii="Times New Roman" w:eastAsia="宋体" w:hAnsi="Times New Roman" w:cs="Times New Roman"/>
      <w:sz w:val="18"/>
      <w:szCs w:val="18"/>
    </w:rPr>
  </w:style>
  <w:style w:type="paragraph" w:styleId="a4">
    <w:name w:val="footer"/>
    <w:basedOn w:val="a"/>
    <w:link w:val="Char0"/>
    <w:uiPriority w:val="99"/>
    <w:rsid w:val="0063384C"/>
    <w:pPr>
      <w:tabs>
        <w:tab w:val="center" w:pos="4153"/>
        <w:tab w:val="right" w:pos="8306"/>
      </w:tabs>
      <w:snapToGrid w:val="0"/>
      <w:jc w:val="left"/>
    </w:pPr>
    <w:rPr>
      <w:sz w:val="18"/>
      <w:szCs w:val="18"/>
    </w:rPr>
  </w:style>
  <w:style w:type="character" w:customStyle="1" w:styleId="Char0">
    <w:name w:val="页脚 Char"/>
    <w:basedOn w:val="a0"/>
    <w:link w:val="a4"/>
    <w:uiPriority w:val="99"/>
    <w:rsid w:val="0063384C"/>
    <w:rPr>
      <w:rFonts w:ascii="Times New Roman" w:eastAsia="宋体" w:hAnsi="Times New Roman" w:cs="Times New Roman"/>
      <w:sz w:val="18"/>
      <w:szCs w:val="18"/>
    </w:rPr>
  </w:style>
  <w:style w:type="character" w:styleId="a5">
    <w:name w:val="page number"/>
    <w:basedOn w:val="a0"/>
    <w:rsid w:val="0063384C"/>
  </w:style>
  <w:style w:type="paragraph" w:styleId="a6">
    <w:name w:val="Plain Text"/>
    <w:basedOn w:val="a"/>
    <w:link w:val="Char1"/>
    <w:uiPriority w:val="99"/>
    <w:unhideWhenUsed/>
    <w:rsid w:val="0063384C"/>
    <w:rPr>
      <w:rFonts w:ascii="宋体" w:hAnsi="Courier New" w:cs="Courier New"/>
      <w:szCs w:val="21"/>
    </w:rPr>
  </w:style>
  <w:style w:type="character" w:customStyle="1" w:styleId="Char1">
    <w:name w:val="纯文本 Char"/>
    <w:basedOn w:val="a0"/>
    <w:link w:val="a6"/>
    <w:uiPriority w:val="99"/>
    <w:rsid w:val="0063384C"/>
    <w:rPr>
      <w:rFonts w:ascii="宋体" w:eastAsia="宋体" w:hAnsi="Courier New" w:cs="Courier New"/>
      <w:szCs w:val="21"/>
    </w:rPr>
  </w:style>
  <w:style w:type="paragraph" w:styleId="a7">
    <w:name w:val="List Paragraph"/>
    <w:basedOn w:val="a"/>
    <w:uiPriority w:val="34"/>
    <w:qFormat/>
    <w:rsid w:val="00D90536"/>
    <w:pPr>
      <w:ind w:firstLineChars="200" w:firstLine="420"/>
    </w:pPr>
  </w:style>
  <w:style w:type="paragraph" w:styleId="a8">
    <w:name w:val="Normal (Web)"/>
    <w:basedOn w:val="a"/>
    <w:uiPriority w:val="99"/>
    <w:semiHidden/>
    <w:unhideWhenUsed/>
    <w:rsid w:val="00474CE3"/>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099756">
      <w:bodyDiv w:val="1"/>
      <w:marLeft w:val="0"/>
      <w:marRight w:val="0"/>
      <w:marTop w:val="0"/>
      <w:marBottom w:val="0"/>
      <w:divBdr>
        <w:top w:val="none" w:sz="0" w:space="0" w:color="auto"/>
        <w:left w:val="none" w:sz="0" w:space="0" w:color="auto"/>
        <w:bottom w:val="none" w:sz="0" w:space="0" w:color="auto"/>
        <w:right w:val="none" w:sz="0" w:space="0" w:color="auto"/>
      </w:divBdr>
    </w:div>
    <w:div w:id="969744596">
      <w:bodyDiv w:val="1"/>
      <w:marLeft w:val="0"/>
      <w:marRight w:val="0"/>
      <w:marTop w:val="0"/>
      <w:marBottom w:val="0"/>
      <w:divBdr>
        <w:top w:val="none" w:sz="0" w:space="0" w:color="auto"/>
        <w:left w:val="none" w:sz="0" w:space="0" w:color="auto"/>
        <w:bottom w:val="none" w:sz="0" w:space="0" w:color="auto"/>
        <w:right w:val="none" w:sz="0" w:space="0" w:color="auto"/>
      </w:divBdr>
      <w:divsChild>
        <w:div w:id="1957327478">
          <w:marLeft w:val="0"/>
          <w:marRight w:val="0"/>
          <w:marTop w:val="0"/>
          <w:marBottom w:val="0"/>
          <w:divBdr>
            <w:top w:val="none" w:sz="0" w:space="0" w:color="auto"/>
            <w:left w:val="none" w:sz="0" w:space="0" w:color="auto"/>
            <w:bottom w:val="none" w:sz="0" w:space="0" w:color="auto"/>
            <w:right w:val="none" w:sz="0" w:space="0" w:color="auto"/>
          </w:divBdr>
        </w:div>
      </w:divsChild>
    </w:div>
    <w:div w:id="1023166321">
      <w:bodyDiv w:val="1"/>
      <w:marLeft w:val="0"/>
      <w:marRight w:val="0"/>
      <w:marTop w:val="0"/>
      <w:marBottom w:val="0"/>
      <w:divBdr>
        <w:top w:val="none" w:sz="0" w:space="0" w:color="auto"/>
        <w:left w:val="none" w:sz="0" w:space="0" w:color="auto"/>
        <w:bottom w:val="none" w:sz="0" w:space="0" w:color="auto"/>
        <w:right w:val="none" w:sz="0" w:space="0" w:color="auto"/>
      </w:divBdr>
    </w:div>
    <w:div w:id="1469278442">
      <w:bodyDiv w:val="1"/>
      <w:marLeft w:val="0"/>
      <w:marRight w:val="0"/>
      <w:marTop w:val="0"/>
      <w:marBottom w:val="0"/>
      <w:divBdr>
        <w:top w:val="none" w:sz="0" w:space="0" w:color="auto"/>
        <w:left w:val="none" w:sz="0" w:space="0" w:color="auto"/>
        <w:bottom w:val="none" w:sz="0" w:space="0" w:color="auto"/>
        <w:right w:val="none" w:sz="0" w:space="0" w:color="auto"/>
      </w:divBdr>
    </w:div>
    <w:div w:id="1916820496">
      <w:bodyDiv w:val="1"/>
      <w:marLeft w:val="0"/>
      <w:marRight w:val="0"/>
      <w:marTop w:val="0"/>
      <w:marBottom w:val="0"/>
      <w:divBdr>
        <w:top w:val="none" w:sz="0" w:space="0" w:color="auto"/>
        <w:left w:val="none" w:sz="0" w:space="0" w:color="auto"/>
        <w:bottom w:val="none" w:sz="0" w:space="0" w:color="auto"/>
        <w:right w:val="none" w:sz="0" w:space="0" w:color="auto"/>
      </w:divBdr>
      <w:divsChild>
        <w:div w:id="253694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image" Target="media/image2.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chart" Target="charts/chart5.xml"/><Relationship Id="rId10" Type="http://schemas.openxmlformats.org/officeDocument/2006/relationships/footer" Target="footer2.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4.xml"/></Relationships>
</file>

<file path=word/_rels/header2.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_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__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__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__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905041720531198E-2"/>
          <c:y val="3.2882035578886103E-2"/>
          <c:w val="0.85916245543933878"/>
          <c:h val="0.72245771361913325"/>
        </c:manualLayout>
      </c:layout>
      <c:barChart>
        <c:barDir val="col"/>
        <c:grouping val="clustered"/>
        <c:varyColors val="0"/>
        <c:ser>
          <c:idx val="1"/>
          <c:order val="1"/>
          <c:tx>
            <c:strRef>
              <c:f>股市最终图!$C$2</c:f>
              <c:strCache>
                <c:ptCount val="1"/>
                <c:pt idx="0">
                  <c:v>成交额（千亿元）</c:v>
                </c:pt>
              </c:strCache>
            </c:strRef>
          </c:tx>
          <c:spPr>
            <a:solidFill>
              <a:schemeClr val="accent2"/>
            </a:solidFill>
          </c:spPr>
          <c:invertIfNegative val="0"/>
          <c:dLbls>
            <c:dLbl>
              <c:idx val="0"/>
              <c:layout>
                <c:manualLayout>
                  <c:x val="0"/>
                  <c:y val="8.796296296296296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0648148148148148"/>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4875621890547263E-3"/>
                  <c:y val="0.11574074074074074"/>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4510126532689051E-3"/>
                  <c:y val="0.10185185185185176"/>
                </c:manualLayout>
              </c:layout>
              <c:showLegendKey val="0"/>
              <c:showVal val="1"/>
              <c:showCatName val="0"/>
              <c:showSerName val="0"/>
              <c:showPercent val="0"/>
              <c:showBubbleSize val="0"/>
              <c:extLst>
                <c:ext xmlns:c15="http://schemas.microsoft.com/office/drawing/2012/chart" uri="{CE6537A1-D6FC-4f65-9D91-7224C49458BB}"/>
              </c:extLst>
            </c:dLbl>
            <c:numFmt formatCode="#,##0.00_ "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股市最终图!$A$3:$A$6</c:f>
              <c:strCache>
                <c:ptCount val="4"/>
                <c:pt idx="0">
                  <c:v>上证综指</c:v>
                </c:pt>
                <c:pt idx="1">
                  <c:v>深证成指</c:v>
                </c:pt>
                <c:pt idx="2">
                  <c:v>中小板</c:v>
                </c:pt>
                <c:pt idx="3">
                  <c:v>创业板</c:v>
                </c:pt>
              </c:strCache>
            </c:strRef>
          </c:cat>
          <c:val>
            <c:numRef>
              <c:f>股市最终图!$C$3:$C$6</c:f>
              <c:numCache>
                <c:formatCode>General</c:formatCode>
                <c:ptCount val="4"/>
                <c:pt idx="0">
                  <c:v>9.6205326451100017</c:v>
                </c:pt>
                <c:pt idx="1">
                  <c:v>17.120295772993</c:v>
                </c:pt>
                <c:pt idx="2">
                  <c:v>7.6528703482970002</c:v>
                </c:pt>
                <c:pt idx="3">
                  <c:v>4.8918313131940003</c:v>
                </c:pt>
              </c:numCache>
            </c:numRef>
          </c:val>
        </c:ser>
        <c:dLbls>
          <c:showLegendKey val="0"/>
          <c:showVal val="0"/>
          <c:showCatName val="0"/>
          <c:showSerName val="0"/>
          <c:showPercent val="0"/>
          <c:showBubbleSize val="0"/>
        </c:dLbls>
        <c:gapWidth val="150"/>
        <c:axId val="307195648"/>
        <c:axId val="307196208"/>
      </c:barChart>
      <c:lineChart>
        <c:grouping val="standard"/>
        <c:varyColors val="0"/>
        <c:ser>
          <c:idx val="0"/>
          <c:order val="0"/>
          <c:tx>
            <c:strRef>
              <c:f>股市最终图!$B$2</c:f>
              <c:strCache>
                <c:ptCount val="1"/>
                <c:pt idx="0">
                  <c:v>涨跌幅（%）</c:v>
                </c:pt>
              </c:strCache>
            </c:strRef>
          </c:tx>
          <c:spPr>
            <a:ln>
              <a:noFill/>
            </a:ln>
          </c:spPr>
          <c:marker>
            <c:spPr>
              <a:solidFill>
                <a:schemeClr val="tx2">
                  <a:lumMod val="60000"/>
                  <a:lumOff val="40000"/>
                </a:schemeClr>
              </a:solidFill>
              <a:ln w="25400">
                <a:solidFill>
                  <a:schemeClr val="tx2">
                    <a:lumMod val="60000"/>
                    <a:lumOff val="40000"/>
                  </a:schemeClr>
                </a:solidFill>
              </a:ln>
            </c:spPr>
          </c:marker>
          <c:dLbls>
            <c:dLbl>
              <c:idx val="0"/>
              <c:layout>
                <c:manualLayout>
                  <c:x val="2.1503897833666314E-2"/>
                  <c:y val="-9.2592592592593437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59160888471035E-2"/>
                  <c:y val="4.629629629629644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691542288557254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9587103841703662E-7"/>
                  <c:y val="-2.1218890680033321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股市最终图!$A$3:$A$6</c:f>
              <c:strCache>
                <c:ptCount val="4"/>
                <c:pt idx="0">
                  <c:v>上证综指</c:v>
                </c:pt>
                <c:pt idx="1">
                  <c:v>深证成指</c:v>
                </c:pt>
                <c:pt idx="2">
                  <c:v>中小板</c:v>
                </c:pt>
                <c:pt idx="3">
                  <c:v>创业板</c:v>
                </c:pt>
              </c:strCache>
            </c:strRef>
          </c:cat>
          <c:val>
            <c:numRef>
              <c:f>股市最终图!$B$3:$B$6</c:f>
              <c:numCache>
                <c:formatCode>0.000_ </c:formatCode>
                <c:ptCount val="4"/>
                <c:pt idx="0">
                  <c:v>-1.3580871009227669</c:v>
                </c:pt>
                <c:pt idx="1">
                  <c:v>-1.0546497556086498</c:v>
                </c:pt>
                <c:pt idx="2">
                  <c:v>-1.2729852987701129</c:v>
                </c:pt>
                <c:pt idx="3">
                  <c:v>-0.60893618825825779</c:v>
                </c:pt>
              </c:numCache>
            </c:numRef>
          </c:val>
          <c:smooth val="0"/>
        </c:ser>
        <c:dLbls>
          <c:showLegendKey val="0"/>
          <c:showVal val="0"/>
          <c:showCatName val="0"/>
          <c:showSerName val="0"/>
          <c:showPercent val="0"/>
          <c:showBubbleSize val="0"/>
        </c:dLbls>
        <c:marker val="1"/>
        <c:smooth val="0"/>
        <c:axId val="307195648"/>
        <c:axId val="307196208"/>
      </c:lineChart>
      <c:catAx>
        <c:axId val="307195648"/>
        <c:scaling>
          <c:orientation val="minMax"/>
        </c:scaling>
        <c:delete val="0"/>
        <c:axPos val="b"/>
        <c:numFmt formatCode="General" sourceLinked="0"/>
        <c:majorTickMark val="none"/>
        <c:minorTickMark val="none"/>
        <c:tickLblPos val="low"/>
        <c:txPr>
          <a:bodyPr/>
          <a:lstStyle/>
          <a:p>
            <a:pPr>
              <a:defRPr sz="900">
                <a:latin typeface="+mn-ea"/>
                <a:ea typeface="+mn-ea"/>
              </a:defRPr>
            </a:pPr>
            <a:endParaRPr lang="zh-CN"/>
          </a:p>
        </c:txPr>
        <c:crossAx val="307196208"/>
        <c:crosses val="autoZero"/>
        <c:auto val="1"/>
        <c:lblAlgn val="ctr"/>
        <c:lblOffset val="100"/>
        <c:noMultiLvlLbl val="0"/>
      </c:catAx>
      <c:valAx>
        <c:axId val="307196208"/>
        <c:scaling>
          <c:orientation val="minMax"/>
        </c:scaling>
        <c:delete val="0"/>
        <c:axPos val="l"/>
        <c:numFmt formatCode="General" sourceLinked="1"/>
        <c:majorTickMark val="out"/>
        <c:minorTickMark val="none"/>
        <c:tickLblPos val="nextTo"/>
        <c:crossAx val="307195648"/>
        <c:crosses val="autoZero"/>
        <c:crossBetween val="between"/>
      </c:valAx>
    </c:plotArea>
    <c:legend>
      <c:legendPos val="r"/>
      <c:layout>
        <c:manualLayout>
          <c:xMode val="edge"/>
          <c:yMode val="edge"/>
          <c:x val="0.16418396356421408"/>
          <c:y val="0.82831997770190235"/>
          <c:w val="0.69860838077893517"/>
          <c:h val="0.16743438320210069"/>
        </c:manualLayout>
      </c:layout>
      <c:overlay val="0"/>
      <c:txPr>
        <a:bodyPr/>
        <a:lstStyle/>
        <a:p>
          <a:pPr>
            <a:defRPr sz="900">
              <a:latin typeface="+mn-ea"/>
              <a:ea typeface="+mn-ea"/>
            </a:defRPr>
          </a:pPr>
          <a:endParaRPr lang="zh-CN"/>
        </a:p>
      </c:txPr>
    </c:legend>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AB周成交量!$L$2</c:f>
              <c:strCache>
                <c:ptCount val="1"/>
                <c:pt idx="0">
                  <c:v>2016/7/8</c:v>
                </c:pt>
              </c:strCache>
            </c:strRef>
          </c:tx>
          <c:spPr>
            <a:solidFill>
              <a:schemeClr val="accent1"/>
            </a:solidFill>
            <a:ln>
              <a:noFill/>
            </a:ln>
            <a:effectLst/>
          </c:spPr>
          <c:invertIfNegative val="0"/>
          <c:cat>
            <c:strRef>
              <c:f>AB周成交量!$M$1:$N$1</c:f>
              <c:strCache>
                <c:ptCount val="2"/>
                <c:pt idx="0">
                  <c:v>分级A成交量</c:v>
                </c:pt>
                <c:pt idx="1">
                  <c:v>分级B成交量</c:v>
                </c:pt>
              </c:strCache>
            </c:strRef>
          </c:cat>
          <c:val>
            <c:numRef>
              <c:f>AB周成交量!$M$2:$N$2</c:f>
              <c:numCache>
                <c:formatCode>0.00</c:formatCode>
                <c:ptCount val="2"/>
                <c:pt idx="0">
                  <c:v>72.084424970000001</c:v>
                </c:pt>
                <c:pt idx="1">
                  <c:v>417.57340790000001</c:v>
                </c:pt>
              </c:numCache>
            </c:numRef>
          </c:val>
        </c:ser>
        <c:ser>
          <c:idx val="1"/>
          <c:order val="1"/>
          <c:tx>
            <c:strRef>
              <c:f>AB周成交量!$L$3</c:f>
              <c:strCache>
                <c:ptCount val="1"/>
                <c:pt idx="0">
                  <c:v>2016/7/15</c:v>
                </c:pt>
              </c:strCache>
            </c:strRef>
          </c:tx>
          <c:spPr>
            <a:solidFill>
              <a:schemeClr val="accent2"/>
            </a:solidFill>
            <a:ln>
              <a:noFill/>
            </a:ln>
            <a:effectLst/>
          </c:spPr>
          <c:invertIfNegative val="0"/>
          <c:cat>
            <c:strRef>
              <c:f>AB周成交量!$M$1:$N$1</c:f>
              <c:strCache>
                <c:ptCount val="2"/>
                <c:pt idx="0">
                  <c:v>分级A成交量</c:v>
                </c:pt>
                <c:pt idx="1">
                  <c:v>分级B成交量</c:v>
                </c:pt>
              </c:strCache>
            </c:strRef>
          </c:cat>
          <c:val>
            <c:numRef>
              <c:f>AB周成交量!$M$3:$N$3</c:f>
              <c:numCache>
                <c:formatCode>0.00</c:formatCode>
                <c:ptCount val="2"/>
                <c:pt idx="0">
                  <c:v>81.61745019</c:v>
                </c:pt>
                <c:pt idx="1">
                  <c:v>468.09427010000002</c:v>
                </c:pt>
              </c:numCache>
            </c:numRef>
          </c:val>
        </c:ser>
        <c:ser>
          <c:idx val="2"/>
          <c:order val="2"/>
          <c:tx>
            <c:strRef>
              <c:f>AB周成交量!$L$4</c:f>
              <c:strCache>
                <c:ptCount val="1"/>
                <c:pt idx="0">
                  <c:v>2016/7/22</c:v>
                </c:pt>
              </c:strCache>
            </c:strRef>
          </c:tx>
          <c:spPr>
            <a:solidFill>
              <a:schemeClr val="accent3"/>
            </a:solidFill>
            <a:ln>
              <a:noFill/>
            </a:ln>
            <a:effectLst/>
          </c:spPr>
          <c:invertIfNegative val="0"/>
          <c:cat>
            <c:strRef>
              <c:f>AB周成交量!$M$1:$N$1</c:f>
              <c:strCache>
                <c:ptCount val="2"/>
                <c:pt idx="0">
                  <c:v>分级A成交量</c:v>
                </c:pt>
                <c:pt idx="1">
                  <c:v>分级B成交量</c:v>
                </c:pt>
              </c:strCache>
            </c:strRef>
          </c:cat>
          <c:val>
            <c:numRef>
              <c:f>AB周成交量!$M$4:$N$4</c:f>
              <c:numCache>
                <c:formatCode>0.00</c:formatCode>
                <c:ptCount val="2"/>
                <c:pt idx="0">
                  <c:v>71.562694890000003</c:v>
                </c:pt>
                <c:pt idx="1">
                  <c:v>321.66398471999997</c:v>
                </c:pt>
              </c:numCache>
            </c:numRef>
          </c:val>
        </c:ser>
        <c:dLbls>
          <c:showLegendKey val="0"/>
          <c:showVal val="0"/>
          <c:showCatName val="0"/>
          <c:showSerName val="0"/>
          <c:showPercent val="0"/>
          <c:showBubbleSize val="0"/>
        </c:dLbls>
        <c:gapWidth val="199"/>
        <c:axId val="581801248"/>
        <c:axId val="581801808"/>
      </c:barChart>
      <c:catAx>
        <c:axId val="58180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zh-CN"/>
          </a:p>
        </c:txPr>
        <c:crossAx val="581801808"/>
        <c:crosses val="autoZero"/>
        <c:auto val="1"/>
        <c:lblAlgn val="ctr"/>
        <c:lblOffset val="100"/>
        <c:noMultiLvlLbl val="0"/>
      </c:catAx>
      <c:valAx>
        <c:axId val="581801808"/>
        <c:scaling>
          <c:orientation val="minMax"/>
        </c:scaling>
        <c:delete val="0"/>
        <c:axPos val="l"/>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818012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65351589802001"/>
          <c:y val="7.0899129874315181E-2"/>
          <c:w val="0.83155484021275528"/>
          <c:h val="0.65407974688095494"/>
        </c:manualLayout>
      </c:layout>
      <c:lineChart>
        <c:grouping val="standard"/>
        <c:varyColors val="0"/>
        <c:ser>
          <c:idx val="0"/>
          <c:order val="0"/>
          <c:tx>
            <c:strRef>
              <c:f>分级B折溢价率走势——图!$B$4</c:f>
              <c:strCache>
                <c:ptCount val="1"/>
                <c:pt idx="0">
                  <c:v>折溢价率</c:v>
                </c:pt>
              </c:strCache>
            </c:strRef>
          </c:tx>
          <c:spPr>
            <a:ln w="22225" cap="rnd" cmpd="sng" algn="ctr">
              <a:solidFill>
                <a:schemeClr val="accent1"/>
              </a:solidFill>
              <a:round/>
            </a:ln>
            <a:effectLst/>
          </c:spPr>
          <c:marker>
            <c:symbol val="none"/>
          </c:marker>
          <c:cat>
            <c:strRef>
              <c:f>分级B折溢价率走势——图!$A$5:$A$249</c:f>
              <c:strCache>
                <c:ptCount val="244"/>
                <c:pt idx="0">
                  <c:v>2015-07-20</c:v>
                </c:pt>
                <c:pt idx="1">
                  <c:v>2015-07-21</c:v>
                </c:pt>
                <c:pt idx="2">
                  <c:v>2015-07-22</c:v>
                </c:pt>
                <c:pt idx="3">
                  <c:v>2015-07-23</c:v>
                </c:pt>
                <c:pt idx="4">
                  <c:v>2015-07-24</c:v>
                </c:pt>
                <c:pt idx="5">
                  <c:v>2015-07-27</c:v>
                </c:pt>
                <c:pt idx="6">
                  <c:v>2015-07-28</c:v>
                </c:pt>
                <c:pt idx="7">
                  <c:v>2015-07-29</c:v>
                </c:pt>
                <c:pt idx="8">
                  <c:v>2015-07-30</c:v>
                </c:pt>
                <c:pt idx="9">
                  <c:v>2015-07-31</c:v>
                </c:pt>
                <c:pt idx="10">
                  <c:v>2015-08-03</c:v>
                </c:pt>
                <c:pt idx="11">
                  <c:v>2015-08-04</c:v>
                </c:pt>
                <c:pt idx="12">
                  <c:v>2015-08-05</c:v>
                </c:pt>
                <c:pt idx="13">
                  <c:v>2015-08-06</c:v>
                </c:pt>
                <c:pt idx="14">
                  <c:v>2015-08-07</c:v>
                </c:pt>
                <c:pt idx="15">
                  <c:v>2015-08-10</c:v>
                </c:pt>
                <c:pt idx="16">
                  <c:v>2015-08-11</c:v>
                </c:pt>
                <c:pt idx="17">
                  <c:v>2015-08-12</c:v>
                </c:pt>
                <c:pt idx="18">
                  <c:v>2015-08-13</c:v>
                </c:pt>
                <c:pt idx="19">
                  <c:v>2015-08-14</c:v>
                </c:pt>
                <c:pt idx="20">
                  <c:v>2015-08-17</c:v>
                </c:pt>
                <c:pt idx="21">
                  <c:v>2015-08-18</c:v>
                </c:pt>
                <c:pt idx="22">
                  <c:v>2015-08-19</c:v>
                </c:pt>
                <c:pt idx="23">
                  <c:v>2015-08-20</c:v>
                </c:pt>
                <c:pt idx="24">
                  <c:v>2015-08-21</c:v>
                </c:pt>
                <c:pt idx="25">
                  <c:v>2015-08-24</c:v>
                </c:pt>
                <c:pt idx="26">
                  <c:v>2015-08-25</c:v>
                </c:pt>
                <c:pt idx="27">
                  <c:v>2015-08-26</c:v>
                </c:pt>
                <c:pt idx="28">
                  <c:v>2015-08-27</c:v>
                </c:pt>
                <c:pt idx="29">
                  <c:v>2015-08-28</c:v>
                </c:pt>
                <c:pt idx="30">
                  <c:v>2015-08-31</c:v>
                </c:pt>
                <c:pt idx="31">
                  <c:v>2015-09-01</c:v>
                </c:pt>
                <c:pt idx="32">
                  <c:v>2015-09-02</c:v>
                </c:pt>
                <c:pt idx="33">
                  <c:v>2015-09-07</c:v>
                </c:pt>
                <c:pt idx="34">
                  <c:v>2015-09-08</c:v>
                </c:pt>
                <c:pt idx="35">
                  <c:v>2015-09-09</c:v>
                </c:pt>
                <c:pt idx="36">
                  <c:v>2015-09-10</c:v>
                </c:pt>
                <c:pt idx="37">
                  <c:v>2015-09-11</c:v>
                </c:pt>
                <c:pt idx="38">
                  <c:v>2015-09-14</c:v>
                </c:pt>
                <c:pt idx="39">
                  <c:v>2015-09-15</c:v>
                </c:pt>
                <c:pt idx="40">
                  <c:v>2015-09-16</c:v>
                </c:pt>
                <c:pt idx="41">
                  <c:v>2015-09-17</c:v>
                </c:pt>
                <c:pt idx="42">
                  <c:v>2015-09-18</c:v>
                </c:pt>
                <c:pt idx="43">
                  <c:v>2015-09-21</c:v>
                </c:pt>
                <c:pt idx="44">
                  <c:v>2015-09-22</c:v>
                </c:pt>
                <c:pt idx="45">
                  <c:v>2015-09-23</c:v>
                </c:pt>
                <c:pt idx="46">
                  <c:v>2015-09-24</c:v>
                </c:pt>
                <c:pt idx="47">
                  <c:v>2015-09-25</c:v>
                </c:pt>
                <c:pt idx="48">
                  <c:v>2015-09-28</c:v>
                </c:pt>
                <c:pt idx="49">
                  <c:v>2015-09-29</c:v>
                </c:pt>
                <c:pt idx="50">
                  <c:v>2015-09-30</c:v>
                </c:pt>
                <c:pt idx="51">
                  <c:v>2015-10-08</c:v>
                </c:pt>
                <c:pt idx="52">
                  <c:v>2015-10-09</c:v>
                </c:pt>
                <c:pt idx="53">
                  <c:v>2015-10-12</c:v>
                </c:pt>
                <c:pt idx="54">
                  <c:v>2015-10-13</c:v>
                </c:pt>
                <c:pt idx="55">
                  <c:v>2015-10-14</c:v>
                </c:pt>
                <c:pt idx="56">
                  <c:v>2015-10-15</c:v>
                </c:pt>
                <c:pt idx="57">
                  <c:v>2015-10-16</c:v>
                </c:pt>
                <c:pt idx="58">
                  <c:v>2015-10-19</c:v>
                </c:pt>
                <c:pt idx="59">
                  <c:v>2015-10-20</c:v>
                </c:pt>
                <c:pt idx="60">
                  <c:v>2015-10-21</c:v>
                </c:pt>
                <c:pt idx="61">
                  <c:v>2015-10-22</c:v>
                </c:pt>
                <c:pt idx="62">
                  <c:v>2015-10-23</c:v>
                </c:pt>
                <c:pt idx="63">
                  <c:v>2015-10-26</c:v>
                </c:pt>
                <c:pt idx="64">
                  <c:v>2015-10-27</c:v>
                </c:pt>
                <c:pt idx="65">
                  <c:v>2015-10-28</c:v>
                </c:pt>
                <c:pt idx="66">
                  <c:v>2015-10-29</c:v>
                </c:pt>
                <c:pt idx="67">
                  <c:v>2015-10-30</c:v>
                </c:pt>
                <c:pt idx="68">
                  <c:v>2015-11-02</c:v>
                </c:pt>
                <c:pt idx="69">
                  <c:v>2015-11-03</c:v>
                </c:pt>
                <c:pt idx="70">
                  <c:v>2015-11-04</c:v>
                </c:pt>
                <c:pt idx="71">
                  <c:v>2015-11-05</c:v>
                </c:pt>
                <c:pt idx="72">
                  <c:v>2015-11-06</c:v>
                </c:pt>
                <c:pt idx="73">
                  <c:v>2015-11-09</c:v>
                </c:pt>
                <c:pt idx="74">
                  <c:v>2015-11-10</c:v>
                </c:pt>
                <c:pt idx="75">
                  <c:v>2015-11-11</c:v>
                </c:pt>
                <c:pt idx="76">
                  <c:v>2015-11-12</c:v>
                </c:pt>
                <c:pt idx="77">
                  <c:v>2015-11-13</c:v>
                </c:pt>
                <c:pt idx="78">
                  <c:v>2015-11-16</c:v>
                </c:pt>
                <c:pt idx="79">
                  <c:v>2015-11-17</c:v>
                </c:pt>
                <c:pt idx="80">
                  <c:v>2015-11-18</c:v>
                </c:pt>
                <c:pt idx="81">
                  <c:v>2015-11-19</c:v>
                </c:pt>
                <c:pt idx="82">
                  <c:v>2015-11-20</c:v>
                </c:pt>
                <c:pt idx="83">
                  <c:v>2015-11-23</c:v>
                </c:pt>
                <c:pt idx="84">
                  <c:v>2015-11-24</c:v>
                </c:pt>
                <c:pt idx="85">
                  <c:v>2015-11-25</c:v>
                </c:pt>
                <c:pt idx="86">
                  <c:v>2015-11-26</c:v>
                </c:pt>
                <c:pt idx="87">
                  <c:v>2015-11-27</c:v>
                </c:pt>
                <c:pt idx="88">
                  <c:v>2015-11-30</c:v>
                </c:pt>
                <c:pt idx="89">
                  <c:v>2015-12-01</c:v>
                </c:pt>
                <c:pt idx="90">
                  <c:v>2015-12-02</c:v>
                </c:pt>
                <c:pt idx="91">
                  <c:v>2015-12-03</c:v>
                </c:pt>
                <c:pt idx="92">
                  <c:v>2015-12-04</c:v>
                </c:pt>
                <c:pt idx="93">
                  <c:v>2015-12-07</c:v>
                </c:pt>
                <c:pt idx="94">
                  <c:v>2015-12-08</c:v>
                </c:pt>
                <c:pt idx="95">
                  <c:v>2015-12-09</c:v>
                </c:pt>
                <c:pt idx="96">
                  <c:v>2015-12-10</c:v>
                </c:pt>
                <c:pt idx="97">
                  <c:v>2015-12-11</c:v>
                </c:pt>
                <c:pt idx="98">
                  <c:v>2015-12-14</c:v>
                </c:pt>
                <c:pt idx="99">
                  <c:v>2015-12-15</c:v>
                </c:pt>
                <c:pt idx="100">
                  <c:v>2015-12-16</c:v>
                </c:pt>
                <c:pt idx="101">
                  <c:v>2015-12-17</c:v>
                </c:pt>
                <c:pt idx="102">
                  <c:v>2015-12-18</c:v>
                </c:pt>
                <c:pt idx="103">
                  <c:v>2015-12-21</c:v>
                </c:pt>
                <c:pt idx="104">
                  <c:v>2015-12-22</c:v>
                </c:pt>
                <c:pt idx="105">
                  <c:v>2015-12-23</c:v>
                </c:pt>
                <c:pt idx="106">
                  <c:v>2015-12-24</c:v>
                </c:pt>
                <c:pt idx="107">
                  <c:v>2015-12-25</c:v>
                </c:pt>
                <c:pt idx="108">
                  <c:v>2015-12-28</c:v>
                </c:pt>
                <c:pt idx="109">
                  <c:v>2015-12-29</c:v>
                </c:pt>
                <c:pt idx="110">
                  <c:v>2015-12-30</c:v>
                </c:pt>
                <c:pt idx="111">
                  <c:v>2015-12-31</c:v>
                </c:pt>
                <c:pt idx="112">
                  <c:v>2016-01-04</c:v>
                </c:pt>
                <c:pt idx="113">
                  <c:v>2016-01-05</c:v>
                </c:pt>
                <c:pt idx="114">
                  <c:v>2016-01-06</c:v>
                </c:pt>
                <c:pt idx="115">
                  <c:v>2016-01-07</c:v>
                </c:pt>
                <c:pt idx="116">
                  <c:v>2016-01-08</c:v>
                </c:pt>
                <c:pt idx="117">
                  <c:v>2016-01-11</c:v>
                </c:pt>
                <c:pt idx="118">
                  <c:v>2016-01-12</c:v>
                </c:pt>
                <c:pt idx="119">
                  <c:v>2016-01-13</c:v>
                </c:pt>
                <c:pt idx="120">
                  <c:v>2016-01-14</c:v>
                </c:pt>
                <c:pt idx="121">
                  <c:v>2016-01-15</c:v>
                </c:pt>
                <c:pt idx="122">
                  <c:v>2016-01-18</c:v>
                </c:pt>
                <c:pt idx="123">
                  <c:v>2016-01-19</c:v>
                </c:pt>
                <c:pt idx="124">
                  <c:v>2016-01-20</c:v>
                </c:pt>
                <c:pt idx="125">
                  <c:v>2016-01-21</c:v>
                </c:pt>
                <c:pt idx="126">
                  <c:v>2016-01-22</c:v>
                </c:pt>
                <c:pt idx="127">
                  <c:v>2016-01-25</c:v>
                </c:pt>
                <c:pt idx="128">
                  <c:v>2016-01-26</c:v>
                </c:pt>
                <c:pt idx="129">
                  <c:v>2016-01-27</c:v>
                </c:pt>
                <c:pt idx="130">
                  <c:v>2016-01-28</c:v>
                </c:pt>
                <c:pt idx="131">
                  <c:v>2016-01-29</c:v>
                </c:pt>
                <c:pt idx="132">
                  <c:v>2016-02-01</c:v>
                </c:pt>
                <c:pt idx="133">
                  <c:v>2016-02-02</c:v>
                </c:pt>
                <c:pt idx="134">
                  <c:v>2016-02-03</c:v>
                </c:pt>
                <c:pt idx="135">
                  <c:v>2016-02-04</c:v>
                </c:pt>
                <c:pt idx="136">
                  <c:v>2016-02-05</c:v>
                </c:pt>
                <c:pt idx="137">
                  <c:v>2016-02-15</c:v>
                </c:pt>
                <c:pt idx="138">
                  <c:v>2016-02-16</c:v>
                </c:pt>
                <c:pt idx="139">
                  <c:v>2016-02-17</c:v>
                </c:pt>
                <c:pt idx="140">
                  <c:v>2016-02-18</c:v>
                </c:pt>
                <c:pt idx="141">
                  <c:v>2016-02-19</c:v>
                </c:pt>
                <c:pt idx="142">
                  <c:v>2016-02-22</c:v>
                </c:pt>
                <c:pt idx="143">
                  <c:v>2016-02-23</c:v>
                </c:pt>
                <c:pt idx="144">
                  <c:v>2016-02-24</c:v>
                </c:pt>
                <c:pt idx="145">
                  <c:v>2016-02-25</c:v>
                </c:pt>
                <c:pt idx="146">
                  <c:v>2016-02-26</c:v>
                </c:pt>
                <c:pt idx="147">
                  <c:v>2016-02-29</c:v>
                </c:pt>
                <c:pt idx="148">
                  <c:v>2016-03-01</c:v>
                </c:pt>
                <c:pt idx="149">
                  <c:v>2016-03-02</c:v>
                </c:pt>
                <c:pt idx="150">
                  <c:v>2016-03-03</c:v>
                </c:pt>
                <c:pt idx="151">
                  <c:v>2016-03-04</c:v>
                </c:pt>
                <c:pt idx="152">
                  <c:v>2016-03-07</c:v>
                </c:pt>
                <c:pt idx="153">
                  <c:v>2016-03-08</c:v>
                </c:pt>
                <c:pt idx="154">
                  <c:v>2016-03-09</c:v>
                </c:pt>
                <c:pt idx="155">
                  <c:v>2016-03-10</c:v>
                </c:pt>
                <c:pt idx="156">
                  <c:v>2016-03-11</c:v>
                </c:pt>
                <c:pt idx="157">
                  <c:v>2016-03-14</c:v>
                </c:pt>
                <c:pt idx="158">
                  <c:v>2016-03-15</c:v>
                </c:pt>
                <c:pt idx="159">
                  <c:v>2016-03-16</c:v>
                </c:pt>
                <c:pt idx="160">
                  <c:v>2016-03-17</c:v>
                </c:pt>
                <c:pt idx="161">
                  <c:v>2016-03-18</c:v>
                </c:pt>
                <c:pt idx="162">
                  <c:v>2016-03-21</c:v>
                </c:pt>
                <c:pt idx="163">
                  <c:v>2016-03-22</c:v>
                </c:pt>
                <c:pt idx="164">
                  <c:v>2016-03-23</c:v>
                </c:pt>
                <c:pt idx="165">
                  <c:v>2016-03-24</c:v>
                </c:pt>
                <c:pt idx="166">
                  <c:v>2016-03-25</c:v>
                </c:pt>
                <c:pt idx="167">
                  <c:v>2016-03-28</c:v>
                </c:pt>
                <c:pt idx="168">
                  <c:v>2016-03-29</c:v>
                </c:pt>
                <c:pt idx="169">
                  <c:v>2016-03-30</c:v>
                </c:pt>
                <c:pt idx="170">
                  <c:v>2016-03-31</c:v>
                </c:pt>
                <c:pt idx="171">
                  <c:v>2016-04-01</c:v>
                </c:pt>
                <c:pt idx="172">
                  <c:v>2016-04-05</c:v>
                </c:pt>
                <c:pt idx="173">
                  <c:v>2016-04-06</c:v>
                </c:pt>
                <c:pt idx="174">
                  <c:v>2016-04-07</c:v>
                </c:pt>
                <c:pt idx="175">
                  <c:v>2016-04-08</c:v>
                </c:pt>
                <c:pt idx="176">
                  <c:v>2016-04-11</c:v>
                </c:pt>
                <c:pt idx="177">
                  <c:v>2016-04-12</c:v>
                </c:pt>
                <c:pt idx="178">
                  <c:v>2016-04-13</c:v>
                </c:pt>
                <c:pt idx="179">
                  <c:v>2016-04-14</c:v>
                </c:pt>
                <c:pt idx="180">
                  <c:v>2016-04-15</c:v>
                </c:pt>
                <c:pt idx="181">
                  <c:v>2016-04-18</c:v>
                </c:pt>
                <c:pt idx="182">
                  <c:v>2016-04-19</c:v>
                </c:pt>
                <c:pt idx="183">
                  <c:v>2016-04-20</c:v>
                </c:pt>
                <c:pt idx="184">
                  <c:v>2016-04-21</c:v>
                </c:pt>
                <c:pt idx="185">
                  <c:v>2016-04-22</c:v>
                </c:pt>
                <c:pt idx="186">
                  <c:v>2016-04-25</c:v>
                </c:pt>
                <c:pt idx="187">
                  <c:v>2016-04-26</c:v>
                </c:pt>
                <c:pt idx="188">
                  <c:v>2016-04-27</c:v>
                </c:pt>
                <c:pt idx="189">
                  <c:v>2016-04-28</c:v>
                </c:pt>
                <c:pt idx="190">
                  <c:v>2016-04-29</c:v>
                </c:pt>
                <c:pt idx="191">
                  <c:v>2016-05-03</c:v>
                </c:pt>
                <c:pt idx="192">
                  <c:v>2016-05-04</c:v>
                </c:pt>
                <c:pt idx="193">
                  <c:v>2016-05-05</c:v>
                </c:pt>
                <c:pt idx="194">
                  <c:v>2016-05-06</c:v>
                </c:pt>
                <c:pt idx="195">
                  <c:v>2016-05-09</c:v>
                </c:pt>
                <c:pt idx="196">
                  <c:v>2016-05-10</c:v>
                </c:pt>
                <c:pt idx="197">
                  <c:v>2016-05-11</c:v>
                </c:pt>
                <c:pt idx="198">
                  <c:v>2016-05-12</c:v>
                </c:pt>
                <c:pt idx="199">
                  <c:v>2016-05-13</c:v>
                </c:pt>
                <c:pt idx="200">
                  <c:v>2016-05-16</c:v>
                </c:pt>
                <c:pt idx="201">
                  <c:v>2016-05-17</c:v>
                </c:pt>
                <c:pt idx="202">
                  <c:v>2016-05-18</c:v>
                </c:pt>
                <c:pt idx="203">
                  <c:v>2016-05-19</c:v>
                </c:pt>
                <c:pt idx="204">
                  <c:v>2016-05-20</c:v>
                </c:pt>
                <c:pt idx="205">
                  <c:v>2016-05-23</c:v>
                </c:pt>
                <c:pt idx="206">
                  <c:v>2016-05-24</c:v>
                </c:pt>
                <c:pt idx="207">
                  <c:v>2016-05-25</c:v>
                </c:pt>
                <c:pt idx="208">
                  <c:v>2016-05-26</c:v>
                </c:pt>
                <c:pt idx="209">
                  <c:v>2016-05-27</c:v>
                </c:pt>
                <c:pt idx="210">
                  <c:v>2016-05-30</c:v>
                </c:pt>
                <c:pt idx="211">
                  <c:v>2016-05-31</c:v>
                </c:pt>
                <c:pt idx="212">
                  <c:v>2016-06-01</c:v>
                </c:pt>
                <c:pt idx="213">
                  <c:v>2016-06-02</c:v>
                </c:pt>
                <c:pt idx="214">
                  <c:v>2016-06-03</c:v>
                </c:pt>
                <c:pt idx="215">
                  <c:v>2016-06-06</c:v>
                </c:pt>
                <c:pt idx="216">
                  <c:v>2016-06-07</c:v>
                </c:pt>
                <c:pt idx="217">
                  <c:v>2016-06-08</c:v>
                </c:pt>
                <c:pt idx="218">
                  <c:v>2016-06-13</c:v>
                </c:pt>
                <c:pt idx="219">
                  <c:v>2016-06-14</c:v>
                </c:pt>
                <c:pt idx="220">
                  <c:v>2016-06-15</c:v>
                </c:pt>
                <c:pt idx="221">
                  <c:v>2016-06-16</c:v>
                </c:pt>
                <c:pt idx="222">
                  <c:v>2016-06-17</c:v>
                </c:pt>
                <c:pt idx="223">
                  <c:v>2016-06-20</c:v>
                </c:pt>
                <c:pt idx="224">
                  <c:v>2016-06-21</c:v>
                </c:pt>
                <c:pt idx="225">
                  <c:v>2016-06-22</c:v>
                </c:pt>
                <c:pt idx="226">
                  <c:v>2016-06-23</c:v>
                </c:pt>
                <c:pt idx="227">
                  <c:v>2016-06-24</c:v>
                </c:pt>
                <c:pt idx="228">
                  <c:v>2016-06-27</c:v>
                </c:pt>
                <c:pt idx="229">
                  <c:v>2016-06-28</c:v>
                </c:pt>
                <c:pt idx="230">
                  <c:v>2016-06-29</c:v>
                </c:pt>
                <c:pt idx="231">
                  <c:v>2016-06-30</c:v>
                </c:pt>
                <c:pt idx="232">
                  <c:v>2016-07-01</c:v>
                </c:pt>
                <c:pt idx="233">
                  <c:v>2016-07-04</c:v>
                </c:pt>
                <c:pt idx="234">
                  <c:v>2016-07-05</c:v>
                </c:pt>
                <c:pt idx="235">
                  <c:v>2016-07-06</c:v>
                </c:pt>
                <c:pt idx="236">
                  <c:v>2016-07-07</c:v>
                </c:pt>
                <c:pt idx="237">
                  <c:v>2016-07-08</c:v>
                </c:pt>
                <c:pt idx="238">
                  <c:v>2016-07-11</c:v>
                </c:pt>
                <c:pt idx="239">
                  <c:v>2016-07-12</c:v>
                </c:pt>
                <c:pt idx="240">
                  <c:v>2016-07-13</c:v>
                </c:pt>
                <c:pt idx="241">
                  <c:v>2016-07-14</c:v>
                </c:pt>
                <c:pt idx="242">
                  <c:v>2016-07-15</c:v>
                </c:pt>
                <c:pt idx="243">
                  <c:v>2016-07-18</c:v>
                </c:pt>
              </c:strCache>
            </c:strRef>
          </c:cat>
          <c:val>
            <c:numRef>
              <c:f>分级B折溢价率走势——图!$B$5:$B$249</c:f>
              <c:numCache>
                <c:formatCode>General</c:formatCode>
                <c:ptCount val="245"/>
                <c:pt idx="0">
                  <c:v>26.860794109506344</c:v>
                </c:pt>
                <c:pt idx="1">
                  <c:v>20.060115769973411</c:v>
                </c:pt>
                <c:pt idx="2">
                  <c:v>12.870829638219185</c:v>
                </c:pt>
                <c:pt idx="3">
                  <c:v>13.574610980331425</c:v>
                </c:pt>
                <c:pt idx="4">
                  <c:v>10.16792846834864</c:v>
                </c:pt>
                <c:pt idx="5">
                  <c:v>9.0664946269125259</c:v>
                </c:pt>
                <c:pt idx="6">
                  <c:v>8.1161605660789089</c:v>
                </c:pt>
                <c:pt idx="7">
                  <c:v>11.030551118920862</c:v>
                </c:pt>
                <c:pt idx="8">
                  <c:v>10.708591312068643</c:v>
                </c:pt>
                <c:pt idx="9">
                  <c:v>10.299313581714657</c:v>
                </c:pt>
                <c:pt idx="10">
                  <c:v>9.2971365998113491</c:v>
                </c:pt>
                <c:pt idx="11">
                  <c:v>10.951593119548972</c:v>
                </c:pt>
                <c:pt idx="12">
                  <c:v>9.8325885375785553</c:v>
                </c:pt>
                <c:pt idx="13">
                  <c:v>9.890102365343834</c:v>
                </c:pt>
                <c:pt idx="14">
                  <c:v>9.3997050979899637</c:v>
                </c:pt>
                <c:pt idx="15">
                  <c:v>7.6972586219223222</c:v>
                </c:pt>
                <c:pt idx="16">
                  <c:v>13.235500920265185</c:v>
                </c:pt>
                <c:pt idx="17">
                  <c:v>10.940919528275666</c:v>
                </c:pt>
                <c:pt idx="18">
                  <c:v>11.468241080685342</c:v>
                </c:pt>
                <c:pt idx="19">
                  <c:v>17.025588481546553</c:v>
                </c:pt>
                <c:pt idx="20">
                  <c:v>32.079833609469567</c:v>
                </c:pt>
                <c:pt idx="21">
                  <c:v>43.365728311953013</c:v>
                </c:pt>
                <c:pt idx="22">
                  <c:v>32.266200989423481</c:v>
                </c:pt>
                <c:pt idx="23">
                  <c:v>12.646281069438729</c:v>
                </c:pt>
                <c:pt idx="24">
                  <c:v>8.9867542178858564</c:v>
                </c:pt>
                <c:pt idx="25">
                  <c:v>6.0957136355424009</c:v>
                </c:pt>
                <c:pt idx="26">
                  <c:v>6.5421604097090151</c:v>
                </c:pt>
                <c:pt idx="27">
                  <c:v>3.4972200192508494</c:v>
                </c:pt>
                <c:pt idx="28">
                  <c:v>6.0827619809078266</c:v>
                </c:pt>
                <c:pt idx="29">
                  <c:v>3.7444822791785812</c:v>
                </c:pt>
                <c:pt idx="30">
                  <c:v>4.1015909801079005</c:v>
                </c:pt>
                <c:pt idx="31">
                  <c:v>6.2627658318825574</c:v>
                </c:pt>
                <c:pt idx="32">
                  <c:v>5.7008643530661258</c:v>
                </c:pt>
                <c:pt idx="33">
                  <c:v>10.395486623888415</c:v>
                </c:pt>
                <c:pt idx="34">
                  <c:v>13.763991942077036</c:v>
                </c:pt>
                <c:pt idx="35">
                  <c:v>2.8543398375701425</c:v>
                </c:pt>
                <c:pt idx="36">
                  <c:v>8.7638053950239563</c:v>
                </c:pt>
                <c:pt idx="37">
                  <c:v>6.0362992234191317</c:v>
                </c:pt>
                <c:pt idx="38">
                  <c:v>4.7761586740270303</c:v>
                </c:pt>
                <c:pt idx="39">
                  <c:v>5.4362796925519401</c:v>
                </c:pt>
                <c:pt idx="40">
                  <c:v>6.062525526400603</c:v>
                </c:pt>
                <c:pt idx="41">
                  <c:v>5.0146227840364066</c:v>
                </c:pt>
                <c:pt idx="42">
                  <c:v>6.3590005654241093</c:v>
                </c:pt>
                <c:pt idx="43">
                  <c:v>4.953803074545065</c:v>
                </c:pt>
                <c:pt idx="44">
                  <c:v>5.9442208370090981</c:v>
                </c:pt>
                <c:pt idx="45">
                  <c:v>5.7298544787530314</c:v>
                </c:pt>
                <c:pt idx="46">
                  <c:v>4.7439822301031578</c:v>
                </c:pt>
                <c:pt idx="47">
                  <c:v>3.8336875887240294</c:v>
                </c:pt>
                <c:pt idx="48">
                  <c:v>4.4044428398265829</c:v>
                </c:pt>
                <c:pt idx="49">
                  <c:v>5.2777309992253318</c:v>
                </c:pt>
                <c:pt idx="50">
                  <c:v>5.4322760187089125</c:v>
                </c:pt>
                <c:pt idx="51">
                  <c:v>5.4153834522876645</c:v>
                </c:pt>
                <c:pt idx="52">
                  <c:v>5.9353156209540723</c:v>
                </c:pt>
                <c:pt idx="53">
                  <c:v>5.5173988324040506</c:v>
                </c:pt>
                <c:pt idx="54">
                  <c:v>4.2269849638049131</c:v>
                </c:pt>
                <c:pt idx="55">
                  <c:v>6.523414983817724</c:v>
                </c:pt>
                <c:pt idx="56">
                  <c:v>4.1402257776400671</c:v>
                </c:pt>
                <c:pt idx="57">
                  <c:v>3.262054751328328</c:v>
                </c:pt>
                <c:pt idx="58">
                  <c:v>3.3865240735431801</c:v>
                </c:pt>
                <c:pt idx="59">
                  <c:v>2.5906717358668576</c:v>
                </c:pt>
                <c:pt idx="60">
                  <c:v>2.8726710222786376</c:v>
                </c:pt>
                <c:pt idx="61">
                  <c:v>2.6271637247484003</c:v>
                </c:pt>
                <c:pt idx="62">
                  <c:v>2.2719617992897891</c:v>
                </c:pt>
                <c:pt idx="63">
                  <c:v>2.6956888216728796</c:v>
                </c:pt>
                <c:pt idx="64">
                  <c:v>2.4261375055619165</c:v>
                </c:pt>
                <c:pt idx="65">
                  <c:v>0.71502583372024808</c:v>
                </c:pt>
                <c:pt idx="66">
                  <c:v>3.0728254875481973</c:v>
                </c:pt>
                <c:pt idx="67">
                  <c:v>3.3135782084986727</c:v>
                </c:pt>
                <c:pt idx="68">
                  <c:v>7.9624581491430426</c:v>
                </c:pt>
                <c:pt idx="69">
                  <c:v>5.8553564451461062</c:v>
                </c:pt>
                <c:pt idx="70">
                  <c:v>3.735139920877697</c:v>
                </c:pt>
                <c:pt idx="71">
                  <c:v>2.9433006247765472</c:v>
                </c:pt>
                <c:pt idx="72">
                  <c:v>2.8497585708233868</c:v>
                </c:pt>
                <c:pt idx="73">
                  <c:v>2.93441028377099</c:v>
                </c:pt>
                <c:pt idx="74">
                  <c:v>4.4051814219054197</c:v>
                </c:pt>
                <c:pt idx="75">
                  <c:v>4.544563603626214</c:v>
                </c:pt>
                <c:pt idx="76">
                  <c:v>3.6227763443749601</c:v>
                </c:pt>
                <c:pt idx="77">
                  <c:v>3.2572386824702333</c:v>
                </c:pt>
                <c:pt idx="78">
                  <c:v>3.4997993147692448</c:v>
                </c:pt>
                <c:pt idx="79">
                  <c:v>3.3647740240769513</c:v>
                </c:pt>
                <c:pt idx="80">
                  <c:v>3.3958622852910754</c:v>
                </c:pt>
                <c:pt idx="81">
                  <c:v>5.0829418109439084</c:v>
                </c:pt>
                <c:pt idx="82">
                  <c:v>7.3394613759691367</c:v>
                </c:pt>
                <c:pt idx="83">
                  <c:v>5.5637320924076707</c:v>
                </c:pt>
                <c:pt idx="84">
                  <c:v>5.0260372543702783</c:v>
                </c:pt>
                <c:pt idx="85">
                  <c:v>4.8853142545221084</c:v>
                </c:pt>
                <c:pt idx="86">
                  <c:v>3.8576895600673407</c:v>
                </c:pt>
                <c:pt idx="87">
                  <c:v>3.9968187567758791</c:v>
                </c:pt>
                <c:pt idx="88">
                  <c:v>3.2100211068906384</c:v>
                </c:pt>
                <c:pt idx="89">
                  <c:v>3.769222572209816</c:v>
                </c:pt>
                <c:pt idx="90">
                  <c:v>3.6047506408781924</c:v>
                </c:pt>
                <c:pt idx="91">
                  <c:v>3.5978491184015033</c:v>
                </c:pt>
                <c:pt idx="92">
                  <c:v>3.7516102835406659</c:v>
                </c:pt>
                <c:pt idx="93">
                  <c:v>3.4270399055546452</c:v>
                </c:pt>
                <c:pt idx="94">
                  <c:v>3.0510248389161472</c:v>
                </c:pt>
                <c:pt idx="95">
                  <c:v>3.0227508038383553</c:v>
                </c:pt>
                <c:pt idx="96">
                  <c:v>2.1651129458418534</c:v>
                </c:pt>
                <c:pt idx="97">
                  <c:v>3.2783377853366291</c:v>
                </c:pt>
                <c:pt idx="98">
                  <c:v>1.6209622814499864</c:v>
                </c:pt>
                <c:pt idx="99">
                  <c:v>1.5156464521381685</c:v>
                </c:pt>
                <c:pt idx="100">
                  <c:v>2.4143433780119818</c:v>
                </c:pt>
                <c:pt idx="101">
                  <c:v>2.2834514765471638</c:v>
                </c:pt>
                <c:pt idx="102">
                  <c:v>1.7246680965819139</c:v>
                </c:pt>
                <c:pt idx="103">
                  <c:v>2.7602821987658963</c:v>
                </c:pt>
                <c:pt idx="104">
                  <c:v>1.840819685482713</c:v>
                </c:pt>
                <c:pt idx="105">
                  <c:v>0.99862452256265299</c:v>
                </c:pt>
                <c:pt idx="106">
                  <c:v>2.1907923122348509</c:v>
                </c:pt>
                <c:pt idx="107">
                  <c:v>10.020141459742964</c:v>
                </c:pt>
                <c:pt idx="108">
                  <c:v>5.6107469614314178</c:v>
                </c:pt>
                <c:pt idx="109">
                  <c:v>2.9959777669302117</c:v>
                </c:pt>
                <c:pt idx="110">
                  <c:v>12.596527575712813</c:v>
                </c:pt>
                <c:pt idx="111">
                  <c:v>4.8954193594275415</c:v>
                </c:pt>
                <c:pt idx="112">
                  <c:v>11.216688466659662</c:v>
                </c:pt>
                <c:pt idx="113">
                  <c:v>3.4202833463186093</c:v>
                </c:pt>
                <c:pt idx="114">
                  <c:v>4.8426845109538421</c:v>
                </c:pt>
                <c:pt idx="115">
                  <c:v>1.9236174748650112</c:v>
                </c:pt>
                <c:pt idx="116">
                  <c:v>4.027215283433117</c:v>
                </c:pt>
                <c:pt idx="117">
                  <c:v>3.0749701375342609</c:v>
                </c:pt>
                <c:pt idx="118">
                  <c:v>1.4976644899348965</c:v>
                </c:pt>
                <c:pt idx="119">
                  <c:v>2.4775575279399358</c:v>
                </c:pt>
                <c:pt idx="120">
                  <c:v>5.7458565753128683</c:v>
                </c:pt>
                <c:pt idx="121">
                  <c:v>3.8739383885885137</c:v>
                </c:pt>
                <c:pt idx="122">
                  <c:v>2.5842046608090943</c:v>
                </c:pt>
                <c:pt idx="123">
                  <c:v>13.658183488028021</c:v>
                </c:pt>
                <c:pt idx="124">
                  <c:v>7.5378852468695667</c:v>
                </c:pt>
                <c:pt idx="125">
                  <c:v>13.050048965783734</c:v>
                </c:pt>
                <c:pt idx="126">
                  <c:v>-1.4335478779842865</c:v>
                </c:pt>
                <c:pt idx="127">
                  <c:v>3.3885807672028134</c:v>
                </c:pt>
                <c:pt idx="128">
                  <c:v>1.3223216882584463</c:v>
                </c:pt>
                <c:pt idx="129">
                  <c:v>2.1145615731592429</c:v>
                </c:pt>
                <c:pt idx="130">
                  <c:v>1.2721127618858155</c:v>
                </c:pt>
                <c:pt idx="131">
                  <c:v>2.5490108686115294</c:v>
                </c:pt>
                <c:pt idx="132">
                  <c:v>2.5123915231868579</c:v>
                </c:pt>
                <c:pt idx="133">
                  <c:v>8.9781890101376258E-2</c:v>
                </c:pt>
                <c:pt idx="134">
                  <c:v>0.24174863902524402</c:v>
                </c:pt>
                <c:pt idx="135">
                  <c:v>0.7877102773930964</c:v>
                </c:pt>
                <c:pt idx="136">
                  <c:v>0.71318119811899339</c:v>
                </c:pt>
                <c:pt idx="137">
                  <c:v>-2.5382413832174128E-2</c:v>
                </c:pt>
                <c:pt idx="138">
                  <c:v>0.49632971568410789</c:v>
                </c:pt>
                <c:pt idx="139">
                  <c:v>0.25805484523079214</c:v>
                </c:pt>
                <c:pt idx="140">
                  <c:v>10.603017390671091</c:v>
                </c:pt>
                <c:pt idx="141">
                  <c:v>5.7772063648601506</c:v>
                </c:pt>
                <c:pt idx="142">
                  <c:v>10.069364262567149</c:v>
                </c:pt>
                <c:pt idx="143">
                  <c:v>5.019091231419023</c:v>
                </c:pt>
                <c:pt idx="144">
                  <c:v>1.6255070237774691</c:v>
                </c:pt>
                <c:pt idx="145">
                  <c:v>2.2797005271959385</c:v>
                </c:pt>
                <c:pt idx="146">
                  <c:v>3.1945707392758202</c:v>
                </c:pt>
                <c:pt idx="147">
                  <c:v>2.1644827436110825</c:v>
                </c:pt>
                <c:pt idx="148">
                  <c:v>1.4216147573153177</c:v>
                </c:pt>
                <c:pt idx="149">
                  <c:v>2.1097498198182483</c:v>
                </c:pt>
                <c:pt idx="150">
                  <c:v>4.1262230255318721</c:v>
                </c:pt>
                <c:pt idx="151">
                  <c:v>3.2708219488211743</c:v>
                </c:pt>
                <c:pt idx="152">
                  <c:v>2.2071383895221355</c:v>
                </c:pt>
                <c:pt idx="153">
                  <c:v>1.8912392197870322</c:v>
                </c:pt>
                <c:pt idx="154">
                  <c:v>2.0121265817332818</c:v>
                </c:pt>
                <c:pt idx="155">
                  <c:v>0.59027403581301641</c:v>
                </c:pt>
                <c:pt idx="156">
                  <c:v>0.57328955980693963</c:v>
                </c:pt>
                <c:pt idx="157">
                  <c:v>1.599135508255054</c:v>
                </c:pt>
                <c:pt idx="158">
                  <c:v>2.7173515159700194</c:v>
                </c:pt>
                <c:pt idx="159">
                  <c:v>3.0451234960601865</c:v>
                </c:pt>
                <c:pt idx="160">
                  <c:v>2.8383320165013286</c:v>
                </c:pt>
                <c:pt idx="161">
                  <c:v>1.6417132991440389</c:v>
                </c:pt>
                <c:pt idx="162">
                  <c:v>2.5440340068923684</c:v>
                </c:pt>
                <c:pt idx="163">
                  <c:v>2.9168845307069464</c:v>
                </c:pt>
                <c:pt idx="164">
                  <c:v>2.1908777492902711</c:v>
                </c:pt>
                <c:pt idx="165">
                  <c:v>2.2201787439789387</c:v>
                </c:pt>
                <c:pt idx="166">
                  <c:v>1.6679197454923793</c:v>
                </c:pt>
                <c:pt idx="167">
                  <c:v>1.614575444952568</c:v>
                </c:pt>
                <c:pt idx="168">
                  <c:v>0.83509011558671198</c:v>
                </c:pt>
                <c:pt idx="169">
                  <c:v>1.4824019884921</c:v>
                </c:pt>
                <c:pt idx="170">
                  <c:v>1.43886586469102</c:v>
                </c:pt>
                <c:pt idx="171">
                  <c:v>0.86929611423512454</c:v>
                </c:pt>
                <c:pt idx="172">
                  <c:v>0.94094250286651482</c:v>
                </c:pt>
                <c:pt idx="173">
                  <c:v>0.98734849709178452</c:v>
                </c:pt>
                <c:pt idx="174">
                  <c:v>0.82401443740560065</c:v>
                </c:pt>
                <c:pt idx="175">
                  <c:v>0.87153022518247147</c:v>
                </c:pt>
                <c:pt idx="176">
                  <c:v>1.4401575032619756</c:v>
                </c:pt>
                <c:pt idx="177">
                  <c:v>0.93900920442198887</c:v>
                </c:pt>
                <c:pt idx="178">
                  <c:v>2.2716106608346944</c:v>
                </c:pt>
                <c:pt idx="179">
                  <c:v>2.5518740238503983</c:v>
                </c:pt>
                <c:pt idx="180">
                  <c:v>1.649781785378345</c:v>
                </c:pt>
                <c:pt idx="181">
                  <c:v>1.6733230843774431</c:v>
                </c:pt>
                <c:pt idx="182">
                  <c:v>1.0682121443401495</c:v>
                </c:pt>
                <c:pt idx="183">
                  <c:v>1.4645023786392666</c:v>
                </c:pt>
                <c:pt idx="184">
                  <c:v>1.7558977263614051</c:v>
                </c:pt>
                <c:pt idx="185">
                  <c:v>1.8519729432508887</c:v>
                </c:pt>
                <c:pt idx="186">
                  <c:v>0.73502561466923078</c:v>
                </c:pt>
                <c:pt idx="187">
                  <c:v>0.68934897224656211</c:v>
                </c:pt>
                <c:pt idx="188">
                  <c:v>0.45292612813263572</c:v>
                </c:pt>
                <c:pt idx="189">
                  <c:v>3.6690400869726694</c:v>
                </c:pt>
                <c:pt idx="190">
                  <c:v>5.2351225274600051</c:v>
                </c:pt>
                <c:pt idx="191">
                  <c:v>4.222375383418365</c:v>
                </c:pt>
                <c:pt idx="192">
                  <c:v>4.3959234446697932</c:v>
                </c:pt>
                <c:pt idx="193">
                  <c:v>2.8682067783345948</c:v>
                </c:pt>
                <c:pt idx="194">
                  <c:v>3.1274003516286313</c:v>
                </c:pt>
                <c:pt idx="195">
                  <c:v>1.9614732224711571</c:v>
                </c:pt>
                <c:pt idx="196">
                  <c:v>2.2918794795282116</c:v>
                </c:pt>
                <c:pt idx="197">
                  <c:v>3.5654768345116032</c:v>
                </c:pt>
                <c:pt idx="198">
                  <c:v>3.2328141718668402</c:v>
                </c:pt>
                <c:pt idx="199">
                  <c:v>2.1476538750445449</c:v>
                </c:pt>
                <c:pt idx="200">
                  <c:v>1.4171026001705926</c:v>
                </c:pt>
                <c:pt idx="201">
                  <c:v>2.4638874997460078</c:v>
                </c:pt>
                <c:pt idx="202">
                  <c:v>3.1472694435825432</c:v>
                </c:pt>
                <c:pt idx="203">
                  <c:v>2.5326901485759499</c:v>
                </c:pt>
                <c:pt idx="204">
                  <c:v>2.5082424626405966</c:v>
                </c:pt>
                <c:pt idx="205">
                  <c:v>2.5395639079965115</c:v>
                </c:pt>
                <c:pt idx="206">
                  <c:v>0.96163446394567065</c:v>
                </c:pt>
                <c:pt idx="207">
                  <c:v>1.1544691859259757</c:v>
                </c:pt>
                <c:pt idx="208">
                  <c:v>0.46198167347613067</c:v>
                </c:pt>
                <c:pt idx="209">
                  <c:v>0.31497213496184195</c:v>
                </c:pt>
                <c:pt idx="210">
                  <c:v>7.5973945842845086E-2</c:v>
                </c:pt>
                <c:pt idx="211">
                  <c:v>0.17181074311470446</c:v>
                </c:pt>
                <c:pt idx="212">
                  <c:v>0.72388530205985824</c:v>
                </c:pt>
                <c:pt idx="213">
                  <c:v>4.2871612424230241</c:v>
                </c:pt>
                <c:pt idx="214">
                  <c:v>2.7428235463779758</c:v>
                </c:pt>
                <c:pt idx="215">
                  <c:v>1.3132713095446431</c:v>
                </c:pt>
                <c:pt idx="216">
                  <c:v>1.0926477072937877</c:v>
                </c:pt>
                <c:pt idx="217">
                  <c:v>0.73647733821904193</c:v>
                </c:pt>
                <c:pt idx="218">
                  <c:v>0.31822178873128171</c:v>
                </c:pt>
                <c:pt idx="219">
                  <c:v>1.3199341099730224</c:v>
                </c:pt>
                <c:pt idx="220">
                  <c:v>6.6484418886468249E-2</c:v>
                </c:pt>
                <c:pt idx="221">
                  <c:v>0.29763111997321301</c:v>
                </c:pt>
                <c:pt idx="222">
                  <c:v>1.5009064836461052</c:v>
                </c:pt>
                <c:pt idx="223">
                  <c:v>-0.24765373549895719</c:v>
                </c:pt>
                <c:pt idx="224">
                  <c:v>-0.38590681194951854</c:v>
                </c:pt>
                <c:pt idx="225">
                  <c:v>-0.26780089360172216</c:v>
                </c:pt>
                <c:pt idx="226">
                  <c:v>-0.33682480386242103</c:v>
                </c:pt>
                <c:pt idx="227">
                  <c:v>-9.6591983193398373E-2</c:v>
                </c:pt>
                <c:pt idx="228">
                  <c:v>-0.42834722714350876</c:v>
                </c:pt>
                <c:pt idx="229">
                  <c:v>7.7812671739662899E-3</c:v>
                </c:pt>
                <c:pt idx="230">
                  <c:v>-0.12210195118708647</c:v>
                </c:pt>
                <c:pt idx="231">
                  <c:v>-0.26308365102520603</c:v>
                </c:pt>
                <c:pt idx="232">
                  <c:v>-2.1235109764896939E-2</c:v>
                </c:pt>
                <c:pt idx="233">
                  <c:v>0.42139498556446958</c:v>
                </c:pt>
                <c:pt idx="234">
                  <c:v>4.9948460326161102E-3</c:v>
                </c:pt>
                <c:pt idx="235">
                  <c:v>0.15852722788080376</c:v>
                </c:pt>
                <c:pt idx="236">
                  <c:v>-0.31183053356131607</c:v>
                </c:pt>
                <c:pt idx="237">
                  <c:v>-0.29598703218481953</c:v>
                </c:pt>
                <c:pt idx="238">
                  <c:v>-0.3607303378706056</c:v>
                </c:pt>
                <c:pt idx="239">
                  <c:v>-0.4197918178790549</c:v>
                </c:pt>
                <c:pt idx="240">
                  <c:v>-0.35875779534731556</c:v>
                </c:pt>
                <c:pt idx="241">
                  <c:v>-0.58295270391594767</c:v>
                </c:pt>
                <c:pt idx="242">
                  <c:v>-0.38531537562015444</c:v>
                </c:pt>
                <c:pt idx="243">
                  <c:v>-0.38531537562015444</c:v>
                </c:pt>
                <c:pt idx="244">
                  <c:v>-0.33682480386242103</c:v>
                </c:pt>
              </c:numCache>
            </c:numRef>
          </c:val>
          <c:smooth val="0"/>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88895680"/>
        <c:axId val="588896240"/>
      </c:lineChart>
      <c:catAx>
        <c:axId val="58889568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3600000" spcFirstLastPara="1" vertOverflow="ellipsis"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zh-CN"/>
          </a:p>
        </c:txPr>
        <c:crossAx val="588896240"/>
        <c:crosses val="autoZero"/>
        <c:auto val="1"/>
        <c:lblAlgn val="ctr"/>
        <c:lblOffset val="100"/>
        <c:noMultiLvlLbl val="0"/>
      </c:catAx>
      <c:valAx>
        <c:axId val="5888962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zh-CN"/>
          </a:p>
        </c:txPr>
        <c:crossAx val="58889568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zh-CN"/>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分级B场内份额变动——图!$M$6</c:f>
              <c:strCache>
                <c:ptCount val="1"/>
                <c:pt idx="0">
                  <c:v>分级B场内净流量（左轴）</c:v>
                </c:pt>
              </c:strCache>
            </c:strRef>
          </c:tx>
          <c:spPr>
            <a:solidFill>
              <a:schemeClr val="accent1"/>
            </a:solidFill>
            <a:ln>
              <a:noFill/>
            </a:ln>
            <a:effectLst/>
          </c:spPr>
          <c:invertIfNegative val="0"/>
          <c:cat>
            <c:numRef>
              <c:f>分级B场内份额变动——图!$L$7:$L$11</c:f>
              <c:numCache>
                <c:formatCode>m/d/yyyy</c:formatCode>
                <c:ptCount val="5"/>
                <c:pt idx="0">
                  <c:v>42545</c:v>
                </c:pt>
                <c:pt idx="1">
                  <c:v>42552</c:v>
                </c:pt>
                <c:pt idx="2">
                  <c:v>42559</c:v>
                </c:pt>
                <c:pt idx="3">
                  <c:v>42566</c:v>
                </c:pt>
                <c:pt idx="4">
                  <c:v>42573</c:v>
                </c:pt>
              </c:numCache>
            </c:numRef>
          </c:cat>
          <c:val>
            <c:numRef>
              <c:f>分级B场内份额变动——图!$M$7:$M$11</c:f>
              <c:numCache>
                <c:formatCode>0.0000</c:formatCode>
                <c:ptCount val="5"/>
                <c:pt idx="0">
                  <c:v>0.30381639999999999</c:v>
                </c:pt>
                <c:pt idx="1">
                  <c:v>8.3402857600000004</c:v>
                </c:pt>
                <c:pt idx="2">
                  <c:v>22.814328159999999</c:v>
                </c:pt>
                <c:pt idx="3">
                  <c:v>34.832678080000001</c:v>
                </c:pt>
                <c:pt idx="4">
                  <c:v>18.23435701</c:v>
                </c:pt>
              </c:numCache>
            </c:numRef>
          </c:val>
        </c:ser>
        <c:dLbls>
          <c:showLegendKey val="0"/>
          <c:showVal val="0"/>
          <c:showCatName val="0"/>
          <c:showSerName val="0"/>
          <c:showPercent val="0"/>
          <c:showBubbleSize val="0"/>
        </c:dLbls>
        <c:gapWidth val="150"/>
        <c:axId val="589770688"/>
        <c:axId val="589771248"/>
      </c:barChart>
      <c:lineChart>
        <c:grouping val="stacked"/>
        <c:varyColors val="0"/>
        <c:ser>
          <c:idx val="1"/>
          <c:order val="1"/>
          <c:tx>
            <c:strRef>
              <c:f>分级B场内份额变动——图!$N$6</c:f>
              <c:strCache>
                <c:ptCount val="1"/>
                <c:pt idx="0">
                  <c:v>中证全指（右轴）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分级B场内份额变动——图!$L$7:$L$11</c:f>
              <c:numCache>
                <c:formatCode>m/d/yyyy</c:formatCode>
                <c:ptCount val="5"/>
                <c:pt idx="0">
                  <c:v>42545</c:v>
                </c:pt>
                <c:pt idx="1">
                  <c:v>42552</c:v>
                </c:pt>
                <c:pt idx="2">
                  <c:v>42559</c:v>
                </c:pt>
                <c:pt idx="3">
                  <c:v>42566</c:v>
                </c:pt>
                <c:pt idx="4">
                  <c:v>42573</c:v>
                </c:pt>
              </c:numCache>
            </c:numRef>
          </c:cat>
          <c:val>
            <c:numRef>
              <c:f>分级B场内份额变动——图!$N$7:$N$11</c:f>
              <c:numCache>
                <c:formatCode>###,###,##0.0000</c:formatCode>
                <c:ptCount val="5"/>
                <c:pt idx="0">
                  <c:v>4505.9552999999996</c:v>
                </c:pt>
                <c:pt idx="1">
                  <c:v>4644.6108999999997</c:v>
                </c:pt>
                <c:pt idx="2">
                  <c:v>4741.7502999999997</c:v>
                </c:pt>
                <c:pt idx="3">
                  <c:v>4824.8527999999997</c:v>
                </c:pt>
                <c:pt idx="4">
                  <c:v>4775.4994999999999</c:v>
                </c:pt>
              </c:numCache>
            </c:numRef>
          </c:val>
          <c:smooth val="0"/>
        </c:ser>
        <c:dLbls>
          <c:showLegendKey val="0"/>
          <c:showVal val="0"/>
          <c:showCatName val="0"/>
          <c:showSerName val="0"/>
          <c:showPercent val="0"/>
          <c:showBubbleSize val="0"/>
        </c:dLbls>
        <c:marker val="1"/>
        <c:smooth val="0"/>
        <c:axId val="589772368"/>
        <c:axId val="589771808"/>
      </c:lineChart>
      <c:catAx>
        <c:axId val="589770688"/>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89771248"/>
        <c:crosses val="autoZero"/>
        <c:auto val="0"/>
        <c:lblAlgn val="ctr"/>
        <c:lblOffset val="100"/>
        <c:noMultiLvlLbl val="0"/>
      </c:catAx>
      <c:valAx>
        <c:axId val="589771248"/>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89770688"/>
        <c:crosses val="autoZero"/>
        <c:crossBetween val="between"/>
      </c:valAx>
      <c:valAx>
        <c:axId val="589771808"/>
        <c:scaling>
          <c:orientation val="minMax"/>
        </c:scaling>
        <c:delete val="0"/>
        <c:axPos val="r"/>
        <c:numFmt formatCode="#,##0_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89772368"/>
        <c:crosses val="max"/>
        <c:crossBetween val="between"/>
      </c:valAx>
      <c:dateAx>
        <c:axId val="589772368"/>
        <c:scaling>
          <c:orientation val="minMax"/>
        </c:scaling>
        <c:delete val="1"/>
        <c:axPos val="b"/>
        <c:numFmt formatCode="m/d/yyyy" sourceLinked="1"/>
        <c:majorTickMark val="out"/>
        <c:minorTickMark val="none"/>
        <c:tickLblPos val="nextTo"/>
        <c:crossAx val="589771808"/>
        <c:crosses val="autoZero"/>
        <c:auto val="1"/>
        <c:lblOffset val="100"/>
        <c:baseTimeUnit val="day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代表指数涨跌!$C$4</c:f>
              <c:strCache>
                <c:ptCount val="1"/>
                <c:pt idx="0">
                  <c:v>周涨跌幅</c:v>
                </c:pt>
              </c:strCache>
            </c:strRef>
          </c:tx>
          <c:spPr>
            <a:solidFill>
              <a:schemeClr val="accent1"/>
            </a:solidFill>
            <a:ln>
              <a:noFill/>
            </a:ln>
            <a:effectLst/>
          </c:spPr>
          <c:invertIfNegative val="0"/>
          <c:cat>
            <c:strRef>
              <c:f>代表指数涨跌!$B$5:$B$67</c:f>
              <c:strCache>
                <c:ptCount val="63"/>
                <c:pt idx="0">
                  <c:v>恒生指数</c:v>
                </c:pt>
                <c:pt idx="1">
                  <c:v>国证生物医药</c:v>
                </c:pt>
                <c:pt idx="2">
                  <c:v>中证体育产业指数</c:v>
                </c:pt>
                <c:pt idx="3">
                  <c:v>中证TMT产业主题指数</c:v>
                </c:pt>
                <c:pt idx="4">
                  <c:v>中证移动互联网指数</c:v>
                </c:pt>
                <c:pt idx="5">
                  <c:v>中证万得生物科技指数</c:v>
                </c:pt>
                <c:pt idx="6">
                  <c:v>深证TMT50P</c:v>
                </c:pt>
                <c:pt idx="7">
                  <c:v>中证智能家居指数</c:v>
                </c:pt>
                <c:pt idx="8">
                  <c:v>中证申万电子行业投资指数</c:v>
                </c:pt>
                <c:pt idx="9">
                  <c:v>中证信息技术指数</c:v>
                </c:pt>
                <c:pt idx="10">
                  <c:v>中证工业4.0指数</c:v>
                </c:pt>
                <c:pt idx="11">
                  <c:v>中证信息安全主题指数</c:v>
                </c:pt>
                <c:pt idx="12">
                  <c:v>中证传媒指数</c:v>
                </c:pt>
                <c:pt idx="13">
                  <c:v>中证互联网指数</c:v>
                </c:pt>
                <c:pt idx="14">
                  <c:v>中证申万传媒行业投资指数</c:v>
                </c:pt>
                <c:pt idx="15">
                  <c:v>新丝路指数</c:v>
                </c:pt>
                <c:pt idx="16">
                  <c:v>恒生中国企业指数</c:v>
                </c:pt>
                <c:pt idx="17">
                  <c:v>中证1000指数</c:v>
                </c:pt>
                <c:pt idx="18">
                  <c:v>创业板指数P</c:v>
                </c:pt>
                <c:pt idx="19">
                  <c:v>中证煤炭等权指数</c:v>
                </c:pt>
                <c:pt idx="20">
                  <c:v>创业板50指数</c:v>
                </c:pt>
                <c:pt idx="21">
                  <c:v>深证100等权重指数</c:v>
                </c:pt>
                <c:pt idx="22">
                  <c:v>中证养老产业指数</c:v>
                </c:pt>
                <c:pt idx="23">
                  <c:v>国证新能源指数</c:v>
                </c:pt>
                <c:pt idx="24">
                  <c:v>中证500等权重指数</c:v>
                </c:pt>
                <c:pt idx="25">
                  <c:v>深证成份指数(价格)</c:v>
                </c:pt>
                <c:pt idx="26">
                  <c:v>中小板300P</c:v>
                </c:pt>
                <c:pt idx="27">
                  <c:v>深证300指数(价格)</c:v>
                </c:pt>
                <c:pt idx="28">
                  <c:v>中证中盘200指数</c:v>
                </c:pt>
                <c:pt idx="29">
                  <c:v>中证锐联基本面400指数</c:v>
                </c:pt>
                <c:pt idx="30">
                  <c:v>中证800等权重指数</c:v>
                </c:pt>
                <c:pt idx="31">
                  <c:v>中证800金融指数</c:v>
                </c:pt>
                <c:pt idx="32">
                  <c:v>国证钢铁行业</c:v>
                </c:pt>
                <c:pt idx="33">
                  <c:v>中证金融地产指数</c:v>
                </c:pt>
                <c:pt idx="34">
                  <c:v>中证健康产业指数</c:v>
                </c:pt>
                <c:pt idx="35">
                  <c:v>中证国防指数</c:v>
                </c:pt>
                <c:pt idx="36">
                  <c:v>沪深300成长指数</c:v>
                </c:pt>
                <c:pt idx="37">
                  <c:v>中证方正富邦保险主题指数</c:v>
                </c:pt>
                <c:pt idx="38">
                  <c:v>中证军工指数</c:v>
                </c:pt>
                <c:pt idx="39">
                  <c:v>中证申万医药生物指数</c:v>
                </c:pt>
                <c:pt idx="40">
                  <c:v>中证800地产指数</c:v>
                </c:pt>
                <c:pt idx="41">
                  <c:v>中证国有企业改革指数</c:v>
                </c:pt>
                <c:pt idx="42">
                  <c:v>央视财经50指数</c:v>
                </c:pt>
                <c:pt idx="43">
                  <c:v>中证万得并购重组指数</c:v>
                </c:pt>
                <c:pt idx="44">
                  <c:v>中证800制药与生物科技指数</c:v>
                </c:pt>
                <c:pt idx="45">
                  <c:v>沪深300高贝塔指数</c:v>
                </c:pt>
                <c:pt idx="46">
                  <c:v>中证中航军工主题指数</c:v>
                </c:pt>
                <c:pt idx="47">
                  <c:v>国证医药指数</c:v>
                </c:pt>
                <c:pt idx="48">
                  <c:v>中证煤炭指数</c:v>
                </c:pt>
                <c:pt idx="49">
                  <c:v>沪深300地产等权重指数</c:v>
                </c:pt>
                <c:pt idx="50">
                  <c:v>中证等权重90指数</c:v>
                </c:pt>
                <c:pt idx="51">
                  <c:v>中证申万一带一路主题投资指数</c:v>
                </c:pt>
                <c:pt idx="52">
                  <c:v>国证地产指数</c:v>
                </c:pt>
                <c:pt idx="53">
                  <c:v>中证申万证券行业指数</c:v>
                </c:pt>
                <c:pt idx="54">
                  <c:v>中证大宗商品股票指数</c:v>
                </c:pt>
                <c:pt idx="55">
                  <c:v>中证新能源汽车指数</c:v>
                </c:pt>
                <c:pt idx="56">
                  <c:v>中证A股资源产业指数</c:v>
                </c:pt>
                <c:pt idx="57">
                  <c:v>中证内地资源主题指数</c:v>
                </c:pt>
                <c:pt idx="58">
                  <c:v>中证800有色金属指数</c:v>
                </c:pt>
                <c:pt idx="59">
                  <c:v>国证食品指数</c:v>
                </c:pt>
                <c:pt idx="60">
                  <c:v>中证酒指数</c:v>
                </c:pt>
                <c:pt idx="61">
                  <c:v>国证有色指数</c:v>
                </c:pt>
                <c:pt idx="62">
                  <c:v>中证白酒指数</c:v>
                </c:pt>
              </c:strCache>
            </c:strRef>
          </c:cat>
          <c:val>
            <c:numRef>
              <c:f>代表指数涨跌!$C$5:$C$67</c:f>
              <c:numCache>
                <c:formatCode>###,###,##0.0000</c:formatCode>
                <c:ptCount val="63"/>
                <c:pt idx="0">
                  <c:v>1.4082666759005935</c:v>
                </c:pt>
                <c:pt idx="1">
                  <c:v>1.3228846876002232</c:v>
                </c:pt>
                <c:pt idx="2">
                  <c:v>1.0463598304121913</c:v>
                </c:pt>
                <c:pt idx="3">
                  <c:v>0.9109391541799905</c:v>
                </c:pt>
                <c:pt idx="4">
                  <c:v>0.75612443026080722</c:v>
                </c:pt>
                <c:pt idx="5">
                  <c:v>0.73317343676713165</c:v>
                </c:pt>
                <c:pt idx="6">
                  <c:v>0.68432094465726845</c:v>
                </c:pt>
                <c:pt idx="7">
                  <c:v>0.40114688311585489</c:v>
                </c:pt>
                <c:pt idx="8">
                  <c:v>0.39197399275208156</c:v>
                </c:pt>
                <c:pt idx="9">
                  <c:v>0.37513064475438451</c:v>
                </c:pt>
                <c:pt idx="10">
                  <c:v>0.19725750034984557</c:v>
                </c:pt>
                <c:pt idx="11">
                  <c:v>0.17495520086523442</c:v>
                </c:pt>
                <c:pt idx="12">
                  <c:v>9.9937207955824725E-2</c:v>
                </c:pt>
                <c:pt idx="13">
                  <c:v>-9.4874620470863924E-3</c:v>
                </c:pt>
                <c:pt idx="14">
                  <c:v>-0.13715096552420203</c:v>
                </c:pt>
                <c:pt idx="15">
                  <c:v>-0.16639395982493976</c:v>
                </c:pt>
                <c:pt idx="16">
                  <c:v>-0.195918962701358</c:v>
                </c:pt>
                <c:pt idx="17">
                  <c:v>-0.56685347783064222</c:v>
                </c:pt>
                <c:pt idx="18">
                  <c:v>-0.60893618825825779</c:v>
                </c:pt>
                <c:pt idx="19">
                  <c:v>-0.61601543772750178</c:v>
                </c:pt>
                <c:pt idx="20">
                  <c:v>-0.77261624668724105</c:v>
                </c:pt>
                <c:pt idx="21">
                  <c:v>-0.838325584067523</c:v>
                </c:pt>
                <c:pt idx="22">
                  <c:v>-0.87963039669847198</c:v>
                </c:pt>
                <c:pt idx="23">
                  <c:v>-0.90350855569667488</c:v>
                </c:pt>
                <c:pt idx="24">
                  <c:v>-0.90727235225437353</c:v>
                </c:pt>
                <c:pt idx="25">
                  <c:v>-1.0546497556086498</c:v>
                </c:pt>
                <c:pt idx="26">
                  <c:v>-1.0732628928196708</c:v>
                </c:pt>
                <c:pt idx="27">
                  <c:v>-1.0791841418141046</c:v>
                </c:pt>
                <c:pt idx="28">
                  <c:v>-1.1016365976527664</c:v>
                </c:pt>
                <c:pt idx="29">
                  <c:v>-1.1072557259081628</c:v>
                </c:pt>
                <c:pt idx="30">
                  <c:v>-1.1156120092853383</c:v>
                </c:pt>
                <c:pt idx="31">
                  <c:v>-1.2050767077876889</c:v>
                </c:pt>
                <c:pt idx="32">
                  <c:v>-1.2136155359856571</c:v>
                </c:pt>
                <c:pt idx="33">
                  <c:v>-1.3095534714566259</c:v>
                </c:pt>
                <c:pt idx="34">
                  <c:v>-1.315849530888813</c:v>
                </c:pt>
                <c:pt idx="35">
                  <c:v>-1.3313792283063508</c:v>
                </c:pt>
                <c:pt idx="36">
                  <c:v>-1.339183345192585</c:v>
                </c:pt>
                <c:pt idx="37">
                  <c:v>-1.4259411275775014</c:v>
                </c:pt>
                <c:pt idx="38">
                  <c:v>-1.4996646266523972</c:v>
                </c:pt>
                <c:pt idx="39">
                  <c:v>-1.5223718211133108</c:v>
                </c:pt>
                <c:pt idx="40">
                  <c:v>-1.6705407099490643</c:v>
                </c:pt>
                <c:pt idx="41">
                  <c:v>-1.6918285273508027</c:v>
                </c:pt>
                <c:pt idx="42">
                  <c:v>-1.7025137548049019</c:v>
                </c:pt>
                <c:pt idx="43">
                  <c:v>-1.7031367607079462</c:v>
                </c:pt>
                <c:pt idx="44">
                  <c:v>-1.7178152869591456</c:v>
                </c:pt>
                <c:pt idx="45">
                  <c:v>-1.7212493605888501</c:v>
                </c:pt>
                <c:pt idx="46">
                  <c:v>-1.7498857442781235</c:v>
                </c:pt>
                <c:pt idx="47">
                  <c:v>-1.8207458963017786</c:v>
                </c:pt>
                <c:pt idx="48">
                  <c:v>-1.8912381853395721</c:v>
                </c:pt>
                <c:pt idx="49">
                  <c:v>-1.9314771122922347</c:v>
                </c:pt>
                <c:pt idx="50">
                  <c:v>-1.9367879423624945</c:v>
                </c:pt>
                <c:pt idx="51">
                  <c:v>-2.0397163277719899</c:v>
                </c:pt>
                <c:pt idx="52">
                  <c:v>-2.070953186198865</c:v>
                </c:pt>
                <c:pt idx="53">
                  <c:v>-2.0936885210787293</c:v>
                </c:pt>
                <c:pt idx="54">
                  <c:v>-2.6705732946036065</c:v>
                </c:pt>
                <c:pt idx="55">
                  <c:v>-3.2647789770089974</c:v>
                </c:pt>
                <c:pt idx="56">
                  <c:v>-3.2733929887402091</c:v>
                </c:pt>
                <c:pt idx="57">
                  <c:v>-3.4616796593355259</c:v>
                </c:pt>
                <c:pt idx="58">
                  <c:v>-3.8221153903900795</c:v>
                </c:pt>
                <c:pt idx="59">
                  <c:v>-3.8651207804122567</c:v>
                </c:pt>
                <c:pt idx="60">
                  <c:v>-4.0057679217131543</c:v>
                </c:pt>
                <c:pt idx="61">
                  <c:v>-4.2821787594243377</c:v>
                </c:pt>
                <c:pt idx="62">
                  <c:v>-5.8422163514628034</c:v>
                </c:pt>
              </c:numCache>
            </c:numRef>
          </c:val>
        </c:ser>
        <c:dLbls>
          <c:showLegendKey val="0"/>
          <c:showVal val="0"/>
          <c:showCatName val="0"/>
          <c:showSerName val="0"/>
          <c:showPercent val="0"/>
          <c:showBubbleSize val="0"/>
        </c:dLbls>
        <c:gapWidth val="219"/>
        <c:overlap val="-27"/>
        <c:axId val="589990320"/>
        <c:axId val="589990880"/>
      </c:barChart>
      <c:catAx>
        <c:axId val="5899903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89990880"/>
        <c:crosses val="autoZero"/>
        <c:auto val="1"/>
        <c:lblAlgn val="ctr"/>
        <c:lblOffset val="100"/>
        <c:noMultiLvlLbl val="0"/>
      </c:catAx>
      <c:valAx>
        <c:axId val="589990880"/>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89990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14145514734658"/>
          <c:y val="7.0899129874315181E-2"/>
          <c:w val="0.84531358256296096"/>
          <c:h val="0.55310913238648907"/>
        </c:manualLayout>
      </c:layout>
      <c:lineChart>
        <c:grouping val="standard"/>
        <c:varyColors val="0"/>
        <c:ser>
          <c:idx val="0"/>
          <c:order val="0"/>
          <c:tx>
            <c:strRef>
              <c:f>各利差分级A——图!$B$2</c:f>
              <c:strCache>
                <c:ptCount val="1"/>
                <c:pt idx="0">
                  <c:v>利差为3.0%-3.2%分级A</c:v>
                </c:pt>
              </c:strCache>
            </c:strRef>
          </c:tx>
          <c:spPr>
            <a:ln w="28575" cap="rnd">
              <a:solidFill>
                <a:schemeClr val="accent1"/>
              </a:solidFill>
              <a:round/>
            </a:ln>
            <a:effectLst/>
          </c:spPr>
          <c:marker>
            <c:symbol val="x"/>
            <c:size val="8"/>
            <c:spPr>
              <a:noFill/>
              <a:ln w="9525">
                <a:solidFill>
                  <a:schemeClr val="accent1"/>
                </a:solidFill>
              </a:ln>
              <a:effectLst/>
            </c:spPr>
          </c:marker>
          <c:cat>
            <c:numRef>
              <c:f>各利差分级A——图!$C$1:$G$1</c:f>
              <c:numCache>
                <c:formatCode>yyyy\-m\-d</c:formatCode>
                <c:ptCount val="5"/>
                <c:pt idx="0">
                  <c:v>42569</c:v>
                </c:pt>
                <c:pt idx="1">
                  <c:v>42570</c:v>
                </c:pt>
                <c:pt idx="2">
                  <c:v>42571</c:v>
                </c:pt>
                <c:pt idx="3">
                  <c:v>42572</c:v>
                </c:pt>
                <c:pt idx="4">
                  <c:v>42573</c:v>
                </c:pt>
              </c:numCache>
            </c:numRef>
          </c:cat>
          <c:val>
            <c:numRef>
              <c:f>各利差分级A——图!$C$2:$G$2</c:f>
              <c:numCache>
                <c:formatCode>General</c:formatCode>
                <c:ptCount val="5"/>
                <c:pt idx="0">
                  <c:v>0.22043340366549743</c:v>
                </c:pt>
                <c:pt idx="1">
                  <c:v>0.27808996764388744</c:v>
                </c:pt>
                <c:pt idx="2">
                  <c:v>0.37673340098573699</c:v>
                </c:pt>
                <c:pt idx="3">
                  <c:v>0.62545961668634542</c:v>
                </c:pt>
                <c:pt idx="4">
                  <c:v>0.6386701644942705</c:v>
                </c:pt>
              </c:numCache>
            </c:numRef>
          </c:val>
          <c:smooth val="0"/>
        </c:ser>
        <c:ser>
          <c:idx val="1"/>
          <c:order val="1"/>
          <c:tx>
            <c:strRef>
              <c:f>各利差分级A——图!$B$3</c:f>
              <c:strCache>
                <c:ptCount val="1"/>
                <c:pt idx="0">
                  <c:v>利差为3.5%分级A</c:v>
                </c:pt>
              </c:strCache>
            </c:strRef>
          </c:tx>
          <c:spPr>
            <a:ln w="28575" cap="rnd">
              <a:solidFill>
                <a:schemeClr val="accent2"/>
              </a:solidFill>
              <a:round/>
              <a:headEnd type="none" w="med" len="med"/>
              <a:tailEnd w="lg" len="lg"/>
            </a:ln>
            <a:effectLst/>
          </c:spPr>
          <c:marker>
            <c:symbol val="square"/>
            <c:size val="8"/>
            <c:spPr>
              <a:solidFill>
                <a:schemeClr val="accent2"/>
              </a:solidFill>
              <a:ln w="9525" cap="rnd">
                <a:solidFill>
                  <a:schemeClr val="accent2"/>
                </a:solidFill>
                <a:bevel/>
              </a:ln>
              <a:effectLst/>
            </c:spPr>
          </c:marker>
          <c:dPt>
            <c:idx val="2"/>
            <c:marker>
              <c:symbol val="square"/>
              <c:size val="8"/>
              <c:spPr>
                <a:solidFill>
                  <a:schemeClr val="accent2"/>
                </a:solidFill>
                <a:ln w="9525" cap="rnd">
                  <a:solidFill>
                    <a:schemeClr val="accent2"/>
                  </a:solidFill>
                  <a:bevel/>
                </a:ln>
                <a:effectLst/>
              </c:spPr>
            </c:marker>
            <c:bubble3D val="0"/>
            <c:spPr>
              <a:ln w="28575" cap="sq">
                <a:solidFill>
                  <a:schemeClr val="accent2"/>
                </a:solidFill>
                <a:miter lim="800000"/>
                <a:headEnd type="diamond" w="med" len="med"/>
                <a:tailEnd w="lg" len="lg"/>
              </a:ln>
              <a:effectLst/>
            </c:spPr>
          </c:dPt>
          <c:cat>
            <c:numRef>
              <c:f>各利差分级A——图!$C$1:$G$1</c:f>
              <c:numCache>
                <c:formatCode>yyyy\-m\-d</c:formatCode>
                <c:ptCount val="5"/>
                <c:pt idx="0">
                  <c:v>42569</c:v>
                </c:pt>
                <c:pt idx="1">
                  <c:v>42570</c:v>
                </c:pt>
                <c:pt idx="2">
                  <c:v>42571</c:v>
                </c:pt>
                <c:pt idx="3">
                  <c:v>42572</c:v>
                </c:pt>
                <c:pt idx="4">
                  <c:v>42573</c:v>
                </c:pt>
              </c:numCache>
            </c:numRef>
          </c:cat>
          <c:val>
            <c:numRef>
              <c:f>各利差分级A——图!$C$3:$G$3</c:f>
              <c:numCache>
                <c:formatCode>General</c:formatCode>
                <c:ptCount val="5"/>
                <c:pt idx="0">
                  <c:v>-1.5710761364356771E-2</c:v>
                </c:pt>
                <c:pt idx="1">
                  <c:v>-3.8867974832738739E-2</c:v>
                </c:pt>
                <c:pt idx="2">
                  <c:v>0.35042965278174493</c:v>
                </c:pt>
                <c:pt idx="3">
                  <c:v>0.84168491152184655</c:v>
                </c:pt>
                <c:pt idx="4">
                  <c:v>0.87756483566824273</c:v>
                </c:pt>
              </c:numCache>
            </c:numRef>
          </c:val>
          <c:smooth val="0"/>
        </c:ser>
        <c:ser>
          <c:idx val="2"/>
          <c:order val="2"/>
          <c:tx>
            <c:strRef>
              <c:f>各利差分级A——图!$B$4</c:f>
              <c:strCache>
                <c:ptCount val="1"/>
                <c:pt idx="0">
                  <c:v>利差为4.0%分级A</c:v>
                </c:pt>
              </c:strCache>
            </c:strRef>
          </c:tx>
          <c:spPr>
            <a:ln w="28575" cap="rnd">
              <a:solidFill>
                <a:schemeClr val="accent3"/>
              </a:solidFill>
              <a:round/>
            </a:ln>
            <a:effectLst/>
          </c:spPr>
          <c:marker>
            <c:symbol val="triangle"/>
            <c:size val="8"/>
            <c:spPr>
              <a:solidFill>
                <a:schemeClr val="accent3"/>
              </a:solidFill>
              <a:ln w="9525">
                <a:solidFill>
                  <a:schemeClr val="accent3"/>
                </a:solidFill>
              </a:ln>
              <a:effectLst/>
            </c:spPr>
          </c:marker>
          <c:cat>
            <c:numRef>
              <c:f>各利差分级A——图!$C$1:$G$1</c:f>
              <c:numCache>
                <c:formatCode>yyyy\-m\-d</c:formatCode>
                <c:ptCount val="5"/>
                <c:pt idx="0">
                  <c:v>42569</c:v>
                </c:pt>
                <c:pt idx="1">
                  <c:v>42570</c:v>
                </c:pt>
                <c:pt idx="2">
                  <c:v>42571</c:v>
                </c:pt>
                <c:pt idx="3">
                  <c:v>42572</c:v>
                </c:pt>
                <c:pt idx="4">
                  <c:v>42573</c:v>
                </c:pt>
              </c:numCache>
            </c:numRef>
          </c:cat>
          <c:val>
            <c:numRef>
              <c:f>各利差分级A——图!$C$4:$G$4</c:f>
              <c:numCache>
                <c:formatCode>General</c:formatCode>
                <c:ptCount val="5"/>
                <c:pt idx="0">
                  <c:v>0.17990078761667622</c:v>
                </c:pt>
                <c:pt idx="1">
                  <c:v>0.35173774620440923</c:v>
                </c:pt>
                <c:pt idx="2">
                  <c:v>0.84524273834273966</c:v>
                </c:pt>
                <c:pt idx="3">
                  <c:v>1.321528784751298</c:v>
                </c:pt>
                <c:pt idx="4">
                  <c:v>1.6386452190414003</c:v>
                </c:pt>
              </c:numCache>
            </c:numRef>
          </c:val>
          <c:smooth val="0"/>
        </c:ser>
        <c:ser>
          <c:idx val="3"/>
          <c:order val="3"/>
          <c:tx>
            <c:strRef>
              <c:f>各利差分级A——图!$B$5</c:f>
              <c:strCache>
                <c:ptCount val="1"/>
                <c:pt idx="0">
                  <c:v>利差为4.5%-5.0%分级A</c:v>
                </c:pt>
              </c:strCache>
            </c:strRef>
          </c:tx>
          <c:spPr>
            <a:ln w="28575" cap="rnd">
              <a:solidFill>
                <a:schemeClr val="accent4"/>
              </a:solidFill>
              <a:round/>
            </a:ln>
            <a:effectLst/>
          </c:spPr>
          <c:marker>
            <c:symbol val="diamond"/>
            <c:size val="8"/>
            <c:spPr>
              <a:solidFill>
                <a:schemeClr val="accent4"/>
              </a:solidFill>
              <a:ln w="9525">
                <a:solidFill>
                  <a:schemeClr val="accent4"/>
                </a:solidFill>
              </a:ln>
              <a:effectLst/>
            </c:spPr>
          </c:marker>
          <c:cat>
            <c:numRef>
              <c:f>各利差分级A——图!$C$1:$G$1</c:f>
              <c:numCache>
                <c:formatCode>yyyy\-m\-d</c:formatCode>
                <c:ptCount val="5"/>
                <c:pt idx="0">
                  <c:v>42569</c:v>
                </c:pt>
                <c:pt idx="1">
                  <c:v>42570</c:v>
                </c:pt>
                <c:pt idx="2">
                  <c:v>42571</c:v>
                </c:pt>
                <c:pt idx="3">
                  <c:v>42572</c:v>
                </c:pt>
                <c:pt idx="4">
                  <c:v>42573</c:v>
                </c:pt>
              </c:numCache>
            </c:numRef>
          </c:cat>
          <c:val>
            <c:numRef>
              <c:f>各利差分级A——图!$C$5:$G$5</c:f>
              <c:numCache>
                <c:formatCode>General</c:formatCode>
                <c:ptCount val="5"/>
                <c:pt idx="0">
                  <c:v>-0.14291428659532332</c:v>
                </c:pt>
                <c:pt idx="1">
                  <c:v>-0.20299647913115701</c:v>
                </c:pt>
                <c:pt idx="2">
                  <c:v>0.17356465122624484</c:v>
                </c:pt>
                <c:pt idx="3">
                  <c:v>0.51739656371026976</c:v>
                </c:pt>
                <c:pt idx="4">
                  <c:v>0.68678793725305409</c:v>
                </c:pt>
              </c:numCache>
            </c:numRef>
          </c:val>
          <c:smooth val="0"/>
        </c:ser>
        <c:dLbls>
          <c:showLegendKey val="0"/>
          <c:showVal val="0"/>
          <c:showCatName val="0"/>
          <c:showSerName val="0"/>
          <c:showPercent val="0"/>
          <c:showBubbleSize val="0"/>
        </c:dLbls>
        <c:marker val="1"/>
        <c:smooth val="0"/>
        <c:axId val="590582960"/>
        <c:axId val="590583520"/>
      </c:lineChart>
      <c:dateAx>
        <c:axId val="590582960"/>
        <c:scaling>
          <c:orientation val="minMax"/>
        </c:scaling>
        <c:delete val="0"/>
        <c:axPos val="b"/>
        <c:numFmt formatCode="yyyy\-m\-d"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90583520"/>
        <c:crosses val="autoZero"/>
        <c:auto val="1"/>
        <c:lblOffset val="100"/>
        <c:baseTimeUnit val="days"/>
      </c:dateAx>
      <c:valAx>
        <c:axId val="590583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9058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2"/>
          <c:order val="2"/>
          <c:tx>
            <c:strRef>
              <c:f>隐含收益率与十年期企业债走势!$B$4</c:f>
              <c:strCache>
                <c:ptCount val="1"/>
                <c:pt idx="0">
                  <c:v>利差</c:v>
                </c:pt>
              </c:strCache>
            </c:strRef>
          </c:tx>
          <c:spPr>
            <a:solidFill>
              <a:schemeClr val="accent6"/>
            </a:solidFill>
            <a:ln>
              <a:noFill/>
            </a:ln>
            <a:effectLst/>
          </c:spPr>
          <c:cat>
            <c:numRef>
              <c:f>隐含收益率与十年期企业债走势!$C$1:$L$1</c:f>
              <c:numCache>
                <c:formatCode>yyyy\-mm\-dd</c:formatCode>
                <c:ptCount val="10"/>
                <c:pt idx="0">
                  <c:v>42496</c:v>
                </c:pt>
                <c:pt idx="1">
                  <c:v>42503</c:v>
                </c:pt>
                <c:pt idx="2">
                  <c:v>42510</c:v>
                </c:pt>
                <c:pt idx="3">
                  <c:v>42517</c:v>
                </c:pt>
                <c:pt idx="4">
                  <c:v>42524</c:v>
                </c:pt>
                <c:pt idx="5">
                  <c:v>42529</c:v>
                </c:pt>
                <c:pt idx="6">
                  <c:v>42538</c:v>
                </c:pt>
                <c:pt idx="7">
                  <c:v>42545</c:v>
                </c:pt>
                <c:pt idx="8">
                  <c:v>42552</c:v>
                </c:pt>
                <c:pt idx="9" formatCode="m/d/yyyy">
                  <c:v>42559</c:v>
                </c:pt>
              </c:numCache>
            </c:numRef>
          </c:cat>
          <c:val>
            <c:numRef>
              <c:f>隐含收益率与十年期企业债走势!$C$4:$N$4</c:f>
              <c:numCache>
                <c:formatCode>0.000000000000000_ </c:formatCode>
                <c:ptCount val="12"/>
                <c:pt idx="0">
                  <c:v>0.22426109251452164</c:v>
                </c:pt>
                <c:pt idx="1">
                  <c:v>0.36701002234344315</c:v>
                </c:pt>
                <c:pt idx="2">
                  <c:v>0.30948268687716762</c:v>
                </c:pt>
                <c:pt idx="3">
                  <c:v>0.33154861017741233</c:v>
                </c:pt>
                <c:pt idx="4">
                  <c:v>0.31376088725935602</c:v>
                </c:pt>
                <c:pt idx="5">
                  <c:v>0.31037018634571201</c:v>
                </c:pt>
                <c:pt idx="6">
                  <c:v>0.40870250663596952</c:v>
                </c:pt>
                <c:pt idx="7">
                  <c:v>0.39731867046120062</c:v>
                </c:pt>
                <c:pt idx="8">
                  <c:v>0.41339106846926921</c:v>
                </c:pt>
                <c:pt idx="9">
                  <c:v>0.56699999999999928</c:v>
                </c:pt>
                <c:pt idx="10">
                  <c:v>0.56949798058951817</c:v>
                </c:pt>
                <c:pt idx="11">
                  <c:v>0.70881510904139944</c:v>
                </c:pt>
              </c:numCache>
            </c:numRef>
          </c:val>
        </c:ser>
        <c:dLbls>
          <c:showLegendKey val="0"/>
          <c:showVal val="0"/>
          <c:showCatName val="0"/>
          <c:showSerName val="0"/>
          <c:showPercent val="0"/>
          <c:showBubbleSize val="0"/>
        </c:dLbls>
        <c:axId val="590725200"/>
        <c:axId val="590724640"/>
      </c:areaChart>
      <c:lineChart>
        <c:grouping val="standard"/>
        <c:varyColors val="0"/>
        <c:ser>
          <c:idx val="0"/>
          <c:order val="0"/>
          <c:tx>
            <c:strRef>
              <c:f>隐含收益率与十年期企业债走势!$B$2</c:f>
              <c:strCache>
                <c:ptCount val="1"/>
                <c:pt idx="0">
                  <c:v>平均隐含收益率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隐含收益率与十年期企业债走势!$C$1:$N$1</c:f>
              <c:numCache>
                <c:formatCode>yyyy\-mm\-dd</c:formatCode>
                <c:ptCount val="12"/>
                <c:pt idx="0">
                  <c:v>42496</c:v>
                </c:pt>
                <c:pt idx="1">
                  <c:v>42503</c:v>
                </c:pt>
                <c:pt idx="2">
                  <c:v>42510</c:v>
                </c:pt>
                <c:pt idx="3">
                  <c:v>42517</c:v>
                </c:pt>
                <c:pt idx="4">
                  <c:v>42524</c:v>
                </c:pt>
                <c:pt idx="5">
                  <c:v>42529</c:v>
                </c:pt>
                <c:pt idx="6">
                  <c:v>42538</c:v>
                </c:pt>
                <c:pt idx="7">
                  <c:v>42545</c:v>
                </c:pt>
                <c:pt idx="8">
                  <c:v>42552</c:v>
                </c:pt>
                <c:pt idx="9" formatCode="m/d/yyyy">
                  <c:v>42559</c:v>
                </c:pt>
                <c:pt idx="10" formatCode="m/d/yyyy">
                  <c:v>42566</c:v>
                </c:pt>
                <c:pt idx="11" formatCode="m/d/yyyy">
                  <c:v>42573</c:v>
                </c:pt>
              </c:numCache>
            </c:numRef>
          </c:cat>
          <c:val>
            <c:numRef>
              <c:f>隐含收益率与十年期企业债走势!$C$2:$N$2</c:f>
              <c:numCache>
                <c:formatCode>General</c:formatCode>
                <c:ptCount val="12"/>
                <c:pt idx="0">
                  <c:v>4.851761092514522</c:v>
                </c:pt>
                <c:pt idx="1">
                  <c:v>4.8710100223434427</c:v>
                </c:pt>
                <c:pt idx="2">
                  <c:v>4.8595826868771672</c:v>
                </c:pt>
                <c:pt idx="3">
                  <c:v>4.8553486101774119</c:v>
                </c:pt>
                <c:pt idx="4">
                  <c:v>4.8219608872593565</c:v>
                </c:pt>
                <c:pt idx="5">
                  <c:v>4.8147701863457124</c:v>
                </c:pt>
                <c:pt idx="6">
                  <c:v>4.8172025066359696</c:v>
                </c:pt>
                <c:pt idx="7">
                  <c:v>4.7576186704612002</c:v>
                </c:pt>
                <c:pt idx="8">
                  <c:v>4.7359910684692696</c:v>
                </c:pt>
                <c:pt idx="9" formatCode="###,###,###,###,##0.0000_ ">
                  <c:v>4.7710999999999997</c:v>
                </c:pt>
                <c:pt idx="10" formatCode="0.0000">
                  <c:v>4.7612979805895179</c:v>
                </c:pt>
                <c:pt idx="11" formatCode="0.0000">
                  <c:v>4.7329151090413992</c:v>
                </c:pt>
              </c:numCache>
            </c:numRef>
          </c:val>
          <c:smooth val="0"/>
        </c:ser>
        <c:ser>
          <c:idx val="1"/>
          <c:order val="1"/>
          <c:tx>
            <c:strRef>
              <c:f>隐含收益率与十年期企业债走势!$B$3</c:f>
              <c:strCache>
                <c:ptCount val="1"/>
                <c:pt idx="0">
                  <c:v>10年期AA+企业债利率</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隐含收益率与十年期企业债走势!$C$1:$N$1</c:f>
              <c:numCache>
                <c:formatCode>yyyy\-mm\-dd</c:formatCode>
                <c:ptCount val="12"/>
                <c:pt idx="0">
                  <c:v>42496</c:v>
                </c:pt>
                <c:pt idx="1">
                  <c:v>42503</c:v>
                </c:pt>
                <c:pt idx="2">
                  <c:v>42510</c:v>
                </c:pt>
                <c:pt idx="3">
                  <c:v>42517</c:v>
                </c:pt>
                <c:pt idx="4">
                  <c:v>42524</c:v>
                </c:pt>
                <c:pt idx="5">
                  <c:v>42529</c:v>
                </c:pt>
                <c:pt idx="6">
                  <c:v>42538</c:v>
                </c:pt>
                <c:pt idx="7">
                  <c:v>42545</c:v>
                </c:pt>
                <c:pt idx="8">
                  <c:v>42552</c:v>
                </c:pt>
                <c:pt idx="9" formatCode="m/d/yyyy">
                  <c:v>42559</c:v>
                </c:pt>
                <c:pt idx="10" formatCode="m/d/yyyy">
                  <c:v>42566</c:v>
                </c:pt>
                <c:pt idx="11" formatCode="m/d/yyyy">
                  <c:v>42573</c:v>
                </c:pt>
              </c:numCache>
            </c:numRef>
          </c:cat>
          <c:val>
            <c:numRef>
              <c:f>隐含收益率与十年期企业债走势!$C$3:$N$3</c:f>
              <c:numCache>
                <c:formatCode>###,###,###,###,##0.0000_ </c:formatCode>
                <c:ptCount val="12"/>
                <c:pt idx="0">
                  <c:v>4.6275000000000004</c:v>
                </c:pt>
                <c:pt idx="1">
                  <c:v>4.5039999999999996</c:v>
                </c:pt>
                <c:pt idx="2">
                  <c:v>4.5500999999999996</c:v>
                </c:pt>
                <c:pt idx="3">
                  <c:v>4.5237999999999996</c:v>
                </c:pt>
                <c:pt idx="4">
                  <c:v>4.5082000000000004</c:v>
                </c:pt>
                <c:pt idx="5">
                  <c:v>4.5044000000000004</c:v>
                </c:pt>
                <c:pt idx="6">
                  <c:v>4.4085000000000001</c:v>
                </c:pt>
                <c:pt idx="7">
                  <c:v>4.3602999999999996</c:v>
                </c:pt>
                <c:pt idx="8">
                  <c:v>4.3226000000000004</c:v>
                </c:pt>
                <c:pt idx="9">
                  <c:v>4.2041000000000004</c:v>
                </c:pt>
                <c:pt idx="10">
                  <c:v>4.1917999999999997</c:v>
                </c:pt>
                <c:pt idx="11">
                  <c:v>4.0240999999999998</c:v>
                </c:pt>
              </c:numCache>
            </c:numRef>
          </c:val>
          <c:smooth val="0"/>
        </c:ser>
        <c:dLbls>
          <c:showLegendKey val="0"/>
          <c:showVal val="0"/>
          <c:showCatName val="0"/>
          <c:showSerName val="0"/>
          <c:showPercent val="0"/>
          <c:showBubbleSize val="0"/>
        </c:dLbls>
        <c:marker val="1"/>
        <c:smooth val="0"/>
        <c:axId val="590723520"/>
        <c:axId val="590724080"/>
      </c:lineChart>
      <c:dateAx>
        <c:axId val="590723520"/>
        <c:scaling>
          <c:orientation val="minMax"/>
        </c:scaling>
        <c:delete val="0"/>
        <c:axPos val="b"/>
        <c:numFmt formatCode="yyyy\-mm\-dd"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90724080"/>
        <c:crosses val="autoZero"/>
        <c:auto val="1"/>
        <c:lblOffset val="100"/>
        <c:baseTimeUnit val="days"/>
      </c:dateAx>
      <c:valAx>
        <c:axId val="590724080"/>
        <c:scaling>
          <c:orientation val="minMax"/>
          <c:min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90723520"/>
        <c:crosses val="autoZero"/>
        <c:crossBetween val="between"/>
      </c:valAx>
      <c:valAx>
        <c:axId val="590724640"/>
        <c:scaling>
          <c:orientation val="minMax"/>
        </c:scaling>
        <c:delete val="0"/>
        <c:axPos val="r"/>
        <c:numFmt formatCode="#,##0.00_);[Red]\(#,##0.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90725200"/>
        <c:crosses val="max"/>
        <c:crossBetween val="between"/>
      </c:valAx>
      <c:dateAx>
        <c:axId val="590725200"/>
        <c:scaling>
          <c:orientation val="minMax"/>
        </c:scaling>
        <c:delete val="1"/>
        <c:axPos val="b"/>
        <c:numFmt formatCode="yyyy\-mm\-dd" sourceLinked="1"/>
        <c:majorTickMark val="out"/>
        <c:minorTickMark val="none"/>
        <c:tickLblPos val="nextTo"/>
        <c:crossAx val="590724640"/>
        <c:crosses val="autoZero"/>
        <c:auto val="1"/>
        <c:lblOffset val="100"/>
        <c:baseTimeUnit val="day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0.05534</cdr:x>
      <cdr:y>0.1007</cdr:y>
    </cdr:from>
    <cdr:to>
      <cdr:x>0.09881</cdr:x>
      <cdr:y>0.40973</cdr:y>
    </cdr:to>
    <cdr:sp macro="" textlink="">
      <cdr:nvSpPr>
        <cdr:cNvPr id="4" name="TextBox 3"/>
        <cdr:cNvSpPr txBox="1"/>
      </cdr:nvSpPr>
      <cdr:spPr>
        <a:xfrm xmlns:a="http://schemas.openxmlformats.org/drawingml/2006/main">
          <a:off x="266722" y="276228"/>
          <a:ext cx="209510" cy="847731"/>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endParaRPr lang="zh-CN" altLang="en-US" sz="1100"/>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82</TotalTime>
  <Pages>8</Pages>
  <Words>665</Words>
  <Characters>3792</Characters>
  <Application>Microsoft Office Word</Application>
  <DocSecurity>0</DocSecurity>
  <Lines>31</Lines>
  <Paragraphs>8</Paragraphs>
  <ScaleCrop>false</ScaleCrop>
  <Company>Microsoft</Company>
  <LinksUpToDate>false</LinksUpToDate>
  <CharactersWithSpaces>4449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闻嘉琦:会签部门全体人员</dc:creator>
  <cp:keywords/>
  <dc:description/>
  <cp:lastModifiedBy>闻嘉琦:</cp:lastModifiedBy>
  <cp:revision>5</cp:revision>
  <cp:lastPrinted>2016-07-25T06:42:00Z</cp:lastPrinted>
  <dcterms:created xsi:type="dcterms:W3CDTF">2016-07-25T05:23:00Z</dcterms:created>
  <dcterms:modified xsi:type="dcterms:W3CDTF">2016-07-25T06:49:00Z</dcterms:modified>
</cp:coreProperties>
</file>