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53273E" w:rsidRPr="0032491D" w:rsidTr="00FC5199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53273E" w:rsidRPr="0032491D" w:rsidRDefault="0053273E" w:rsidP="00FC5199">
            <w:pPr>
              <w:rPr>
                <w:rFonts w:ascii="楷体" w:eastAsia="楷体" w:hAnsi="楷体" w:cs="Arial"/>
                <w:b/>
                <w:sz w:val="32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sz w:val="32"/>
              </w:rPr>
              <w:t>凯</w:t>
            </w:r>
            <w:proofErr w:type="gramEnd"/>
            <w:r w:rsidRPr="0032491D">
              <w:rPr>
                <w:rFonts w:ascii="楷体" w:eastAsia="楷体" w:hAnsi="楷体" w:cs="Arial"/>
                <w:b/>
                <w:sz w:val="32"/>
              </w:rPr>
              <w:t>石公</w:t>
            </w:r>
            <w:proofErr w:type="gramStart"/>
            <w:r w:rsidRPr="0032491D">
              <w:rPr>
                <w:rFonts w:ascii="楷体" w:eastAsia="楷体" w:hAnsi="楷体" w:cs="Arial"/>
                <w:b/>
                <w:sz w:val="32"/>
              </w:rPr>
              <w:t>募基金</w:t>
            </w:r>
            <w:proofErr w:type="gramEnd"/>
            <w:r w:rsidR="00D849AF">
              <w:rPr>
                <w:rFonts w:ascii="楷体" w:eastAsia="楷体" w:hAnsi="楷体" w:cs="Arial" w:hint="eastAsia"/>
                <w:b/>
                <w:sz w:val="32"/>
              </w:rPr>
              <w:t>月</w:t>
            </w:r>
            <w:r w:rsidRPr="0032491D">
              <w:rPr>
                <w:rFonts w:ascii="楷体" w:eastAsia="楷体" w:hAnsi="楷体" w:cs="Arial"/>
                <w:b/>
                <w:sz w:val="32"/>
              </w:rPr>
              <w:t>报</w:t>
            </w:r>
            <w:r w:rsidR="0090188B">
              <w:rPr>
                <w:rFonts w:ascii="楷体" w:eastAsia="楷体" w:hAnsi="楷体" w:cs="Arial"/>
                <w:b/>
                <w:sz w:val="32"/>
              </w:rPr>
              <w:t>（2016.5）</w:t>
            </w:r>
          </w:p>
          <w:p w:rsidR="0053273E" w:rsidRPr="00245E40" w:rsidRDefault="0053273E" w:rsidP="00DA7B56">
            <w:pPr>
              <w:rPr>
                <w:rFonts w:ascii="楷体" w:eastAsia="楷体" w:hAnsi="楷体" w:cs="Arial"/>
                <w:b/>
                <w:sz w:val="32"/>
              </w:rPr>
            </w:pPr>
            <w:r w:rsidRPr="0032491D">
              <w:rPr>
                <w:rFonts w:ascii="楷体" w:eastAsia="楷体" w:hAnsi="楷体" w:cs="Arial"/>
                <w:b/>
                <w:sz w:val="32"/>
              </w:rPr>
              <w:softHyphen/>
            </w:r>
            <w:r w:rsidRPr="0032491D">
              <w:rPr>
                <w:rFonts w:ascii="楷体" w:eastAsia="楷体" w:hAnsi="楷体" w:cs="Arial"/>
                <w:b/>
                <w:sz w:val="32"/>
              </w:rPr>
              <w:softHyphen/>
            </w:r>
            <w:r w:rsidRPr="0090188B">
              <w:rPr>
                <w:rFonts w:ascii="楷体" w:eastAsia="楷体" w:hAnsi="楷体" w:cs="Arial"/>
                <w:b/>
                <w:sz w:val="28"/>
              </w:rPr>
              <w:t>——</w:t>
            </w:r>
            <w:bookmarkStart w:id="0" w:name="_GoBack"/>
            <w:r w:rsidR="00C108AC" w:rsidRPr="0090188B">
              <w:rPr>
                <w:rFonts w:ascii="楷体" w:eastAsia="楷体" w:hAnsi="楷体" w:cs="Arial"/>
                <w:b/>
                <w:sz w:val="28"/>
              </w:rPr>
              <w:t>加息预期来袭</w:t>
            </w:r>
            <w:r w:rsidR="00C108AC" w:rsidRPr="0090188B">
              <w:rPr>
                <w:rFonts w:ascii="楷体" w:eastAsia="楷体" w:hAnsi="楷体" w:cs="Arial" w:hint="eastAsia"/>
                <w:b/>
                <w:sz w:val="28"/>
              </w:rPr>
              <w:t>，</w:t>
            </w:r>
            <w:r w:rsidR="00C108AC" w:rsidRPr="0090188B">
              <w:rPr>
                <w:rFonts w:ascii="楷体" w:eastAsia="楷体" w:hAnsi="楷体" w:cs="Arial"/>
                <w:b/>
                <w:sz w:val="28"/>
              </w:rPr>
              <w:t>商品基金急转直下</w:t>
            </w:r>
            <w:r w:rsidR="0090188B" w:rsidRPr="0090188B">
              <w:rPr>
                <w:rFonts w:ascii="楷体" w:eastAsia="楷体" w:hAnsi="楷体" w:cs="Arial"/>
                <w:b/>
                <w:sz w:val="28"/>
              </w:rPr>
              <w:t>，</w:t>
            </w:r>
            <w:r w:rsidR="0090188B" w:rsidRPr="0090188B">
              <w:rPr>
                <w:rFonts w:ascii="楷体" w:eastAsia="楷体" w:hAnsi="楷体" w:cs="Arial" w:hint="eastAsia"/>
                <w:b/>
                <w:sz w:val="28"/>
              </w:rPr>
              <w:t>股</w:t>
            </w:r>
            <w:proofErr w:type="gramStart"/>
            <w:r w:rsidR="0090188B" w:rsidRPr="0090188B">
              <w:rPr>
                <w:rFonts w:ascii="楷体" w:eastAsia="楷体" w:hAnsi="楷体" w:cs="Arial" w:hint="eastAsia"/>
                <w:b/>
                <w:sz w:val="28"/>
              </w:rPr>
              <w:t>债基金</w:t>
            </w:r>
            <w:proofErr w:type="gramEnd"/>
            <w:r w:rsidR="0090188B">
              <w:rPr>
                <w:rFonts w:ascii="楷体" w:eastAsia="楷体" w:hAnsi="楷体" w:cs="Arial" w:hint="eastAsia"/>
                <w:b/>
                <w:sz w:val="28"/>
              </w:rPr>
              <w:t>均陷</w:t>
            </w:r>
            <w:r w:rsidR="0090188B" w:rsidRPr="0090188B">
              <w:rPr>
                <w:rFonts w:ascii="楷体" w:eastAsia="楷体" w:hAnsi="楷体" w:cs="Arial" w:hint="eastAsia"/>
                <w:b/>
                <w:sz w:val="28"/>
              </w:rPr>
              <w:t>盘整</w:t>
            </w:r>
            <w:bookmarkEnd w:id="0"/>
          </w:p>
        </w:tc>
      </w:tr>
      <w:tr w:rsidR="0053273E" w:rsidRPr="0032491D" w:rsidTr="00FC5199">
        <w:trPr>
          <w:trHeight w:val="11778"/>
        </w:trPr>
        <w:tc>
          <w:tcPr>
            <w:tcW w:w="7621" w:type="dxa"/>
          </w:tcPr>
          <w:p w:rsidR="0053273E" w:rsidRPr="0032491D" w:rsidRDefault="00D849AF" w:rsidP="00FC5199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" w:eastAsia="楷体" w:hAnsi="楷体" w:cs="Arial"/>
                <w:b/>
                <w:color w:val="000000"/>
                <w:sz w:val="22"/>
                <w:szCs w:val="22"/>
              </w:rPr>
            </w:pPr>
            <w:r>
              <w:rPr>
                <w:rStyle w:val="textsmall2"/>
                <w:rFonts w:ascii="楷体" w:eastAsia="楷体" w:hAnsi="楷体" w:cs="Arial" w:hint="eastAsia"/>
                <w:b/>
                <w:color w:val="000000"/>
                <w:sz w:val="22"/>
                <w:szCs w:val="22"/>
              </w:rPr>
              <w:t>五月</w:t>
            </w:r>
            <w:r w:rsidR="0053273E" w:rsidRPr="0032491D">
              <w:rPr>
                <w:rStyle w:val="textsmall2"/>
                <w:rFonts w:ascii="楷体" w:eastAsia="楷体" w:hAnsi="楷体" w:cs="Arial" w:hint="eastAsia"/>
                <w:b/>
                <w:color w:val="000000"/>
                <w:sz w:val="22"/>
                <w:szCs w:val="22"/>
              </w:rPr>
              <w:t>资本市场回顾</w:t>
            </w:r>
          </w:p>
          <w:p w:rsidR="008E0B99" w:rsidRDefault="0053273E" w:rsidP="00FC5199">
            <w:pPr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  <w:t>A</w:t>
            </w: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股市场：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 xml:space="preserve"> 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A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股</w:t>
            </w:r>
            <w:r w:rsidR="006251A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横盘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整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理月末反弹，沪股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通大量净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流入。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5月初6日、9日的两次大跌使沪指从3000点左右滑落至2800点附近，随后大盘完全是横向的窄幅整理，成交量创出四个月新低，市场持续低迷。融资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客保持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谨慎，A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股两融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余额连续下降逼近8200亿关口，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续创2014年11月27日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以来新低。虽然A股市场表现不佳，但被业内誉为“先知先觉”的沪股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通资金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却在加速进入A股市场。尤其是30 日沪股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通出现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近30亿资金流入，加上MSCI纳入概率提高等利好，在5月最后一天，非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银金融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爆发，带动A股走强， 最终收于2900点上方。成交量也开始放大，万得全A指数资金净流入564亿元，结束此前6连出，两市资金净流入创下A股近五年新高。全月来看，上证综指跌0.74%，沪深300涨0.41%，中小板指涨0.55%、创业板指涨0.98%。29个中信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一级行业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有9个行业上涨，其中电子元器件（4.61%）、计算机（3.11%）、食品饮料（2.29%）等行业表现相对较好，煤炭（-10.54%）、综合（-7.10%）、餐饮旅游（-5.60%）等行业表现垫底。</w:t>
            </w:r>
          </w:p>
          <w:p w:rsidR="00A423B8" w:rsidRDefault="0053273E" w:rsidP="00FC5199">
            <w:pPr>
              <w:rPr>
                <w:rStyle w:val="textsmall2"/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国内债市：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央行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维稳立场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坚固，违约风险仍未释放完毕。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进入5 月份后银行间流动性平稳，央行综合运用</w:t>
            </w:r>
            <w:r w:rsid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各种</w:t>
            </w:r>
            <w:r w:rsidR="00251E2D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工具，保持银行体系流动性合理充裕。</w:t>
            </w:r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《2015年以来稳健货币政策主要特点的回顾》继续强调稳健的货币政策，显示维稳态度坚决。到5 月下半月资金面依旧平稳偏松，但流动性预期有所谨慎。总体来说，短端7天逆回购招标利率仍维持在2.25%不变。与上月末最后一周相比，银行间7天回购利率R007下行14bp至2.47%，隔夜回购利率R001下行4bp至2.03%。利率债方面，中旬之后在人民币贬值预期再起、金融去杠杆担忧等因素扰动下收益率再度出现上行。信用债方面，市场对于产能过剩及低评级企业的风险偏好远未恢复，再加上5-7月都是评级调整最密集的月份，信用违约风险仍是需要关注的重点。全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月中债总净价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指数下跌0.01%，中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债企业债总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净价指数下跌0.01%，中债国债总净价指数下跌0.39%，中</w:t>
            </w:r>
            <w:proofErr w:type="gramStart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证转债跌</w:t>
            </w:r>
            <w:proofErr w:type="gramEnd"/>
            <w:r w:rsidR="00A423B8" w:rsidRPr="00A423B8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1.17%。</w:t>
            </w:r>
          </w:p>
          <w:p w:rsidR="0053273E" w:rsidRPr="008A3014" w:rsidRDefault="0053273E" w:rsidP="00FC5199">
            <w:pPr>
              <w:rPr>
                <w:rStyle w:val="textsmall2"/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海外市场：</w:t>
            </w:r>
            <w:r w:rsidR="008A3014" w:rsidRPr="008A3014">
              <w:rPr>
                <w:rFonts w:ascii="楷体" w:eastAsia="楷体" w:hAnsi="楷体" w:cs="Arial" w:hint="eastAsia"/>
                <w:b/>
                <w:color w:val="000000" w:themeColor="text1"/>
                <w:sz w:val="18"/>
                <w:szCs w:val="20"/>
              </w:rPr>
              <w:t>美联储重提加息可能，美元指数低位反弹。</w:t>
            </w:r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五月初美元指数延续四月最后一周跌势，一度跌破92整数关口，创去年1月份来新低。但随后美联储官员连续的鹰派讲话助</w:t>
            </w:r>
            <w:proofErr w:type="gramStart"/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推美元</w:t>
            </w:r>
            <w:proofErr w:type="gramEnd"/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指数低位反弹。再加上之后美联储公布4月26日-27</w:t>
            </w:r>
            <w:r w:rsid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日货币政策会议纪要显示</w:t>
            </w:r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6月加息“有可能”，美元进一步上涨。全月来看，美元指数累计上涨3.00%。美国市场，标普、道指、</w:t>
            </w:r>
            <w:proofErr w:type="gramStart"/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纳指分别</w:t>
            </w:r>
            <w:proofErr w:type="gramEnd"/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上涨1.53%、0.08%、3.62%；欧洲市场，德国DAX指数、法国CAC40指数、英国富时100指数上周涨跌幅分别为2.23%、1.73%、-0.18%。</w:t>
            </w:r>
            <w:r w:rsidR="008A3014" w:rsidRPr="008A3014">
              <w:rPr>
                <w:rFonts w:ascii="楷体" w:eastAsia="楷体" w:hAnsi="楷体" w:cs="Arial" w:hint="eastAsia"/>
                <w:b/>
                <w:color w:val="000000" w:themeColor="text1"/>
                <w:sz w:val="18"/>
                <w:szCs w:val="20"/>
              </w:rPr>
              <w:t>金价高位跌落，原重回50关口。</w:t>
            </w:r>
            <w:r w:rsid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美元反弹、美联储加息预期、</w:t>
            </w:r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全球股市攀升降低了贵金属的吸引力</w:t>
            </w:r>
            <w:r w:rsidR="00B400C8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，全月</w:t>
            </w:r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下跌5.98%。原油方面，中东地区钻井开工总数不升反降，再加上加拿大林火以及中东地区</w:t>
            </w:r>
            <w:r w:rsidR="00B400C8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政治局势趋紧，利比亚冲突持续升级等事件性因素导致的供给预期，</w:t>
            </w:r>
            <w:r w:rsidR="008A3014" w:rsidRPr="008A3014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让油价成为进一个月来唯一坚挺的大宗商品，全月上涨6.18%。</w:t>
            </w:r>
          </w:p>
          <w:p w:rsidR="0053273E" w:rsidRPr="0032491D" w:rsidRDefault="00107C62" w:rsidP="00FC5199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" w:eastAsia="楷体" w:hAnsi="楷体" w:cs="Arial"/>
                <w:b/>
                <w:color w:val="000000"/>
                <w:szCs w:val="22"/>
              </w:rPr>
            </w:pPr>
            <w:r>
              <w:rPr>
                <w:rStyle w:val="textsmall2"/>
                <w:rFonts w:ascii="楷体" w:eastAsia="楷体" w:hAnsi="楷体" w:cs="Arial" w:hint="eastAsia"/>
                <w:b/>
                <w:color w:val="000000"/>
                <w:szCs w:val="22"/>
              </w:rPr>
              <w:t>五月</w:t>
            </w:r>
            <w:r w:rsidR="0053273E" w:rsidRPr="0032491D">
              <w:rPr>
                <w:rStyle w:val="textsmall2"/>
                <w:rFonts w:ascii="楷体" w:eastAsia="楷体" w:hAnsi="楷体" w:cs="Arial" w:hint="eastAsia"/>
                <w:b/>
                <w:color w:val="000000"/>
                <w:szCs w:val="22"/>
              </w:rPr>
              <w:t>基金表现回顾</w:t>
            </w:r>
          </w:p>
          <w:p w:rsidR="0053273E" w:rsidRPr="0032491D" w:rsidRDefault="0053273E" w:rsidP="00FC5199">
            <w:pPr>
              <w:rPr>
                <w:rFonts w:ascii="楷体" w:eastAsia="楷体" w:hAnsi="楷体" w:cs="Arial"/>
                <w:sz w:val="18"/>
                <w:szCs w:val="20"/>
              </w:rPr>
            </w:pPr>
            <w:proofErr w:type="gramStart"/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股混基金</w:t>
            </w:r>
            <w:proofErr w:type="gramEnd"/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业绩：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普通股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0.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21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，指数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股基平均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0.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19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偏股型平均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0.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17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偏债型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产品平均收益为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0.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30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，灵活配置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型平均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0.1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9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，平衡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型平均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0.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1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4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53273E" w:rsidRPr="0032491D" w:rsidRDefault="0053273E" w:rsidP="00FC5199">
            <w:pPr>
              <w:rPr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固定收益基金：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纯债基金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平均收益为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0.60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，一级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债基平均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0.46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，二级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债基平均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0.28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。货币基金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七日年化收益率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均值为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2.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4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1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53273E" w:rsidRPr="0032491D" w:rsidRDefault="0053273E" w:rsidP="00FC5199">
            <w:pPr>
              <w:rPr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Fonts w:ascii="楷体" w:eastAsia="楷体" w:hAnsi="楷体" w:cs="Arial" w:hint="eastAsia"/>
                <w:b/>
                <w:sz w:val="18"/>
              </w:rPr>
              <w:t>商品及对冲基金：</w:t>
            </w:r>
            <w:r w:rsidR="00F63767">
              <w:rPr>
                <w:rFonts w:ascii="楷体" w:eastAsia="楷体" w:hAnsi="楷体" w:cs="Arial" w:hint="eastAsia"/>
                <w:sz w:val="18"/>
                <w:szCs w:val="20"/>
              </w:rPr>
              <w:t>商品基金平均下跌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4.01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，以绝对收益为投资目标的股票多空类产品平均收益为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-0.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3</w:t>
            </w:r>
            <w:r w:rsidR="000E78A4">
              <w:rPr>
                <w:rFonts w:ascii="楷体" w:eastAsia="楷体" w:hAnsi="楷体" w:cs="Arial" w:hint="eastAsia"/>
                <w:sz w:val="18"/>
                <w:szCs w:val="20"/>
              </w:rPr>
              <w:t>2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53273E" w:rsidRPr="00F63767" w:rsidRDefault="0053273E" w:rsidP="00FC5199">
            <w:pPr>
              <w:rPr>
                <w:rStyle w:val="textsmall2"/>
                <w:rFonts w:ascii="楷体" w:eastAsia="楷体" w:hAnsi="楷体" w:cs="Arial"/>
                <w:color w:val="FF0000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  <w:t>QDII</w:t>
            </w: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基金</w:t>
            </w:r>
            <w:r w:rsidRPr="0032491D"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  <w:t>:</w:t>
            </w:r>
            <w:r w:rsidRPr="0032491D">
              <w:rPr>
                <w:rFonts w:ascii="楷体" w:eastAsia="楷体" w:hAnsi="楷体"/>
                <w:sz w:val="20"/>
              </w:rPr>
              <w:t xml:space="preserve"> 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 xml:space="preserve"> QDII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基金平均收益为</w:t>
            </w:r>
            <w:r w:rsidR="00972CB4">
              <w:rPr>
                <w:rFonts w:ascii="楷体" w:eastAsia="楷体" w:hAnsi="楷体" w:cs="Arial" w:hint="eastAsia"/>
                <w:sz w:val="18"/>
                <w:szCs w:val="20"/>
              </w:rPr>
              <w:t>0.57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</w:t>
            </w:r>
            <w:r w:rsidR="007C71EA" w:rsidRPr="007C71EA">
              <w:rPr>
                <w:rFonts w:ascii="楷体" w:eastAsia="楷体" w:hAnsi="楷体" w:cs="Arial" w:hint="eastAsia"/>
                <w:sz w:val="18"/>
                <w:szCs w:val="20"/>
              </w:rPr>
              <w:t>从具体品种来看，纳斯达克100、房地产主题QDII表现最好，黄金、资源主题 QDII</w:t>
            </w:r>
            <w:r w:rsidR="007C71EA">
              <w:rPr>
                <w:rFonts w:ascii="楷体" w:eastAsia="楷体" w:hAnsi="楷体" w:cs="Arial" w:hint="eastAsia"/>
                <w:sz w:val="18"/>
                <w:szCs w:val="20"/>
              </w:rPr>
              <w:t>表现较差</w:t>
            </w:r>
            <w:r w:rsidR="005642AF" w:rsidRPr="005642AF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53273E" w:rsidRPr="0032491D" w:rsidRDefault="0053273E" w:rsidP="00FC5199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" w:eastAsia="楷体" w:hAnsi="楷体" w:cs="Arial"/>
                <w:b/>
                <w:color w:val="000000"/>
                <w:szCs w:val="22"/>
              </w:rPr>
            </w:pPr>
            <w:r w:rsidRPr="0032491D">
              <w:rPr>
                <w:rStyle w:val="textsmall2"/>
                <w:rFonts w:ascii="楷体" w:eastAsia="楷体" w:hAnsi="楷体" w:cs="Arial" w:hint="eastAsia"/>
                <w:b/>
                <w:color w:val="000000"/>
                <w:szCs w:val="22"/>
              </w:rPr>
              <w:t>未来基金投资策略</w:t>
            </w:r>
          </w:p>
          <w:p w:rsidR="0053273E" w:rsidRPr="0032491D" w:rsidRDefault="00F129A0" w:rsidP="00FC5199">
            <w:pPr>
              <w:rPr>
                <w:rFonts w:ascii="楷体" w:eastAsia="楷体" w:hAnsi="楷体" w:cs="Arial"/>
                <w:b/>
                <w:sz w:val="18"/>
                <w:szCs w:val="20"/>
              </w:rPr>
            </w:pPr>
            <w:proofErr w:type="gramStart"/>
            <w:r>
              <w:rPr>
                <w:rFonts w:ascii="楷体" w:eastAsia="楷体" w:hAnsi="楷体" w:cs="Arial"/>
                <w:b/>
                <w:sz w:val="18"/>
                <w:szCs w:val="20"/>
              </w:rPr>
              <w:t>股混基金</w:t>
            </w:r>
            <w:proofErr w:type="gramEnd"/>
            <w:r>
              <w:rPr>
                <w:rFonts w:ascii="楷体" w:eastAsia="楷体" w:hAnsi="楷体" w:cs="Arial"/>
                <w:b/>
                <w:sz w:val="18"/>
                <w:szCs w:val="20"/>
              </w:rPr>
              <w:t>，</w:t>
            </w:r>
            <w:r w:rsidRPr="00F129A0">
              <w:rPr>
                <w:rFonts w:ascii="楷体" w:eastAsia="楷体" w:hAnsi="楷体" w:cs="Arial" w:hint="eastAsia"/>
                <w:b/>
                <w:sz w:val="18"/>
                <w:szCs w:val="20"/>
              </w:rPr>
              <w:t>回归中性</w:t>
            </w:r>
            <w:proofErr w:type="gramStart"/>
            <w:r w:rsidRPr="00F129A0">
              <w:rPr>
                <w:rFonts w:ascii="楷体" w:eastAsia="楷体" w:hAnsi="楷体" w:cs="Arial" w:hint="eastAsia"/>
                <w:b/>
                <w:sz w:val="18"/>
                <w:szCs w:val="20"/>
              </w:rPr>
              <w:t>仓位</w:t>
            </w:r>
            <w:proofErr w:type="gramEnd"/>
            <w:r w:rsidRPr="00F129A0">
              <w:rPr>
                <w:rFonts w:ascii="楷体" w:eastAsia="楷体" w:hAnsi="楷体" w:cs="Arial" w:hint="eastAsia"/>
                <w:b/>
                <w:sz w:val="18"/>
                <w:szCs w:val="20"/>
              </w:rPr>
              <w:t>，结构均衡</w:t>
            </w:r>
            <w:r w:rsidR="0053273E"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。</w:t>
            </w:r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总体来看，目前影响市场的最大不确定性来自美联储加息，进而引发人民币贬值压力，进而继续延伸到国内资金面冲击，不过由于市场此前对美国加息和人民币贬值压力已经有较强的预期，近期人民币</w:t>
            </w:r>
            <w:proofErr w:type="gramStart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中间价创5年</w:t>
            </w:r>
            <w:proofErr w:type="gramEnd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新低并未对A股形成大幅冲击说明市场对贬值压力一定预期和消化，未来靴子落地对市场的冲击将是未消化掉的预期差的冲击，不必过分悲观。</w:t>
            </w:r>
            <w:proofErr w:type="gramStart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股混基金</w:t>
            </w:r>
            <w:proofErr w:type="gramEnd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投资上，短期来看，我们认为在5月31</w:t>
            </w:r>
            <w:proofErr w:type="gramStart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号市场</w:t>
            </w:r>
            <w:proofErr w:type="gramEnd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向上突破到美国真正加息之前的时间窗口内，市场大概率是较为温和反弹期，投资者可以适度乐观，回归到中性</w:t>
            </w:r>
            <w:proofErr w:type="gramStart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仓位</w:t>
            </w:r>
            <w:proofErr w:type="gramEnd"/>
            <w:r w:rsidR="00B9534D" w:rsidRPr="00B9534D">
              <w:rPr>
                <w:rFonts w:ascii="楷体" w:eastAsia="楷体" w:hAnsi="楷体" w:cs="Arial" w:hint="eastAsia"/>
                <w:sz w:val="18"/>
                <w:szCs w:val="20"/>
              </w:rPr>
              <w:t>，均衡配置。</w:t>
            </w:r>
            <w:r w:rsidRPr="00F129A0">
              <w:rPr>
                <w:rFonts w:ascii="楷体" w:eastAsia="楷体" w:hAnsi="楷体" w:cs="Arial" w:hint="eastAsia"/>
                <w:sz w:val="18"/>
                <w:szCs w:val="20"/>
              </w:rPr>
              <w:t>长期而言， A股依然是性价比较高的资产，长线投资者尤其</w:t>
            </w:r>
            <w:proofErr w:type="gramStart"/>
            <w:r w:rsidRPr="00F129A0">
              <w:rPr>
                <w:rFonts w:ascii="楷体" w:eastAsia="楷体" w:hAnsi="楷体" w:cs="Arial" w:hint="eastAsia"/>
                <w:sz w:val="18"/>
                <w:szCs w:val="20"/>
              </w:rPr>
              <w:t>是定投投资者</w:t>
            </w:r>
            <w:proofErr w:type="gramEnd"/>
            <w:r w:rsidRPr="00F129A0">
              <w:rPr>
                <w:rFonts w:ascii="楷体" w:eastAsia="楷体" w:hAnsi="楷体" w:cs="Arial" w:hint="eastAsia"/>
                <w:sz w:val="18"/>
                <w:szCs w:val="20"/>
              </w:rPr>
              <w:t>可以分批介入布局</w:t>
            </w:r>
            <w:r w:rsidR="0053273E" w:rsidRPr="00F129A0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53273E" w:rsidRDefault="00237A7E" w:rsidP="00FC5199">
            <w:pPr>
              <w:rPr>
                <w:rFonts w:ascii="楷体" w:eastAsia="楷体" w:hAnsi="楷体" w:cs="Arial"/>
                <w:sz w:val="18"/>
                <w:szCs w:val="20"/>
              </w:rPr>
            </w:pPr>
            <w:r>
              <w:rPr>
                <w:rFonts w:ascii="楷体" w:eastAsia="楷体" w:hAnsi="楷体" w:cs="Arial" w:hint="eastAsia"/>
                <w:b/>
                <w:sz w:val="18"/>
                <w:szCs w:val="20"/>
              </w:rPr>
              <w:t>固定收益基金</w:t>
            </w:r>
            <w:r w:rsidR="00F129A0">
              <w:rPr>
                <w:rFonts w:ascii="楷体" w:eastAsia="楷体" w:hAnsi="楷体" w:cs="Arial" w:hint="eastAsia"/>
                <w:b/>
                <w:sz w:val="18"/>
                <w:szCs w:val="20"/>
              </w:rPr>
              <w:t>，</w:t>
            </w:r>
            <w:r w:rsidR="00B9534D">
              <w:rPr>
                <w:rFonts w:ascii="楷体" w:eastAsia="楷体" w:hAnsi="楷体" w:cs="Arial" w:hint="eastAsia"/>
                <w:b/>
                <w:sz w:val="18"/>
                <w:szCs w:val="20"/>
              </w:rPr>
              <w:t>信用风险未释放完毕</w:t>
            </w:r>
            <w:r w:rsidR="0053273E" w:rsidRPr="002D391D">
              <w:rPr>
                <w:rFonts w:ascii="楷体" w:eastAsia="楷体" w:hAnsi="楷体" w:cs="Arial" w:hint="eastAsia"/>
                <w:b/>
                <w:sz w:val="18"/>
                <w:szCs w:val="20"/>
              </w:rPr>
              <w:t>。</w:t>
            </w:r>
            <w:r w:rsidR="003A2B41">
              <w:rPr>
                <w:rFonts w:ascii="楷体" w:eastAsia="楷体" w:hAnsi="楷体" w:cs="Arial" w:hint="eastAsia"/>
                <w:sz w:val="18"/>
                <w:szCs w:val="20"/>
              </w:rPr>
              <w:t>债市</w:t>
            </w:r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入场时机</w:t>
            </w:r>
            <w:r w:rsidR="003A2B41">
              <w:rPr>
                <w:rFonts w:ascii="楷体" w:eastAsia="楷体" w:hAnsi="楷体" w:cs="Arial" w:hint="eastAsia"/>
                <w:sz w:val="18"/>
                <w:szCs w:val="20"/>
              </w:rPr>
              <w:t>仍需</w:t>
            </w:r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谨慎。对于有债券基金刚性配置需求的投资者，当前在</w:t>
            </w:r>
            <w:proofErr w:type="gramStart"/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债基产品</w:t>
            </w:r>
            <w:proofErr w:type="gramEnd"/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上要强调风险控制，建议</w:t>
            </w:r>
            <w:proofErr w:type="gramStart"/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精选久</w:t>
            </w:r>
            <w:r w:rsidR="003A2B41">
              <w:rPr>
                <w:rFonts w:ascii="楷体" w:eastAsia="楷体" w:hAnsi="楷体" w:cs="Arial" w:hint="eastAsia"/>
                <w:sz w:val="18"/>
                <w:szCs w:val="20"/>
              </w:rPr>
              <w:t>期短</w:t>
            </w:r>
            <w:proofErr w:type="gramEnd"/>
            <w:r w:rsidR="003A2B41">
              <w:rPr>
                <w:rFonts w:ascii="楷体" w:eastAsia="楷体" w:hAnsi="楷体" w:cs="Arial" w:hint="eastAsia"/>
                <w:sz w:val="18"/>
                <w:szCs w:val="20"/>
              </w:rPr>
              <w:t>、杠杆较低和持券信用等级较高的基金，例如以短融为主要投资</w:t>
            </w:r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的</w:t>
            </w:r>
            <w:proofErr w:type="gramStart"/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短融基金</w:t>
            </w:r>
            <w:proofErr w:type="gramEnd"/>
            <w:r w:rsidR="0053273E" w:rsidRPr="002D391D">
              <w:rPr>
                <w:rFonts w:ascii="楷体" w:eastAsia="楷体" w:hAnsi="楷体" w:cs="Arial" w:hint="eastAsia"/>
                <w:sz w:val="18"/>
                <w:szCs w:val="20"/>
              </w:rPr>
              <w:t>是当前防守较好的品种。</w:t>
            </w:r>
          </w:p>
          <w:p w:rsidR="0053273E" w:rsidRPr="0032491D" w:rsidRDefault="0053273E" w:rsidP="00CE3206">
            <w:pPr>
              <w:rPr>
                <w:rFonts w:ascii="楷体" w:eastAsia="楷体" w:hAnsi="楷体"/>
              </w:rPr>
            </w:pPr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关注黄金和大宗商品类QDII</w:t>
            </w:r>
            <w:r w:rsidR="00CE3206">
              <w:rPr>
                <w:rFonts w:ascii="楷体" w:eastAsia="楷体" w:hAnsi="楷体" w:cs="Arial" w:hint="eastAsia"/>
                <w:b/>
                <w:sz w:val="18"/>
                <w:szCs w:val="20"/>
              </w:rPr>
              <w:t>，近期或受美加息预期冲击</w:t>
            </w:r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。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在全球经济低迷和货币超发的大背景下，黄金的保值和抗通胀价值显现。油气能源等大宗商品主题基金方面，全球货币超发带来的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通胀担忧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和中国经济</w:t>
            </w:r>
            <w:r w:rsidR="004D36C4">
              <w:rPr>
                <w:rFonts w:ascii="楷体" w:eastAsia="楷体" w:hAnsi="楷体" w:cs="Arial" w:hint="eastAsia"/>
                <w:sz w:val="18"/>
                <w:szCs w:val="20"/>
              </w:rPr>
              <w:t>回暖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带来的需求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端改善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等都有利于推升大宗商品价格。</w:t>
            </w:r>
            <w:r w:rsidR="00CE3206">
              <w:rPr>
                <w:rFonts w:ascii="楷体" w:eastAsia="楷体" w:hAnsi="楷体" w:cs="Arial" w:hint="eastAsia"/>
                <w:sz w:val="18"/>
                <w:szCs w:val="20"/>
              </w:rPr>
              <w:t>但近期需关注美加息预期升温带来美元走强对商品的短期冲击。</w:t>
            </w:r>
          </w:p>
        </w:tc>
      </w:tr>
    </w:tbl>
    <w:p w:rsidR="0053273E" w:rsidRPr="0032491D" w:rsidRDefault="0053273E" w:rsidP="0053273E">
      <w:pPr>
        <w:tabs>
          <w:tab w:val="left" w:pos="900"/>
        </w:tabs>
        <w:jc w:val="left"/>
        <w:rPr>
          <w:rFonts w:ascii="楷体" w:eastAsia="楷体" w:hAnsi="楷体" w:cs="Arial"/>
          <w:b/>
        </w:rPr>
        <w:sectPr w:rsidR="0053273E" w:rsidRPr="0032491D" w:rsidSect="00FC5199">
          <w:headerReference w:type="default" r:id="rId8"/>
          <w:footerReference w:type="default" r:id="rId9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32491D">
        <w:rPr>
          <w:rFonts w:ascii="楷体" w:eastAsia="楷体" w:hAnsi="楷体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7DD8C" wp14:editId="3A2B3022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CB4" w:rsidRPr="004071E8" w:rsidRDefault="00972CB4" w:rsidP="0053273E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972CB4" w:rsidRPr="0032491D" w:rsidTr="00FC5199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972CB4" w:rsidRPr="0032491D" w:rsidRDefault="00972CB4" w:rsidP="00D849AF">
                                  <w:pPr>
                                    <w:ind w:firstLineChars="50" w:firstLine="90"/>
                                    <w:rPr>
                                      <w:rFonts w:ascii="楷体" w:eastAsia="楷体" w:hAnsi="楷体" w:cs="Arial"/>
                                      <w:color w:val="000000"/>
                                      <w:sz w:val="15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报告日期：2016-0</w:t>
                                  </w:r>
                                  <w:r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6</w:t>
                                  </w: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972CB4" w:rsidRPr="0032491D" w:rsidTr="00FC5199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972CB4" w:rsidRDefault="00972CB4" w:rsidP="00FC5199">
                                  <w:pPr>
                                    <w:rPr>
                                      <w:rFonts w:ascii="楷体" w:eastAsia="楷体" w:hAnsi="楷体"/>
                                    </w:rPr>
                                  </w:pPr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sz w:val="18"/>
                                      <w:szCs w:val="16"/>
                                    </w:rPr>
                                    <w:t>Email：sangly@vstone.com.cn</w:t>
                                  </w:r>
                                </w:p>
                                <w:p w:rsidR="00972CB4" w:rsidRPr="0032491D" w:rsidRDefault="00972CB4" w:rsidP="00FC5199">
                                  <w:pPr>
                                    <w:ind w:firstLineChars="50" w:firstLine="80"/>
                                    <w:rPr>
                                      <w:rFonts w:ascii="楷体" w:eastAsia="楷体" w:hAnsi="楷体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分析师：俞辰瑶</w:t>
                                  </w:r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sz w:val="18"/>
                                      <w:szCs w:val="16"/>
                                    </w:rPr>
                                    <w:t>Email：yucy@vstone.com.cn</w:t>
                                  </w:r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72CB4" w:rsidRPr="0032491D" w:rsidTr="00FC5199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972CB4" w:rsidRPr="0032491D" w:rsidRDefault="00972CB4" w:rsidP="00FC5199">
                                  <w:pPr>
                                    <w:rPr>
                                      <w:rFonts w:ascii="楷体" w:eastAsia="楷体" w:hAnsi="楷体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2CB4" w:rsidRPr="004071E8" w:rsidRDefault="00972CB4" w:rsidP="0053273E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972CB4" w:rsidRPr="004071E8" w:rsidRDefault="00972CB4" w:rsidP="0053273E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972CB4" w:rsidRPr="0032491D" w:rsidTr="00FC5199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972CB4" w:rsidRPr="0032491D" w:rsidRDefault="00972CB4" w:rsidP="00D849AF">
                            <w:pPr>
                              <w:ind w:firstLineChars="50" w:firstLine="90"/>
                              <w:rPr>
                                <w:rFonts w:ascii="楷体" w:eastAsia="楷体" w:hAnsi="楷体" w:cs="Arial"/>
                                <w:color w:val="000000"/>
                                <w:sz w:val="15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报告日期：2016-0</w:t>
                            </w:r>
                            <w:r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6</w:t>
                            </w: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01</w:t>
                            </w:r>
                          </w:p>
                        </w:tc>
                      </w:tr>
                      <w:tr w:rsidR="00972CB4" w:rsidRPr="0032491D" w:rsidTr="00FC5199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972CB4" w:rsidRDefault="00972CB4" w:rsidP="00FC5199">
                            <w:pPr>
                              <w:rPr>
                                <w:rFonts w:ascii="楷体" w:eastAsia="楷体" w:hAnsi="楷体"/>
                              </w:rPr>
                            </w:pPr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sz w:val="18"/>
                                <w:szCs w:val="16"/>
                              </w:rPr>
                              <w:t>Email：sangly@vstone.com.cn</w:t>
                            </w:r>
                          </w:p>
                          <w:p w:rsidR="00972CB4" w:rsidRPr="0032491D" w:rsidRDefault="00972CB4" w:rsidP="00FC5199">
                            <w:pPr>
                              <w:ind w:firstLineChars="50" w:firstLine="80"/>
                              <w:rPr>
                                <w:rFonts w:ascii="楷体" w:eastAsia="楷体" w:hAnsi="楷体" w:cs="Arial"/>
                                <w:sz w:val="16"/>
                                <w:szCs w:val="16"/>
                              </w:rPr>
                            </w:pPr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分析师：俞辰瑶</w:t>
                            </w:r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sz w:val="18"/>
                                <w:szCs w:val="16"/>
                              </w:rPr>
                              <w:t>Email：yucy@vstone.com.cn</w:t>
                            </w:r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72CB4" w:rsidRPr="0032491D" w:rsidTr="00FC5199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972CB4" w:rsidRPr="0032491D" w:rsidRDefault="00972CB4" w:rsidP="00FC5199">
                            <w:pPr>
                              <w:rPr>
                                <w:rFonts w:ascii="楷体" w:eastAsia="楷体" w:hAnsi="楷体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72CB4" w:rsidRPr="004071E8" w:rsidRDefault="00972CB4" w:rsidP="0053273E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91D">
        <w:rPr>
          <w:rFonts w:ascii="楷体" w:eastAsia="楷体" w:hAnsi="楷体" w:cs="Arial" w:hint="eastAsia"/>
          <w:b/>
        </w:rPr>
        <w:t>。</w:t>
      </w:r>
    </w:p>
    <w:p w:rsidR="0053273E" w:rsidRPr="0032491D" w:rsidRDefault="0053273E" w:rsidP="0053273E">
      <w:pPr>
        <w:pStyle w:val="a6"/>
        <w:numPr>
          <w:ilvl w:val="0"/>
          <w:numId w:val="1"/>
        </w:numPr>
        <w:ind w:firstLineChars="0"/>
        <w:rPr>
          <w:rFonts w:ascii="楷体" w:eastAsia="楷体" w:hAnsi="楷体" w:cs="Arial"/>
          <w:b/>
          <w:color w:val="996600"/>
          <w:sz w:val="32"/>
          <w:szCs w:val="28"/>
        </w:rPr>
      </w:pPr>
      <w:bookmarkStart w:id="1" w:name="_Toc431285223"/>
      <w:r w:rsidRPr="0032491D">
        <w:rPr>
          <w:rFonts w:ascii="楷体" w:eastAsia="楷体" w:hAnsi="楷体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0" wp14:anchorId="25E24DE3" wp14:editId="75D2C684">
                <wp:simplePos x="0" y="0"/>
                <wp:positionH relativeFrom="page">
                  <wp:posOffset>327804</wp:posOffset>
                </wp:positionH>
                <wp:positionV relativeFrom="paragraph">
                  <wp:posOffset>31295</wp:posOffset>
                </wp:positionV>
                <wp:extent cx="2441051" cy="8816196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6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972CB4" w:rsidRPr="00A64D32" w:rsidTr="00FC5199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Pr="00A64D32" w:rsidRDefault="00972CB4" w:rsidP="00D849A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01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2916.62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-0.74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3169.56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0.41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6653.51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0.55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2159.80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0.98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118.55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-0.02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91.39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972CB4" w:rsidRPr="003F211B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119.64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-0.39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Pr="00A64D32" w:rsidRDefault="00972CB4" w:rsidP="00D849AF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01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4948.06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3.62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2096.96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1.53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17787.20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0.08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20815.09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-1.20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17234.98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3.41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347.45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1.75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Pr="00A64D32" w:rsidRDefault="00972CB4" w:rsidP="00F63767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01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Pr="003175BA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95.84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3.00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-0.21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1217.50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-5.98</w:t>
                                  </w:r>
                                </w:p>
                              </w:tc>
                            </w:tr>
                            <w:tr w:rsidR="00972CB4" w:rsidRPr="00A64D32" w:rsidTr="00FC5199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48.83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2CB4" w:rsidRDefault="00972CB4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6.18</w:t>
                                  </w:r>
                                </w:p>
                              </w:tc>
                            </w:tr>
                          </w:tbl>
                          <w:p w:rsidR="00972CB4" w:rsidRPr="00AD43BA" w:rsidRDefault="00972CB4" w:rsidP="0053273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494" w:type="dxa"/>
                              <w:jc w:val="center"/>
                              <w:tblInd w:w="-10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</w:tblGrid>
                            <w:tr w:rsidR="00972CB4" w:rsidRPr="00A64D32" w:rsidTr="00FC5199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72CB4" w:rsidRDefault="00972CB4" w:rsidP="00F63767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01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5.31</w:t>
                                  </w:r>
                                </w:p>
                              </w:tc>
                            </w:tr>
                            <w:tr w:rsidR="00972CB4" w:rsidRPr="00A64D32" w:rsidTr="009A144C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72CB4" w:rsidRPr="00A64D32" w:rsidRDefault="00972CB4" w:rsidP="00FC5199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DA18A2" wp14:editId="28AC833E">
                                        <wp:extent cx="2043485" cy="3395207"/>
                                        <wp:effectExtent l="0" t="0" r="13970" b="15240"/>
                                        <wp:docPr id="11" name="图表 1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chart">
                                            <c:chart xmlns:c="http://schemas.openxmlformats.org/drawingml/2006/chart" xmlns:r="http://schemas.openxmlformats.org/officeDocument/2006/relationships" r:id="rId10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72CB4" w:rsidRPr="00BC1770" w:rsidRDefault="00972CB4" w:rsidP="0053273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8pt;margin-top:2.45pt;width:192.2pt;height:694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972CB4" w:rsidRPr="00A64D32" w:rsidTr="00FC5199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Pr="00A64D32" w:rsidRDefault="00972CB4" w:rsidP="00D849A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5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01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5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31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2916.62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-0.74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3169.56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0.41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6653.51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0.55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2159.80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0.98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118.55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-0.02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91.39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972CB4" w:rsidRPr="003F211B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119.64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-0.39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Pr="00A64D32" w:rsidRDefault="00972CB4" w:rsidP="00D849AF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5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01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5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31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</w:t>
                            </w: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4948.06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3.62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2096.96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1.53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17787.20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0.08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20815.09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-1.20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17234.98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3.41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347.45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1.75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Pr="00A64D32" w:rsidRDefault="00972CB4" w:rsidP="00F63767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5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01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5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31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Pr="003175BA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95.84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3.00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119.81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-0.21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1217.50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-5.98</w:t>
                            </w:r>
                          </w:p>
                        </w:tc>
                      </w:tr>
                      <w:tr w:rsidR="00972CB4" w:rsidRPr="00A64D32" w:rsidTr="00FC5199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48.83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72CB4" w:rsidRDefault="00972CB4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6.18</w:t>
                            </w:r>
                          </w:p>
                        </w:tc>
                      </w:tr>
                    </w:tbl>
                    <w:p w:rsidR="00972CB4" w:rsidRPr="00AD43BA" w:rsidRDefault="00972CB4" w:rsidP="0053273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494" w:type="dxa"/>
                        <w:jc w:val="center"/>
                        <w:tblInd w:w="-10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</w:tblGrid>
                      <w:tr w:rsidR="00972CB4" w:rsidRPr="00A64D32" w:rsidTr="00FC5199">
                        <w:trPr>
                          <w:trHeight w:val="435"/>
                          <w:jc w:val="center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72CB4" w:rsidRDefault="00972CB4" w:rsidP="00F63767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01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-2016.0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5.31</w:t>
                            </w:r>
                          </w:p>
                        </w:tc>
                      </w:tr>
                      <w:tr w:rsidR="00972CB4" w:rsidRPr="00A64D32" w:rsidTr="009A144C">
                        <w:trPr>
                          <w:trHeight w:val="2474"/>
                          <w:jc w:val="center"/>
                        </w:trPr>
                        <w:tc>
                          <w:tcPr>
                            <w:tcW w:w="3494" w:type="dxa"/>
                            <w:shd w:val="clear" w:color="auto" w:fill="auto"/>
                            <w:vAlign w:val="center"/>
                            <w:hideMark/>
                          </w:tcPr>
                          <w:p w:rsidR="00972CB4" w:rsidRPr="00A64D32" w:rsidRDefault="00972CB4" w:rsidP="00FC5199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DA18A2" wp14:editId="28AC833E">
                                  <wp:extent cx="2043485" cy="3395207"/>
                                  <wp:effectExtent l="0" t="0" r="13970" b="15240"/>
                                  <wp:docPr id="11" name="图表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72CB4" w:rsidRPr="00BC1770" w:rsidRDefault="00972CB4" w:rsidP="0053273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7C62">
        <w:rPr>
          <w:rFonts w:ascii="楷体" w:eastAsia="楷体" w:hAnsi="楷体" w:cs="Arial" w:hint="eastAsia"/>
          <w:b/>
          <w:color w:val="996600"/>
          <w:sz w:val="32"/>
          <w:szCs w:val="28"/>
        </w:rPr>
        <w:t>五月</w:t>
      </w:r>
      <w:r w:rsidRPr="0032491D">
        <w:rPr>
          <w:rFonts w:ascii="楷体" w:eastAsia="楷体" w:hAnsi="楷体" w:cs="Arial"/>
          <w:b/>
          <w:color w:val="996600"/>
          <w:sz w:val="32"/>
          <w:szCs w:val="28"/>
        </w:rPr>
        <w:t>资本市场回顾</w:t>
      </w:r>
      <w:bookmarkEnd w:id="1"/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A股市场</w:t>
      </w:r>
    </w:p>
    <w:p w:rsidR="0053273E" w:rsidRPr="0032491D" w:rsidRDefault="00D849AF" w:rsidP="009736C2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b/>
          <w:color w:val="auto"/>
          <w:sz w:val="20"/>
          <w:szCs w:val="20"/>
        </w:rPr>
        <w:t>A股</w:t>
      </w:r>
      <w:r w:rsidR="006251AD">
        <w:rPr>
          <w:rFonts w:ascii="楷体" w:eastAsia="楷体" w:hAnsi="楷体" w:cs="Arial" w:hint="eastAsia"/>
          <w:b/>
          <w:color w:val="auto"/>
          <w:sz w:val="20"/>
          <w:szCs w:val="20"/>
        </w:rPr>
        <w:t>横盘</w:t>
      </w:r>
      <w:r w:rsidR="009A144C">
        <w:rPr>
          <w:rFonts w:ascii="楷体" w:eastAsia="楷体" w:hAnsi="楷体" w:cs="Arial" w:hint="eastAsia"/>
          <w:b/>
          <w:color w:val="auto"/>
          <w:sz w:val="20"/>
          <w:szCs w:val="20"/>
        </w:rPr>
        <w:t>整理月末反弹</w:t>
      </w:r>
      <w:r w:rsidR="00D1090A">
        <w:rPr>
          <w:rFonts w:ascii="楷体" w:eastAsia="楷体" w:hAnsi="楷体" w:cs="Arial" w:hint="eastAsia"/>
          <w:b/>
          <w:color w:val="auto"/>
          <w:sz w:val="20"/>
          <w:szCs w:val="20"/>
        </w:rPr>
        <w:t>，</w:t>
      </w:r>
      <w:r w:rsidR="00875D06">
        <w:rPr>
          <w:rFonts w:ascii="楷体" w:eastAsia="楷体" w:hAnsi="楷体" w:cs="Arial" w:hint="eastAsia"/>
          <w:b/>
          <w:color w:val="auto"/>
          <w:sz w:val="20"/>
          <w:szCs w:val="20"/>
        </w:rPr>
        <w:t>沪股通大量净流入</w:t>
      </w:r>
      <w:r w:rsidR="0053273E" w:rsidRPr="0032491D">
        <w:rPr>
          <w:rFonts w:ascii="楷体" w:eastAsia="楷体" w:hAnsi="楷体" w:cs="Arial" w:hint="eastAsia"/>
          <w:b/>
          <w:color w:val="auto"/>
          <w:sz w:val="20"/>
          <w:szCs w:val="20"/>
        </w:rPr>
        <w:t>。</w:t>
      </w:r>
      <w:r w:rsidR="00875D06" w:rsidRPr="00875D06">
        <w:rPr>
          <w:rFonts w:ascii="楷体" w:eastAsia="楷体" w:hAnsi="楷体" w:cs="Arial" w:hint="eastAsia"/>
          <w:color w:val="auto"/>
          <w:sz w:val="20"/>
          <w:szCs w:val="20"/>
        </w:rPr>
        <w:t>5</w:t>
      </w:r>
      <w:r w:rsidR="002D5014">
        <w:rPr>
          <w:rFonts w:ascii="楷体" w:eastAsia="楷体" w:hAnsi="楷体" w:cs="Arial" w:hint="eastAsia"/>
          <w:color w:val="auto"/>
          <w:sz w:val="20"/>
          <w:szCs w:val="20"/>
        </w:rPr>
        <w:t>月初6日、9日的两次大跌使</w:t>
      </w:r>
      <w:r w:rsidR="00875D06" w:rsidRPr="00875D06">
        <w:rPr>
          <w:rFonts w:ascii="楷体" w:eastAsia="楷体" w:hAnsi="楷体" w:cs="Arial" w:hint="eastAsia"/>
          <w:color w:val="auto"/>
          <w:sz w:val="20"/>
          <w:szCs w:val="20"/>
        </w:rPr>
        <w:t>沪指从3000</w:t>
      </w:r>
      <w:r w:rsidR="00875D06">
        <w:rPr>
          <w:rFonts w:ascii="楷体" w:eastAsia="楷体" w:hAnsi="楷体" w:cs="Arial" w:hint="eastAsia"/>
          <w:color w:val="auto"/>
          <w:sz w:val="20"/>
          <w:szCs w:val="20"/>
        </w:rPr>
        <w:t>点左右</w:t>
      </w:r>
      <w:r w:rsidR="00875D06" w:rsidRPr="00875D06">
        <w:rPr>
          <w:rFonts w:ascii="楷体" w:eastAsia="楷体" w:hAnsi="楷体" w:cs="Arial" w:hint="eastAsia"/>
          <w:color w:val="auto"/>
          <w:sz w:val="20"/>
          <w:szCs w:val="20"/>
        </w:rPr>
        <w:t>滑落至2800点附近，</w:t>
      </w:r>
      <w:r w:rsidR="002D5014">
        <w:rPr>
          <w:rFonts w:ascii="楷体" w:eastAsia="楷体" w:hAnsi="楷体" w:cs="Arial" w:hint="eastAsia"/>
          <w:color w:val="auto"/>
          <w:sz w:val="20"/>
          <w:szCs w:val="20"/>
        </w:rPr>
        <w:t>随后</w:t>
      </w:r>
      <w:r w:rsidR="00875D06" w:rsidRPr="00875D06">
        <w:rPr>
          <w:rFonts w:ascii="楷体" w:eastAsia="楷体" w:hAnsi="楷体" w:cs="Arial" w:hint="eastAsia"/>
          <w:color w:val="auto"/>
          <w:sz w:val="20"/>
          <w:szCs w:val="20"/>
        </w:rPr>
        <w:t>大盘</w:t>
      </w:r>
      <w:r w:rsidR="002D5014" w:rsidRPr="001F47CB">
        <w:rPr>
          <w:rFonts w:ascii="楷体" w:eastAsia="楷体" w:hAnsi="楷体" w:cs="Arial" w:hint="eastAsia"/>
          <w:color w:val="auto"/>
          <w:sz w:val="20"/>
          <w:szCs w:val="20"/>
        </w:rPr>
        <w:t>完全是横向的窄幅整理</w:t>
      </w:r>
      <w:r w:rsidR="002D5014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2D5014" w:rsidRPr="00875D06">
        <w:rPr>
          <w:rFonts w:ascii="楷体" w:eastAsia="楷体" w:hAnsi="楷体" w:cs="Arial" w:hint="eastAsia"/>
          <w:color w:val="auto"/>
          <w:sz w:val="20"/>
          <w:szCs w:val="20"/>
        </w:rPr>
        <w:t>成交量创出四个月新低，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市场持续</w:t>
      </w:r>
      <w:r w:rsidR="00875D06">
        <w:rPr>
          <w:rFonts w:ascii="楷体" w:eastAsia="楷体" w:hAnsi="楷体" w:cs="Arial" w:hint="eastAsia"/>
          <w:color w:val="auto"/>
          <w:sz w:val="20"/>
          <w:szCs w:val="20"/>
        </w:rPr>
        <w:t>低迷。</w:t>
      </w:r>
      <w:r w:rsidR="007C270A">
        <w:rPr>
          <w:rFonts w:ascii="楷体" w:eastAsia="楷体" w:hAnsi="楷体" w:cs="Arial" w:hint="eastAsia"/>
          <w:color w:val="auto"/>
          <w:sz w:val="20"/>
          <w:szCs w:val="20"/>
        </w:rPr>
        <w:t>收紧</w:t>
      </w:r>
      <w:proofErr w:type="gramStart"/>
      <w:r w:rsidR="007C270A">
        <w:rPr>
          <w:rFonts w:ascii="楷体" w:eastAsia="楷体" w:hAnsi="楷体" w:cs="Arial" w:hint="eastAsia"/>
          <w:color w:val="auto"/>
          <w:sz w:val="20"/>
          <w:szCs w:val="20"/>
        </w:rPr>
        <w:t>中概股</w:t>
      </w:r>
      <w:proofErr w:type="gramEnd"/>
      <w:r w:rsidR="007C270A">
        <w:rPr>
          <w:rFonts w:ascii="楷体" w:eastAsia="楷体" w:hAnsi="楷体" w:cs="Arial" w:hint="eastAsia"/>
          <w:color w:val="auto"/>
          <w:sz w:val="20"/>
          <w:szCs w:val="20"/>
        </w:rPr>
        <w:t>回归</w:t>
      </w:r>
      <w:r w:rsidR="007C270A" w:rsidRPr="007C270A">
        <w:rPr>
          <w:rFonts w:ascii="楷体" w:eastAsia="楷体" w:hAnsi="楷体" w:cs="Arial" w:hint="eastAsia"/>
          <w:color w:val="auto"/>
          <w:sz w:val="20"/>
          <w:szCs w:val="20"/>
        </w:rPr>
        <w:t>，市场传出“四行业跨界并购被叫停”的消息</w:t>
      </w:r>
      <w:r w:rsidR="007C270A">
        <w:rPr>
          <w:rFonts w:ascii="楷体" w:eastAsia="楷体" w:hAnsi="楷体" w:cs="Arial" w:hint="eastAsia"/>
          <w:color w:val="auto"/>
          <w:sz w:val="20"/>
          <w:szCs w:val="20"/>
        </w:rPr>
        <w:t>又被否认</w:t>
      </w:r>
      <w:r w:rsidR="007C270A" w:rsidRPr="007C270A">
        <w:rPr>
          <w:rFonts w:ascii="楷体" w:eastAsia="楷体" w:hAnsi="楷体" w:cs="Arial" w:hint="eastAsia"/>
          <w:color w:val="auto"/>
          <w:sz w:val="20"/>
          <w:szCs w:val="20"/>
        </w:rPr>
        <w:t>，再加上私募严加监管、限售股解禁、中小</w:t>
      </w:r>
      <w:proofErr w:type="gramStart"/>
      <w:r w:rsidR="007C270A" w:rsidRPr="007C270A">
        <w:rPr>
          <w:rFonts w:ascii="楷体" w:eastAsia="楷体" w:hAnsi="楷体" w:cs="Arial" w:hint="eastAsia"/>
          <w:color w:val="auto"/>
          <w:sz w:val="20"/>
          <w:szCs w:val="20"/>
        </w:rPr>
        <w:t>创板块</w:t>
      </w:r>
      <w:proofErr w:type="gramEnd"/>
      <w:r w:rsidR="007C270A" w:rsidRPr="007C270A">
        <w:rPr>
          <w:rFonts w:ascii="楷体" w:eastAsia="楷体" w:hAnsi="楷体" w:cs="Arial" w:hint="eastAsia"/>
          <w:color w:val="auto"/>
          <w:sz w:val="20"/>
          <w:szCs w:val="20"/>
        </w:rPr>
        <w:t>大股东的</w:t>
      </w:r>
      <w:proofErr w:type="gramStart"/>
      <w:r w:rsidR="007C270A" w:rsidRPr="007C270A">
        <w:rPr>
          <w:rFonts w:ascii="楷体" w:eastAsia="楷体" w:hAnsi="楷体" w:cs="Arial" w:hint="eastAsia"/>
          <w:color w:val="auto"/>
          <w:sz w:val="20"/>
          <w:szCs w:val="20"/>
        </w:rPr>
        <w:t>减持等一系列</w:t>
      </w:r>
      <w:proofErr w:type="gramEnd"/>
      <w:r w:rsidR="007C270A" w:rsidRPr="007C270A">
        <w:rPr>
          <w:rFonts w:ascii="楷体" w:eastAsia="楷体" w:hAnsi="楷体" w:cs="Arial" w:hint="eastAsia"/>
          <w:color w:val="auto"/>
          <w:sz w:val="20"/>
          <w:szCs w:val="20"/>
        </w:rPr>
        <w:t>消息，</w:t>
      </w:r>
      <w:r w:rsidR="007C270A">
        <w:rPr>
          <w:rFonts w:ascii="楷体" w:eastAsia="楷体" w:hAnsi="楷体" w:cs="Arial" w:hint="eastAsia"/>
          <w:color w:val="auto"/>
          <w:sz w:val="20"/>
          <w:szCs w:val="20"/>
        </w:rPr>
        <w:t>使得投资者参与情绪不高。</w:t>
      </w:r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融资</w:t>
      </w:r>
      <w:proofErr w:type="gramStart"/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客保持</w:t>
      </w:r>
      <w:proofErr w:type="gramEnd"/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谨慎，A</w:t>
      </w:r>
      <w:proofErr w:type="gramStart"/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股两融</w:t>
      </w:r>
      <w:proofErr w:type="gramEnd"/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余额连续下降逼近8200亿关口，</w:t>
      </w:r>
      <w:proofErr w:type="gramStart"/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续创2014年11月27日</w:t>
      </w:r>
      <w:proofErr w:type="gramEnd"/>
      <w:r w:rsidR="00E44606" w:rsidRPr="002D5014">
        <w:rPr>
          <w:rFonts w:ascii="楷体" w:eastAsia="楷体" w:hAnsi="楷体" w:cs="Arial" w:hint="eastAsia"/>
          <w:color w:val="000000" w:themeColor="text1"/>
          <w:sz w:val="20"/>
          <w:szCs w:val="20"/>
        </w:rPr>
        <w:t>以来新低。截至5月30日，沪深两市融资融券余额报8209.08亿元，较前一交易日减少15亿元。</w:t>
      </w:r>
      <w:r w:rsidR="009A144C" w:rsidRPr="00D849AF">
        <w:rPr>
          <w:rFonts w:ascii="楷体" w:eastAsia="楷体" w:hAnsi="楷体" w:cs="Arial" w:hint="eastAsia"/>
          <w:color w:val="auto"/>
          <w:sz w:val="20"/>
          <w:szCs w:val="20"/>
        </w:rPr>
        <w:t>虽然A股市场表现不佳，但被业内誉为“先知先觉”的沪股</w:t>
      </w:r>
      <w:proofErr w:type="gramStart"/>
      <w:r w:rsidR="009A144C" w:rsidRPr="00D849AF">
        <w:rPr>
          <w:rFonts w:ascii="楷体" w:eastAsia="楷体" w:hAnsi="楷体" w:cs="Arial" w:hint="eastAsia"/>
          <w:color w:val="auto"/>
          <w:sz w:val="20"/>
          <w:szCs w:val="20"/>
        </w:rPr>
        <w:t>通资金</w:t>
      </w:r>
      <w:proofErr w:type="gramEnd"/>
      <w:r w:rsidR="009A144C" w:rsidRPr="00D849AF">
        <w:rPr>
          <w:rFonts w:ascii="楷体" w:eastAsia="楷体" w:hAnsi="楷体" w:cs="Arial" w:hint="eastAsia"/>
          <w:color w:val="auto"/>
          <w:sz w:val="20"/>
          <w:szCs w:val="20"/>
        </w:rPr>
        <w:t>却在加速进入A股市场</w:t>
      </w:r>
      <w:r w:rsidR="009A144C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="009A144C" w:rsidRPr="009A144C">
        <w:rPr>
          <w:rFonts w:ascii="楷体" w:eastAsia="楷体" w:hAnsi="楷体" w:cs="Arial" w:hint="eastAsia"/>
          <w:color w:val="auto"/>
          <w:sz w:val="20"/>
          <w:szCs w:val="20"/>
        </w:rPr>
        <w:t>从5月份沪股通数据来看，外资抄底凶猛，沪股</w:t>
      </w:r>
      <w:proofErr w:type="gramStart"/>
      <w:r w:rsidR="009A144C" w:rsidRPr="009A144C">
        <w:rPr>
          <w:rFonts w:ascii="楷体" w:eastAsia="楷体" w:hAnsi="楷体" w:cs="Arial" w:hint="eastAsia"/>
          <w:color w:val="auto"/>
          <w:sz w:val="20"/>
          <w:szCs w:val="20"/>
        </w:rPr>
        <w:t>通连续</w:t>
      </w:r>
      <w:proofErr w:type="gramEnd"/>
      <w:r w:rsidR="009A144C" w:rsidRPr="009A144C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="006135A5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 w:rsidR="009A144C" w:rsidRPr="009A144C">
        <w:rPr>
          <w:rFonts w:ascii="楷体" w:eastAsia="楷体" w:hAnsi="楷体" w:cs="Arial" w:hint="eastAsia"/>
          <w:color w:val="auto"/>
          <w:sz w:val="20"/>
          <w:szCs w:val="20"/>
        </w:rPr>
        <w:t>天净流入</w:t>
      </w:r>
      <w:r w:rsidR="006135A5">
        <w:rPr>
          <w:rFonts w:ascii="楷体" w:eastAsia="楷体" w:hAnsi="楷体" w:cs="Arial" w:hint="eastAsia"/>
          <w:color w:val="auto"/>
          <w:sz w:val="20"/>
          <w:szCs w:val="20"/>
        </w:rPr>
        <w:t>128</w:t>
      </w:r>
      <w:r w:rsidR="009A144C" w:rsidRPr="009A144C">
        <w:rPr>
          <w:rFonts w:ascii="楷体" w:eastAsia="楷体" w:hAnsi="楷体" w:cs="Arial" w:hint="eastAsia"/>
          <w:color w:val="auto"/>
          <w:sz w:val="20"/>
          <w:szCs w:val="20"/>
        </w:rPr>
        <w:t>亿。</w:t>
      </w:r>
      <w:r w:rsidR="009A144C">
        <w:rPr>
          <w:rFonts w:ascii="楷体" w:eastAsia="楷体" w:hAnsi="楷体" w:cs="Arial" w:hint="eastAsia"/>
          <w:color w:val="auto"/>
          <w:sz w:val="20"/>
          <w:szCs w:val="20"/>
        </w:rPr>
        <w:t>尤其是</w:t>
      </w:r>
      <w:r w:rsidR="009A144C" w:rsidRPr="009A144C">
        <w:rPr>
          <w:rFonts w:ascii="楷体" w:eastAsia="楷体" w:hAnsi="楷体" w:cs="Arial" w:hint="eastAsia"/>
          <w:color w:val="auto"/>
          <w:sz w:val="20"/>
          <w:szCs w:val="20"/>
        </w:rPr>
        <w:t>30 日沪股通出现近30亿资金流入，加上MSCI纳入概率提高等利好，</w:t>
      </w:r>
      <w:r w:rsidR="006135A5">
        <w:rPr>
          <w:rFonts w:ascii="楷体" w:eastAsia="楷体" w:hAnsi="楷体" w:cs="Arial" w:hint="eastAsia"/>
          <w:color w:val="auto"/>
          <w:sz w:val="20"/>
          <w:szCs w:val="20"/>
        </w:rPr>
        <w:t>使得</w:t>
      </w:r>
      <w:r w:rsidR="00AB2C2A">
        <w:rPr>
          <w:rFonts w:ascii="楷体" w:eastAsia="楷体" w:hAnsi="楷体" w:cs="Arial" w:hint="eastAsia"/>
          <w:color w:val="000000" w:themeColor="text1"/>
          <w:sz w:val="20"/>
          <w:szCs w:val="20"/>
        </w:rPr>
        <w:t>5月最后一天，</w:t>
      </w:r>
      <w:r w:rsidR="003B2457" w:rsidRPr="003B2457">
        <w:rPr>
          <w:rFonts w:ascii="楷体" w:eastAsia="楷体" w:hAnsi="楷体" w:cs="Arial" w:hint="eastAsia"/>
          <w:color w:val="000000" w:themeColor="text1"/>
          <w:sz w:val="20"/>
          <w:szCs w:val="20"/>
        </w:rPr>
        <w:t>非银金融爆发，带动A股走强， 最终收于2900点上方。</w:t>
      </w:r>
      <w:r w:rsidR="002D5014" w:rsidRPr="003B2457">
        <w:rPr>
          <w:rFonts w:ascii="楷体" w:eastAsia="楷体" w:hAnsi="楷体" w:cs="Arial" w:hint="eastAsia"/>
          <w:color w:val="auto"/>
          <w:sz w:val="20"/>
          <w:szCs w:val="20"/>
        </w:rPr>
        <w:t>成交量</w:t>
      </w:r>
      <w:r w:rsidR="003B2457" w:rsidRPr="003B2457">
        <w:rPr>
          <w:rFonts w:ascii="楷体" w:eastAsia="楷体" w:hAnsi="楷体" w:cs="Arial" w:hint="eastAsia"/>
          <w:color w:val="auto"/>
          <w:sz w:val="20"/>
          <w:szCs w:val="20"/>
        </w:rPr>
        <w:t>也</w:t>
      </w:r>
      <w:r w:rsidR="002D5014" w:rsidRPr="003B2457">
        <w:rPr>
          <w:rFonts w:ascii="楷体" w:eastAsia="楷体" w:hAnsi="楷体" w:cs="Arial" w:hint="eastAsia"/>
          <w:color w:val="auto"/>
          <w:sz w:val="20"/>
          <w:szCs w:val="20"/>
        </w:rPr>
        <w:t>开始放大，</w:t>
      </w:r>
      <w:r w:rsidR="003B2457" w:rsidRPr="003B2457">
        <w:rPr>
          <w:rFonts w:ascii="楷体" w:eastAsia="楷体" w:hAnsi="楷体" w:cs="Arial" w:hint="eastAsia"/>
          <w:color w:val="auto"/>
          <w:sz w:val="20"/>
          <w:szCs w:val="20"/>
        </w:rPr>
        <w:t>万得全A指数资金净流入564亿元，结束此前6连出，两市资金净流入创下A股近五年新高。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全</w:t>
      </w:r>
      <w:r w:rsidR="007C270A">
        <w:rPr>
          <w:rFonts w:ascii="楷体" w:eastAsia="楷体" w:hAnsi="楷体" w:cs="Arial" w:hint="eastAsia"/>
          <w:color w:val="auto"/>
          <w:sz w:val="20"/>
          <w:szCs w:val="20"/>
        </w:rPr>
        <w:t>月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来看，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上证综指跌</w:t>
      </w:r>
      <w:r w:rsidR="009A144C">
        <w:rPr>
          <w:rFonts w:ascii="楷体" w:eastAsia="楷体" w:hAnsi="楷体" w:cs="Arial" w:hint="eastAsia"/>
          <w:color w:val="auto"/>
          <w:sz w:val="20"/>
          <w:szCs w:val="20"/>
        </w:rPr>
        <w:t>0.74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，沪深300</w:t>
      </w:r>
      <w:r w:rsidR="00FC2361" w:rsidRPr="00D849AF">
        <w:rPr>
          <w:rFonts w:ascii="楷体" w:eastAsia="楷体" w:hAnsi="楷体" w:cs="Arial" w:hint="eastAsia"/>
          <w:color w:val="auto"/>
          <w:sz w:val="20"/>
          <w:szCs w:val="20"/>
        </w:rPr>
        <w:t>涨0.</w:t>
      </w:r>
      <w:r w:rsidR="009A144C">
        <w:rPr>
          <w:rFonts w:ascii="楷体" w:eastAsia="楷体" w:hAnsi="楷体" w:cs="Arial" w:hint="eastAsia"/>
          <w:color w:val="auto"/>
          <w:sz w:val="20"/>
          <w:szCs w:val="20"/>
        </w:rPr>
        <w:t>41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%，中小板指</w:t>
      </w:r>
      <w:r w:rsidR="00FC2361" w:rsidRPr="00D849AF">
        <w:rPr>
          <w:rFonts w:ascii="楷体" w:eastAsia="楷体" w:hAnsi="楷体" w:cs="Arial" w:hint="eastAsia"/>
          <w:color w:val="auto"/>
          <w:sz w:val="20"/>
          <w:szCs w:val="20"/>
        </w:rPr>
        <w:t>涨0.55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%</w:t>
      </w:r>
      <w:r w:rsidR="00FC2361" w:rsidRPr="00D849AF">
        <w:rPr>
          <w:rFonts w:ascii="楷体" w:eastAsia="楷体" w:hAnsi="楷体" w:cs="Arial"/>
          <w:color w:val="auto"/>
          <w:sz w:val="20"/>
          <w:szCs w:val="20"/>
        </w:rPr>
        <w:t>、创业板指涨</w:t>
      </w:r>
      <w:r w:rsidR="009A144C">
        <w:rPr>
          <w:rFonts w:ascii="楷体" w:eastAsia="楷体" w:hAnsi="楷体" w:cs="Arial" w:hint="eastAsia"/>
          <w:color w:val="auto"/>
          <w:sz w:val="20"/>
          <w:szCs w:val="20"/>
        </w:rPr>
        <w:t>0</w:t>
      </w:r>
      <w:r w:rsidR="00FC2361" w:rsidRPr="00D849AF">
        <w:rPr>
          <w:rFonts w:ascii="楷体" w:eastAsia="楷体" w:hAnsi="楷体" w:cs="Arial" w:hint="eastAsia"/>
          <w:color w:val="auto"/>
          <w:sz w:val="20"/>
          <w:szCs w:val="20"/>
        </w:rPr>
        <w:t>.98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%。从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概念板块来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看，</w:t>
      </w:r>
      <w:r w:rsidR="00FC2361" w:rsidRPr="00D849AF">
        <w:rPr>
          <w:rFonts w:ascii="楷体" w:eastAsia="楷体" w:hAnsi="楷体" w:cs="Arial" w:hint="eastAsia"/>
          <w:color w:val="auto"/>
          <w:sz w:val="20"/>
          <w:szCs w:val="20"/>
        </w:rPr>
        <w:t>稀土永磁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指数（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23.52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%）、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次新股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指数（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21.99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%）、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锂电池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指数（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4.75</w:t>
      </w:r>
      <w:r w:rsidR="0053273E" w:rsidRPr="00D849AF">
        <w:rPr>
          <w:rFonts w:ascii="楷体" w:eastAsia="楷体" w:hAnsi="楷体" w:cs="Arial" w:hint="eastAsia"/>
          <w:color w:val="auto"/>
          <w:sz w:val="20"/>
          <w:szCs w:val="20"/>
        </w:rPr>
        <w:t>%）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表现</w:t>
      </w:r>
      <w:r w:rsidR="00A36CC5" w:rsidRPr="00D849AF">
        <w:rPr>
          <w:rFonts w:ascii="楷体" w:eastAsia="楷体" w:hAnsi="楷体" w:cs="Arial"/>
          <w:color w:val="auto"/>
          <w:sz w:val="20"/>
          <w:szCs w:val="20"/>
        </w:rPr>
        <w:t>相对</w:t>
      </w:r>
      <w:r w:rsidR="0053273E" w:rsidRPr="00D849AF">
        <w:rPr>
          <w:rFonts w:ascii="楷体" w:eastAsia="楷体" w:hAnsi="楷体" w:cs="Arial"/>
          <w:color w:val="auto"/>
          <w:sz w:val="20"/>
          <w:szCs w:val="20"/>
        </w:rPr>
        <w:t>较好。29个中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信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一级行业</w:t>
      </w:r>
      <w:proofErr w:type="gramEnd"/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有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9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个行业上涨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，其中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电子元器件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4.61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%）、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计算机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3.11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%）</w:t>
      </w:r>
      <w:r w:rsidR="0053273E">
        <w:rPr>
          <w:rFonts w:ascii="楷体" w:eastAsia="楷体" w:hAnsi="楷体" w:cs="Arial" w:hint="eastAsia"/>
          <w:color w:val="auto"/>
          <w:sz w:val="20"/>
          <w:szCs w:val="20"/>
        </w:rPr>
        <w:t>、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食品饮料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2.29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%）等行业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表现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相对较好，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煤炭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FC2361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0.54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%）、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综合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7.10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%）、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餐饮旅游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E2352A">
        <w:rPr>
          <w:rFonts w:ascii="楷体" w:eastAsia="楷体" w:hAnsi="楷体" w:cs="Arial" w:hint="eastAsia"/>
          <w:color w:val="auto"/>
          <w:sz w:val="20"/>
          <w:szCs w:val="20"/>
        </w:rPr>
        <w:t>5.60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%）等行业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表现垫底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。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国内债券市场</w:t>
      </w:r>
    </w:p>
    <w:p w:rsidR="0053273E" w:rsidRPr="008421B1" w:rsidRDefault="006877C8" w:rsidP="00587A7B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FF0000"/>
          <w:sz w:val="20"/>
          <w:szCs w:val="20"/>
        </w:rPr>
      </w:pPr>
      <w:r w:rsidRPr="006877C8">
        <w:rPr>
          <w:rFonts w:ascii="楷体" w:eastAsia="楷体" w:hAnsi="楷体" w:cs="Arial" w:hint="eastAsia"/>
          <w:b/>
          <w:color w:val="auto"/>
          <w:sz w:val="20"/>
          <w:szCs w:val="20"/>
        </w:rPr>
        <w:t>央行</w:t>
      </w:r>
      <w:proofErr w:type="gramStart"/>
      <w:r w:rsidRPr="006877C8">
        <w:rPr>
          <w:rFonts w:ascii="楷体" w:eastAsia="楷体" w:hAnsi="楷体" w:cs="Arial" w:hint="eastAsia"/>
          <w:b/>
          <w:color w:val="auto"/>
          <w:sz w:val="20"/>
          <w:szCs w:val="20"/>
        </w:rPr>
        <w:t>维稳立场</w:t>
      </w:r>
      <w:proofErr w:type="gramEnd"/>
      <w:r w:rsidRPr="006877C8">
        <w:rPr>
          <w:rFonts w:ascii="楷体" w:eastAsia="楷体" w:hAnsi="楷体" w:cs="Arial" w:hint="eastAsia"/>
          <w:b/>
          <w:color w:val="auto"/>
          <w:sz w:val="20"/>
          <w:szCs w:val="20"/>
        </w:rPr>
        <w:t>坚固</w:t>
      </w:r>
      <w:r w:rsidR="00E54722" w:rsidRPr="006877C8">
        <w:rPr>
          <w:rFonts w:ascii="楷体" w:eastAsia="楷体" w:hAnsi="楷体" w:cs="Arial" w:hint="eastAsia"/>
          <w:b/>
          <w:color w:val="auto"/>
          <w:sz w:val="20"/>
          <w:szCs w:val="20"/>
        </w:rPr>
        <w:t>，</w:t>
      </w:r>
      <w:r w:rsidR="009351BC">
        <w:rPr>
          <w:rFonts w:ascii="楷体" w:eastAsia="楷体" w:hAnsi="楷体" w:cs="Arial" w:hint="eastAsia"/>
          <w:b/>
          <w:color w:val="auto"/>
          <w:sz w:val="20"/>
          <w:szCs w:val="20"/>
        </w:rPr>
        <w:t>违约风险仍</w:t>
      </w:r>
      <w:r w:rsidR="00587A7B">
        <w:rPr>
          <w:rFonts w:ascii="楷体" w:eastAsia="楷体" w:hAnsi="楷体" w:cs="Arial" w:hint="eastAsia"/>
          <w:b/>
          <w:color w:val="auto"/>
          <w:sz w:val="20"/>
          <w:szCs w:val="20"/>
        </w:rPr>
        <w:t>未</w:t>
      </w:r>
      <w:r w:rsidR="009351BC">
        <w:rPr>
          <w:rFonts w:ascii="楷体" w:eastAsia="楷体" w:hAnsi="楷体" w:cs="Arial" w:hint="eastAsia"/>
          <w:b/>
          <w:color w:val="auto"/>
          <w:sz w:val="20"/>
          <w:szCs w:val="20"/>
        </w:rPr>
        <w:t>释放完毕</w:t>
      </w:r>
      <w:r w:rsidR="0053273E" w:rsidRPr="006877C8">
        <w:rPr>
          <w:rFonts w:ascii="楷体" w:eastAsia="楷体" w:hAnsi="楷体" w:cs="Arial"/>
          <w:b/>
          <w:color w:val="auto"/>
          <w:sz w:val="20"/>
          <w:szCs w:val="20"/>
        </w:rPr>
        <w:t>。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进入5 月份后银行间流动性平稳，</w:t>
      </w:r>
      <w:r w:rsidR="008421B1">
        <w:rPr>
          <w:rFonts w:ascii="楷体" w:eastAsia="楷体" w:hAnsi="楷体" w:cs="Arial" w:hint="eastAsia"/>
          <w:color w:val="auto"/>
          <w:sz w:val="20"/>
          <w:szCs w:val="20"/>
        </w:rPr>
        <w:t>央行</w:t>
      </w:r>
      <w:r w:rsidR="008421B1" w:rsidRPr="008421B1">
        <w:rPr>
          <w:rFonts w:ascii="楷体" w:eastAsia="楷体" w:hAnsi="楷体" w:cs="Arial" w:hint="eastAsia"/>
          <w:color w:val="auto"/>
          <w:sz w:val="20"/>
          <w:szCs w:val="20"/>
        </w:rPr>
        <w:t>综合运用公开市场操作、中期借贷便利(MLF)、常备借贷便利(SLF)</w:t>
      </w:r>
      <w:r w:rsidR="009351BC">
        <w:rPr>
          <w:rFonts w:hint="eastAsia"/>
        </w:rPr>
        <w:t>、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常态</w:t>
      </w:r>
      <w:proofErr w:type="gramStart"/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化开展</w:t>
      </w:r>
      <w:proofErr w:type="gramEnd"/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抵押补充贷款（PSL）操作</w:t>
      </w:r>
      <w:r w:rsidR="008421B1" w:rsidRPr="008421B1">
        <w:rPr>
          <w:rFonts w:ascii="楷体" w:eastAsia="楷体" w:hAnsi="楷体" w:cs="Arial" w:hint="eastAsia"/>
          <w:color w:val="auto"/>
          <w:sz w:val="20"/>
          <w:szCs w:val="20"/>
        </w:rPr>
        <w:t>等</w:t>
      </w:r>
      <w:r w:rsidR="008421B1">
        <w:rPr>
          <w:rFonts w:ascii="楷体" w:eastAsia="楷体" w:hAnsi="楷体" w:cs="Arial" w:hint="eastAsia"/>
          <w:color w:val="auto"/>
          <w:sz w:val="20"/>
          <w:szCs w:val="20"/>
        </w:rPr>
        <w:t>工具</w:t>
      </w:r>
      <w:r w:rsidR="008421B1" w:rsidRPr="008421B1">
        <w:rPr>
          <w:rFonts w:ascii="楷体" w:eastAsia="楷体" w:hAnsi="楷体" w:cs="Arial" w:hint="eastAsia"/>
          <w:color w:val="auto"/>
          <w:sz w:val="20"/>
          <w:szCs w:val="20"/>
        </w:rPr>
        <w:t>，灵活提供长、中、短期流动性，保持银行体系流动性合理充裕。央行货币政策分析小组发布的《2015年以来稳健货币政策主要特点的回顾》继续强调稳健的货币政策，显示维稳态度坚决</w:t>
      </w:r>
      <w:r w:rsidR="008421B1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到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5 月下半月资金面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依旧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平稳</w:t>
      </w:r>
      <w:r w:rsidR="003B2457">
        <w:rPr>
          <w:rFonts w:ascii="楷体" w:eastAsia="楷体" w:hAnsi="楷体" w:cs="Arial" w:hint="eastAsia"/>
          <w:color w:val="auto"/>
          <w:sz w:val="20"/>
          <w:szCs w:val="20"/>
        </w:rPr>
        <w:t>偏松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，但流动性预期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有所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谨慎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="00777158">
        <w:rPr>
          <w:rFonts w:ascii="楷体" w:eastAsia="楷体" w:hAnsi="楷体" w:cs="Arial" w:hint="eastAsia"/>
          <w:color w:val="auto"/>
          <w:sz w:val="20"/>
          <w:szCs w:val="20"/>
        </w:rPr>
        <w:t>总体来说，</w:t>
      </w:r>
      <w:r w:rsidR="00777158" w:rsidRPr="00D849AF">
        <w:rPr>
          <w:rFonts w:ascii="楷体" w:eastAsia="楷体" w:hAnsi="楷体" w:cs="Arial" w:hint="eastAsia"/>
          <w:color w:val="auto"/>
          <w:sz w:val="20"/>
          <w:szCs w:val="20"/>
        </w:rPr>
        <w:t>短端7天逆回购招标利率仍维持在2.25%不变。</w:t>
      </w:r>
      <w:r w:rsidR="00777158">
        <w:rPr>
          <w:rFonts w:ascii="楷体" w:eastAsia="楷体" w:hAnsi="楷体" w:cs="Arial" w:hint="eastAsia"/>
          <w:color w:val="auto"/>
          <w:sz w:val="20"/>
          <w:szCs w:val="20"/>
        </w:rPr>
        <w:t>与上月末</w:t>
      </w:r>
      <w:r w:rsidR="003B2457">
        <w:rPr>
          <w:rFonts w:ascii="楷体" w:eastAsia="楷体" w:hAnsi="楷体" w:cs="Arial" w:hint="eastAsia"/>
          <w:color w:val="auto"/>
          <w:sz w:val="20"/>
          <w:szCs w:val="20"/>
        </w:rPr>
        <w:t>最后一周</w:t>
      </w:r>
      <w:r w:rsidR="00777158">
        <w:rPr>
          <w:rFonts w:ascii="楷体" w:eastAsia="楷体" w:hAnsi="楷体" w:cs="Arial" w:hint="eastAsia"/>
          <w:color w:val="auto"/>
          <w:sz w:val="20"/>
          <w:szCs w:val="20"/>
        </w:rPr>
        <w:t>相比，</w:t>
      </w:r>
      <w:r w:rsidR="00777158" w:rsidRPr="003B2457">
        <w:rPr>
          <w:rFonts w:ascii="楷体" w:eastAsia="楷体" w:hAnsi="楷体" w:cs="Arial" w:hint="eastAsia"/>
          <w:color w:val="auto"/>
          <w:sz w:val="20"/>
          <w:szCs w:val="20"/>
        </w:rPr>
        <w:t>银行间7天回购利率R007下行</w:t>
      </w:r>
      <w:r w:rsidR="003B2457" w:rsidRPr="003B2457">
        <w:rPr>
          <w:rFonts w:ascii="楷体" w:eastAsia="楷体" w:hAnsi="楷体" w:cs="Arial" w:hint="eastAsia"/>
          <w:color w:val="auto"/>
          <w:sz w:val="20"/>
          <w:szCs w:val="20"/>
        </w:rPr>
        <w:t>14</w:t>
      </w:r>
      <w:r w:rsidR="00777158" w:rsidRPr="003B2457">
        <w:rPr>
          <w:rFonts w:ascii="楷体" w:eastAsia="楷体" w:hAnsi="楷体" w:cs="Arial" w:hint="eastAsia"/>
          <w:color w:val="auto"/>
          <w:sz w:val="20"/>
          <w:szCs w:val="20"/>
        </w:rPr>
        <w:t>bp至2.4</w:t>
      </w:r>
      <w:r w:rsidR="003B2457" w:rsidRPr="003B2457"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 w:rsidR="00777158" w:rsidRPr="003B2457">
        <w:rPr>
          <w:rFonts w:ascii="楷体" w:eastAsia="楷体" w:hAnsi="楷体" w:cs="Arial" w:hint="eastAsia"/>
          <w:color w:val="auto"/>
          <w:sz w:val="20"/>
          <w:szCs w:val="20"/>
        </w:rPr>
        <w:t>%，隔夜回购利率R001</w:t>
      </w:r>
      <w:r w:rsidR="003B2457" w:rsidRPr="003B2457">
        <w:rPr>
          <w:rFonts w:ascii="楷体" w:eastAsia="楷体" w:hAnsi="楷体" w:cs="Arial" w:hint="eastAsia"/>
          <w:color w:val="auto"/>
          <w:sz w:val="20"/>
          <w:szCs w:val="20"/>
        </w:rPr>
        <w:t>下行4bp至</w:t>
      </w:r>
      <w:r w:rsidR="00777158" w:rsidRPr="003B2457">
        <w:rPr>
          <w:rFonts w:ascii="楷体" w:eastAsia="楷体" w:hAnsi="楷体" w:cs="Arial" w:hint="eastAsia"/>
          <w:color w:val="auto"/>
          <w:sz w:val="20"/>
          <w:szCs w:val="20"/>
        </w:rPr>
        <w:t>2.03%。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利率债方面，上半月曾出现短暂的交易性机会，但中旬之后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在人民币贬值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预期再起、金融去杠杆担忧等因素扰动下</w:t>
      </w:r>
      <w:r w:rsidR="009351BC" w:rsidRPr="009351BC">
        <w:rPr>
          <w:rFonts w:ascii="楷体" w:eastAsia="楷体" w:hAnsi="楷体" w:cs="Arial" w:hint="eastAsia"/>
          <w:color w:val="auto"/>
          <w:sz w:val="20"/>
          <w:szCs w:val="20"/>
        </w:rPr>
        <w:t>收益率再度出现上行</w:t>
      </w:r>
      <w:r w:rsidR="009351BC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="00A867D5" w:rsidRPr="00587A7B">
        <w:rPr>
          <w:rFonts w:ascii="楷体" w:eastAsia="楷体" w:hAnsi="楷体" w:cs="Arial" w:hint="eastAsia"/>
          <w:color w:val="000000" w:themeColor="text1"/>
          <w:sz w:val="20"/>
          <w:szCs w:val="20"/>
        </w:rPr>
        <w:t>信用债方面，</w:t>
      </w:r>
      <w:r w:rsidR="00587A7B" w:rsidRPr="00587A7B">
        <w:rPr>
          <w:rFonts w:ascii="楷体" w:eastAsia="楷体" w:hAnsi="楷体" w:cs="Arial" w:hint="eastAsia"/>
          <w:color w:val="000000" w:themeColor="text1"/>
          <w:sz w:val="20"/>
          <w:szCs w:val="20"/>
        </w:rPr>
        <w:t>2016年前5个月出现的债券违约事件，不管是从涉及的企业数量、债券数量、债券金额，都已经远超2015年全年。市场对于产能过剩及低评级企业的风险偏好远未恢复</w:t>
      </w:r>
      <w:r w:rsidR="00587A7B">
        <w:rPr>
          <w:rFonts w:ascii="楷体" w:eastAsia="楷体" w:hAnsi="楷体" w:cs="Arial" w:hint="eastAsia"/>
          <w:color w:val="000000" w:themeColor="text1"/>
          <w:sz w:val="20"/>
          <w:szCs w:val="20"/>
        </w:rPr>
        <w:t>，再加上</w:t>
      </w:r>
      <w:r w:rsidR="00587A7B" w:rsidRPr="00587A7B">
        <w:rPr>
          <w:rFonts w:ascii="楷体" w:eastAsia="楷体" w:hAnsi="楷体" w:cs="Arial" w:hint="eastAsia"/>
          <w:color w:val="000000" w:themeColor="text1"/>
          <w:sz w:val="20"/>
          <w:szCs w:val="20"/>
        </w:rPr>
        <w:t>5-7月都是评级调整最密集的月份</w:t>
      </w:r>
      <w:r w:rsidR="00587A7B">
        <w:rPr>
          <w:rFonts w:ascii="楷体" w:eastAsia="楷体" w:hAnsi="楷体" w:cs="Arial" w:hint="eastAsia"/>
          <w:color w:val="000000" w:themeColor="text1"/>
          <w:sz w:val="20"/>
          <w:szCs w:val="20"/>
        </w:rPr>
        <w:t>，信用违约风险仍是需要关注的重点</w:t>
      </w:r>
      <w:r w:rsidR="00587A7B" w:rsidRPr="001E569A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="008421B1" w:rsidRPr="001E569A">
        <w:rPr>
          <w:rFonts w:ascii="楷体" w:eastAsia="楷体" w:hAnsi="楷体" w:cs="Arial" w:hint="eastAsia"/>
          <w:color w:val="auto"/>
          <w:sz w:val="20"/>
          <w:szCs w:val="20"/>
        </w:rPr>
        <w:t>全</w:t>
      </w:r>
      <w:proofErr w:type="gramStart"/>
      <w:r w:rsidR="008421B1" w:rsidRPr="001E569A">
        <w:rPr>
          <w:rFonts w:ascii="楷体" w:eastAsia="楷体" w:hAnsi="楷体" w:cs="Arial" w:hint="eastAsia"/>
          <w:color w:val="auto"/>
          <w:sz w:val="20"/>
          <w:szCs w:val="20"/>
        </w:rPr>
        <w:t>月</w:t>
      </w:r>
      <w:r w:rsidR="00E54722" w:rsidRPr="001E569A">
        <w:rPr>
          <w:rFonts w:ascii="楷体" w:eastAsia="楷体" w:hAnsi="楷体" w:cs="Arial" w:hint="eastAsia"/>
          <w:color w:val="auto"/>
          <w:sz w:val="20"/>
          <w:szCs w:val="20"/>
        </w:rPr>
        <w:t>中债总净价</w:t>
      </w:r>
      <w:proofErr w:type="gramEnd"/>
      <w:r w:rsidR="00E54722" w:rsidRPr="001E569A">
        <w:rPr>
          <w:rFonts w:ascii="楷体" w:eastAsia="楷体" w:hAnsi="楷体" w:cs="Arial" w:hint="eastAsia"/>
          <w:color w:val="auto"/>
          <w:sz w:val="20"/>
          <w:szCs w:val="20"/>
        </w:rPr>
        <w:t>指数下跌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FC4D69" w:rsidRPr="001E569A">
        <w:rPr>
          <w:rFonts w:ascii="楷体" w:eastAsia="楷体" w:hAnsi="楷体" w:cs="Arial" w:hint="eastAsia"/>
          <w:color w:val="auto"/>
          <w:sz w:val="20"/>
          <w:szCs w:val="20"/>
        </w:rPr>
        <w:t>01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%，中</w:t>
      </w:r>
      <w:proofErr w:type="gramStart"/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债企业债总</w:t>
      </w:r>
      <w:proofErr w:type="gramEnd"/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净价指数</w:t>
      </w:r>
      <w:r w:rsidR="003B2457">
        <w:rPr>
          <w:rFonts w:ascii="楷体" w:eastAsia="楷体" w:hAnsi="楷体" w:cs="Arial" w:hint="eastAsia"/>
          <w:color w:val="auto"/>
          <w:sz w:val="20"/>
          <w:szCs w:val="20"/>
        </w:rPr>
        <w:t>下跌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FC4D69" w:rsidRPr="001E569A">
        <w:rPr>
          <w:rFonts w:ascii="楷体" w:eastAsia="楷体" w:hAnsi="楷体" w:cs="Arial" w:hint="eastAsia"/>
          <w:color w:val="auto"/>
          <w:sz w:val="20"/>
          <w:szCs w:val="20"/>
        </w:rPr>
        <w:t>0</w:t>
      </w:r>
      <w:r w:rsidR="003B2457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%，中债国债总净价指数</w:t>
      </w:r>
      <w:r w:rsidR="00E54722" w:rsidRPr="001E569A">
        <w:rPr>
          <w:rFonts w:ascii="楷体" w:eastAsia="楷体" w:hAnsi="楷体" w:cs="Arial" w:hint="eastAsia"/>
          <w:color w:val="auto"/>
          <w:sz w:val="20"/>
          <w:szCs w:val="20"/>
        </w:rPr>
        <w:t>下跌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FC4D69" w:rsidRPr="001E569A">
        <w:rPr>
          <w:rFonts w:ascii="楷体" w:eastAsia="楷体" w:hAnsi="楷体" w:cs="Arial" w:hint="eastAsia"/>
          <w:color w:val="auto"/>
          <w:sz w:val="20"/>
          <w:szCs w:val="20"/>
        </w:rPr>
        <w:t>3</w:t>
      </w:r>
      <w:r w:rsidR="003B2457">
        <w:rPr>
          <w:rFonts w:ascii="楷体" w:eastAsia="楷体" w:hAnsi="楷体" w:cs="Arial" w:hint="eastAsia"/>
          <w:color w:val="auto"/>
          <w:sz w:val="20"/>
          <w:szCs w:val="20"/>
        </w:rPr>
        <w:t>9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%，中</w:t>
      </w:r>
      <w:proofErr w:type="gramStart"/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证转债</w:t>
      </w:r>
      <w:r w:rsidR="00B214B7" w:rsidRPr="001E569A">
        <w:rPr>
          <w:rFonts w:ascii="楷体" w:eastAsia="楷体" w:hAnsi="楷体" w:cs="Arial" w:hint="eastAsia"/>
          <w:color w:val="auto"/>
          <w:sz w:val="20"/>
          <w:szCs w:val="20"/>
        </w:rPr>
        <w:t>跌</w:t>
      </w:r>
      <w:proofErr w:type="gramEnd"/>
      <w:r w:rsidR="00E54722" w:rsidRPr="001E569A">
        <w:rPr>
          <w:rFonts w:ascii="楷体" w:eastAsia="楷体" w:hAnsi="楷体" w:cs="Arial" w:hint="eastAsia"/>
          <w:color w:val="auto"/>
          <w:sz w:val="20"/>
          <w:szCs w:val="20"/>
        </w:rPr>
        <w:t>1.</w:t>
      </w:r>
      <w:r w:rsidR="00FC4D69" w:rsidRPr="001E569A">
        <w:rPr>
          <w:rFonts w:ascii="楷体" w:eastAsia="楷体" w:hAnsi="楷体" w:cs="Arial" w:hint="eastAsia"/>
          <w:color w:val="auto"/>
          <w:sz w:val="20"/>
          <w:szCs w:val="20"/>
        </w:rPr>
        <w:t>17</w:t>
      </w:r>
      <w:r w:rsidR="0053273E" w:rsidRPr="001E569A">
        <w:rPr>
          <w:rFonts w:ascii="楷体" w:eastAsia="楷体" w:hAnsi="楷体" w:cs="Arial" w:hint="eastAsia"/>
          <w:color w:val="auto"/>
          <w:sz w:val="20"/>
          <w:szCs w:val="20"/>
        </w:rPr>
        <w:t>%。</w:t>
      </w:r>
    </w:p>
    <w:p w:rsidR="0053273E" w:rsidRPr="0032491D" w:rsidRDefault="00325556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>
        <w:rPr>
          <w:rFonts w:ascii="楷体" w:eastAsia="楷体" w:hAnsi="楷体" w:cs="Arial" w:hint="eastAsia"/>
          <w:b/>
          <w:bCs/>
          <w:color w:val="002060"/>
          <w:kern w:val="0"/>
          <w:sz w:val="24"/>
          <w:szCs w:val="13"/>
        </w:rPr>
        <w:t xml:space="preserve"> </w:t>
      </w:r>
      <w:r w:rsidR="0053273E"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海外市场</w:t>
      </w:r>
    </w:p>
    <w:p w:rsidR="0053273E" w:rsidRPr="008A3014" w:rsidRDefault="00AA05AB" w:rsidP="0053273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美联储重提加息可能，美元指数低位反弹</w:t>
      </w:r>
      <w:r w:rsidR="0053273E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="00C02470" w:rsidRPr="00C02470">
        <w:rPr>
          <w:rFonts w:ascii="楷体" w:eastAsia="楷体" w:hAnsi="楷体" w:cs="Arial" w:hint="eastAsia"/>
          <w:color w:val="000000" w:themeColor="text1"/>
          <w:sz w:val="20"/>
          <w:szCs w:val="20"/>
        </w:rPr>
        <w:t>五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月初</w:t>
      </w:r>
      <w:r w:rsidRPr="00AA05AB">
        <w:rPr>
          <w:rFonts w:ascii="楷体" w:eastAsia="楷体" w:hAnsi="楷体" w:cs="Arial" w:hint="eastAsia"/>
          <w:color w:val="000000" w:themeColor="text1"/>
          <w:sz w:val="20"/>
          <w:szCs w:val="20"/>
        </w:rPr>
        <w:t>美元指数</w:t>
      </w:r>
      <w:r w:rsidR="00C02470">
        <w:rPr>
          <w:rFonts w:ascii="楷体" w:eastAsia="楷体" w:hAnsi="楷体" w:cs="Arial" w:hint="eastAsia"/>
          <w:color w:val="000000" w:themeColor="text1"/>
          <w:sz w:val="20"/>
          <w:szCs w:val="20"/>
        </w:rPr>
        <w:t>延续四月最后一周跌势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，一度</w:t>
      </w:r>
      <w:r w:rsidRPr="00AA05AB">
        <w:rPr>
          <w:rFonts w:ascii="楷体" w:eastAsia="楷体" w:hAnsi="楷体" w:cs="Arial" w:hint="eastAsia"/>
          <w:color w:val="000000" w:themeColor="text1"/>
          <w:sz w:val="20"/>
          <w:szCs w:val="20"/>
        </w:rPr>
        <w:t>跌破92整数关口，创去年1月份来新低。</w:t>
      </w:r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但随后，因美国贸易和工厂订单数据部分缓和</w:t>
      </w:r>
      <w:r w:rsidR="0030445D">
        <w:rPr>
          <w:rFonts w:ascii="楷体" w:eastAsia="楷体" w:hAnsi="楷体" w:cs="Arial" w:hint="eastAsia"/>
          <w:color w:val="000000" w:themeColor="text1"/>
          <w:sz w:val="20"/>
          <w:szCs w:val="20"/>
        </w:rPr>
        <w:t>了</w:t>
      </w:r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对美国经济成长不振的担忧</w:t>
      </w:r>
      <w:r w:rsidR="0030445D">
        <w:rPr>
          <w:rFonts w:ascii="楷体" w:eastAsia="楷体" w:hAnsi="楷体" w:cs="Arial" w:hint="eastAsia"/>
          <w:color w:val="000000" w:themeColor="text1"/>
          <w:sz w:val="20"/>
          <w:szCs w:val="20"/>
        </w:rPr>
        <w:t>，</w:t>
      </w:r>
      <w:r w:rsidR="00516AC6" w:rsidRP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美联储官员</w:t>
      </w:r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连续</w:t>
      </w:r>
      <w:r w:rsidR="00516AC6" w:rsidRP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的鹰派讲话</w:t>
      </w:r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助</w:t>
      </w:r>
      <w:proofErr w:type="gramStart"/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推美元</w:t>
      </w:r>
      <w:proofErr w:type="gramEnd"/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指数低位反弹。再加上</w:t>
      </w:r>
      <w:r w:rsidR="00BB12D9">
        <w:rPr>
          <w:rFonts w:ascii="楷体" w:eastAsia="楷体" w:hAnsi="楷体" w:cs="Arial" w:hint="eastAsia"/>
          <w:color w:val="000000" w:themeColor="text1"/>
          <w:sz w:val="20"/>
          <w:szCs w:val="20"/>
        </w:rPr>
        <w:t>之后</w:t>
      </w:r>
      <w:r w:rsidR="003629DD" w:rsidRPr="003629DD">
        <w:rPr>
          <w:rFonts w:ascii="楷体" w:eastAsia="楷体" w:hAnsi="楷体" w:cs="Arial" w:hint="eastAsia"/>
          <w:color w:val="000000" w:themeColor="text1"/>
          <w:sz w:val="20"/>
          <w:szCs w:val="20"/>
        </w:rPr>
        <w:t>美联储公布4月26日-27日货币政策会议纪要，多数委员都认为如果经济形势允许，6</w:t>
      </w:r>
      <w:r w:rsid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月加息“有可能”，美元进一步上涨。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全</w:t>
      </w:r>
      <w:r w:rsidR="00516AC6" w:rsidRPr="008A3014">
        <w:rPr>
          <w:rFonts w:ascii="楷体" w:eastAsia="楷体" w:hAnsi="楷体" w:cs="Arial" w:hint="eastAsia"/>
          <w:color w:val="auto"/>
          <w:sz w:val="20"/>
          <w:szCs w:val="20"/>
        </w:rPr>
        <w:t>月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来看，</w:t>
      </w:r>
      <w:r w:rsidR="00516AC6" w:rsidRPr="008A3014">
        <w:rPr>
          <w:rFonts w:ascii="楷体" w:eastAsia="楷体" w:hAnsi="楷体" w:cs="Arial" w:hint="eastAsia"/>
          <w:color w:val="auto"/>
          <w:sz w:val="20"/>
          <w:szCs w:val="20"/>
        </w:rPr>
        <w:t>美元指数累计上涨</w:t>
      </w:r>
      <w:r w:rsidR="00BB12D9" w:rsidRPr="008A3014">
        <w:rPr>
          <w:rFonts w:ascii="楷体" w:eastAsia="楷体" w:hAnsi="楷体" w:cs="Arial" w:hint="eastAsia"/>
          <w:color w:val="auto"/>
          <w:sz w:val="20"/>
          <w:szCs w:val="20"/>
        </w:rPr>
        <w:t>3.00</w:t>
      </w:r>
      <w:r w:rsidR="00516AC6" w:rsidRPr="008A3014">
        <w:rPr>
          <w:rFonts w:ascii="楷体" w:eastAsia="楷体" w:hAnsi="楷体" w:cs="Arial" w:hint="eastAsia"/>
          <w:color w:val="auto"/>
          <w:sz w:val="20"/>
          <w:szCs w:val="20"/>
        </w:rPr>
        <w:t>%。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美国市场，标普、</w:t>
      </w:r>
      <w:r w:rsidR="00BB12D9" w:rsidRPr="008A3014">
        <w:rPr>
          <w:rFonts w:ascii="楷体" w:eastAsia="楷体" w:hAnsi="楷体" w:cs="Arial" w:hint="eastAsia"/>
          <w:color w:val="auto"/>
          <w:sz w:val="20"/>
          <w:szCs w:val="20"/>
        </w:rPr>
        <w:t>道指、</w:t>
      </w:r>
      <w:proofErr w:type="gramStart"/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纳指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分</w:t>
      </w:r>
      <w:r w:rsidR="003629DD" w:rsidRPr="008A3014">
        <w:rPr>
          <w:rFonts w:ascii="楷体" w:eastAsia="楷体" w:hAnsi="楷体" w:cs="Arial" w:hint="eastAsia"/>
          <w:color w:val="auto"/>
          <w:sz w:val="20"/>
          <w:szCs w:val="20"/>
        </w:rPr>
        <w:t>别</w:t>
      </w:r>
      <w:proofErr w:type="gramEnd"/>
      <w:r w:rsidR="003629DD" w:rsidRPr="008A3014">
        <w:rPr>
          <w:rFonts w:ascii="楷体" w:eastAsia="楷体" w:hAnsi="楷体" w:cs="Arial" w:hint="eastAsia"/>
          <w:color w:val="auto"/>
          <w:sz w:val="20"/>
          <w:szCs w:val="20"/>
        </w:rPr>
        <w:t>上涨</w:t>
      </w:r>
      <w:r w:rsidR="00BB12D9" w:rsidRPr="008A3014">
        <w:rPr>
          <w:rFonts w:ascii="楷体" w:eastAsia="楷体" w:hAnsi="楷体" w:cs="Arial" w:hint="eastAsia"/>
          <w:color w:val="auto"/>
          <w:sz w:val="20"/>
          <w:szCs w:val="20"/>
        </w:rPr>
        <w:t>1.53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BB12D9" w:rsidRPr="008A3014">
        <w:rPr>
          <w:rFonts w:ascii="楷体" w:eastAsia="楷体" w:hAnsi="楷体" w:cs="Arial" w:hint="eastAsia"/>
          <w:color w:val="auto"/>
          <w:sz w:val="20"/>
          <w:szCs w:val="20"/>
        </w:rPr>
        <w:t>0.08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="00BB12D9" w:rsidRPr="008A3014">
        <w:rPr>
          <w:rFonts w:ascii="楷体" w:eastAsia="楷体" w:hAnsi="楷体" w:cs="Arial" w:hint="eastAsia"/>
          <w:color w:val="auto"/>
          <w:sz w:val="20"/>
          <w:szCs w:val="20"/>
        </w:rPr>
        <w:t>、</w:t>
      </w:r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3.62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%；欧洲市场，德国DAX指数、法国CAC40指数、英国富时100指数上周涨跌幅分别为</w:t>
      </w:r>
      <w:r w:rsidR="008A3014" w:rsidRPr="008A3014">
        <w:rPr>
          <w:rFonts w:ascii="楷体" w:eastAsia="楷体" w:hAnsi="楷体" w:cs="Arial" w:hint="eastAsia"/>
          <w:color w:val="auto"/>
          <w:sz w:val="20"/>
          <w:szCs w:val="20"/>
        </w:rPr>
        <w:t>2.23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8A3014" w:rsidRPr="008A3014">
        <w:rPr>
          <w:rFonts w:ascii="楷体" w:eastAsia="楷体" w:hAnsi="楷体" w:cs="Arial" w:hint="eastAsia"/>
          <w:color w:val="auto"/>
          <w:sz w:val="20"/>
          <w:szCs w:val="20"/>
        </w:rPr>
        <w:t>1.73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8A3014" w:rsidRPr="008A3014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3629DD" w:rsidRPr="008A3014"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8A3014" w:rsidRPr="008A3014">
        <w:rPr>
          <w:rFonts w:ascii="楷体" w:eastAsia="楷体" w:hAnsi="楷体" w:cs="Arial" w:hint="eastAsia"/>
          <w:color w:val="auto"/>
          <w:sz w:val="20"/>
          <w:szCs w:val="20"/>
        </w:rPr>
        <w:t>18</w:t>
      </w:r>
      <w:r w:rsidR="0053273E" w:rsidRPr="008A3014">
        <w:rPr>
          <w:rFonts w:ascii="楷体" w:eastAsia="楷体" w:hAnsi="楷体" w:cs="Arial" w:hint="eastAsia"/>
          <w:color w:val="auto"/>
          <w:sz w:val="20"/>
          <w:szCs w:val="20"/>
        </w:rPr>
        <w:t>%。</w:t>
      </w:r>
    </w:p>
    <w:p w:rsidR="00972CB4" w:rsidRDefault="00516AC6" w:rsidP="00FB01C2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金价高位跌落</w:t>
      </w:r>
      <w:r w:rsidR="006C61CE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，原重回50关口</w:t>
      </w:r>
      <w:r w:rsidR="0053273E" w:rsidRPr="0032491D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P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t>受美元反弹、美联储加息预期回升打压，</w:t>
      </w:r>
      <w:r w:rsidRPr="00516AC6">
        <w:rPr>
          <w:rFonts w:ascii="楷体" w:eastAsia="楷体" w:hAnsi="楷体" w:cs="Arial" w:hint="eastAsia"/>
          <w:color w:val="000000" w:themeColor="text1"/>
          <w:sz w:val="20"/>
          <w:szCs w:val="20"/>
        </w:rPr>
        <w:lastRenderedPageBreak/>
        <w:t>全球股市攀升以及美元汇率前景不确定性降低了贵金属的吸引力</w:t>
      </w:r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="005A2F60" w:rsidRPr="008A3014">
        <w:rPr>
          <w:rFonts w:ascii="楷体" w:eastAsia="楷体" w:hAnsi="楷体" w:cs="Arial" w:hint="eastAsia"/>
          <w:color w:val="auto"/>
          <w:sz w:val="20"/>
          <w:szCs w:val="20"/>
        </w:rPr>
        <w:t>全</w:t>
      </w:r>
      <w:r w:rsidRPr="008A3014">
        <w:rPr>
          <w:rFonts w:ascii="楷体" w:eastAsia="楷体" w:hAnsi="楷体" w:cs="Arial" w:hint="eastAsia"/>
          <w:color w:val="auto"/>
          <w:sz w:val="20"/>
          <w:szCs w:val="20"/>
        </w:rPr>
        <w:t>月</w:t>
      </w:r>
      <w:r w:rsidR="005A2F60" w:rsidRPr="008A3014">
        <w:rPr>
          <w:rFonts w:ascii="楷体" w:eastAsia="楷体" w:hAnsi="楷体" w:cs="Arial" w:hint="eastAsia"/>
          <w:color w:val="auto"/>
          <w:sz w:val="20"/>
          <w:szCs w:val="20"/>
        </w:rPr>
        <w:t>金价下跌</w:t>
      </w:r>
      <w:r w:rsidR="008A3014" w:rsidRPr="008A3014">
        <w:rPr>
          <w:rFonts w:ascii="楷体" w:eastAsia="楷体" w:hAnsi="楷体" w:cs="Arial" w:hint="eastAsia"/>
          <w:color w:val="auto"/>
          <w:sz w:val="20"/>
          <w:szCs w:val="20"/>
        </w:rPr>
        <w:t>5.98</w:t>
      </w:r>
      <w:r w:rsidR="005A2F60" w:rsidRPr="008A3014">
        <w:rPr>
          <w:rFonts w:ascii="楷体" w:eastAsia="楷体" w:hAnsi="楷体" w:cs="Arial" w:hint="eastAsia"/>
          <w:color w:val="auto"/>
          <w:sz w:val="20"/>
          <w:szCs w:val="20"/>
        </w:rPr>
        <w:t>%。</w:t>
      </w:r>
      <w:r w:rsidR="00B52E84" w:rsidRPr="00B52E84">
        <w:rPr>
          <w:rFonts w:ascii="楷体" w:eastAsia="楷体" w:hAnsi="楷体" w:cs="Arial" w:hint="eastAsia"/>
          <w:color w:val="auto"/>
          <w:sz w:val="20"/>
          <w:szCs w:val="20"/>
        </w:rPr>
        <w:t>原油方面，</w:t>
      </w:r>
      <w:r w:rsidR="006C61CE">
        <w:rPr>
          <w:rFonts w:ascii="楷体" w:eastAsia="楷体" w:hAnsi="楷体" w:cs="Arial" w:hint="eastAsia"/>
          <w:color w:val="auto"/>
          <w:sz w:val="20"/>
          <w:szCs w:val="20"/>
        </w:rPr>
        <w:t>自4月中东产油国未达成</w:t>
      </w:r>
      <w:proofErr w:type="gramStart"/>
      <w:r w:rsidR="006C61CE">
        <w:rPr>
          <w:rFonts w:ascii="楷体" w:eastAsia="楷体" w:hAnsi="楷体" w:cs="Arial" w:hint="eastAsia"/>
          <w:color w:val="auto"/>
          <w:sz w:val="20"/>
          <w:szCs w:val="20"/>
        </w:rPr>
        <w:t>冻产协议</w:t>
      </w:r>
      <w:proofErr w:type="gramEnd"/>
      <w:r w:rsidR="006C61CE">
        <w:rPr>
          <w:rFonts w:ascii="楷体" w:eastAsia="楷体" w:hAnsi="楷体" w:cs="Arial" w:hint="eastAsia"/>
          <w:color w:val="auto"/>
          <w:sz w:val="20"/>
          <w:szCs w:val="20"/>
        </w:rPr>
        <w:t>以来，中东地区钻井</w:t>
      </w:r>
    </w:p>
    <w:tbl>
      <w:tblPr>
        <w:tblpPr w:leftFromText="180" w:rightFromText="180" w:vertAnchor="text" w:horzAnchor="margin" w:tblpY="122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972CB4" w:rsidRPr="0032491D" w:rsidTr="00972CB4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国内经济重要数据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数据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 w:rsidRPr="007839D2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1-4月份规模以上工业企业利润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 w:rsidRPr="007839D2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同比增长6.5%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 w:rsidRPr="007839D2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4月份规模以上工业企业利润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 w:rsidRPr="007839D2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同比增长4.2%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5月</w:t>
            </w:r>
            <w:r w:rsidRPr="00BB12D9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制造业PMI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50.1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5月</w:t>
            </w:r>
            <w:r w:rsidRPr="00BB12D9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非制造业商务活动指数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2CB4" w:rsidRPr="00BB12D9" w:rsidRDefault="00972CB4" w:rsidP="00972CB4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53.1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972CB4" w:rsidRPr="0032491D" w:rsidTr="00972CB4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海外经济重要数据</w:t>
            </w:r>
          </w:p>
        </w:tc>
      </w:tr>
      <w:tr w:rsidR="00972CB4" w:rsidRPr="0032491D" w:rsidTr="00972CB4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数据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32491D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美国：</w:t>
            </w:r>
            <w:r w:rsidRPr="007A38DC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5月</w:t>
            </w:r>
            <w:proofErr w:type="spellStart"/>
            <w:r w:rsidRPr="007A38DC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Markit</w:t>
            </w:r>
            <w:proofErr w:type="spellEnd"/>
            <w:r w:rsidRPr="007A38DC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制造业PMI初值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CB4" w:rsidRPr="00135F9A" w:rsidRDefault="00972CB4" w:rsidP="00972CB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50.5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r w:rsidRPr="0032491D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4月</w:t>
            </w:r>
            <w:r w:rsidRPr="00A36C40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新屋销售量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增长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16.6%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72CB4" w:rsidRDefault="00972CB4" w:rsidP="00972CB4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美国：</w:t>
            </w:r>
            <w:r w:rsidRPr="00DD7322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第一季度实际GDP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2CB4" w:rsidRDefault="00972CB4" w:rsidP="00972CB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环比升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0.8%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r w:rsidRPr="0032491D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5</w:t>
            </w:r>
            <w:r w:rsidRPr="00551B56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月</w:t>
            </w:r>
            <w:proofErr w:type="spellStart"/>
            <w:r w:rsidRPr="00551B56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Markit</w:t>
            </w:r>
            <w:proofErr w:type="spellEnd"/>
            <w:r w:rsidRPr="00551B56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服务业PMI初值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51.2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CB4" w:rsidRDefault="00972CB4" w:rsidP="00972CB4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美国：</w:t>
            </w:r>
            <w:r w:rsidRPr="003B2457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4月核心PCE物价指数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CB4" w:rsidRDefault="00972CB4" w:rsidP="00972CB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同比上升1.6%</w:t>
            </w:r>
          </w:p>
        </w:tc>
      </w:tr>
      <w:tr w:rsidR="00972CB4" w:rsidRPr="0032491D" w:rsidTr="00972CB4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r w:rsidRPr="00395BC3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4月耐用品订单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初值</w:t>
            </w:r>
            <w:r w:rsidRPr="0032491D">
              <w:rPr>
                <w:rFonts w:ascii="楷体" w:eastAsia="楷体" w:hAnsi="楷体" w:cs="Arial"/>
                <w:b/>
                <w:bCs/>
                <w:noProof/>
                <w:color w:val="002060"/>
                <w:kern w:val="0"/>
                <w:sz w:val="24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6E9AD9" wp14:editId="003782B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130810</wp:posOffset>
                      </wp:positionV>
                      <wp:extent cx="2154555" cy="214630"/>
                      <wp:effectExtent l="0" t="0" r="0" b="0"/>
                      <wp:wrapNone/>
                      <wp:docPr id="1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55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CB4" w:rsidRPr="00B33891" w:rsidRDefault="00972CB4" w:rsidP="00972CB4">
                                  <w:pPr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数据来源：</w:t>
                                  </w:r>
                                  <w:proofErr w:type="gramStart"/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凯</w:t>
                                  </w:r>
                                  <w:proofErr w:type="gramEnd"/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石、WIND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6.15pt;margin-top:10.3pt;width:169.65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" filled="f" stroked="f">
                      <v:textbox>
                        <w:txbxContent>
                          <w:p w:rsidR="00972CB4" w:rsidRPr="00B33891" w:rsidRDefault="00972CB4" w:rsidP="00972CB4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2CB4" w:rsidRPr="0032491D" w:rsidRDefault="00972CB4" w:rsidP="00972CB4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环比增长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3.4%</w:t>
            </w:r>
          </w:p>
        </w:tc>
      </w:tr>
    </w:tbl>
    <w:p w:rsidR="000A3207" w:rsidRPr="007E17CD" w:rsidRDefault="006C61CE" w:rsidP="00972CB4">
      <w:pPr>
        <w:pStyle w:val="a5"/>
        <w:spacing w:beforeLines="100" w:before="240" w:afterLines="100" w:after="240" w:line="260" w:lineRule="exact"/>
        <w:ind w:leftChars="0" w:left="0" w:rightChars="-34" w:right="-71" w:firstLine="0"/>
        <w:rPr>
          <w:rFonts w:ascii="楷体" w:eastAsia="楷体" w:hAnsi="楷体" w:cs="Arial"/>
          <w:color w:val="FF0000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开工总数不升反降，再加上加拿大林火以及中东地区政治局势趋紧，利比亚冲突持续升级等事件性因素导致</w:t>
      </w:r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供给</w:t>
      </w:r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预期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，终于让油价重</w:t>
      </w:r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新触及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去年10月初的50美元关口，成为进一个月来唯一坚挺的大宗商品</w:t>
      </w:r>
      <w:r w:rsidR="008A3014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B52E84" w:rsidRPr="008A3014">
        <w:rPr>
          <w:rFonts w:ascii="楷体" w:eastAsia="楷体" w:hAnsi="楷体" w:cs="Arial" w:hint="eastAsia"/>
          <w:color w:val="auto"/>
          <w:sz w:val="20"/>
          <w:szCs w:val="20"/>
        </w:rPr>
        <w:t>全月</w:t>
      </w:r>
      <w:r w:rsidR="00B76564" w:rsidRPr="008A3014">
        <w:rPr>
          <w:rFonts w:ascii="楷体" w:eastAsia="楷体" w:hAnsi="楷体" w:cs="Arial" w:hint="eastAsia"/>
          <w:color w:val="auto"/>
          <w:sz w:val="20"/>
          <w:szCs w:val="20"/>
        </w:rPr>
        <w:t>上涨</w:t>
      </w:r>
      <w:r w:rsidR="008A3014" w:rsidRPr="008A3014">
        <w:rPr>
          <w:rFonts w:ascii="楷体" w:eastAsia="楷体" w:hAnsi="楷体" w:cs="Arial" w:hint="eastAsia"/>
          <w:color w:val="auto"/>
          <w:sz w:val="20"/>
          <w:szCs w:val="20"/>
        </w:rPr>
        <w:t>6.18</w:t>
      </w:r>
      <w:r w:rsidR="00B76564" w:rsidRPr="008A3014">
        <w:rPr>
          <w:rFonts w:ascii="楷体" w:eastAsia="楷体" w:hAnsi="楷体" w:cs="Arial" w:hint="eastAsia"/>
          <w:color w:val="auto"/>
          <w:sz w:val="20"/>
          <w:szCs w:val="20"/>
        </w:rPr>
        <w:t>%。</w:t>
      </w:r>
    </w:p>
    <w:p w:rsidR="0053273E" w:rsidRPr="0032491D" w:rsidRDefault="00107C62" w:rsidP="0053273E">
      <w:pPr>
        <w:pStyle w:val="a6"/>
        <w:numPr>
          <w:ilvl w:val="0"/>
          <w:numId w:val="1"/>
        </w:numPr>
        <w:ind w:left="643" w:hangingChars="200" w:hanging="643"/>
        <w:rPr>
          <w:rFonts w:ascii="楷体" w:eastAsia="楷体" w:hAnsi="楷体" w:cs="Arial"/>
          <w:b/>
          <w:color w:val="996600"/>
          <w:sz w:val="32"/>
          <w:szCs w:val="28"/>
        </w:rPr>
      </w:pPr>
      <w:r>
        <w:rPr>
          <w:rFonts w:ascii="楷体" w:eastAsia="楷体" w:hAnsi="楷体" w:cs="Arial" w:hint="eastAsia"/>
          <w:b/>
          <w:color w:val="996600"/>
          <w:sz w:val="32"/>
          <w:szCs w:val="28"/>
        </w:rPr>
        <w:t>五月</w:t>
      </w:r>
      <w:r w:rsidR="0053273E" w:rsidRPr="0032491D">
        <w:rPr>
          <w:rFonts w:ascii="楷体" w:eastAsia="楷体" w:hAnsi="楷体" w:cs="Arial"/>
          <w:b/>
          <w:color w:val="996600"/>
          <w:sz w:val="32"/>
          <w:szCs w:val="28"/>
        </w:rPr>
        <w:t xml:space="preserve">基金表现回顾 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股票基金</w:t>
      </w:r>
    </w:p>
    <w:p w:rsidR="0053273E" w:rsidRPr="0032491D" w:rsidRDefault="000E78A4" w:rsidP="0053273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上周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股票基金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72CB4">
        <w:rPr>
          <w:rFonts w:ascii="楷体" w:eastAsia="楷体" w:hAnsi="楷体" w:cs="Arial" w:hint="eastAsia"/>
          <w:color w:val="auto"/>
          <w:sz w:val="20"/>
          <w:szCs w:val="20"/>
        </w:rPr>
        <w:t>20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%。具体来看，普通股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基平均</w:t>
      </w:r>
      <w:proofErr w:type="gramEnd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72CB4">
        <w:rPr>
          <w:rFonts w:ascii="楷体" w:eastAsia="楷体" w:hAnsi="楷体" w:cs="Arial" w:hint="eastAsia"/>
          <w:color w:val="auto"/>
          <w:sz w:val="20"/>
          <w:szCs w:val="20"/>
        </w:rPr>
        <w:t>21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F63767">
        <w:rPr>
          <w:rFonts w:ascii="楷体" w:eastAsia="楷体" w:hAnsi="楷体" w:cs="Arial"/>
          <w:color w:val="auto"/>
          <w:sz w:val="20"/>
          <w:szCs w:val="20"/>
        </w:rPr>
        <w:t>有</w:t>
      </w:r>
      <w:r w:rsidR="00972CB4">
        <w:rPr>
          <w:rFonts w:ascii="楷体" w:eastAsia="楷体" w:hAnsi="楷体" w:cs="Arial" w:hint="eastAsia"/>
          <w:color w:val="auto"/>
          <w:sz w:val="20"/>
          <w:szCs w:val="20"/>
        </w:rPr>
        <w:t>52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%的产品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为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正收益，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最高收益为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国泰互联网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5.55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%。指数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股基平均</w:t>
      </w:r>
      <w:proofErr w:type="gramEnd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72CB4">
        <w:rPr>
          <w:rFonts w:ascii="楷体" w:eastAsia="楷体" w:hAnsi="楷体" w:cs="Arial" w:hint="eastAsia"/>
          <w:color w:val="auto"/>
          <w:sz w:val="20"/>
          <w:szCs w:val="20"/>
        </w:rPr>
        <w:t>19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有</w:t>
      </w:r>
      <w:r w:rsidR="00972CB4">
        <w:rPr>
          <w:rFonts w:ascii="楷体" w:eastAsia="楷体" w:hAnsi="楷体" w:cs="Arial" w:hint="eastAsia"/>
          <w:color w:val="auto"/>
          <w:sz w:val="20"/>
          <w:szCs w:val="20"/>
        </w:rPr>
        <w:t>62</w:t>
      </w:r>
      <w:r w:rsidR="0053273E" w:rsidRPr="0032491D">
        <w:rPr>
          <w:rFonts w:ascii="楷体" w:eastAsia="楷体" w:hAnsi="楷体" w:cs="Arial" w:hint="eastAsia"/>
          <w:color w:val="auto"/>
          <w:sz w:val="20"/>
          <w:szCs w:val="20"/>
        </w:rPr>
        <w:t>%的</w:t>
      </w:r>
      <w:r w:rsidR="003E5A0D">
        <w:rPr>
          <w:rFonts w:ascii="楷体" w:eastAsia="楷体" w:hAnsi="楷体" w:cs="Arial"/>
          <w:color w:val="auto"/>
          <w:sz w:val="20"/>
          <w:szCs w:val="20"/>
        </w:rPr>
        <w:t>产品上涨，最高收益为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南方</w:t>
      </w:r>
      <w:r w:rsidR="00991CB2">
        <w:rPr>
          <w:rFonts w:ascii="楷体" w:eastAsia="楷体" w:hAnsi="楷体" w:cs="Arial"/>
          <w:color w:val="auto"/>
          <w:sz w:val="20"/>
          <w:szCs w:val="20"/>
        </w:rPr>
        <w:t>创业板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ETF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6.24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</w:p>
    <w:p w:rsidR="0053273E" w:rsidRPr="0032491D" w:rsidRDefault="0053273E" w:rsidP="0053273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/>
          <w:color w:val="auto"/>
          <w:sz w:val="20"/>
          <w:szCs w:val="20"/>
        </w:rPr>
        <w:t>从投资范围来看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热点比较分散，新能源汽车、智能装备、创业</w:t>
      </w:r>
      <w:proofErr w:type="gramStart"/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板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基金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表现较好</w:t>
      </w:r>
      <w:r w:rsidR="00691457">
        <w:rPr>
          <w:rFonts w:ascii="楷体" w:eastAsia="楷体" w:hAnsi="楷体" w:cs="Arial"/>
          <w:color w:val="auto"/>
          <w:sz w:val="20"/>
          <w:szCs w:val="20"/>
        </w:rPr>
        <w:t>。</w:t>
      </w:r>
      <w:proofErr w:type="gramStart"/>
      <w:r w:rsidR="00691457">
        <w:rPr>
          <w:rFonts w:ascii="楷体" w:eastAsia="楷体" w:hAnsi="楷体" w:cs="Arial"/>
          <w:color w:val="auto"/>
          <w:sz w:val="20"/>
          <w:szCs w:val="20"/>
        </w:rPr>
        <w:t>收益居</w:t>
      </w:r>
      <w:proofErr w:type="gramEnd"/>
      <w:r w:rsidR="00691457">
        <w:rPr>
          <w:rFonts w:ascii="楷体" w:eastAsia="楷体" w:hAnsi="楷体" w:cs="Arial"/>
          <w:color w:val="auto"/>
          <w:sz w:val="20"/>
          <w:szCs w:val="20"/>
        </w:rPr>
        <w:t>前的基金有</w:t>
      </w:r>
      <w:r w:rsidR="00991CB2">
        <w:rPr>
          <w:rFonts w:ascii="楷体" w:eastAsia="楷体" w:hAnsi="楷体" w:cs="Arial"/>
          <w:color w:val="auto"/>
          <w:sz w:val="20"/>
          <w:szCs w:val="20"/>
        </w:rPr>
        <w:t>南方创业板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ETF（6.24%）、国泰国证</w:t>
      </w:r>
      <w:r w:rsidR="00991CB2">
        <w:rPr>
          <w:rFonts w:ascii="楷体" w:eastAsia="楷体" w:hAnsi="楷体" w:cs="Arial"/>
          <w:color w:val="auto"/>
          <w:sz w:val="20"/>
          <w:szCs w:val="20"/>
        </w:rPr>
        <w:t>新能源汽车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6.22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）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、景顺长城中小</w:t>
      </w:r>
      <w:proofErr w:type="gramStart"/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板创业</w:t>
      </w:r>
      <w:proofErr w:type="gramEnd"/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板</w:t>
      </w:r>
      <w:r w:rsidR="00991CB2"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4.77</w:t>
      </w:r>
      <w:r w:rsidR="00991CB2"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）、华安智能装备主题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4.56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）、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富国中证新能源汽车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4.04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%）等。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混合基金</w:t>
      </w:r>
    </w:p>
    <w:p w:rsidR="00DD7322" w:rsidRPr="00DD7322" w:rsidRDefault="000E78A4" w:rsidP="00991CB2">
      <w:pPr>
        <w:pStyle w:val="a5"/>
        <w:spacing w:afterLines="100" w:after="240" w:line="260" w:lineRule="exact"/>
        <w:ind w:leftChars="1822" w:left="3826" w:rightChars="-34" w:right="-71" w:firstLineChars="200" w:firstLine="400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混合基金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20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%。其中，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偏股型平均</w:t>
      </w:r>
      <w:proofErr w:type="gramEnd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17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偏债型</w:t>
      </w:r>
      <w:proofErr w:type="gramEnd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产品平均收益为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3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%，灵活配置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型平均</w:t>
      </w:r>
      <w:proofErr w:type="gramEnd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0.1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9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%，平衡</w:t>
      </w:r>
      <w:proofErr w:type="gramStart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型平均</w:t>
      </w:r>
      <w:proofErr w:type="gramEnd"/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>
        <w:rPr>
          <w:rFonts w:ascii="楷体" w:eastAsia="楷体" w:hAnsi="楷体" w:cs="Arial" w:hint="eastAsia"/>
          <w:color w:val="auto"/>
          <w:sz w:val="20"/>
          <w:szCs w:val="20"/>
        </w:rPr>
        <w:t>4</w:t>
      </w:r>
      <w:r w:rsidR="0053273E"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</w:p>
    <w:tbl>
      <w:tblPr>
        <w:tblpPr w:leftFromText="180" w:rightFromText="180" w:vertAnchor="text" w:horzAnchor="margin" w:tblpY="150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53273E" w:rsidRPr="0032491D" w:rsidTr="00FC5199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53273E" w:rsidRPr="0032491D" w:rsidRDefault="0053273E" w:rsidP="00FC5199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区间收益%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0.20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0.21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0.19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0.20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0.17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0.30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0.19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0.14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0.44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0.60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0.46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0.28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0.22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3"/>
                <w:szCs w:val="13"/>
              </w:rPr>
            </w:pPr>
            <w:r w:rsidRPr="00972CB4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-4.01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-0.32</w:t>
            </w:r>
          </w:p>
        </w:tc>
      </w:tr>
      <w:tr w:rsidR="0053273E" w:rsidRPr="0032491D" w:rsidTr="00FC5199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53273E" w:rsidRPr="0032491D" w:rsidRDefault="0053273E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53273E" w:rsidRPr="0032491D" w:rsidRDefault="0053273E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3273E" w:rsidRPr="0032491D" w:rsidRDefault="0053273E" w:rsidP="00972CB4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 w:rsidRPr="0032491D">
              <w:rPr>
                <w:rFonts w:ascii="楷体" w:eastAsia="楷体" w:hAnsi="楷体"/>
                <w:color w:val="000000"/>
                <w:sz w:val="15"/>
                <w:szCs w:val="15"/>
              </w:rPr>
              <w:t>2.</w:t>
            </w:r>
            <w:r w:rsidR="00365A9F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4</w:t>
            </w:r>
            <w:r w:rsidR="00972CB4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1</w:t>
            </w:r>
            <w:r w:rsidRPr="0032491D">
              <w:rPr>
                <w:rFonts w:ascii="楷体" w:eastAsia="楷体" w:hAnsi="楷体"/>
                <w:color w:val="000000"/>
                <w:sz w:val="15"/>
                <w:szCs w:val="15"/>
              </w:rPr>
              <w:tab/>
            </w:r>
          </w:p>
        </w:tc>
      </w:tr>
      <w:tr w:rsidR="0053273E" w:rsidRPr="0032491D" w:rsidTr="00FC5199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53273E" w:rsidRPr="0032491D" w:rsidRDefault="0053273E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53273E" w:rsidRPr="0032491D" w:rsidRDefault="0053273E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0.57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0.74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-0.65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1.46</w:t>
            </w:r>
          </w:p>
        </w:tc>
      </w:tr>
      <w:tr w:rsidR="00972CB4" w:rsidRPr="0032491D" w:rsidTr="00FC5199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2CB4" w:rsidRPr="0032491D" w:rsidRDefault="00972CB4" w:rsidP="00FC519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Pr="0032491D" w:rsidRDefault="00972CB4" w:rsidP="00FC5199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2CB4" w:rsidRDefault="00972CB4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0.46</w:t>
            </w:r>
          </w:p>
        </w:tc>
      </w:tr>
    </w:tbl>
    <w:p w:rsidR="0053273E" w:rsidRPr="0032491D" w:rsidRDefault="0053273E" w:rsidP="0053273E">
      <w:pPr>
        <w:pStyle w:val="a5"/>
        <w:spacing w:beforeLines="100" w:before="240" w:afterLines="100" w:after="240" w:line="260" w:lineRule="exact"/>
        <w:ind w:leftChars="0" w:left="0" w:rightChars="-34" w:right="-71" w:firstLineChars="300" w:firstLine="600"/>
        <w:rPr>
          <w:rFonts w:ascii="楷体" w:eastAsia="楷体" w:hAnsi="楷体" w:cs="Arial"/>
          <w:color w:val="auto"/>
          <w:sz w:val="20"/>
          <w:szCs w:val="20"/>
        </w:rPr>
      </w:pP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偏股型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产品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中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53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博</w:t>
      </w:r>
      <w:proofErr w:type="gramStart"/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时行业轮</w:t>
      </w:r>
      <w:proofErr w:type="gramEnd"/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动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7.90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%。灵活型产品中，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72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长信利盈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1A072D">
        <w:rPr>
          <w:rFonts w:ascii="楷体" w:eastAsia="楷体" w:hAnsi="楷体" w:cs="Arial" w:hint="eastAsia"/>
          <w:color w:val="auto"/>
          <w:sz w:val="20"/>
          <w:szCs w:val="20"/>
        </w:rPr>
        <w:t>6.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08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只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平衡型产品</w:t>
      </w:r>
      <w:r w:rsidR="000E78A4">
        <w:rPr>
          <w:rFonts w:ascii="楷体" w:eastAsia="楷体" w:hAnsi="楷体" w:cs="Arial" w:hint="eastAsia"/>
          <w:color w:val="auto"/>
          <w:sz w:val="20"/>
          <w:szCs w:val="20"/>
        </w:rPr>
        <w:t>中</w:t>
      </w:r>
      <w:r w:rsidR="00F63767">
        <w:rPr>
          <w:rFonts w:ascii="楷体" w:eastAsia="楷体" w:hAnsi="楷体" w:cs="Arial" w:hint="eastAsia"/>
          <w:color w:val="auto"/>
          <w:sz w:val="20"/>
          <w:szCs w:val="20"/>
        </w:rPr>
        <w:t>有</w:t>
      </w:r>
      <w:r w:rsidR="000E78A4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4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只收益为正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华安宝利配置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3.50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偏债型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产品中，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88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国泰安康养老定期支付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1D16D8">
        <w:rPr>
          <w:rFonts w:ascii="楷体" w:eastAsia="楷体" w:hAnsi="楷体" w:cs="Arial" w:hint="eastAsia"/>
          <w:color w:val="auto"/>
          <w:sz w:val="20"/>
          <w:szCs w:val="20"/>
        </w:rPr>
        <w:t>6.33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债券基金</w:t>
      </w:r>
    </w:p>
    <w:p w:rsidR="0053273E" w:rsidRPr="0032491D" w:rsidRDefault="0053273E" w:rsidP="0053273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b/>
          <w:color w:val="auto"/>
          <w:sz w:val="20"/>
          <w:szCs w:val="20"/>
        </w:rPr>
      </w:pP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债券型基金平均收益为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0.44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%，二级债基表现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差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于一级债基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。其中，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纯债基金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平均收益为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0.60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97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嘉</w:t>
      </w:r>
      <w:proofErr w:type="gramStart"/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实稳瑞纯债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6.59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%）涨幅最大。一级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债基平均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0.46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96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博时稳健回报A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的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1.71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%。二级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债基平均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0.28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78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产品收益为正，最高收益为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银河增利</w:t>
      </w:r>
      <w:r w:rsidR="00B0146A">
        <w:rPr>
          <w:rFonts w:ascii="楷体" w:eastAsia="楷体" w:hAnsi="楷体" w:cs="Arial" w:hint="eastAsia"/>
          <w:color w:val="auto"/>
          <w:sz w:val="20"/>
          <w:szCs w:val="20"/>
        </w:rPr>
        <w:t>A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1.86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%。指数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债基平均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0.22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84</w:t>
      </w:r>
      <w:r w:rsidR="00F357E3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产品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收益均为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正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675CA8">
        <w:rPr>
          <w:rFonts w:ascii="楷体" w:eastAsia="楷体" w:hAnsi="楷体" w:cs="Arial"/>
          <w:color w:val="auto"/>
          <w:sz w:val="20"/>
          <w:szCs w:val="20"/>
        </w:rPr>
        <w:t>最高收益为德</w:t>
      </w:r>
      <w:proofErr w:type="gramStart"/>
      <w:r w:rsidR="00675CA8">
        <w:rPr>
          <w:rFonts w:ascii="楷体" w:eastAsia="楷体" w:hAnsi="楷体" w:cs="Arial"/>
          <w:color w:val="auto"/>
          <w:sz w:val="20"/>
          <w:szCs w:val="20"/>
        </w:rPr>
        <w:t>邦</w:t>
      </w:r>
      <w:proofErr w:type="gramEnd"/>
      <w:r w:rsidR="00675CA8">
        <w:rPr>
          <w:rFonts w:ascii="楷体" w:eastAsia="楷体" w:hAnsi="楷体" w:cs="Arial"/>
          <w:color w:val="auto"/>
          <w:sz w:val="20"/>
          <w:szCs w:val="20"/>
        </w:rPr>
        <w:t>企债分级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2.05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。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53273E" w:rsidRPr="0032491D" w:rsidRDefault="0053273E" w:rsidP="0053273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商品基金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平均</w:t>
      </w:r>
      <w:r w:rsidR="00F357E3">
        <w:rPr>
          <w:rFonts w:ascii="楷体" w:eastAsia="楷体" w:hAnsi="楷体" w:cs="Arial" w:hint="eastAsia"/>
          <w:color w:val="auto"/>
          <w:sz w:val="20"/>
          <w:szCs w:val="20"/>
        </w:rPr>
        <w:t>下跌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4.01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其中</w:t>
      </w:r>
      <w:r w:rsidR="007A39E5">
        <w:rPr>
          <w:rFonts w:ascii="楷体" w:eastAsia="楷体" w:hAnsi="楷体" w:cs="Arial" w:hint="eastAsia"/>
          <w:color w:val="auto"/>
          <w:sz w:val="20"/>
          <w:szCs w:val="20"/>
        </w:rPr>
        <w:t>国泰黄金ETF联接跌幅最小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</w:t>
      </w:r>
      <w:r w:rsidR="007A39E5">
        <w:rPr>
          <w:rFonts w:ascii="楷体" w:eastAsia="楷体" w:hAnsi="楷体" w:cs="Arial" w:hint="eastAsia"/>
          <w:color w:val="auto"/>
          <w:sz w:val="20"/>
          <w:szCs w:val="20"/>
        </w:rPr>
        <w:t>跌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3.08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%。以绝对收益为投资目标的股票多空类产品平均收益为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-0.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3</w:t>
      </w:r>
      <w:r w:rsidR="000E78A4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%，最高收益为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嘉实对冲套利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0F65E7">
        <w:rPr>
          <w:rFonts w:ascii="楷体" w:eastAsia="楷体" w:hAnsi="楷体" w:cs="Arial" w:hint="eastAsia"/>
          <w:color w:val="auto"/>
          <w:sz w:val="20"/>
          <w:szCs w:val="20"/>
        </w:rPr>
        <w:t>38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。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537B7F51" wp14:editId="43D02642">
                <wp:simplePos x="0" y="0"/>
                <wp:positionH relativeFrom="page">
                  <wp:posOffset>375920</wp:posOffset>
                </wp:positionH>
                <wp:positionV relativeFrom="paragraph">
                  <wp:posOffset>152975</wp:posOffset>
                </wp:positionV>
                <wp:extent cx="2154555" cy="1072515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CB4" w:rsidRPr="00593057" w:rsidRDefault="00972CB4" w:rsidP="0053273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6pt;margin-top:12.05pt;width:169.65pt;height:84.4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" o:allowoverlap="f" filled="f" stroked="f">
                <v:textbox>
                  <w:txbxContent>
                    <w:p w:rsidR="00972CB4" w:rsidRPr="00593057" w:rsidRDefault="00972CB4" w:rsidP="0053273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货币基金</w:t>
      </w:r>
    </w:p>
    <w:p w:rsidR="0053273E" w:rsidRPr="0032491D" w:rsidRDefault="0053273E" w:rsidP="0053273E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/>
          <w:color w:val="auto"/>
          <w:sz w:val="20"/>
          <w:szCs w:val="20"/>
        </w:rPr>
        <w:t>货币基金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年化收益</w:t>
      </w:r>
      <w:proofErr w:type="gramEnd"/>
      <w:r w:rsidR="00991CB2">
        <w:rPr>
          <w:rFonts w:ascii="楷体" w:eastAsia="楷体" w:hAnsi="楷体" w:cs="Arial"/>
          <w:color w:val="auto"/>
          <w:sz w:val="20"/>
          <w:szCs w:val="20"/>
        </w:rPr>
        <w:t>略有</w:t>
      </w:r>
      <w:r w:rsidR="000E78A4">
        <w:rPr>
          <w:rFonts w:ascii="楷体" w:eastAsia="楷体" w:hAnsi="楷体" w:cs="Arial" w:hint="eastAsia"/>
          <w:color w:val="auto"/>
          <w:sz w:val="20"/>
          <w:szCs w:val="20"/>
        </w:rPr>
        <w:t>下降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</w:t>
      </w:r>
      <w:r>
        <w:rPr>
          <w:rFonts w:ascii="楷体" w:eastAsia="楷体" w:hAnsi="楷体" w:cs="Arial" w:hint="eastAsia"/>
          <w:color w:val="auto"/>
          <w:sz w:val="20"/>
          <w:szCs w:val="20"/>
        </w:rPr>
        <w:t>5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月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51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日，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货币基金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七日年化收益率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均值为2.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 xml:space="preserve"> </w:t>
      </w:r>
      <w:r w:rsidR="00507E75">
        <w:rPr>
          <w:rFonts w:ascii="楷体" w:eastAsia="楷体" w:hAnsi="楷体" w:cs="Arial" w:hint="eastAsia"/>
          <w:color w:val="auto"/>
          <w:sz w:val="20"/>
          <w:szCs w:val="20"/>
        </w:rPr>
        <w:t>4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proofErr w:type="gramStart"/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泰信天天</w:t>
      </w:r>
      <w:proofErr w:type="gramEnd"/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收益B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4.59</w:t>
      </w:r>
      <w:r w:rsidR="00E162B2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）、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德</w:t>
      </w:r>
      <w:proofErr w:type="gramStart"/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邦</w:t>
      </w:r>
      <w:proofErr w:type="gramEnd"/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增利B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4.46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%）七日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年化收益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最高。从收益区间来看，有</w:t>
      </w:r>
      <w:r w:rsidR="000E78A4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%的产品七日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年化收益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超4%，</w:t>
      </w:r>
      <w:r w:rsidR="000E78A4">
        <w:rPr>
          <w:rFonts w:ascii="楷体" w:eastAsia="楷体" w:hAnsi="楷体" w:cs="Arial" w:hint="eastAsia"/>
          <w:color w:val="auto"/>
          <w:sz w:val="20"/>
          <w:szCs w:val="20"/>
        </w:rPr>
        <w:t>9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%的产品收益在3%-4%之间，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%的产品收益在2%-3%之间。</w:t>
      </w:r>
    </w:p>
    <w:p w:rsidR="0053273E" w:rsidRPr="0032491D" w:rsidRDefault="0053273E" w:rsidP="0053273E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lastRenderedPageBreak/>
        <w:t>QDII基金</w:t>
      </w:r>
    </w:p>
    <w:p w:rsidR="0053273E" w:rsidRPr="0032491D" w:rsidRDefault="0053273E" w:rsidP="00B7293D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/>
          <w:color w:val="auto"/>
          <w:sz w:val="20"/>
          <w:szCs w:val="20"/>
        </w:rPr>
        <w:t>QDII基金平均收益为</w:t>
      </w:r>
      <w:r w:rsidR="00991CB2">
        <w:rPr>
          <w:rFonts w:ascii="楷体" w:eastAsia="楷体" w:hAnsi="楷体" w:cs="Arial" w:hint="eastAsia"/>
          <w:color w:val="auto"/>
          <w:sz w:val="20"/>
          <w:szCs w:val="20"/>
        </w:rPr>
        <w:t>0.57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%，其中</w:t>
      </w:r>
      <w:r w:rsidR="007A39E5">
        <w:rPr>
          <w:rFonts w:ascii="楷体" w:eastAsia="楷体" w:hAnsi="楷体" w:cs="Arial" w:hint="eastAsia"/>
          <w:color w:val="auto"/>
          <w:sz w:val="20"/>
          <w:szCs w:val="20"/>
        </w:rPr>
        <w:t>国泰大宗</w:t>
      </w:r>
      <w:r w:rsidR="005642AF">
        <w:rPr>
          <w:rFonts w:ascii="楷体" w:eastAsia="楷体" w:hAnsi="楷体" w:cs="Arial" w:hint="eastAsia"/>
          <w:color w:val="auto"/>
          <w:sz w:val="20"/>
          <w:szCs w:val="20"/>
        </w:rPr>
        <w:t>商品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表现最好，涨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7.82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%。从具体品种来看，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纳斯达克100</w:t>
      </w:r>
      <w:r w:rsidR="005642AF">
        <w:rPr>
          <w:rFonts w:ascii="楷体" w:eastAsia="楷体" w:hAnsi="楷体" w:cs="Arial" w:hint="eastAsia"/>
          <w:color w:val="auto"/>
          <w:sz w:val="20"/>
          <w:szCs w:val="20"/>
        </w:rPr>
        <w:t>、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房地产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主题QDII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表现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最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好，</w:t>
      </w:r>
      <w:r w:rsidR="007C71EA">
        <w:rPr>
          <w:rFonts w:ascii="楷体" w:eastAsia="楷体" w:hAnsi="楷体" w:cs="Arial" w:hint="eastAsia"/>
          <w:color w:val="auto"/>
          <w:sz w:val="20"/>
          <w:szCs w:val="20"/>
        </w:rPr>
        <w:t>黄金、资源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主题 QDII表现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较差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</w:t>
      </w:r>
    </w:p>
    <w:tbl>
      <w:tblPr>
        <w:tblpPr w:leftFromText="180" w:rightFromText="180" w:vertAnchor="text" w:horzAnchor="margin" w:tblpY="-39"/>
        <w:tblW w:w="3970" w:type="dxa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701"/>
        <w:gridCol w:w="743"/>
      </w:tblGrid>
      <w:tr w:rsidR="0053273E" w:rsidRPr="0032491D" w:rsidTr="00FC5199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53273E" w:rsidRPr="0032491D" w:rsidRDefault="0053273E" w:rsidP="00FC5199">
            <w:pPr>
              <w:widowControl/>
              <w:jc w:val="center"/>
              <w:rPr>
                <w:rFonts w:ascii="楷体" w:eastAsia="楷体" w:hAnsi="楷体" w:cs="Arial"/>
                <w:b/>
                <w:sz w:val="20"/>
                <w:szCs w:val="20"/>
              </w:rPr>
            </w:pPr>
            <w:r w:rsidRPr="0032491D">
              <w:rPr>
                <w:rFonts w:ascii="楷体" w:eastAsia="楷体" w:hAnsi="楷体" w:cs="Arial"/>
                <w:b/>
                <w:sz w:val="20"/>
                <w:szCs w:val="20"/>
              </w:rPr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53273E" w:rsidRPr="0032491D" w:rsidRDefault="0053273E" w:rsidP="00FC5199">
            <w:pPr>
              <w:widowControl/>
              <w:jc w:val="center"/>
              <w:rPr>
                <w:rFonts w:ascii="楷体" w:eastAsia="楷体" w:hAnsi="楷体" w:cs="Arial"/>
                <w:b/>
                <w:sz w:val="20"/>
                <w:szCs w:val="20"/>
              </w:rPr>
            </w:pPr>
            <w:r w:rsidRPr="0032491D">
              <w:rPr>
                <w:rFonts w:ascii="楷体" w:eastAsia="楷体" w:hAnsi="楷体" w:cs="Arial"/>
                <w:b/>
                <w:sz w:val="20"/>
                <w:szCs w:val="20"/>
              </w:rPr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53273E" w:rsidRPr="0032491D" w:rsidRDefault="0053273E" w:rsidP="00FC5199">
            <w:pPr>
              <w:widowControl/>
              <w:jc w:val="center"/>
              <w:rPr>
                <w:rFonts w:ascii="楷体" w:eastAsia="楷体" w:hAnsi="楷体" w:cs="Arial"/>
                <w:b/>
                <w:sz w:val="20"/>
                <w:szCs w:val="20"/>
              </w:rPr>
            </w:pPr>
            <w:r w:rsidRPr="0032491D">
              <w:rPr>
                <w:rFonts w:ascii="楷体" w:eastAsia="楷体" w:hAnsi="楷体" w:cs="Arial"/>
                <w:b/>
                <w:sz w:val="20"/>
                <w:szCs w:val="20"/>
              </w:rPr>
              <w:t>简称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53273E" w:rsidRPr="0032491D" w:rsidRDefault="0053273E" w:rsidP="00FC5199">
            <w:pPr>
              <w:widowControl/>
              <w:jc w:val="left"/>
              <w:rPr>
                <w:rFonts w:ascii="楷体" w:eastAsia="楷体" w:hAnsi="楷体" w:cs="Arial"/>
                <w:b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sz w:val="18"/>
                <w:szCs w:val="18"/>
              </w:rPr>
              <w:t>涨跌%</w:t>
            </w:r>
          </w:p>
        </w:tc>
      </w:tr>
      <w:tr w:rsidR="00991CB2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32491D" w:rsidRDefault="00991CB2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001542.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国泰互联网+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5.55</w:t>
            </w:r>
          </w:p>
        </w:tc>
      </w:tr>
      <w:tr w:rsidR="00991CB2" w:rsidRPr="0032491D" w:rsidTr="00FC5199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32491D" w:rsidRDefault="00991CB2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001186.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富国文体健康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5.31</w:t>
            </w:r>
          </w:p>
        </w:tc>
      </w:tr>
      <w:tr w:rsidR="00991CB2" w:rsidRPr="0032491D" w:rsidTr="00FC5199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32491D" w:rsidRDefault="00991CB2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000866.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华宝兴业高端制造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1CB2" w:rsidRPr="00991CB2" w:rsidRDefault="00991C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4.86</w:t>
            </w:r>
          </w:p>
        </w:tc>
      </w:tr>
      <w:tr w:rsidR="00991CB2" w:rsidRPr="0032491D" w:rsidTr="001C26A9">
        <w:trPr>
          <w:trHeight w:val="248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91CB2" w:rsidRPr="0032491D" w:rsidRDefault="00991CB2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159948.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南方创业板ETF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6.24</w:t>
            </w:r>
          </w:p>
        </w:tc>
      </w:tr>
      <w:tr w:rsidR="00991CB2" w:rsidRPr="0032491D" w:rsidTr="00E76686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91CB2" w:rsidRPr="0032491D" w:rsidRDefault="00991CB2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160225.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国泰国证新能源汽车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6.22</w:t>
            </w:r>
          </w:p>
        </w:tc>
      </w:tr>
      <w:tr w:rsidR="00991CB2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91CB2" w:rsidRPr="0032491D" w:rsidRDefault="00991CB2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168202.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中融中</w:t>
            </w:r>
            <w:proofErr w:type="gramEnd"/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证白酒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CB2" w:rsidRPr="00991CB2" w:rsidRDefault="00991C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1C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5.96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050018.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</w:t>
            </w:r>
            <w:proofErr w:type="gramStart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时行业轮</w:t>
            </w:r>
            <w:proofErr w:type="gramEnd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动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7.90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D16D8" w:rsidRPr="0032491D" w:rsidRDefault="001D16D8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160212.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国泰估值优势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7.00</w:t>
            </w:r>
          </w:p>
        </w:tc>
      </w:tr>
      <w:tr w:rsidR="001D16D8" w:rsidRPr="0032491D" w:rsidTr="00784A4D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002553.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</w:t>
            </w:r>
            <w:proofErr w:type="gramStart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时创业</w:t>
            </w:r>
            <w:proofErr w:type="gramEnd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成长C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6.78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000367.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国泰安康养老定期支付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6.33</w:t>
            </w:r>
          </w:p>
        </w:tc>
      </w:tr>
      <w:tr w:rsidR="001D16D8" w:rsidRPr="0032491D" w:rsidTr="001D16D8">
        <w:trPr>
          <w:trHeight w:val="70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D16D8" w:rsidRPr="0032491D" w:rsidRDefault="001D16D8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000695.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大成景益平稳</w:t>
            </w:r>
            <w:proofErr w:type="gramEnd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收益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4.11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255010.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国联安稳健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3.07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519963.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长信利盈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6.08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D16D8" w:rsidRPr="0032491D" w:rsidRDefault="001D16D8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168101.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九泰锐智定增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5.89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001018.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易方达新经济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5.77</w:t>
            </w:r>
          </w:p>
        </w:tc>
      </w:tr>
      <w:tr w:rsidR="001D16D8" w:rsidRPr="0032491D" w:rsidTr="00FE427A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华安宝利配置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3.50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D16D8" w:rsidRPr="0032491D" w:rsidRDefault="001D16D8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100016.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富国天</w:t>
            </w:r>
            <w:proofErr w:type="gramStart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源平衡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3.41</w:t>
            </w:r>
          </w:p>
        </w:tc>
      </w:tr>
      <w:tr w:rsidR="001D16D8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D16D8" w:rsidRPr="0032491D" w:rsidRDefault="001D16D8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270001.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发聚富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D16D8" w:rsidRPr="001D16D8" w:rsidRDefault="001D16D8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D16D8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2.92</w:t>
            </w:r>
          </w:p>
        </w:tc>
      </w:tr>
      <w:tr w:rsidR="000F65E7" w:rsidRPr="0032491D" w:rsidTr="008951E7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002548.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</w:t>
            </w:r>
            <w:proofErr w:type="gramStart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实稳瑞纯债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6.59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32491D" w:rsidRDefault="000F65E7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000246.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博时月月薪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1.85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000289.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鹏华丰泰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1.66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160513.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博时稳健回报A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1.71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F65E7" w:rsidRPr="0032491D" w:rsidRDefault="000F65E7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160621.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鹏华</w:t>
            </w:r>
            <w:proofErr w:type="gramStart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中小企业纯债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1.22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550006.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信诚</w:t>
            </w:r>
            <w:proofErr w:type="gramStart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经典优债</w:t>
            </w:r>
            <w:proofErr w:type="gramEnd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1.21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B0146A" w:rsidRDefault="000F65E7" w:rsidP="00FC5199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B0146A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519660.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银河增利A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1.86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B0146A" w:rsidRDefault="000F65E7" w:rsidP="00FC5199">
            <w:pPr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070020.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嘉实稳固收益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1.59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B0146A" w:rsidRDefault="000F65E7" w:rsidP="00FC5199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050011.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博时信用债券A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1.46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167701.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德</w:t>
            </w:r>
            <w:proofErr w:type="gramStart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邦</w:t>
            </w:r>
            <w:proofErr w:type="gramEnd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企债分级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2.05</w:t>
            </w:r>
          </w:p>
        </w:tc>
      </w:tr>
      <w:tr w:rsidR="000F65E7" w:rsidRPr="0032491D" w:rsidTr="00FC5199">
        <w:trPr>
          <w:trHeight w:val="7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F65E7" w:rsidRPr="0032491D" w:rsidRDefault="000F65E7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161821.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银华中证中票50A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0.92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160720.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嘉实中</w:t>
            </w:r>
            <w:proofErr w:type="gramStart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证中期企业</w:t>
            </w:r>
            <w:proofErr w:type="gramEnd"/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债A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0.87</w:t>
            </w:r>
          </w:p>
        </w:tc>
      </w:tr>
      <w:tr w:rsidR="007C71EA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C71EA" w:rsidRPr="0032491D" w:rsidRDefault="007C71EA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32491D">
              <w:rPr>
                <w:rFonts w:ascii="楷体" w:eastAsia="楷体" w:hAnsi="楷体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002234.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泰信天天</w:t>
            </w:r>
            <w:proofErr w:type="gramEnd"/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收益B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4.59</w:t>
            </w:r>
          </w:p>
        </w:tc>
      </w:tr>
      <w:tr w:rsidR="007C71EA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C71EA" w:rsidRPr="0032491D" w:rsidRDefault="007C71EA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002241.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德</w:t>
            </w:r>
            <w:proofErr w:type="gramStart"/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邦</w:t>
            </w:r>
            <w:proofErr w:type="gramEnd"/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增利B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4.46</w:t>
            </w:r>
          </w:p>
        </w:tc>
      </w:tr>
      <w:tr w:rsidR="007C71EA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7C71EA" w:rsidRPr="0032491D" w:rsidRDefault="007C71EA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000638.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富国富钱包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7C71EA" w:rsidRPr="007C71EA" w:rsidRDefault="007C71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C71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3.99</w:t>
            </w:r>
          </w:p>
        </w:tc>
      </w:tr>
      <w:tr w:rsidR="007A39E5" w:rsidRPr="0032491D" w:rsidTr="00FC5199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A39E5" w:rsidRPr="0032491D" w:rsidRDefault="007A39E5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39E5" w:rsidRPr="007A39E5" w:rsidRDefault="007A39E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39E5" w:rsidRPr="007A39E5" w:rsidRDefault="007A39E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A39E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国泰黄金ETF联接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7A39E5" w:rsidRPr="007A39E5" w:rsidRDefault="007A39E5" w:rsidP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7A39E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</w:t>
            </w:r>
            <w:r w:rsid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3.08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160216.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国泰大宗商品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7.82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32491D" w:rsidRDefault="000F65E7" w:rsidP="00FC5199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040046.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华安纳斯达克100人民币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5.76</w:t>
            </w:r>
          </w:p>
        </w:tc>
      </w:tr>
      <w:tr w:rsidR="000F65E7" w:rsidRPr="0032491D" w:rsidTr="00FC5199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F65E7" w:rsidRPr="0032491D" w:rsidRDefault="000F65E7" w:rsidP="00FC5199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160213.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国泰纳斯达克100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F65E7" w:rsidRPr="000F65E7" w:rsidRDefault="000F65E7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0F65E7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5.53</w:t>
            </w:r>
          </w:p>
        </w:tc>
      </w:tr>
      <w:tr w:rsidR="0053273E" w:rsidRPr="0032491D" w:rsidTr="00FC5199">
        <w:trPr>
          <w:trHeight w:val="284"/>
        </w:trPr>
        <w:tc>
          <w:tcPr>
            <w:tcW w:w="3970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53273E" w:rsidRPr="0032491D" w:rsidRDefault="0053273E" w:rsidP="00FC5199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53273E" w:rsidRPr="0032491D" w:rsidRDefault="0053273E" w:rsidP="0053273E">
      <w:pPr>
        <w:pStyle w:val="a6"/>
        <w:numPr>
          <w:ilvl w:val="0"/>
          <w:numId w:val="1"/>
        </w:numPr>
        <w:ind w:left="643" w:hangingChars="200" w:hanging="643"/>
        <w:rPr>
          <w:rFonts w:ascii="楷体" w:eastAsia="楷体" w:hAnsi="楷体" w:cs="Arial"/>
          <w:b/>
          <w:color w:val="996600"/>
          <w:sz w:val="32"/>
          <w:szCs w:val="28"/>
        </w:rPr>
      </w:pPr>
      <w:r w:rsidRPr="0032491D">
        <w:rPr>
          <w:rFonts w:ascii="楷体" w:eastAsia="楷体" w:hAnsi="楷体" w:cs="Arial"/>
          <w:b/>
          <w:color w:val="996600"/>
          <w:sz w:val="32"/>
          <w:szCs w:val="28"/>
        </w:rPr>
        <w:t>未来基金投资策略</w:t>
      </w:r>
    </w:p>
    <w:p w:rsidR="0053273E" w:rsidRPr="0032491D" w:rsidRDefault="0053273E" w:rsidP="008F4CD3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proofErr w:type="gramStart"/>
      <w:r w:rsidRPr="00BE3229">
        <w:rPr>
          <w:rFonts w:ascii="楷体" w:eastAsia="楷体" w:hAnsi="楷体" w:cs="Arial"/>
          <w:b/>
          <w:color w:val="auto"/>
          <w:sz w:val="20"/>
          <w:szCs w:val="20"/>
        </w:rPr>
        <w:t>股混基金</w:t>
      </w:r>
      <w:proofErr w:type="gramEnd"/>
      <w:r w:rsidR="00F129A0">
        <w:rPr>
          <w:rFonts w:ascii="楷体" w:eastAsia="楷体" w:hAnsi="楷体" w:cs="Arial" w:hint="eastAsia"/>
          <w:b/>
          <w:color w:val="auto"/>
          <w:sz w:val="20"/>
          <w:szCs w:val="20"/>
        </w:rPr>
        <w:t>回归中性</w:t>
      </w:r>
      <w:proofErr w:type="gramStart"/>
      <w:r w:rsidR="00F129A0">
        <w:rPr>
          <w:rFonts w:ascii="楷体" w:eastAsia="楷体" w:hAnsi="楷体" w:cs="Arial" w:hint="eastAsia"/>
          <w:b/>
          <w:color w:val="auto"/>
          <w:sz w:val="20"/>
          <w:szCs w:val="20"/>
        </w:rPr>
        <w:t>仓位</w:t>
      </w:r>
      <w:proofErr w:type="gramEnd"/>
      <w:r w:rsidR="00F129A0">
        <w:rPr>
          <w:rFonts w:ascii="楷体" w:eastAsia="楷体" w:hAnsi="楷体" w:cs="Arial" w:hint="eastAsia"/>
          <w:b/>
          <w:color w:val="auto"/>
          <w:sz w:val="20"/>
          <w:szCs w:val="20"/>
        </w:rPr>
        <w:t>，结构均衡</w:t>
      </w:r>
      <w:r w:rsidRPr="00BE3229">
        <w:rPr>
          <w:rFonts w:ascii="楷体" w:eastAsia="楷体" w:hAnsi="楷体" w:cs="Arial" w:hint="eastAsia"/>
          <w:b/>
          <w:color w:val="auto"/>
          <w:sz w:val="20"/>
          <w:szCs w:val="20"/>
        </w:rPr>
        <w:t>。</w:t>
      </w:r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从</w:t>
      </w:r>
      <w:proofErr w:type="gramStart"/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凯</w:t>
      </w:r>
      <w:proofErr w:type="gramEnd"/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石6+1投资展望来看，目前影响市场的最大不确定性来自美联储加息，进而引发人民币贬值压力，进而继续延伸到国内资金面冲击，不过由于市场此前对美国加息和人民币贬值压力已经有较强的预期，近期人民币</w:t>
      </w:r>
      <w:proofErr w:type="gramStart"/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中间价创5年</w:t>
      </w:r>
      <w:proofErr w:type="gramEnd"/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新低并未对A股形成大幅冲击说明市场对贬值压力一定预期和消化，未来靴子落地对市场的冲击将是未消化掉的预期差的冲击，不必过分悲观。</w:t>
      </w:r>
      <w:proofErr w:type="gramStart"/>
      <w:r w:rsidR="00F129A0">
        <w:rPr>
          <w:rFonts w:ascii="楷体" w:eastAsia="楷体" w:hAnsi="楷体" w:cs="Arial" w:hint="eastAsia"/>
          <w:color w:val="000000" w:themeColor="text1"/>
          <w:sz w:val="20"/>
          <w:szCs w:val="20"/>
        </w:rPr>
        <w:t>股混基金</w:t>
      </w:r>
      <w:proofErr w:type="gramEnd"/>
      <w:r w:rsidR="00F129A0">
        <w:rPr>
          <w:rFonts w:ascii="楷体" w:eastAsia="楷体" w:hAnsi="楷体" w:cs="Arial" w:hint="eastAsia"/>
          <w:color w:val="000000" w:themeColor="text1"/>
          <w:sz w:val="20"/>
          <w:szCs w:val="20"/>
        </w:rPr>
        <w:t>投资上，</w:t>
      </w:r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短期来看，我们认为在5月31</w:t>
      </w:r>
      <w:proofErr w:type="gramStart"/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号市场</w:t>
      </w:r>
      <w:proofErr w:type="gramEnd"/>
      <w:r w:rsidR="00B9534D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向上突破到美国真正加息之前的时间窗口内，市场大概率</w:t>
      </w:r>
      <w:r w:rsid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是较为温和反弹期，投资者可以适度乐观，回归到中性</w:t>
      </w:r>
      <w:proofErr w:type="gramStart"/>
      <w:r w:rsid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仓位</w:t>
      </w:r>
      <w:proofErr w:type="gramEnd"/>
      <w:r w:rsid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，均衡配置</w:t>
      </w:r>
      <w:r w:rsidR="00F129A0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长期而言，我们维持A股处在底部区域的判断，</w:t>
      </w:r>
      <w:r w:rsidR="00F129A0">
        <w:rPr>
          <w:rFonts w:ascii="楷体" w:eastAsia="楷体" w:hAnsi="楷体" w:cs="Arial" w:hint="eastAsia"/>
          <w:color w:val="auto"/>
          <w:sz w:val="20"/>
          <w:szCs w:val="20"/>
        </w:rPr>
        <w:t>基本面上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经济筑底回升的过程相当漫长，长周期看货币政策</w:t>
      </w:r>
      <w:r w:rsidR="00F129A0">
        <w:rPr>
          <w:rFonts w:ascii="楷体" w:eastAsia="楷体" w:hAnsi="楷体" w:cs="Arial" w:hint="eastAsia"/>
          <w:color w:val="auto"/>
          <w:sz w:val="20"/>
          <w:szCs w:val="20"/>
        </w:rPr>
        <w:t>依然处在宽松周期内，虽然A股估值并不十分便宜，但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相比于债市、房地产、海外股市等，A</w:t>
      </w:r>
      <w:r w:rsidR="00F129A0">
        <w:rPr>
          <w:rFonts w:ascii="楷体" w:eastAsia="楷体" w:hAnsi="楷体" w:cs="Arial" w:hint="eastAsia"/>
          <w:color w:val="auto"/>
          <w:sz w:val="20"/>
          <w:szCs w:val="20"/>
        </w:rPr>
        <w:t>股依然是性价比较高的资产，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长线投资者尤其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是定投投资者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可以</w:t>
      </w:r>
      <w:r w:rsidR="0090188B">
        <w:rPr>
          <w:rFonts w:ascii="楷体" w:eastAsia="楷体" w:hAnsi="楷体" w:cs="Arial" w:hint="eastAsia"/>
          <w:color w:val="auto"/>
          <w:sz w:val="20"/>
          <w:szCs w:val="20"/>
        </w:rPr>
        <w:t>积极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布局。</w:t>
      </w:r>
    </w:p>
    <w:p w:rsidR="0053273E" w:rsidRPr="0032491D" w:rsidRDefault="0053273E" w:rsidP="00850C30">
      <w:pPr>
        <w:pStyle w:val="a5"/>
        <w:spacing w:beforeLines="100" w:before="240" w:afterLines="100" w:after="240" w:line="260" w:lineRule="exact"/>
        <w:ind w:leftChars="1957" w:left="4110" w:rightChars="-34" w:right="-71" w:firstLineChars="212" w:firstLine="426"/>
        <w:rPr>
          <w:rFonts w:ascii="楷体" w:eastAsia="楷体" w:hAnsi="楷体" w:cs="Arial"/>
          <w:b/>
          <w:color w:val="auto"/>
          <w:sz w:val="20"/>
          <w:szCs w:val="20"/>
        </w:rPr>
      </w:pPr>
      <w:r w:rsidRPr="001B0F9F">
        <w:rPr>
          <w:rFonts w:ascii="楷体" w:eastAsia="楷体" w:hAnsi="楷体" w:cs="Arial"/>
          <w:b/>
          <w:color w:val="000000" w:themeColor="text1"/>
          <w:sz w:val="20"/>
          <w:szCs w:val="20"/>
        </w:rPr>
        <w:t>固定收益基金</w:t>
      </w:r>
      <w:r w:rsidR="001B0F9F" w:rsidRPr="001B0F9F">
        <w:rPr>
          <w:rFonts w:ascii="楷体" w:eastAsia="楷体" w:hAnsi="楷体" w:cs="Arial"/>
          <w:b/>
          <w:color w:val="000000" w:themeColor="text1"/>
          <w:sz w:val="20"/>
          <w:szCs w:val="20"/>
        </w:rPr>
        <w:t>，</w:t>
      </w:r>
      <w:r w:rsidR="00037AD8">
        <w:rPr>
          <w:rFonts w:ascii="楷体" w:eastAsia="楷体" w:hAnsi="楷体" w:cs="Arial"/>
          <w:b/>
          <w:color w:val="000000" w:themeColor="text1"/>
          <w:sz w:val="20"/>
          <w:szCs w:val="20"/>
        </w:rPr>
        <w:t>信用</w:t>
      </w:r>
      <w:r w:rsidR="008345BD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风险未释放完毕</w:t>
      </w:r>
      <w:r w:rsidRPr="001B0F9F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="00546853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5 月上旬银行间流动性平稳，央行综合运用各种工具，灵活提供长、中、短期流动性。同时央行货币政策分析小组发布的《2015年以来稳健货币政策主要特点的回顾》继续强调稳健的货币政策，显示维稳态度坚决。然而到5 月下半月，随着加息预期的升温，尽管资金面依旧平稳偏松，但流动性预期有所谨慎。</w:t>
      </w:r>
      <w:r w:rsidR="00541A7B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券种选择上，</w:t>
      </w:r>
      <w:r w:rsidR="00A867D5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利率债方面</w:t>
      </w:r>
      <w:r w:rsidR="00850C30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，在人民币贬值预期再起、金融去杠杆担忧等因素扰动</w:t>
      </w:r>
      <w:proofErr w:type="gramStart"/>
      <w:r w:rsidR="00850C30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下利率债</w:t>
      </w:r>
      <w:proofErr w:type="gramEnd"/>
      <w:r w:rsidR="00850C30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收益率再度出现上行，</w:t>
      </w:r>
      <w:r w:rsidR="00541A7B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尤其是长</w:t>
      </w:r>
      <w:proofErr w:type="gramStart"/>
      <w:r w:rsidR="00541A7B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债压力</w:t>
      </w:r>
      <w:proofErr w:type="gramEnd"/>
      <w:r w:rsidR="00541A7B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较大，因此</w:t>
      </w:r>
      <w:proofErr w:type="gramStart"/>
      <w:r w:rsidR="00541A7B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控制久期和</w:t>
      </w:r>
      <w:proofErr w:type="gramEnd"/>
      <w:r w:rsidR="00541A7B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杠杆防守为上。</w:t>
      </w:r>
      <w:r w:rsidR="00546853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信用债方面</w:t>
      </w:r>
      <w:r w:rsidR="00850C30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，虽然市场情绪相比4 月有所恢复，但投资者</w:t>
      </w:r>
      <w:r w:rsidR="00546853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对低等级、产能过剩</w:t>
      </w:r>
      <w:r w:rsidR="00850C30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的回避倾向仍很明显</w:t>
      </w:r>
      <w:r w:rsidR="00A867D5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="00546853" w:rsidRPr="00B9534D">
        <w:rPr>
          <w:rFonts w:ascii="楷体" w:eastAsia="楷体" w:hAnsi="楷体" w:cs="Arial" w:hint="eastAsia"/>
          <w:color w:val="000000" w:themeColor="text1"/>
          <w:sz w:val="20"/>
          <w:szCs w:val="20"/>
        </w:rPr>
        <w:t>再加上5-7月都是评级调整最密集的月份，信用违约风险仍是需要关注的重点。</w:t>
      </w:r>
      <w:r w:rsidRPr="00BE3229">
        <w:rPr>
          <w:rFonts w:ascii="楷体" w:eastAsia="楷体" w:hAnsi="楷体" w:cs="Arial" w:hint="eastAsia"/>
          <w:color w:val="auto"/>
          <w:sz w:val="20"/>
          <w:szCs w:val="20"/>
        </w:rPr>
        <w:t>因此当前谨慎选择投中高信用等级、经营业绩良好的公司债券作为配置对象，避免“踩雷”为上。</w:t>
      </w:r>
      <w:r w:rsidR="001B0F9F">
        <w:rPr>
          <w:rFonts w:ascii="楷体" w:eastAsia="楷体" w:hAnsi="楷体" w:cs="Arial" w:hint="eastAsia"/>
          <w:color w:val="auto"/>
          <w:sz w:val="20"/>
          <w:szCs w:val="20"/>
        </w:rPr>
        <w:t>对于普通投资者，仍建议等待债市风险释放，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对于有债券基金刚性配置需求的投资者，当前在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债基产品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上要强调风险控制，建议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精选久期短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、杠杆较低和持券信用等级较高的基金，例如以短融为主要投资标的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的短融基金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是当前防守较好的品种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此外，参与股市和转债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的债基也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可以适当关注，尤其是基金经理大类资产配置能力较强的，在股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债之间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进行切换可以适当降低单一债市风险。</w:t>
      </w:r>
    </w:p>
    <w:p w:rsidR="0053273E" w:rsidRPr="0032491D" w:rsidRDefault="0053273E" w:rsidP="0053273E">
      <w:pPr>
        <w:pStyle w:val="a5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楷体" w:eastAsia="楷体" w:hAnsi="楷体" w:cs="Arial"/>
          <w:sz w:val="36"/>
          <w:szCs w:val="34"/>
        </w:rPr>
      </w:pPr>
      <w:r w:rsidRPr="0032491D">
        <w:rPr>
          <w:rFonts w:ascii="楷体" w:eastAsia="楷体" w:hAnsi="楷体" w:cs="Arial" w:hint="eastAsia"/>
          <w:b/>
          <w:color w:val="auto"/>
          <w:sz w:val="20"/>
          <w:szCs w:val="20"/>
        </w:rPr>
        <w:t xml:space="preserve"> </w:t>
      </w:r>
      <w:r w:rsidRPr="0032491D">
        <w:rPr>
          <w:rFonts w:ascii="楷体" w:eastAsia="楷体" w:hAnsi="楷体" w:cs="Arial"/>
          <w:b/>
          <w:color w:val="auto"/>
          <w:sz w:val="20"/>
          <w:szCs w:val="20"/>
        </w:rPr>
        <w:t>建</w:t>
      </w:r>
      <w:r w:rsidRPr="0032491D">
        <w:rPr>
          <w:rFonts w:ascii="楷体" w:eastAsia="楷体" w:hAnsi="楷体" w:cs="Arial" w:hint="eastAsia"/>
          <w:b/>
          <w:color w:val="auto"/>
          <w:sz w:val="20"/>
          <w:szCs w:val="20"/>
        </w:rPr>
        <w:t>议关注黄金和大宗商品类QDII</w:t>
      </w:r>
      <w:r w:rsidR="00CE3206">
        <w:rPr>
          <w:rFonts w:ascii="楷体" w:eastAsia="楷体" w:hAnsi="楷体" w:cs="Arial" w:hint="eastAsia"/>
          <w:b/>
          <w:color w:val="auto"/>
          <w:sz w:val="20"/>
          <w:szCs w:val="20"/>
        </w:rPr>
        <w:t>，</w:t>
      </w:r>
      <w:r w:rsidR="00CE3206" w:rsidRPr="00CE3206">
        <w:rPr>
          <w:rFonts w:ascii="楷体" w:eastAsia="楷体" w:hAnsi="楷体" w:cs="Arial" w:hint="eastAsia"/>
          <w:b/>
          <w:color w:val="auto"/>
          <w:sz w:val="20"/>
          <w:szCs w:val="20"/>
        </w:rPr>
        <w:t>近期或受美加息预期冲击</w:t>
      </w:r>
      <w:r w:rsidRPr="0032491D">
        <w:rPr>
          <w:rFonts w:ascii="楷体" w:eastAsia="楷体" w:hAnsi="楷体" w:cs="Arial" w:hint="eastAsia"/>
          <w:b/>
          <w:color w:val="auto"/>
          <w:sz w:val="20"/>
          <w:szCs w:val="20"/>
        </w:rPr>
        <w:t>。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QDII中投资大宗商品和商品基金的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投资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逻辑在</w:t>
      </w:r>
      <w:r w:rsidR="00B52E84">
        <w:rPr>
          <w:rFonts w:ascii="楷体" w:eastAsia="楷体" w:hAnsi="楷体" w:cs="Arial" w:hint="eastAsia"/>
          <w:color w:val="auto"/>
          <w:sz w:val="20"/>
          <w:szCs w:val="20"/>
        </w:rPr>
        <w:t>6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月有望延续。</w:t>
      </w:r>
      <w:r w:rsidR="00D243EB">
        <w:rPr>
          <w:rFonts w:ascii="楷体" w:eastAsia="楷体" w:hAnsi="楷体" w:cs="Arial" w:hint="eastAsia"/>
          <w:color w:val="auto"/>
          <w:sz w:val="20"/>
          <w:szCs w:val="20"/>
        </w:rPr>
        <w:t>尽管</w:t>
      </w:r>
      <w:r w:rsidR="00B52E84">
        <w:rPr>
          <w:rFonts w:ascii="楷体" w:eastAsia="楷体" w:hAnsi="楷体" w:cs="Arial" w:hint="eastAsia"/>
          <w:color w:val="auto"/>
          <w:sz w:val="20"/>
          <w:szCs w:val="20"/>
        </w:rPr>
        <w:t>5月由于加息预期的升温</w:t>
      </w:r>
      <w:r w:rsidR="00D243EB">
        <w:rPr>
          <w:rFonts w:ascii="楷体" w:eastAsia="楷体" w:hAnsi="楷体" w:cs="Arial" w:hint="eastAsia"/>
          <w:color w:val="auto"/>
          <w:sz w:val="20"/>
          <w:szCs w:val="20"/>
        </w:rPr>
        <w:t>黄金</w:t>
      </w:r>
      <w:r w:rsidR="00B52E84">
        <w:rPr>
          <w:rFonts w:ascii="楷体" w:eastAsia="楷体" w:hAnsi="楷体" w:cs="Arial" w:hint="eastAsia"/>
          <w:color w:val="auto"/>
          <w:sz w:val="20"/>
          <w:szCs w:val="20"/>
        </w:rPr>
        <w:t>价格承压，但在全球经济低迷和货币超发的大背景下，黄金的保值和抗通胀价值依然</w:t>
      </w:r>
      <w:r w:rsidR="000A577C">
        <w:rPr>
          <w:rFonts w:ascii="楷体" w:eastAsia="楷体" w:hAnsi="楷体" w:cs="Arial" w:hint="eastAsia"/>
          <w:color w:val="auto"/>
          <w:sz w:val="20"/>
          <w:szCs w:val="20"/>
        </w:rPr>
        <w:t>存在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。油气能源</w:t>
      </w:r>
      <w:r w:rsidR="00AF2DD5">
        <w:rPr>
          <w:rFonts w:ascii="楷体" w:eastAsia="楷体" w:hAnsi="楷体" w:cs="Arial" w:hint="eastAsia"/>
          <w:color w:val="auto"/>
          <w:sz w:val="20"/>
          <w:szCs w:val="20"/>
        </w:rPr>
        <w:t>等大宗商品主题基金方面，全球货币超发带来的通胀担忧和中国经济</w:t>
      </w:r>
      <w:r w:rsidR="004D36C4">
        <w:rPr>
          <w:rFonts w:ascii="楷体" w:eastAsia="楷体" w:hAnsi="楷体" w:cs="Arial" w:hint="eastAsia"/>
          <w:color w:val="auto"/>
          <w:sz w:val="20"/>
          <w:szCs w:val="20"/>
        </w:rPr>
        <w:t>回暖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带来的需求端改善等都有利于推升大宗商品价格。</w:t>
      </w:r>
      <w:r w:rsidR="00CE3206">
        <w:rPr>
          <w:rFonts w:ascii="楷体" w:eastAsia="楷体" w:hAnsi="楷体" w:cs="Arial" w:hint="eastAsia"/>
          <w:color w:val="auto"/>
          <w:sz w:val="20"/>
          <w:szCs w:val="20"/>
        </w:rPr>
        <w:t>近期</w:t>
      </w:r>
      <w:r w:rsidR="000A577C">
        <w:rPr>
          <w:rFonts w:ascii="楷体" w:eastAsia="楷体" w:hAnsi="楷体" w:cs="Arial" w:hint="eastAsia"/>
          <w:color w:val="auto"/>
          <w:sz w:val="20"/>
          <w:szCs w:val="20"/>
        </w:rPr>
        <w:t>需密切关于</w:t>
      </w:r>
      <w:r w:rsidR="00CE3206">
        <w:rPr>
          <w:rFonts w:ascii="楷体" w:eastAsia="楷体" w:hAnsi="楷体" w:cs="Arial" w:hint="eastAsia"/>
          <w:color w:val="auto"/>
          <w:sz w:val="20"/>
          <w:szCs w:val="20"/>
        </w:rPr>
        <w:t>黄金和大宗商品均可能受到的</w:t>
      </w:r>
      <w:r w:rsidR="000A577C">
        <w:rPr>
          <w:rFonts w:ascii="楷体" w:eastAsia="楷体" w:hAnsi="楷体" w:cs="Arial" w:hint="eastAsia"/>
          <w:color w:val="auto"/>
          <w:sz w:val="20"/>
          <w:szCs w:val="20"/>
        </w:rPr>
        <w:t>美加息预期升温带来美元走强</w:t>
      </w:r>
      <w:r w:rsidR="00CE3206">
        <w:rPr>
          <w:rFonts w:ascii="楷体" w:eastAsia="楷体" w:hAnsi="楷体" w:cs="Arial" w:hint="eastAsia"/>
          <w:color w:val="auto"/>
          <w:sz w:val="20"/>
          <w:szCs w:val="20"/>
        </w:rPr>
        <w:t>冲击。</w:t>
      </w:r>
      <w:r w:rsidRPr="0032491D">
        <w:rPr>
          <w:rFonts w:ascii="楷体" w:eastAsia="楷体" w:hAnsi="楷体" w:cs="Arial"/>
          <w:sz w:val="36"/>
          <w:szCs w:val="34"/>
        </w:rPr>
        <w:br w:type="page"/>
      </w:r>
    </w:p>
    <w:p w:rsidR="0053273E" w:rsidRPr="0032491D" w:rsidRDefault="0053273E" w:rsidP="0053273E">
      <w:pPr>
        <w:widowControl/>
        <w:jc w:val="left"/>
        <w:rPr>
          <w:rFonts w:ascii="楷体" w:eastAsia="楷体" w:hAnsi="楷体" w:cs="Arial"/>
          <w:b/>
          <w:color w:val="000080"/>
          <w:kern w:val="0"/>
          <w:sz w:val="32"/>
          <w:szCs w:val="20"/>
        </w:rPr>
      </w:pPr>
      <w:r w:rsidRPr="0032491D">
        <w:rPr>
          <w:rFonts w:ascii="楷体" w:eastAsia="楷体" w:hAnsi="楷体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53273E" w:rsidRPr="0032491D" w:rsidRDefault="0053273E" w:rsidP="0053273E">
      <w:pPr>
        <w:rPr>
          <w:rFonts w:ascii="楷体" w:eastAsia="楷体" w:hAnsi="楷体" w:cs="Arial"/>
          <w:b/>
          <w:color w:val="000080"/>
          <w:kern w:val="0"/>
          <w:sz w:val="20"/>
          <w:szCs w:val="20"/>
        </w:rPr>
      </w:pPr>
    </w:p>
    <w:p w:rsidR="0053273E" w:rsidRPr="0032491D" w:rsidRDefault="0053273E" w:rsidP="0053273E">
      <w:pPr>
        <w:rPr>
          <w:rFonts w:ascii="楷体" w:eastAsia="楷体" w:hAnsi="楷体" w:cs="Arial"/>
          <w:sz w:val="20"/>
          <w:szCs w:val="20"/>
        </w:rPr>
      </w:pPr>
      <w:r w:rsidRPr="0032491D">
        <w:rPr>
          <w:rFonts w:ascii="楷体" w:eastAsia="楷体" w:hAnsi="楷体" w:cs="Arial"/>
          <w:sz w:val="20"/>
          <w:szCs w:val="20"/>
        </w:rPr>
        <w:t>本报告中的所有内容版权均属上海</w:t>
      </w:r>
      <w:proofErr w:type="gramStart"/>
      <w:r w:rsidRPr="0032491D">
        <w:rPr>
          <w:rFonts w:ascii="楷体" w:eastAsia="楷体" w:hAnsi="楷体" w:cs="Arial"/>
          <w:sz w:val="20"/>
          <w:szCs w:val="20"/>
        </w:rPr>
        <w:t>凯</w:t>
      </w:r>
      <w:proofErr w:type="gramEnd"/>
      <w:r w:rsidRPr="0032491D">
        <w:rPr>
          <w:rFonts w:ascii="楷体" w:eastAsia="楷体" w:hAnsi="楷体" w:cs="Arial"/>
          <w:sz w:val="20"/>
          <w:szCs w:val="20"/>
        </w:rPr>
        <w:t>石财富基金销售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32491D">
        <w:rPr>
          <w:rFonts w:ascii="楷体" w:eastAsia="楷体" w:hAnsi="楷体" w:cs="Arial"/>
          <w:sz w:val="20"/>
          <w:szCs w:val="20"/>
        </w:rPr>
        <w:t>凯</w:t>
      </w:r>
      <w:proofErr w:type="gramEnd"/>
      <w:r w:rsidRPr="0032491D">
        <w:rPr>
          <w:rFonts w:ascii="楷体" w:eastAsia="楷体" w:hAnsi="楷体" w:cs="Arial"/>
          <w:sz w:val="20"/>
          <w:szCs w:val="20"/>
        </w:rPr>
        <w:t>石财富基金销售有限公司研究中心，且不得对本文进行任何有悖原意的引用和删改。</w:t>
      </w:r>
    </w:p>
    <w:p w:rsidR="0053273E" w:rsidRPr="0032491D" w:rsidRDefault="0053273E" w:rsidP="0053273E">
      <w:pPr>
        <w:rPr>
          <w:rFonts w:ascii="楷体" w:eastAsia="楷体" w:hAnsi="楷体" w:cs="Arial"/>
          <w:sz w:val="20"/>
          <w:szCs w:val="20"/>
        </w:rPr>
      </w:pPr>
    </w:p>
    <w:p w:rsidR="0053273E" w:rsidRPr="0032491D" w:rsidRDefault="0053273E" w:rsidP="0053273E">
      <w:pPr>
        <w:rPr>
          <w:rFonts w:ascii="楷体" w:eastAsia="楷体" w:hAnsi="楷体" w:cs="Arial"/>
          <w:sz w:val="20"/>
          <w:szCs w:val="20"/>
        </w:rPr>
      </w:pPr>
      <w:r w:rsidRPr="0032491D">
        <w:rPr>
          <w:rFonts w:ascii="楷体" w:eastAsia="楷体" w:hAnsi="楷体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53273E" w:rsidRPr="0032491D" w:rsidRDefault="0053273E" w:rsidP="0053273E">
      <w:pPr>
        <w:rPr>
          <w:rFonts w:ascii="楷体" w:eastAsia="楷体" w:hAnsi="楷体" w:cs="Arial"/>
          <w:sz w:val="20"/>
          <w:szCs w:val="20"/>
        </w:rPr>
      </w:pPr>
    </w:p>
    <w:p w:rsidR="0053273E" w:rsidRPr="0032491D" w:rsidRDefault="0053273E" w:rsidP="0053273E">
      <w:pPr>
        <w:rPr>
          <w:rFonts w:ascii="楷体" w:eastAsia="楷体" w:hAnsi="楷体" w:cs="Arial"/>
          <w:sz w:val="20"/>
          <w:szCs w:val="20"/>
        </w:rPr>
      </w:pPr>
      <w:r w:rsidRPr="0032491D">
        <w:rPr>
          <w:rFonts w:ascii="楷体" w:eastAsia="楷体" w:hAnsi="楷体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53273E" w:rsidRPr="0032491D" w:rsidRDefault="0053273E" w:rsidP="0053273E">
      <w:pPr>
        <w:ind w:rightChars="26" w:right="55"/>
        <w:rPr>
          <w:rFonts w:ascii="楷体" w:eastAsia="楷体" w:hAnsi="楷体" w:cs="Arial"/>
          <w:sz w:val="13"/>
        </w:rPr>
      </w:pPr>
    </w:p>
    <w:p w:rsidR="0053273E" w:rsidRPr="0032491D" w:rsidRDefault="0053273E" w:rsidP="0053273E">
      <w:pPr>
        <w:rPr>
          <w:rFonts w:ascii="楷体" w:eastAsia="楷体" w:hAnsi="楷体"/>
        </w:rPr>
      </w:pPr>
    </w:p>
    <w:p w:rsidR="0053273E" w:rsidRPr="0032491D" w:rsidRDefault="0053273E" w:rsidP="0053273E">
      <w:pPr>
        <w:rPr>
          <w:rFonts w:ascii="楷体" w:eastAsia="楷体" w:hAnsi="楷体"/>
        </w:rPr>
      </w:pPr>
    </w:p>
    <w:p w:rsidR="0053273E" w:rsidRPr="0032491D" w:rsidRDefault="0053273E" w:rsidP="0053273E">
      <w:pPr>
        <w:rPr>
          <w:rFonts w:ascii="楷体" w:eastAsia="楷体" w:hAnsi="楷体"/>
        </w:rPr>
      </w:pPr>
    </w:p>
    <w:p w:rsidR="0053273E" w:rsidRPr="0032491D" w:rsidRDefault="0053273E" w:rsidP="0053273E">
      <w:pPr>
        <w:rPr>
          <w:rFonts w:ascii="楷体" w:eastAsia="楷体" w:hAnsi="楷体"/>
        </w:rPr>
      </w:pPr>
    </w:p>
    <w:p w:rsidR="005A4D12" w:rsidRPr="0053273E" w:rsidRDefault="005A4D12"/>
    <w:sectPr w:rsidR="005A4D12" w:rsidRPr="0053273E" w:rsidSect="00FC5199">
      <w:headerReference w:type="default" r:id="rId11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A" w:rsidRDefault="0023774A">
      <w:r>
        <w:separator/>
      </w:r>
    </w:p>
  </w:endnote>
  <w:endnote w:type="continuationSeparator" w:id="0">
    <w:p w:rsidR="0023774A" w:rsidRDefault="0023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B4" w:rsidRPr="00D52111" w:rsidRDefault="00972CB4" w:rsidP="00FC5199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C9E4B7" wp14:editId="38580ABC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A0A85D" wp14:editId="4267B800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90188B" w:rsidRPr="0090188B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90188B" w:rsidRPr="0090188B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972CB4" w:rsidRDefault="00972CB4">
    <w:pPr>
      <w:pStyle w:val="a4"/>
      <w:rPr>
        <w:sz w:val="4"/>
        <w:szCs w:val="4"/>
      </w:rPr>
    </w:pPr>
  </w:p>
  <w:p w:rsidR="00972CB4" w:rsidRDefault="00972CB4">
    <w:pPr>
      <w:pStyle w:val="a4"/>
      <w:rPr>
        <w:rFonts w:ascii="楷体_GB2312"/>
        <w:sz w:val="4"/>
        <w:szCs w:val="4"/>
      </w:rPr>
    </w:pPr>
  </w:p>
  <w:p w:rsidR="00972CB4" w:rsidRPr="00F957FD" w:rsidRDefault="00972CB4" w:rsidP="00FC5199">
    <w:pPr>
      <w:pStyle w:val="a4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A" w:rsidRDefault="0023774A">
      <w:r>
        <w:separator/>
      </w:r>
    </w:p>
  </w:footnote>
  <w:footnote w:type="continuationSeparator" w:id="0">
    <w:p w:rsidR="0023774A" w:rsidRDefault="0023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B4" w:rsidRDefault="00972CB4">
    <w:pPr>
      <w:pStyle w:val="a3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4144" behindDoc="0" locked="0" layoutInCell="1" allowOverlap="1" wp14:anchorId="05D6B48F" wp14:editId="18D99251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CB4" w:rsidRDefault="00972CB4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EE206" wp14:editId="34C1EDA7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B4" w:rsidRPr="00880D7C" w:rsidRDefault="00972CB4" w:rsidP="00FC519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972CB4" w:rsidRPr="00880D7C" w:rsidRDefault="00972CB4" w:rsidP="00FC5199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C6E1AF" wp14:editId="7ECCAB05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B4" w:rsidRDefault="00972CB4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48460AA" wp14:editId="157D5039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CB4" w:rsidRPr="00880D7C" w:rsidRDefault="00972CB4" w:rsidP="00FC5199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972CB4" w:rsidRPr="00880D7C" w:rsidRDefault="00972CB4" w:rsidP="00FC5199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37B54EE" wp14:editId="2D75E71C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972CB4" w:rsidRDefault="00972CB4">
    <w:pPr>
      <w:pStyle w:val="a3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2FDCF0" wp14:editId="0A3BACC5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F97"/>
      </v:shape>
    </w:pict>
  </w:numPicBullet>
  <w:numPicBullet w:numPicBulletId="1">
    <w:pict>
      <v:shape id="_x0000_i1029" type="#_x0000_t75" style="width:11.25pt;height:11.25pt" o:bullet="t">
        <v:imagedata r:id="rId2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1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05A4E40E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3E"/>
    <w:rsid w:val="00037AD8"/>
    <w:rsid w:val="0006170E"/>
    <w:rsid w:val="00081ECE"/>
    <w:rsid w:val="000A3207"/>
    <w:rsid w:val="000A577C"/>
    <w:rsid w:val="000A5EFA"/>
    <w:rsid w:val="000E78A4"/>
    <w:rsid w:val="000F65E7"/>
    <w:rsid w:val="00107C62"/>
    <w:rsid w:val="00135F9A"/>
    <w:rsid w:val="00144D4C"/>
    <w:rsid w:val="00187B06"/>
    <w:rsid w:val="001A072D"/>
    <w:rsid w:val="001B03A9"/>
    <w:rsid w:val="001B0F9F"/>
    <w:rsid w:val="001B3834"/>
    <w:rsid w:val="001C26A9"/>
    <w:rsid w:val="001D16D8"/>
    <w:rsid w:val="001D41DB"/>
    <w:rsid w:val="001E569A"/>
    <w:rsid w:val="001F47CB"/>
    <w:rsid w:val="002252D6"/>
    <w:rsid w:val="0023774A"/>
    <w:rsid w:val="00237A7E"/>
    <w:rsid w:val="00245E40"/>
    <w:rsid w:val="00251E2D"/>
    <w:rsid w:val="00270D6D"/>
    <w:rsid w:val="002851A0"/>
    <w:rsid w:val="002B3162"/>
    <w:rsid w:val="002D5014"/>
    <w:rsid w:val="002E0C50"/>
    <w:rsid w:val="0030445D"/>
    <w:rsid w:val="00312B27"/>
    <w:rsid w:val="00325556"/>
    <w:rsid w:val="0034316B"/>
    <w:rsid w:val="003629DD"/>
    <w:rsid w:val="00365A9F"/>
    <w:rsid w:val="00376B3A"/>
    <w:rsid w:val="00395BC3"/>
    <w:rsid w:val="003A2B41"/>
    <w:rsid w:val="003B2457"/>
    <w:rsid w:val="003E5A0D"/>
    <w:rsid w:val="00406B49"/>
    <w:rsid w:val="00427FAE"/>
    <w:rsid w:val="00483D0F"/>
    <w:rsid w:val="00486F01"/>
    <w:rsid w:val="004B7C69"/>
    <w:rsid w:val="004C32E7"/>
    <w:rsid w:val="004D36C4"/>
    <w:rsid w:val="004D6BF2"/>
    <w:rsid w:val="00507E75"/>
    <w:rsid w:val="00516AC6"/>
    <w:rsid w:val="0053273E"/>
    <w:rsid w:val="00541A7B"/>
    <w:rsid w:val="00546853"/>
    <w:rsid w:val="00551B56"/>
    <w:rsid w:val="005642AF"/>
    <w:rsid w:val="0058228E"/>
    <w:rsid w:val="00587A7B"/>
    <w:rsid w:val="005A2129"/>
    <w:rsid w:val="005A2F60"/>
    <w:rsid w:val="005A3B05"/>
    <w:rsid w:val="005A4D12"/>
    <w:rsid w:val="006135A5"/>
    <w:rsid w:val="006200FC"/>
    <w:rsid w:val="006251AD"/>
    <w:rsid w:val="00654571"/>
    <w:rsid w:val="00656982"/>
    <w:rsid w:val="00675CA8"/>
    <w:rsid w:val="00680F64"/>
    <w:rsid w:val="006877C8"/>
    <w:rsid w:val="00691457"/>
    <w:rsid w:val="006B3D31"/>
    <w:rsid w:val="006C29BB"/>
    <w:rsid w:val="006C61CE"/>
    <w:rsid w:val="006F724E"/>
    <w:rsid w:val="007039F0"/>
    <w:rsid w:val="00703A13"/>
    <w:rsid w:val="00730476"/>
    <w:rsid w:val="00735FF7"/>
    <w:rsid w:val="00763073"/>
    <w:rsid w:val="007650E2"/>
    <w:rsid w:val="00777158"/>
    <w:rsid w:val="007839D2"/>
    <w:rsid w:val="00786BE3"/>
    <w:rsid w:val="007A38DC"/>
    <w:rsid w:val="007A39E5"/>
    <w:rsid w:val="007C2515"/>
    <w:rsid w:val="007C270A"/>
    <w:rsid w:val="007C71EA"/>
    <w:rsid w:val="007E17CD"/>
    <w:rsid w:val="007F3DC2"/>
    <w:rsid w:val="008345BD"/>
    <w:rsid w:val="008421B1"/>
    <w:rsid w:val="00844D77"/>
    <w:rsid w:val="00850C30"/>
    <w:rsid w:val="00855D61"/>
    <w:rsid w:val="00863229"/>
    <w:rsid w:val="0087236E"/>
    <w:rsid w:val="00875D06"/>
    <w:rsid w:val="00885187"/>
    <w:rsid w:val="008A3014"/>
    <w:rsid w:val="008C7E82"/>
    <w:rsid w:val="008E0B99"/>
    <w:rsid w:val="008F4CD3"/>
    <w:rsid w:val="0090188B"/>
    <w:rsid w:val="0092221A"/>
    <w:rsid w:val="009351BC"/>
    <w:rsid w:val="0095464C"/>
    <w:rsid w:val="00972CB4"/>
    <w:rsid w:val="009736C2"/>
    <w:rsid w:val="00975D77"/>
    <w:rsid w:val="00991CB2"/>
    <w:rsid w:val="009A144C"/>
    <w:rsid w:val="009C2C92"/>
    <w:rsid w:val="009F1214"/>
    <w:rsid w:val="00A11FCB"/>
    <w:rsid w:val="00A1271C"/>
    <w:rsid w:val="00A1331C"/>
    <w:rsid w:val="00A36C40"/>
    <w:rsid w:val="00A36CC5"/>
    <w:rsid w:val="00A423B8"/>
    <w:rsid w:val="00A86504"/>
    <w:rsid w:val="00A867D5"/>
    <w:rsid w:val="00AA05AB"/>
    <w:rsid w:val="00AB2C2A"/>
    <w:rsid w:val="00AB718A"/>
    <w:rsid w:val="00AC78C1"/>
    <w:rsid w:val="00AD4FFA"/>
    <w:rsid w:val="00AF2DD5"/>
    <w:rsid w:val="00B0146A"/>
    <w:rsid w:val="00B214B7"/>
    <w:rsid w:val="00B25F78"/>
    <w:rsid w:val="00B36BE6"/>
    <w:rsid w:val="00B400C8"/>
    <w:rsid w:val="00B52E84"/>
    <w:rsid w:val="00B62338"/>
    <w:rsid w:val="00B7293D"/>
    <w:rsid w:val="00B76564"/>
    <w:rsid w:val="00B827FA"/>
    <w:rsid w:val="00B9534D"/>
    <w:rsid w:val="00BB12D9"/>
    <w:rsid w:val="00C02470"/>
    <w:rsid w:val="00C108AC"/>
    <w:rsid w:val="00C148B3"/>
    <w:rsid w:val="00C31C02"/>
    <w:rsid w:val="00C32C72"/>
    <w:rsid w:val="00C5777D"/>
    <w:rsid w:val="00C63C81"/>
    <w:rsid w:val="00C66C18"/>
    <w:rsid w:val="00C90E8C"/>
    <w:rsid w:val="00C95FB3"/>
    <w:rsid w:val="00CE3206"/>
    <w:rsid w:val="00D1090A"/>
    <w:rsid w:val="00D243EB"/>
    <w:rsid w:val="00D401CE"/>
    <w:rsid w:val="00D60319"/>
    <w:rsid w:val="00D849AF"/>
    <w:rsid w:val="00D94F5B"/>
    <w:rsid w:val="00DA7B56"/>
    <w:rsid w:val="00DB405D"/>
    <w:rsid w:val="00DB5F50"/>
    <w:rsid w:val="00DD7322"/>
    <w:rsid w:val="00E162B2"/>
    <w:rsid w:val="00E2352A"/>
    <w:rsid w:val="00E30A33"/>
    <w:rsid w:val="00E44606"/>
    <w:rsid w:val="00E54722"/>
    <w:rsid w:val="00E54B26"/>
    <w:rsid w:val="00E6587C"/>
    <w:rsid w:val="00E87D5F"/>
    <w:rsid w:val="00E917C3"/>
    <w:rsid w:val="00F129A0"/>
    <w:rsid w:val="00F354FD"/>
    <w:rsid w:val="00F357E3"/>
    <w:rsid w:val="00F40C8A"/>
    <w:rsid w:val="00F4631A"/>
    <w:rsid w:val="00F63767"/>
    <w:rsid w:val="00F83C23"/>
    <w:rsid w:val="00FA0990"/>
    <w:rsid w:val="00FB01C2"/>
    <w:rsid w:val="00FB0E57"/>
    <w:rsid w:val="00FC2361"/>
    <w:rsid w:val="00FC4D69"/>
    <w:rsid w:val="00FC5199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2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3273E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3273E"/>
    <w:pPr>
      <w:tabs>
        <w:tab w:val="center" w:pos="4153"/>
        <w:tab w:val="right" w:pos="8306"/>
      </w:tabs>
      <w:snapToGrid w:val="0"/>
      <w:jc w:val="left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3273E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53273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24"/>
    </w:rPr>
  </w:style>
  <w:style w:type="paragraph" w:styleId="a6">
    <w:name w:val="List Paragraph"/>
    <w:basedOn w:val="a"/>
    <w:uiPriority w:val="99"/>
    <w:qFormat/>
    <w:rsid w:val="0053273E"/>
    <w:pPr>
      <w:ind w:firstLineChars="200" w:firstLine="420"/>
    </w:pPr>
    <w:rPr>
      <w:rFonts w:ascii="Times New Roman" w:eastAsia="楷体_GB2312" w:hAnsi="Times New Roman" w:cs="Times New Roman"/>
      <w:szCs w:val="24"/>
    </w:rPr>
  </w:style>
  <w:style w:type="character" w:customStyle="1" w:styleId="textsmall2">
    <w:name w:val="text_small2"/>
    <w:basedOn w:val="a0"/>
    <w:rsid w:val="0053273E"/>
  </w:style>
  <w:style w:type="paragraph" w:styleId="a7">
    <w:name w:val="Balloon Text"/>
    <w:basedOn w:val="a"/>
    <w:link w:val="Char1"/>
    <w:uiPriority w:val="99"/>
    <w:semiHidden/>
    <w:unhideWhenUsed/>
    <w:rsid w:val="005327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327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2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3273E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3273E"/>
    <w:pPr>
      <w:tabs>
        <w:tab w:val="center" w:pos="4153"/>
        <w:tab w:val="right" w:pos="8306"/>
      </w:tabs>
      <w:snapToGrid w:val="0"/>
      <w:jc w:val="left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3273E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53273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24"/>
    </w:rPr>
  </w:style>
  <w:style w:type="paragraph" w:styleId="a6">
    <w:name w:val="List Paragraph"/>
    <w:basedOn w:val="a"/>
    <w:uiPriority w:val="99"/>
    <w:qFormat/>
    <w:rsid w:val="0053273E"/>
    <w:pPr>
      <w:ind w:firstLineChars="200" w:firstLine="420"/>
    </w:pPr>
    <w:rPr>
      <w:rFonts w:ascii="Times New Roman" w:eastAsia="楷体_GB2312" w:hAnsi="Times New Roman" w:cs="Times New Roman"/>
      <w:szCs w:val="24"/>
    </w:rPr>
  </w:style>
  <w:style w:type="character" w:customStyle="1" w:styleId="textsmall2">
    <w:name w:val="text_small2"/>
    <w:basedOn w:val="a0"/>
    <w:rsid w:val="0053273E"/>
  </w:style>
  <w:style w:type="paragraph" w:styleId="a7">
    <w:name w:val="Balloon Text"/>
    <w:basedOn w:val="a"/>
    <w:link w:val="Char1"/>
    <w:uiPriority w:val="99"/>
    <w:semiHidden/>
    <w:unhideWhenUsed/>
    <w:rsid w:val="005327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32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报告图表!$B$29</c:f>
              <c:strCache>
                <c:ptCount val="1"/>
                <c:pt idx="0">
                  <c:v>涨跌</c:v>
                </c:pt>
              </c:strCache>
            </c:strRef>
          </c:tx>
          <c:invertIfNegative val="0"/>
          <c:cat>
            <c:strRef>
              <c:f>报告图表!$A$30:$A$58</c:f>
              <c:strCache>
                <c:ptCount val="29"/>
                <c:pt idx="0">
                  <c:v>煤炭</c:v>
                </c:pt>
                <c:pt idx="1">
                  <c:v>综合</c:v>
                </c:pt>
                <c:pt idx="2">
                  <c:v>餐饮旅游</c:v>
                </c:pt>
                <c:pt idx="3">
                  <c:v>钢铁</c:v>
                </c:pt>
                <c:pt idx="4">
                  <c:v>商贸零售</c:v>
                </c:pt>
                <c:pt idx="5">
                  <c:v>建材</c:v>
                </c:pt>
                <c:pt idx="6">
                  <c:v>石油石化</c:v>
                </c:pt>
                <c:pt idx="7">
                  <c:v>建筑</c:v>
                </c:pt>
                <c:pt idx="8">
                  <c:v>房地产</c:v>
                </c:pt>
                <c:pt idx="9">
                  <c:v>电力设备</c:v>
                </c:pt>
                <c:pt idx="10">
                  <c:v>轻工制造</c:v>
                </c:pt>
                <c:pt idx="11">
                  <c:v>基础化工</c:v>
                </c:pt>
                <c:pt idx="12">
                  <c:v>电力及公用事业</c:v>
                </c:pt>
                <c:pt idx="13">
                  <c:v>传媒</c:v>
                </c:pt>
                <c:pt idx="14">
                  <c:v>汽车</c:v>
                </c:pt>
                <c:pt idx="15">
                  <c:v>通信</c:v>
                </c:pt>
                <c:pt idx="16">
                  <c:v>国防军工</c:v>
                </c:pt>
                <c:pt idx="17">
                  <c:v>交通运输</c:v>
                </c:pt>
                <c:pt idx="18">
                  <c:v>纺织服装</c:v>
                </c:pt>
                <c:pt idx="19">
                  <c:v>农林牧渔</c:v>
                </c:pt>
                <c:pt idx="20">
                  <c:v>机械</c:v>
                </c:pt>
                <c:pt idx="21">
                  <c:v>有色金属</c:v>
                </c:pt>
                <c:pt idx="22">
                  <c:v>医药</c:v>
                </c:pt>
                <c:pt idx="23">
                  <c:v>银行</c:v>
                </c:pt>
                <c:pt idx="24">
                  <c:v>家电</c:v>
                </c:pt>
                <c:pt idx="25">
                  <c:v>非银行金融</c:v>
                </c:pt>
                <c:pt idx="26">
                  <c:v>食品饮料</c:v>
                </c:pt>
                <c:pt idx="27">
                  <c:v>计算机</c:v>
                </c:pt>
                <c:pt idx="28">
                  <c:v>电子元器件</c:v>
                </c:pt>
              </c:strCache>
            </c:strRef>
          </c:cat>
          <c:val>
            <c:numRef>
              <c:f>报告图表!$B$30:$B$58</c:f>
              <c:numCache>
                <c:formatCode>0.00%</c:formatCode>
                <c:ptCount val="29"/>
                <c:pt idx="0">
                  <c:v>-0.1054128962078148</c:v>
                </c:pt>
                <c:pt idx="1">
                  <c:v>-7.1015104969306075E-2</c:v>
                </c:pt>
                <c:pt idx="2">
                  <c:v>-5.6035683168987882E-2</c:v>
                </c:pt>
                <c:pt idx="3">
                  <c:v>-4.424514998210826E-2</c:v>
                </c:pt>
                <c:pt idx="4">
                  <c:v>-4.3429656345951632E-2</c:v>
                </c:pt>
                <c:pt idx="5">
                  <c:v>-3.508414652134173E-2</c:v>
                </c:pt>
                <c:pt idx="6">
                  <c:v>-3.4639043855334783E-2</c:v>
                </c:pt>
                <c:pt idx="7">
                  <c:v>-3.4535833452970732E-2</c:v>
                </c:pt>
                <c:pt idx="8">
                  <c:v>-3.2990550444773836E-2</c:v>
                </c:pt>
                <c:pt idx="9">
                  <c:v>-3.0395806398675451E-2</c:v>
                </c:pt>
                <c:pt idx="10">
                  <c:v>-2.6559351234857087E-2</c:v>
                </c:pt>
                <c:pt idx="11">
                  <c:v>-2.159061183503419E-2</c:v>
                </c:pt>
                <c:pt idx="12">
                  <c:v>-1.5604299008316391E-2</c:v>
                </c:pt>
                <c:pt idx="13">
                  <c:v>-1.5208988325456252E-2</c:v>
                </c:pt>
                <c:pt idx="14">
                  <c:v>-1.4637706092222702E-2</c:v>
                </c:pt>
                <c:pt idx="15">
                  <c:v>-1.2750098654959241E-2</c:v>
                </c:pt>
                <c:pt idx="16">
                  <c:v>-1.241764192645145E-2</c:v>
                </c:pt>
                <c:pt idx="17">
                  <c:v>-7.5519820858315212E-3</c:v>
                </c:pt>
                <c:pt idx="18">
                  <c:v>-6.564030679391708E-3</c:v>
                </c:pt>
                <c:pt idx="19">
                  <c:v>-3.5033398089945322E-4</c:v>
                </c:pt>
                <c:pt idx="20">
                  <c:v>9.8108082957759635E-4</c:v>
                </c:pt>
                <c:pt idx="21">
                  <c:v>1.7841030879370834E-3</c:v>
                </c:pt>
                <c:pt idx="22">
                  <c:v>3.3155617735161069E-3</c:v>
                </c:pt>
                <c:pt idx="23">
                  <c:v>1.361181504513187E-2</c:v>
                </c:pt>
                <c:pt idx="24">
                  <c:v>1.5612883189030313E-2</c:v>
                </c:pt>
                <c:pt idx="25">
                  <c:v>2.1242626071500403E-2</c:v>
                </c:pt>
                <c:pt idx="26">
                  <c:v>2.2889792897205608E-2</c:v>
                </c:pt>
                <c:pt idx="27">
                  <c:v>3.1070905212708499E-2</c:v>
                </c:pt>
                <c:pt idx="28">
                  <c:v>4.6050758207660136E-2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540608"/>
        <c:axId val="129716736"/>
      </c:barChart>
      <c:catAx>
        <c:axId val="273540608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600"/>
            </a:pPr>
            <a:endParaRPr lang="zh-CN"/>
          </a:p>
        </c:txPr>
        <c:crossAx val="129716736"/>
        <c:crosses val="autoZero"/>
        <c:auto val="1"/>
        <c:lblAlgn val="ctr"/>
        <c:lblOffset val="100"/>
        <c:noMultiLvlLbl val="0"/>
      </c:catAx>
      <c:valAx>
        <c:axId val="12971673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zh-CN"/>
          </a:p>
        </c:txPr>
        <c:crossAx val="2735406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俞辰瑶</dc:creator>
  <cp:lastModifiedBy>sangliuyu@hotmail.com</cp:lastModifiedBy>
  <cp:revision>49</cp:revision>
  <dcterms:created xsi:type="dcterms:W3CDTF">2016-05-24T02:49:00Z</dcterms:created>
  <dcterms:modified xsi:type="dcterms:W3CDTF">2016-06-01T06:48:00Z</dcterms:modified>
</cp:coreProperties>
</file>