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page" w:tblpX="35" w:tblpY="1"/>
        <w:tblW w:w="11992" w:type="dxa"/>
        <w:shd w:val="clear" w:color="auto" w:fill="E0E0E0"/>
        <w:tblLayout w:type="fixed"/>
        <w:tblLook w:val="01E0"/>
      </w:tblPr>
      <w:tblGrid>
        <w:gridCol w:w="388"/>
        <w:gridCol w:w="1802"/>
        <w:gridCol w:w="1486"/>
        <w:gridCol w:w="13"/>
        <w:gridCol w:w="533"/>
        <w:gridCol w:w="7770"/>
      </w:tblGrid>
      <w:tr w:rsidR="00055C3A" w:rsidRPr="00CB0A5A" w:rsidTr="00701A91">
        <w:trPr>
          <w:trHeight w:hRule="exact" w:val="23"/>
        </w:trPr>
        <w:tc>
          <w:tcPr>
            <w:tcW w:w="3676" w:type="dxa"/>
            <w:gridSpan w:val="3"/>
            <w:shd w:val="clear" w:color="auto" w:fill="auto"/>
          </w:tcPr>
          <w:p w:rsidR="00055C3A" w:rsidRPr="00474C0D" w:rsidRDefault="00055C3A" w:rsidP="00055C3A">
            <w:pPr>
              <w:rPr>
                <w:sz w:val="18"/>
                <w:szCs w:val="18"/>
              </w:rPr>
            </w:pPr>
            <w:r w:rsidRPr="00474C0D">
              <w:rPr>
                <w:rFonts w:hint="eastAsia"/>
                <w:sz w:val="18"/>
                <w:szCs w:val="18"/>
              </w:rPr>
              <w:t>[Table_MainInfo]</w:t>
            </w:r>
          </w:p>
        </w:tc>
        <w:tc>
          <w:tcPr>
            <w:tcW w:w="8316" w:type="dxa"/>
            <w:gridSpan w:val="3"/>
            <w:shd w:val="clear" w:color="auto" w:fill="00326E"/>
          </w:tcPr>
          <w:p w:rsidR="00055C3A" w:rsidRPr="00474C0D" w:rsidRDefault="00055C3A" w:rsidP="00055C3A">
            <w:pPr>
              <w:rPr>
                <w:sz w:val="18"/>
                <w:szCs w:val="18"/>
              </w:rPr>
            </w:pPr>
          </w:p>
        </w:tc>
      </w:tr>
      <w:tr w:rsidR="00055C3A" w:rsidRPr="00CB0A5A" w:rsidTr="00755DED">
        <w:trPr>
          <w:trHeight w:hRule="exact" w:val="398"/>
        </w:trPr>
        <w:tc>
          <w:tcPr>
            <w:tcW w:w="3676" w:type="dxa"/>
            <w:gridSpan w:val="3"/>
            <w:shd w:val="clear" w:color="auto" w:fill="auto"/>
          </w:tcPr>
          <w:p w:rsidR="00055C3A" w:rsidRPr="00474C0D" w:rsidRDefault="00055C3A" w:rsidP="00055C3A">
            <w:pPr>
              <w:rPr>
                <w:sz w:val="18"/>
                <w:szCs w:val="18"/>
              </w:rPr>
            </w:pPr>
          </w:p>
        </w:tc>
        <w:tc>
          <w:tcPr>
            <w:tcW w:w="8316" w:type="dxa"/>
            <w:gridSpan w:val="3"/>
            <w:shd w:val="clear" w:color="auto" w:fill="00326E"/>
          </w:tcPr>
          <w:p w:rsidR="00055C3A" w:rsidRPr="00474C0D" w:rsidRDefault="00055C3A" w:rsidP="00055C3A">
            <w:pPr>
              <w:rPr>
                <w:sz w:val="18"/>
                <w:szCs w:val="18"/>
              </w:rPr>
            </w:pPr>
          </w:p>
        </w:tc>
      </w:tr>
      <w:tr w:rsidR="00413E1F" w:rsidRPr="00CB0A5A" w:rsidTr="00755DED">
        <w:trPr>
          <w:trHeight w:hRule="exact" w:val="567"/>
        </w:trPr>
        <w:tc>
          <w:tcPr>
            <w:tcW w:w="388" w:type="dxa"/>
            <w:shd w:val="clear" w:color="auto" w:fill="FFFFFF"/>
          </w:tcPr>
          <w:p w:rsidR="00413E1F" w:rsidRPr="00CB0A5A" w:rsidRDefault="00413E1F" w:rsidP="00413E1F">
            <w:pPr>
              <w:rPr>
                <w:rFonts w:eastAsia="楷体_GB2312"/>
                <w:b/>
                <w:color w:val="003366"/>
              </w:rPr>
            </w:pPr>
          </w:p>
        </w:tc>
        <w:tc>
          <w:tcPr>
            <w:tcW w:w="1802" w:type="dxa"/>
            <w:shd w:val="clear" w:color="auto" w:fill="FFFFFF"/>
          </w:tcPr>
          <w:p w:rsidR="00413E1F" w:rsidRPr="00CB0A5A" w:rsidRDefault="00413E1F" w:rsidP="00413E1F">
            <w:pPr>
              <w:rPr>
                <w:rFonts w:eastAsia="楷体_GB2312"/>
                <w:b/>
                <w:color w:val="003366"/>
                <w:sz w:val="36"/>
                <w:szCs w:val="36"/>
              </w:rPr>
            </w:pPr>
          </w:p>
        </w:tc>
        <w:tc>
          <w:tcPr>
            <w:tcW w:w="1486" w:type="dxa"/>
            <w:shd w:val="clear" w:color="auto" w:fill="FFFFFF"/>
            <w:vAlign w:val="bottom"/>
          </w:tcPr>
          <w:p w:rsidR="00413E1F" w:rsidRPr="00CB0A5A" w:rsidRDefault="00413E1F" w:rsidP="00413E1F">
            <w:pPr>
              <w:rPr>
                <w:rFonts w:eastAsia="楷体_GB2312"/>
                <w:b/>
                <w:color w:val="003366"/>
                <w:sz w:val="24"/>
              </w:rPr>
            </w:pPr>
          </w:p>
        </w:tc>
        <w:tc>
          <w:tcPr>
            <w:tcW w:w="8316" w:type="dxa"/>
            <w:gridSpan w:val="3"/>
            <w:shd w:val="clear" w:color="auto" w:fill="F00000"/>
            <w:vAlign w:val="center"/>
          </w:tcPr>
          <w:p w:rsidR="00413E1F" w:rsidRPr="0082060F" w:rsidRDefault="00A56132" w:rsidP="00413E1F">
            <w:pPr>
              <w:adjustRightInd w:val="0"/>
              <w:snapToGrid w:val="0"/>
              <w:ind w:rightChars="150" w:right="315"/>
              <w:jc w:val="right"/>
              <w:rPr>
                <w:rFonts w:ascii="楷体" w:eastAsia="楷体" w:hAnsi="楷体" w:cs="宋体-18030"/>
                <w:b/>
                <w:color w:val="FFFFFF"/>
                <w:sz w:val="28"/>
                <w:szCs w:val="28"/>
              </w:rPr>
            </w:pPr>
            <w:r w:rsidRPr="0082060F">
              <w:rPr>
                <w:rFonts w:ascii="楷体" w:eastAsia="楷体" w:hAnsi="楷体" w:cs="宋体-18030" w:hint="eastAsia"/>
                <w:b/>
                <w:color w:val="FFFFFF"/>
                <w:sz w:val="28"/>
                <w:szCs w:val="28"/>
              </w:rPr>
              <w:t>证券投资基金研究报告 / 基金周报</w:t>
            </w:r>
          </w:p>
        </w:tc>
      </w:tr>
      <w:tr w:rsidR="00F27A65" w:rsidRPr="00CB0A5A" w:rsidTr="00701A91">
        <w:trPr>
          <w:trHeight w:val="284"/>
        </w:trPr>
        <w:tc>
          <w:tcPr>
            <w:tcW w:w="388" w:type="dxa"/>
            <w:shd w:val="clear" w:color="auto" w:fill="CDD7FA"/>
          </w:tcPr>
          <w:p w:rsidR="00F27A65" w:rsidRPr="00CB0A5A" w:rsidRDefault="00F27A65" w:rsidP="00055C3A">
            <w:pPr>
              <w:rPr>
                <w:rFonts w:eastAsia="楷体_GB2312"/>
                <w:b/>
                <w:color w:val="003366"/>
              </w:rPr>
            </w:pPr>
          </w:p>
        </w:tc>
        <w:tc>
          <w:tcPr>
            <w:tcW w:w="3288" w:type="dxa"/>
            <w:gridSpan w:val="2"/>
            <w:shd w:val="clear" w:color="auto" w:fill="CDD7FA"/>
            <w:vAlign w:val="center"/>
          </w:tcPr>
          <w:p w:rsidR="00F27A65" w:rsidRPr="00FC1827" w:rsidRDefault="00F27A65" w:rsidP="003222CD">
            <w:pPr>
              <w:rPr>
                <w:rFonts w:eastAsia="楷体_GB2312"/>
                <w:b/>
                <w:color w:val="003366"/>
              </w:rPr>
            </w:pPr>
          </w:p>
        </w:tc>
        <w:tc>
          <w:tcPr>
            <w:tcW w:w="8316" w:type="dxa"/>
            <w:gridSpan w:val="3"/>
            <w:vMerge w:val="restart"/>
            <w:shd w:val="clear" w:color="auto" w:fill="00326E"/>
          </w:tcPr>
          <w:p w:rsidR="00F37404" w:rsidRDefault="00B27B6F" w:rsidP="00F37404">
            <w:pPr>
              <w:tabs>
                <w:tab w:val="left" w:pos="3254"/>
              </w:tabs>
              <w:autoSpaceDE w:val="0"/>
              <w:autoSpaceDN w:val="0"/>
              <w:adjustRightInd w:val="0"/>
              <w:ind w:firstLineChars="250" w:firstLine="753"/>
              <w:rPr>
                <w:rFonts w:ascii="SimHei" w:hAnsi="SimHei" w:cs="SimHei" w:hint="eastAsia"/>
                <w:b/>
                <w:color w:val="FFFFFF"/>
                <w:kern w:val="0"/>
                <w:sz w:val="30"/>
                <w:szCs w:val="30"/>
              </w:rPr>
            </w:pPr>
            <w:r>
              <w:rPr>
                <w:rFonts w:ascii="SimHei" w:hAnsi="SimHei" w:cs="SimHei" w:hint="eastAsia"/>
                <w:b/>
                <w:color w:val="FFFFFF"/>
                <w:kern w:val="0"/>
                <w:sz w:val="30"/>
                <w:szCs w:val="30"/>
              </w:rPr>
              <w:t xml:space="preserve"> </w:t>
            </w:r>
          </w:p>
          <w:p w:rsidR="0013506B" w:rsidRPr="003C6EC0" w:rsidRDefault="00B05FBF" w:rsidP="00B05FBF">
            <w:pPr>
              <w:tabs>
                <w:tab w:val="left" w:pos="3254"/>
              </w:tabs>
              <w:autoSpaceDE w:val="0"/>
              <w:autoSpaceDN w:val="0"/>
              <w:adjustRightInd w:val="0"/>
              <w:ind w:firstLineChars="198" w:firstLine="596"/>
              <w:rPr>
                <w:rFonts w:ascii="SimHei" w:hAnsi="SimHei" w:cs="SimHei" w:hint="eastAsia"/>
                <w:b/>
                <w:color w:val="FFFFFF"/>
                <w:kern w:val="0"/>
                <w:sz w:val="30"/>
                <w:szCs w:val="30"/>
              </w:rPr>
            </w:pPr>
            <w:r>
              <w:rPr>
                <w:rFonts w:ascii="SimHei" w:hAnsi="SimHei" w:cs="SimHei" w:hint="eastAsia"/>
                <w:b/>
                <w:color w:val="FFFFFF"/>
                <w:kern w:val="0"/>
                <w:sz w:val="30"/>
                <w:szCs w:val="30"/>
              </w:rPr>
              <w:t>国内偏股基金业绩趋于</w:t>
            </w:r>
            <w:r w:rsidR="00F4519B" w:rsidRPr="00F4519B">
              <w:rPr>
                <w:rFonts w:ascii="SimHei" w:hAnsi="SimHei" w:cs="SimHei" w:hint="eastAsia"/>
                <w:b/>
                <w:color w:val="FFFFFF"/>
                <w:kern w:val="0"/>
                <w:sz w:val="30"/>
                <w:szCs w:val="30"/>
              </w:rPr>
              <w:t>低迷</w:t>
            </w:r>
            <w:r w:rsidR="00BE7359">
              <w:rPr>
                <w:rFonts w:ascii="SimHei" w:hAnsi="SimHei" w:cs="SimHei" w:hint="eastAsia"/>
                <w:b/>
                <w:color w:val="FFFFFF"/>
                <w:kern w:val="0"/>
                <w:sz w:val="30"/>
                <w:szCs w:val="30"/>
              </w:rPr>
              <w:t xml:space="preserve">  </w:t>
            </w:r>
            <w:r>
              <w:rPr>
                <w:rFonts w:ascii="SimHei" w:hAnsi="SimHei" w:cs="SimHei" w:hint="eastAsia"/>
                <w:b/>
                <w:color w:val="FFFFFF"/>
                <w:kern w:val="0"/>
                <w:sz w:val="30"/>
                <w:szCs w:val="30"/>
              </w:rPr>
              <w:t>多元配置分散投资风险</w:t>
            </w:r>
          </w:p>
          <w:p w:rsidR="0013506B" w:rsidRPr="00BE7359" w:rsidRDefault="0013506B" w:rsidP="0013506B">
            <w:pPr>
              <w:autoSpaceDE w:val="0"/>
              <w:autoSpaceDN w:val="0"/>
              <w:adjustRightInd w:val="0"/>
              <w:ind w:firstLine="480"/>
              <w:jc w:val="left"/>
              <w:rPr>
                <w:rFonts w:ascii="SimHei" w:hAnsi="SimHei" w:cs="SimHei" w:hint="eastAsia"/>
                <w:b/>
                <w:color w:val="FFFFFF"/>
                <w:kern w:val="0"/>
                <w:sz w:val="23"/>
                <w:szCs w:val="23"/>
              </w:rPr>
            </w:pPr>
          </w:p>
          <w:p w:rsidR="00F72FA4" w:rsidRPr="00D1330E" w:rsidRDefault="0013506B" w:rsidP="00B05FBF">
            <w:pPr>
              <w:spacing w:line="360" w:lineRule="auto"/>
              <w:ind w:leftChars="200" w:left="2018" w:hangingChars="692" w:hanging="1598"/>
              <w:jc w:val="right"/>
              <w:rPr>
                <w:rFonts w:eastAsia="SimHei"/>
                <w:b/>
                <w:color w:val="FFFFFF"/>
                <w:sz w:val="30"/>
                <w:szCs w:val="30"/>
              </w:rPr>
            </w:pPr>
            <w:bookmarkStart w:id="0" w:name="OLE_LINK34"/>
            <w:bookmarkStart w:id="1" w:name="OLE_LINK35"/>
            <w:r w:rsidRPr="0013506B">
              <w:rPr>
                <w:rFonts w:ascii="SimHei" w:hAnsi="SimHei" w:cs="SimHei"/>
                <w:b/>
                <w:color w:val="FFFFFF"/>
                <w:kern w:val="0"/>
                <w:sz w:val="23"/>
                <w:szCs w:val="23"/>
              </w:rPr>
              <w:t>基金市场周报（</w:t>
            </w:r>
            <w:r w:rsidR="008A6B3B">
              <w:rPr>
                <w:rFonts w:ascii="SimHei" w:hAnsi="SimHei" w:cs="SimHei"/>
                <w:b/>
                <w:color w:val="FFFFFF"/>
                <w:kern w:val="0"/>
                <w:sz w:val="23"/>
                <w:szCs w:val="23"/>
              </w:rPr>
              <w:t>201</w:t>
            </w:r>
            <w:r w:rsidR="00176089">
              <w:rPr>
                <w:rFonts w:ascii="SimHei" w:hAnsi="SimHei" w:cs="SimHei" w:hint="eastAsia"/>
                <w:b/>
                <w:color w:val="FFFFFF"/>
                <w:kern w:val="0"/>
                <w:sz w:val="23"/>
                <w:szCs w:val="23"/>
              </w:rPr>
              <w:t>6</w:t>
            </w:r>
            <w:r w:rsidRPr="0013506B">
              <w:rPr>
                <w:rFonts w:ascii="SimHei" w:hAnsi="SimHei" w:cs="SimHei"/>
                <w:b/>
                <w:color w:val="FFFFFF"/>
                <w:kern w:val="0"/>
                <w:sz w:val="23"/>
                <w:szCs w:val="23"/>
              </w:rPr>
              <w:t>.</w:t>
            </w:r>
            <w:r w:rsidR="00835EAC">
              <w:rPr>
                <w:rFonts w:ascii="SimHei" w:hAnsi="SimHei" w:cs="SimHei"/>
                <w:b/>
                <w:color w:val="FFFFFF"/>
                <w:kern w:val="0"/>
                <w:sz w:val="23"/>
                <w:szCs w:val="23"/>
              </w:rPr>
              <w:t>5.</w:t>
            </w:r>
            <w:r w:rsidR="00B05FBF">
              <w:rPr>
                <w:rFonts w:ascii="SimHei" w:hAnsi="SimHei" w:cs="SimHei" w:hint="eastAsia"/>
                <w:b/>
                <w:color w:val="FFFFFF"/>
                <w:kern w:val="0"/>
                <w:sz w:val="23"/>
                <w:szCs w:val="23"/>
              </w:rPr>
              <w:t>23</w:t>
            </w:r>
            <w:r w:rsidR="007E3B74">
              <w:rPr>
                <w:rFonts w:ascii="SimHei" w:hAnsi="SimHei" w:cs="SimHei"/>
                <w:b/>
                <w:color w:val="FFFFFF"/>
                <w:kern w:val="0"/>
                <w:sz w:val="23"/>
                <w:szCs w:val="23"/>
              </w:rPr>
              <w:t>—</w:t>
            </w:r>
            <w:r w:rsidR="00835EAC">
              <w:rPr>
                <w:rFonts w:ascii="SimHei" w:hAnsi="SimHei" w:cs="SimHei" w:hint="eastAsia"/>
                <w:b/>
                <w:color w:val="FFFFFF"/>
                <w:kern w:val="0"/>
                <w:sz w:val="23"/>
                <w:szCs w:val="23"/>
              </w:rPr>
              <w:t>5.</w:t>
            </w:r>
            <w:r w:rsidR="00B05FBF">
              <w:rPr>
                <w:rFonts w:ascii="SimHei" w:hAnsi="SimHei" w:cs="SimHei"/>
                <w:b/>
                <w:color w:val="FFFFFF"/>
                <w:kern w:val="0"/>
                <w:sz w:val="23"/>
                <w:szCs w:val="23"/>
              </w:rPr>
              <w:t>2</w:t>
            </w:r>
            <w:r w:rsidR="00B05FBF">
              <w:rPr>
                <w:rFonts w:ascii="SimHei" w:hAnsi="SimHei" w:cs="SimHei" w:hint="eastAsia"/>
                <w:b/>
                <w:color w:val="FFFFFF"/>
                <w:kern w:val="0"/>
                <w:sz w:val="23"/>
                <w:szCs w:val="23"/>
              </w:rPr>
              <w:t>7</w:t>
            </w:r>
            <w:r w:rsidRPr="0013506B">
              <w:rPr>
                <w:rFonts w:ascii="SimHei" w:hAnsi="SimHei" w:cs="SimHei"/>
                <w:b/>
                <w:color w:val="FFFFFF"/>
                <w:kern w:val="0"/>
                <w:sz w:val="23"/>
                <w:szCs w:val="23"/>
              </w:rPr>
              <w:t>）</w:t>
            </w:r>
            <w:bookmarkEnd w:id="0"/>
            <w:bookmarkEnd w:id="1"/>
          </w:p>
        </w:tc>
      </w:tr>
      <w:tr w:rsidR="00F27A65" w:rsidRPr="00CB0A5A" w:rsidTr="00701A91">
        <w:trPr>
          <w:trHeight w:val="284"/>
        </w:trPr>
        <w:tc>
          <w:tcPr>
            <w:tcW w:w="388" w:type="dxa"/>
            <w:shd w:val="clear" w:color="auto" w:fill="CDD7FA"/>
          </w:tcPr>
          <w:p w:rsidR="00F27A65" w:rsidRPr="00CB0A5A" w:rsidRDefault="00F27A65" w:rsidP="00055C3A">
            <w:pPr>
              <w:rPr>
                <w:rFonts w:eastAsia="楷体_GB2312"/>
                <w:b/>
                <w:color w:val="003366"/>
              </w:rPr>
            </w:pPr>
          </w:p>
        </w:tc>
        <w:tc>
          <w:tcPr>
            <w:tcW w:w="3288" w:type="dxa"/>
            <w:gridSpan w:val="2"/>
            <w:shd w:val="clear" w:color="auto" w:fill="CDD7FA"/>
          </w:tcPr>
          <w:p w:rsidR="00F27A65" w:rsidRPr="00FC1827" w:rsidRDefault="007958DA" w:rsidP="00055C3A">
            <w:pPr>
              <w:rPr>
                <w:rFonts w:eastAsia="楷体_GB2312"/>
                <w:b/>
                <w:color w:val="003366"/>
              </w:rPr>
            </w:pPr>
            <w:r>
              <w:rPr>
                <w:rFonts w:eastAsia="楷体_GB2312"/>
                <w:b/>
                <w:noProof/>
                <w:color w:val="003366"/>
              </w:rPr>
              <w:drawing>
                <wp:anchor distT="0" distB="0" distL="114300" distR="114300" simplePos="0" relativeHeight="251657728" behindDoc="0" locked="0" layoutInCell="1" allowOverlap="1">
                  <wp:simplePos x="0" y="0"/>
                  <wp:positionH relativeFrom="column">
                    <wp:posOffset>36830</wp:posOffset>
                  </wp:positionH>
                  <wp:positionV relativeFrom="paragraph">
                    <wp:posOffset>184150</wp:posOffset>
                  </wp:positionV>
                  <wp:extent cx="1828800" cy="869950"/>
                  <wp:effectExtent l="0" t="0" r="0" b="0"/>
                  <wp:wrapNone/>
                  <wp:docPr id="5" name="图片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1"/>
                          <pic:cNvPicPr>
                            <a:picLocks noChangeAspect="1" noChangeArrowheads="1"/>
                          </pic:cNvPicPr>
                        </pic:nvPicPr>
                        <pic:blipFill>
                          <a:blip r:embed="rId8" cstate="print">
                            <a:clrChange>
                              <a:clrFrom>
                                <a:srgbClr val="D2D2FF"/>
                              </a:clrFrom>
                              <a:clrTo>
                                <a:srgbClr val="D2D2FF">
                                  <a:alpha val="0"/>
                                </a:srgbClr>
                              </a:clrTo>
                            </a:clrChange>
                          </a:blip>
                          <a:srcRect/>
                          <a:stretch>
                            <a:fillRect/>
                          </a:stretch>
                        </pic:blipFill>
                        <pic:spPr bwMode="auto">
                          <a:xfrm>
                            <a:off x="0" y="0"/>
                            <a:ext cx="1828800" cy="869950"/>
                          </a:xfrm>
                          <a:prstGeom prst="rect">
                            <a:avLst/>
                          </a:prstGeom>
                          <a:noFill/>
                          <a:ln w="9525">
                            <a:noFill/>
                            <a:miter lim="800000"/>
                            <a:headEnd/>
                            <a:tailEnd/>
                          </a:ln>
                        </pic:spPr>
                      </pic:pic>
                    </a:graphicData>
                  </a:graphic>
                </wp:anchor>
              </w:drawing>
            </w:r>
          </w:p>
        </w:tc>
        <w:tc>
          <w:tcPr>
            <w:tcW w:w="8316" w:type="dxa"/>
            <w:gridSpan w:val="3"/>
            <w:vMerge/>
            <w:shd w:val="clear" w:color="auto" w:fill="00326E"/>
          </w:tcPr>
          <w:p w:rsidR="00F27A65" w:rsidRPr="00FC1827" w:rsidRDefault="00F27A65" w:rsidP="00055C3A">
            <w:pPr>
              <w:rPr>
                <w:rFonts w:eastAsia="楷体_GB2312"/>
                <w:b/>
                <w:color w:val="003366"/>
              </w:rPr>
            </w:pPr>
          </w:p>
        </w:tc>
      </w:tr>
      <w:tr w:rsidR="00F27A65" w:rsidRPr="00CB0A5A" w:rsidTr="00701A91">
        <w:trPr>
          <w:trHeight w:val="1224"/>
        </w:trPr>
        <w:tc>
          <w:tcPr>
            <w:tcW w:w="388" w:type="dxa"/>
            <w:shd w:val="clear" w:color="auto" w:fill="CDD7FA"/>
          </w:tcPr>
          <w:p w:rsidR="00F27A65" w:rsidRPr="00CB0A5A" w:rsidRDefault="00F27A65" w:rsidP="00055C3A">
            <w:pPr>
              <w:rPr>
                <w:rFonts w:eastAsia="楷体_GB2312"/>
                <w:b/>
                <w:color w:val="003366"/>
              </w:rPr>
            </w:pPr>
          </w:p>
        </w:tc>
        <w:tc>
          <w:tcPr>
            <w:tcW w:w="3288" w:type="dxa"/>
            <w:gridSpan w:val="2"/>
            <w:shd w:val="clear" w:color="auto" w:fill="CDD7FA"/>
          </w:tcPr>
          <w:p w:rsidR="00F27A65" w:rsidRPr="00CB0A5A" w:rsidRDefault="00F27A65" w:rsidP="00055C3A">
            <w:pPr>
              <w:spacing w:line="360" w:lineRule="auto"/>
              <w:rPr>
                <w:rFonts w:eastAsia="楷体_GB2312"/>
                <w:noProof/>
              </w:rPr>
            </w:pPr>
          </w:p>
        </w:tc>
        <w:tc>
          <w:tcPr>
            <w:tcW w:w="8316" w:type="dxa"/>
            <w:gridSpan w:val="3"/>
            <w:vMerge/>
            <w:shd w:val="clear" w:color="auto" w:fill="00326E"/>
          </w:tcPr>
          <w:p w:rsidR="00F27A65" w:rsidRPr="00CB0A5A" w:rsidRDefault="00F27A65" w:rsidP="00055C3A">
            <w:pPr>
              <w:spacing w:line="360" w:lineRule="auto"/>
              <w:rPr>
                <w:rFonts w:eastAsia="楷体_GB2312"/>
                <w:noProof/>
              </w:rPr>
            </w:pPr>
          </w:p>
        </w:tc>
      </w:tr>
      <w:tr w:rsidR="00D20D7A" w:rsidRPr="00CB0A5A" w:rsidTr="00814A63">
        <w:trPr>
          <w:trHeight w:val="1159"/>
        </w:trPr>
        <w:tc>
          <w:tcPr>
            <w:tcW w:w="3689" w:type="dxa"/>
            <w:gridSpan w:val="4"/>
            <w:tcBorders>
              <w:bottom w:val="nil"/>
            </w:tcBorders>
            <w:shd w:val="clear" w:color="auto" w:fill="CDD7FA"/>
            <w:tcMar>
              <w:right w:w="0" w:type="dxa"/>
            </w:tcMar>
          </w:tcPr>
          <w:p w:rsidR="00D20D7A" w:rsidRPr="00EF75E3" w:rsidRDefault="00D20D7A" w:rsidP="00055C3A"/>
        </w:tc>
        <w:tc>
          <w:tcPr>
            <w:tcW w:w="533" w:type="dxa"/>
            <w:tcBorders>
              <w:bottom w:val="nil"/>
            </w:tcBorders>
            <w:shd w:val="clear" w:color="auto" w:fill="CDD7FA"/>
          </w:tcPr>
          <w:p w:rsidR="00D20D7A" w:rsidRPr="007D078F" w:rsidRDefault="00D20D7A" w:rsidP="00055C3A">
            <w:pPr>
              <w:rPr>
                <w:rFonts w:eastAsia="楷体_GB2312"/>
                <w:b/>
                <w:color w:val="003366"/>
              </w:rPr>
            </w:pPr>
          </w:p>
        </w:tc>
        <w:tc>
          <w:tcPr>
            <w:tcW w:w="7770" w:type="dxa"/>
            <w:vMerge w:val="restart"/>
            <w:tcBorders>
              <w:bottom w:val="nil"/>
            </w:tcBorders>
            <w:shd w:val="clear" w:color="auto" w:fill="auto"/>
          </w:tcPr>
          <w:tbl>
            <w:tblPr>
              <w:tblW w:w="6521" w:type="dxa"/>
              <w:tblInd w:w="227" w:type="dxa"/>
              <w:tblLayout w:type="fixed"/>
              <w:tblLook w:val="04A0"/>
            </w:tblPr>
            <w:tblGrid>
              <w:gridCol w:w="6521"/>
            </w:tblGrid>
            <w:tr w:rsidR="00D20D7A" w:rsidRPr="000C6C1F" w:rsidTr="00814A63">
              <w:trPr>
                <w:trHeight w:hRule="exact" w:val="23"/>
              </w:trPr>
              <w:tc>
                <w:tcPr>
                  <w:tcW w:w="7539" w:type="dxa"/>
                </w:tcPr>
                <w:p w:rsidR="00D20D7A" w:rsidRPr="000C6C1F" w:rsidRDefault="00D20D7A" w:rsidP="003960E7">
                  <w:pPr>
                    <w:framePr w:hSpace="181" w:wrap="around" w:vAnchor="page" w:hAnchor="page" w:x="35" w:y="1"/>
                    <w:rPr>
                      <w:rFonts w:eastAsia="楷体_GB2312"/>
                      <w:color w:val="003366"/>
                      <w:sz w:val="18"/>
                      <w:szCs w:val="18"/>
                    </w:rPr>
                  </w:pPr>
                  <w:r w:rsidRPr="000C6C1F">
                    <w:rPr>
                      <w:rFonts w:eastAsia="楷体_GB2312" w:hint="eastAsia"/>
                      <w:color w:val="003366"/>
                      <w:sz w:val="18"/>
                      <w:szCs w:val="18"/>
                    </w:rPr>
                    <w:t>[Table_Summary]</w:t>
                  </w:r>
                </w:p>
              </w:tc>
            </w:tr>
            <w:tr w:rsidR="00D20D7A" w:rsidRPr="000C6C1F" w:rsidTr="00B27B6F">
              <w:trPr>
                <w:trHeight w:val="9591"/>
              </w:trPr>
              <w:tc>
                <w:tcPr>
                  <w:tcW w:w="7539" w:type="dxa"/>
                </w:tcPr>
                <w:p w:rsidR="0058462A" w:rsidRDefault="0058462A" w:rsidP="003960E7">
                  <w:pPr>
                    <w:pStyle w:val="Default"/>
                    <w:framePr w:hSpace="181" w:wrap="around" w:vAnchor="page" w:hAnchor="page" w:x="35" w:y="1"/>
                    <w:rPr>
                      <w:rFonts w:hint="eastAsia"/>
                    </w:rPr>
                  </w:pPr>
                </w:p>
                <w:p w:rsidR="006471AD" w:rsidRPr="0082060F" w:rsidRDefault="00B05FBF" w:rsidP="00B05FBF">
                  <w:pPr>
                    <w:framePr w:hSpace="181" w:wrap="around" w:vAnchor="page" w:hAnchor="page" w:x="35" w:y="1"/>
                    <w:spacing w:line="14" w:lineRule="auto"/>
                    <w:ind w:firstLine="420"/>
                    <w:rPr>
                      <w:rFonts w:ascii="楷体" w:eastAsia="楷体" w:hAnsi="楷体"/>
                      <w:color w:val="000000"/>
                      <w:sz w:val="22"/>
                      <w:szCs w:val="21"/>
                    </w:rPr>
                  </w:pPr>
                  <w:bookmarkStart w:id="2" w:name="OLE_LINK7"/>
                  <w:bookmarkStart w:id="3" w:name="OLE_LINK8"/>
                  <w:bookmarkStart w:id="4" w:name="OLE_LINK18"/>
                  <w:bookmarkStart w:id="5" w:name="OLE_LINK19"/>
                  <w:bookmarkStart w:id="6" w:name="OLE_LINK24"/>
                  <w:bookmarkStart w:id="7" w:name="OLE_LINK21"/>
                  <w:bookmarkStart w:id="8" w:name="OLE_LINK36"/>
                  <w:bookmarkStart w:id="9" w:name="OLE_LINK37"/>
                  <w:bookmarkStart w:id="10" w:name="OLE_LINK44"/>
                  <w:bookmarkStart w:id="11" w:name="OLE_LINK45"/>
                  <w:r w:rsidRPr="00B05FBF">
                    <w:rPr>
                      <w:rFonts w:ascii="楷体" w:eastAsia="楷体" w:hAnsi="楷体" w:hint="eastAsia"/>
                      <w:color w:val="000000"/>
                      <w:sz w:val="22"/>
                      <w:szCs w:val="21"/>
                    </w:rPr>
                    <w:t>股票市场方面，沪深两市收益率分别为-0.16%和-0.03%，同期中小板和创业板指数收益率为-0.20%和1.25%。A股市场近期持续低迷，股指波动性较前期有所降低，交易量明显萎缩。从行业层面来看，半数以上行业收益为负，电子、综合、建筑材料行业收益率涨幅最大，而食品饮料、交通运输和非银金融行业较上周略有下挫。债券市场方面，中证全债指数收益率为0.06%。上周中证企业债、国债收益率分别为0.08%和-0.03%，转债指数收益率为-0.42%。货币市场资金价格近期呈现下滑趋势，货币市场基金7天年化收益率连续下挫。</w:t>
                  </w:r>
                  <w:r w:rsidR="006E570A" w:rsidRPr="0082060F">
                    <w:rPr>
                      <w:rFonts w:ascii="楷体" w:eastAsia="楷体" w:hAnsi="楷体" w:hint="eastAsia"/>
                      <w:color w:val="000000"/>
                      <w:sz w:val="22"/>
                      <w:szCs w:val="21"/>
                    </w:rPr>
                    <w:t xml:space="preserve"> </w:t>
                  </w:r>
                </w:p>
                <w:p w:rsidR="008A6B3B" w:rsidRPr="0082060F" w:rsidRDefault="00405C50" w:rsidP="003960E7">
                  <w:pPr>
                    <w:framePr w:hSpace="181" w:wrap="around" w:vAnchor="page" w:hAnchor="page" w:x="35" w:y="1"/>
                    <w:ind w:firstLine="435"/>
                    <w:rPr>
                      <w:rFonts w:ascii="楷体" w:eastAsia="楷体" w:hAnsi="楷体"/>
                      <w:b/>
                      <w:bCs/>
                      <w:color w:val="003366"/>
                      <w:sz w:val="22"/>
                      <w:szCs w:val="21"/>
                    </w:rPr>
                  </w:pPr>
                  <w:r w:rsidRPr="0082060F">
                    <w:rPr>
                      <w:rFonts w:ascii="楷体" w:eastAsia="楷体" w:hAnsi="楷体" w:hint="eastAsia"/>
                      <w:b/>
                      <w:bCs/>
                      <w:color w:val="003366"/>
                      <w:sz w:val="22"/>
                      <w:szCs w:val="21"/>
                    </w:rPr>
                    <w:t>权益类基金</w:t>
                  </w:r>
                  <w:r w:rsidR="008A6B3B" w:rsidRPr="0082060F">
                    <w:rPr>
                      <w:rFonts w:ascii="楷体" w:eastAsia="楷体" w:hAnsi="楷体" w:hint="eastAsia"/>
                      <w:b/>
                      <w:bCs/>
                      <w:color w:val="003366"/>
                      <w:sz w:val="22"/>
                      <w:szCs w:val="21"/>
                    </w:rPr>
                    <w:t>：</w:t>
                  </w:r>
                </w:p>
                <w:p w:rsidR="007A7CA3" w:rsidRPr="0082060F" w:rsidRDefault="00B05FBF" w:rsidP="0082060F">
                  <w:pPr>
                    <w:framePr w:hSpace="181" w:wrap="around" w:vAnchor="page" w:hAnchor="page" w:x="35" w:y="1"/>
                    <w:spacing w:line="14" w:lineRule="auto"/>
                    <w:ind w:firstLineChars="196" w:firstLine="431"/>
                    <w:rPr>
                      <w:rFonts w:ascii="楷体" w:eastAsia="楷体" w:hAnsi="楷体"/>
                      <w:color w:val="000000"/>
                      <w:sz w:val="22"/>
                      <w:szCs w:val="21"/>
                    </w:rPr>
                  </w:pPr>
                  <w:r w:rsidRPr="0082060F">
                    <w:rPr>
                      <w:rFonts w:ascii="楷体" w:eastAsia="楷体" w:hAnsi="楷体" w:hint="eastAsia"/>
                      <w:color w:val="000000"/>
                      <w:sz w:val="22"/>
                      <w:szCs w:val="21"/>
                    </w:rPr>
                    <w:t>本期采取主动操作策略的股票基金和混合基金，平均收益率分别为</w:t>
                  </w:r>
                  <w:r>
                    <w:rPr>
                      <w:rFonts w:ascii="楷体" w:eastAsia="楷体" w:hAnsi="楷体"/>
                      <w:color w:val="000000"/>
                      <w:sz w:val="22"/>
                      <w:szCs w:val="21"/>
                    </w:rPr>
                    <w:t>0.</w:t>
                  </w:r>
                  <w:r>
                    <w:rPr>
                      <w:rFonts w:ascii="楷体" w:eastAsia="楷体" w:hAnsi="楷体" w:hint="eastAsia"/>
                      <w:color w:val="000000"/>
                      <w:sz w:val="22"/>
                      <w:szCs w:val="21"/>
                    </w:rPr>
                    <w:t>27</w:t>
                  </w:r>
                  <w:r w:rsidRPr="0082060F">
                    <w:rPr>
                      <w:rFonts w:ascii="楷体" w:eastAsia="楷体" w:hAnsi="楷体" w:hint="eastAsia"/>
                      <w:color w:val="000000"/>
                      <w:sz w:val="22"/>
                      <w:szCs w:val="21"/>
                    </w:rPr>
                    <w:t>%和</w:t>
                  </w:r>
                  <w:r>
                    <w:rPr>
                      <w:rFonts w:ascii="楷体" w:eastAsia="楷体" w:hAnsi="楷体"/>
                      <w:color w:val="000000"/>
                      <w:sz w:val="22"/>
                      <w:szCs w:val="21"/>
                    </w:rPr>
                    <w:t>0.2</w:t>
                  </w:r>
                  <w:r>
                    <w:rPr>
                      <w:rFonts w:ascii="楷体" w:eastAsia="楷体" w:hAnsi="楷体" w:hint="eastAsia"/>
                      <w:color w:val="000000"/>
                      <w:sz w:val="22"/>
                      <w:szCs w:val="21"/>
                    </w:rPr>
                    <w:t>2</w:t>
                  </w:r>
                  <w:r w:rsidRPr="0082060F">
                    <w:rPr>
                      <w:rFonts w:ascii="楷体" w:eastAsia="楷体" w:hAnsi="楷体" w:hint="eastAsia"/>
                      <w:color w:val="000000"/>
                      <w:sz w:val="22"/>
                      <w:szCs w:val="21"/>
                    </w:rPr>
                    <w:t>%，同期沪深300指数收益率为</w:t>
                  </w:r>
                  <w:r>
                    <w:rPr>
                      <w:rFonts w:ascii="楷体" w:eastAsia="楷体" w:hAnsi="楷体" w:hint="eastAsia"/>
                      <w:color w:val="000000"/>
                      <w:sz w:val="22"/>
                      <w:szCs w:val="21"/>
                    </w:rPr>
                    <w:t>-</w:t>
                  </w:r>
                  <w:r>
                    <w:rPr>
                      <w:rFonts w:ascii="楷体" w:eastAsia="楷体" w:hAnsi="楷体"/>
                      <w:color w:val="000000"/>
                      <w:sz w:val="22"/>
                      <w:szCs w:val="21"/>
                    </w:rPr>
                    <w:t>0.</w:t>
                  </w:r>
                  <w:r>
                    <w:rPr>
                      <w:rFonts w:ascii="楷体" w:eastAsia="楷体" w:hAnsi="楷体" w:hint="eastAsia"/>
                      <w:color w:val="000000"/>
                      <w:sz w:val="22"/>
                      <w:szCs w:val="21"/>
                    </w:rPr>
                    <w:t>5</w:t>
                  </w:r>
                  <w:r w:rsidRPr="0082060F">
                    <w:rPr>
                      <w:rFonts w:ascii="楷体" w:eastAsia="楷体" w:hAnsi="楷体"/>
                      <w:color w:val="000000"/>
                      <w:sz w:val="22"/>
                      <w:szCs w:val="21"/>
                    </w:rPr>
                    <w:t>1</w:t>
                  </w:r>
                  <w:r w:rsidRPr="0082060F">
                    <w:rPr>
                      <w:rFonts w:ascii="楷体" w:eastAsia="楷体" w:hAnsi="楷体" w:hint="eastAsia"/>
                      <w:color w:val="000000"/>
                      <w:sz w:val="22"/>
                      <w:szCs w:val="21"/>
                    </w:rPr>
                    <w:t>%。2016年以来，股票基金和混合基金损失较为惨重，累计收益率分别为-</w:t>
                  </w:r>
                  <w:r w:rsidRPr="0082060F">
                    <w:rPr>
                      <w:rFonts w:ascii="楷体" w:eastAsia="楷体" w:hAnsi="楷体"/>
                      <w:color w:val="000000"/>
                      <w:sz w:val="22"/>
                      <w:szCs w:val="21"/>
                    </w:rPr>
                    <w:t>22.</w:t>
                  </w:r>
                  <w:r>
                    <w:rPr>
                      <w:rFonts w:ascii="楷体" w:eastAsia="楷体" w:hAnsi="楷体" w:hint="eastAsia"/>
                      <w:color w:val="000000"/>
                      <w:sz w:val="22"/>
                      <w:szCs w:val="21"/>
                    </w:rPr>
                    <w:t>2</w:t>
                  </w:r>
                  <w:r w:rsidRPr="0082060F">
                    <w:rPr>
                      <w:rFonts w:ascii="楷体" w:eastAsia="楷体" w:hAnsi="楷体"/>
                      <w:color w:val="000000"/>
                      <w:sz w:val="22"/>
                      <w:szCs w:val="21"/>
                    </w:rPr>
                    <w:t>6</w:t>
                  </w:r>
                  <w:r w:rsidRPr="0082060F">
                    <w:rPr>
                      <w:rFonts w:ascii="楷体" w:eastAsia="楷体" w:hAnsi="楷体" w:hint="eastAsia"/>
                      <w:color w:val="000000"/>
                      <w:sz w:val="22"/>
                      <w:szCs w:val="21"/>
                    </w:rPr>
                    <w:t>%和-</w:t>
                  </w:r>
                  <w:r w:rsidRPr="0082060F">
                    <w:rPr>
                      <w:rFonts w:ascii="楷体" w:eastAsia="楷体" w:hAnsi="楷体"/>
                      <w:color w:val="000000"/>
                      <w:sz w:val="22"/>
                      <w:szCs w:val="21"/>
                    </w:rPr>
                    <w:t>13.</w:t>
                  </w:r>
                  <w:r>
                    <w:rPr>
                      <w:rFonts w:ascii="楷体" w:eastAsia="楷体" w:hAnsi="楷体" w:hint="eastAsia"/>
                      <w:color w:val="000000"/>
                      <w:sz w:val="22"/>
                      <w:szCs w:val="21"/>
                    </w:rPr>
                    <w:t>47</w:t>
                  </w:r>
                  <w:r w:rsidRPr="0082060F">
                    <w:rPr>
                      <w:rFonts w:ascii="楷体" w:eastAsia="楷体" w:hAnsi="楷体" w:hint="eastAsia"/>
                      <w:color w:val="000000"/>
                      <w:sz w:val="22"/>
                      <w:szCs w:val="21"/>
                    </w:rPr>
                    <w:t>%。指数基金本期平均收益率为</w:t>
                  </w:r>
                  <w:r>
                    <w:rPr>
                      <w:rFonts w:ascii="楷体" w:eastAsia="楷体" w:hAnsi="楷体" w:hint="eastAsia"/>
                      <w:color w:val="000000"/>
                      <w:sz w:val="22"/>
                      <w:szCs w:val="21"/>
                    </w:rPr>
                    <w:t>-</w:t>
                  </w:r>
                  <w:r>
                    <w:rPr>
                      <w:rFonts w:ascii="楷体" w:eastAsia="楷体" w:hAnsi="楷体"/>
                      <w:color w:val="000000"/>
                      <w:sz w:val="22"/>
                      <w:szCs w:val="21"/>
                    </w:rPr>
                    <w:t>0.</w:t>
                  </w:r>
                  <w:r>
                    <w:rPr>
                      <w:rFonts w:ascii="楷体" w:eastAsia="楷体" w:hAnsi="楷体" w:hint="eastAsia"/>
                      <w:color w:val="000000"/>
                      <w:sz w:val="22"/>
                      <w:szCs w:val="21"/>
                    </w:rPr>
                    <w:t>21</w:t>
                  </w:r>
                  <w:r w:rsidRPr="0082060F">
                    <w:rPr>
                      <w:rFonts w:ascii="楷体" w:eastAsia="楷体" w:hAnsi="楷体" w:hint="eastAsia"/>
                      <w:color w:val="000000"/>
                      <w:sz w:val="22"/>
                      <w:szCs w:val="21"/>
                    </w:rPr>
                    <w:t>%，2016年以来累计收益率为-</w:t>
                  </w:r>
                  <w:r w:rsidRPr="0082060F">
                    <w:rPr>
                      <w:rFonts w:ascii="楷体" w:eastAsia="楷体" w:hAnsi="楷体"/>
                      <w:color w:val="000000"/>
                      <w:sz w:val="22"/>
                      <w:szCs w:val="21"/>
                    </w:rPr>
                    <w:t>18.78</w:t>
                  </w:r>
                  <w:r w:rsidRPr="0082060F">
                    <w:rPr>
                      <w:rFonts w:ascii="楷体" w:eastAsia="楷体" w:hAnsi="楷体" w:hint="eastAsia"/>
                      <w:color w:val="000000"/>
                      <w:sz w:val="22"/>
                      <w:szCs w:val="21"/>
                    </w:rPr>
                    <w:t>%。</w:t>
                  </w:r>
                </w:p>
                <w:p w:rsidR="008A6B3B" w:rsidRPr="0082060F" w:rsidRDefault="006B33F9" w:rsidP="0082060F">
                  <w:pPr>
                    <w:framePr w:hSpace="181" w:wrap="around" w:vAnchor="page" w:hAnchor="page" w:x="35" w:y="1"/>
                    <w:spacing w:line="14" w:lineRule="auto"/>
                    <w:ind w:firstLineChars="196" w:firstLine="433"/>
                    <w:rPr>
                      <w:rFonts w:ascii="楷体" w:eastAsia="楷体" w:hAnsi="楷体"/>
                      <w:color w:val="000000"/>
                      <w:sz w:val="22"/>
                      <w:szCs w:val="21"/>
                    </w:rPr>
                  </w:pPr>
                  <w:r w:rsidRPr="0082060F">
                    <w:rPr>
                      <w:rFonts w:ascii="楷体" w:eastAsia="楷体" w:hAnsi="楷体" w:hint="eastAsia"/>
                      <w:b/>
                      <w:bCs/>
                      <w:color w:val="003366"/>
                      <w:sz w:val="22"/>
                      <w:szCs w:val="21"/>
                    </w:rPr>
                    <w:t>固定收益类</w:t>
                  </w:r>
                  <w:r w:rsidR="008A6B3B" w:rsidRPr="0082060F">
                    <w:rPr>
                      <w:rFonts w:ascii="楷体" w:eastAsia="楷体" w:hAnsi="楷体" w:hint="eastAsia"/>
                      <w:b/>
                      <w:bCs/>
                      <w:color w:val="003366"/>
                      <w:sz w:val="22"/>
                      <w:szCs w:val="21"/>
                    </w:rPr>
                    <w:t>基金：</w:t>
                  </w:r>
                </w:p>
                <w:p w:rsidR="00186271" w:rsidRPr="00B05FBF" w:rsidRDefault="00B05FBF" w:rsidP="003960E7">
                  <w:pPr>
                    <w:framePr w:hSpace="181" w:wrap="around" w:vAnchor="page" w:hAnchor="page" w:x="35" w:y="1"/>
                    <w:spacing w:line="14" w:lineRule="auto"/>
                    <w:ind w:firstLine="420"/>
                    <w:rPr>
                      <w:rFonts w:ascii="楷体" w:eastAsia="楷体" w:hAnsi="楷体"/>
                      <w:color w:val="000000"/>
                      <w:sz w:val="22"/>
                      <w:szCs w:val="21"/>
                    </w:rPr>
                  </w:pPr>
                  <w:r w:rsidRPr="00B05FBF">
                    <w:rPr>
                      <w:rFonts w:ascii="楷体" w:eastAsia="楷体" w:hAnsi="楷体" w:hint="eastAsia"/>
                      <w:color w:val="000000"/>
                      <w:sz w:val="22"/>
                      <w:szCs w:val="21"/>
                    </w:rPr>
                    <w:t>债券基金平均收益率为0.08%，近六成基金收益为正。其中，中海可转换债券A、鑫元半年定期开放A、鹏华丰实A收益率居前，上周收益率分别为0.59%、0.55%和0.49%。2016年以来的债券型基金平均收益率为-0.31%。业绩居前的基金为新华安享惠金A\C、新华惠鑫分级、英大纯债A，收益率分别为4.05%\ 4.00%、3.78%、3.67%。货币市场基金期间平均7天年化收益率为2.47%，上周货币市场基金7天年化收益率较前期呈下降趋势。</w:t>
                  </w:r>
                </w:p>
                <w:p w:rsidR="006B33F9" w:rsidRPr="0082060F" w:rsidRDefault="003E004D" w:rsidP="0082060F">
                  <w:pPr>
                    <w:framePr w:hSpace="181" w:wrap="around" w:vAnchor="page" w:hAnchor="page" w:x="35" w:y="1"/>
                    <w:spacing w:line="360" w:lineRule="auto"/>
                    <w:ind w:firstLineChars="196" w:firstLine="433"/>
                    <w:jc w:val="left"/>
                    <w:rPr>
                      <w:rFonts w:ascii="楷体" w:eastAsia="楷体" w:hAnsi="楷体"/>
                      <w:b/>
                      <w:bCs/>
                      <w:color w:val="003366"/>
                      <w:sz w:val="22"/>
                      <w:szCs w:val="21"/>
                    </w:rPr>
                  </w:pPr>
                  <w:r w:rsidRPr="0082060F">
                    <w:rPr>
                      <w:rFonts w:ascii="楷体" w:eastAsia="楷体" w:hAnsi="楷体" w:hint="eastAsia"/>
                      <w:b/>
                      <w:bCs/>
                      <w:color w:val="003366"/>
                      <w:sz w:val="22"/>
                      <w:szCs w:val="21"/>
                    </w:rPr>
                    <w:t xml:space="preserve">QDII及另类投资产品: </w:t>
                  </w:r>
                </w:p>
                <w:bookmarkEnd w:id="2"/>
                <w:bookmarkEnd w:id="3"/>
                <w:bookmarkEnd w:id="4"/>
                <w:bookmarkEnd w:id="5"/>
                <w:bookmarkEnd w:id="6"/>
                <w:bookmarkEnd w:id="7"/>
                <w:p w:rsidR="007E3B74" w:rsidRPr="00B05FBF" w:rsidRDefault="00B05FBF" w:rsidP="003960E7">
                  <w:pPr>
                    <w:framePr w:hSpace="181" w:wrap="around" w:vAnchor="page" w:hAnchor="page" w:x="35" w:y="1"/>
                    <w:spacing w:line="14" w:lineRule="auto"/>
                    <w:ind w:firstLine="420"/>
                    <w:rPr>
                      <w:rFonts w:eastAsia="楷体_GB2312"/>
                      <w:color w:val="000000"/>
                      <w:szCs w:val="21"/>
                    </w:rPr>
                  </w:pPr>
                  <w:r w:rsidRPr="00B05FBF">
                    <w:rPr>
                      <w:rFonts w:ascii="楷体" w:eastAsia="楷体" w:hAnsi="楷体" w:hint="eastAsia"/>
                      <w:color w:val="000000"/>
                      <w:sz w:val="22"/>
                      <w:szCs w:val="21"/>
                    </w:rPr>
                    <w:t>QDII及另类投资基金期间平均收益率为1.49%。业绩收益居前的基金大多为跟踪港股市场相关指数基金，如：华夏恒生ETF、南方恒生ETF、华夏沪港通恒生ETF，上周收益率约在3.5%左右。除此之外，QDII基金中多个系列产品均表现较佳，投资于美股市场、亚太市场、油气能源等方面的基金上周均实现正收益，仅黄金投资基金上周有所下挫。</w:t>
                  </w:r>
                  <w:bookmarkEnd w:id="8"/>
                  <w:bookmarkEnd w:id="9"/>
                  <w:bookmarkEnd w:id="10"/>
                  <w:bookmarkEnd w:id="11"/>
                </w:p>
              </w:tc>
            </w:tr>
          </w:tbl>
          <w:p w:rsidR="00D20D7A" w:rsidRPr="00D20D7A" w:rsidRDefault="00D20D7A" w:rsidP="00055C3A">
            <w:pPr>
              <w:rPr>
                <w:rFonts w:eastAsia="楷体_GB2312"/>
                <w:b/>
                <w:color w:val="003366"/>
              </w:rPr>
            </w:pPr>
          </w:p>
        </w:tc>
      </w:tr>
      <w:tr w:rsidR="00D20D7A" w:rsidRPr="00CB0A5A" w:rsidTr="00814A63">
        <w:trPr>
          <w:trHeight w:val="2880"/>
        </w:trPr>
        <w:tc>
          <w:tcPr>
            <w:tcW w:w="4222" w:type="dxa"/>
            <w:gridSpan w:val="5"/>
            <w:shd w:val="clear" w:color="auto" w:fill="auto"/>
            <w:tcMar>
              <w:right w:w="0" w:type="dxa"/>
            </w:tcMar>
          </w:tcPr>
          <w:p w:rsidR="003222CD" w:rsidRDefault="003222CD" w:rsidP="003222CD">
            <w:pPr>
              <w:ind w:right="420" w:firstLine="420"/>
              <w:rPr>
                <w:rFonts w:eastAsia="楷体_GB2312"/>
                <w:b/>
                <w:color w:val="003366"/>
              </w:rPr>
            </w:pPr>
          </w:p>
          <w:tbl>
            <w:tblPr>
              <w:tblW w:w="0" w:type="auto"/>
              <w:jc w:val="right"/>
              <w:shd w:val="clear" w:color="auto" w:fill="E0E0E0"/>
              <w:tblLayout w:type="fixed"/>
              <w:tblLook w:val="01E0"/>
            </w:tblPr>
            <w:tblGrid>
              <w:gridCol w:w="3751"/>
            </w:tblGrid>
            <w:tr w:rsidR="00A56132" w:rsidRPr="0082060F" w:rsidTr="00871461">
              <w:trPr>
                <w:trHeight w:val="284"/>
                <w:jc w:val="right"/>
              </w:trPr>
              <w:tc>
                <w:tcPr>
                  <w:tcW w:w="3751" w:type="dxa"/>
                  <w:shd w:val="clear" w:color="auto" w:fill="auto"/>
                </w:tcPr>
                <w:p w:rsidR="00A56132" w:rsidRPr="0082060F" w:rsidRDefault="00A56132" w:rsidP="003960E7">
                  <w:pPr>
                    <w:framePr w:hSpace="181" w:wrap="around" w:vAnchor="page" w:hAnchor="page" w:x="35" w:y="1"/>
                    <w:rPr>
                      <w:rFonts w:ascii="楷体" w:eastAsia="楷体" w:hAnsi="楷体"/>
                      <w:b/>
                      <w:color w:val="003366"/>
                      <w:sz w:val="24"/>
                    </w:rPr>
                  </w:pPr>
                </w:p>
                <w:p w:rsidR="00A56132" w:rsidRPr="0082060F" w:rsidRDefault="00A56132" w:rsidP="003960E7">
                  <w:pPr>
                    <w:framePr w:hSpace="181" w:wrap="around" w:vAnchor="page" w:hAnchor="page" w:x="35" w:y="1"/>
                    <w:rPr>
                      <w:rFonts w:ascii="楷体" w:eastAsia="楷体" w:hAnsi="楷体"/>
                      <w:b/>
                      <w:color w:val="003366"/>
                      <w:sz w:val="24"/>
                    </w:rPr>
                  </w:pPr>
                </w:p>
                <w:p w:rsidR="00225042" w:rsidRPr="0082060F" w:rsidRDefault="00225042" w:rsidP="003960E7">
                  <w:pPr>
                    <w:framePr w:hSpace="181" w:wrap="around" w:vAnchor="page" w:hAnchor="page" w:x="35" w:y="1"/>
                    <w:rPr>
                      <w:rFonts w:ascii="楷体" w:eastAsia="楷体" w:hAnsi="楷体"/>
                      <w:b/>
                      <w:color w:val="003366"/>
                      <w:sz w:val="24"/>
                    </w:rPr>
                  </w:pPr>
                </w:p>
                <w:p w:rsidR="00225042" w:rsidRPr="0082060F" w:rsidRDefault="00225042" w:rsidP="003960E7">
                  <w:pPr>
                    <w:framePr w:hSpace="181" w:wrap="around" w:vAnchor="page" w:hAnchor="page" w:x="35" w:y="1"/>
                    <w:rPr>
                      <w:rFonts w:ascii="楷体" w:eastAsia="楷体" w:hAnsi="楷体"/>
                      <w:b/>
                      <w:color w:val="003366"/>
                      <w:sz w:val="24"/>
                    </w:rPr>
                  </w:pPr>
                </w:p>
                <w:p w:rsidR="00225042" w:rsidRPr="0082060F" w:rsidRDefault="00225042" w:rsidP="003960E7">
                  <w:pPr>
                    <w:framePr w:hSpace="181" w:wrap="around" w:vAnchor="page" w:hAnchor="page" w:x="35" w:y="1"/>
                    <w:rPr>
                      <w:rFonts w:ascii="楷体" w:eastAsia="楷体" w:hAnsi="楷体"/>
                      <w:b/>
                      <w:color w:val="003366"/>
                      <w:sz w:val="24"/>
                    </w:rPr>
                  </w:pPr>
                </w:p>
                <w:p w:rsidR="00225042" w:rsidRPr="0082060F" w:rsidRDefault="00225042" w:rsidP="003960E7">
                  <w:pPr>
                    <w:framePr w:hSpace="181" w:wrap="around" w:vAnchor="page" w:hAnchor="page" w:x="35" w:y="1"/>
                    <w:rPr>
                      <w:rFonts w:ascii="楷体" w:eastAsia="楷体" w:hAnsi="楷体"/>
                      <w:b/>
                      <w:color w:val="003366"/>
                      <w:sz w:val="24"/>
                    </w:rPr>
                  </w:pPr>
                </w:p>
                <w:p w:rsidR="00225042" w:rsidRPr="0082060F" w:rsidRDefault="00225042" w:rsidP="003960E7">
                  <w:pPr>
                    <w:framePr w:hSpace="181" w:wrap="around" w:vAnchor="page" w:hAnchor="page" w:x="35" w:y="1"/>
                    <w:rPr>
                      <w:rFonts w:ascii="楷体" w:eastAsia="楷体" w:hAnsi="楷体"/>
                      <w:b/>
                      <w:color w:val="003366"/>
                      <w:sz w:val="24"/>
                    </w:rPr>
                  </w:pPr>
                </w:p>
                <w:p w:rsidR="00225042" w:rsidRPr="0082060F" w:rsidRDefault="00225042" w:rsidP="003960E7">
                  <w:pPr>
                    <w:framePr w:hSpace="181" w:wrap="around" w:vAnchor="page" w:hAnchor="page" w:x="35" w:y="1"/>
                    <w:rPr>
                      <w:rFonts w:ascii="楷体" w:eastAsia="楷体" w:hAnsi="楷体"/>
                      <w:b/>
                      <w:color w:val="003366"/>
                      <w:sz w:val="24"/>
                    </w:rPr>
                  </w:pPr>
                  <w:r w:rsidRPr="0082060F">
                    <w:rPr>
                      <w:rFonts w:ascii="楷体" w:eastAsia="楷体" w:hAnsi="楷体"/>
                      <w:b/>
                      <w:color w:val="003366"/>
                      <w:sz w:val="24"/>
                    </w:rPr>
                    <w:t>高琛</w:t>
                  </w:r>
                </w:p>
                <w:p w:rsidR="00225042" w:rsidRPr="0082060F" w:rsidRDefault="00225042" w:rsidP="003960E7">
                  <w:pPr>
                    <w:framePr w:hSpace="181" w:wrap="around" w:vAnchor="page" w:hAnchor="page" w:x="35" w:y="1"/>
                    <w:rPr>
                      <w:rFonts w:ascii="楷体" w:eastAsia="楷体" w:hAnsi="楷体"/>
                      <w:b/>
                      <w:color w:val="003366"/>
                      <w:sz w:val="24"/>
                    </w:rPr>
                  </w:pPr>
                  <w:r w:rsidRPr="0082060F">
                    <w:rPr>
                      <w:rFonts w:ascii="楷体" w:eastAsia="楷体" w:hAnsi="楷体"/>
                      <w:b/>
                      <w:color w:val="003366"/>
                      <w:sz w:val="24"/>
                    </w:rPr>
                    <w:t>执业证书编号：</w:t>
                  </w:r>
                  <w:bookmarkStart w:id="12" w:name="OLE_LINK1"/>
                  <w:bookmarkStart w:id="13" w:name="OLE_LINK2"/>
                  <w:r w:rsidRPr="0082060F">
                    <w:rPr>
                      <w:rFonts w:ascii="楷体" w:eastAsia="楷体" w:hAnsi="楷体"/>
                      <w:b/>
                      <w:color w:val="003366"/>
                      <w:sz w:val="24"/>
                    </w:rPr>
                    <w:t xml:space="preserve"> S0870512010001</w:t>
                  </w:r>
                  <w:bookmarkEnd w:id="12"/>
                  <w:bookmarkEnd w:id="13"/>
                </w:p>
                <w:p w:rsidR="00225042" w:rsidRPr="0082060F" w:rsidRDefault="00225042" w:rsidP="003960E7">
                  <w:pPr>
                    <w:framePr w:hSpace="181" w:wrap="around" w:vAnchor="page" w:hAnchor="page" w:x="35" w:y="1"/>
                    <w:rPr>
                      <w:rFonts w:ascii="楷体" w:eastAsia="楷体" w:hAnsi="楷体"/>
                      <w:b/>
                      <w:color w:val="003366"/>
                      <w:sz w:val="24"/>
                    </w:rPr>
                  </w:pPr>
                  <w:r w:rsidRPr="0082060F">
                    <w:rPr>
                      <w:rFonts w:ascii="楷体" w:eastAsia="楷体" w:hAnsi="楷体"/>
                      <w:b/>
                      <w:color w:val="003366"/>
                      <w:sz w:val="24"/>
                    </w:rPr>
                    <w:t>021-</w:t>
                  </w:r>
                  <w:r w:rsidR="00D35848" w:rsidRPr="0082060F">
                    <w:rPr>
                      <w:rFonts w:ascii="楷体" w:eastAsia="楷体" w:hAnsi="楷体" w:hint="eastAsia"/>
                      <w:b/>
                      <w:color w:val="003366"/>
                      <w:sz w:val="24"/>
                    </w:rPr>
                    <w:t>53686107</w:t>
                  </w:r>
                </w:p>
                <w:p w:rsidR="00225042" w:rsidRPr="0082060F" w:rsidRDefault="00F62086" w:rsidP="003960E7">
                  <w:pPr>
                    <w:framePr w:hSpace="181" w:wrap="around" w:vAnchor="page" w:hAnchor="page" w:x="35" w:y="1"/>
                    <w:rPr>
                      <w:rFonts w:ascii="楷体" w:eastAsia="楷体" w:hAnsi="楷体"/>
                      <w:b/>
                      <w:color w:val="003366"/>
                      <w:sz w:val="24"/>
                    </w:rPr>
                  </w:pPr>
                  <w:hyperlink r:id="rId9" w:history="1">
                    <w:r w:rsidR="00E4656C" w:rsidRPr="0082060F">
                      <w:rPr>
                        <w:rStyle w:val="aa"/>
                        <w:rFonts w:ascii="楷体" w:eastAsia="楷体" w:hAnsi="楷体"/>
                        <w:b/>
                        <w:sz w:val="24"/>
                      </w:rPr>
                      <w:t>gaochen@s</w:t>
                    </w:r>
                    <w:r w:rsidR="00E4656C" w:rsidRPr="0082060F">
                      <w:rPr>
                        <w:rStyle w:val="aa"/>
                        <w:rFonts w:ascii="楷体" w:eastAsia="楷体" w:hAnsi="楷体" w:hint="eastAsia"/>
                        <w:b/>
                        <w:sz w:val="24"/>
                      </w:rPr>
                      <w:t>hzq</w:t>
                    </w:r>
                    <w:r w:rsidR="00E4656C" w:rsidRPr="0082060F">
                      <w:rPr>
                        <w:rStyle w:val="aa"/>
                        <w:rFonts w:ascii="楷体" w:eastAsia="楷体" w:hAnsi="楷体"/>
                        <w:b/>
                        <w:sz w:val="24"/>
                      </w:rPr>
                      <w:t>.com</w:t>
                    </w:r>
                  </w:hyperlink>
                </w:p>
                <w:p w:rsidR="00A56132" w:rsidRPr="0082060F" w:rsidRDefault="00A56132" w:rsidP="003960E7">
                  <w:pPr>
                    <w:framePr w:hSpace="181" w:wrap="around" w:vAnchor="page" w:hAnchor="page" w:x="35" w:y="1"/>
                    <w:rPr>
                      <w:rFonts w:ascii="楷体" w:eastAsia="楷体" w:hAnsi="楷体"/>
                      <w:b/>
                      <w:color w:val="003366"/>
                      <w:sz w:val="24"/>
                    </w:rPr>
                  </w:pPr>
                </w:p>
                <w:p w:rsidR="00A56132" w:rsidRPr="0082060F" w:rsidRDefault="00A56132" w:rsidP="003960E7">
                  <w:pPr>
                    <w:framePr w:hSpace="181" w:wrap="around" w:vAnchor="page" w:hAnchor="page" w:x="35" w:y="1"/>
                    <w:rPr>
                      <w:rFonts w:ascii="楷体" w:eastAsia="楷体" w:hAnsi="楷体"/>
                      <w:b/>
                      <w:color w:val="003366"/>
                      <w:sz w:val="24"/>
                    </w:rPr>
                  </w:pPr>
                  <w:r w:rsidRPr="0082060F">
                    <w:rPr>
                      <w:rFonts w:eastAsia="楷体"/>
                      <w:b/>
                      <w:color w:val="003366"/>
                      <w:sz w:val="24"/>
                    </w:rPr>
                    <w:t> </w:t>
                  </w:r>
                </w:p>
              </w:tc>
            </w:tr>
            <w:tr w:rsidR="00A56132" w:rsidRPr="0082060F" w:rsidTr="00871461">
              <w:trPr>
                <w:trHeight w:val="284"/>
                <w:jc w:val="right"/>
              </w:trPr>
              <w:tc>
                <w:tcPr>
                  <w:tcW w:w="3751" w:type="dxa"/>
                  <w:shd w:val="clear" w:color="auto" w:fill="auto"/>
                </w:tcPr>
                <w:p w:rsidR="00A56132" w:rsidRPr="0082060F" w:rsidRDefault="00A56132" w:rsidP="003960E7">
                  <w:pPr>
                    <w:framePr w:hSpace="181" w:wrap="around" w:vAnchor="page" w:hAnchor="page" w:x="35" w:y="1"/>
                    <w:rPr>
                      <w:rFonts w:ascii="楷体" w:eastAsia="楷体" w:hAnsi="楷体"/>
                      <w:b/>
                      <w:color w:val="003366"/>
                      <w:sz w:val="24"/>
                    </w:rPr>
                  </w:pPr>
                </w:p>
                <w:p w:rsidR="00A56132" w:rsidRPr="0082060F" w:rsidRDefault="00A56132" w:rsidP="003960E7">
                  <w:pPr>
                    <w:framePr w:hSpace="181" w:wrap="around" w:vAnchor="page" w:hAnchor="page" w:x="35" w:y="1"/>
                    <w:rPr>
                      <w:rFonts w:ascii="楷体" w:eastAsia="楷体" w:hAnsi="楷体"/>
                      <w:b/>
                      <w:color w:val="003366"/>
                      <w:sz w:val="24"/>
                    </w:rPr>
                  </w:pPr>
                </w:p>
                <w:p w:rsidR="00A56132" w:rsidRPr="0082060F" w:rsidRDefault="00A56132" w:rsidP="003960E7">
                  <w:pPr>
                    <w:framePr w:hSpace="181" w:wrap="around" w:vAnchor="page" w:hAnchor="page" w:x="35" w:y="1"/>
                    <w:rPr>
                      <w:rFonts w:ascii="楷体" w:eastAsia="楷体" w:hAnsi="楷体"/>
                      <w:b/>
                      <w:color w:val="003366"/>
                    </w:rPr>
                  </w:pPr>
                  <w:r w:rsidRPr="0082060F">
                    <w:rPr>
                      <w:rFonts w:ascii="楷体" w:eastAsia="楷体" w:hAnsi="楷体"/>
                      <w:b/>
                      <w:color w:val="003366"/>
                    </w:rPr>
                    <w:t>日期：</w:t>
                  </w:r>
                  <w:fldSimple w:instr=" DOCPROPERTY  date  \* MERGEFORMAT ">
                    <w:r w:rsidR="00D9659C" w:rsidRPr="0082060F">
                      <w:rPr>
                        <w:rFonts w:ascii="楷体" w:eastAsia="楷体" w:hAnsi="楷体" w:hint="eastAsia"/>
                        <w:b/>
                        <w:color w:val="003366"/>
                      </w:rPr>
                      <w:t>201</w:t>
                    </w:r>
                    <w:r w:rsidR="001A7150" w:rsidRPr="0082060F">
                      <w:rPr>
                        <w:rFonts w:ascii="楷体" w:eastAsia="楷体" w:hAnsi="楷体" w:hint="eastAsia"/>
                        <w:b/>
                        <w:color w:val="003366"/>
                      </w:rPr>
                      <w:t>6</w:t>
                    </w:r>
                    <w:r w:rsidRPr="0082060F">
                      <w:rPr>
                        <w:rFonts w:ascii="楷体" w:eastAsia="楷体" w:hAnsi="楷体" w:hint="eastAsia"/>
                        <w:b/>
                        <w:color w:val="003366"/>
                      </w:rPr>
                      <w:t>年</w:t>
                    </w:r>
                    <w:r w:rsidR="00DF74B4" w:rsidRPr="0082060F">
                      <w:rPr>
                        <w:rFonts w:ascii="楷体" w:eastAsia="楷体" w:hAnsi="楷体"/>
                        <w:b/>
                        <w:color w:val="003366"/>
                      </w:rPr>
                      <w:t>5</w:t>
                    </w:r>
                    <w:r w:rsidRPr="0082060F">
                      <w:rPr>
                        <w:rFonts w:ascii="楷体" w:eastAsia="楷体" w:hAnsi="楷体" w:hint="eastAsia"/>
                        <w:b/>
                        <w:color w:val="003366"/>
                      </w:rPr>
                      <w:t>月</w:t>
                    </w:r>
                    <w:r w:rsidR="00B05FBF">
                      <w:rPr>
                        <w:rFonts w:ascii="楷体" w:eastAsia="楷体" w:hAnsi="楷体" w:hint="eastAsia"/>
                        <w:b/>
                        <w:color w:val="003366"/>
                      </w:rPr>
                      <w:t>30</w:t>
                    </w:r>
                    <w:r w:rsidRPr="0082060F">
                      <w:rPr>
                        <w:rFonts w:ascii="楷体" w:eastAsia="楷体" w:hAnsi="楷体" w:hint="eastAsia"/>
                        <w:b/>
                        <w:color w:val="003366"/>
                      </w:rPr>
                      <w:t>日</w:t>
                    </w:r>
                  </w:fldSimple>
                </w:p>
                <w:p w:rsidR="00A56132" w:rsidRPr="0082060F" w:rsidRDefault="00A56132" w:rsidP="003960E7">
                  <w:pPr>
                    <w:framePr w:hSpace="181" w:wrap="around" w:vAnchor="page" w:hAnchor="page" w:x="35" w:y="1"/>
                    <w:rPr>
                      <w:rFonts w:ascii="楷体" w:eastAsia="楷体" w:hAnsi="楷体"/>
                      <w:b/>
                      <w:color w:val="003366"/>
                      <w:sz w:val="24"/>
                    </w:rPr>
                  </w:pPr>
                </w:p>
                <w:p w:rsidR="00A56132" w:rsidRPr="0082060F" w:rsidRDefault="00A56132" w:rsidP="003960E7">
                  <w:pPr>
                    <w:framePr w:hSpace="181" w:wrap="around" w:vAnchor="page" w:hAnchor="page" w:x="35" w:y="1"/>
                    <w:rPr>
                      <w:rFonts w:ascii="楷体" w:eastAsia="楷体" w:hAnsi="楷体"/>
                      <w:b/>
                      <w:color w:val="003366"/>
                      <w:sz w:val="24"/>
                    </w:rPr>
                  </w:pPr>
                </w:p>
                <w:p w:rsidR="00A56132" w:rsidRPr="0082060F" w:rsidRDefault="00A56132" w:rsidP="003960E7">
                  <w:pPr>
                    <w:framePr w:hSpace="181" w:wrap="around" w:vAnchor="page" w:hAnchor="page" w:x="35" w:y="1"/>
                    <w:rPr>
                      <w:rFonts w:ascii="楷体" w:eastAsia="楷体" w:hAnsi="楷体"/>
                      <w:b/>
                      <w:color w:val="003366"/>
                      <w:sz w:val="24"/>
                    </w:rPr>
                  </w:pPr>
                </w:p>
                <w:p w:rsidR="00A56132" w:rsidRPr="0082060F" w:rsidRDefault="00A56132" w:rsidP="003960E7">
                  <w:pPr>
                    <w:framePr w:hSpace="181" w:wrap="around" w:vAnchor="page" w:hAnchor="page" w:x="35" w:y="1"/>
                    <w:rPr>
                      <w:rFonts w:ascii="楷体" w:eastAsia="楷体" w:hAnsi="楷体"/>
                      <w:b/>
                      <w:color w:val="003366"/>
                      <w:sz w:val="24"/>
                    </w:rPr>
                  </w:pPr>
                </w:p>
              </w:tc>
            </w:tr>
            <w:tr w:rsidR="00A56132" w:rsidRPr="0082060F" w:rsidTr="00871461">
              <w:trPr>
                <w:trHeight w:val="284"/>
                <w:jc w:val="right"/>
              </w:trPr>
              <w:tc>
                <w:tcPr>
                  <w:tcW w:w="3751" w:type="dxa"/>
                  <w:shd w:val="clear" w:color="auto" w:fill="auto"/>
                </w:tcPr>
                <w:p w:rsidR="00A56132" w:rsidRPr="0082060F" w:rsidRDefault="00A56132" w:rsidP="003960E7">
                  <w:pPr>
                    <w:framePr w:hSpace="181" w:wrap="around" w:vAnchor="page" w:hAnchor="page" w:x="35" w:y="1"/>
                    <w:rPr>
                      <w:rFonts w:ascii="楷体" w:eastAsia="楷体" w:hAnsi="楷体"/>
                      <w:b/>
                      <w:color w:val="003366"/>
                      <w:sz w:val="24"/>
                    </w:rPr>
                  </w:pPr>
                  <w:r w:rsidRPr="0082060F">
                    <w:rPr>
                      <w:rFonts w:ascii="楷体" w:eastAsia="楷体" w:hAnsi="楷体"/>
                      <w:b/>
                      <w:color w:val="003366"/>
                      <w:sz w:val="24"/>
                    </w:rPr>
                    <w:t>报告编号：</w:t>
                  </w:r>
                </w:p>
              </w:tc>
            </w:tr>
            <w:tr w:rsidR="00A56132" w:rsidRPr="0082060F" w:rsidTr="00871461">
              <w:trPr>
                <w:trHeight w:val="284"/>
                <w:jc w:val="right"/>
              </w:trPr>
              <w:tc>
                <w:tcPr>
                  <w:tcW w:w="3751" w:type="dxa"/>
                  <w:shd w:val="clear" w:color="auto" w:fill="auto"/>
                </w:tcPr>
                <w:p w:rsidR="00A56132" w:rsidRPr="0082060F" w:rsidRDefault="00A56132" w:rsidP="003960E7">
                  <w:pPr>
                    <w:framePr w:hSpace="181" w:wrap="around" w:vAnchor="page" w:hAnchor="page" w:x="35" w:y="1"/>
                    <w:rPr>
                      <w:rFonts w:ascii="楷体" w:eastAsia="楷体" w:hAnsi="楷体"/>
                      <w:b/>
                      <w:color w:val="003366"/>
                      <w:sz w:val="24"/>
                    </w:rPr>
                  </w:pPr>
                </w:p>
              </w:tc>
            </w:tr>
            <w:tr w:rsidR="00A56132" w:rsidRPr="0082060F" w:rsidTr="00871461">
              <w:trPr>
                <w:trHeight w:val="284"/>
                <w:jc w:val="right"/>
              </w:trPr>
              <w:tc>
                <w:tcPr>
                  <w:tcW w:w="3751" w:type="dxa"/>
                  <w:shd w:val="clear" w:color="auto" w:fill="auto"/>
                </w:tcPr>
                <w:p w:rsidR="00A56132" w:rsidRPr="0082060F" w:rsidRDefault="00A56132" w:rsidP="003960E7">
                  <w:pPr>
                    <w:framePr w:hSpace="181" w:wrap="around" w:vAnchor="page" w:hAnchor="page" w:x="35" w:y="1"/>
                    <w:rPr>
                      <w:rFonts w:ascii="楷体" w:eastAsia="楷体" w:hAnsi="楷体"/>
                      <w:sz w:val="24"/>
                    </w:rPr>
                  </w:pPr>
                </w:p>
              </w:tc>
            </w:tr>
            <w:tr w:rsidR="00A56132" w:rsidRPr="0082060F" w:rsidTr="00871461">
              <w:trPr>
                <w:trHeight w:val="284"/>
                <w:jc w:val="right"/>
              </w:trPr>
              <w:tc>
                <w:tcPr>
                  <w:tcW w:w="3751" w:type="dxa"/>
                  <w:shd w:val="clear" w:color="auto" w:fill="auto"/>
                </w:tcPr>
                <w:p w:rsidR="00A56132" w:rsidRPr="0082060F" w:rsidRDefault="00A56132" w:rsidP="003960E7">
                  <w:pPr>
                    <w:framePr w:hSpace="181" w:wrap="around" w:vAnchor="page" w:hAnchor="page" w:x="35" w:y="1"/>
                    <w:rPr>
                      <w:rFonts w:ascii="楷体" w:eastAsia="楷体" w:hAnsi="楷体"/>
                      <w:b/>
                      <w:color w:val="003366"/>
                      <w:sz w:val="24"/>
                    </w:rPr>
                  </w:pPr>
                  <w:r w:rsidRPr="0082060F">
                    <w:rPr>
                      <w:rFonts w:ascii="楷体" w:eastAsia="楷体" w:hAnsi="楷体"/>
                      <w:b/>
                      <w:color w:val="003366"/>
                      <w:sz w:val="24"/>
                    </w:rPr>
                    <w:t>相关报告：</w:t>
                  </w:r>
                </w:p>
              </w:tc>
            </w:tr>
          </w:tbl>
          <w:p w:rsidR="00D20D7A" w:rsidRPr="004A0353" w:rsidRDefault="00D20D7A" w:rsidP="004A0353">
            <w:pPr>
              <w:spacing w:line="120" w:lineRule="exact"/>
              <w:ind w:right="420"/>
              <w:rPr>
                <w:rFonts w:eastAsia="楷体_GB2312"/>
                <w:color w:val="003366"/>
              </w:rPr>
            </w:pPr>
          </w:p>
        </w:tc>
        <w:tc>
          <w:tcPr>
            <w:tcW w:w="7770" w:type="dxa"/>
            <w:vMerge/>
            <w:tcBorders>
              <w:bottom w:val="nil"/>
            </w:tcBorders>
          </w:tcPr>
          <w:p w:rsidR="00D20D7A" w:rsidRPr="00CB0A5A" w:rsidRDefault="00D20D7A" w:rsidP="00055C3A">
            <w:pPr>
              <w:rPr>
                <w:rFonts w:eastAsia="楷体_GB2312"/>
                <w:color w:val="003366"/>
              </w:rPr>
            </w:pPr>
          </w:p>
        </w:tc>
      </w:tr>
    </w:tbl>
    <w:p w:rsidR="00B74732" w:rsidRDefault="00B74732" w:rsidP="00B74732">
      <w:pPr>
        <w:spacing w:line="360" w:lineRule="auto"/>
        <w:jc w:val="center"/>
        <w:rPr>
          <w:rFonts w:ascii="宋体" w:hAnsi="宋体" w:cs="宋体-18030"/>
          <w:b/>
          <w:color w:val="244061"/>
          <w:sz w:val="28"/>
        </w:rPr>
        <w:sectPr w:rsidR="00B74732" w:rsidSect="00F1517C">
          <w:headerReference w:type="default" r:id="rId10"/>
          <w:footerReference w:type="default" r:id="rId11"/>
          <w:pgSz w:w="11906" w:h="16838"/>
          <w:pgMar w:top="1418" w:right="851" w:bottom="567" w:left="1418" w:header="851" w:footer="992" w:gutter="0"/>
          <w:cols w:space="425"/>
          <w:docGrid w:type="lines" w:linePitch="312"/>
        </w:sectPr>
      </w:pPr>
      <w:bookmarkStart w:id="14" w:name="_Toc197171495"/>
    </w:p>
    <w:p w:rsidR="00A56132" w:rsidRPr="0082060F" w:rsidRDefault="00A56132" w:rsidP="00A56132">
      <w:pPr>
        <w:spacing w:line="360" w:lineRule="auto"/>
        <w:jc w:val="left"/>
        <w:rPr>
          <w:rFonts w:ascii="楷体" w:eastAsia="楷体" w:hAnsi="楷体"/>
          <w:b/>
          <w:color w:val="000000"/>
          <w:sz w:val="28"/>
          <w:szCs w:val="28"/>
        </w:rPr>
      </w:pPr>
      <w:bookmarkStart w:id="15" w:name="_Toc352253598"/>
      <w:bookmarkStart w:id="16" w:name="_Toc352253597"/>
      <w:bookmarkStart w:id="17" w:name="_Toc354493899"/>
      <w:bookmarkStart w:id="18" w:name="_Toc353282069"/>
      <w:bookmarkStart w:id="19" w:name="_Toc353282066"/>
      <w:r w:rsidRPr="0082060F">
        <w:rPr>
          <w:rFonts w:ascii="楷体" w:eastAsia="楷体" w:hAnsi="楷体"/>
          <w:b/>
          <w:color w:val="000000"/>
          <w:sz w:val="28"/>
          <w:szCs w:val="28"/>
        </w:rPr>
        <w:lastRenderedPageBreak/>
        <w:t>市场概况</w:t>
      </w:r>
      <w:r w:rsidR="006B1F0E" w:rsidRPr="0082060F">
        <w:rPr>
          <w:rFonts w:ascii="楷体" w:eastAsia="楷体" w:hAnsi="楷体" w:hint="eastAsia"/>
          <w:b/>
          <w:color w:val="000000"/>
          <w:sz w:val="28"/>
          <w:szCs w:val="28"/>
        </w:rPr>
        <w:t>：</w:t>
      </w:r>
    </w:p>
    <w:p w:rsidR="00013B4E" w:rsidRPr="0082060F" w:rsidRDefault="003E6073" w:rsidP="007958DA">
      <w:pPr>
        <w:spacing w:line="360" w:lineRule="auto"/>
        <w:ind w:firstLine="420"/>
        <w:jc w:val="left"/>
        <w:rPr>
          <w:rFonts w:ascii="楷体" w:eastAsia="楷体" w:hAnsi="楷体"/>
          <w:color w:val="000000"/>
          <w:sz w:val="22"/>
          <w:szCs w:val="21"/>
        </w:rPr>
      </w:pPr>
      <w:r w:rsidRPr="0082060F">
        <w:rPr>
          <w:rFonts w:ascii="楷体" w:eastAsia="楷体" w:hAnsi="楷体" w:hint="eastAsia"/>
          <w:color w:val="000000"/>
          <w:sz w:val="22"/>
          <w:szCs w:val="21"/>
        </w:rPr>
        <w:t>股票市场</w:t>
      </w:r>
      <w:r w:rsidR="003F5969" w:rsidRPr="0082060F">
        <w:rPr>
          <w:rFonts w:ascii="楷体" w:eastAsia="楷体" w:hAnsi="楷体" w:hint="eastAsia"/>
          <w:color w:val="000000"/>
          <w:sz w:val="22"/>
          <w:szCs w:val="21"/>
        </w:rPr>
        <w:t>方面，</w:t>
      </w:r>
      <w:r w:rsidR="00D32FE9" w:rsidRPr="0082060F">
        <w:rPr>
          <w:rFonts w:ascii="楷体" w:eastAsia="楷体" w:hAnsi="楷体" w:hint="eastAsia"/>
          <w:color w:val="000000"/>
          <w:sz w:val="22"/>
          <w:szCs w:val="21"/>
        </w:rPr>
        <w:t>沪深两市收益率分别为</w:t>
      </w:r>
      <w:r w:rsidR="001603B9" w:rsidRPr="0082060F">
        <w:rPr>
          <w:rFonts w:ascii="楷体" w:eastAsia="楷体" w:hAnsi="楷体" w:hint="eastAsia"/>
          <w:color w:val="000000"/>
          <w:sz w:val="22"/>
          <w:szCs w:val="21"/>
        </w:rPr>
        <w:t>-</w:t>
      </w:r>
      <w:r w:rsidR="00F847C5" w:rsidRPr="0082060F">
        <w:rPr>
          <w:rFonts w:ascii="楷体" w:eastAsia="楷体" w:hAnsi="楷体"/>
          <w:color w:val="000000"/>
          <w:sz w:val="22"/>
          <w:szCs w:val="21"/>
        </w:rPr>
        <w:t>0.</w:t>
      </w:r>
      <w:r w:rsidR="00F05B94">
        <w:rPr>
          <w:rFonts w:ascii="楷体" w:eastAsia="楷体" w:hAnsi="楷体" w:hint="eastAsia"/>
          <w:color w:val="000000"/>
          <w:sz w:val="22"/>
          <w:szCs w:val="21"/>
        </w:rPr>
        <w:t>1</w:t>
      </w:r>
      <w:r w:rsidR="00F847C5" w:rsidRPr="0082060F">
        <w:rPr>
          <w:rFonts w:ascii="楷体" w:eastAsia="楷体" w:hAnsi="楷体"/>
          <w:color w:val="000000"/>
          <w:sz w:val="22"/>
          <w:szCs w:val="21"/>
        </w:rPr>
        <w:t>6</w:t>
      </w:r>
      <w:r w:rsidR="00D32FE9" w:rsidRPr="0082060F">
        <w:rPr>
          <w:rFonts w:ascii="楷体" w:eastAsia="楷体" w:hAnsi="楷体" w:hint="eastAsia"/>
          <w:color w:val="000000"/>
          <w:sz w:val="22"/>
          <w:szCs w:val="21"/>
        </w:rPr>
        <w:t>%和</w:t>
      </w:r>
      <w:r w:rsidR="00F05B94">
        <w:rPr>
          <w:rFonts w:ascii="楷体" w:eastAsia="楷体" w:hAnsi="楷体" w:hint="eastAsia"/>
          <w:color w:val="000000"/>
          <w:sz w:val="22"/>
          <w:szCs w:val="21"/>
        </w:rPr>
        <w:t>-</w:t>
      </w:r>
      <w:r w:rsidR="00F05B94">
        <w:rPr>
          <w:rFonts w:ascii="楷体" w:eastAsia="楷体" w:hAnsi="楷体"/>
          <w:color w:val="000000"/>
          <w:sz w:val="22"/>
          <w:szCs w:val="21"/>
        </w:rPr>
        <w:t>0.</w:t>
      </w:r>
      <w:r w:rsidR="00F05B94">
        <w:rPr>
          <w:rFonts w:ascii="楷体" w:eastAsia="楷体" w:hAnsi="楷体" w:hint="eastAsia"/>
          <w:color w:val="000000"/>
          <w:sz w:val="22"/>
          <w:szCs w:val="21"/>
        </w:rPr>
        <w:t>03</w:t>
      </w:r>
      <w:r w:rsidR="00D32FE9" w:rsidRPr="0082060F">
        <w:rPr>
          <w:rFonts w:ascii="楷体" w:eastAsia="楷体" w:hAnsi="楷体" w:hint="eastAsia"/>
          <w:color w:val="000000"/>
          <w:sz w:val="22"/>
          <w:szCs w:val="21"/>
        </w:rPr>
        <w:t>%，同期</w:t>
      </w:r>
      <w:r w:rsidR="007C50A5" w:rsidRPr="0082060F">
        <w:rPr>
          <w:rFonts w:ascii="楷体" w:eastAsia="楷体" w:hAnsi="楷体" w:hint="eastAsia"/>
          <w:color w:val="000000"/>
          <w:sz w:val="22"/>
          <w:szCs w:val="21"/>
        </w:rPr>
        <w:t>中小板和</w:t>
      </w:r>
      <w:r w:rsidR="00D32FE9" w:rsidRPr="0082060F">
        <w:rPr>
          <w:rFonts w:ascii="楷体" w:eastAsia="楷体" w:hAnsi="楷体" w:hint="eastAsia"/>
          <w:color w:val="000000"/>
          <w:sz w:val="22"/>
          <w:szCs w:val="21"/>
        </w:rPr>
        <w:t>创业板指数</w:t>
      </w:r>
      <w:r w:rsidR="007C50A5" w:rsidRPr="0082060F">
        <w:rPr>
          <w:rFonts w:ascii="楷体" w:eastAsia="楷体" w:hAnsi="楷体" w:hint="eastAsia"/>
          <w:color w:val="000000"/>
          <w:sz w:val="22"/>
          <w:szCs w:val="21"/>
        </w:rPr>
        <w:t>收益率</w:t>
      </w:r>
      <w:r w:rsidR="00D32FE9" w:rsidRPr="0082060F">
        <w:rPr>
          <w:rFonts w:ascii="楷体" w:eastAsia="楷体" w:hAnsi="楷体" w:hint="eastAsia"/>
          <w:color w:val="000000"/>
          <w:sz w:val="22"/>
          <w:szCs w:val="21"/>
        </w:rPr>
        <w:t>为</w:t>
      </w:r>
      <w:r w:rsidR="00F05B94">
        <w:rPr>
          <w:rFonts w:ascii="楷体" w:eastAsia="楷体" w:hAnsi="楷体" w:hint="eastAsia"/>
          <w:color w:val="000000"/>
          <w:sz w:val="22"/>
          <w:szCs w:val="21"/>
        </w:rPr>
        <w:t>-0</w:t>
      </w:r>
      <w:r w:rsidR="00F05B94">
        <w:rPr>
          <w:rFonts w:ascii="楷体" w:eastAsia="楷体" w:hAnsi="楷体"/>
          <w:color w:val="000000"/>
          <w:sz w:val="22"/>
          <w:szCs w:val="21"/>
        </w:rPr>
        <w:t>.</w:t>
      </w:r>
      <w:r w:rsidR="00F05B94">
        <w:rPr>
          <w:rFonts w:ascii="楷体" w:eastAsia="楷体" w:hAnsi="楷体" w:hint="eastAsia"/>
          <w:color w:val="000000"/>
          <w:sz w:val="22"/>
          <w:szCs w:val="21"/>
        </w:rPr>
        <w:t>20</w:t>
      </w:r>
      <w:r w:rsidR="007C50A5" w:rsidRPr="0082060F">
        <w:rPr>
          <w:rFonts w:ascii="楷体" w:eastAsia="楷体" w:hAnsi="楷体" w:hint="eastAsia"/>
          <w:color w:val="000000"/>
          <w:sz w:val="22"/>
          <w:szCs w:val="21"/>
        </w:rPr>
        <w:t>%和</w:t>
      </w:r>
      <w:r w:rsidR="00F05B94">
        <w:rPr>
          <w:rFonts w:ascii="楷体" w:eastAsia="楷体" w:hAnsi="楷体" w:hint="eastAsia"/>
          <w:color w:val="000000"/>
          <w:sz w:val="22"/>
          <w:szCs w:val="21"/>
        </w:rPr>
        <w:t>1.2</w:t>
      </w:r>
      <w:r w:rsidR="00605B10" w:rsidRPr="0082060F">
        <w:rPr>
          <w:rFonts w:ascii="楷体" w:eastAsia="楷体" w:hAnsi="楷体" w:hint="eastAsia"/>
          <w:color w:val="000000"/>
          <w:sz w:val="22"/>
          <w:szCs w:val="21"/>
        </w:rPr>
        <w:t>5</w:t>
      </w:r>
      <w:r w:rsidR="007C50A5" w:rsidRPr="0082060F">
        <w:rPr>
          <w:rFonts w:ascii="楷体" w:eastAsia="楷体" w:hAnsi="楷体" w:hint="eastAsia"/>
          <w:color w:val="000000"/>
          <w:sz w:val="22"/>
          <w:szCs w:val="21"/>
        </w:rPr>
        <w:t>%</w:t>
      </w:r>
      <w:r w:rsidR="00D32FE9" w:rsidRPr="0082060F">
        <w:rPr>
          <w:rFonts w:ascii="楷体" w:eastAsia="楷体" w:hAnsi="楷体" w:hint="eastAsia"/>
          <w:color w:val="000000"/>
          <w:sz w:val="22"/>
          <w:szCs w:val="21"/>
        </w:rPr>
        <w:t>。</w:t>
      </w:r>
      <w:r w:rsidR="002E7972" w:rsidRPr="0082060F">
        <w:rPr>
          <w:rFonts w:ascii="楷体" w:eastAsia="楷体" w:hAnsi="楷体" w:hint="eastAsia"/>
          <w:color w:val="000000"/>
          <w:sz w:val="22"/>
          <w:szCs w:val="21"/>
        </w:rPr>
        <w:t>A股市场近期持续低迷，</w:t>
      </w:r>
      <w:r w:rsidR="007958DA">
        <w:rPr>
          <w:rFonts w:ascii="楷体" w:eastAsia="楷体" w:hAnsi="楷体" w:hint="eastAsia"/>
          <w:color w:val="000000"/>
          <w:sz w:val="22"/>
          <w:szCs w:val="21"/>
        </w:rPr>
        <w:t>股指波动性较前期有所降低，交易量明显萎缩</w:t>
      </w:r>
      <w:r w:rsidR="001604BF" w:rsidRPr="0082060F">
        <w:rPr>
          <w:rFonts w:ascii="楷体" w:eastAsia="楷体" w:hAnsi="楷体" w:hint="eastAsia"/>
          <w:color w:val="000000"/>
          <w:sz w:val="22"/>
          <w:szCs w:val="21"/>
        </w:rPr>
        <w:t>。</w:t>
      </w:r>
      <w:r w:rsidR="00D14DAA" w:rsidRPr="0082060F">
        <w:rPr>
          <w:rFonts w:ascii="楷体" w:eastAsia="楷体" w:hAnsi="楷体" w:hint="eastAsia"/>
          <w:color w:val="000000"/>
          <w:sz w:val="22"/>
          <w:szCs w:val="21"/>
        </w:rPr>
        <w:t>从行业层面来看，</w:t>
      </w:r>
      <w:r w:rsidR="0018533E" w:rsidRPr="0082060F">
        <w:rPr>
          <w:rFonts w:ascii="楷体" w:eastAsia="楷体" w:hAnsi="楷体" w:hint="eastAsia"/>
          <w:color w:val="000000"/>
          <w:sz w:val="22"/>
          <w:szCs w:val="21"/>
        </w:rPr>
        <w:t>半数以上</w:t>
      </w:r>
      <w:r w:rsidR="009B2480" w:rsidRPr="0082060F">
        <w:rPr>
          <w:rFonts w:ascii="楷体" w:eastAsia="楷体" w:hAnsi="楷体" w:hint="eastAsia"/>
          <w:color w:val="000000"/>
          <w:sz w:val="22"/>
          <w:szCs w:val="21"/>
        </w:rPr>
        <w:t>行业收益为负</w:t>
      </w:r>
      <w:r w:rsidR="00F17748" w:rsidRPr="0082060F">
        <w:rPr>
          <w:rFonts w:ascii="楷体" w:eastAsia="楷体" w:hAnsi="楷体" w:hint="eastAsia"/>
          <w:color w:val="000000"/>
          <w:sz w:val="22"/>
          <w:szCs w:val="21"/>
        </w:rPr>
        <w:t>，</w:t>
      </w:r>
      <w:r w:rsidR="007958DA">
        <w:rPr>
          <w:rFonts w:ascii="楷体" w:eastAsia="楷体" w:hAnsi="楷体" w:hint="eastAsia"/>
          <w:color w:val="000000"/>
          <w:sz w:val="22"/>
          <w:szCs w:val="21"/>
        </w:rPr>
        <w:t>电子、综合、建筑材料行业</w:t>
      </w:r>
      <w:r w:rsidR="006D1AED" w:rsidRPr="0082060F">
        <w:rPr>
          <w:rFonts w:ascii="楷体" w:eastAsia="楷体" w:hAnsi="楷体" w:hint="eastAsia"/>
          <w:color w:val="000000"/>
          <w:sz w:val="22"/>
          <w:szCs w:val="21"/>
        </w:rPr>
        <w:t>收益率涨幅</w:t>
      </w:r>
      <w:r w:rsidR="00B900DB" w:rsidRPr="0082060F">
        <w:rPr>
          <w:rFonts w:ascii="楷体" w:eastAsia="楷体" w:hAnsi="楷体" w:hint="eastAsia"/>
          <w:color w:val="000000"/>
          <w:sz w:val="22"/>
          <w:szCs w:val="21"/>
        </w:rPr>
        <w:t>最</w:t>
      </w:r>
      <w:r w:rsidR="006D1AED" w:rsidRPr="0082060F">
        <w:rPr>
          <w:rFonts w:ascii="楷体" w:eastAsia="楷体" w:hAnsi="楷体" w:hint="eastAsia"/>
          <w:color w:val="000000"/>
          <w:sz w:val="22"/>
          <w:szCs w:val="21"/>
        </w:rPr>
        <w:t>大</w:t>
      </w:r>
      <w:r w:rsidR="00881CB7" w:rsidRPr="0082060F">
        <w:rPr>
          <w:rFonts w:ascii="楷体" w:eastAsia="楷体" w:hAnsi="楷体" w:hint="eastAsia"/>
          <w:color w:val="000000"/>
          <w:sz w:val="22"/>
          <w:szCs w:val="21"/>
        </w:rPr>
        <w:t>，而</w:t>
      </w:r>
      <w:r w:rsidR="007958DA">
        <w:rPr>
          <w:rFonts w:ascii="楷体" w:eastAsia="楷体" w:hAnsi="楷体" w:hint="eastAsia"/>
          <w:color w:val="000000"/>
          <w:sz w:val="22"/>
          <w:szCs w:val="21"/>
        </w:rPr>
        <w:t>食品饮料</w:t>
      </w:r>
      <w:r w:rsidR="009B2480" w:rsidRPr="0082060F">
        <w:rPr>
          <w:rFonts w:ascii="楷体" w:eastAsia="楷体" w:hAnsi="楷体" w:hint="eastAsia"/>
          <w:color w:val="000000"/>
          <w:sz w:val="22"/>
          <w:szCs w:val="21"/>
        </w:rPr>
        <w:t>、</w:t>
      </w:r>
      <w:r w:rsidR="007958DA">
        <w:rPr>
          <w:rFonts w:ascii="楷体" w:eastAsia="楷体" w:hAnsi="楷体" w:hint="eastAsia"/>
          <w:color w:val="000000"/>
          <w:sz w:val="22"/>
          <w:szCs w:val="21"/>
        </w:rPr>
        <w:t>交通运输</w:t>
      </w:r>
      <w:r w:rsidR="009B2480" w:rsidRPr="0082060F">
        <w:rPr>
          <w:rFonts w:ascii="楷体" w:eastAsia="楷体" w:hAnsi="楷体" w:hint="eastAsia"/>
          <w:color w:val="000000"/>
          <w:sz w:val="22"/>
          <w:szCs w:val="21"/>
        </w:rPr>
        <w:t>和</w:t>
      </w:r>
      <w:r w:rsidR="007958DA">
        <w:rPr>
          <w:rFonts w:ascii="楷体" w:eastAsia="楷体" w:hAnsi="楷体" w:hint="eastAsia"/>
          <w:color w:val="000000"/>
          <w:sz w:val="22"/>
          <w:szCs w:val="21"/>
        </w:rPr>
        <w:t>非银金融</w:t>
      </w:r>
      <w:r w:rsidR="00D75EDE" w:rsidRPr="0082060F">
        <w:rPr>
          <w:rFonts w:ascii="楷体" w:eastAsia="楷体" w:hAnsi="楷体" w:hint="eastAsia"/>
          <w:color w:val="000000"/>
          <w:sz w:val="22"/>
          <w:szCs w:val="21"/>
        </w:rPr>
        <w:t>行业</w:t>
      </w:r>
      <w:r w:rsidR="007958DA">
        <w:rPr>
          <w:rFonts w:ascii="楷体" w:eastAsia="楷体" w:hAnsi="楷体" w:hint="eastAsia"/>
          <w:color w:val="000000"/>
          <w:sz w:val="22"/>
          <w:szCs w:val="21"/>
        </w:rPr>
        <w:t>较</w:t>
      </w:r>
      <w:r w:rsidR="0057306C" w:rsidRPr="0082060F">
        <w:rPr>
          <w:rFonts w:ascii="楷体" w:eastAsia="楷体" w:hAnsi="楷体" w:hint="eastAsia"/>
          <w:color w:val="000000"/>
          <w:sz w:val="22"/>
          <w:szCs w:val="21"/>
        </w:rPr>
        <w:t>上周</w:t>
      </w:r>
      <w:r w:rsidR="007958DA">
        <w:rPr>
          <w:rFonts w:ascii="楷体" w:eastAsia="楷体" w:hAnsi="楷体" w:hint="eastAsia"/>
          <w:color w:val="000000"/>
          <w:sz w:val="22"/>
          <w:szCs w:val="21"/>
        </w:rPr>
        <w:t>略有下挫</w:t>
      </w:r>
      <w:r w:rsidR="0057306C" w:rsidRPr="0082060F">
        <w:rPr>
          <w:rFonts w:ascii="楷体" w:eastAsia="楷体" w:hAnsi="楷体" w:hint="eastAsia"/>
          <w:color w:val="000000"/>
          <w:sz w:val="22"/>
          <w:szCs w:val="21"/>
        </w:rPr>
        <w:t>。</w:t>
      </w:r>
    </w:p>
    <w:p w:rsidR="000B05E0" w:rsidRPr="0082060F" w:rsidRDefault="00AA6509" w:rsidP="0096202C">
      <w:pPr>
        <w:spacing w:line="360" w:lineRule="auto"/>
        <w:jc w:val="left"/>
        <w:rPr>
          <w:rFonts w:ascii="楷体" w:eastAsia="楷体" w:hAnsi="楷体"/>
          <w:color w:val="000000"/>
          <w:sz w:val="22"/>
          <w:szCs w:val="21"/>
        </w:rPr>
      </w:pPr>
      <w:r w:rsidRPr="0082060F">
        <w:rPr>
          <w:rFonts w:ascii="楷体" w:eastAsia="楷体" w:hAnsi="楷体" w:hint="eastAsia"/>
          <w:color w:val="000000"/>
          <w:sz w:val="22"/>
          <w:szCs w:val="21"/>
        </w:rPr>
        <w:t xml:space="preserve">    债券市场方面，中证全债指数</w:t>
      </w:r>
      <w:r w:rsidR="007958DA">
        <w:rPr>
          <w:rFonts w:ascii="楷体" w:eastAsia="楷体" w:hAnsi="楷体" w:hint="eastAsia"/>
          <w:color w:val="000000"/>
          <w:sz w:val="22"/>
          <w:szCs w:val="21"/>
        </w:rPr>
        <w:t>收益率为</w:t>
      </w:r>
      <w:r w:rsidR="00E64F63" w:rsidRPr="0082060F">
        <w:rPr>
          <w:rFonts w:ascii="楷体" w:eastAsia="楷体" w:hAnsi="楷体" w:hint="eastAsia"/>
          <w:color w:val="000000"/>
          <w:sz w:val="22"/>
          <w:szCs w:val="21"/>
        </w:rPr>
        <w:t>0.</w:t>
      </w:r>
      <w:r w:rsidR="007958DA">
        <w:rPr>
          <w:rFonts w:ascii="楷体" w:eastAsia="楷体" w:hAnsi="楷体" w:hint="eastAsia"/>
          <w:color w:val="000000"/>
          <w:sz w:val="22"/>
          <w:szCs w:val="21"/>
        </w:rPr>
        <w:t>06</w:t>
      </w:r>
      <w:r w:rsidR="003F5969" w:rsidRPr="0082060F">
        <w:rPr>
          <w:rFonts w:ascii="楷体" w:eastAsia="楷体" w:hAnsi="楷体" w:hint="eastAsia"/>
          <w:color w:val="000000"/>
          <w:sz w:val="22"/>
          <w:szCs w:val="21"/>
        </w:rPr>
        <w:t>%</w:t>
      </w:r>
      <w:r w:rsidR="00913EA3" w:rsidRPr="0082060F">
        <w:rPr>
          <w:rFonts w:ascii="楷体" w:eastAsia="楷体" w:hAnsi="楷体" w:hint="eastAsia"/>
          <w:color w:val="000000"/>
          <w:sz w:val="22"/>
          <w:szCs w:val="21"/>
        </w:rPr>
        <w:t>。</w:t>
      </w:r>
      <w:r w:rsidR="0057306C" w:rsidRPr="0082060F">
        <w:rPr>
          <w:rFonts w:ascii="楷体" w:eastAsia="楷体" w:hAnsi="楷体" w:hint="eastAsia"/>
          <w:color w:val="000000"/>
          <w:sz w:val="22"/>
          <w:szCs w:val="21"/>
        </w:rPr>
        <w:t>上周</w:t>
      </w:r>
      <w:r w:rsidRPr="0082060F">
        <w:rPr>
          <w:rFonts w:ascii="楷体" w:eastAsia="楷体" w:hAnsi="楷体" w:hint="eastAsia"/>
          <w:color w:val="000000"/>
          <w:sz w:val="22"/>
          <w:szCs w:val="21"/>
        </w:rPr>
        <w:t>中证企业债、</w:t>
      </w:r>
      <w:r w:rsidR="00285F23" w:rsidRPr="0082060F">
        <w:rPr>
          <w:rFonts w:ascii="楷体" w:eastAsia="楷体" w:hAnsi="楷体" w:hint="eastAsia"/>
          <w:color w:val="000000"/>
          <w:sz w:val="22"/>
          <w:szCs w:val="21"/>
        </w:rPr>
        <w:t>国债</w:t>
      </w:r>
      <w:r w:rsidR="00A02702" w:rsidRPr="0082060F">
        <w:rPr>
          <w:rFonts w:ascii="楷体" w:eastAsia="楷体" w:hAnsi="楷体" w:hint="eastAsia"/>
          <w:color w:val="000000"/>
          <w:sz w:val="22"/>
          <w:szCs w:val="21"/>
        </w:rPr>
        <w:t>收益率</w:t>
      </w:r>
      <w:r w:rsidR="005C554C" w:rsidRPr="0082060F">
        <w:rPr>
          <w:rFonts w:ascii="楷体" w:eastAsia="楷体" w:hAnsi="楷体" w:hint="eastAsia"/>
          <w:color w:val="000000"/>
          <w:sz w:val="22"/>
          <w:szCs w:val="21"/>
        </w:rPr>
        <w:t>分别为</w:t>
      </w:r>
      <w:r w:rsidR="004F4E59" w:rsidRPr="0082060F">
        <w:rPr>
          <w:rFonts w:ascii="楷体" w:eastAsia="楷体" w:hAnsi="楷体"/>
          <w:color w:val="000000"/>
          <w:sz w:val="22"/>
          <w:szCs w:val="21"/>
        </w:rPr>
        <w:t>0</w:t>
      </w:r>
      <w:r w:rsidR="004F4E59" w:rsidRPr="0082060F">
        <w:rPr>
          <w:rFonts w:ascii="楷体" w:eastAsia="楷体" w:hAnsi="楷体" w:hint="eastAsia"/>
          <w:color w:val="000000"/>
          <w:sz w:val="22"/>
          <w:szCs w:val="21"/>
        </w:rPr>
        <w:t>.</w:t>
      </w:r>
      <w:r w:rsidR="007958DA">
        <w:rPr>
          <w:rFonts w:ascii="楷体" w:eastAsia="楷体" w:hAnsi="楷体"/>
          <w:color w:val="000000"/>
          <w:sz w:val="22"/>
          <w:szCs w:val="21"/>
        </w:rPr>
        <w:t>0</w:t>
      </w:r>
      <w:r w:rsidR="007958DA">
        <w:rPr>
          <w:rFonts w:ascii="楷体" w:eastAsia="楷体" w:hAnsi="楷体" w:hint="eastAsia"/>
          <w:color w:val="000000"/>
          <w:sz w:val="22"/>
          <w:szCs w:val="21"/>
        </w:rPr>
        <w:t>8</w:t>
      </w:r>
      <w:r w:rsidR="005C554C" w:rsidRPr="0082060F">
        <w:rPr>
          <w:rFonts w:ascii="楷体" w:eastAsia="楷体" w:hAnsi="楷体" w:hint="eastAsia"/>
          <w:color w:val="000000"/>
          <w:sz w:val="22"/>
          <w:szCs w:val="21"/>
        </w:rPr>
        <w:t>%</w:t>
      </w:r>
      <w:r w:rsidR="00285F23" w:rsidRPr="0082060F">
        <w:rPr>
          <w:rFonts w:ascii="楷体" w:eastAsia="楷体" w:hAnsi="楷体" w:hint="eastAsia"/>
          <w:color w:val="000000"/>
          <w:sz w:val="22"/>
          <w:szCs w:val="21"/>
        </w:rPr>
        <w:t>和</w:t>
      </w:r>
      <w:r w:rsidR="00E64F63" w:rsidRPr="0082060F">
        <w:rPr>
          <w:rFonts w:ascii="楷体" w:eastAsia="楷体" w:hAnsi="楷体" w:hint="eastAsia"/>
          <w:color w:val="000000"/>
          <w:sz w:val="22"/>
          <w:szCs w:val="21"/>
        </w:rPr>
        <w:t>-</w:t>
      </w:r>
      <w:r w:rsidR="007958DA">
        <w:rPr>
          <w:rFonts w:ascii="楷体" w:eastAsia="楷体" w:hAnsi="楷体"/>
          <w:color w:val="000000"/>
          <w:sz w:val="22"/>
          <w:szCs w:val="21"/>
        </w:rPr>
        <w:t>0.</w:t>
      </w:r>
      <w:r w:rsidR="007958DA">
        <w:rPr>
          <w:rFonts w:ascii="楷体" w:eastAsia="楷体" w:hAnsi="楷体" w:hint="eastAsia"/>
          <w:color w:val="000000"/>
          <w:sz w:val="22"/>
          <w:szCs w:val="21"/>
        </w:rPr>
        <w:t>0</w:t>
      </w:r>
      <w:r w:rsidR="00E64F63" w:rsidRPr="0082060F">
        <w:rPr>
          <w:rFonts w:ascii="楷体" w:eastAsia="楷体" w:hAnsi="楷体"/>
          <w:color w:val="000000"/>
          <w:sz w:val="22"/>
          <w:szCs w:val="21"/>
        </w:rPr>
        <w:t>3</w:t>
      </w:r>
      <w:r w:rsidR="00285F23" w:rsidRPr="0082060F">
        <w:rPr>
          <w:rFonts w:ascii="楷体" w:eastAsia="楷体" w:hAnsi="楷体" w:hint="eastAsia"/>
          <w:color w:val="000000"/>
          <w:sz w:val="22"/>
          <w:szCs w:val="21"/>
        </w:rPr>
        <w:t>%</w:t>
      </w:r>
      <w:r w:rsidR="00D26AEB" w:rsidRPr="0082060F">
        <w:rPr>
          <w:rFonts w:ascii="楷体" w:eastAsia="楷体" w:hAnsi="楷体" w:hint="eastAsia"/>
          <w:color w:val="000000"/>
          <w:sz w:val="22"/>
          <w:szCs w:val="21"/>
        </w:rPr>
        <w:t>，</w:t>
      </w:r>
      <w:r w:rsidR="005C554C" w:rsidRPr="0082060F">
        <w:rPr>
          <w:rFonts w:ascii="楷体" w:eastAsia="楷体" w:hAnsi="楷体" w:hint="eastAsia"/>
          <w:color w:val="000000"/>
          <w:sz w:val="22"/>
          <w:szCs w:val="21"/>
        </w:rPr>
        <w:t>转债指数</w:t>
      </w:r>
      <w:r w:rsidR="00A02702" w:rsidRPr="0082060F">
        <w:rPr>
          <w:rFonts w:ascii="楷体" w:eastAsia="楷体" w:hAnsi="楷体" w:hint="eastAsia"/>
          <w:color w:val="000000"/>
          <w:sz w:val="22"/>
          <w:szCs w:val="21"/>
        </w:rPr>
        <w:t>收益率为</w:t>
      </w:r>
      <w:r w:rsidR="00EE4E58" w:rsidRPr="0082060F">
        <w:rPr>
          <w:rFonts w:ascii="楷体" w:eastAsia="楷体" w:hAnsi="楷体" w:hint="eastAsia"/>
          <w:color w:val="000000"/>
          <w:sz w:val="22"/>
          <w:szCs w:val="21"/>
        </w:rPr>
        <w:t>-</w:t>
      </w:r>
      <w:r w:rsidR="007958DA">
        <w:rPr>
          <w:rFonts w:ascii="楷体" w:eastAsia="楷体" w:hAnsi="楷体" w:hint="eastAsia"/>
          <w:color w:val="000000"/>
          <w:sz w:val="22"/>
          <w:szCs w:val="21"/>
        </w:rPr>
        <w:t>0</w:t>
      </w:r>
      <w:r w:rsidR="007958DA">
        <w:rPr>
          <w:rFonts w:ascii="楷体" w:eastAsia="楷体" w:hAnsi="楷体"/>
          <w:color w:val="000000"/>
          <w:sz w:val="22"/>
          <w:szCs w:val="21"/>
        </w:rPr>
        <w:t>.</w:t>
      </w:r>
      <w:r w:rsidR="007958DA">
        <w:rPr>
          <w:rFonts w:ascii="楷体" w:eastAsia="楷体" w:hAnsi="楷体" w:hint="eastAsia"/>
          <w:color w:val="000000"/>
          <w:sz w:val="22"/>
          <w:szCs w:val="21"/>
        </w:rPr>
        <w:t>4</w:t>
      </w:r>
      <w:r w:rsidR="007958DA">
        <w:rPr>
          <w:rFonts w:ascii="楷体" w:eastAsia="楷体" w:hAnsi="楷体"/>
          <w:color w:val="000000"/>
          <w:sz w:val="22"/>
          <w:szCs w:val="21"/>
        </w:rPr>
        <w:t>2</w:t>
      </w:r>
      <w:r w:rsidR="00A02702" w:rsidRPr="0082060F">
        <w:rPr>
          <w:rFonts w:ascii="楷体" w:eastAsia="楷体" w:hAnsi="楷体" w:hint="eastAsia"/>
          <w:color w:val="000000"/>
          <w:sz w:val="22"/>
          <w:szCs w:val="21"/>
        </w:rPr>
        <w:t>%</w:t>
      </w:r>
      <w:r w:rsidR="00106C68" w:rsidRPr="0082060F">
        <w:rPr>
          <w:rFonts w:ascii="楷体" w:eastAsia="楷体" w:hAnsi="楷体" w:hint="eastAsia"/>
          <w:color w:val="000000"/>
          <w:sz w:val="22"/>
          <w:szCs w:val="21"/>
        </w:rPr>
        <w:t>。</w:t>
      </w:r>
      <w:r w:rsidR="000B05E0" w:rsidRPr="0082060F">
        <w:rPr>
          <w:rFonts w:ascii="楷体" w:eastAsia="楷体" w:hAnsi="楷体" w:hint="eastAsia"/>
          <w:color w:val="000000"/>
          <w:sz w:val="22"/>
          <w:szCs w:val="21"/>
        </w:rPr>
        <w:t>货币市场资金</w:t>
      </w:r>
      <w:r w:rsidR="001B00EF" w:rsidRPr="0082060F">
        <w:rPr>
          <w:rFonts w:ascii="楷体" w:eastAsia="楷体" w:hAnsi="楷体" w:hint="eastAsia"/>
          <w:color w:val="000000"/>
          <w:sz w:val="22"/>
          <w:szCs w:val="21"/>
        </w:rPr>
        <w:t>价格</w:t>
      </w:r>
      <w:r w:rsidR="007958DA">
        <w:rPr>
          <w:rFonts w:ascii="楷体" w:eastAsia="楷体" w:hAnsi="楷体" w:hint="eastAsia"/>
          <w:color w:val="000000"/>
          <w:sz w:val="22"/>
          <w:szCs w:val="21"/>
        </w:rPr>
        <w:t>近期呈现下滑趋势</w:t>
      </w:r>
      <w:r w:rsidR="000B05E0" w:rsidRPr="0082060F">
        <w:rPr>
          <w:rFonts w:ascii="楷体" w:eastAsia="楷体" w:hAnsi="楷体" w:hint="eastAsia"/>
          <w:color w:val="000000"/>
          <w:sz w:val="22"/>
          <w:szCs w:val="21"/>
        </w:rPr>
        <w:t>，</w:t>
      </w:r>
      <w:r w:rsidR="00FC7AE8" w:rsidRPr="0082060F">
        <w:rPr>
          <w:rFonts w:ascii="楷体" w:eastAsia="楷体" w:hAnsi="楷体" w:hint="eastAsia"/>
          <w:sz w:val="22"/>
          <w:szCs w:val="21"/>
        </w:rPr>
        <w:t>货币市场基金7天年化收益率</w:t>
      </w:r>
      <w:r w:rsidR="007958DA">
        <w:rPr>
          <w:rFonts w:ascii="楷体" w:eastAsia="楷体" w:hAnsi="楷体" w:hint="eastAsia"/>
          <w:sz w:val="22"/>
          <w:szCs w:val="21"/>
        </w:rPr>
        <w:t>连续下挫</w:t>
      </w:r>
      <w:r w:rsidR="00F67291" w:rsidRPr="0082060F">
        <w:rPr>
          <w:rFonts w:ascii="楷体" w:eastAsia="楷体" w:hAnsi="楷体" w:hint="eastAsia"/>
          <w:color w:val="000000"/>
          <w:sz w:val="22"/>
          <w:szCs w:val="21"/>
        </w:rPr>
        <w:t>。</w:t>
      </w:r>
    </w:p>
    <w:tbl>
      <w:tblPr>
        <w:tblW w:w="10666" w:type="dxa"/>
        <w:tblInd w:w="-4003" w:type="dxa"/>
        <w:tblLayout w:type="fixed"/>
        <w:tblLook w:val="04A0"/>
      </w:tblPr>
      <w:tblGrid>
        <w:gridCol w:w="5245"/>
        <w:gridCol w:w="5421"/>
      </w:tblGrid>
      <w:tr w:rsidR="00355BA6" w:rsidRPr="00A56132" w:rsidTr="003A31FD">
        <w:tc>
          <w:tcPr>
            <w:tcW w:w="5245" w:type="dxa"/>
            <w:tcBorders>
              <w:bottom w:val="single" w:sz="4" w:space="0" w:color="FF0000"/>
            </w:tcBorders>
          </w:tcPr>
          <w:bookmarkEnd w:id="15"/>
          <w:bookmarkEnd w:id="16"/>
          <w:bookmarkEnd w:id="17"/>
          <w:bookmarkEnd w:id="18"/>
          <w:bookmarkEnd w:id="19"/>
          <w:p w:rsidR="00355BA6" w:rsidRPr="0082060F" w:rsidRDefault="00355BA6" w:rsidP="003A31FD">
            <w:pPr>
              <w:spacing w:line="360" w:lineRule="auto"/>
              <w:jc w:val="left"/>
              <w:rPr>
                <w:rFonts w:ascii="楷体" w:eastAsia="楷体" w:hAnsi="楷体"/>
                <w:color w:val="000000"/>
                <w:sz w:val="18"/>
                <w:szCs w:val="18"/>
              </w:rPr>
            </w:pPr>
            <w:r w:rsidRPr="0082060F">
              <w:rPr>
                <w:rFonts w:ascii="楷体" w:eastAsia="楷体" w:hAnsi="楷体"/>
                <w:color w:val="000000"/>
                <w:sz w:val="18"/>
                <w:szCs w:val="18"/>
              </w:rPr>
              <w:t>图1、</w:t>
            </w:r>
            <w:r w:rsidRPr="0082060F">
              <w:rPr>
                <w:rFonts w:ascii="楷体" w:eastAsia="楷体" w:hAnsi="楷体" w:hint="eastAsia"/>
                <w:color w:val="000000"/>
                <w:sz w:val="18"/>
                <w:szCs w:val="18"/>
              </w:rPr>
              <w:t>基金指数近一年收益率走势</w:t>
            </w:r>
          </w:p>
        </w:tc>
        <w:tc>
          <w:tcPr>
            <w:tcW w:w="5421" w:type="dxa"/>
            <w:tcBorders>
              <w:bottom w:val="single" w:sz="4" w:space="0" w:color="FF0000"/>
            </w:tcBorders>
          </w:tcPr>
          <w:p w:rsidR="00355BA6" w:rsidRPr="0082060F" w:rsidRDefault="00355BA6" w:rsidP="003A31FD">
            <w:pPr>
              <w:spacing w:line="360" w:lineRule="auto"/>
              <w:jc w:val="left"/>
              <w:rPr>
                <w:rFonts w:ascii="楷体" w:eastAsia="楷体" w:hAnsi="楷体"/>
                <w:sz w:val="18"/>
                <w:szCs w:val="18"/>
              </w:rPr>
            </w:pPr>
            <w:r w:rsidRPr="0082060F">
              <w:rPr>
                <w:rFonts w:ascii="楷体" w:eastAsia="楷体" w:hAnsi="楷体"/>
                <w:sz w:val="18"/>
                <w:szCs w:val="18"/>
              </w:rPr>
              <w:t>图2、</w:t>
            </w:r>
            <w:r w:rsidRPr="0082060F">
              <w:rPr>
                <w:rFonts w:ascii="楷体" w:eastAsia="楷体" w:hAnsi="楷体" w:hint="eastAsia"/>
                <w:sz w:val="18"/>
                <w:szCs w:val="18"/>
              </w:rPr>
              <w:t>各类基金收益率</w:t>
            </w:r>
          </w:p>
        </w:tc>
      </w:tr>
      <w:tr w:rsidR="00355BA6" w:rsidRPr="00A56132" w:rsidTr="008F7AD4">
        <w:trPr>
          <w:trHeight w:val="3333"/>
        </w:trPr>
        <w:tc>
          <w:tcPr>
            <w:tcW w:w="5245" w:type="dxa"/>
            <w:tcBorders>
              <w:top w:val="single" w:sz="4" w:space="0" w:color="FF0000"/>
              <w:bottom w:val="single" w:sz="4" w:space="0" w:color="FF0000"/>
            </w:tcBorders>
          </w:tcPr>
          <w:p w:rsidR="00355BA6" w:rsidRPr="00A56132" w:rsidRDefault="007958DA" w:rsidP="007958DA">
            <w:pPr>
              <w:spacing w:line="360" w:lineRule="auto"/>
              <w:ind w:leftChars="-120" w:left="-252" w:firstLineChars="140" w:firstLine="252"/>
              <w:jc w:val="center"/>
              <w:rPr>
                <w:rFonts w:eastAsia="楷体_GB2312"/>
                <w:color w:val="000000"/>
                <w:sz w:val="18"/>
                <w:szCs w:val="18"/>
              </w:rPr>
            </w:pPr>
            <w:r>
              <w:rPr>
                <w:rFonts w:eastAsia="楷体_GB2312"/>
                <w:noProof/>
                <w:color w:val="000000"/>
                <w:sz w:val="18"/>
                <w:szCs w:val="18"/>
              </w:rPr>
              <w:drawing>
                <wp:inline distT="0" distB="0" distL="0" distR="0">
                  <wp:extent cx="3269615" cy="2199640"/>
                  <wp:effectExtent l="19050" t="0" r="698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3269615" cy="2199640"/>
                          </a:xfrm>
                          <a:prstGeom prst="rect">
                            <a:avLst/>
                          </a:prstGeom>
                          <a:noFill/>
                          <a:ln w="9525">
                            <a:noFill/>
                            <a:miter lim="800000"/>
                            <a:headEnd/>
                            <a:tailEnd/>
                          </a:ln>
                        </pic:spPr>
                      </pic:pic>
                    </a:graphicData>
                  </a:graphic>
                </wp:inline>
              </w:drawing>
            </w:r>
          </w:p>
        </w:tc>
        <w:tc>
          <w:tcPr>
            <w:tcW w:w="5421" w:type="dxa"/>
            <w:tcBorders>
              <w:top w:val="single" w:sz="4" w:space="0" w:color="FF0000"/>
              <w:bottom w:val="single" w:sz="4" w:space="0" w:color="FF0000"/>
            </w:tcBorders>
          </w:tcPr>
          <w:p w:rsidR="00355BA6" w:rsidRPr="00A56132" w:rsidRDefault="007958DA" w:rsidP="007958DA">
            <w:pPr>
              <w:spacing w:line="360" w:lineRule="auto"/>
              <w:ind w:leftChars="-10" w:left="-21" w:firstLineChars="10" w:firstLine="18"/>
              <w:jc w:val="center"/>
              <w:rPr>
                <w:rFonts w:eastAsia="楷体_GB2312"/>
                <w:color w:val="000000"/>
                <w:sz w:val="18"/>
                <w:szCs w:val="18"/>
              </w:rPr>
            </w:pPr>
            <w:r>
              <w:rPr>
                <w:rFonts w:eastAsia="楷体_GB2312"/>
                <w:noProof/>
                <w:color w:val="000000"/>
                <w:sz w:val="18"/>
                <w:szCs w:val="18"/>
              </w:rPr>
              <w:drawing>
                <wp:inline distT="0" distB="0" distL="0" distR="0">
                  <wp:extent cx="3260725" cy="2320290"/>
                  <wp:effectExtent l="0" t="0" r="0" b="0"/>
                  <wp:docPr id="16"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355BA6" w:rsidRPr="00A56132" w:rsidTr="003A31FD">
        <w:trPr>
          <w:trHeight w:val="60"/>
        </w:trPr>
        <w:tc>
          <w:tcPr>
            <w:tcW w:w="10666" w:type="dxa"/>
            <w:gridSpan w:val="2"/>
            <w:tcBorders>
              <w:top w:val="single" w:sz="4" w:space="0" w:color="FF0000"/>
            </w:tcBorders>
          </w:tcPr>
          <w:p w:rsidR="00355BA6" w:rsidRPr="0082060F" w:rsidRDefault="00355BA6" w:rsidP="007B0BFD">
            <w:pPr>
              <w:spacing w:line="360" w:lineRule="auto"/>
              <w:jc w:val="left"/>
              <w:rPr>
                <w:rFonts w:ascii="楷体" w:eastAsia="楷体" w:hAnsi="楷体"/>
                <w:i/>
                <w:color w:val="000000"/>
                <w:sz w:val="18"/>
                <w:szCs w:val="18"/>
              </w:rPr>
            </w:pPr>
            <w:r w:rsidRPr="0082060F">
              <w:rPr>
                <w:rFonts w:ascii="楷体" w:eastAsia="楷体" w:hAnsi="楷体"/>
                <w:i/>
                <w:color w:val="000000"/>
                <w:sz w:val="18"/>
                <w:szCs w:val="18"/>
              </w:rPr>
              <w:t>数据来源：wind，上海证券基金评价研究中心</w:t>
            </w:r>
            <w:r w:rsidRPr="0082060F">
              <w:rPr>
                <w:rFonts w:ascii="楷体" w:eastAsia="楷体" w:hAnsi="楷体"/>
                <w:i/>
                <w:sz w:val="18"/>
                <w:szCs w:val="18"/>
              </w:rPr>
              <w:t>（</w:t>
            </w:r>
            <w:r w:rsidRPr="0082060F">
              <w:rPr>
                <w:rFonts w:ascii="楷体" w:eastAsia="楷体" w:hAnsi="楷体" w:hint="eastAsia"/>
                <w:i/>
                <w:sz w:val="18"/>
                <w:szCs w:val="18"/>
              </w:rPr>
              <w:t>起</w:t>
            </w:r>
            <w:r w:rsidRPr="0082060F">
              <w:rPr>
                <w:rFonts w:ascii="楷体" w:eastAsia="楷体" w:hAnsi="楷体"/>
                <w:i/>
                <w:sz w:val="18"/>
                <w:szCs w:val="18"/>
              </w:rPr>
              <w:t>止时间：201</w:t>
            </w:r>
            <w:r w:rsidR="006E753F" w:rsidRPr="0082060F">
              <w:rPr>
                <w:rFonts w:ascii="楷体" w:eastAsia="楷体" w:hAnsi="楷体" w:hint="eastAsia"/>
                <w:i/>
                <w:sz w:val="18"/>
                <w:szCs w:val="18"/>
              </w:rPr>
              <w:t>6</w:t>
            </w:r>
            <w:r w:rsidRPr="0082060F">
              <w:rPr>
                <w:rFonts w:ascii="楷体" w:eastAsia="楷体" w:hAnsi="楷体"/>
                <w:i/>
                <w:sz w:val="18"/>
                <w:szCs w:val="18"/>
              </w:rPr>
              <w:t>年</w:t>
            </w:r>
            <w:r w:rsidR="00BB36E0" w:rsidRPr="0082060F">
              <w:rPr>
                <w:rFonts w:ascii="楷体" w:eastAsia="楷体" w:hAnsi="楷体"/>
                <w:i/>
                <w:sz w:val="18"/>
                <w:szCs w:val="18"/>
              </w:rPr>
              <w:t>5</w:t>
            </w:r>
            <w:r w:rsidRPr="0082060F">
              <w:rPr>
                <w:rFonts w:ascii="楷体" w:eastAsia="楷体" w:hAnsi="楷体"/>
                <w:i/>
                <w:sz w:val="18"/>
                <w:szCs w:val="18"/>
              </w:rPr>
              <w:t>月</w:t>
            </w:r>
            <w:r w:rsidR="007958DA">
              <w:rPr>
                <w:rFonts w:ascii="楷体" w:eastAsia="楷体" w:hAnsi="楷体" w:hint="eastAsia"/>
                <w:i/>
                <w:sz w:val="18"/>
                <w:szCs w:val="18"/>
              </w:rPr>
              <w:t>23</w:t>
            </w:r>
            <w:r w:rsidRPr="0082060F">
              <w:rPr>
                <w:rFonts w:ascii="楷体" w:eastAsia="楷体" w:hAnsi="楷体"/>
                <w:i/>
                <w:sz w:val="18"/>
                <w:szCs w:val="18"/>
              </w:rPr>
              <w:t>日</w:t>
            </w:r>
            <w:r w:rsidRPr="0082060F">
              <w:rPr>
                <w:rFonts w:ascii="楷体" w:eastAsia="楷体" w:hAnsi="楷体" w:hint="eastAsia"/>
                <w:i/>
                <w:sz w:val="18"/>
                <w:szCs w:val="18"/>
              </w:rPr>
              <w:t>——</w:t>
            </w:r>
            <w:r w:rsidR="00BB36E0" w:rsidRPr="0082060F">
              <w:rPr>
                <w:rFonts w:ascii="楷体" w:eastAsia="楷体" w:hAnsi="楷体" w:hint="eastAsia"/>
                <w:i/>
                <w:sz w:val="18"/>
                <w:szCs w:val="18"/>
              </w:rPr>
              <w:t>5</w:t>
            </w:r>
            <w:r w:rsidRPr="0082060F">
              <w:rPr>
                <w:rFonts w:ascii="楷体" w:eastAsia="楷体" w:hAnsi="楷体" w:hint="eastAsia"/>
                <w:i/>
                <w:sz w:val="18"/>
                <w:szCs w:val="18"/>
              </w:rPr>
              <w:t>月</w:t>
            </w:r>
            <w:r w:rsidR="007958DA">
              <w:rPr>
                <w:rFonts w:ascii="楷体" w:eastAsia="楷体" w:hAnsi="楷体"/>
                <w:i/>
                <w:sz w:val="18"/>
                <w:szCs w:val="18"/>
              </w:rPr>
              <w:t>2</w:t>
            </w:r>
            <w:r w:rsidR="007958DA">
              <w:rPr>
                <w:rFonts w:ascii="楷体" w:eastAsia="楷体" w:hAnsi="楷体" w:hint="eastAsia"/>
                <w:i/>
                <w:sz w:val="18"/>
                <w:szCs w:val="18"/>
              </w:rPr>
              <w:t>7</w:t>
            </w:r>
            <w:r w:rsidRPr="0082060F">
              <w:rPr>
                <w:rFonts w:ascii="楷体" w:eastAsia="楷体" w:hAnsi="楷体" w:hint="eastAsia"/>
                <w:i/>
                <w:sz w:val="18"/>
                <w:szCs w:val="18"/>
              </w:rPr>
              <w:t>日</w:t>
            </w:r>
            <w:r w:rsidRPr="0082060F">
              <w:rPr>
                <w:rFonts w:ascii="楷体" w:eastAsia="楷体" w:hAnsi="楷体"/>
                <w:i/>
                <w:sz w:val="18"/>
                <w:szCs w:val="18"/>
              </w:rPr>
              <w:t>）</w:t>
            </w:r>
          </w:p>
        </w:tc>
      </w:tr>
    </w:tbl>
    <w:p w:rsidR="007C43F9" w:rsidRPr="0082060F" w:rsidRDefault="001F6686" w:rsidP="0082060F">
      <w:pPr>
        <w:spacing w:line="360" w:lineRule="auto"/>
        <w:jc w:val="left"/>
        <w:rPr>
          <w:rFonts w:ascii="楷体" w:eastAsia="楷体" w:hAnsi="楷体"/>
          <w:b/>
          <w:color w:val="000000"/>
          <w:sz w:val="28"/>
          <w:szCs w:val="28"/>
        </w:rPr>
      </w:pPr>
      <w:r w:rsidRPr="0082060F">
        <w:rPr>
          <w:rFonts w:ascii="楷体" w:eastAsia="楷体" w:hAnsi="楷体" w:hint="eastAsia"/>
          <w:b/>
          <w:color w:val="000000"/>
          <w:sz w:val="28"/>
          <w:szCs w:val="28"/>
        </w:rPr>
        <w:t>权益类基金</w:t>
      </w:r>
      <w:r w:rsidR="007C43F9" w:rsidRPr="0082060F">
        <w:rPr>
          <w:rFonts w:ascii="楷体" w:eastAsia="楷体" w:hAnsi="楷体" w:hint="eastAsia"/>
          <w:b/>
          <w:color w:val="000000"/>
          <w:sz w:val="28"/>
          <w:szCs w:val="28"/>
        </w:rPr>
        <w:t>：</w:t>
      </w:r>
    </w:p>
    <w:p w:rsidR="00CF01D0" w:rsidRPr="0082060F" w:rsidRDefault="002817B4" w:rsidP="0082060F">
      <w:pPr>
        <w:spacing w:line="360" w:lineRule="auto"/>
        <w:ind w:firstLine="420"/>
        <w:jc w:val="left"/>
        <w:rPr>
          <w:rFonts w:ascii="楷体" w:eastAsia="楷体" w:hAnsi="楷体"/>
          <w:color w:val="000000"/>
          <w:sz w:val="22"/>
          <w:szCs w:val="21"/>
        </w:rPr>
      </w:pPr>
      <w:r w:rsidRPr="0082060F">
        <w:rPr>
          <w:rFonts w:ascii="楷体" w:eastAsia="楷体" w:hAnsi="楷体" w:hint="eastAsia"/>
          <w:color w:val="000000"/>
          <w:sz w:val="22"/>
          <w:szCs w:val="21"/>
        </w:rPr>
        <w:t>本期采取主动操作策略的股票基金和混合基金，平均收益率分别为</w:t>
      </w:r>
      <w:r w:rsidR="00475AA9">
        <w:rPr>
          <w:rFonts w:ascii="楷体" w:eastAsia="楷体" w:hAnsi="楷体"/>
          <w:color w:val="000000"/>
          <w:sz w:val="22"/>
          <w:szCs w:val="21"/>
        </w:rPr>
        <w:t>0.</w:t>
      </w:r>
      <w:r w:rsidR="00475AA9">
        <w:rPr>
          <w:rFonts w:ascii="楷体" w:eastAsia="楷体" w:hAnsi="楷体" w:hint="eastAsia"/>
          <w:color w:val="000000"/>
          <w:sz w:val="22"/>
          <w:szCs w:val="21"/>
        </w:rPr>
        <w:t>27</w:t>
      </w:r>
      <w:r w:rsidRPr="0082060F">
        <w:rPr>
          <w:rFonts w:ascii="楷体" w:eastAsia="楷体" w:hAnsi="楷体" w:hint="eastAsia"/>
          <w:color w:val="000000"/>
          <w:sz w:val="22"/>
          <w:szCs w:val="21"/>
        </w:rPr>
        <w:t>%和</w:t>
      </w:r>
      <w:r w:rsidR="001E71BE">
        <w:rPr>
          <w:rFonts w:ascii="楷体" w:eastAsia="楷体" w:hAnsi="楷体"/>
          <w:color w:val="000000"/>
          <w:sz w:val="22"/>
          <w:szCs w:val="21"/>
        </w:rPr>
        <w:t>0.2</w:t>
      </w:r>
      <w:r w:rsidR="001E71BE">
        <w:rPr>
          <w:rFonts w:ascii="楷体" w:eastAsia="楷体" w:hAnsi="楷体" w:hint="eastAsia"/>
          <w:color w:val="000000"/>
          <w:sz w:val="22"/>
          <w:szCs w:val="21"/>
        </w:rPr>
        <w:t>2</w:t>
      </w:r>
      <w:r w:rsidRPr="0082060F">
        <w:rPr>
          <w:rFonts w:ascii="楷体" w:eastAsia="楷体" w:hAnsi="楷体" w:hint="eastAsia"/>
          <w:color w:val="000000"/>
          <w:sz w:val="22"/>
          <w:szCs w:val="21"/>
        </w:rPr>
        <w:t>%，同期沪深300指数收益率为</w:t>
      </w:r>
      <w:r w:rsidR="001E71BE">
        <w:rPr>
          <w:rFonts w:ascii="楷体" w:eastAsia="楷体" w:hAnsi="楷体" w:hint="eastAsia"/>
          <w:color w:val="000000"/>
          <w:sz w:val="22"/>
          <w:szCs w:val="21"/>
        </w:rPr>
        <w:t>-</w:t>
      </w:r>
      <w:r w:rsidR="001E71BE">
        <w:rPr>
          <w:rFonts w:ascii="楷体" w:eastAsia="楷体" w:hAnsi="楷体"/>
          <w:color w:val="000000"/>
          <w:sz w:val="22"/>
          <w:szCs w:val="21"/>
        </w:rPr>
        <w:t>0.</w:t>
      </w:r>
      <w:r w:rsidR="001E71BE">
        <w:rPr>
          <w:rFonts w:ascii="楷体" w:eastAsia="楷体" w:hAnsi="楷体" w:hint="eastAsia"/>
          <w:color w:val="000000"/>
          <w:sz w:val="22"/>
          <w:szCs w:val="21"/>
        </w:rPr>
        <w:t>5</w:t>
      </w:r>
      <w:r w:rsidR="007126B1" w:rsidRPr="0082060F">
        <w:rPr>
          <w:rFonts w:ascii="楷体" w:eastAsia="楷体" w:hAnsi="楷体"/>
          <w:color w:val="000000"/>
          <w:sz w:val="22"/>
          <w:szCs w:val="21"/>
        </w:rPr>
        <w:t>1</w:t>
      </w:r>
      <w:r w:rsidRPr="0082060F">
        <w:rPr>
          <w:rFonts w:ascii="楷体" w:eastAsia="楷体" w:hAnsi="楷体" w:hint="eastAsia"/>
          <w:color w:val="000000"/>
          <w:sz w:val="22"/>
          <w:szCs w:val="21"/>
        </w:rPr>
        <w:t>%。2016年以来，股票基金和混合基金损失较为惨重，累计收益率分别为-</w:t>
      </w:r>
      <w:r w:rsidR="00267680" w:rsidRPr="0082060F">
        <w:rPr>
          <w:rFonts w:ascii="楷体" w:eastAsia="楷体" w:hAnsi="楷体"/>
          <w:color w:val="000000"/>
          <w:sz w:val="22"/>
          <w:szCs w:val="21"/>
        </w:rPr>
        <w:t>22.</w:t>
      </w:r>
      <w:r w:rsidR="00F3315A">
        <w:rPr>
          <w:rFonts w:ascii="楷体" w:eastAsia="楷体" w:hAnsi="楷体" w:hint="eastAsia"/>
          <w:color w:val="000000"/>
          <w:sz w:val="22"/>
          <w:szCs w:val="21"/>
        </w:rPr>
        <w:t>2</w:t>
      </w:r>
      <w:r w:rsidR="00267680" w:rsidRPr="0082060F">
        <w:rPr>
          <w:rFonts w:ascii="楷体" w:eastAsia="楷体" w:hAnsi="楷体"/>
          <w:color w:val="000000"/>
          <w:sz w:val="22"/>
          <w:szCs w:val="21"/>
        </w:rPr>
        <w:t>6</w:t>
      </w:r>
      <w:r w:rsidRPr="0082060F">
        <w:rPr>
          <w:rFonts w:ascii="楷体" w:eastAsia="楷体" w:hAnsi="楷体" w:hint="eastAsia"/>
          <w:color w:val="000000"/>
          <w:sz w:val="22"/>
          <w:szCs w:val="21"/>
        </w:rPr>
        <w:t>%和-</w:t>
      </w:r>
      <w:r w:rsidRPr="0082060F">
        <w:rPr>
          <w:rFonts w:ascii="楷体" w:eastAsia="楷体" w:hAnsi="楷体"/>
          <w:color w:val="000000"/>
          <w:sz w:val="22"/>
          <w:szCs w:val="21"/>
        </w:rPr>
        <w:t>1</w:t>
      </w:r>
      <w:r w:rsidR="00EA1254" w:rsidRPr="0082060F">
        <w:rPr>
          <w:rFonts w:ascii="楷体" w:eastAsia="楷体" w:hAnsi="楷体"/>
          <w:color w:val="000000"/>
          <w:sz w:val="22"/>
          <w:szCs w:val="21"/>
        </w:rPr>
        <w:t>3.</w:t>
      </w:r>
      <w:r w:rsidR="00F3315A">
        <w:rPr>
          <w:rFonts w:ascii="楷体" w:eastAsia="楷体" w:hAnsi="楷体" w:hint="eastAsia"/>
          <w:color w:val="000000"/>
          <w:sz w:val="22"/>
          <w:szCs w:val="21"/>
        </w:rPr>
        <w:t>47</w:t>
      </w:r>
      <w:r w:rsidRPr="0082060F">
        <w:rPr>
          <w:rFonts w:ascii="楷体" w:eastAsia="楷体" w:hAnsi="楷体" w:hint="eastAsia"/>
          <w:color w:val="000000"/>
          <w:sz w:val="22"/>
          <w:szCs w:val="21"/>
        </w:rPr>
        <w:t>%。指数基金本期平均收益率为</w:t>
      </w:r>
      <w:r w:rsidR="001E71BE">
        <w:rPr>
          <w:rFonts w:ascii="楷体" w:eastAsia="楷体" w:hAnsi="楷体" w:hint="eastAsia"/>
          <w:color w:val="000000"/>
          <w:sz w:val="22"/>
          <w:szCs w:val="21"/>
        </w:rPr>
        <w:t>-</w:t>
      </w:r>
      <w:r w:rsidR="001E71BE">
        <w:rPr>
          <w:rFonts w:ascii="楷体" w:eastAsia="楷体" w:hAnsi="楷体"/>
          <w:color w:val="000000"/>
          <w:sz w:val="22"/>
          <w:szCs w:val="21"/>
        </w:rPr>
        <w:t>0.</w:t>
      </w:r>
      <w:r w:rsidR="001E71BE">
        <w:rPr>
          <w:rFonts w:ascii="楷体" w:eastAsia="楷体" w:hAnsi="楷体" w:hint="eastAsia"/>
          <w:color w:val="000000"/>
          <w:sz w:val="22"/>
          <w:szCs w:val="21"/>
        </w:rPr>
        <w:t>21</w:t>
      </w:r>
      <w:r w:rsidRPr="0082060F">
        <w:rPr>
          <w:rFonts w:ascii="楷体" w:eastAsia="楷体" w:hAnsi="楷体" w:hint="eastAsia"/>
          <w:color w:val="000000"/>
          <w:sz w:val="22"/>
          <w:szCs w:val="21"/>
        </w:rPr>
        <w:t>%，2016年以来累计收益率为-</w:t>
      </w:r>
      <w:r w:rsidR="009E6D8E" w:rsidRPr="0082060F">
        <w:rPr>
          <w:rFonts w:ascii="楷体" w:eastAsia="楷体" w:hAnsi="楷体"/>
          <w:color w:val="000000"/>
          <w:sz w:val="22"/>
          <w:szCs w:val="21"/>
        </w:rPr>
        <w:t>18.78</w:t>
      </w:r>
      <w:r w:rsidRPr="0082060F">
        <w:rPr>
          <w:rFonts w:ascii="楷体" w:eastAsia="楷体" w:hAnsi="楷体" w:hint="eastAsia"/>
          <w:color w:val="000000"/>
          <w:sz w:val="22"/>
          <w:szCs w:val="21"/>
        </w:rPr>
        <w:t>%</w:t>
      </w:r>
      <w:r w:rsidR="001F6686" w:rsidRPr="0082060F">
        <w:rPr>
          <w:rFonts w:ascii="楷体" w:eastAsia="楷体" w:hAnsi="楷体" w:hint="eastAsia"/>
          <w:color w:val="000000"/>
          <w:sz w:val="22"/>
          <w:szCs w:val="21"/>
        </w:rPr>
        <w:t>。</w:t>
      </w:r>
    </w:p>
    <w:p w:rsidR="00F44DDB" w:rsidRPr="0082060F" w:rsidRDefault="00B914B7" w:rsidP="001E71BE">
      <w:pPr>
        <w:spacing w:line="360" w:lineRule="auto"/>
        <w:ind w:firstLine="420"/>
        <w:jc w:val="left"/>
        <w:rPr>
          <w:rFonts w:ascii="楷体" w:eastAsia="楷体" w:hAnsi="楷体"/>
          <w:color w:val="000000"/>
          <w:sz w:val="22"/>
          <w:szCs w:val="21"/>
        </w:rPr>
      </w:pPr>
      <w:r w:rsidRPr="0082060F">
        <w:rPr>
          <w:rFonts w:ascii="楷体" w:eastAsia="楷体" w:hAnsi="楷体" w:hint="eastAsia"/>
          <w:color w:val="000000"/>
          <w:sz w:val="22"/>
          <w:szCs w:val="21"/>
        </w:rPr>
        <w:t>股票</w:t>
      </w:r>
      <w:r w:rsidR="00CD73BC" w:rsidRPr="0082060F">
        <w:rPr>
          <w:rFonts w:ascii="楷体" w:eastAsia="楷体" w:hAnsi="楷体" w:hint="eastAsia"/>
          <w:color w:val="000000"/>
          <w:sz w:val="22"/>
          <w:szCs w:val="21"/>
        </w:rPr>
        <w:t>基金</w:t>
      </w:r>
      <w:r w:rsidR="003F38B1" w:rsidRPr="0082060F">
        <w:rPr>
          <w:rFonts w:ascii="楷体" w:eastAsia="楷体" w:hAnsi="楷体" w:hint="eastAsia"/>
          <w:color w:val="000000"/>
          <w:sz w:val="22"/>
          <w:szCs w:val="21"/>
        </w:rPr>
        <w:t>，</w:t>
      </w:r>
      <w:r w:rsidR="001F654E" w:rsidRPr="0082060F">
        <w:rPr>
          <w:rFonts w:ascii="楷体" w:eastAsia="楷体" w:hAnsi="楷体" w:hint="eastAsia"/>
          <w:color w:val="000000"/>
          <w:sz w:val="22"/>
          <w:szCs w:val="21"/>
        </w:rPr>
        <w:t>平均收益率为</w:t>
      </w:r>
      <w:r w:rsidR="00EB1993" w:rsidRPr="0082060F">
        <w:rPr>
          <w:rFonts w:ascii="楷体" w:eastAsia="楷体" w:hAnsi="楷体"/>
          <w:color w:val="000000"/>
          <w:sz w:val="22"/>
          <w:szCs w:val="21"/>
        </w:rPr>
        <w:t>0.</w:t>
      </w:r>
      <w:r w:rsidR="001E71BE">
        <w:rPr>
          <w:rFonts w:ascii="楷体" w:eastAsia="楷体" w:hAnsi="楷体" w:hint="eastAsia"/>
          <w:color w:val="000000"/>
          <w:sz w:val="22"/>
          <w:szCs w:val="21"/>
        </w:rPr>
        <w:t>27</w:t>
      </w:r>
      <w:r w:rsidR="00D60EE0" w:rsidRPr="0082060F">
        <w:rPr>
          <w:rFonts w:ascii="楷体" w:eastAsia="楷体" w:hAnsi="楷体" w:hint="eastAsia"/>
          <w:color w:val="000000"/>
          <w:sz w:val="22"/>
          <w:szCs w:val="21"/>
        </w:rPr>
        <w:t>%</w:t>
      </w:r>
      <w:r w:rsidR="001F654E" w:rsidRPr="0082060F">
        <w:rPr>
          <w:rFonts w:ascii="楷体" w:eastAsia="楷体" w:hAnsi="楷体" w:hint="eastAsia"/>
          <w:color w:val="000000"/>
          <w:sz w:val="22"/>
          <w:szCs w:val="21"/>
        </w:rPr>
        <w:t>，</w:t>
      </w:r>
      <w:r w:rsidR="001E71BE">
        <w:rPr>
          <w:rFonts w:ascii="楷体" w:eastAsia="楷体" w:hAnsi="楷体" w:hint="eastAsia"/>
          <w:color w:val="000000"/>
          <w:sz w:val="22"/>
          <w:szCs w:val="21"/>
        </w:rPr>
        <w:t>半数</w:t>
      </w:r>
      <w:r w:rsidR="00BC6231" w:rsidRPr="0082060F">
        <w:rPr>
          <w:rFonts w:ascii="楷体" w:eastAsia="楷体" w:hAnsi="楷体" w:hint="eastAsia"/>
          <w:color w:val="000000"/>
          <w:sz w:val="22"/>
          <w:szCs w:val="21"/>
        </w:rPr>
        <w:t>以上</w:t>
      </w:r>
      <w:r w:rsidR="00D60EE0" w:rsidRPr="0082060F">
        <w:rPr>
          <w:rFonts w:ascii="楷体" w:eastAsia="楷体" w:hAnsi="楷体" w:hint="eastAsia"/>
          <w:color w:val="000000"/>
          <w:sz w:val="22"/>
          <w:szCs w:val="21"/>
        </w:rPr>
        <w:t>基金</w:t>
      </w:r>
      <w:r w:rsidR="00D14DAA" w:rsidRPr="0082060F">
        <w:rPr>
          <w:rFonts w:ascii="楷体" w:eastAsia="楷体" w:hAnsi="楷体" w:hint="eastAsia"/>
          <w:color w:val="000000"/>
          <w:sz w:val="22"/>
          <w:szCs w:val="21"/>
        </w:rPr>
        <w:t>本期</w:t>
      </w:r>
      <w:r w:rsidR="00476890" w:rsidRPr="0082060F">
        <w:rPr>
          <w:rFonts w:ascii="楷体" w:eastAsia="楷体" w:hAnsi="楷体" w:hint="eastAsia"/>
          <w:color w:val="000000"/>
          <w:sz w:val="22"/>
          <w:szCs w:val="21"/>
        </w:rPr>
        <w:t>收益</w:t>
      </w:r>
      <w:r w:rsidR="002364BE" w:rsidRPr="0082060F">
        <w:rPr>
          <w:rFonts w:ascii="楷体" w:eastAsia="楷体" w:hAnsi="楷体" w:hint="eastAsia"/>
          <w:color w:val="000000"/>
          <w:sz w:val="22"/>
          <w:szCs w:val="21"/>
        </w:rPr>
        <w:t>为</w:t>
      </w:r>
      <w:r w:rsidR="00FB2C5E" w:rsidRPr="0082060F">
        <w:rPr>
          <w:rFonts w:ascii="楷体" w:eastAsia="楷体" w:hAnsi="楷体" w:hint="eastAsia"/>
          <w:color w:val="000000"/>
          <w:sz w:val="22"/>
          <w:szCs w:val="21"/>
        </w:rPr>
        <w:t>正</w:t>
      </w:r>
      <w:r w:rsidRPr="0082060F">
        <w:rPr>
          <w:rFonts w:ascii="楷体" w:eastAsia="楷体" w:hAnsi="楷体" w:hint="eastAsia"/>
          <w:color w:val="000000"/>
          <w:sz w:val="22"/>
          <w:szCs w:val="21"/>
        </w:rPr>
        <w:t>。股票</w:t>
      </w:r>
      <w:r w:rsidR="00600809" w:rsidRPr="0082060F">
        <w:rPr>
          <w:rFonts w:ascii="楷体" w:eastAsia="楷体" w:hAnsi="楷体" w:hint="eastAsia"/>
          <w:color w:val="000000"/>
          <w:sz w:val="22"/>
          <w:szCs w:val="21"/>
        </w:rPr>
        <w:t>基金</w:t>
      </w:r>
      <w:r w:rsidR="00CB0A45" w:rsidRPr="0082060F">
        <w:rPr>
          <w:rFonts w:ascii="楷体" w:eastAsia="楷体" w:hAnsi="楷体" w:hint="eastAsia"/>
          <w:color w:val="000000"/>
          <w:sz w:val="22"/>
          <w:szCs w:val="21"/>
        </w:rPr>
        <w:t>本期</w:t>
      </w:r>
      <w:r w:rsidR="001F654E" w:rsidRPr="0082060F">
        <w:rPr>
          <w:rFonts w:ascii="楷体" w:eastAsia="楷体" w:hAnsi="楷体" w:hint="eastAsia"/>
          <w:color w:val="000000"/>
          <w:sz w:val="22"/>
          <w:szCs w:val="21"/>
        </w:rPr>
        <w:t>收益率分布区间为</w:t>
      </w:r>
      <w:r w:rsidR="00D14DAA" w:rsidRPr="0082060F">
        <w:rPr>
          <w:rFonts w:ascii="楷体" w:eastAsia="楷体" w:hAnsi="楷体" w:hint="eastAsia"/>
          <w:color w:val="000000"/>
          <w:sz w:val="22"/>
          <w:szCs w:val="21"/>
        </w:rPr>
        <w:t>-</w:t>
      </w:r>
      <w:r w:rsidR="001E71BE">
        <w:rPr>
          <w:rFonts w:ascii="楷体" w:eastAsia="楷体" w:hAnsi="楷体" w:hint="eastAsia"/>
          <w:color w:val="000000"/>
          <w:sz w:val="22"/>
          <w:szCs w:val="21"/>
        </w:rPr>
        <w:t>2</w:t>
      </w:r>
      <w:r w:rsidR="001E71BE">
        <w:rPr>
          <w:rFonts w:ascii="楷体" w:eastAsia="楷体" w:hAnsi="楷体"/>
          <w:color w:val="000000"/>
          <w:sz w:val="22"/>
          <w:szCs w:val="21"/>
        </w:rPr>
        <w:t>.</w:t>
      </w:r>
      <w:r w:rsidR="001E71BE">
        <w:rPr>
          <w:rFonts w:ascii="楷体" w:eastAsia="楷体" w:hAnsi="楷体" w:hint="eastAsia"/>
          <w:color w:val="000000"/>
          <w:sz w:val="22"/>
          <w:szCs w:val="21"/>
        </w:rPr>
        <w:t>29</w:t>
      </w:r>
      <w:r w:rsidR="00A922B1" w:rsidRPr="0082060F">
        <w:rPr>
          <w:rFonts w:ascii="楷体" w:eastAsia="楷体" w:hAnsi="楷体" w:hint="eastAsia"/>
          <w:color w:val="000000"/>
          <w:sz w:val="22"/>
          <w:szCs w:val="21"/>
        </w:rPr>
        <w:t>%</w:t>
      </w:r>
      <w:r w:rsidR="00D14DAA" w:rsidRPr="0082060F">
        <w:rPr>
          <w:rFonts w:ascii="楷体" w:eastAsia="楷体" w:hAnsi="楷体" w:hint="eastAsia"/>
          <w:color w:val="000000"/>
          <w:sz w:val="22"/>
          <w:szCs w:val="21"/>
        </w:rPr>
        <w:t xml:space="preserve">— </w:t>
      </w:r>
      <w:r w:rsidR="001E71BE">
        <w:rPr>
          <w:rFonts w:ascii="楷体" w:eastAsia="楷体" w:hAnsi="楷体" w:hint="eastAsia"/>
          <w:color w:val="000000"/>
          <w:sz w:val="22"/>
          <w:szCs w:val="21"/>
        </w:rPr>
        <w:t>2</w:t>
      </w:r>
      <w:r w:rsidR="001E71BE">
        <w:rPr>
          <w:rFonts w:ascii="楷体" w:eastAsia="楷体" w:hAnsi="楷体"/>
          <w:color w:val="000000"/>
          <w:sz w:val="22"/>
          <w:szCs w:val="21"/>
        </w:rPr>
        <w:t>.</w:t>
      </w:r>
      <w:r w:rsidR="001E71BE">
        <w:rPr>
          <w:rFonts w:ascii="楷体" w:eastAsia="楷体" w:hAnsi="楷体" w:hint="eastAsia"/>
          <w:color w:val="000000"/>
          <w:sz w:val="22"/>
          <w:szCs w:val="21"/>
        </w:rPr>
        <w:t>5</w:t>
      </w:r>
      <w:r w:rsidR="009C54C7" w:rsidRPr="0082060F">
        <w:rPr>
          <w:rFonts w:ascii="楷体" w:eastAsia="楷体" w:hAnsi="楷体"/>
          <w:color w:val="000000"/>
          <w:sz w:val="22"/>
          <w:szCs w:val="21"/>
        </w:rPr>
        <w:t>1</w:t>
      </w:r>
      <w:r w:rsidR="00600809" w:rsidRPr="0082060F">
        <w:rPr>
          <w:rFonts w:ascii="楷体" w:eastAsia="楷体" w:hAnsi="楷体" w:hint="eastAsia"/>
          <w:color w:val="000000"/>
          <w:sz w:val="22"/>
          <w:szCs w:val="21"/>
        </w:rPr>
        <w:t>%</w:t>
      </w:r>
      <w:r w:rsidR="00653D19" w:rsidRPr="0082060F">
        <w:rPr>
          <w:rFonts w:ascii="楷体" w:eastAsia="楷体" w:hAnsi="楷体" w:hint="eastAsia"/>
          <w:color w:val="000000"/>
          <w:sz w:val="22"/>
          <w:szCs w:val="21"/>
        </w:rPr>
        <w:t>，</w:t>
      </w:r>
      <w:r w:rsidR="001E71BE">
        <w:rPr>
          <w:rFonts w:ascii="楷体" w:eastAsia="楷体" w:hAnsi="楷体" w:hint="eastAsia"/>
          <w:color w:val="000000"/>
          <w:sz w:val="22"/>
          <w:szCs w:val="21"/>
        </w:rPr>
        <w:t>随着市场</w:t>
      </w:r>
      <w:r w:rsidR="001E71BE">
        <w:rPr>
          <w:rFonts w:ascii="楷体" w:eastAsia="楷体" w:hAnsi="楷体" w:hint="eastAsia"/>
          <w:color w:val="000000"/>
          <w:sz w:val="22"/>
          <w:szCs w:val="21"/>
        </w:rPr>
        <w:lastRenderedPageBreak/>
        <w:t>波动性的降低，</w:t>
      </w:r>
      <w:r w:rsidR="002E2EFA" w:rsidRPr="0082060F">
        <w:rPr>
          <w:rFonts w:ascii="楷体" w:eastAsia="楷体" w:hAnsi="楷体" w:hint="eastAsia"/>
          <w:color w:val="000000"/>
          <w:sz w:val="22"/>
          <w:szCs w:val="21"/>
        </w:rPr>
        <w:t>基金净值差异化</w:t>
      </w:r>
      <w:r w:rsidR="00691C18" w:rsidRPr="0082060F">
        <w:rPr>
          <w:rFonts w:ascii="楷体" w:eastAsia="楷体" w:hAnsi="楷体" w:hint="eastAsia"/>
          <w:color w:val="000000"/>
          <w:sz w:val="22"/>
          <w:szCs w:val="21"/>
        </w:rPr>
        <w:t>较</w:t>
      </w:r>
      <w:r w:rsidR="00D14DAA" w:rsidRPr="0082060F">
        <w:rPr>
          <w:rFonts w:ascii="楷体" w:eastAsia="楷体" w:hAnsi="楷体" w:hint="eastAsia"/>
          <w:color w:val="000000"/>
          <w:sz w:val="22"/>
          <w:szCs w:val="21"/>
        </w:rPr>
        <w:t>前期有所</w:t>
      </w:r>
      <w:r w:rsidR="001E71BE">
        <w:rPr>
          <w:rFonts w:ascii="楷体" w:eastAsia="楷体" w:hAnsi="楷体" w:hint="eastAsia"/>
          <w:color w:val="000000"/>
          <w:sz w:val="22"/>
          <w:szCs w:val="21"/>
        </w:rPr>
        <w:t>下降</w:t>
      </w:r>
      <w:r w:rsidRPr="0082060F">
        <w:rPr>
          <w:rFonts w:ascii="楷体" w:eastAsia="楷体" w:hAnsi="楷体" w:hint="eastAsia"/>
          <w:color w:val="000000"/>
          <w:sz w:val="22"/>
          <w:szCs w:val="21"/>
        </w:rPr>
        <w:t>。</w:t>
      </w:r>
      <w:r w:rsidR="002E2EFA" w:rsidRPr="0082060F">
        <w:rPr>
          <w:rFonts w:ascii="楷体" w:eastAsia="楷体" w:hAnsi="楷体" w:hint="eastAsia"/>
          <w:color w:val="000000"/>
          <w:sz w:val="22"/>
          <w:szCs w:val="21"/>
        </w:rPr>
        <w:t>其中，</w:t>
      </w:r>
      <w:r w:rsidR="001E71BE">
        <w:rPr>
          <w:rFonts w:ascii="楷体" w:eastAsia="楷体" w:hAnsi="楷体" w:hint="eastAsia"/>
          <w:color w:val="000000"/>
          <w:sz w:val="22"/>
          <w:szCs w:val="21"/>
        </w:rPr>
        <w:t>南方产业活力</w:t>
      </w:r>
      <w:r w:rsidR="002E2EFA" w:rsidRPr="0082060F">
        <w:rPr>
          <w:rFonts w:ascii="楷体" w:eastAsia="楷体" w:hAnsi="楷体" w:hint="eastAsia"/>
          <w:color w:val="000000"/>
          <w:sz w:val="22"/>
          <w:szCs w:val="21"/>
        </w:rPr>
        <w:t>、</w:t>
      </w:r>
      <w:r w:rsidR="001E71BE">
        <w:rPr>
          <w:rFonts w:ascii="楷体" w:eastAsia="楷体" w:hAnsi="楷体" w:hint="eastAsia"/>
          <w:color w:val="000000"/>
          <w:sz w:val="22"/>
          <w:szCs w:val="21"/>
        </w:rPr>
        <w:t>华宝兴业高端制造</w:t>
      </w:r>
      <w:r w:rsidR="002E2EFA" w:rsidRPr="0082060F">
        <w:rPr>
          <w:rFonts w:ascii="楷体" w:eastAsia="楷体" w:hAnsi="楷体" w:hint="eastAsia"/>
          <w:color w:val="000000"/>
          <w:sz w:val="22"/>
          <w:szCs w:val="21"/>
        </w:rPr>
        <w:t>、</w:t>
      </w:r>
      <w:r w:rsidR="001E71BE">
        <w:rPr>
          <w:rFonts w:ascii="楷体" w:eastAsia="楷体" w:hAnsi="楷体" w:hint="eastAsia"/>
          <w:color w:val="000000"/>
          <w:sz w:val="22"/>
          <w:szCs w:val="21"/>
        </w:rPr>
        <w:t>中银新动力</w:t>
      </w:r>
      <w:r w:rsidR="003170A0" w:rsidRPr="0082060F">
        <w:rPr>
          <w:rFonts w:ascii="楷体" w:eastAsia="楷体" w:hAnsi="楷体" w:hint="eastAsia"/>
          <w:color w:val="000000"/>
          <w:sz w:val="22"/>
          <w:szCs w:val="21"/>
        </w:rPr>
        <w:t>收益率居前</w:t>
      </w:r>
      <w:r w:rsidR="002E2EFA" w:rsidRPr="0082060F">
        <w:rPr>
          <w:rFonts w:ascii="楷体" w:eastAsia="楷体" w:hAnsi="楷体" w:hint="eastAsia"/>
          <w:color w:val="000000"/>
          <w:sz w:val="22"/>
          <w:szCs w:val="21"/>
        </w:rPr>
        <w:t>，上周净值收益率分别为</w:t>
      </w:r>
      <w:r w:rsidR="001E71BE">
        <w:rPr>
          <w:rFonts w:ascii="楷体" w:eastAsia="楷体" w:hAnsi="楷体" w:hint="eastAsia"/>
          <w:color w:val="000000"/>
          <w:sz w:val="22"/>
          <w:szCs w:val="21"/>
        </w:rPr>
        <w:t>2</w:t>
      </w:r>
      <w:r w:rsidR="001E71BE">
        <w:rPr>
          <w:rFonts w:ascii="楷体" w:eastAsia="楷体" w:hAnsi="楷体"/>
          <w:color w:val="000000"/>
          <w:sz w:val="22"/>
          <w:szCs w:val="21"/>
        </w:rPr>
        <w:t>.</w:t>
      </w:r>
      <w:r w:rsidR="001E71BE">
        <w:rPr>
          <w:rFonts w:ascii="楷体" w:eastAsia="楷体" w:hAnsi="楷体" w:hint="eastAsia"/>
          <w:color w:val="000000"/>
          <w:sz w:val="22"/>
          <w:szCs w:val="21"/>
        </w:rPr>
        <w:t>5</w:t>
      </w:r>
      <w:r w:rsidR="00B33E35" w:rsidRPr="0082060F">
        <w:rPr>
          <w:rFonts w:ascii="楷体" w:eastAsia="楷体" w:hAnsi="楷体"/>
          <w:color w:val="000000"/>
          <w:sz w:val="22"/>
          <w:szCs w:val="21"/>
        </w:rPr>
        <w:t>1</w:t>
      </w:r>
      <w:r w:rsidR="00D14DAA" w:rsidRPr="0082060F">
        <w:rPr>
          <w:rFonts w:ascii="楷体" w:eastAsia="楷体" w:hAnsi="楷体"/>
          <w:color w:val="000000"/>
          <w:sz w:val="22"/>
          <w:szCs w:val="21"/>
        </w:rPr>
        <w:t>%</w:t>
      </w:r>
      <w:r w:rsidR="002E2EFA" w:rsidRPr="0082060F">
        <w:rPr>
          <w:rFonts w:ascii="楷体" w:eastAsia="楷体" w:hAnsi="楷体" w:hint="eastAsia"/>
          <w:color w:val="000000"/>
          <w:sz w:val="22"/>
          <w:szCs w:val="21"/>
        </w:rPr>
        <w:t>、</w:t>
      </w:r>
      <w:r w:rsidR="001E71BE">
        <w:rPr>
          <w:rFonts w:ascii="楷体" w:eastAsia="楷体" w:hAnsi="楷体"/>
          <w:color w:val="000000"/>
          <w:sz w:val="22"/>
          <w:szCs w:val="21"/>
        </w:rPr>
        <w:t>2.</w:t>
      </w:r>
      <w:r w:rsidR="001E71BE">
        <w:rPr>
          <w:rFonts w:ascii="楷体" w:eastAsia="楷体" w:hAnsi="楷体" w:hint="eastAsia"/>
          <w:color w:val="000000"/>
          <w:sz w:val="22"/>
          <w:szCs w:val="21"/>
        </w:rPr>
        <w:t>38</w:t>
      </w:r>
      <w:r w:rsidR="002E2EFA" w:rsidRPr="0082060F">
        <w:rPr>
          <w:rFonts w:ascii="楷体" w:eastAsia="楷体" w:hAnsi="楷体" w:hint="eastAsia"/>
          <w:color w:val="000000"/>
          <w:sz w:val="22"/>
          <w:szCs w:val="21"/>
        </w:rPr>
        <w:t>%和</w:t>
      </w:r>
      <w:r w:rsidR="001E71BE">
        <w:rPr>
          <w:rFonts w:ascii="楷体" w:eastAsia="楷体" w:hAnsi="楷体"/>
          <w:color w:val="000000"/>
          <w:sz w:val="22"/>
          <w:szCs w:val="21"/>
        </w:rPr>
        <w:t>2.</w:t>
      </w:r>
      <w:r w:rsidR="001E71BE">
        <w:rPr>
          <w:rFonts w:ascii="楷体" w:eastAsia="楷体" w:hAnsi="楷体" w:hint="eastAsia"/>
          <w:color w:val="000000"/>
          <w:sz w:val="22"/>
          <w:szCs w:val="21"/>
        </w:rPr>
        <w:t>15</w:t>
      </w:r>
      <w:r w:rsidR="002E2EFA" w:rsidRPr="0082060F">
        <w:rPr>
          <w:rFonts w:ascii="楷体" w:eastAsia="楷体" w:hAnsi="楷体" w:hint="eastAsia"/>
          <w:color w:val="000000"/>
          <w:sz w:val="22"/>
          <w:szCs w:val="21"/>
        </w:rPr>
        <w:t>%。</w:t>
      </w:r>
      <w:r w:rsidRPr="0082060F">
        <w:rPr>
          <w:rFonts w:ascii="楷体" w:eastAsia="楷体" w:hAnsi="楷体" w:hint="eastAsia"/>
          <w:color w:val="000000"/>
          <w:sz w:val="22"/>
          <w:szCs w:val="21"/>
        </w:rPr>
        <w:t>从今年以来股票基金收益情况来看，多数产品损失严重，平均收益率为</w:t>
      </w:r>
      <w:r w:rsidR="0022009D" w:rsidRPr="0082060F">
        <w:rPr>
          <w:rFonts w:ascii="楷体" w:eastAsia="楷体" w:hAnsi="楷体" w:hint="eastAsia"/>
          <w:color w:val="000000"/>
          <w:sz w:val="22"/>
          <w:szCs w:val="21"/>
        </w:rPr>
        <w:t>-</w:t>
      </w:r>
      <w:r w:rsidR="001E71BE" w:rsidRPr="0082060F">
        <w:rPr>
          <w:rFonts w:ascii="楷体" w:eastAsia="楷体" w:hAnsi="楷体"/>
          <w:color w:val="000000"/>
          <w:sz w:val="22"/>
          <w:szCs w:val="21"/>
        </w:rPr>
        <w:t>22.</w:t>
      </w:r>
      <w:r w:rsidR="001E71BE">
        <w:rPr>
          <w:rFonts w:ascii="楷体" w:eastAsia="楷体" w:hAnsi="楷体" w:hint="eastAsia"/>
          <w:color w:val="000000"/>
          <w:sz w:val="22"/>
          <w:szCs w:val="21"/>
        </w:rPr>
        <w:t>2</w:t>
      </w:r>
      <w:r w:rsidR="001E71BE" w:rsidRPr="0082060F">
        <w:rPr>
          <w:rFonts w:ascii="楷体" w:eastAsia="楷体" w:hAnsi="楷体"/>
          <w:color w:val="000000"/>
          <w:sz w:val="22"/>
          <w:szCs w:val="21"/>
        </w:rPr>
        <w:t>6</w:t>
      </w:r>
      <w:r w:rsidR="008B3BB9" w:rsidRPr="0082060F">
        <w:rPr>
          <w:rFonts w:ascii="楷体" w:eastAsia="楷体" w:hAnsi="楷体" w:hint="eastAsia"/>
          <w:color w:val="000000"/>
          <w:sz w:val="22"/>
          <w:szCs w:val="21"/>
        </w:rPr>
        <w:t>%</w:t>
      </w:r>
      <w:r w:rsidR="00285C69" w:rsidRPr="0082060F">
        <w:rPr>
          <w:rFonts w:ascii="楷体" w:eastAsia="楷体" w:hAnsi="楷体" w:hint="eastAsia"/>
          <w:color w:val="000000"/>
          <w:sz w:val="22"/>
          <w:szCs w:val="21"/>
        </w:rPr>
        <w:t>，</w:t>
      </w:r>
      <w:r w:rsidR="008B312E" w:rsidRPr="0082060F">
        <w:rPr>
          <w:rFonts w:ascii="楷体" w:eastAsia="楷体" w:hAnsi="楷体" w:hint="eastAsia"/>
          <w:color w:val="000000"/>
          <w:sz w:val="22"/>
          <w:szCs w:val="21"/>
        </w:rPr>
        <w:t>九成以上</w:t>
      </w:r>
      <w:r w:rsidRPr="0082060F">
        <w:rPr>
          <w:rFonts w:ascii="楷体" w:eastAsia="楷体" w:hAnsi="楷体" w:hint="eastAsia"/>
          <w:color w:val="000000"/>
          <w:sz w:val="22"/>
          <w:szCs w:val="21"/>
        </w:rPr>
        <w:t>股票基金2016年以来跌幅超过10%。</w:t>
      </w:r>
    </w:p>
    <w:p w:rsidR="0030206B" w:rsidRPr="0082060F" w:rsidRDefault="00B914B7" w:rsidP="0082060F">
      <w:pPr>
        <w:spacing w:line="360" w:lineRule="auto"/>
        <w:ind w:firstLine="420"/>
        <w:jc w:val="left"/>
        <w:rPr>
          <w:rFonts w:ascii="楷体" w:eastAsia="楷体" w:hAnsi="楷体"/>
          <w:color w:val="000000"/>
          <w:sz w:val="22"/>
          <w:szCs w:val="21"/>
        </w:rPr>
      </w:pPr>
      <w:r w:rsidRPr="0082060F">
        <w:rPr>
          <w:rFonts w:ascii="楷体" w:eastAsia="楷体" w:hAnsi="楷体" w:hint="eastAsia"/>
          <w:color w:val="000000"/>
          <w:sz w:val="22"/>
          <w:szCs w:val="21"/>
        </w:rPr>
        <w:t>混合</w:t>
      </w:r>
      <w:r w:rsidR="00FE13B7" w:rsidRPr="0082060F">
        <w:rPr>
          <w:rFonts w:ascii="楷体" w:eastAsia="楷体" w:hAnsi="楷体" w:hint="eastAsia"/>
          <w:color w:val="000000"/>
          <w:sz w:val="22"/>
          <w:szCs w:val="21"/>
        </w:rPr>
        <w:t>基金</w:t>
      </w:r>
      <w:r w:rsidR="001C0C52" w:rsidRPr="0082060F">
        <w:rPr>
          <w:rFonts w:ascii="楷体" w:eastAsia="楷体" w:hAnsi="楷体" w:hint="eastAsia"/>
          <w:color w:val="000000"/>
          <w:sz w:val="22"/>
          <w:szCs w:val="21"/>
        </w:rPr>
        <w:t>，平均收益率为</w:t>
      </w:r>
      <w:r w:rsidR="001E71BE">
        <w:rPr>
          <w:rFonts w:ascii="楷体" w:eastAsia="楷体" w:hAnsi="楷体"/>
          <w:color w:val="000000"/>
          <w:sz w:val="22"/>
          <w:szCs w:val="21"/>
        </w:rPr>
        <w:t>0.2</w:t>
      </w:r>
      <w:r w:rsidR="001E71BE">
        <w:rPr>
          <w:rFonts w:ascii="楷体" w:eastAsia="楷体" w:hAnsi="楷体" w:hint="eastAsia"/>
          <w:color w:val="000000"/>
          <w:sz w:val="22"/>
          <w:szCs w:val="21"/>
        </w:rPr>
        <w:t>2</w:t>
      </w:r>
      <w:r w:rsidR="001E71BE" w:rsidRPr="0082060F">
        <w:rPr>
          <w:rFonts w:ascii="楷体" w:eastAsia="楷体" w:hAnsi="楷体" w:hint="eastAsia"/>
          <w:color w:val="000000"/>
          <w:sz w:val="22"/>
          <w:szCs w:val="21"/>
        </w:rPr>
        <w:t>%</w:t>
      </w:r>
      <w:r w:rsidR="001C0C52" w:rsidRPr="0082060F">
        <w:rPr>
          <w:rFonts w:ascii="楷体" w:eastAsia="楷体" w:hAnsi="楷体" w:hint="eastAsia"/>
          <w:color w:val="000000"/>
          <w:sz w:val="22"/>
          <w:szCs w:val="21"/>
        </w:rPr>
        <w:t>，</w:t>
      </w:r>
      <w:r w:rsidR="00A21FBB" w:rsidRPr="0082060F">
        <w:rPr>
          <w:rFonts w:ascii="楷体" w:eastAsia="楷体" w:hAnsi="楷体" w:hint="eastAsia"/>
          <w:color w:val="000000"/>
          <w:sz w:val="22"/>
          <w:szCs w:val="21"/>
        </w:rPr>
        <w:t>收益率分布区间自</w:t>
      </w:r>
      <w:r w:rsidR="001F291F" w:rsidRPr="0082060F">
        <w:rPr>
          <w:rFonts w:ascii="楷体" w:eastAsia="楷体" w:hAnsi="楷体" w:hint="eastAsia"/>
          <w:color w:val="000000"/>
          <w:sz w:val="22"/>
          <w:szCs w:val="21"/>
        </w:rPr>
        <w:t>-</w:t>
      </w:r>
      <w:r w:rsidR="00734559" w:rsidRPr="0082060F">
        <w:rPr>
          <w:rFonts w:ascii="楷体" w:eastAsia="楷体" w:hAnsi="楷体"/>
          <w:color w:val="000000"/>
          <w:sz w:val="22"/>
          <w:szCs w:val="21"/>
        </w:rPr>
        <w:t>2.</w:t>
      </w:r>
      <w:r w:rsidR="001E71BE">
        <w:rPr>
          <w:rFonts w:ascii="楷体" w:eastAsia="楷体" w:hAnsi="楷体" w:hint="eastAsia"/>
          <w:color w:val="000000"/>
          <w:sz w:val="22"/>
          <w:szCs w:val="21"/>
        </w:rPr>
        <w:t>52</w:t>
      </w:r>
      <w:r w:rsidR="00A21FBB" w:rsidRPr="0082060F">
        <w:rPr>
          <w:rFonts w:ascii="楷体" w:eastAsia="楷体" w:hAnsi="楷体" w:hint="eastAsia"/>
          <w:color w:val="000000"/>
          <w:sz w:val="22"/>
          <w:szCs w:val="21"/>
        </w:rPr>
        <w:t>%</w:t>
      </w:r>
      <w:r w:rsidR="00DC67EC" w:rsidRPr="0082060F">
        <w:rPr>
          <w:rFonts w:ascii="楷体" w:eastAsia="楷体" w:hAnsi="楷体" w:hint="eastAsia"/>
          <w:color w:val="000000"/>
          <w:sz w:val="22"/>
          <w:szCs w:val="21"/>
        </w:rPr>
        <w:t>—</w:t>
      </w:r>
      <w:r w:rsidR="001E71BE">
        <w:rPr>
          <w:rFonts w:ascii="楷体" w:eastAsia="楷体" w:hAnsi="楷体" w:hint="eastAsia"/>
          <w:color w:val="000000"/>
          <w:sz w:val="22"/>
          <w:szCs w:val="21"/>
        </w:rPr>
        <w:t>4</w:t>
      </w:r>
      <w:r w:rsidR="001E71BE">
        <w:rPr>
          <w:rFonts w:ascii="楷体" w:eastAsia="楷体" w:hAnsi="楷体"/>
          <w:color w:val="000000"/>
          <w:sz w:val="22"/>
          <w:szCs w:val="21"/>
        </w:rPr>
        <w:t>.</w:t>
      </w:r>
      <w:r w:rsidR="001E71BE">
        <w:rPr>
          <w:rFonts w:ascii="楷体" w:eastAsia="楷体" w:hAnsi="楷体" w:hint="eastAsia"/>
          <w:color w:val="000000"/>
          <w:sz w:val="22"/>
          <w:szCs w:val="21"/>
        </w:rPr>
        <w:t>46</w:t>
      </w:r>
      <w:r w:rsidR="00A06240" w:rsidRPr="0082060F">
        <w:rPr>
          <w:rFonts w:ascii="楷体" w:eastAsia="楷体" w:hAnsi="楷体" w:hint="eastAsia"/>
          <w:color w:val="000000"/>
          <w:sz w:val="22"/>
          <w:szCs w:val="21"/>
        </w:rPr>
        <w:t>%</w:t>
      </w:r>
      <w:r w:rsidR="001F291F" w:rsidRPr="0082060F">
        <w:rPr>
          <w:rFonts w:ascii="楷体" w:eastAsia="楷体" w:hAnsi="楷体" w:hint="eastAsia"/>
          <w:color w:val="000000"/>
          <w:sz w:val="22"/>
          <w:szCs w:val="21"/>
        </w:rPr>
        <w:t>，</w:t>
      </w:r>
      <w:r w:rsidR="005541EF" w:rsidRPr="0082060F">
        <w:rPr>
          <w:rFonts w:ascii="楷体" w:eastAsia="楷体" w:hAnsi="楷体" w:hint="eastAsia"/>
          <w:color w:val="000000"/>
          <w:sz w:val="22"/>
          <w:szCs w:val="21"/>
        </w:rPr>
        <w:t>六</w:t>
      </w:r>
      <w:r w:rsidR="00ED266A" w:rsidRPr="0082060F">
        <w:rPr>
          <w:rFonts w:ascii="楷体" w:eastAsia="楷体" w:hAnsi="楷体" w:hint="eastAsia"/>
          <w:color w:val="000000"/>
          <w:sz w:val="22"/>
          <w:szCs w:val="21"/>
        </w:rPr>
        <w:t>成以上</w:t>
      </w:r>
      <w:r w:rsidR="00F77C8D" w:rsidRPr="0082060F">
        <w:rPr>
          <w:rFonts w:ascii="楷体" w:eastAsia="楷体" w:hAnsi="楷体" w:hint="eastAsia"/>
          <w:color w:val="000000"/>
          <w:sz w:val="22"/>
          <w:szCs w:val="21"/>
        </w:rPr>
        <w:t>基金收益率为</w:t>
      </w:r>
      <w:r w:rsidR="005541EF" w:rsidRPr="0082060F">
        <w:rPr>
          <w:rFonts w:ascii="楷体" w:eastAsia="楷体" w:hAnsi="楷体" w:hint="eastAsia"/>
          <w:color w:val="000000"/>
          <w:sz w:val="22"/>
          <w:szCs w:val="21"/>
        </w:rPr>
        <w:t>正</w:t>
      </w:r>
      <w:r w:rsidR="007D73F5" w:rsidRPr="0082060F">
        <w:rPr>
          <w:rFonts w:ascii="楷体" w:eastAsia="楷体" w:hAnsi="楷体" w:hint="eastAsia"/>
          <w:color w:val="000000"/>
          <w:sz w:val="22"/>
          <w:szCs w:val="21"/>
        </w:rPr>
        <w:t>。</w:t>
      </w:r>
      <w:r w:rsidR="00054F13" w:rsidRPr="0082060F">
        <w:rPr>
          <w:rFonts w:ascii="楷体" w:eastAsia="楷体" w:hAnsi="楷体" w:hint="eastAsia"/>
          <w:color w:val="000000"/>
          <w:sz w:val="22"/>
          <w:szCs w:val="21"/>
        </w:rPr>
        <w:t>其中，</w:t>
      </w:r>
      <w:r w:rsidR="001E71BE">
        <w:rPr>
          <w:rFonts w:ascii="楷体" w:eastAsia="楷体" w:hAnsi="楷体" w:hint="eastAsia"/>
          <w:color w:val="000000"/>
          <w:sz w:val="22"/>
          <w:szCs w:val="21"/>
        </w:rPr>
        <w:t>博时回报灵活配置</w:t>
      </w:r>
      <w:r w:rsidR="00C5319E" w:rsidRPr="0082060F">
        <w:rPr>
          <w:rFonts w:ascii="楷体" w:eastAsia="楷体" w:hAnsi="楷体" w:hint="eastAsia"/>
          <w:color w:val="000000"/>
          <w:sz w:val="22"/>
          <w:szCs w:val="21"/>
        </w:rPr>
        <w:t>、</w:t>
      </w:r>
      <w:r w:rsidR="001E71BE">
        <w:rPr>
          <w:rFonts w:ascii="楷体" w:eastAsia="楷体" w:hAnsi="楷体" w:hint="eastAsia"/>
          <w:color w:val="000000"/>
          <w:sz w:val="22"/>
          <w:szCs w:val="21"/>
        </w:rPr>
        <w:t>博时行业轮动</w:t>
      </w:r>
      <w:r w:rsidR="00EA31AE" w:rsidRPr="0082060F">
        <w:rPr>
          <w:rFonts w:ascii="楷体" w:eastAsia="楷体" w:hAnsi="楷体" w:hint="eastAsia"/>
          <w:color w:val="000000"/>
          <w:sz w:val="22"/>
          <w:szCs w:val="21"/>
        </w:rPr>
        <w:t>、</w:t>
      </w:r>
      <w:r w:rsidR="001E71BE">
        <w:rPr>
          <w:rFonts w:ascii="楷体" w:eastAsia="楷体" w:hAnsi="楷体" w:hint="eastAsia"/>
          <w:color w:val="000000"/>
          <w:sz w:val="22"/>
          <w:szCs w:val="21"/>
        </w:rPr>
        <w:t>金鹰核心资源</w:t>
      </w:r>
      <w:r w:rsidR="00C5319E" w:rsidRPr="0082060F">
        <w:rPr>
          <w:rFonts w:ascii="楷体" w:eastAsia="楷体" w:hAnsi="楷体" w:hint="eastAsia"/>
          <w:color w:val="000000"/>
          <w:sz w:val="22"/>
          <w:szCs w:val="21"/>
        </w:rPr>
        <w:t>收益率</w:t>
      </w:r>
      <w:r w:rsidR="00583AEA" w:rsidRPr="0082060F">
        <w:rPr>
          <w:rFonts w:ascii="楷体" w:eastAsia="楷体" w:hAnsi="楷体" w:hint="eastAsia"/>
          <w:color w:val="000000"/>
          <w:sz w:val="22"/>
          <w:szCs w:val="21"/>
        </w:rPr>
        <w:t>居前</w:t>
      </w:r>
      <w:r w:rsidR="00C5319E" w:rsidRPr="0082060F">
        <w:rPr>
          <w:rFonts w:ascii="楷体" w:eastAsia="楷体" w:hAnsi="楷体" w:hint="eastAsia"/>
          <w:color w:val="000000"/>
          <w:sz w:val="22"/>
          <w:szCs w:val="21"/>
        </w:rPr>
        <w:t>，分别为</w:t>
      </w:r>
      <w:r w:rsidR="001E71BE">
        <w:rPr>
          <w:rFonts w:ascii="楷体" w:eastAsia="楷体" w:hAnsi="楷体" w:hint="eastAsia"/>
          <w:color w:val="000000"/>
          <w:sz w:val="22"/>
          <w:szCs w:val="21"/>
        </w:rPr>
        <w:t>4</w:t>
      </w:r>
      <w:r w:rsidR="001E71BE">
        <w:rPr>
          <w:rFonts w:ascii="楷体" w:eastAsia="楷体" w:hAnsi="楷体"/>
          <w:color w:val="000000"/>
          <w:sz w:val="22"/>
          <w:szCs w:val="21"/>
        </w:rPr>
        <w:t>.</w:t>
      </w:r>
      <w:r w:rsidR="001E71BE">
        <w:rPr>
          <w:rFonts w:ascii="楷体" w:eastAsia="楷体" w:hAnsi="楷体" w:hint="eastAsia"/>
          <w:color w:val="000000"/>
          <w:sz w:val="22"/>
          <w:szCs w:val="21"/>
        </w:rPr>
        <w:t>46</w:t>
      </w:r>
      <w:r w:rsidR="00C5319E" w:rsidRPr="0082060F">
        <w:rPr>
          <w:rFonts w:ascii="楷体" w:eastAsia="楷体" w:hAnsi="楷体" w:hint="eastAsia"/>
          <w:color w:val="000000"/>
          <w:sz w:val="22"/>
          <w:szCs w:val="21"/>
        </w:rPr>
        <w:t>%、</w:t>
      </w:r>
      <w:r w:rsidR="001E71BE">
        <w:rPr>
          <w:rFonts w:ascii="楷体" w:eastAsia="楷体" w:hAnsi="楷体" w:hint="eastAsia"/>
          <w:color w:val="000000"/>
          <w:sz w:val="22"/>
          <w:szCs w:val="21"/>
        </w:rPr>
        <w:t>4</w:t>
      </w:r>
      <w:r w:rsidR="001E71BE">
        <w:rPr>
          <w:rFonts w:ascii="楷体" w:eastAsia="楷体" w:hAnsi="楷体"/>
          <w:color w:val="000000"/>
          <w:sz w:val="22"/>
          <w:szCs w:val="21"/>
        </w:rPr>
        <w:t>.</w:t>
      </w:r>
      <w:r w:rsidR="001E71BE">
        <w:rPr>
          <w:rFonts w:ascii="楷体" w:eastAsia="楷体" w:hAnsi="楷体" w:hint="eastAsia"/>
          <w:color w:val="000000"/>
          <w:sz w:val="22"/>
          <w:szCs w:val="21"/>
        </w:rPr>
        <w:t>26</w:t>
      </w:r>
      <w:r w:rsidR="00C5319E" w:rsidRPr="0082060F">
        <w:rPr>
          <w:rFonts w:ascii="楷体" w:eastAsia="楷体" w:hAnsi="楷体" w:hint="eastAsia"/>
          <w:color w:val="000000"/>
          <w:sz w:val="22"/>
          <w:szCs w:val="21"/>
        </w:rPr>
        <w:t>%和</w:t>
      </w:r>
      <w:r w:rsidR="001E71BE">
        <w:rPr>
          <w:rFonts w:ascii="楷体" w:eastAsia="楷体" w:hAnsi="楷体" w:hint="eastAsia"/>
          <w:color w:val="000000"/>
          <w:sz w:val="22"/>
          <w:szCs w:val="21"/>
        </w:rPr>
        <w:t>3</w:t>
      </w:r>
      <w:r w:rsidR="001E71BE">
        <w:rPr>
          <w:rFonts w:ascii="楷体" w:eastAsia="楷体" w:hAnsi="楷体"/>
          <w:color w:val="000000"/>
          <w:sz w:val="22"/>
          <w:szCs w:val="21"/>
        </w:rPr>
        <w:t>.4</w:t>
      </w:r>
      <w:r w:rsidR="001E71BE">
        <w:rPr>
          <w:rFonts w:ascii="楷体" w:eastAsia="楷体" w:hAnsi="楷体" w:hint="eastAsia"/>
          <w:color w:val="000000"/>
          <w:sz w:val="22"/>
          <w:szCs w:val="21"/>
        </w:rPr>
        <w:t>2</w:t>
      </w:r>
      <w:r w:rsidR="00DF104F" w:rsidRPr="0082060F">
        <w:rPr>
          <w:rFonts w:ascii="楷体" w:eastAsia="楷体" w:hAnsi="楷体"/>
          <w:color w:val="000000"/>
          <w:sz w:val="22"/>
          <w:szCs w:val="21"/>
        </w:rPr>
        <w:t>%</w:t>
      </w:r>
      <w:r w:rsidR="00763C28" w:rsidRPr="0082060F">
        <w:rPr>
          <w:rFonts w:ascii="楷体" w:eastAsia="楷体" w:hAnsi="楷体" w:hint="eastAsia"/>
          <w:color w:val="000000"/>
          <w:sz w:val="22"/>
          <w:szCs w:val="21"/>
        </w:rPr>
        <w:t>。</w:t>
      </w:r>
      <w:r w:rsidR="0014042D" w:rsidRPr="0082060F">
        <w:rPr>
          <w:rFonts w:ascii="楷体" w:eastAsia="楷体" w:hAnsi="楷体" w:hint="eastAsia"/>
          <w:color w:val="000000"/>
          <w:sz w:val="22"/>
          <w:szCs w:val="21"/>
        </w:rPr>
        <w:t>从今年以来混合基金收益情况来看，</w:t>
      </w:r>
      <w:r w:rsidR="00151833" w:rsidRPr="0082060F">
        <w:rPr>
          <w:rFonts w:ascii="楷体" w:eastAsia="楷体" w:hAnsi="楷体" w:hint="eastAsia"/>
          <w:color w:val="000000"/>
          <w:sz w:val="22"/>
          <w:szCs w:val="21"/>
        </w:rPr>
        <w:t>七成以上</w:t>
      </w:r>
      <w:r w:rsidR="0014042D" w:rsidRPr="0082060F">
        <w:rPr>
          <w:rFonts w:ascii="楷体" w:eastAsia="楷体" w:hAnsi="楷体" w:hint="eastAsia"/>
          <w:color w:val="000000"/>
          <w:sz w:val="22"/>
          <w:szCs w:val="21"/>
        </w:rPr>
        <w:t>基金收益率为负值，平均收益率为</w:t>
      </w:r>
      <w:r w:rsidR="0022009D" w:rsidRPr="0082060F">
        <w:rPr>
          <w:rFonts w:ascii="楷体" w:eastAsia="楷体" w:hAnsi="楷体" w:hint="eastAsia"/>
          <w:color w:val="000000"/>
          <w:sz w:val="22"/>
          <w:szCs w:val="21"/>
        </w:rPr>
        <w:t>-</w:t>
      </w:r>
      <w:r w:rsidR="00120BC0" w:rsidRPr="0082060F">
        <w:rPr>
          <w:rFonts w:ascii="楷体" w:eastAsia="楷体" w:hAnsi="楷体"/>
          <w:color w:val="000000"/>
          <w:sz w:val="22"/>
          <w:szCs w:val="21"/>
        </w:rPr>
        <w:t>13.</w:t>
      </w:r>
      <w:r w:rsidR="001E71BE">
        <w:rPr>
          <w:rFonts w:ascii="楷体" w:eastAsia="楷体" w:hAnsi="楷体" w:hint="eastAsia"/>
          <w:color w:val="000000"/>
          <w:sz w:val="22"/>
          <w:szCs w:val="21"/>
        </w:rPr>
        <w:t>47</w:t>
      </w:r>
      <w:r w:rsidR="00151833" w:rsidRPr="0082060F">
        <w:rPr>
          <w:rFonts w:ascii="楷体" w:eastAsia="楷体" w:hAnsi="楷体" w:hint="eastAsia"/>
          <w:color w:val="000000"/>
          <w:sz w:val="22"/>
          <w:szCs w:val="21"/>
        </w:rPr>
        <w:t>%</w:t>
      </w:r>
      <w:r w:rsidR="00C3761C" w:rsidRPr="0082060F">
        <w:rPr>
          <w:rFonts w:ascii="楷体" w:eastAsia="楷体" w:hAnsi="楷体" w:hint="eastAsia"/>
          <w:color w:val="000000"/>
          <w:sz w:val="22"/>
          <w:szCs w:val="21"/>
        </w:rPr>
        <w:t>。</w:t>
      </w:r>
      <w:r w:rsidR="001E71BE">
        <w:rPr>
          <w:rFonts w:ascii="楷体" w:eastAsia="楷体" w:hAnsi="楷体" w:hint="eastAsia"/>
          <w:color w:val="000000"/>
          <w:sz w:val="22"/>
          <w:szCs w:val="21"/>
        </w:rPr>
        <w:t>除部分净值受赎回费并入影响出现短期业绩大幅上涨的基金外，今年以来仓位保持相对低位的混合型基金业绩相对较优，而偏股混合型基金受挫较为严重。</w:t>
      </w:r>
      <w:r w:rsidR="0014042D" w:rsidRPr="0082060F">
        <w:rPr>
          <w:rFonts w:ascii="楷体" w:eastAsia="楷体" w:hAnsi="楷体" w:hint="eastAsia"/>
          <w:color w:val="000000"/>
          <w:sz w:val="22"/>
          <w:szCs w:val="21"/>
        </w:rPr>
        <w:t xml:space="preserve"> </w:t>
      </w:r>
    </w:p>
    <w:p w:rsidR="00F64FF8" w:rsidRDefault="0030206B" w:rsidP="0082060F">
      <w:pPr>
        <w:spacing w:line="360" w:lineRule="auto"/>
        <w:ind w:firstLine="420"/>
        <w:jc w:val="left"/>
        <w:rPr>
          <w:rFonts w:eastAsia="楷体_GB2312"/>
          <w:color w:val="000000"/>
          <w:szCs w:val="21"/>
        </w:rPr>
      </w:pPr>
      <w:r w:rsidRPr="0082060F">
        <w:rPr>
          <w:rFonts w:ascii="楷体" w:eastAsia="楷体" w:hAnsi="楷体" w:hint="eastAsia"/>
          <w:color w:val="000000"/>
          <w:sz w:val="22"/>
          <w:szCs w:val="21"/>
        </w:rPr>
        <w:t>指数</w:t>
      </w:r>
      <w:r w:rsidR="001F6686" w:rsidRPr="0082060F">
        <w:rPr>
          <w:rFonts w:ascii="楷体" w:eastAsia="楷体" w:hAnsi="楷体" w:hint="eastAsia"/>
          <w:color w:val="000000"/>
          <w:sz w:val="22"/>
          <w:szCs w:val="21"/>
        </w:rPr>
        <w:t>基金，</w:t>
      </w:r>
      <w:r w:rsidR="00912EC4" w:rsidRPr="0082060F">
        <w:rPr>
          <w:rFonts w:ascii="楷体" w:eastAsia="楷体" w:hAnsi="楷体" w:hint="eastAsia"/>
          <w:color w:val="000000"/>
          <w:sz w:val="22"/>
          <w:szCs w:val="21"/>
        </w:rPr>
        <w:t>上周</w:t>
      </w:r>
      <w:r w:rsidR="001F6686" w:rsidRPr="0082060F">
        <w:rPr>
          <w:rFonts w:ascii="楷体" w:eastAsia="楷体" w:hAnsi="楷体" w:hint="eastAsia"/>
          <w:color w:val="000000"/>
          <w:sz w:val="22"/>
          <w:szCs w:val="21"/>
        </w:rPr>
        <w:t>平均收益率为</w:t>
      </w:r>
      <w:r w:rsidR="006C6617">
        <w:rPr>
          <w:rFonts w:ascii="楷体" w:eastAsia="楷体" w:hAnsi="楷体" w:hint="eastAsia"/>
          <w:color w:val="000000"/>
          <w:sz w:val="22"/>
          <w:szCs w:val="21"/>
        </w:rPr>
        <w:t>-</w:t>
      </w:r>
      <w:r w:rsidR="00234A04" w:rsidRPr="0082060F">
        <w:rPr>
          <w:rFonts w:ascii="楷体" w:eastAsia="楷体" w:hAnsi="楷体"/>
          <w:color w:val="000000"/>
          <w:sz w:val="22"/>
          <w:szCs w:val="21"/>
        </w:rPr>
        <w:t>0</w:t>
      </w:r>
      <w:r w:rsidR="005D455D" w:rsidRPr="0082060F">
        <w:rPr>
          <w:rFonts w:ascii="楷体" w:eastAsia="楷体" w:hAnsi="楷体" w:hint="eastAsia"/>
          <w:color w:val="000000"/>
          <w:sz w:val="22"/>
          <w:szCs w:val="21"/>
        </w:rPr>
        <w:t>.</w:t>
      </w:r>
      <w:r w:rsidR="006C6617">
        <w:rPr>
          <w:rFonts w:ascii="楷体" w:eastAsia="楷体" w:hAnsi="楷体" w:hint="eastAsia"/>
          <w:color w:val="000000"/>
          <w:sz w:val="22"/>
          <w:szCs w:val="21"/>
        </w:rPr>
        <w:t>21</w:t>
      </w:r>
      <w:r w:rsidR="00285FBB" w:rsidRPr="0082060F">
        <w:rPr>
          <w:rFonts w:ascii="楷体" w:eastAsia="楷体" w:hAnsi="楷体" w:hint="eastAsia"/>
          <w:color w:val="000000"/>
          <w:sz w:val="22"/>
          <w:szCs w:val="21"/>
        </w:rPr>
        <w:t>%</w:t>
      </w:r>
      <w:r w:rsidR="009C4B88" w:rsidRPr="0082060F">
        <w:rPr>
          <w:rFonts w:ascii="楷体" w:eastAsia="楷体" w:hAnsi="楷体" w:hint="eastAsia"/>
          <w:color w:val="000000"/>
          <w:sz w:val="22"/>
          <w:szCs w:val="21"/>
        </w:rPr>
        <w:t>，</w:t>
      </w:r>
      <w:r w:rsidR="006C6617">
        <w:rPr>
          <w:rFonts w:ascii="楷体" w:eastAsia="楷体" w:hAnsi="楷体" w:hint="eastAsia"/>
          <w:color w:val="000000"/>
          <w:sz w:val="22"/>
          <w:szCs w:val="21"/>
        </w:rPr>
        <w:t>仅两成</w:t>
      </w:r>
      <w:r w:rsidR="00DD2FC2" w:rsidRPr="0082060F">
        <w:rPr>
          <w:rFonts w:ascii="楷体" w:eastAsia="楷体" w:hAnsi="楷体" w:hint="eastAsia"/>
          <w:color w:val="000000"/>
          <w:sz w:val="22"/>
          <w:szCs w:val="21"/>
        </w:rPr>
        <w:t>基金收益为</w:t>
      </w:r>
      <w:r w:rsidR="006C6617">
        <w:rPr>
          <w:rFonts w:ascii="楷体" w:eastAsia="楷体" w:hAnsi="楷体" w:hint="eastAsia"/>
          <w:color w:val="000000"/>
          <w:sz w:val="22"/>
          <w:szCs w:val="21"/>
        </w:rPr>
        <w:t>正，相对于主动管理型基金，指数型基金上周业绩相对落后</w:t>
      </w:r>
      <w:r w:rsidR="009C4B88" w:rsidRPr="0082060F">
        <w:rPr>
          <w:rFonts w:ascii="楷体" w:eastAsia="楷体" w:hAnsi="楷体" w:hint="eastAsia"/>
          <w:color w:val="000000"/>
          <w:sz w:val="22"/>
          <w:szCs w:val="21"/>
        </w:rPr>
        <w:t>。</w:t>
      </w:r>
      <w:r w:rsidR="006C6617">
        <w:rPr>
          <w:rFonts w:ascii="楷体" w:eastAsia="楷体" w:hAnsi="楷体" w:hint="eastAsia"/>
          <w:color w:val="000000"/>
          <w:sz w:val="22"/>
          <w:szCs w:val="21"/>
        </w:rPr>
        <w:t>其中，收益率排名靠前的指数型基金为</w:t>
      </w:r>
      <w:r w:rsidR="00285FBB" w:rsidRPr="0082060F">
        <w:rPr>
          <w:rFonts w:ascii="楷体" w:eastAsia="楷体" w:hAnsi="楷体" w:hint="eastAsia"/>
          <w:color w:val="000000"/>
          <w:sz w:val="22"/>
          <w:szCs w:val="21"/>
        </w:rPr>
        <w:t>：</w:t>
      </w:r>
      <w:r w:rsidR="006C6617">
        <w:rPr>
          <w:rFonts w:ascii="楷体" w:eastAsia="楷体" w:hAnsi="楷体" w:hint="eastAsia"/>
          <w:color w:val="000000"/>
          <w:sz w:val="22"/>
          <w:szCs w:val="21"/>
        </w:rPr>
        <w:t>申万菱信电子行业、富国中证工业4.0、南方中证500信息技术ETF</w:t>
      </w:r>
      <w:r w:rsidR="00285FBB" w:rsidRPr="0082060F">
        <w:rPr>
          <w:rFonts w:ascii="楷体" w:eastAsia="楷体" w:hAnsi="楷体" w:hint="eastAsia"/>
          <w:color w:val="000000"/>
          <w:sz w:val="22"/>
          <w:szCs w:val="21"/>
        </w:rPr>
        <w:t>。</w:t>
      </w:r>
      <w:r w:rsidR="006C6617">
        <w:rPr>
          <w:rFonts w:ascii="楷体" w:eastAsia="楷体" w:hAnsi="楷体" w:hint="eastAsia"/>
          <w:color w:val="000000"/>
          <w:sz w:val="22"/>
          <w:szCs w:val="21"/>
        </w:rPr>
        <w:t>上周在电子信息领域相对领涨的情况下，电子行业、信息技术行业的相关指数基金收益较高。</w:t>
      </w:r>
      <w:r w:rsidR="007F5ECF" w:rsidRPr="0082060F">
        <w:rPr>
          <w:rFonts w:ascii="楷体" w:eastAsia="楷体" w:hAnsi="楷体" w:hint="eastAsia"/>
          <w:color w:val="000000"/>
          <w:sz w:val="22"/>
          <w:szCs w:val="21"/>
        </w:rPr>
        <w:t>2016年</w:t>
      </w:r>
      <w:r w:rsidR="00912EC4" w:rsidRPr="0082060F">
        <w:rPr>
          <w:rFonts w:ascii="楷体" w:eastAsia="楷体" w:hAnsi="楷体" w:hint="eastAsia"/>
          <w:color w:val="000000"/>
          <w:sz w:val="22"/>
          <w:szCs w:val="21"/>
        </w:rPr>
        <w:t>以来，</w:t>
      </w:r>
      <w:r w:rsidRPr="0082060F">
        <w:rPr>
          <w:rFonts w:ascii="楷体" w:eastAsia="楷体" w:hAnsi="楷体" w:hint="eastAsia"/>
          <w:color w:val="000000"/>
          <w:sz w:val="22"/>
          <w:szCs w:val="21"/>
        </w:rPr>
        <w:t>指数</w:t>
      </w:r>
      <w:r w:rsidR="00CE33B2" w:rsidRPr="0082060F">
        <w:rPr>
          <w:rFonts w:ascii="楷体" w:eastAsia="楷体" w:hAnsi="楷体" w:hint="eastAsia"/>
          <w:color w:val="000000"/>
          <w:sz w:val="22"/>
          <w:szCs w:val="21"/>
        </w:rPr>
        <w:t>基金平均收益率为</w:t>
      </w:r>
      <w:r w:rsidR="00183EEF" w:rsidRPr="0082060F">
        <w:rPr>
          <w:rFonts w:ascii="楷体" w:eastAsia="楷体" w:hAnsi="楷体" w:hint="eastAsia"/>
          <w:color w:val="000000"/>
          <w:sz w:val="22"/>
          <w:szCs w:val="21"/>
        </w:rPr>
        <w:t>-1</w:t>
      </w:r>
      <w:r w:rsidR="00251474" w:rsidRPr="0082060F">
        <w:rPr>
          <w:rFonts w:ascii="楷体" w:eastAsia="楷体" w:hAnsi="楷体"/>
          <w:color w:val="000000"/>
          <w:sz w:val="22"/>
          <w:szCs w:val="21"/>
        </w:rPr>
        <w:t>8.</w:t>
      </w:r>
      <w:r w:rsidR="006C6617">
        <w:rPr>
          <w:rFonts w:ascii="楷体" w:eastAsia="楷体" w:hAnsi="楷体" w:hint="eastAsia"/>
          <w:color w:val="000000"/>
          <w:sz w:val="22"/>
          <w:szCs w:val="21"/>
        </w:rPr>
        <w:t>96</w:t>
      </w:r>
      <w:r w:rsidR="00912EC4" w:rsidRPr="0082060F">
        <w:rPr>
          <w:rFonts w:ascii="楷体" w:eastAsia="楷体" w:hAnsi="楷体" w:hint="eastAsia"/>
          <w:color w:val="000000"/>
          <w:sz w:val="22"/>
          <w:szCs w:val="21"/>
        </w:rPr>
        <w:t>%</w:t>
      </w:r>
      <w:r w:rsidR="00CE33B2" w:rsidRPr="0082060F">
        <w:rPr>
          <w:rFonts w:ascii="楷体" w:eastAsia="楷体" w:hAnsi="楷体" w:hint="eastAsia"/>
          <w:color w:val="000000"/>
          <w:sz w:val="22"/>
          <w:szCs w:val="21"/>
        </w:rPr>
        <w:t>，</w:t>
      </w:r>
      <w:r w:rsidR="006C6617">
        <w:rPr>
          <w:rFonts w:ascii="楷体" w:eastAsia="楷体" w:hAnsi="楷体" w:hint="eastAsia"/>
          <w:color w:val="000000"/>
          <w:sz w:val="22"/>
          <w:szCs w:val="21"/>
        </w:rPr>
        <w:t>今年以来收益率较好的指数基金为：中融中证白酒、银华中证国防安全、建信中证申万有色金属</w:t>
      </w:r>
      <w:r w:rsidR="007D432E" w:rsidRPr="0082060F">
        <w:rPr>
          <w:rFonts w:ascii="楷体" w:eastAsia="楷体" w:hAnsi="楷体" w:hint="eastAsia"/>
          <w:color w:val="000000"/>
          <w:sz w:val="22"/>
          <w:szCs w:val="21"/>
        </w:rPr>
        <w:t>。</w:t>
      </w:r>
    </w:p>
    <w:p w:rsidR="007C43F9" w:rsidRPr="0082060F" w:rsidRDefault="007C43F9" w:rsidP="0082060F">
      <w:pPr>
        <w:spacing w:line="360" w:lineRule="auto"/>
        <w:jc w:val="left"/>
        <w:rPr>
          <w:rFonts w:ascii="楷体" w:eastAsia="楷体" w:hAnsi="楷体"/>
          <w:b/>
          <w:color w:val="000000"/>
          <w:sz w:val="28"/>
          <w:szCs w:val="28"/>
        </w:rPr>
      </w:pPr>
      <w:r w:rsidRPr="0082060F">
        <w:rPr>
          <w:rFonts w:ascii="楷体" w:eastAsia="楷体" w:hAnsi="楷体" w:hint="eastAsia"/>
          <w:b/>
          <w:color w:val="000000"/>
          <w:sz w:val="28"/>
          <w:szCs w:val="28"/>
        </w:rPr>
        <w:t>固定收益类基金</w:t>
      </w:r>
    </w:p>
    <w:p w:rsidR="001329D8" w:rsidRPr="0082060F" w:rsidRDefault="004B2240" w:rsidP="0082060F">
      <w:pPr>
        <w:spacing w:line="360" w:lineRule="auto"/>
        <w:ind w:firstLineChars="200" w:firstLine="440"/>
        <w:jc w:val="left"/>
        <w:rPr>
          <w:rFonts w:ascii="楷体" w:eastAsia="楷体" w:hAnsi="楷体"/>
          <w:color w:val="000000"/>
          <w:sz w:val="22"/>
          <w:szCs w:val="21"/>
        </w:rPr>
      </w:pPr>
      <w:bookmarkStart w:id="20" w:name="OLE_LINK3"/>
      <w:bookmarkStart w:id="21" w:name="OLE_LINK4"/>
      <w:bookmarkStart w:id="22" w:name="OLE_LINK10"/>
      <w:r w:rsidRPr="0082060F">
        <w:rPr>
          <w:rFonts w:ascii="楷体" w:eastAsia="楷体" w:hAnsi="楷体" w:hint="eastAsia"/>
          <w:color w:val="000000"/>
          <w:sz w:val="22"/>
          <w:szCs w:val="21"/>
        </w:rPr>
        <w:t>债券基金平均收益率为</w:t>
      </w:r>
      <w:r w:rsidR="006C6617">
        <w:rPr>
          <w:rFonts w:ascii="楷体" w:eastAsia="楷体" w:hAnsi="楷体"/>
          <w:color w:val="000000"/>
          <w:sz w:val="22"/>
          <w:szCs w:val="21"/>
        </w:rPr>
        <w:t>0.0</w:t>
      </w:r>
      <w:r w:rsidR="006C6617">
        <w:rPr>
          <w:rFonts w:ascii="楷体" w:eastAsia="楷体" w:hAnsi="楷体" w:hint="eastAsia"/>
          <w:color w:val="000000"/>
          <w:sz w:val="22"/>
          <w:szCs w:val="21"/>
        </w:rPr>
        <w:t>8</w:t>
      </w:r>
      <w:r w:rsidRPr="0082060F">
        <w:rPr>
          <w:rFonts w:ascii="楷体" w:eastAsia="楷体" w:hAnsi="楷体" w:hint="eastAsia"/>
          <w:color w:val="000000"/>
          <w:sz w:val="22"/>
          <w:szCs w:val="21"/>
        </w:rPr>
        <w:t>%，</w:t>
      </w:r>
      <w:r w:rsidR="00B75FAB" w:rsidRPr="0082060F">
        <w:rPr>
          <w:rFonts w:ascii="楷体" w:eastAsia="楷体" w:hAnsi="楷体" w:hint="eastAsia"/>
          <w:color w:val="000000"/>
          <w:sz w:val="22"/>
          <w:szCs w:val="21"/>
        </w:rPr>
        <w:t>近</w:t>
      </w:r>
      <w:r w:rsidR="00D53503" w:rsidRPr="0082060F">
        <w:rPr>
          <w:rFonts w:ascii="楷体" w:eastAsia="楷体" w:hAnsi="楷体" w:hint="eastAsia"/>
          <w:color w:val="000000"/>
          <w:sz w:val="22"/>
          <w:szCs w:val="21"/>
        </w:rPr>
        <w:t>六</w:t>
      </w:r>
      <w:r w:rsidRPr="0082060F">
        <w:rPr>
          <w:rFonts w:ascii="楷体" w:eastAsia="楷体" w:hAnsi="楷体" w:hint="eastAsia"/>
          <w:color w:val="000000"/>
          <w:sz w:val="22"/>
          <w:szCs w:val="21"/>
        </w:rPr>
        <w:t>成基金收益为</w:t>
      </w:r>
      <w:r w:rsidR="00BE4532" w:rsidRPr="0082060F">
        <w:rPr>
          <w:rFonts w:ascii="楷体" w:eastAsia="楷体" w:hAnsi="楷体" w:hint="eastAsia"/>
          <w:color w:val="000000"/>
          <w:sz w:val="22"/>
          <w:szCs w:val="21"/>
        </w:rPr>
        <w:t>正</w:t>
      </w:r>
      <w:r w:rsidRPr="0082060F">
        <w:rPr>
          <w:rFonts w:ascii="楷体" w:eastAsia="楷体" w:hAnsi="楷体" w:hint="eastAsia"/>
          <w:color w:val="000000"/>
          <w:sz w:val="22"/>
          <w:szCs w:val="21"/>
        </w:rPr>
        <w:t>。其中，</w:t>
      </w:r>
      <w:r w:rsidR="006C6617">
        <w:rPr>
          <w:rFonts w:ascii="楷体" w:eastAsia="楷体" w:hAnsi="楷体" w:hint="eastAsia"/>
          <w:color w:val="000000"/>
          <w:sz w:val="22"/>
          <w:szCs w:val="21"/>
        </w:rPr>
        <w:t>中海可转换债券A</w:t>
      </w:r>
      <w:r w:rsidRPr="0082060F">
        <w:rPr>
          <w:rFonts w:ascii="楷体" w:eastAsia="楷体" w:hAnsi="楷体" w:hint="eastAsia"/>
          <w:color w:val="000000"/>
          <w:sz w:val="22"/>
          <w:szCs w:val="21"/>
        </w:rPr>
        <w:t>、</w:t>
      </w:r>
      <w:r w:rsidR="006C6617">
        <w:rPr>
          <w:rFonts w:ascii="楷体" w:eastAsia="楷体" w:hAnsi="楷体" w:hint="eastAsia"/>
          <w:color w:val="000000"/>
          <w:sz w:val="22"/>
          <w:szCs w:val="21"/>
        </w:rPr>
        <w:t>鑫元半年定期开放A</w:t>
      </w:r>
      <w:r w:rsidRPr="0082060F">
        <w:rPr>
          <w:rFonts w:ascii="楷体" w:eastAsia="楷体" w:hAnsi="楷体" w:hint="eastAsia"/>
          <w:color w:val="000000"/>
          <w:sz w:val="22"/>
          <w:szCs w:val="21"/>
        </w:rPr>
        <w:t>、</w:t>
      </w:r>
      <w:r w:rsidR="006C6617">
        <w:rPr>
          <w:rFonts w:ascii="楷体" w:eastAsia="楷体" w:hAnsi="楷体" w:hint="eastAsia"/>
          <w:color w:val="000000"/>
          <w:sz w:val="22"/>
          <w:szCs w:val="21"/>
        </w:rPr>
        <w:t>鹏华丰实A收益率居前</w:t>
      </w:r>
      <w:r w:rsidRPr="0082060F">
        <w:rPr>
          <w:rFonts w:ascii="楷体" w:eastAsia="楷体" w:hAnsi="楷体" w:hint="eastAsia"/>
          <w:color w:val="000000"/>
          <w:sz w:val="22"/>
          <w:szCs w:val="21"/>
        </w:rPr>
        <w:t>，上周收益率分别为</w:t>
      </w:r>
      <w:r w:rsidR="006C6617">
        <w:rPr>
          <w:rFonts w:ascii="楷体" w:eastAsia="楷体" w:hAnsi="楷体" w:hint="eastAsia"/>
          <w:color w:val="000000"/>
          <w:sz w:val="22"/>
          <w:szCs w:val="21"/>
        </w:rPr>
        <w:t>0</w:t>
      </w:r>
      <w:r w:rsidR="006C6617">
        <w:rPr>
          <w:rFonts w:ascii="楷体" w:eastAsia="楷体" w:hAnsi="楷体"/>
          <w:color w:val="000000"/>
          <w:sz w:val="22"/>
          <w:szCs w:val="21"/>
        </w:rPr>
        <w:t>.</w:t>
      </w:r>
      <w:r w:rsidR="006C6617">
        <w:rPr>
          <w:rFonts w:ascii="楷体" w:eastAsia="楷体" w:hAnsi="楷体" w:hint="eastAsia"/>
          <w:color w:val="000000"/>
          <w:sz w:val="22"/>
          <w:szCs w:val="21"/>
        </w:rPr>
        <w:t>59</w:t>
      </w:r>
      <w:r w:rsidRPr="0082060F">
        <w:rPr>
          <w:rFonts w:ascii="楷体" w:eastAsia="楷体" w:hAnsi="楷体"/>
          <w:color w:val="000000"/>
          <w:sz w:val="22"/>
          <w:szCs w:val="21"/>
        </w:rPr>
        <w:t>%</w:t>
      </w:r>
      <w:r w:rsidRPr="0082060F">
        <w:rPr>
          <w:rFonts w:ascii="楷体" w:eastAsia="楷体" w:hAnsi="楷体" w:hint="eastAsia"/>
          <w:color w:val="000000"/>
          <w:sz w:val="22"/>
          <w:szCs w:val="21"/>
        </w:rPr>
        <w:t>、</w:t>
      </w:r>
      <w:r w:rsidR="00465842" w:rsidRPr="0082060F">
        <w:rPr>
          <w:rFonts w:ascii="楷体" w:eastAsia="楷体" w:hAnsi="楷体"/>
          <w:color w:val="000000"/>
          <w:sz w:val="22"/>
          <w:szCs w:val="21"/>
        </w:rPr>
        <w:t>0.</w:t>
      </w:r>
      <w:r w:rsidR="006C6617">
        <w:rPr>
          <w:rFonts w:ascii="楷体" w:eastAsia="楷体" w:hAnsi="楷体" w:hint="eastAsia"/>
          <w:color w:val="000000"/>
          <w:sz w:val="22"/>
          <w:szCs w:val="21"/>
        </w:rPr>
        <w:t>55</w:t>
      </w:r>
      <w:r w:rsidRPr="0082060F">
        <w:rPr>
          <w:rFonts w:ascii="楷体" w:eastAsia="楷体" w:hAnsi="楷体" w:hint="eastAsia"/>
          <w:color w:val="000000"/>
          <w:sz w:val="22"/>
          <w:szCs w:val="21"/>
        </w:rPr>
        <w:t>%和</w:t>
      </w:r>
      <w:r w:rsidR="00465842" w:rsidRPr="0082060F">
        <w:rPr>
          <w:rFonts w:ascii="楷体" w:eastAsia="楷体" w:hAnsi="楷体"/>
          <w:color w:val="000000"/>
          <w:sz w:val="22"/>
          <w:szCs w:val="21"/>
        </w:rPr>
        <w:t>0.</w:t>
      </w:r>
      <w:r w:rsidR="006C6617">
        <w:rPr>
          <w:rFonts w:ascii="楷体" w:eastAsia="楷体" w:hAnsi="楷体" w:hint="eastAsia"/>
          <w:color w:val="000000"/>
          <w:sz w:val="22"/>
          <w:szCs w:val="21"/>
        </w:rPr>
        <w:t>49</w:t>
      </w:r>
      <w:r w:rsidR="00922432" w:rsidRPr="0082060F">
        <w:rPr>
          <w:rFonts w:ascii="楷体" w:eastAsia="楷体" w:hAnsi="楷体"/>
          <w:color w:val="000000"/>
          <w:sz w:val="22"/>
          <w:szCs w:val="21"/>
        </w:rPr>
        <w:t>%</w:t>
      </w:r>
      <w:r w:rsidRPr="0082060F">
        <w:rPr>
          <w:rFonts w:ascii="楷体" w:eastAsia="楷体" w:hAnsi="楷体" w:hint="eastAsia"/>
          <w:color w:val="000000"/>
          <w:sz w:val="22"/>
          <w:szCs w:val="21"/>
        </w:rPr>
        <w:t>。2016年以来的债券型基金平均收益率为-0.</w:t>
      </w:r>
      <w:r w:rsidR="000C2852" w:rsidRPr="0082060F">
        <w:rPr>
          <w:rFonts w:ascii="楷体" w:eastAsia="楷体" w:hAnsi="楷体"/>
          <w:color w:val="000000"/>
          <w:sz w:val="22"/>
          <w:szCs w:val="21"/>
        </w:rPr>
        <w:t>3</w:t>
      </w:r>
      <w:r w:rsidR="006C6617">
        <w:rPr>
          <w:rFonts w:ascii="楷体" w:eastAsia="楷体" w:hAnsi="楷体" w:hint="eastAsia"/>
          <w:color w:val="000000"/>
          <w:sz w:val="22"/>
          <w:szCs w:val="21"/>
        </w:rPr>
        <w:t>1</w:t>
      </w:r>
      <w:r w:rsidRPr="0082060F">
        <w:rPr>
          <w:rFonts w:ascii="楷体" w:eastAsia="楷体" w:hAnsi="楷体" w:hint="eastAsia"/>
          <w:color w:val="000000"/>
          <w:sz w:val="22"/>
          <w:szCs w:val="21"/>
        </w:rPr>
        <w:t>%。业绩居前的基金为新华安享惠金A\C、</w:t>
      </w:r>
      <w:r w:rsidR="00DD38BD" w:rsidRPr="0082060F">
        <w:rPr>
          <w:rFonts w:ascii="楷体" w:eastAsia="楷体" w:hAnsi="楷体" w:hint="eastAsia"/>
          <w:color w:val="000000"/>
          <w:sz w:val="22"/>
          <w:szCs w:val="21"/>
        </w:rPr>
        <w:t>新华惠鑫分级、</w:t>
      </w:r>
      <w:r w:rsidRPr="0082060F">
        <w:rPr>
          <w:rFonts w:ascii="楷体" w:eastAsia="楷体" w:hAnsi="楷体" w:hint="eastAsia"/>
          <w:color w:val="000000"/>
          <w:sz w:val="22"/>
          <w:szCs w:val="21"/>
        </w:rPr>
        <w:t>英大纯债A，收益率分别为</w:t>
      </w:r>
      <w:r w:rsidR="006C6617">
        <w:rPr>
          <w:rFonts w:ascii="楷体" w:eastAsia="楷体" w:hAnsi="楷体" w:hint="eastAsia"/>
          <w:color w:val="000000"/>
          <w:sz w:val="22"/>
          <w:szCs w:val="21"/>
        </w:rPr>
        <w:t>4</w:t>
      </w:r>
      <w:r w:rsidR="006C6617">
        <w:rPr>
          <w:rFonts w:ascii="楷体" w:eastAsia="楷体" w:hAnsi="楷体"/>
          <w:color w:val="000000"/>
          <w:sz w:val="22"/>
          <w:szCs w:val="21"/>
        </w:rPr>
        <w:t>.</w:t>
      </w:r>
      <w:r w:rsidR="006C6617">
        <w:rPr>
          <w:rFonts w:ascii="楷体" w:eastAsia="楷体" w:hAnsi="楷体" w:hint="eastAsia"/>
          <w:color w:val="000000"/>
          <w:sz w:val="22"/>
          <w:szCs w:val="21"/>
        </w:rPr>
        <w:t>05</w:t>
      </w:r>
      <w:r w:rsidR="00626173" w:rsidRPr="0082060F">
        <w:rPr>
          <w:rFonts w:ascii="楷体" w:eastAsia="楷体" w:hAnsi="楷体" w:hint="eastAsia"/>
          <w:color w:val="000000"/>
          <w:sz w:val="22"/>
          <w:szCs w:val="21"/>
        </w:rPr>
        <w:t>%\</w:t>
      </w:r>
      <w:r w:rsidR="00DD07CE" w:rsidRPr="0082060F">
        <w:rPr>
          <w:rFonts w:ascii="楷体" w:eastAsia="楷体" w:hAnsi="楷体"/>
          <w:color w:val="000000"/>
          <w:sz w:val="22"/>
          <w:szCs w:val="21"/>
        </w:rPr>
        <w:t xml:space="preserve"> </w:t>
      </w:r>
      <w:r w:rsidR="006C6617">
        <w:rPr>
          <w:rFonts w:ascii="楷体" w:eastAsia="楷体" w:hAnsi="楷体" w:hint="eastAsia"/>
          <w:color w:val="000000"/>
          <w:sz w:val="22"/>
          <w:szCs w:val="21"/>
        </w:rPr>
        <w:t>4</w:t>
      </w:r>
      <w:r w:rsidR="006C6617">
        <w:rPr>
          <w:rFonts w:ascii="楷体" w:eastAsia="楷体" w:hAnsi="楷体"/>
          <w:color w:val="000000"/>
          <w:sz w:val="22"/>
          <w:szCs w:val="21"/>
        </w:rPr>
        <w:t>.</w:t>
      </w:r>
      <w:r w:rsidR="006C6617">
        <w:rPr>
          <w:rFonts w:ascii="楷体" w:eastAsia="楷体" w:hAnsi="楷体" w:hint="eastAsia"/>
          <w:color w:val="000000"/>
          <w:sz w:val="22"/>
          <w:szCs w:val="21"/>
        </w:rPr>
        <w:t>00</w:t>
      </w:r>
      <w:r w:rsidRPr="0082060F">
        <w:rPr>
          <w:rFonts w:ascii="楷体" w:eastAsia="楷体" w:hAnsi="楷体" w:hint="eastAsia"/>
          <w:color w:val="000000"/>
          <w:sz w:val="22"/>
          <w:szCs w:val="21"/>
        </w:rPr>
        <w:t>%、</w:t>
      </w:r>
      <w:r w:rsidR="006C6617">
        <w:rPr>
          <w:rFonts w:ascii="楷体" w:eastAsia="楷体" w:hAnsi="楷体"/>
          <w:color w:val="000000"/>
          <w:sz w:val="22"/>
          <w:szCs w:val="21"/>
        </w:rPr>
        <w:t>3.7</w:t>
      </w:r>
      <w:r w:rsidR="006C6617">
        <w:rPr>
          <w:rFonts w:ascii="楷体" w:eastAsia="楷体" w:hAnsi="楷体" w:hint="eastAsia"/>
          <w:color w:val="000000"/>
          <w:sz w:val="22"/>
          <w:szCs w:val="21"/>
        </w:rPr>
        <w:t>8</w:t>
      </w:r>
      <w:r w:rsidRPr="0082060F">
        <w:rPr>
          <w:rFonts w:ascii="楷体" w:eastAsia="楷体" w:hAnsi="楷体" w:hint="eastAsia"/>
          <w:color w:val="000000"/>
          <w:sz w:val="22"/>
          <w:szCs w:val="21"/>
        </w:rPr>
        <w:t>%、</w:t>
      </w:r>
      <w:r w:rsidR="006C6617">
        <w:rPr>
          <w:rFonts w:ascii="楷体" w:eastAsia="楷体" w:hAnsi="楷体"/>
          <w:color w:val="000000"/>
          <w:sz w:val="22"/>
          <w:szCs w:val="21"/>
        </w:rPr>
        <w:t>3.6</w:t>
      </w:r>
      <w:r w:rsidR="006C6617">
        <w:rPr>
          <w:rFonts w:ascii="楷体" w:eastAsia="楷体" w:hAnsi="楷体" w:hint="eastAsia"/>
          <w:color w:val="000000"/>
          <w:sz w:val="22"/>
          <w:szCs w:val="21"/>
        </w:rPr>
        <w:t>7</w:t>
      </w:r>
      <w:r w:rsidRPr="0082060F">
        <w:rPr>
          <w:rFonts w:ascii="楷体" w:eastAsia="楷体" w:hAnsi="楷体" w:hint="eastAsia"/>
          <w:color w:val="000000"/>
          <w:sz w:val="22"/>
          <w:szCs w:val="21"/>
        </w:rPr>
        <w:t>%。货币市场基金期间平均7天年化收益率为2.</w:t>
      </w:r>
      <w:r w:rsidR="006C6617">
        <w:rPr>
          <w:rFonts w:ascii="楷体" w:eastAsia="楷体" w:hAnsi="楷体" w:hint="eastAsia"/>
          <w:color w:val="000000"/>
          <w:sz w:val="22"/>
          <w:szCs w:val="21"/>
        </w:rPr>
        <w:t>47</w:t>
      </w:r>
      <w:r w:rsidRPr="0082060F">
        <w:rPr>
          <w:rFonts w:ascii="楷体" w:eastAsia="楷体" w:hAnsi="楷体" w:hint="eastAsia"/>
          <w:color w:val="000000"/>
          <w:sz w:val="22"/>
          <w:szCs w:val="21"/>
        </w:rPr>
        <w:t>%，上周货币市场基金7</w:t>
      </w:r>
      <w:r w:rsidR="00F0657F" w:rsidRPr="0082060F">
        <w:rPr>
          <w:rFonts w:ascii="楷体" w:eastAsia="楷体" w:hAnsi="楷体" w:hint="eastAsia"/>
          <w:color w:val="000000"/>
          <w:sz w:val="22"/>
          <w:szCs w:val="21"/>
        </w:rPr>
        <w:t>天年化收益率较前期</w:t>
      </w:r>
      <w:r w:rsidR="00C81193" w:rsidRPr="0082060F">
        <w:rPr>
          <w:rFonts w:ascii="楷体" w:eastAsia="楷体" w:hAnsi="楷体" w:hint="eastAsia"/>
          <w:color w:val="000000"/>
          <w:sz w:val="22"/>
          <w:szCs w:val="21"/>
        </w:rPr>
        <w:t>呈下降趋势</w:t>
      </w:r>
      <w:r w:rsidR="00D33564" w:rsidRPr="0082060F">
        <w:rPr>
          <w:rFonts w:ascii="楷体" w:eastAsia="楷体" w:hAnsi="楷体" w:hint="eastAsia"/>
          <w:color w:val="000000"/>
          <w:sz w:val="22"/>
          <w:szCs w:val="21"/>
        </w:rPr>
        <w:t>。</w:t>
      </w:r>
      <w:bookmarkEnd w:id="20"/>
      <w:bookmarkEnd w:id="21"/>
      <w:bookmarkEnd w:id="22"/>
    </w:p>
    <w:p w:rsidR="006C6617" w:rsidRDefault="006C6617" w:rsidP="0082060F">
      <w:pPr>
        <w:spacing w:line="360" w:lineRule="auto"/>
        <w:jc w:val="left"/>
        <w:rPr>
          <w:rFonts w:ascii="楷体" w:eastAsia="楷体" w:hAnsi="楷体" w:hint="eastAsia"/>
          <w:b/>
          <w:color w:val="000000"/>
          <w:sz w:val="28"/>
          <w:szCs w:val="28"/>
        </w:rPr>
      </w:pPr>
    </w:p>
    <w:p w:rsidR="007C43F9" w:rsidRPr="0082060F" w:rsidRDefault="007C43F9" w:rsidP="0082060F">
      <w:pPr>
        <w:spacing w:line="360" w:lineRule="auto"/>
        <w:jc w:val="left"/>
        <w:rPr>
          <w:rFonts w:ascii="楷体" w:eastAsia="楷体" w:hAnsi="楷体"/>
          <w:b/>
          <w:color w:val="000000"/>
          <w:sz w:val="28"/>
          <w:szCs w:val="28"/>
        </w:rPr>
      </w:pPr>
      <w:r w:rsidRPr="0082060F">
        <w:rPr>
          <w:rFonts w:ascii="楷体" w:eastAsia="楷体" w:hAnsi="楷体" w:hint="eastAsia"/>
          <w:b/>
          <w:color w:val="000000"/>
          <w:sz w:val="28"/>
          <w:szCs w:val="28"/>
        </w:rPr>
        <w:lastRenderedPageBreak/>
        <w:t>QDII及另类投资产品</w:t>
      </w:r>
    </w:p>
    <w:p w:rsidR="0071040A" w:rsidRPr="0082060F" w:rsidRDefault="004A46B5" w:rsidP="0082060F">
      <w:pPr>
        <w:spacing w:line="360" w:lineRule="auto"/>
        <w:ind w:firstLineChars="150" w:firstLine="330"/>
        <w:jc w:val="left"/>
        <w:rPr>
          <w:rFonts w:ascii="楷体" w:eastAsia="楷体" w:hAnsi="楷体"/>
          <w:color w:val="000000"/>
          <w:sz w:val="22"/>
          <w:szCs w:val="21"/>
        </w:rPr>
      </w:pPr>
      <w:bookmarkStart w:id="23" w:name="OLE_LINK42"/>
      <w:bookmarkStart w:id="24" w:name="OLE_LINK43"/>
      <w:r w:rsidRPr="0082060F">
        <w:rPr>
          <w:rFonts w:ascii="楷体" w:eastAsia="楷体" w:hAnsi="楷体" w:hint="eastAsia"/>
          <w:color w:val="000000"/>
          <w:sz w:val="22"/>
          <w:szCs w:val="21"/>
        </w:rPr>
        <w:t>QDII及另类投资基金期间平均收益率为</w:t>
      </w:r>
      <w:r w:rsidR="006C6617">
        <w:rPr>
          <w:rFonts w:ascii="楷体" w:eastAsia="楷体" w:hAnsi="楷体" w:hint="eastAsia"/>
          <w:color w:val="000000"/>
          <w:sz w:val="22"/>
          <w:szCs w:val="21"/>
        </w:rPr>
        <w:t>1</w:t>
      </w:r>
      <w:r w:rsidR="006C6617">
        <w:rPr>
          <w:rFonts w:ascii="楷体" w:eastAsia="楷体" w:hAnsi="楷体"/>
          <w:color w:val="000000"/>
          <w:sz w:val="22"/>
          <w:szCs w:val="21"/>
        </w:rPr>
        <w:t>.</w:t>
      </w:r>
      <w:r w:rsidR="006C6617">
        <w:rPr>
          <w:rFonts w:ascii="楷体" w:eastAsia="楷体" w:hAnsi="楷体" w:hint="eastAsia"/>
          <w:color w:val="000000"/>
          <w:sz w:val="22"/>
          <w:szCs w:val="21"/>
        </w:rPr>
        <w:t>49</w:t>
      </w:r>
      <w:r w:rsidRPr="0082060F">
        <w:rPr>
          <w:rFonts w:ascii="楷体" w:eastAsia="楷体" w:hAnsi="楷体" w:hint="eastAsia"/>
          <w:color w:val="000000"/>
          <w:sz w:val="22"/>
          <w:szCs w:val="21"/>
        </w:rPr>
        <w:t>%</w:t>
      </w:r>
      <w:r w:rsidR="00A97E58" w:rsidRPr="0082060F">
        <w:rPr>
          <w:rFonts w:ascii="楷体" w:eastAsia="楷体" w:hAnsi="楷体" w:hint="eastAsia"/>
          <w:color w:val="000000"/>
          <w:sz w:val="22"/>
          <w:szCs w:val="21"/>
        </w:rPr>
        <w:t>。</w:t>
      </w:r>
      <w:r w:rsidRPr="0082060F">
        <w:rPr>
          <w:rFonts w:ascii="楷体" w:eastAsia="楷体" w:hAnsi="楷体" w:hint="eastAsia"/>
          <w:color w:val="000000"/>
          <w:sz w:val="22"/>
          <w:szCs w:val="21"/>
        </w:rPr>
        <w:t>业绩收益居前的基金</w:t>
      </w:r>
      <w:r w:rsidR="006C6617">
        <w:rPr>
          <w:rFonts w:ascii="楷体" w:eastAsia="楷体" w:hAnsi="楷体" w:hint="eastAsia"/>
          <w:color w:val="000000"/>
          <w:sz w:val="22"/>
          <w:szCs w:val="21"/>
        </w:rPr>
        <w:t>大多为跟踪港股市场相关指数基金，如：华夏恒生ETF、南方恒生ETF、华夏沪港通恒生ETF</w:t>
      </w:r>
      <w:r w:rsidR="00B05FBF">
        <w:rPr>
          <w:rFonts w:ascii="楷体" w:eastAsia="楷体" w:hAnsi="楷体" w:hint="eastAsia"/>
          <w:color w:val="000000"/>
          <w:sz w:val="22"/>
          <w:szCs w:val="21"/>
        </w:rPr>
        <w:t>，上周收益率约在3.5%左右</w:t>
      </w:r>
      <w:bookmarkEnd w:id="23"/>
      <w:bookmarkEnd w:id="24"/>
      <w:r w:rsidR="00B05FBF">
        <w:rPr>
          <w:rFonts w:ascii="楷体" w:eastAsia="楷体" w:hAnsi="楷体" w:hint="eastAsia"/>
          <w:color w:val="000000"/>
          <w:sz w:val="22"/>
          <w:szCs w:val="21"/>
        </w:rPr>
        <w:t>。除此之外，QDII基金中多个系列产品均表现较佳，投资于美股市场、亚太市场、油气能源等方面的基金上周均实现正收益，仅黄金投资基金上周有所下挫。</w:t>
      </w:r>
    </w:p>
    <w:p w:rsidR="0089305D" w:rsidRPr="0089305D" w:rsidRDefault="0089305D" w:rsidP="0089305D">
      <w:pPr>
        <w:spacing w:line="360" w:lineRule="auto"/>
        <w:ind w:firstLineChars="200" w:firstLine="420"/>
        <w:jc w:val="left"/>
        <w:rPr>
          <w:rFonts w:eastAsia="楷体_GB2312"/>
          <w:color w:val="000000"/>
          <w:szCs w:val="21"/>
        </w:rPr>
      </w:pPr>
    </w:p>
    <w:p w:rsidR="00496188" w:rsidRPr="001F24F3" w:rsidRDefault="00496188" w:rsidP="00AC1958">
      <w:pPr>
        <w:spacing w:line="360" w:lineRule="auto"/>
        <w:ind w:firstLineChars="200" w:firstLine="420"/>
        <w:jc w:val="left"/>
        <w:rPr>
          <w:rFonts w:eastAsia="楷体_GB2312"/>
          <w:color w:val="000000"/>
          <w:szCs w:val="21"/>
        </w:rPr>
        <w:sectPr w:rsidR="00496188" w:rsidRPr="001F24F3" w:rsidSect="00B74732">
          <w:headerReference w:type="default" r:id="rId14"/>
          <w:footerReference w:type="default" r:id="rId15"/>
          <w:pgSz w:w="11906" w:h="16838"/>
          <w:pgMar w:top="1418" w:right="1287" w:bottom="1418" w:left="4536" w:header="851" w:footer="992" w:gutter="0"/>
          <w:cols w:space="425"/>
          <w:docGrid w:type="lines" w:linePitch="312"/>
        </w:sectPr>
      </w:pPr>
    </w:p>
    <w:p w:rsidR="00843251" w:rsidRPr="0058667D" w:rsidRDefault="00843251" w:rsidP="00843251">
      <w:pPr>
        <w:pageBreakBefore/>
        <w:spacing w:line="400" w:lineRule="exact"/>
        <w:jc w:val="left"/>
        <w:rPr>
          <w:rFonts w:ascii="楷体" w:eastAsia="楷体" w:hAnsi="楷体"/>
          <w:b/>
          <w:color w:val="003366"/>
        </w:rPr>
      </w:pPr>
      <w:r w:rsidRPr="0058667D">
        <w:rPr>
          <w:rFonts w:ascii="楷体" w:eastAsia="楷体" w:hAnsi="楷体" w:hint="eastAsia"/>
          <w:b/>
          <w:color w:val="003366"/>
        </w:rPr>
        <w:lastRenderedPageBreak/>
        <w:t>分析师承诺</w:t>
      </w:r>
    </w:p>
    <w:bookmarkEnd w:id="14"/>
    <w:p w:rsidR="00E86F01" w:rsidRPr="0058667D" w:rsidRDefault="00E86F01" w:rsidP="0082060F">
      <w:pPr>
        <w:spacing w:beforeLines="50"/>
        <w:rPr>
          <w:rFonts w:ascii="楷体" w:eastAsia="楷体" w:hAnsi="楷体"/>
          <w:sz w:val="18"/>
        </w:rPr>
      </w:pPr>
      <w:r w:rsidRPr="0058667D">
        <w:rPr>
          <w:rFonts w:ascii="楷体" w:eastAsia="楷体" w:hAnsi="楷体"/>
          <w:sz w:val="18"/>
        </w:rPr>
        <w:t xml:space="preserve">分析师  </w:t>
      </w:r>
      <w:fldSimple w:instr=" DOCPROPERTY  allname  \* MERGEFORMAT ">
        <w:r w:rsidRPr="0058667D">
          <w:rPr>
            <w:rFonts w:ascii="楷体" w:eastAsia="楷体" w:hAnsi="楷体"/>
            <w:sz w:val="18"/>
          </w:rPr>
          <w:t>高琛</w:t>
        </w:r>
      </w:fldSimple>
      <w:r w:rsidRPr="0058667D">
        <w:rPr>
          <w:rFonts w:ascii="楷体" w:eastAsia="楷体" w:hAnsi="楷体"/>
          <w:sz w:val="18"/>
        </w:rPr>
        <w:t xml:space="preserve"> </w:t>
      </w:r>
    </w:p>
    <w:p w:rsidR="00E86F01" w:rsidRPr="0058667D" w:rsidRDefault="00E86F01" w:rsidP="00E86F01">
      <w:pPr>
        <w:spacing w:line="300" w:lineRule="exact"/>
        <w:rPr>
          <w:rFonts w:ascii="楷体" w:eastAsia="楷体" w:hAnsi="楷体"/>
          <w:color w:val="000000"/>
          <w:sz w:val="18"/>
          <w:szCs w:val="18"/>
        </w:rPr>
      </w:pPr>
      <w:r w:rsidRPr="0058667D">
        <w:rPr>
          <w:rFonts w:ascii="楷体" w:eastAsia="楷体" w:hAnsi="楷体"/>
          <w:color w:val="000000"/>
          <w:sz w:val="18"/>
          <w:szCs w:val="18"/>
        </w:rPr>
        <w:t>本人以勤勉尽责的职业态度，独立、客观地出具本报告。本报告依据公开的信息来源，力求清晰、准确地反映分析师的研究观点。此外，本人薪酬的任何部分过去不曾与、现在不与、未来也将不会与本报告中的具体推荐意见或观点直接或间接相关。</w:t>
      </w:r>
    </w:p>
    <w:p w:rsidR="00E86F01" w:rsidRPr="0058667D" w:rsidRDefault="00E86F01" w:rsidP="00E86F01">
      <w:pPr>
        <w:spacing w:line="400" w:lineRule="exact"/>
        <w:jc w:val="left"/>
        <w:rPr>
          <w:rFonts w:ascii="楷体" w:eastAsia="楷体" w:hAnsi="楷体"/>
          <w:b/>
          <w:bCs/>
          <w:color w:val="FF6600"/>
          <w:szCs w:val="21"/>
        </w:rPr>
      </w:pPr>
    </w:p>
    <w:p w:rsidR="00E86F01" w:rsidRPr="0058667D" w:rsidRDefault="00E86F01" w:rsidP="00E86F01">
      <w:pPr>
        <w:spacing w:line="400" w:lineRule="exact"/>
        <w:jc w:val="left"/>
        <w:rPr>
          <w:rFonts w:ascii="楷体" w:eastAsia="楷体" w:hAnsi="楷体"/>
          <w:b/>
          <w:bCs/>
          <w:color w:val="003366"/>
          <w:szCs w:val="21"/>
        </w:rPr>
      </w:pPr>
      <w:r w:rsidRPr="0058667D">
        <w:rPr>
          <w:rFonts w:ascii="楷体" w:eastAsia="楷体" w:hAnsi="楷体"/>
          <w:b/>
          <w:bCs/>
          <w:color w:val="003366"/>
          <w:szCs w:val="21"/>
        </w:rPr>
        <w:t>公司业务资格说明</w:t>
      </w:r>
    </w:p>
    <w:p w:rsidR="00E86F01" w:rsidRPr="0058667D" w:rsidRDefault="00E86F01" w:rsidP="00E86F01">
      <w:pPr>
        <w:spacing w:line="400" w:lineRule="exact"/>
        <w:jc w:val="left"/>
        <w:rPr>
          <w:rFonts w:ascii="楷体" w:eastAsia="楷体" w:hAnsi="楷体"/>
          <w:color w:val="000000"/>
          <w:sz w:val="18"/>
          <w:szCs w:val="18"/>
        </w:rPr>
      </w:pPr>
      <w:r w:rsidRPr="0058667D">
        <w:rPr>
          <w:rFonts w:ascii="楷体" w:eastAsia="楷体" w:hAnsi="楷体"/>
          <w:color w:val="000000"/>
          <w:sz w:val="18"/>
          <w:szCs w:val="18"/>
        </w:rPr>
        <w:t>本公司具备证券投资咨询业务资格，是具备协会会员资格的基金评价机构。</w:t>
      </w:r>
    </w:p>
    <w:p w:rsidR="00E86F01" w:rsidRPr="0058667D" w:rsidRDefault="00E86F01" w:rsidP="00E86F01">
      <w:pPr>
        <w:spacing w:line="400" w:lineRule="exact"/>
        <w:jc w:val="left"/>
        <w:rPr>
          <w:rFonts w:ascii="楷体" w:eastAsia="楷体" w:hAnsi="楷体"/>
          <w:b/>
          <w:bCs/>
          <w:color w:val="003366"/>
          <w:szCs w:val="21"/>
        </w:rPr>
      </w:pPr>
    </w:p>
    <w:p w:rsidR="00E86F01" w:rsidRPr="0058667D" w:rsidRDefault="00E86F01" w:rsidP="00E86F01">
      <w:pPr>
        <w:spacing w:line="400" w:lineRule="exact"/>
        <w:jc w:val="left"/>
        <w:rPr>
          <w:rFonts w:ascii="楷体" w:eastAsia="楷体" w:hAnsi="楷体"/>
          <w:b/>
          <w:bCs/>
          <w:color w:val="003366"/>
          <w:szCs w:val="21"/>
        </w:rPr>
      </w:pPr>
      <w:r w:rsidRPr="0058667D">
        <w:rPr>
          <w:rFonts w:ascii="楷体" w:eastAsia="楷体" w:hAnsi="楷体"/>
          <w:b/>
          <w:bCs/>
          <w:color w:val="003366"/>
          <w:szCs w:val="21"/>
        </w:rPr>
        <w:t>重要声明</w:t>
      </w:r>
    </w:p>
    <w:p w:rsidR="00E86F01" w:rsidRPr="0058667D" w:rsidRDefault="00E86F01" w:rsidP="00E86F01">
      <w:pPr>
        <w:spacing w:line="300" w:lineRule="exact"/>
        <w:rPr>
          <w:rFonts w:ascii="楷体" w:eastAsia="楷体" w:hAnsi="楷体"/>
          <w:color w:val="000000"/>
          <w:sz w:val="18"/>
          <w:szCs w:val="18"/>
        </w:rPr>
      </w:pPr>
      <w:r w:rsidRPr="0058667D">
        <w:rPr>
          <w:rFonts w:ascii="楷体" w:eastAsia="楷体" w:hAnsi="楷体"/>
          <w:color w:val="000000"/>
          <w:sz w:val="18"/>
          <w:szCs w:val="18"/>
        </w:rPr>
        <w:t>本报告中的信息均来源于已公开的资料，我公司对这些信息的准确性及完整性不作任何保证，不保证该信息未经任何更新，也不保证本公司作出的任何建议不会发生任何变更。在任何情况下，报告中的信息或所表达的意见并不构成所述证券买卖的出价或询价。在任何情况下，我公司不就本报告中的任何内容对任何投资作出任何形式的担保。我公司及其关联机构可能会持有报告中提到的公司所发行的证券并进行交易，还可能为这些公司提供或争取提供投资银行或财务顾问服务。业绩表现数据仅代表过去的表现，不保证未来结果。投资收益和本金将随市场波动，当出售证券资产时可能发生损益。当前的表现可能会高于或低于那时引用的数据。</w:t>
      </w:r>
    </w:p>
    <w:p w:rsidR="00E86F01" w:rsidRPr="00D67E93" w:rsidRDefault="00E86F01" w:rsidP="00E86F01">
      <w:pPr>
        <w:spacing w:line="300" w:lineRule="exact"/>
        <w:rPr>
          <w:rFonts w:eastAsia="楷体_GB2312"/>
          <w:sz w:val="18"/>
          <w:szCs w:val="18"/>
        </w:rPr>
      </w:pPr>
      <w:r w:rsidRPr="0058667D">
        <w:rPr>
          <w:rFonts w:ascii="楷体" w:eastAsia="楷体" w:hAnsi="楷体"/>
          <w:color w:val="000000"/>
          <w:sz w:val="18"/>
          <w:szCs w:val="18"/>
        </w:rPr>
        <w:t>本报告版权归上海证券有限责任公司所有。未获得上海证券有限责任公司事先书面授权，任何人不得对本报告进行任何形式的发布、复制。如遵循原文本意地引用、刊发，需注明出处为“上海证券基金评价研究中心”</w:t>
      </w:r>
      <w:r w:rsidRPr="00D67E93">
        <w:rPr>
          <w:rFonts w:eastAsia="楷体_GB2312"/>
          <w:color w:val="000000"/>
          <w:sz w:val="18"/>
          <w:szCs w:val="18"/>
        </w:rPr>
        <w:t>。</w:t>
      </w:r>
    </w:p>
    <w:p w:rsidR="00B74732" w:rsidRPr="00E86F01" w:rsidRDefault="00B74732" w:rsidP="00F62086">
      <w:pPr>
        <w:autoSpaceDE w:val="0"/>
        <w:autoSpaceDN w:val="0"/>
        <w:adjustRightInd w:val="0"/>
        <w:spacing w:beforeLines="30" w:afterLines="30" w:line="300" w:lineRule="exact"/>
        <w:jc w:val="left"/>
      </w:pPr>
    </w:p>
    <w:sectPr w:rsidR="00B74732" w:rsidRPr="00E86F01" w:rsidSect="00984D25">
      <w:headerReference w:type="default" r:id="rId16"/>
      <w:footerReference w:type="default" r:id="rId17"/>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015" w:rsidRDefault="00441015">
      <w:r>
        <w:separator/>
      </w:r>
    </w:p>
  </w:endnote>
  <w:endnote w:type="continuationSeparator" w:id="0">
    <w:p w:rsidR="00441015" w:rsidRDefault="0044101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Times New Roman"/>
    <w:panose1 w:val="00000000000000000000"/>
    <w:charset w:val="00"/>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汉仪楷体简">
    <w:altName w:val="KaiTi_GB2312"/>
    <w:charset w:val="86"/>
    <w:family w:val="modern"/>
    <w:pitch w:val="fixed"/>
    <w:sig w:usb0="00000001" w:usb1="080E0800" w:usb2="00000012" w:usb3="00000000" w:csb0="00040000" w:csb1="00000000"/>
  </w:font>
  <w:font w:name="汉仪中等线简">
    <w:altName w:val="宋体"/>
    <w:charset w:val="86"/>
    <w:family w:val="modern"/>
    <w:pitch w:val="fixed"/>
    <w:sig w:usb0="00000001" w:usb1="080E0800" w:usb2="00000012"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宋体-18030">
    <w:altName w:val="宋体"/>
    <w:charset w:val="86"/>
    <w:family w:val="modern"/>
    <w:pitch w:val="fixed"/>
    <w:sig w:usb0="800022A7" w:usb1="880F3C78" w:usb2="000A005E"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C4" w:rsidRDefault="00F62086">
    <w:pPr>
      <w:pStyle w:val="a6"/>
    </w:pPr>
    <w:r>
      <w:rPr>
        <w:noProof/>
      </w:rPr>
      <w:pict>
        <v:shapetype id="_x0000_t202" coordsize="21600,21600" o:spt="202" path="m,l,21600r21600,l21600,xe">
          <v:stroke joinstyle="miter"/>
          <v:path gradientshapeok="t" o:connecttype="rect"/>
        </v:shapetype>
        <v:shape id="_x0000_s2107" type="#_x0000_t202" style="position:absolute;margin-left:40.9pt;margin-top:784.65pt;width:513.45pt;height:18.05pt;z-index:251657216;mso-position-horizontal-relative:page;mso-position-vertical-relative:page" filled="f" stroked="f">
          <v:textbox style="mso-next-textbox:#_x0000_s2107" inset="0,0,0,0">
            <w:txbxContent>
              <w:p w:rsidR="00FF6FC4" w:rsidRDefault="00FF6FC4" w:rsidP="00DE095A">
                <w:pPr>
                  <w:pBdr>
                    <w:top w:val="single" w:sz="4" w:space="2" w:color="auto"/>
                  </w:pBdr>
                  <w:topLinePunct/>
                  <w:spacing w:line="200" w:lineRule="exact"/>
                  <w:rPr>
                    <w:rFonts w:ascii="楷体_GB2312" w:eastAsia="楷体_GB2312" w:hAnsi="Calibri"/>
                    <w:color w:val="003366"/>
                    <w:szCs w:val="21"/>
                  </w:rPr>
                </w:pPr>
                <w:r>
                  <w:rPr>
                    <w:rFonts w:ascii="楷体_GB2312" w:eastAsia="楷体_GB2312" w:hAnsi="Calibri" w:hint="eastAsia"/>
                    <w:b/>
                    <w:color w:val="003366"/>
                    <w:szCs w:val="21"/>
                  </w:rPr>
                  <w:t>重要提示：请务必阅读尾页分析师承诺和重要声明</w:t>
                </w:r>
                <w:r>
                  <w:rPr>
                    <w:rFonts w:ascii="楷体_GB2312" w:eastAsia="楷体_GB2312" w:hAnsi="Calibri" w:hint="eastAsia"/>
                    <w:color w:val="003366"/>
                    <w:szCs w:val="21"/>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C4" w:rsidRPr="007D0CA8" w:rsidRDefault="00FF6FC4">
    <w:pPr>
      <w:pStyle w:val="a6"/>
      <w:rPr>
        <w:rFonts w:eastAsia="楷体_GB2312"/>
        <w:b/>
        <w:color w:val="003366"/>
        <w:sz w:val="15"/>
        <w:szCs w:val="15"/>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C4" w:rsidRPr="00050225" w:rsidRDefault="00FF6FC4" w:rsidP="0005022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015" w:rsidRDefault="00441015">
      <w:r>
        <w:separator/>
      </w:r>
    </w:p>
  </w:footnote>
  <w:footnote w:type="continuationSeparator" w:id="0">
    <w:p w:rsidR="00441015" w:rsidRDefault="004410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C4" w:rsidRPr="00650CE8" w:rsidRDefault="00FF6FC4" w:rsidP="00755DED">
    <w:pPr>
      <w:pStyle w:val="a5"/>
      <w:ind w:right="120"/>
      <w:jc w:val="right"/>
      <w:rPr>
        <w:rFonts w:ascii="楷体_GB2312" w:eastAsia="楷体_GB2312"/>
        <w:b/>
        <w:color w:val="003366"/>
        <w:sz w:val="24"/>
        <w:szCs w:val="24"/>
      </w:rPr>
    </w:pPr>
    <w:r>
      <w:rPr>
        <w:rFonts w:ascii="楷体_GB2312" w:eastAsia="楷体_GB2312" w:hint="eastAsia"/>
        <w:b/>
        <w:color w:val="003366"/>
        <w:sz w:val="24"/>
        <w:szCs w:val="24"/>
      </w:rPr>
      <w:t>宏观数据点评</w:t>
    </w:r>
    <w:r w:rsidR="00F62086">
      <w:rPr>
        <w:rFonts w:ascii="楷体_GB2312" w:eastAsia="楷体_GB2312"/>
        <w:b/>
        <w:noProof/>
        <w:color w:val="003366"/>
        <w:sz w:val="24"/>
        <w:szCs w:val="24"/>
      </w:rPr>
      <w:pict>
        <v:shapetype id="_x0000_t202" coordsize="21600,21600" o:spt="202" path="m,l,21600r21600,l21600,xe">
          <v:stroke joinstyle="miter"/>
          <v:path gradientshapeok="t" o:connecttype="rect"/>
        </v:shapetype>
        <v:shape id="_x0000_s2109" type="#_x0000_t202" style="position:absolute;left:0;text-align:left;margin-left:-21.1pt;margin-top:-1.35pt;width:89.25pt;height:30.15pt;z-index:251658240;mso-wrap-style:none;mso-position-horizontal-relative:text;mso-position-vertical-relative:text" stroked="f">
          <v:textbox style="mso-next-textbox:#_x0000_s2109;mso-fit-shape-to-text:t">
            <w:txbxContent>
              <w:p w:rsidR="00FF6FC4" w:rsidRDefault="007958DA" w:rsidP="00755DED">
                <w:r>
                  <w:rPr>
                    <w:noProof/>
                  </w:rPr>
                  <w:drawing>
                    <wp:inline distT="0" distB="0" distL="0" distR="0">
                      <wp:extent cx="948690" cy="293370"/>
                      <wp:effectExtent l="19050" t="0" r="381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srcRect/>
                              <a:stretch>
                                <a:fillRect/>
                              </a:stretch>
                            </pic:blipFill>
                            <pic:spPr bwMode="auto">
                              <a:xfrm>
                                <a:off x="0" y="0"/>
                                <a:ext cx="948690" cy="293370"/>
                              </a:xfrm>
                              <a:prstGeom prst="rect">
                                <a:avLst/>
                              </a:prstGeom>
                              <a:noFill/>
                              <a:ln w="9525">
                                <a:noFill/>
                                <a:miter lim="800000"/>
                                <a:headEnd/>
                                <a:tailEnd/>
                              </a:ln>
                            </pic:spPr>
                          </pic:pic>
                        </a:graphicData>
                      </a:graphic>
                    </wp:inline>
                  </w:drawing>
                </w:r>
              </w:p>
            </w:txbxContent>
          </v:textbox>
        </v:shape>
      </w:pict>
    </w:r>
    <w:r w:rsidR="00F62086">
      <w:rPr>
        <w:rFonts w:ascii="楷体_GB2312" w:eastAsia="楷体_GB2312"/>
        <w:b/>
        <w:noProof/>
        <w:color w:val="003366"/>
        <w:sz w:val="24"/>
        <w:szCs w:val="24"/>
      </w:rPr>
      <w:pict>
        <v:line id="_x0000_s2110" style="position:absolute;left:0;text-align:left;z-index:251659264;mso-position-horizontal-relative:text;mso-position-vertical-relative:text" from="63pt,21.9pt" to="477pt,21.9pt" strokecolor="#036" strokeweight="1.5pt"/>
      </w:pict>
    </w:r>
    <w:r w:rsidRPr="00650CE8">
      <w:rPr>
        <w:rFonts w:ascii="楷体_GB2312" w:eastAsia="楷体_GB2312" w:hint="eastAsia"/>
        <w:b/>
        <w:color w:val="003366"/>
        <w:sz w:val="24"/>
        <w:szCs w:val="24"/>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C4" w:rsidRPr="00650CE8" w:rsidRDefault="007958DA" w:rsidP="00935FC9">
    <w:pPr>
      <w:pStyle w:val="a5"/>
      <w:jc w:val="right"/>
      <w:rPr>
        <w:rFonts w:ascii="楷体_GB2312" w:eastAsia="楷体_GB2312"/>
        <w:b/>
        <w:color w:val="003366"/>
        <w:sz w:val="24"/>
        <w:szCs w:val="24"/>
      </w:rPr>
    </w:pPr>
    <w:r>
      <w:rPr>
        <w:noProof/>
        <w:lang w:val="en-US" w:eastAsia="zh-CN"/>
      </w:rPr>
      <w:drawing>
        <wp:anchor distT="0" distB="0" distL="114300" distR="114300" simplePos="0" relativeHeight="251660288" behindDoc="0" locked="0" layoutInCell="1" allowOverlap="1">
          <wp:simplePos x="0" y="0"/>
          <wp:positionH relativeFrom="column">
            <wp:posOffset>-2326640</wp:posOffset>
          </wp:positionH>
          <wp:positionV relativeFrom="paragraph">
            <wp:posOffset>20955</wp:posOffset>
          </wp:positionV>
          <wp:extent cx="904875" cy="238125"/>
          <wp:effectExtent l="19050" t="0" r="9525" b="0"/>
          <wp:wrapSquare wrapText="bothSides"/>
          <wp:docPr id="67" name="图片 12"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yemei"/>
                  <pic:cNvPicPr>
                    <a:picLocks noChangeAspect="1" noChangeArrowheads="1"/>
                  </pic:cNvPicPr>
                </pic:nvPicPr>
                <pic:blipFill>
                  <a:blip r:embed="rId1"/>
                  <a:srcRect/>
                  <a:stretch>
                    <a:fillRect/>
                  </a:stretch>
                </pic:blipFill>
                <pic:spPr bwMode="auto">
                  <a:xfrm>
                    <a:off x="0" y="0"/>
                    <a:ext cx="904875" cy="238125"/>
                  </a:xfrm>
                  <a:prstGeom prst="rect">
                    <a:avLst/>
                  </a:prstGeom>
                  <a:noFill/>
                  <a:ln w="9525">
                    <a:noFill/>
                    <a:miter lim="800000"/>
                    <a:headEnd/>
                    <a:tailEnd/>
                  </a:ln>
                </pic:spPr>
              </pic:pic>
            </a:graphicData>
          </a:graphic>
        </wp:anchor>
      </w:drawing>
    </w:r>
    <w:r w:rsidR="00F62086">
      <w:rPr>
        <w:rFonts w:ascii="楷体_GB2312" w:eastAsia="楷体_GB2312"/>
        <w:b/>
        <w:noProof/>
        <w:color w:val="003366"/>
        <w:sz w:val="24"/>
        <w:szCs w:val="24"/>
      </w:rPr>
      <w:pict>
        <v:line id="_x0000_s2102" style="position:absolute;left:0;text-align:left;z-index:251654144;mso-position-horizontal-relative:text;mso-position-vertical-relative:text" from="-104.9pt,20.4pt" to="309.1pt,20.4pt" strokecolor="#036" strokeweight="1.5pt"/>
      </w:pict>
    </w:r>
    <w:r w:rsidR="00FF6FC4">
      <w:rPr>
        <w:rFonts w:ascii="楷体_GB2312" w:eastAsia="楷体_GB2312" w:hint="eastAsia"/>
        <w:b/>
        <w:color w:val="003366"/>
        <w:sz w:val="24"/>
        <w:szCs w:val="24"/>
      </w:rPr>
      <w:t xml:space="preserve">   基金周报</w:t>
    </w:r>
    <w:r w:rsidR="00FF6FC4" w:rsidRPr="00650CE8">
      <w:rPr>
        <w:rFonts w:ascii="楷体_GB2312" w:eastAsia="楷体_GB2312" w:hint="eastAsia"/>
        <w:b/>
        <w:color w:val="003366"/>
        <w:sz w:val="24"/>
        <w:szCs w:val="24"/>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C4" w:rsidRPr="00650CE8" w:rsidRDefault="007958DA" w:rsidP="00935FC9">
    <w:pPr>
      <w:pStyle w:val="a5"/>
      <w:jc w:val="right"/>
      <w:rPr>
        <w:rFonts w:ascii="楷体_GB2312" w:eastAsia="楷体_GB2312"/>
        <w:b/>
        <w:color w:val="003366"/>
        <w:sz w:val="24"/>
        <w:szCs w:val="24"/>
      </w:rPr>
    </w:pPr>
    <w:r>
      <w:rPr>
        <w:noProof/>
        <w:lang w:val="en-US" w:eastAsia="zh-CN"/>
      </w:rPr>
      <w:drawing>
        <wp:anchor distT="0" distB="0" distL="114300" distR="114300" simplePos="0" relativeHeight="251661312" behindDoc="0" locked="0" layoutInCell="1" allowOverlap="1">
          <wp:simplePos x="0" y="0"/>
          <wp:positionH relativeFrom="column">
            <wp:posOffset>-321310</wp:posOffset>
          </wp:positionH>
          <wp:positionV relativeFrom="paragraph">
            <wp:posOffset>11430</wp:posOffset>
          </wp:positionV>
          <wp:extent cx="933450" cy="247650"/>
          <wp:effectExtent l="19050" t="0" r="0" b="0"/>
          <wp:wrapSquare wrapText="bothSides"/>
          <wp:docPr id="66"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pic:cNvPicPr>
                    <a:picLocks noChangeAspect="1" noChangeArrowheads="1"/>
                  </pic:cNvPicPr>
                </pic:nvPicPr>
                <pic:blipFill>
                  <a:blip r:embed="rId1"/>
                  <a:srcRect/>
                  <a:stretch>
                    <a:fillRect/>
                  </a:stretch>
                </pic:blipFill>
                <pic:spPr bwMode="auto">
                  <a:xfrm>
                    <a:off x="0" y="0"/>
                    <a:ext cx="933450" cy="247650"/>
                  </a:xfrm>
                  <a:prstGeom prst="rect">
                    <a:avLst/>
                  </a:prstGeom>
                  <a:noFill/>
                  <a:ln w="9525">
                    <a:noFill/>
                    <a:miter lim="800000"/>
                    <a:headEnd/>
                    <a:tailEnd/>
                  </a:ln>
                </pic:spPr>
              </pic:pic>
            </a:graphicData>
          </a:graphic>
        </wp:anchor>
      </w:drawing>
    </w:r>
    <w:r w:rsidR="00F62086">
      <w:rPr>
        <w:rFonts w:ascii="楷体_GB2312" w:eastAsia="楷体_GB2312"/>
        <w:b/>
        <w:noProof/>
        <w:color w:val="003366"/>
        <w:sz w:val="24"/>
        <w:szCs w:val="24"/>
      </w:rPr>
      <w:pict>
        <v:line id="_x0000_s2105" style="position:absolute;left:0;text-align:left;z-index:251656192;mso-position-horizontal-relative:text;mso-position-vertical-relative:text" from="48.2pt,20.4pt" to="462.2pt,20.4pt" strokecolor="#036" strokeweight="1.5pt"/>
      </w:pict>
    </w:r>
    <w:r w:rsidR="00F62086">
      <w:rPr>
        <w:rFonts w:ascii="楷体_GB2312" w:eastAsia="楷体_GB2312"/>
        <w:b/>
        <w:noProof/>
        <w:color w:val="003366"/>
        <w:sz w:val="24"/>
        <w:szCs w:val="24"/>
      </w:rPr>
      <w:pict>
        <v:shapetype id="_x0000_t202" coordsize="21600,21600" o:spt="202" path="m,l,21600r21600,l21600,xe">
          <v:stroke joinstyle="miter"/>
          <v:path gradientshapeok="t" o:connecttype="rect"/>
        </v:shapetype>
        <v:shape id="_x0000_s2104" type="#_x0000_t202" style="position:absolute;left:0;text-align:left;margin-left:-189pt;margin-top:-2.85pt;width:89.25pt;height:30.15pt;z-index:251655168;mso-wrap-style:none;mso-position-horizontal-relative:text;mso-position-vertical-relative:text" stroked="f">
          <v:textbox style="mso-next-textbox:#_x0000_s2104;mso-fit-shape-to-text:t">
            <w:txbxContent>
              <w:p w:rsidR="00FF6FC4" w:rsidRDefault="007958DA">
                <w:r>
                  <w:rPr>
                    <w:noProof/>
                  </w:rPr>
                  <w:drawing>
                    <wp:inline distT="0" distB="0" distL="0" distR="0">
                      <wp:extent cx="948690" cy="293370"/>
                      <wp:effectExtent l="1905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
                              <a:srcRect/>
                              <a:stretch>
                                <a:fillRect/>
                              </a:stretch>
                            </pic:blipFill>
                            <pic:spPr bwMode="auto">
                              <a:xfrm>
                                <a:off x="0" y="0"/>
                                <a:ext cx="948690" cy="293370"/>
                              </a:xfrm>
                              <a:prstGeom prst="rect">
                                <a:avLst/>
                              </a:prstGeom>
                              <a:noFill/>
                              <a:ln w="9525">
                                <a:noFill/>
                                <a:miter lim="800000"/>
                                <a:headEnd/>
                                <a:tailEnd/>
                              </a:ln>
                            </pic:spPr>
                          </pic:pic>
                        </a:graphicData>
                      </a:graphic>
                    </wp:inline>
                  </w:drawing>
                </w:r>
              </w:p>
            </w:txbxContent>
          </v:textbox>
        </v:shape>
      </w:pict>
    </w:r>
    <w:r w:rsidR="00FF6FC4">
      <w:rPr>
        <w:rFonts w:ascii="楷体_GB2312" w:eastAsia="楷体_GB2312" w:hint="eastAsia"/>
        <w:b/>
        <w:color w:val="003366"/>
        <w:sz w:val="24"/>
        <w:szCs w:val="24"/>
      </w:rPr>
      <w:t xml:space="preserve">基金周报  </w:t>
    </w:r>
    <w:r w:rsidR="00FF6FC4" w:rsidRPr="00650CE8">
      <w:rPr>
        <w:rFonts w:ascii="楷体_GB2312" w:eastAsia="楷体_GB2312" w:hint="eastAsia"/>
        <w:b/>
        <w:color w:val="003366"/>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2726528"/>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408C980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5F444C40"/>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6B6C6BFE"/>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8376B0E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A6663FF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38C06AE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9262262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73662E2"/>
    <w:lvl w:ilvl="0">
      <w:start w:val="1"/>
      <w:numFmt w:val="decimal"/>
      <w:lvlText w:val="%1."/>
      <w:lvlJc w:val="left"/>
      <w:pPr>
        <w:tabs>
          <w:tab w:val="num" w:pos="360"/>
        </w:tabs>
        <w:ind w:left="360" w:hangingChars="200" w:hanging="360"/>
      </w:pPr>
    </w:lvl>
  </w:abstractNum>
  <w:abstractNum w:abstractNumId="9">
    <w:nsid w:val="FFFFFF89"/>
    <w:multiLevelType w:val="singleLevel"/>
    <w:tmpl w:val="26B6966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8E56AB1"/>
    <w:multiLevelType w:val="hybridMultilevel"/>
    <w:tmpl w:val="30B4BD86"/>
    <w:lvl w:ilvl="0" w:tplc="1C7E6138">
      <w:start w:val="1"/>
      <w:numFmt w:val="decimal"/>
      <w:lvlText w:val="%1."/>
      <w:lvlJc w:val="left"/>
      <w:pPr>
        <w:tabs>
          <w:tab w:val="num" w:pos="3174"/>
        </w:tabs>
        <w:ind w:left="3174" w:hanging="36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11">
    <w:nsid w:val="137409DC"/>
    <w:multiLevelType w:val="hybridMultilevel"/>
    <w:tmpl w:val="FBE629DC"/>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1A862B7E"/>
    <w:multiLevelType w:val="hybridMultilevel"/>
    <w:tmpl w:val="7026FDE4"/>
    <w:lvl w:ilvl="0" w:tplc="AE6AAA20">
      <w:start w:val="1"/>
      <w:numFmt w:val="bullet"/>
      <w:lvlText w:val=""/>
      <w:lvlJc w:val="left"/>
      <w:pPr>
        <w:tabs>
          <w:tab w:val="num" w:pos="420"/>
        </w:tabs>
        <w:ind w:left="420" w:hanging="420"/>
      </w:pPr>
      <w:rPr>
        <w:rFonts w:ascii="Wingdings" w:hAnsi="Wingdings" w:hint="default"/>
        <w:color w:val="FF00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1DC36F7F"/>
    <w:multiLevelType w:val="hybridMultilevel"/>
    <w:tmpl w:val="5D38A926"/>
    <w:lvl w:ilvl="0" w:tplc="E850DD02">
      <w:start w:val="1"/>
      <w:numFmt w:val="bullet"/>
      <w:lvlText w:val=""/>
      <w:lvlJc w:val="left"/>
      <w:pPr>
        <w:tabs>
          <w:tab w:val="num" w:pos="1143"/>
        </w:tabs>
        <w:ind w:left="1143" w:hanging="420"/>
      </w:pPr>
      <w:rPr>
        <w:rFonts w:ascii="Wingdings" w:hAnsi="Wingdings" w:hint="default"/>
        <w:color w:val="003366"/>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248402F7"/>
    <w:multiLevelType w:val="multilevel"/>
    <w:tmpl w:val="A90A8370"/>
    <w:lvl w:ilvl="0">
      <w:start w:val="1"/>
      <w:numFmt w:val="bullet"/>
      <w:lvlText w:val=""/>
      <w:lvlJc w:val="left"/>
      <w:pPr>
        <w:tabs>
          <w:tab w:val="num" w:pos="420"/>
        </w:tabs>
        <w:ind w:left="420" w:hanging="420"/>
      </w:pPr>
      <w:rPr>
        <w:rFonts w:ascii="Wingdings" w:hAnsi="Wingdings" w:hint="default"/>
        <w:color w:val="00336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nsid w:val="31E25EFD"/>
    <w:multiLevelType w:val="hybridMultilevel"/>
    <w:tmpl w:val="A90A8370"/>
    <w:lvl w:ilvl="0" w:tplc="7B6A1B30">
      <w:start w:val="1"/>
      <w:numFmt w:val="bullet"/>
      <w:lvlText w:val=""/>
      <w:lvlJc w:val="left"/>
      <w:pPr>
        <w:tabs>
          <w:tab w:val="num" w:pos="420"/>
        </w:tabs>
        <w:ind w:left="420" w:hanging="420"/>
      </w:pPr>
      <w:rPr>
        <w:rFonts w:ascii="Wingdings" w:hAnsi="Wingdings" w:hint="default"/>
        <w:color w:val="00336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38F960CC"/>
    <w:multiLevelType w:val="hybridMultilevel"/>
    <w:tmpl w:val="DEF05CDA"/>
    <w:lvl w:ilvl="0" w:tplc="0F046B88">
      <w:start w:val="1"/>
      <w:numFmt w:val="decimal"/>
      <w:lvlText w:val="（%1）"/>
      <w:lvlJc w:val="left"/>
      <w:pPr>
        <w:ind w:left="3958" w:hanging="720"/>
      </w:pPr>
      <w:rPr>
        <w:rFonts w:hint="default"/>
      </w:rPr>
    </w:lvl>
    <w:lvl w:ilvl="1" w:tplc="04090019" w:tentative="1">
      <w:start w:val="1"/>
      <w:numFmt w:val="lowerLetter"/>
      <w:lvlText w:val="%2)"/>
      <w:lvlJc w:val="left"/>
      <w:pPr>
        <w:ind w:left="4078" w:hanging="420"/>
      </w:pPr>
    </w:lvl>
    <w:lvl w:ilvl="2" w:tplc="0409001B" w:tentative="1">
      <w:start w:val="1"/>
      <w:numFmt w:val="lowerRoman"/>
      <w:lvlText w:val="%3."/>
      <w:lvlJc w:val="right"/>
      <w:pPr>
        <w:ind w:left="4498" w:hanging="420"/>
      </w:pPr>
    </w:lvl>
    <w:lvl w:ilvl="3" w:tplc="0409000F" w:tentative="1">
      <w:start w:val="1"/>
      <w:numFmt w:val="decimal"/>
      <w:lvlText w:val="%4."/>
      <w:lvlJc w:val="left"/>
      <w:pPr>
        <w:ind w:left="4918" w:hanging="420"/>
      </w:pPr>
    </w:lvl>
    <w:lvl w:ilvl="4" w:tplc="04090019" w:tentative="1">
      <w:start w:val="1"/>
      <w:numFmt w:val="lowerLetter"/>
      <w:lvlText w:val="%5)"/>
      <w:lvlJc w:val="left"/>
      <w:pPr>
        <w:ind w:left="5338" w:hanging="420"/>
      </w:pPr>
    </w:lvl>
    <w:lvl w:ilvl="5" w:tplc="0409001B" w:tentative="1">
      <w:start w:val="1"/>
      <w:numFmt w:val="lowerRoman"/>
      <w:lvlText w:val="%6."/>
      <w:lvlJc w:val="right"/>
      <w:pPr>
        <w:ind w:left="5758" w:hanging="420"/>
      </w:pPr>
    </w:lvl>
    <w:lvl w:ilvl="6" w:tplc="0409000F" w:tentative="1">
      <w:start w:val="1"/>
      <w:numFmt w:val="decimal"/>
      <w:lvlText w:val="%7."/>
      <w:lvlJc w:val="left"/>
      <w:pPr>
        <w:ind w:left="6178" w:hanging="420"/>
      </w:pPr>
    </w:lvl>
    <w:lvl w:ilvl="7" w:tplc="04090019" w:tentative="1">
      <w:start w:val="1"/>
      <w:numFmt w:val="lowerLetter"/>
      <w:lvlText w:val="%8)"/>
      <w:lvlJc w:val="left"/>
      <w:pPr>
        <w:ind w:left="6598" w:hanging="420"/>
      </w:pPr>
    </w:lvl>
    <w:lvl w:ilvl="8" w:tplc="0409001B" w:tentative="1">
      <w:start w:val="1"/>
      <w:numFmt w:val="lowerRoman"/>
      <w:lvlText w:val="%9."/>
      <w:lvlJc w:val="right"/>
      <w:pPr>
        <w:ind w:left="7018" w:hanging="420"/>
      </w:pPr>
    </w:lvl>
  </w:abstractNum>
  <w:abstractNum w:abstractNumId="17">
    <w:nsid w:val="4BB770C8"/>
    <w:multiLevelType w:val="hybridMultilevel"/>
    <w:tmpl w:val="07D4980C"/>
    <w:lvl w:ilvl="0" w:tplc="75B87A74">
      <w:start w:val="1"/>
      <w:numFmt w:val="bullet"/>
      <w:lvlText w:val=""/>
      <w:lvlJc w:val="left"/>
      <w:pPr>
        <w:tabs>
          <w:tab w:val="num" w:pos="3738"/>
        </w:tabs>
        <w:ind w:left="3738" w:hanging="420"/>
      </w:pPr>
      <w:rPr>
        <w:rFonts w:ascii="Wingdings" w:hAnsi="Wingdings" w:hint="default"/>
        <w:color w:val="FF66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nsid w:val="5B115D26"/>
    <w:multiLevelType w:val="hybridMultilevel"/>
    <w:tmpl w:val="A7A4AECC"/>
    <w:lvl w:ilvl="0" w:tplc="D3D647B2">
      <w:start w:val="1"/>
      <w:numFmt w:val="bullet"/>
      <w:lvlText w:val=""/>
      <w:lvlJc w:val="left"/>
      <w:pPr>
        <w:tabs>
          <w:tab w:val="num" w:pos="420"/>
        </w:tabs>
        <w:ind w:left="420" w:hanging="420"/>
      </w:pPr>
      <w:rPr>
        <w:rFonts w:ascii="Wingdings" w:hAnsi="Wingdings" w:hint="default"/>
        <w:color w:val="333399"/>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5C20061D"/>
    <w:multiLevelType w:val="multilevel"/>
    <w:tmpl w:val="B7364AA2"/>
    <w:lvl w:ilvl="0">
      <w:start w:val="1"/>
      <w:numFmt w:val="decimal"/>
      <w:lvlText w:val="%1"/>
      <w:lvlJc w:val="left"/>
      <w:pPr>
        <w:tabs>
          <w:tab w:val="num" w:pos="425"/>
        </w:tabs>
        <w:ind w:left="425" w:hanging="425"/>
      </w:pPr>
      <w:rPr>
        <w:rFonts w:hint="eastAsia"/>
      </w:rPr>
    </w:lvl>
    <w:lvl w:ilvl="1">
      <w:start w:val="1"/>
      <w:numFmt w:val="decimal"/>
      <w:lvlRestart w:val="0"/>
      <w:lvlText w:val="1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20">
    <w:nsid w:val="62A759D9"/>
    <w:multiLevelType w:val="multilevel"/>
    <w:tmpl w:val="33A219AA"/>
    <w:lvl w:ilvl="0">
      <w:start w:val="1"/>
      <w:numFmt w:val="bullet"/>
      <w:lvlText w:val=""/>
      <w:lvlJc w:val="left"/>
      <w:pPr>
        <w:tabs>
          <w:tab w:val="num" w:pos="425"/>
        </w:tabs>
        <w:ind w:left="425" w:hanging="425"/>
      </w:pPr>
      <w:rPr>
        <w:rFonts w:ascii="Wingdings" w:hAnsi="Wingdings" w:hint="default"/>
        <w:color w:val="00336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nsid w:val="660D458A"/>
    <w:multiLevelType w:val="hybridMultilevel"/>
    <w:tmpl w:val="E31EA03C"/>
    <w:lvl w:ilvl="0" w:tplc="7646CE24">
      <w:start w:val="1"/>
      <w:numFmt w:val="decimal"/>
      <w:lvlText w:val="%1)"/>
      <w:lvlJc w:val="left"/>
      <w:pPr>
        <w:tabs>
          <w:tab w:val="num" w:pos="420"/>
        </w:tabs>
        <w:ind w:left="420" w:hanging="420"/>
      </w:p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22">
    <w:nsid w:val="6A8D5F31"/>
    <w:multiLevelType w:val="hybridMultilevel"/>
    <w:tmpl w:val="24E27412"/>
    <w:lvl w:ilvl="0" w:tplc="D3D647B2">
      <w:start w:val="1"/>
      <w:numFmt w:val="bullet"/>
      <w:lvlText w:val=""/>
      <w:lvlJc w:val="left"/>
      <w:pPr>
        <w:tabs>
          <w:tab w:val="num" w:pos="420"/>
        </w:tabs>
        <w:ind w:left="420" w:hanging="420"/>
      </w:pPr>
      <w:rPr>
        <w:rFonts w:ascii="Wingdings" w:hAnsi="Wingdings" w:hint="default"/>
        <w:color w:val="333399"/>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nsid w:val="73D80113"/>
    <w:multiLevelType w:val="hybridMultilevel"/>
    <w:tmpl w:val="7FC2D596"/>
    <w:lvl w:ilvl="0" w:tplc="B67A1E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7A5E3680"/>
    <w:multiLevelType w:val="hybridMultilevel"/>
    <w:tmpl w:val="026E9D02"/>
    <w:lvl w:ilvl="0" w:tplc="7B6A1B30">
      <w:start w:val="1"/>
      <w:numFmt w:val="bullet"/>
      <w:pStyle w:val="a"/>
      <w:lvlText w:val=""/>
      <w:lvlJc w:val="left"/>
      <w:pPr>
        <w:tabs>
          <w:tab w:val="num" w:pos="630"/>
        </w:tabs>
        <w:ind w:left="630" w:hanging="420"/>
      </w:pPr>
      <w:rPr>
        <w:rFonts w:ascii="Wingdings" w:hAnsi="Wingdings" w:hint="default"/>
        <w:color w:val="00336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nsid w:val="7E1A10C2"/>
    <w:multiLevelType w:val="hybridMultilevel"/>
    <w:tmpl w:val="F3689EAE"/>
    <w:lvl w:ilvl="0" w:tplc="33A6F226">
      <w:start w:val="1"/>
      <w:numFmt w:val="bullet"/>
      <w:lvlText w:val=""/>
      <w:lvlJc w:val="left"/>
      <w:pPr>
        <w:tabs>
          <w:tab w:val="num" w:pos="425"/>
        </w:tabs>
        <w:ind w:left="425" w:hanging="425"/>
      </w:pPr>
      <w:rPr>
        <w:rFonts w:ascii="Wingdings" w:hAnsi="Wingdings" w:hint="default"/>
        <w:color w:val="00336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7"/>
  </w:num>
  <w:num w:numId="2">
    <w:abstractNumId w:val="22"/>
  </w:num>
  <w:num w:numId="3">
    <w:abstractNumId w:val="24"/>
  </w:num>
  <w:num w:numId="4">
    <w:abstractNumId w:val="24"/>
  </w:num>
  <w:num w:numId="5">
    <w:abstractNumId w:val="18"/>
  </w:num>
  <w:num w:numId="6">
    <w:abstractNumId w:val="10"/>
  </w:num>
  <w:num w:numId="7">
    <w:abstractNumId w:val="12"/>
  </w:num>
  <w:num w:numId="8">
    <w:abstractNumId w:val="15"/>
  </w:num>
  <w:num w:numId="9">
    <w:abstractNumId w:val="14"/>
  </w:num>
  <w:num w:numId="10">
    <w:abstractNumId w:val="25"/>
  </w:num>
  <w:num w:numId="11">
    <w:abstractNumId w:val="20"/>
  </w:num>
  <w:num w:numId="12">
    <w:abstractNumId w:val="13"/>
  </w:num>
  <w:num w:numId="13">
    <w:abstractNumId w:val="11"/>
  </w:num>
  <w:num w:numId="14">
    <w:abstractNumId w:val="19"/>
  </w:num>
  <w:num w:numId="15">
    <w:abstractNumId w:val="21"/>
  </w:num>
  <w:num w:numId="16">
    <w:abstractNumId w:val="23"/>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4"/>
  <w:defaultTabStop w:val="420"/>
  <w:drawingGridVerticalSpacing w:val="156"/>
  <w:displayHorizontalDrawingGridEvery w:val="0"/>
  <w:displayVerticalDrawingGridEvery w:val="2"/>
  <w:characterSpacingControl w:val="compressPunctuation"/>
  <w:hdrShapeDefaults>
    <o:shapedefaults v:ext="edit" spidmax="4098" fill="f" fillcolor="white" stroke="f">
      <v:fill color="white" on="f"/>
      <v:stroke on="f"/>
      <o:colormru v:ext="edit" colors="#99f,#9ecdf8,#f00000,#00326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672A"/>
    <w:rsid w:val="00000A8B"/>
    <w:rsid w:val="00000C1C"/>
    <w:rsid w:val="000010C0"/>
    <w:rsid w:val="000029C2"/>
    <w:rsid w:val="000060BC"/>
    <w:rsid w:val="00006C4F"/>
    <w:rsid w:val="000075A3"/>
    <w:rsid w:val="0001084E"/>
    <w:rsid w:val="00010F30"/>
    <w:rsid w:val="00011136"/>
    <w:rsid w:val="00011E15"/>
    <w:rsid w:val="00012A69"/>
    <w:rsid w:val="000136F0"/>
    <w:rsid w:val="00013B4E"/>
    <w:rsid w:val="00014218"/>
    <w:rsid w:val="000149A7"/>
    <w:rsid w:val="00015C2C"/>
    <w:rsid w:val="00016E92"/>
    <w:rsid w:val="00021182"/>
    <w:rsid w:val="00021EF5"/>
    <w:rsid w:val="000228D5"/>
    <w:rsid w:val="0002443B"/>
    <w:rsid w:val="00024951"/>
    <w:rsid w:val="000258E6"/>
    <w:rsid w:val="00026271"/>
    <w:rsid w:val="00026C9A"/>
    <w:rsid w:val="00026FBB"/>
    <w:rsid w:val="0003099C"/>
    <w:rsid w:val="00030C7A"/>
    <w:rsid w:val="00031FC4"/>
    <w:rsid w:val="00033526"/>
    <w:rsid w:val="000352F7"/>
    <w:rsid w:val="000357D5"/>
    <w:rsid w:val="00037A81"/>
    <w:rsid w:val="000404EB"/>
    <w:rsid w:val="00040600"/>
    <w:rsid w:val="0004259B"/>
    <w:rsid w:val="00044077"/>
    <w:rsid w:val="00044EFF"/>
    <w:rsid w:val="000476AD"/>
    <w:rsid w:val="00050225"/>
    <w:rsid w:val="00050BDB"/>
    <w:rsid w:val="000526FD"/>
    <w:rsid w:val="00052A51"/>
    <w:rsid w:val="00052D23"/>
    <w:rsid w:val="00054F13"/>
    <w:rsid w:val="000555FF"/>
    <w:rsid w:val="00055C3A"/>
    <w:rsid w:val="00055C6B"/>
    <w:rsid w:val="000566B1"/>
    <w:rsid w:val="00056F53"/>
    <w:rsid w:val="00057A95"/>
    <w:rsid w:val="00057B37"/>
    <w:rsid w:val="00057B49"/>
    <w:rsid w:val="000603B9"/>
    <w:rsid w:val="000614C1"/>
    <w:rsid w:val="00061D7A"/>
    <w:rsid w:val="0006274D"/>
    <w:rsid w:val="000635F0"/>
    <w:rsid w:val="00063A2B"/>
    <w:rsid w:val="00063E76"/>
    <w:rsid w:val="00066030"/>
    <w:rsid w:val="00067164"/>
    <w:rsid w:val="000724AC"/>
    <w:rsid w:val="00073F80"/>
    <w:rsid w:val="00075610"/>
    <w:rsid w:val="00076929"/>
    <w:rsid w:val="00076AAF"/>
    <w:rsid w:val="0007720C"/>
    <w:rsid w:val="0007767C"/>
    <w:rsid w:val="00080306"/>
    <w:rsid w:val="0008064D"/>
    <w:rsid w:val="00081D6C"/>
    <w:rsid w:val="0008227A"/>
    <w:rsid w:val="000841BF"/>
    <w:rsid w:val="000843BB"/>
    <w:rsid w:val="000858B7"/>
    <w:rsid w:val="00085D59"/>
    <w:rsid w:val="0008664C"/>
    <w:rsid w:val="00087072"/>
    <w:rsid w:val="0009105F"/>
    <w:rsid w:val="00094C8A"/>
    <w:rsid w:val="00097DEB"/>
    <w:rsid w:val="000A1CF1"/>
    <w:rsid w:val="000A2214"/>
    <w:rsid w:val="000A3199"/>
    <w:rsid w:val="000A36DA"/>
    <w:rsid w:val="000A53A4"/>
    <w:rsid w:val="000A6131"/>
    <w:rsid w:val="000A7308"/>
    <w:rsid w:val="000B05E0"/>
    <w:rsid w:val="000B19DC"/>
    <w:rsid w:val="000B29EE"/>
    <w:rsid w:val="000B4C93"/>
    <w:rsid w:val="000B54D5"/>
    <w:rsid w:val="000B6D83"/>
    <w:rsid w:val="000B7A77"/>
    <w:rsid w:val="000C0D08"/>
    <w:rsid w:val="000C0E23"/>
    <w:rsid w:val="000C2852"/>
    <w:rsid w:val="000C3632"/>
    <w:rsid w:val="000C3807"/>
    <w:rsid w:val="000C4375"/>
    <w:rsid w:val="000C63F6"/>
    <w:rsid w:val="000C6939"/>
    <w:rsid w:val="000D0A4C"/>
    <w:rsid w:val="000D0C30"/>
    <w:rsid w:val="000D0F08"/>
    <w:rsid w:val="000D22F2"/>
    <w:rsid w:val="000D253F"/>
    <w:rsid w:val="000D33B0"/>
    <w:rsid w:val="000D46A0"/>
    <w:rsid w:val="000D4855"/>
    <w:rsid w:val="000E113B"/>
    <w:rsid w:val="000E15BC"/>
    <w:rsid w:val="000E1A85"/>
    <w:rsid w:val="000E1EA6"/>
    <w:rsid w:val="000E2053"/>
    <w:rsid w:val="000E214A"/>
    <w:rsid w:val="000E25C6"/>
    <w:rsid w:val="000E3CA4"/>
    <w:rsid w:val="000E3E48"/>
    <w:rsid w:val="000E65C7"/>
    <w:rsid w:val="000E6A07"/>
    <w:rsid w:val="000F00A4"/>
    <w:rsid w:val="000F0F26"/>
    <w:rsid w:val="000F223C"/>
    <w:rsid w:val="000F25CB"/>
    <w:rsid w:val="000F6921"/>
    <w:rsid w:val="000F7C8B"/>
    <w:rsid w:val="0010121A"/>
    <w:rsid w:val="00102353"/>
    <w:rsid w:val="001037FE"/>
    <w:rsid w:val="0010652E"/>
    <w:rsid w:val="00106C68"/>
    <w:rsid w:val="00111A28"/>
    <w:rsid w:val="00111CD8"/>
    <w:rsid w:val="0011208F"/>
    <w:rsid w:val="00113299"/>
    <w:rsid w:val="0011474C"/>
    <w:rsid w:val="00117F4F"/>
    <w:rsid w:val="00120BC0"/>
    <w:rsid w:val="001219C8"/>
    <w:rsid w:val="0012228B"/>
    <w:rsid w:val="00123674"/>
    <w:rsid w:val="00123BE6"/>
    <w:rsid w:val="00124AD4"/>
    <w:rsid w:val="00126FCE"/>
    <w:rsid w:val="0012751F"/>
    <w:rsid w:val="00127AC7"/>
    <w:rsid w:val="001300AC"/>
    <w:rsid w:val="001301AA"/>
    <w:rsid w:val="001329D8"/>
    <w:rsid w:val="00132E04"/>
    <w:rsid w:val="0013506B"/>
    <w:rsid w:val="0013621B"/>
    <w:rsid w:val="00136D41"/>
    <w:rsid w:val="0014042D"/>
    <w:rsid w:val="0014056C"/>
    <w:rsid w:val="00140F4D"/>
    <w:rsid w:val="00142868"/>
    <w:rsid w:val="00142AC7"/>
    <w:rsid w:val="0014446A"/>
    <w:rsid w:val="001461E7"/>
    <w:rsid w:val="00147AB3"/>
    <w:rsid w:val="00151833"/>
    <w:rsid w:val="00152105"/>
    <w:rsid w:val="001528C6"/>
    <w:rsid w:val="00153924"/>
    <w:rsid w:val="001547F8"/>
    <w:rsid w:val="001565B6"/>
    <w:rsid w:val="00156678"/>
    <w:rsid w:val="0015775B"/>
    <w:rsid w:val="001603B9"/>
    <w:rsid w:val="001604BF"/>
    <w:rsid w:val="001616B7"/>
    <w:rsid w:val="00162E32"/>
    <w:rsid w:val="001632A8"/>
    <w:rsid w:val="001642C5"/>
    <w:rsid w:val="00164349"/>
    <w:rsid w:val="001653BC"/>
    <w:rsid w:val="0016594C"/>
    <w:rsid w:val="00166C6A"/>
    <w:rsid w:val="00167BF8"/>
    <w:rsid w:val="0017090D"/>
    <w:rsid w:val="00170F3B"/>
    <w:rsid w:val="00176089"/>
    <w:rsid w:val="001762E4"/>
    <w:rsid w:val="001765FE"/>
    <w:rsid w:val="00176906"/>
    <w:rsid w:val="00176B4C"/>
    <w:rsid w:val="00177536"/>
    <w:rsid w:val="0018053B"/>
    <w:rsid w:val="001818ED"/>
    <w:rsid w:val="00181CE2"/>
    <w:rsid w:val="00183EEF"/>
    <w:rsid w:val="00184AB3"/>
    <w:rsid w:val="0018533E"/>
    <w:rsid w:val="0018557F"/>
    <w:rsid w:val="001856CB"/>
    <w:rsid w:val="0018592E"/>
    <w:rsid w:val="00186271"/>
    <w:rsid w:val="0018775C"/>
    <w:rsid w:val="00190686"/>
    <w:rsid w:val="00190BE8"/>
    <w:rsid w:val="001915A4"/>
    <w:rsid w:val="00193049"/>
    <w:rsid w:val="001944DB"/>
    <w:rsid w:val="0019524C"/>
    <w:rsid w:val="00195E66"/>
    <w:rsid w:val="00196E05"/>
    <w:rsid w:val="001A285A"/>
    <w:rsid w:val="001A29DA"/>
    <w:rsid w:val="001A34D8"/>
    <w:rsid w:val="001A3AF7"/>
    <w:rsid w:val="001A3D58"/>
    <w:rsid w:val="001A3F88"/>
    <w:rsid w:val="001A6984"/>
    <w:rsid w:val="001A6B46"/>
    <w:rsid w:val="001A7150"/>
    <w:rsid w:val="001A7CA4"/>
    <w:rsid w:val="001B00EF"/>
    <w:rsid w:val="001B125C"/>
    <w:rsid w:val="001B14B0"/>
    <w:rsid w:val="001B20CC"/>
    <w:rsid w:val="001B2AFB"/>
    <w:rsid w:val="001B3F3D"/>
    <w:rsid w:val="001B3FDA"/>
    <w:rsid w:val="001B4FF6"/>
    <w:rsid w:val="001B7277"/>
    <w:rsid w:val="001C07D6"/>
    <w:rsid w:val="001C085B"/>
    <w:rsid w:val="001C0C52"/>
    <w:rsid w:val="001C14C7"/>
    <w:rsid w:val="001C2326"/>
    <w:rsid w:val="001C27A2"/>
    <w:rsid w:val="001C5171"/>
    <w:rsid w:val="001D2958"/>
    <w:rsid w:val="001D3A7D"/>
    <w:rsid w:val="001D3E99"/>
    <w:rsid w:val="001D41B7"/>
    <w:rsid w:val="001D5F56"/>
    <w:rsid w:val="001E18A5"/>
    <w:rsid w:val="001E1E30"/>
    <w:rsid w:val="001E47B7"/>
    <w:rsid w:val="001E71BE"/>
    <w:rsid w:val="001E76B1"/>
    <w:rsid w:val="001F0187"/>
    <w:rsid w:val="001F13EA"/>
    <w:rsid w:val="001F19FF"/>
    <w:rsid w:val="001F24F3"/>
    <w:rsid w:val="001F291F"/>
    <w:rsid w:val="001F506C"/>
    <w:rsid w:val="001F654E"/>
    <w:rsid w:val="001F6686"/>
    <w:rsid w:val="0020219B"/>
    <w:rsid w:val="00204C97"/>
    <w:rsid w:val="00210CB7"/>
    <w:rsid w:val="00211C13"/>
    <w:rsid w:val="00212146"/>
    <w:rsid w:val="00213851"/>
    <w:rsid w:val="00214A9C"/>
    <w:rsid w:val="00215E78"/>
    <w:rsid w:val="00216320"/>
    <w:rsid w:val="00217ACA"/>
    <w:rsid w:val="0022009D"/>
    <w:rsid w:val="0022104F"/>
    <w:rsid w:val="00221548"/>
    <w:rsid w:val="002217BB"/>
    <w:rsid w:val="00221CCC"/>
    <w:rsid w:val="00225042"/>
    <w:rsid w:val="00225581"/>
    <w:rsid w:val="00226333"/>
    <w:rsid w:val="002263D7"/>
    <w:rsid w:val="002267BC"/>
    <w:rsid w:val="002268C0"/>
    <w:rsid w:val="00226DDB"/>
    <w:rsid w:val="00227EBA"/>
    <w:rsid w:val="002312E9"/>
    <w:rsid w:val="00232EFD"/>
    <w:rsid w:val="002334BB"/>
    <w:rsid w:val="00234204"/>
    <w:rsid w:val="0023448E"/>
    <w:rsid w:val="00234A04"/>
    <w:rsid w:val="00235A10"/>
    <w:rsid w:val="002360D9"/>
    <w:rsid w:val="00236454"/>
    <w:rsid w:val="002364BE"/>
    <w:rsid w:val="00236A11"/>
    <w:rsid w:val="002406C4"/>
    <w:rsid w:val="00240F9C"/>
    <w:rsid w:val="002431D2"/>
    <w:rsid w:val="00243B60"/>
    <w:rsid w:val="002455E5"/>
    <w:rsid w:val="00245E5C"/>
    <w:rsid w:val="00246CC4"/>
    <w:rsid w:val="0025043F"/>
    <w:rsid w:val="00250DF9"/>
    <w:rsid w:val="00251474"/>
    <w:rsid w:val="00251707"/>
    <w:rsid w:val="002537C8"/>
    <w:rsid w:val="002537D7"/>
    <w:rsid w:val="002537F4"/>
    <w:rsid w:val="00261D58"/>
    <w:rsid w:val="00262722"/>
    <w:rsid w:val="00264220"/>
    <w:rsid w:val="0026436C"/>
    <w:rsid w:val="00265014"/>
    <w:rsid w:val="00267680"/>
    <w:rsid w:val="002708B7"/>
    <w:rsid w:val="00273E53"/>
    <w:rsid w:val="00274A13"/>
    <w:rsid w:val="00274D28"/>
    <w:rsid w:val="00275622"/>
    <w:rsid w:val="00275952"/>
    <w:rsid w:val="00276FA0"/>
    <w:rsid w:val="00277726"/>
    <w:rsid w:val="002803C9"/>
    <w:rsid w:val="002817B4"/>
    <w:rsid w:val="002820A9"/>
    <w:rsid w:val="00283716"/>
    <w:rsid w:val="00283D91"/>
    <w:rsid w:val="00284B0E"/>
    <w:rsid w:val="00285C69"/>
    <w:rsid w:val="00285F23"/>
    <w:rsid w:val="00285FBB"/>
    <w:rsid w:val="00286A6C"/>
    <w:rsid w:val="00286F2A"/>
    <w:rsid w:val="00290216"/>
    <w:rsid w:val="0029059A"/>
    <w:rsid w:val="002907C1"/>
    <w:rsid w:val="00291D1B"/>
    <w:rsid w:val="0029394D"/>
    <w:rsid w:val="0029438D"/>
    <w:rsid w:val="002963A5"/>
    <w:rsid w:val="00297C84"/>
    <w:rsid w:val="002A1E05"/>
    <w:rsid w:val="002A25BC"/>
    <w:rsid w:val="002A2F19"/>
    <w:rsid w:val="002A3822"/>
    <w:rsid w:val="002A581D"/>
    <w:rsid w:val="002B0743"/>
    <w:rsid w:val="002B0D85"/>
    <w:rsid w:val="002B13F7"/>
    <w:rsid w:val="002B1A6C"/>
    <w:rsid w:val="002B25E6"/>
    <w:rsid w:val="002B2DBB"/>
    <w:rsid w:val="002B4D8D"/>
    <w:rsid w:val="002B4F76"/>
    <w:rsid w:val="002B53EE"/>
    <w:rsid w:val="002B65D0"/>
    <w:rsid w:val="002B6F52"/>
    <w:rsid w:val="002B723F"/>
    <w:rsid w:val="002C019D"/>
    <w:rsid w:val="002C0F0D"/>
    <w:rsid w:val="002C17F7"/>
    <w:rsid w:val="002C29F0"/>
    <w:rsid w:val="002C3532"/>
    <w:rsid w:val="002C42B2"/>
    <w:rsid w:val="002C4910"/>
    <w:rsid w:val="002C4A1A"/>
    <w:rsid w:val="002C5C0A"/>
    <w:rsid w:val="002C7359"/>
    <w:rsid w:val="002D1256"/>
    <w:rsid w:val="002D1E19"/>
    <w:rsid w:val="002D4169"/>
    <w:rsid w:val="002D5550"/>
    <w:rsid w:val="002D59E9"/>
    <w:rsid w:val="002D60D7"/>
    <w:rsid w:val="002D69DE"/>
    <w:rsid w:val="002E0A3F"/>
    <w:rsid w:val="002E17BF"/>
    <w:rsid w:val="002E1B58"/>
    <w:rsid w:val="002E2EFA"/>
    <w:rsid w:val="002E31FA"/>
    <w:rsid w:val="002E3FFF"/>
    <w:rsid w:val="002E57C9"/>
    <w:rsid w:val="002E649A"/>
    <w:rsid w:val="002E7972"/>
    <w:rsid w:val="002F16F1"/>
    <w:rsid w:val="002F198B"/>
    <w:rsid w:val="002F7316"/>
    <w:rsid w:val="002F79DB"/>
    <w:rsid w:val="002F7FD6"/>
    <w:rsid w:val="00300070"/>
    <w:rsid w:val="0030039C"/>
    <w:rsid w:val="00301680"/>
    <w:rsid w:val="00301E7E"/>
    <w:rsid w:val="0030206B"/>
    <w:rsid w:val="00302A43"/>
    <w:rsid w:val="00303062"/>
    <w:rsid w:val="00303441"/>
    <w:rsid w:val="00303754"/>
    <w:rsid w:val="0030458F"/>
    <w:rsid w:val="00305019"/>
    <w:rsid w:val="00305A74"/>
    <w:rsid w:val="0030655A"/>
    <w:rsid w:val="003077C9"/>
    <w:rsid w:val="00312322"/>
    <w:rsid w:val="003149E1"/>
    <w:rsid w:val="00314E44"/>
    <w:rsid w:val="003152D4"/>
    <w:rsid w:val="0031595E"/>
    <w:rsid w:val="00316CD0"/>
    <w:rsid w:val="0031700A"/>
    <w:rsid w:val="003170A0"/>
    <w:rsid w:val="003179D0"/>
    <w:rsid w:val="00321606"/>
    <w:rsid w:val="003216E2"/>
    <w:rsid w:val="003222CD"/>
    <w:rsid w:val="00326E14"/>
    <w:rsid w:val="003273C3"/>
    <w:rsid w:val="003276CA"/>
    <w:rsid w:val="003302B7"/>
    <w:rsid w:val="00330715"/>
    <w:rsid w:val="00331C4B"/>
    <w:rsid w:val="00331D19"/>
    <w:rsid w:val="00332B84"/>
    <w:rsid w:val="003351E0"/>
    <w:rsid w:val="003362A9"/>
    <w:rsid w:val="00336309"/>
    <w:rsid w:val="003408AE"/>
    <w:rsid w:val="00340903"/>
    <w:rsid w:val="00340ADD"/>
    <w:rsid w:val="0034206B"/>
    <w:rsid w:val="00343141"/>
    <w:rsid w:val="003446E9"/>
    <w:rsid w:val="0034525A"/>
    <w:rsid w:val="0034614C"/>
    <w:rsid w:val="00347355"/>
    <w:rsid w:val="0034736A"/>
    <w:rsid w:val="0035027A"/>
    <w:rsid w:val="003520D1"/>
    <w:rsid w:val="003523B4"/>
    <w:rsid w:val="00352C4E"/>
    <w:rsid w:val="00352DDF"/>
    <w:rsid w:val="003544D8"/>
    <w:rsid w:val="00354A3A"/>
    <w:rsid w:val="00354AD8"/>
    <w:rsid w:val="00355BA6"/>
    <w:rsid w:val="00360958"/>
    <w:rsid w:val="00360BBB"/>
    <w:rsid w:val="00361092"/>
    <w:rsid w:val="003621AC"/>
    <w:rsid w:val="00362266"/>
    <w:rsid w:val="00363CAC"/>
    <w:rsid w:val="00363E42"/>
    <w:rsid w:val="00365AFE"/>
    <w:rsid w:val="00366500"/>
    <w:rsid w:val="003707A7"/>
    <w:rsid w:val="00371BA2"/>
    <w:rsid w:val="00372B5C"/>
    <w:rsid w:val="00373500"/>
    <w:rsid w:val="003751CE"/>
    <w:rsid w:val="00382433"/>
    <w:rsid w:val="0038370F"/>
    <w:rsid w:val="00383D81"/>
    <w:rsid w:val="003847EB"/>
    <w:rsid w:val="00384EFA"/>
    <w:rsid w:val="003851F0"/>
    <w:rsid w:val="00387802"/>
    <w:rsid w:val="0039027D"/>
    <w:rsid w:val="00391A5F"/>
    <w:rsid w:val="00393CB5"/>
    <w:rsid w:val="00393E7F"/>
    <w:rsid w:val="003940B0"/>
    <w:rsid w:val="003960E7"/>
    <w:rsid w:val="00397900"/>
    <w:rsid w:val="003A165F"/>
    <w:rsid w:val="003A31FD"/>
    <w:rsid w:val="003A4B29"/>
    <w:rsid w:val="003A4B94"/>
    <w:rsid w:val="003A4E64"/>
    <w:rsid w:val="003A508C"/>
    <w:rsid w:val="003A543D"/>
    <w:rsid w:val="003A6004"/>
    <w:rsid w:val="003A69E2"/>
    <w:rsid w:val="003A71B0"/>
    <w:rsid w:val="003A7347"/>
    <w:rsid w:val="003A7815"/>
    <w:rsid w:val="003B1346"/>
    <w:rsid w:val="003B503A"/>
    <w:rsid w:val="003B5A6C"/>
    <w:rsid w:val="003B6FCB"/>
    <w:rsid w:val="003C0112"/>
    <w:rsid w:val="003C07AD"/>
    <w:rsid w:val="003C1531"/>
    <w:rsid w:val="003C1599"/>
    <w:rsid w:val="003C1AA7"/>
    <w:rsid w:val="003C1B28"/>
    <w:rsid w:val="003C2D32"/>
    <w:rsid w:val="003C49F3"/>
    <w:rsid w:val="003C6C6C"/>
    <w:rsid w:val="003C6EC0"/>
    <w:rsid w:val="003C7B45"/>
    <w:rsid w:val="003C7F1E"/>
    <w:rsid w:val="003D0168"/>
    <w:rsid w:val="003D11CF"/>
    <w:rsid w:val="003D132D"/>
    <w:rsid w:val="003D1BB5"/>
    <w:rsid w:val="003D254B"/>
    <w:rsid w:val="003D478A"/>
    <w:rsid w:val="003D5449"/>
    <w:rsid w:val="003D586B"/>
    <w:rsid w:val="003D6C45"/>
    <w:rsid w:val="003D7104"/>
    <w:rsid w:val="003D7ABC"/>
    <w:rsid w:val="003E004D"/>
    <w:rsid w:val="003E1824"/>
    <w:rsid w:val="003E2B32"/>
    <w:rsid w:val="003E34CC"/>
    <w:rsid w:val="003E4DE1"/>
    <w:rsid w:val="003E4DE2"/>
    <w:rsid w:val="003E6073"/>
    <w:rsid w:val="003F107D"/>
    <w:rsid w:val="003F24FF"/>
    <w:rsid w:val="003F38B1"/>
    <w:rsid w:val="003F3D9C"/>
    <w:rsid w:val="003F3F52"/>
    <w:rsid w:val="003F445F"/>
    <w:rsid w:val="003F4669"/>
    <w:rsid w:val="003F5969"/>
    <w:rsid w:val="00401122"/>
    <w:rsid w:val="004025A4"/>
    <w:rsid w:val="00403814"/>
    <w:rsid w:val="00404C53"/>
    <w:rsid w:val="0040543A"/>
    <w:rsid w:val="00405992"/>
    <w:rsid w:val="00405C50"/>
    <w:rsid w:val="00405ED6"/>
    <w:rsid w:val="0041092B"/>
    <w:rsid w:val="0041144D"/>
    <w:rsid w:val="00413430"/>
    <w:rsid w:val="00413E1F"/>
    <w:rsid w:val="004148FD"/>
    <w:rsid w:val="00414CB2"/>
    <w:rsid w:val="0041510C"/>
    <w:rsid w:val="00417611"/>
    <w:rsid w:val="00420043"/>
    <w:rsid w:val="004200DF"/>
    <w:rsid w:val="00420675"/>
    <w:rsid w:val="004213F3"/>
    <w:rsid w:val="00421529"/>
    <w:rsid w:val="0042504C"/>
    <w:rsid w:val="00425768"/>
    <w:rsid w:val="00425DF8"/>
    <w:rsid w:val="00426434"/>
    <w:rsid w:val="0042737E"/>
    <w:rsid w:val="004276FD"/>
    <w:rsid w:val="004303FC"/>
    <w:rsid w:val="0043064F"/>
    <w:rsid w:val="0043104A"/>
    <w:rsid w:val="00431C7E"/>
    <w:rsid w:val="004322A1"/>
    <w:rsid w:val="004328F4"/>
    <w:rsid w:val="004331DE"/>
    <w:rsid w:val="00435C80"/>
    <w:rsid w:val="004367DC"/>
    <w:rsid w:val="00436C21"/>
    <w:rsid w:val="004376A2"/>
    <w:rsid w:val="00440720"/>
    <w:rsid w:val="0044096A"/>
    <w:rsid w:val="00441015"/>
    <w:rsid w:val="004421C8"/>
    <w:rsid w:val="0044376C"/>
    <w:rsid w:val="0044446B"/>
    <w:rsid w:val="0044790E"/>
    <w:rsid w:val="0045095F"/>
    <w:rsid w:val="00453424"/>
    <w:rsid w:val="0045353A"/>
    <w:rsid w:val="00454D6D"/>
    <w:rsid w:val="00455607"/>
    <w:rsid w:val="00455623"/>
    <w:rsid w:val="00455ADA"/>
    <w:rsid w:val="00456FC4"/>
    <w:rsid w:val="004571B4"/>
    <w:rsid w:val="0045777B"/>
    <w:rsid w:val="00462676"/>
    <w:rsid w:val="0046359A"/>
    <w:rsid w:val="00465842"/>
    <w:rsid w:val="00466522"/>
    <w:rsid w:val="004669EC"/>
    <w:rsid w:val="0046775A"/>
    <w:rsid w:val="00467989"/>
    <w:rsid w:val="00467A92"/>
    <w:rsid w:val="00472548"/>
    <w:rsid w:val="00473EC2"/>
    <w:rsid w:val="00474C0D"/>
    <w:rsid w:val="004754AD"/>
    <w:rsid w:val="004755CC"/>
    <w:rsid w:val="00475AA9"/>
    <w:rsid w:val="00475AC4"/>
    <w:rsid w:val="00476890"/>
    <w:rsid w:val="00477E7A"/>
    <w:rsid w:val="00481CF4"/>
    <w:rsid w:val="00482B62"/>
    <w:rsid w:val="00483878"/>
    <w:rsid w:val="0048537F"/>
    <w:rsid w:val="00485D17"/>
    <w:rsid w:val="00490804"/>
    <w:rsid w:val="00490B4C"/>
    <w:rsid w:val="00492F51"/>
    <w:rsid w:val="00493087"/>
    <w:rsid w:val="004954ED"/>
    <w:rsid w:val="00495C50"/>
    <w:rsid w:val="00495DFC"/>
    <w:rsid w:val="00496110"/>
    <w:rsid w:val="00496188"/>
    <w:rsid w:val="00497050"/>
    <w:rsid w:val="004A0353"/>
    <w:rsid w:val="004A0C84"/>
    <w:rsid w:val="004A0DE2"/>
    <w:rsid w:val="004A2684"/>
    <w:rsid w:val="004A28BB"/>
    <w:rsid w:val="004A2A24"/>
    <w:rsid w:val="004A2BDC"/>
    <w:rsid w:val="004A2F5F"/>
    <w:rsid w:val="004A3993"/>
    <w:rsid w:val="004A4249"/>
    <w:rsid w:val="004A44B9"/>
    <w:rsid w:val="004A45AA"/>
    <w:rsid w:val="004A45D7"/>
    <w:rsid w:val="004A46B5"/>
    <w:rsid w:val="004A48D1"/>
    <w:rsid w:val="004A48D3"/>
    <w:rsid w:val="004B05E9"/>
    <w:rsid w:val="004B08A9"/>
    <w:rsid w:val="004B0E9C"/>
    <w:rsid w:val="004B2240"/>
    <w:rsid w:val="004B43F8"/>
    <w:rsid w:val="004B5D2A"/>
    <w:rsid w:val="004B61CE"/>
    <w:rsid w:val="004B6D4D"/>
    <w:rsid w:val="004B784A"/>
    <w:rsid w:val="004C22A0"/>
    <w:rsid w:val="004C24E5"/>
    <w:rsid w:val="004C25E7"/>
    <w:rsid w:val="004C342B"/>
    <w:rsid w:val="004C3508"/>
    <w:rsid w:val="004C79A4"/>
    <w:rsid w:val="004D0342"/>
    <w:rsid w:val="004D0EC1"/>
    <w:rsid w:val="004D4C99"/>
    <w:rsid w:val="004D4E18"/>
    <w:rsid w:val="004D5144"/>
    <w:rsid w:val="004D6351"/>
    <w:rsid w:val="004E0099"/>
    <w:rsid w:val="004E0F46"/>
    <w:rsid w:val="004E16DC"/>
    <w:rsid w:val="004E2435"/>
    <w:rsid w:val="004E58F6"/>
    <w:rsid w:val="004E6135"/>
    <w:rsid w:val="004E666A"/>
    <w:rsid w:val="004F06D1"/>
    <w:rsid w:val="004F14D9"/>
    <w:rsid w:val="004F35F2"/>
    <w:rsid w:val="004F4BAF"/>
    <w:rsid w:val="004F4CC3"/>
    <w:rsid w:val="004F4E59"/>
    <w:rsid w:val="004F4EC5"/>
    <w:rsid w:val="004F526F"/>
    <w:rsid w:val="004F55E0"/>
    <w:rsid w:val="004F778B"/>
    <w:rsid w:val="004F7C17"/>
    <w:rsid w:val="0050075C"/>
    <w:rsid w:val="00500D0B"/>
    <w:rsid w:val="0050425B"/>
    <w:rsid w:val="005059CB"/>
    <w:rsid w:val="00506702"/>
    <w:rsid w:val="0051149B"/>
    <w:rsid w:val="00511FD7"/>
    <w:rsid w:val="005120F1"/>
    <w:rsid w:val="0051562E"/>
    <w:rsid w:val="00516CD8"/>
    <w:rsid w:val="00516FD2"/>
    <w:rsid w:val="00521314"/>
    <w:rsid w:val="00521439"/>
    <w:rsid w:val="00521A97"/>
    <w:rsid w:val="00525238"/>
    <w:rsid w:val="005257ED"/>
    <w:rsid w:val="005261F2"/>
    <w:rsid w:val="005276AA"/>
    <w:rsid w:val="00527AA4"/>
    <w:rsid w:val="005304BA"/>
    <w:rsid w:val="00530CBB"/>
    <w:rsid w:val="00533BF2"/>
    <w:rsid w:val="0053434D"/>
    <w:rsid w:val="00535A31"/>
    <w:rsid w:val="005366A6"/>
    <w:rsid w:val="00537266"/>
    <w:rsid w:val="00537723"/>
    <w:rsid w:val="00537C32"/>
    <w:rsid w:val="00540621"/>
    <w:rsid w:val="005408EC"/>
    <w:rsid w:val="00541A70"/>
    <w:rsid w:val="00543D20"/>
    <w:rsid w:val="00544A88"/>
    <w:rsid w:val="00544A9E"/>
    <w:rsid w:val="00546C78"/>
    <w:rsid w:val="005501DF"/>
    <w:rsid w:val="00550708"/>
    <w:rsid w:val="00550BAD"/>
    <w:rsid w:val="0055197E"/>
    <w:rsid w:val="005541EF"/>
    <w:rsid w:val="005546C9"/>
    <w:rsid w:val="00554BDC"/>
    <w:rsid w:val="005550DD"/>
    <w:rsid w:val="00555251"/>
    <w:rsid w:val="005552BB"/>
    <w:rsid w:val="00556D88"/>
    <w:rsid w:val="00557EEB"/>
    <w:rsid w:val="00560835"/>
    <w:rsid w:val="0056281F"/>
    <w:rsid w:val="005646AB"/>
    <w:rsid w:val="00566A4B"/>
    <w:rsid w:val="00566F23"/>
    <w:rsid w:val="00570056"/>
    <w:rsid w:val="00570435"/>
    <w:rsid w:val="00571027"/>
    <w:rsid w:val="0057127A"/>
    <w:rsid w:val="00572231"/>
    <w:rsid w:val="00572EE6"/>
    <w:rsid w:val="0057306C"/>
    <w:rsid w:val="00573390"/>
    <w:rsid w:val="005745FF"/>
    <w:rsid w:val="005755B8"/>
    <w:rsid w:val="00575A04"/>
    <w:rsid w:val="00576A32"/>
    <w:rsid w:val="005813DD"/>
    <w:rsid w:val="00582C7C"/>
    <w:rsid w:val="005833DC"/>
    <w:rsid w:val="00583AEA"/>
    <w:rsid w:val="0058462A"/>
    <w:rsid w:val="005849CC"/>
    <w:rsid w:val="00584CCC"/>
    <w:rsid w:val="00584D02"/>
    <w:rsid w:val="0058667D"/>
    <w:rsid w:val="00586A7E"/>
    <w:rsid w:val="00587C3B"/>
    <w:rsid w:val="00591914"/>
    <w:rsid w:val="00591BB0"/>
    <w:rsid w:val="00591D7C"/>
    <w:rsid w:val="00593955"/>
    <w:rsid w:val="0059417C"/>
    <w:rsid w:val="00594FDC"/>
    <w:rsid w:val="00596A4C"/>
    <w:rsid w:val="005971F5"/>
    <w:rsid w:val="00597422"/>
    <w:rsid w:val="005A037E"/>
    <w:rsid w:val="005A0545"/>
    <w:rsid w:val="005A08D8"/>
    <w:rsid w:val="005A1B44"/>
    <w:rsid w:val="005A474C"/>
    <w:rsid w:val="005A540A"/>
    <w:rsid w:val="005A6627"/>
    <w:rsid w:val="005A78AD"/>
    <w:rsid w:val="005B12C3"/>
    <w:rsid w:val="005B18EA"/>
    <w:rsid w:val="005B2DC5"/>
    <w:rsid w:val="005B3418"/>
    <w:rsid w:val="005B427F"/>
    <w:rsid w:val="005B56B3"/>
    <w:rsid w:val="005B57E4"/>
    <w:rsid w:val="005B5F7E"/>
    <w:rsid w:val="005B674A"/>
    <w:rsid w:val="005B691C"/>
    <w:rsid w:val="005B693A"/>
    <w:rsid w:val="005B696D"/>
    <w:rsid w:val="005B751D"/>
    <w:rsid w:val="005C0753"/>
    <w:rsid w:val="005C1586"/>
    <w:rsid w:val="005C1C51"/>
    <w:rsid w:val="005C2470"/>
    <w:rsid w:val="005C2B60"/>
    <w:rsid w:val="005C32F3"/>
    <w:rsid w:val="005C490A"/>
    <w:rsid w:val="005C554C"/>
    <w:rsid w:val="005C5697"/>
    <w:rsid w:val="005C788A"/>
    <w:rsid w:val="005D11DC"/>
    <w:rsid w:val="005D1330"/>
    <w:rsid w:val="005D1CC0"/>
    <w:rsid w:val="005D1F08"/>
    <w:rsid w:val="005D455D"/>
    <w:rsid w:val="005D53F7"/>
    <w:rsid w:val="005D6279"/>
    <w:rsid w:val="005D6C1D"/>
    <w:rsid w:val="005D71C3"/>
    <w:rsid w:val="005E2AC7"/>
    <w:rsid w:val="005E2DC8"/>
    <w:rsid w:val="005E5CC9"/>
    <w:rsid w:val="005E705A"/>
    <w:rsid w:val="005E717C"/>
    <w:rsid w:val="005E7D6C"/>
    <w:rsid w:val="005F3325"/>
    <w:rsid w:val="005F3E27"/>
    <w:rsid w:val="005F4C6A"/>
    <w:rsid w:val="005F57A1"/>
    <w:rsid w:val="005F58D9"/>
    <w:rsid w:val="005F5987"/>
    <w:rsid w:val="005F630C"/>
    <w:rsid w:val="00600809"/>
    <w:rsid w:val="00601486"/>
    <w:rsid w:val="0060193A"/>
    <w:rsid w:val="006028B6"/>
    <w:rsid w:val="006028C8"/>
    <w:rsid w:val="0060379F"/>
    <w:rsid w:val="00603E88"/>
    <w:rsid w:val="0060549D"/>
    <w:rsid w:val="00605973"/>
    <w:rsid w:val="00605AEA"/>
    <w:rsid w:val="00605B10"/>
    <w:rsid w:val="006074AC"/>
    <w:rsid w:val="0060758B"/>
    <w:rsid w:val="0061089A"/>
    <w:rsid w:val="00612108"/>
    <w:rsid w:val="00612F63"/>
    <w:rsid w:val="006140B1"/>
    <w:rsid w:val="0061563B"/>
    <w:rsid w:val="0061672E"/>
    <w:rsid w:val="00616A85"/>
    <w:rsid w:val="00616F3A"/>
    <w:rsid w:val="00617911"/>
    <w:rsid w:val="00621E4F"/>
    <w:rsid w:val="00622D2B"/>
    <w:rsid w:val="0062462B"/>
    <w:rsid w:val="00626173"/>
    <w:rsid w:val="00627EAB"/>
    <w:rsid w:val="00630624"/>
    <w:rsid w:val="0063063D"/>
    <w:rsid w:val="00630E6F"/>
    <w:rsid w:val="00631F49"/>
    <w:rsid w:val="00632A38"/>
    <w:rsid w:val="006338BD"/>
    <w:rsid w:val="006339CB"/>
    <w:rsid w:val="00637C61"/>
    <w:rsid w:val="00641499"/>
    <w:rsid w:val="0064175E"/>
    <w:rsid w:val="006417ED"/>
    <w:rsid w:val="006429AF"/>
    <w:rsid w:val="006439B2"/>
    <w:rsid w:val="00644BE0"/>
    <w:rsid w:val="006452DF"/>
    <w:rsid w:val="006455F7"/>
    <w:rsid w:val="00645E7B"/>
    <w:rsid w:val="006471AD"/>
    <w:rsid w:val="0065085E"/>
    <w:rsid w:val="00650CE8"/>
    <w:rsid w:val="00650FFE"/>
    <w:rsid w:val="006517EF"/>
    <w:rsid w:val="006518CD"/>
    <w:rsid w:val="00651CBB"/>
    <w:rsid w:val="00653D19"/>
    <w:rsid w:val="0065422F"/>
    <w:rsid w:val="00660D80"/>
    <w:rsid w:val="00662727"/>
    <w:rsid w:val="0066351B"/>
    <w:rsid w:val="00663A74"/>
    <w:rsid w:val="006660CC"/>
    <w:rsid w:val="0067089D"/>
    <w:rsid w:val="00671BD1"/>
    <w:rsid w:val="00671D46"/>
    <w:rsid w:val="00672C87"/>
    <w:rsid w:val="00673182"/>
    <w:rsid w:val="00674B4A"/>
    <w:rsid w:val="00677189"/>
    <w:rsid w:val="006779FA"/>
    <w:rsid w:val="00680D10"/>
    <w:rsid w:val="006811E7"/>
    <w:rsid w:val="00682616"/>
    <w:rsid w:val="006852F3"/>
    <w:rsid w:val="00686999"/>
    <w:rsid w:val="00687A40"/>
    <w:rsid w:val="00691135"/>
    <w:rsid w:val="00691BDD"/>
    <w:rsid w:val="00691C18"/>
    <w:rsid w:val="006938C3"/>
    <w:rsid w:val="00693B47"/>
    <w:rsid w:val="00695C5E"/>
    <w:rsid w:val="00696942"/>
    <w:rsid w:val="00696E46"/>
    <w:rsid w:val="00697693"/>
    <w:rsid w:val="006A0243"/>
    <w:rsid w:val="006A1952"/>
    <w:rsid w:val="006A2FB0"/>
    <w:rsid w:val="006A3A77"/>
    <w:rsid w:val="006A5811"/>
    <w:rsid w:val="006A6B1A"/>
    <w:rsid w:val="006B1263"/>
    <w:rsid w:val="006B1F0E"/>
    <w:rsid w:val="006B33F9"/>
    <w:rsid w:val="006B36FF"/>
    <w:rsid w:val="006B5C74"/>
    <w:rsid w:val="006B5E41"/>
    <w:rsid w:val="006B6626"/>
    <w:rsid w:val="006B6D0D"/>
    <w:rsid w:val="006B7F33"/>
    <w:rsid w:val="006C32F4"/>
    <w:rsid w:val="006C358B"/>
    <w:rsid w:val="006C40FC"/>
    <w:rsid w:val="006C4168"/>
    <w:rsid w:val="006C4E22"/>
    <w:rsid w:val="006C51BC"/>
    <w:rsid w:val="006C5D56"/>
    <w:rsid w:val="006C6617"/>
    <w:rsid w:val="006C7A07"/>
    <w:rsid w:val="006C7B78"/>
    <w:rsid w:val="006D0007"/>
    <w:rsid w:val="006D1AED"/>
    <w:rsid w:val="006D1E9C"/>
    <w:rsid w:val="006D5263"/>
    <w:rsid w:val="006D57DD"/>
    <w:rsid w:val="006D5818"/>
    <w:rsid w:val="006D774E"/>
    <w:rsid w:val="006E05DF"/>
    <w:rsid w:val="006E05E3"/>
    <w:rsid w:val="006E0B51"/>
    <w:rsid w:val="006E26C4"/>
    <w:rsid w:val="006E3591"/>
    <w:rsid w:val="006E3A97"/>
    <w:rsid w:val="006E40EA"/>
    <w:rsid w:val="006E570A"/>
    <w:rsid w:val="006E6944"/>
    <w:rsid w:val="006E753F"/>
    <w:rsid w:val="006E78A5"/>
    <w:rsid w:val="006F1046"/>
    <w:rsid w:val="006F1F9E"/>
    <w:rsid w:val="006F2DA2"/>
    <w:rsid w:val="006F37D5"/>
    <w:rsid w:val="006F38A2"/>
    <w:rsid w:val="006F440C"/>
    <w:rsid w:val="006F486D"/>
    <w:rsid w:val="006F5147"/>
    <w:rsid w:val="006F568F"/>
    <w:rsid w:val="006F704E"/>
    <w:rsid w:val="00701A91"/>
    <w:rsid w:val="007039E9"/>
    <w:rsid w:val="00704B70"/>
    <w:rsid w:val="0070665A"/>
    <w:rsid w:val="007077C8"/>
    <w:rsid w:val="00707828"/>
    <w:rsid w:val="00707831"/>
    <w:rsid w:val="00707DD5"/>
    <w:rsid w:val="0071040A"/>
    <w:rsid w:val="00711348"/>
    <w:rsid w:val="007123E3"/>
    <w:rsid w:val="007126B1"/>
    <w:rsid w:val="00716725"/>
    <w:rsid w:val="00720BA7"/>
    <w:rsid w:val="00720D57"/>
    <w:rsid w:val="00722551"/>
    <w:rsid w:val="00723A69"/>
    <w:rsid w:val="00725065"/>
    <w:rsid w:val="007253D4"/>
    <w:rsid w:val="00727A30"/>
    <w:rsid w:val="00727BE3"/>
    <w:rsid w:val="00727CE9"/>
    <w:rsid w:val="0073089C"/>
    <w:rsid w:val="007312C7"/>
    <w:rsid w:val="00731EF3"/>
    <w:rsid w:val="00732859"/>
    <w:rsid w:val="00733C61"/>
    <w:rsid w:val="00733FCE"/>
    <w:rsid w:val="00734559"/>
    <w:rsid w:val="00735F80"/>
    <w:rsid w:val="00736445"/>
    <w:rsid w:val="00736E63"/>
    <w:rsid w:val="007405DC"/>
    <w:rsid w:val="0074338E"/>
    <w:rsid w:val="00745AB0"/>
    <w:rsid w:val="00745F2C"/>
    <w:rsid w:val="00747C04"/>
    <w:rsid w:val="007504CD"/>
    <w:rsid w:val="0075119E"/>
    <w:rsid w:val="0075193C"/>
    <w:rsid w:val="00752904"/>
    <w:rsid w:val="00752FA2"/>
    <w:rsid w:val="00754A1D"/>
    <w:rsid w:val="00755881"/>
    <w:rsid w:val="00755905"/>
    <w:rsid w:val="00755A7F"/>
    <w:rsid w:val="00755DED"/>
    <w:rsid w:val="00755F39"/>
    <w:rsid w:val="007615CE"/>
    <w:rsid w:val="00763B3A"/>
    <w:rsid w:val="00763C28"/>
    <w:rsid w:val="007657C1"/>
    <w:rsid w:val="00766443"/>
    <w:rsid w:val="007668F3"/>
    <w:rsid w:val="007676C0"/>
    <w:rsid w:val="007703E9"/>
    <w:rsid w:val="00770E59"/>
    <w:rsid w:val="00773964"/>
    <w:rsid w:val="00773E34"/>
    <w:rsid w:val="00774D2B"/>
    <w:rsid w:val="007756FF"/>
    <w:rsid w:val="0077678E"/>
    <w:rsid w:val="007801E8"/>
    <w:rsid w:val="007830E0"/>
    <w:rsid w:val="00783B68"/>
    <w:rsid w:val="00783D42"/>
    <w:rsid w:val="00783F7F"/>
    <w:rsid w:val="0078520A"/>
    <w:rsid w:val="00785952"/>
    <w:rsid w:val="00786880"/>
    <w:rsid w:val="0079103B"/>
    <w:rsid w:val="00791CEE"/>
    <w:rsid w:val="007928EF"/>
    <w:rsid w:val="0079297B"/>
    <w:rsid w:val="00793CB6"/>
    <w:rsid w:val="0079558E"/>
    <w:rsid w:val="007958DA"/>
    <w:rsid w:val="00795B9B"/>
    <w:rsid w:val="007A01FC"/>
    <w:rsid w:val="007A1DA9"/>
    <w:rsid w:val="007A1FDD"/>
    <w:rsid w:val="007A342D"/>
    <w:rsid w:val="007A4F6A"/>
    <w:rsid w:val="007A5283"/>
    <w:rsid w:val="007A5496"/>
    <w:rsid w:val="007A6613"/>
    <w:rsid w:val="007A66EC"/>
    <w:rsid w:val="007A7A20"/>
    <w:rsid w:val="007A7CA3"/>
    <w:rsid w:val="007B0BFD"/>
    <w:rsid w:val="007B21EE"/>
    <w:rsid w:val="007B3FBC"/>
    <w:rsid w:val="007B4406"/>
    <w:rsid w:val="007B59EF"/>
    <w:rsid w:val="007B7602"/>
    <w:rsid w:val="007B7D93"/>
    <w:rsid w:val="007C0E04"/>
    <w:rsid w:val="007C175C"/>
    <w:rsid w:val="007C1B7C"/>
    <w:rsid w:val="007C211C"/>
    <w:rsid w:val="007C43F9"/>
    <w:rsid w:val="007C501B"/>
    <w:rsid w:val="007C50A5"/>
    <w:rsid w:val="007C5CBD"/>
    <w:rsid w:val="007C6CA6"/>
    <w:rsid w:val="007C78A7"/>
    <w:rsid w:val="007D0CA8"/>
    <w:rsid w:val="007D177A"/>
    <w:rsid w:val="007D2734"/>
    <w:rsid w:val="007D432E"/>
    <w:rsid w:val="007D5C1B"/>
    <w:rsid w:val="007D7271"/>
    <w:rsid w:val="007D72F1"/>
    <w:rsid w:val="007D7353"/>
    <w:rsid w:val="007D73F5"/>
    <w:rsid w:val="007D75F2"/>
    <w:rsid w:val="007D7D81"/>
    <w:rsid w:val="007E0DF0"/>
    <w:rsid w:val="007E2B39"/>
    <w:rsid w:val="007E3B74"/>
    <w:rsid w:val="007E4313"/>
    <w:rsid w:val="007E5265"/>
    <w:rsid w:val="007E56A6"/>
    <w:rsid w:val="007E5768"/>
    <w:rsid w:val="007E722A"/>
    <w:rsid w:val="007E7382"/>
    <w:rsid w:val="007F11C9"/>
    <w:rsid w:val="007F2C94"/>
    <w:rsid w:val="007F2FB2"/>
    <w:rsid w:val="007F3B9F"/>
    <w:rsid w:val="007F3C40"/>
    <w:rsid w:val="007F3EC5"/>
    <w:rsid w:val="007F4940"/>
    <w:rsid w:val="007F5ECF"/>
    <w:rsid w:val="007F7C17"/>
    <w:rsid w:val="008006B1"/>
    <w:rsid w:val="0080178C"/>
    <w:rsid w:val="00804502"/>
    <w:rsid w:val="00806A89"/>
    <w:rsid w:val="00807F3B"/>
    <w:rsid w:val="0081032A"/>
    <w:rsid w:val="00811354"/>
    <w:rsid w:val="00814076"/>
    <w:rsid w:val="00814A63"/>
    <w:rsid w:val="0081572F"/>
    <w:rsid w:val="008157A2"/>
    <w:rsid w:val="00815804"/>
    <w:rsid w:val="00815F56"/>
    <w:rsid w:val="00816AA2"/>
    <w:rsid w:val="00816C25"/>
    <w:rsid w:val="00817FE8"/>
    <w:rsid w:val="008204E1"/>
    <w:rsid w:val="0082060F"/>
    <w:rsid w:val="00820D31"/>
    <w:rsid w:val="00821B13"/>
    <w:rsid w:val="00822CFA"/>
    <w:rsid w:val="00822F58"/>
    <w:rsid w:val="008230DA"/>
    <w:rsid w:val="00823B24"/>
    <w:rsid w:val="00825C9A"/>
    <w:rsid w:val="0083039B"/>
    <w:rsid w:val="008311FF"/>
    <w:rsid w:val="00833918"/>
    <w:rsid w:val="00833A46"/>
    <w:rsid w:val="00833BD1"/>
    <w:rsid w:val="008354EA"/>
    <w:rsid w:val="008355AE"/>
    <w:rsid w:val="00835EAC"/>
    <w:rsid w:val="0083748C"/>
    <w:rsid w:val="00840D93"/>
    <w:rsid w:val="00841574"/>
    <w:rsid w:val="00843251"/>
    <w:rsid w:val="00844D30"/>
    <w:rsid w:val="00844F33"/>
    <w:rsid w:val="00845602"/>
    <w:rsid w:val="008475DB"/>
    <w:rsid w:val="00847711"/>
    <w:rsid w:val="0085079B"/>
    <w:rsid w:val="00850951"/>
    <w:rsid w:val="00850B69"/>
    <w:rsid w:val="00854302"/>
    <w:rsid w:val="00855DCB"/>
    <w:rsid w:val="0085687A"/>
    <w:rsid w:val="00856F68"/>
    <w:rsid w:val="00857F10"/>
    <w:rsid w:val="008613FE"/>
    <w:rsid w:val="008616E5"/>
    <w:rsid w:val="008640B1"/>
    <w:rsid w:val="00864E09"/>
    <w:rsid w:val="008651A7"/>
    <w:rsid w:val="00865751"/>
    <w:rsid w:val="00866E32"/>
    <w:rsid w:val="00867554"/>
    <w:rsid w:val="00867C0E"/>
    <w:rsid w:val="00871461"/>
    <w:rsid w:val="008723D7"/>
    <w:rsid w:val="00872B0F"/>
    <w:rsid w:val="00872D54"/>
    <w:rsid w:val="0087401D"/>
    <w:rsid w:val="00874149"/>
    <w:rsid w:val="00874649"/>
    <w:rsid w:val="00874B9B"/>
    <w:rsid w:val="008762D9"/>
    <w:rsid w:val="008802F2"/>
    <w:rsid w:val="00881014"/>
    <w:rsid w:val="0088155A"/>
    <w:rsid w:val="00881CB7"/>
    <w:rsid w:val="008865B7"/>
    <w:rsid w:val="00890D19"/>
    <w:rsid w:val="00892572"/>
    <w:rsid w:val="0089305D"/>
    <w:rsid w:val="008957D4"/>
    <w:rsid w:val="00895C57"/>
    <w:rsid w:val="00896C52"/>
    <w:rsid w:val="008A1AB0"/>
    <w:rsid w:val="008A307B"/>
    <w:rsid w:val="008A33C5"/>
    <w:rsid w:val="008A3787"/>
    <w:rsid w:val="008A4F40"/>
    <w:rsid w:val="008A56C6"/>
    <w:rsid w:val="008A62E3"/>
    <w:rsid w:val="008A6B3B"/>
    <w:rsid w:val="008A71DA"/>
    <w:rsid w:val="008B2967"/>
    <w:rsid w:val="008B2DD9"/>
    <w:rsid w:val="008B312E"/>
    <w:rsid w:val="008B31D0"/>
    <w:rsid w:val="008B3BB9"/>
    <w:rsid w:val="008B517A"/>
    <w:rsid w:val="008B54DB"/>
    <w:rsid w:val="008B5536"/>
    <w:rsid w:val="008B58F8"/>
    <w:rsid w:val="008B5E9A"/>
    <w:rsid w:val="008B625A"/>
    <w:rsid w:val="008B7B5A"/>
    <w:rsid w:val="008C0582"/>
    <w:rsid w:val="008C2D35"/>
    <w:rsid w:val="008C2F49"/>
    <w:rsid w:val="008C3A87"/>
    <w:rsid w:val="008C4FB6"/>
    <w:rsid w:val="008C6312"/>
    <w:rsid w:val="008C6F99"/>
    <w:rsid w:val="008D1059"/>
    <w:rsid w:val="008D3627"/>
    <w:rsid w:val="008D4C7C"/>
    <w:rsid w:val="008D5A48"/>
    <w:rsid w:val="008D7011"/>
    <w:rsid w:val="008D79E7"/>
    <w:rsid w:val="008D7DC0"/>
    <w:rsid w:val="008E1EC8"/>
    <w:rsid w:val="008E290B"/>
    <w:rsid w:val="008E2A29"/>
    <w:rsid w:val="008E392C"/>
    <w:rsid w:val="008E3BC6"/>
    <w:rsid w:val="008E6C33"/>
    <w:rsid w:val="008E77A6"/>
    <w:rsid w:val="008F04AD"/>
    <w:rsid w:val="008F0BFC"/>
    <w:rsid w:val="008F16AD"/>
    <w:rsid w:val="008F1732"/>
    <w:rsid w:val="008F1970"/>
    <w:rsid w:val="008F2055"/>
    <w:rsid w:val="008F36CC"/>
    <w:rsid w:val="008F7266"/>
    <w:rsid w:val="008F732C"/>
    <w:rsid w:val="008F7AD4"/>
    <w:rsid w:val="009013DF"/>
    <w:rsid w:val="009020C1"/>
    <w:rsid w:val="00903F3A"/>
    <w:rsid w:val="00904E1A"/>
    <w:rsid w:val="00906CC2"/>
    <w:rsid w:val="00910DCB"/>
    <w:rsid w:val="00912EC4"/>
    <w:rsid w:val="00913255"/>
    <w:rsid w:val="00913839"/>
    <w:rsid w:val="00913EA3"/>
    <w:rsid w:val="0091639C"/>
    <w:rsid w:val="00920AD8"/>
    <w:rsid w:val="00921B27"/>
    <w:rsid w:val="00922432"/>
    <w:rsid w:val="009227C3"/>
    <w:rsid w:val="00925C21"/>
    <w:rsid w:val="0093344E"/>
    <w:rsid w:val="0093359C"/>
    <w:rsid w:val="0093398A"/>
    <w:rsid w:val="00933F92"/>
    <w:rsid w:val="00934374"/>
    <w:rsid w:val="0093504D"/>
    <w:rsid w:val="00935077"/>
    <w:rsid w:val="00935FC9"/>
    <w:rsid w:val="00936D57"/>
    <w:rsid w:val="009371F9"/>
    <w:rsid w:val="009373D5"/>
    <w:rsid w:val="00937675"/>
    <w:rsid w:val="00937B6E"/>
    <w:rsid w:val="00937BD7"/>
    <w:rsid w:val="0094126A"/>
    <w:rsid w:val="0094172E"/>
    <w:rsid w:val="00942210"/>
    <w:rsid w:val="00942B0B"/>
    <w:rsid w:val="00943198"/>
    <w:rsid w:val="009448C2"/>
    <w:rsid w:val="00944953"/>
    <w:rsid w:val="00944A8F"/>
    <w:rsid w:val="00945278"/>
    <w:rsid w:val="00950500"/>
    <w:rsid w:val="009513A0"/>
    <w:rsid w:val="00951725"/>
    <w:rsid w:val="00952799"/>
    <w:rsid w:val="00954558"/>
    <w:rsid w:val="0095755A"/>
    <w:rsid w:val="00960417"/>
    <w:rsid w:val="00961682"/>
    <w:rsid w:val="0096202C"/>
    <w:rsid w:val="00963716"/>
    <w:rsid w:val="00964FE7"/>
    <w:rsid w:val="00965FD4"/>
    <w:rsid w:val="009661E0"/>
    <w:rsid w:val="00970E4E"/>
    <w:rsid w:val="009715E0"/>
    <w:rsid w:val="0097392E"/>
    <w:rsid w:val="009745B5"/>
    <w:rsid w:val="0097688D"/>
    <w:rsid w:val="00983B83"/>
    <w:rsid w:val="00984B15"/>
    <w:rsid w:val="00984D25"/>
    <w:rsid w:val="0098503B"/>
    <w:rsid w:val="00986B77"/>
    <w:rsid w:val="00990417"/>
    <w:rsid w:val="00991B9C"/>
    <w:rsid w:val="009948F7"/>
    <w:rsid w:val="0099494E"/>
    <w:rsid w:val="00994C56"/>
    <w:rsid w:val="00994FE9"/>
    <w:rsid w:val="00996322"/>
    <w:rsid w:val="009975D5"/>
    <w:rsid w:val="009A0969"/>
    <w:rsid w:val="009A1399"/>
    <w:rsid w:val="009A18E2"/>
    <w:rsid w:val="009A1D9E"/>
    <w:rsid w:val="009A3077"/>
    <w:rsid w:val="009A6086"/>
    <w:rsid w:val="009A6695"/>
    <w:rsid w:val="009B0013"/>
    <w:rsid w:val="009B2480"/>
    <w:rsid w:val="009B3FA9"/>
    <w:rsid w:val="009B4486"/>
    <w:rsid w:val="009B52DF"/>
    <w:rsid w:val="009B6DC2"/>
    <w:rsid w:val="009B7EC1"/>
    <w:rsid w:val="009B7F93"/>
    <w:rsid w:val="009C0BD8"/>
    <w:rsid w:val="009C1A44"/>
    <w:rsid w:val="009C1A77"/>
    <w:rsid w:val="009C2743"/>
    <w:rsid w:val="009C3687"/>
    <w:rsid w:val="009C452B"/>
    <w:rsid w:val="009C4703"/>
    <w:rsid w:val="009C4B88"/>
    <w:rsid w:val="009C4E98"/>
    <w:rsid w:val="009C54C7"/>
    <w:rsid w:val="009C6019"/>
    <w:rsid w:val="009C6260"/>
    <w:rsid w:val="009C655D"/>
    <w:rsid w:val="009C6759"/>
    <w:rsid w:val="009C7040"/>
    <w:rsid w:val="009C773E"/>
    <w:rsid w:val="009D0E18"/>
    <w:rsid w:val="009D176F"/>
    <w:rsid w:val="009D2D45"/>
    <w:rsid w:val="009D354F"/>
    <w:rsid w:val="009D3B82"/>
    <w:rsid w:val="009D3DA7"/>
    <w:rsid w:val="009D3E76"/>
    <w:rsid w:val="009D6D0B"/>
    <w:rsid w:val="009D7428"/>
    <w:rsid w:val="009E1E6D"/>
    <w:rsid w:val="009E5729"/>
    <w:rsid w:val="009E5AD4"/>
    <w:rsid w:val="009E64B6"/>
    <w:rsid w:val="009E6D8E"/>
    <w:rsid w:val="009F14BC"/>
    <w:rsid w:val="009F17E1"/>
    <w:rsid w:val="009F300D"/>
    <w:rsid w:val="009F4963"/>
    <w:rsid w:val="009F6324"/>
    <w:rsid w:val="009F7B0E"/>
    <w:rsid w:val="00A02702"/>
    <w:rsid w:val="00A054FE"/>
    <w:rsid w:val="00A05B98"/>
    <w:rsid w:val="00A06240"/>
    <w:rsid w:val="00A06F33"/>
    <w:rsid w:val="00A10987"/>
    <w:rsid w:val="00A16A06"/>
    <w:rsid w:val="00A16C79"/>
    <w:rsid w:val="00A16C9A"/>
    <w:rsid w:val="00A17C85"/>
    <w:rsid w:val="00A20CBA"/>
    <w:rsid w:val="00A21FBB"/>
    <w:rsid w:val="00A272F3"/>
    <w:rsid w:val="00A30B51"/>
    <w:rsid w:val="00A31705"/>
    <w:rsid w:val="00A32629"/>
    <w:rsid w:val="00A35968"/>
    <w:rsid w:val="00A40528"/>
    <w:rsid w:val="00A460CD"/>
    <w:rsid w:val="00A46EE6"/>
    <w:rsid w:val="00A47A27"/>
    <w:rsid w:val="00A50543"/>
    <w:rsid w:val="00A5192B"/>
    <w:rsid w:val="00A521D0"/>
    <w:rsid w:val="00A52F98"/>
    <w:rsid w:val="00A5396B"/>
    <w:rsid w:val="00A5539D"/>
    <w:rsid w:val="00A553CA"/>
    <w:rsid w:val="00A56132"/>
    <w:rsid w:val="00A56897"/>
    <w:rsid w:val="00A56E6D"/>
    <w:rsid w:val="00A5778E"/>
    <w:rsid w:val="00A61044"/>
    <w:rsid w:val="00A61274"/>
    <w:rsid w:val="00A61C13"/>
    <w:rsid w:val="00A61F91"/>
    <w:rsid w:val="00A63955"/>
    <w:rsid w:val="00A64D93"/>
    <w:rsid w:val="00A64FED"/>
    <w:rsid w:val="00A678C9"/>
    <w:rsid w:val="00A70402"/>
    <w:rsid w:val="00A706E3"/>
    <w:rsid w:val="00A74017"/>
    <w:rsid w:val="00A762A4"/>
    <w:rsid w:val="00A80E38"/>
    <w:rsid w:val="00A84051"/>
    <w:rsid w:val="00A8485D"/>
    <w:rsid w:val="00A85EA7"/>
    <w:rsid w:val="00A90E42"/>
    <w:rsid w:val="00A90FF6"/>
    <w:rsid w:val="00A91FBD"/>
    <w:rsid w:val="00A922B1"/>
    <w:rsid w:val="00A92DBC"/>
    <w:rsid w:val="00A93127"/>
    <w:rsid w:val="00A939BD"/>
    <w:rsid w:val="00A939D7"/>
    <w:rsid w:val="00A947E4"/>
    <w:rsid w:val="00A96554"/>
    <w:rsid w:val="00A971D2"/>
    <w:rsid w:val="00A97E58"/>
    <w:rsid w:val="00AA0CCB"/>
    <w:rsid w:val="00AA190F"/>
    <w:rsid w:val="00AA2014"/>
    <w:rsid w:val="00AA262B"/>
    <w:rsid w:val="00AA265C"/>
    <w:rsid w:val="00AA284F"/>
    <w:rsid w:val="00AA2949"/>
    <w:rsid w:val="00AA2BC4"/>
    <w:rsid w:val="00AA30FD"/>
    <w:rsid w:val="00AA3AD2"/>
    <w:rsid w:val="00AA3B31"/>
    <w:rsid w:val="00AA5756"/>
    <w:rsid w:val="00AA6509"/>
    <w:rsid w:val="00AA673C"/>
    <w:rsid w:val="00AA7133"/>
    <w:rsid w:val="00AB0DB9"/>
    <w:rsid w:val="00AB206D"/>
    <w:rsid w:val="00AB2E73"/>
    <w:rsid w:val="00AB453B"/>
    <w:rsid w:val="00AB69EE"/>
    <w:rsid w:val="00AC1958"/>
    <w:rsid w:val="00AC3615"/>
    <w:rsid w:val="00AC39B2"/>
    <w:rsid w:val="00AC50F5"/>
    <w:rsid w:val="00AC7181"/>
    <w:rsid w:val="00AC7536"/>
    <w:rsid w:val="00AC76FF"/>
    <w:rsid w:val="00AC7A91"/>
    <w:rsid w:val="00AD03E0"/>
    <w:rsid w:val="00AD1772"/>
    <w:rsid w:val="00AD2851"/>
    <w:rsid w:val="00AD2B28"/>
    <w:rsid w:val="00AD35C2"/>
    <w:rsid w:val="00AD377D"/>
    <w:rsid w:val="00AD3F58"/>
    <w:rsid w:val="00AD7EAF"/>
    <w:rsid w:val="00AD7FD8"/>
    <w:rsid w:val="00AE0567"/>
    <w:rsid w:val="00AE08F6"/>
    <w:rsid w:val="00AE2BD3"/>
    <w:rsid w:val="00AE4617"/>
    <w:rsid w:val="00AE53D7"/>
    <w:rsid w:val="00AE6F11"/>
    <w:rsid w:val="00AE7049"/>
    <w:rsid w:val="00AF0A0F"/>
    <w:rsid w:val="00AF19E5"/>
    <w:rsid w:val="00AF2099"/>
    <w:rsid w:val="00AF31BB"/>
    <w:rsid w:val="00AF4AA0"/>
    <w:rsid w:val="00AF7A84"/>
    <w:rsid w:val="00B00E20"/>
    <w:rsid w:val="00B01A26"/>
    <w:rsid w:val="00B01FBC"/>
    <w:rsid w:val="00B02889"/>
    <w:rsid w:val="00B04EE1"/>
    <w:rsid w:val="00B05E80"/>
    <w:rsid w:val="00B05FBF"/>
    <w:rsid w:val="00B06002"/>
    <w:rsid w:val="00B07EC6"/>
    <w:rsid w:val="00B100BC"/>
    <w:rsid w:val="00B11C14"/>
    <w:rsid w:val="00B12851"/>
    <w:rsid w:val="00B1300C"/>
    <w:rsid w:val="00B13EFD"/>
    <w:rsid w:val="00B14444"/>
    <w:rsid w:val="00B1454D"/>
    <w:rsid w:val="00B14924"/>
    <w:rsid w:val="00B14FAC"/>
    <w:rsid w:val="00B161FF"/>
    <w:rsid w:val="00B219B8"/>
    <w:rsid w:val="00B23495"/>
    <w:rsid w:val="00B23DEF"/>
    <w:rsid w:val="00B25327"/>
    <w:rsid w:val="00B27B6F"/>
    <w:rsid w:val="00B27E97"/>
    <w:rsid w:val="00B301CD"/>
    <w:rsid w:val="00B333CF"/>
    <w:rsid w:val="00B337E9"/>
    <w:rsid w:val="00B33E35"/>
    <w:rsid w:val="00B340DA"/>
    <w:rsid w:val="00B3504B"/>
    <w:rsid w:val="00B35FB7"/>
    <w:rsid w:val="00B36977"/>
    <w:rsid w:val="00B3709A"/>
    <w:rsid w:val="00B4029A"/>
    <w:rsid w:val="00B406BA"/>
    <w:rsid w:val="00B4409E"/>
    <w:rsid w:val="00B4529A"/>
    <w:rsid w:val="00B4638B"/>
    <w:rsid w:val="00B5247B"/>
    <w:rsid w:val="00B529DA"/>
    <w:rsid w:val="00B53857"/>
    <w:rsid w:val="00B54E93"/>
    <w:rsid w:val="00B550D0"/>
    <w:rsid w:val="00B572F8"/>
    <w:rsid w:val="00B6063F"/>
    <w:rsid w:val="00B607A4"/>
    <w:rsid w:val="00B62F91"/>
    <w:rsid w:val="00B631E2"/>
    <w:rsid w:val="00B645D8"/>
    <w:rsid w:val="00B65BC6"/>
    <w:rsid w:val="00B65D86"/>
    <w:rsid w:val="00B6660A"/>
    <w:rsid w:val="00B66A3C"/>
    <w:rsid w:val="00B67759"/>
    <w:rsid w:val="00B72A30"/>
    <w:rsid w:val="00B72FB1"/>
    <w:rsid w:val="00B74732"/>
    <w:rsid w:val="00B7503C"/>
    <w:rsid w:val="00B7564D"/>
    <w:rsid w:val="00B75DD0"/>
    <w:rsid w:val="00B75FAB"/>
    <w:rsid w:val="00B801F3"/>
    <w:rsid w:val="00B8028B"/>
    <w:rsid w:val="00B805E0"/>
    <w:rsid w:val="00B80CCB"/>
    <w:rsid w:val="00B8149E"/>
    <w:rsid w:val="00B827A1"/>
    <w:rsid w:val="00B8294D"/>
    <w:rsid w:val="00B8384F"/>
    <w:rsid w:val="00B8498D"/>
    <w:rsid w:val="00B857E1"/>
    <w:rsid w:val="00B860E3"/>
    <w:rsid w:val="00B874D8"/>
    <w:rsid w:val="00B87614"/>
    <w:rsid w:val="00B87E00"/>
    <w:rsid w:val="00B900DB"/>
    <w:rsid w:val="00B91021"/>
    <w:rsid w:val="00B914B7"/>
    <w:rsid w:val="00B95690"/>
    <w:rsid w:val="00B95A46"/>
    <w:rsid w:val="00B96A69"/>
    <w:rsid w:val="00BA1036"/>
    <w:rsid w:val="00BA1DD9"/>
    <w:rsid w:val="00BA2123"/>
    <w:rsid w:val="00BA3197"/>
    <w:rsid w:val="00BA3285"/>
    <w:rsid w:val="00BA3496"/>
    <w:rsid w:val="00BA4162"/>
    <w:rsid w:val="00BA51FD"/>
    <w:rsid w:val="00BA54F6"/>
    <w:rsid w:val="00BB1CF4"/>
    <w:rsid w:val="00BB36E0"/>
    <w:rsid w:val="00BB3B39"/>
    <w:rsid w:val="00BB4C20"/>
    <w:rsid w:val="00BB50F2"/>
    <w:rsid w:val="00BB59E7"/>
    <w:rsid w:val="00BB6AD4"/>
    <w:rsid w:val="00BB6E62"/>
    <w:rsid w:val="00BB7190"/>
    <w:rsid w:val="00BB780B"/>
    <w:rsid w:val="00BC0B0A"/>
    <w:rsid w:val="00BC1AA9"/>
    <w:rsid w:val="00BC21F7"/>
    <w:rsid w:val="00BC2CAA"/>
    <w:rsid w:val="00BC3CBC"/>
    <w:rsid w:val="00BC4D81"/>
    <w:rsid w:val="00BC6231"/>
    <w:rsid w:val="00BC651B"/>
    <w:rsid w:val="00BC7686"/>
    <w:rsid w:val="00BD03CF"/>
    <w:rsid w:val="00BD0EEC"/>
    <w:rsid w:val="00BD1363"/>
    <w:rsid w:val="00BD3894"/>
    <w:rsid w:val="00BD3FB6"/>
    <w:rsid w:val="00BD3FFD"/>
    <w:rsid w:val="00BD49E0"/>
    <w:rsid w:val="00BD63D0"/>
    <w:rsid w:val="00BD6FD4"/>
    <w:rsid w:val="00BD7A75"/>
    <w:rsid w:val="00BE0683"/>
    <w:rsid w:val="00BE37F6"/>
    <w:rsid w:val="00BE4532"/>
    <w:rsid w:val="00BE7359"/>
    <w:rsid w:val="00BF0221"/>
    <w:rsid w:val="00BF15BF"/>
    <w:rsid w:val="00BF19D4"/>
    <w:rsid w:val="00BF2187"/>
    <w:rsid w:val="00BF5CA4"/>
    <w:rsid w:val="00BF5D4F"/>
    <w:rsid w:val="00BF68A6"/>
    <w:rsid w:val="00BF72AB"/>
    <w:rsid w:val="00C011AB"/>
    <w:rsid w:val="00C01A7F"/>
    <w:rsid w:val="00C02C90"/>
    <w:rsid w:val="00C05823"/>
    <w:rsid w:val="00C05D69"/>
    <w:rsid w:val="00C07600"/>
    <w:rsid w:val="00C10BE1"/>
    <w:rsid w:val="00C10E97"/>
    <w:rsid w:val="00C12F5F"/>
    <w:rsid w:val="00C13377"/>
    <w:rsid w:val="00C1768B"/>
    <w:rsid w:val="00C17793"/>
    <w:rsid w:val="00C20D02"/>
    <w:rsid w:val="00C21919"/>
    <w:rsid w:val="00C22D30"/>
    <w:rsid w:val="00C22F28"/>
    <w:rsid w:val="00C2401C"/>
    <w:rsid w:val="00C27078"/>
    <w:rsid w:val="00C27FDC"/>
    <w:rsid w:val="00C31BFA"/>
    <w:rsid w:val="00C35D25"/>
    <w:rsid w:val="00C36E3D"/>
    <w:rsid w:val="00C3761C"/>
    <w:rsid w:val="00C37FC5"/>
    <w:rsid w:val="00C40202"/>
    <w:rsid w:val="00C4116E"/>
    <w:rsid w:val="00C45477"/>
    <w:rsid w:val="00C45B52"/>
    <w:rsid w:val="00C4786E"/>
    <w:rsid w:val="00C47CAA"/>
    <w:rsid w:val="00C51643"/>
    <w:rsid w:val="00C517C3"/>
    <w:rsid w:val="00C52A63"/>
    <w:rsid w:val="00C5319E"/>
    <w:rsid w:val="00C53A0F"/>
    <w:rsid w:val="00C549D5"/>
    <w:rsid w:val="00C5503E"/>
    <w:rsid w:val="00C565D6"/>
    <w:rsid w:val="00C56F30"/>
    <w:rsid w:val="00C62C3F"/>
    <w:rsid w:val="00C62DA1"/>
    <w:rsid w:val="00C62DF1"/>
    <w:rsid w:val="00C6366F"/>
    <w:rsid w:val="00C63C07"/>
    <w:rsid w:val="00C648D1"/>
    <w:rsid w:val="00C65D52"/>
    <w:rsid w:val="00C67D00"/>
    <w:rsid w:val="00C701FE"/>
    <w:rsid w:val="00C711CE"/>
    <w:rsid w:val="00C7151A"/>
    <w:rsid w:val="00C71712"/>
    <w:rsid w:val="00C7195B"/>
    <w:rsid w:val="00C74E50"/>
    <w:rsid w:val="00C76BA6"/>
    <w:rsid w:val="00C77911"/>
    <w:rsid w:val="00C80B2B"/>
    <w:rsid w:val="00C80EA9"/>
    <w:rsid w:val="00C80FF4"/>
    <w:rsid w:val="00C81193"/>
    <w:rsid w:val="00C8127F"/>
    <w:rsid w:val="00C81D6F"/>
    <w:rsid w:val="00C82604"/>
    <w:rsid w:val="00C838C9"/>
    <w:rsid w:val="00C84620"/>
    <w:rsid w:val="00C86824"/>
    <w:rsid w:val="00C9018A"/>
    <w:rsid w:val="00C91BC6"/>
    <w:rsid w:val="00C940A3"/>
    <w:rsid w:val="00C954E7"/>
    <w:rsid w:val="00C956B1"/>
    <w:rsid w:val="00C95E77"/>
    <w:rsid w:val="00C967D8"/>
    <w:rsid w:val="00C96ABF"/>
    <w:rsid w:val="00CA009A"/>
    <w:rsid w:val="00CA10C4"/>
    <w:rsid w:val="00CA19FF"/>
    <w:rsid w:val="00CA4D9C"/>
    <w:rsid w:val="00CA5292"/>
    <w:rsid w:val="00CA598E"/>
    <w:rsid w:val="00CA5C41"/>
    <w:rsid w:val="00CA60D5"/>
    <w:rsid w:val="00CB0375"/>
    <w:rsid w:val="00CB0A45"/>
    <w:rsid w:val="00CB0A5A"/>
    <w:rsid w:val="00CB2DBE"/>
    <w:rsid w:val="00CB3C92"/>
    <w:rsid w:val="00CB76FF"/>
    <w:rsid w:val="00CC0065"/>
    <w:rsid w:val="00CC21B1"/>
    <w:rsid w:val="00CC5777"/>
    <w:rsid w:val="00CC7156"/>
    <w:rsid w:val="00CD040B"/>
    <w:rsid w:val="00CD0DA1"/>
    <w:rsid w:val="00CD11E9"/>
    <w:rsid w:val="00CD12D1"/>
    <w:rsid w:val="00CD253B"/>
    <w:rsid w:val="00CD2E61"/>
    <w:rsid w:val="00CD3725"/>
    <w:rsid w:val="00CD3F60"/>
    <w:rsid w:val="00CD3F8E"/>
    <w:rsid w:val="00CD4D7B"/>
    <w:rsid w:val="00CD4DE5"/>
    <w:rsid w:val="00CD51A4"/>
    <w:rsid w:val="00CD6206"/>
    <w:rsid w:val="00CD672A"/>
    <w:rsid w:val="00CD73BC"/>
    <w:rsid w:val="00CD7E0B"/>
    <w:rsid w:val="00CE045F"/>
    <w:rsid w:val="00CE0790"/>
    <w:rsid w:val="00CE09E4"/>
    <w:rsid w:val="00CE33B2"/>
    <w:rsid w:val="00CE403E"/>
    <w:rsid w:val="00CE4912"/>
    <w:rsid w:val="00CE54B9"/>
    <w:rsid w:val="00CE5ECC"/>
    <w:rsid w:val="00CE77EE"/>
    <w:rsid w:val="00CF01D0"/>
    <w:rsid w:val="00CF0C42"/>
    <w:rsid w:val="00CF273A"/>
    <w:rsid w:val="00CF2D15"/>
    <w:rsid w:val="00CF2F55"/>
    <w:rsid w:val="00CF399E"/>
    <w:rsid w:val="00CF51E1"/>
    <w:rsid w:val="00CF6142"/>
    <w:rsid w:val="00CF614E"/>
    <w:rsid w:val="00CF6FB7"/>
    <w:rsid w:val="00CF7681"/>
    <w:rsid w:val="00CF7E78"/>
    <w:rsid w:val="00D001BE"/>
    <w:rsid w:val="00D00A28"/>
    <w:rsid w:val="00D0217A"/>
    <w:rsid w:val="00D02976"/>
    <w:rsid w:val="00D04E4D"/>
    <w:rsid w:val="00D04FEC"/>
    <w:rsid w:val="00D05675"/>
    <w:rsid w:val="00D065BE"/>
    <w:rsid w:val="00D06964"/>
    <w:rsid w:val="00D07351"/>
    <w:rsid w:val="00D07BBB"/>
    <w:rsid w:val="00D11BFC"/>
    <w:rsid w:val="00D1330E"/>
    <w:rsid w:val="00D14DAA"/>
    <w:rsid w:val="00D1663E"/>
    <w:rsid w:val="00D16CE3"/>
    <w:rsid w:val="00D174B7"/>
    <w:rsid w:val="00D2057B"/>
    <w:rsid w:val="00D20D7A"/>
    <w:rsid w:val="00D214A8"/>
    <w:rsid w:val="00D2157F"/>
    <w:rsid w:val="00D21AF8"/>
    <w:rsid w:val="00D22079"/>
    <w:rsid w:val="00D2219A"/>
    <w:rsid w:val="00D225CF"/>
    <w:rsid w:val="00D226DD"/>
    <w:rsid w:val="00D24534"/>
    <w:rsid w:val="00D24C91"/>
    <w:rsid w:val="00D24CC6"/>
    <w:rsid w:val="00D2507D"/>
    <w:rsid w:val="00D25F53"/>
    <w:rsid w:val="00D2649C"/>
    <w:rsid w:val="00D26AEB"/>
    <w:rsid w:val="00D272DD"/>
    <w:rsid w:val="00D27F25"/>
    <w:rsid w:val="00D32028"/>
    <w:rsid w:val="00D32FE9"/>
    <w:rsid w:val="00D33564"/>
    <w:rsid w:val="00D34BB5"/>
    <w:rsid w:val="00D35848"/>
    <w:rsid w:val="00D35992"/>
    <w:rsid w:val="00D36116"/>
    <w:rsid w:val="00D37361"/>
    <w:rsid w:val="00D42D7B"/>
    <w:rsid w:val="00D431A9"/>
    <w:rsid w:val="00D433BA"/>
    <w:rsid w:val="00D434D8"/>
    <w:rsid w:val="00D44B68"/>
    <w:rsid w:val="00D44D40"/>
    <w:rsid w:val="00D45FB6"/>
    <w:rsid w:val="00D5125B"/>
    <w:rsid w:val="00D53503"/>
    <w:rsid w:val="00D57D23"/>
    <w:rsid w:val="00D60EE0"/>
    <w:rsid w:val="00D63F9F"/>
    <w:rsid w:val="00D64822"/>
    <w:rsid w:val="00D64BF5"/>
    <w:rsid w:val="00D651C3"/>
    <w:rsid w:val="00D65993"/>
    <w:rsid w:val="00D65B54"/>
    <w:rsid w:val="00D65F5B"/>
    <w:rsid w:val="00D671F3"/>
    <w:rsid w:val="00D67BEB"/>
    <w:rsid w:val="00D7043F"/>
    <w:rsid w:val="00D70C1D"/>
    <w:rsid w:val="00D71960"/>
    <w:rsid w:val="00D73B08"/>
    <w:rsid w:val="00D7431B"/>
    <w:rsid w:val="00D7479E"/>
    <w:rsid w:val="00D74E39"/>
    <w:rsid w:val="00D75EDE"/>
    <w:rsid w:val="00D766F1"/>
    <w:rsid w:val="00D77423"/>
    <w:rsid w:val="00D807E4"/>
    <w:rsid w:val="00D81F32"/>
    <w:rsid w:val="00D82BF8"/>
    <w:rsid w:val="00D9095B"/>
    <w:rsid w:val="00D90B63"/>
    <w:rsid w:val="00D9254F"/>
    <w:rsid w:val="00D93231"/>
    <w:rsid w:val="00D937A6"/>
    <w:rsid w:val="00D945C0"/>
    <w:rsid w:val="00D94F51"/>
    <w:rsid w:val="00D957B5"/>
    <w:rsid w:val="00D9659C"/>
    <w:rsid w:val="00D971EA"/>
    <w:rsid w:val="00D97759"/>
    <w:rsid w:val="00DA0971"/>
    <w:rsid w:val="00DA0DB2"/>
    <w:rsid w:val="00DA2392"/>
    <w:rsid w:val="00DA41B4"/>
    <w:rsid w:val="00DA41FA"/>
    <w:rsid w:val="00DA4EFA"/>
    <w:rsid w:val="00DA4F72"/>
    <w:rsid w:val="00DA53B8"/>
    <w:rsid w:val="00DA6F60"/>
    <w:rsid w:val="00DB0764"/>
    <w:rsid w:val="00DB1AB0"/>
    <w:rsid w:val="00DB1F12"/>
    <w:rsid w:val="00DB458F"/>
    <w:rsid w:val="00DB555B"/>
    <w:rsid w:val="00DB583C"/>
    <w:rsid w:val="00DB6BD2"/>
    <w:rsid w:val="00DB6F48"/>
    <w:rsid w:val="00DB716C"/>
    <w:rsid w:val="00DB7213"/>
    <w:rsid w:val="00DB7D6D"/>
    <w:rsid w:val="00DC03E9"/>
    <w:rsid w:val="00DC0508"/>
    <w:rsid w:val="00DC2B48"/>
    <w:rsid w:val="00DC2F2C"/>
    <w:rsid w:val="00DC368B"/>
    <w:rsid w:val="00DC3B17"/>
    <w:rsid w:val="00DC4365"/>
    <w:rsid w:val="00DC4988"/>
    <w:rsid w:val="00DC4BA9"/>
    <w:rsid w:val="00DC4D53"/>
    <w:rsid w:val="00DC5BC3"/>
    <w:rsid w:val="00DC67EC"/>
    <w:rsid w:val="00DC6AD6"/>
    <w:rsid w:val="00DC6BF1"/>
    <w:rsid w:val="00DC6ED0"/>
    <w:rsid w:val="00DC71D1"/>
    <w:rsid w:val="00DC7A22"/>
    <w:rsid w:val="00DC7C05"/>
    <w:rsid w:val="00DD030F"/>
    <w:rsid w:val="00DD07CE"/>
    <w:rsid w:val="00DD21F0"/>
    <w:rsid w:val="00DD2450"/>
    <w:rsid w:val="00DD2FC2"/>
    <w:rsid w:val="00DD38BD"/>
    <w:rsid w:val="00DD6D7E"/>
    <w:rsid w:val="00DD72E6"/>
    <w:rsid w:val="00DE095A"/>
    <w:rsid w:val="00DE314F"/>
    <w:rsid w:val="00DE3FEA"/>
    <w:rsid w:val="00DE4539"/>
    <w:rsid w:val="00DE5547"/>
    <w:rsid w:val="00DF104F"/>
    <w:rsid w:val="00DF39B2"/>
    <w:rsid w:val="00DF4587"/>
    <w:rsid w:val="00DF49D1"/>
    <w:rsid w:val="00DF4BB7"/>
    <w:rsid w:val="00DF4FBE"/>
    <w:rsid w:val="00DF676A"/>
    <w:rsid w:val="00DF74B4"/>
    <w:rsid w:val="00DF76E4"/>
    <w:rsid w:val="00E00A33"/>
    <w:rsid w:val="00E02D7F"/>
    <w:rsid w:val="00E03D98"/>
    <w:rsid w:val="00E03FF5"/>
    <w:rsid w:val="00E060D6"/>
    <w:rsid w:val="00E066A6"/>
    <w:rsid w:val="00E06BCB"/>
    <w:rsid w:val="00E10BA3"/>
    <w:rsid w:val="00E11CF0"/>
    <w:rsid w:val="00E13556"/>
    <w:rsid w:val="00E1497A"/>
    <w:rsid w:val="00E15662"/>
    <w:rsid w:val="00E15AA8"/>
    <w:rsid w:val="00E220E2"/>
    <w:rsid w:val="00E2334E"/>
    <w:rsid w:val="00E24230"/>
    <w:rsid w:val="00E24864"/>
    <w:rsid w:val="00E24BBB"/>
    <w:rsid w:val="00E25103"/>
    <w:rsid w:val="00E25BC0"/>
    <w:rsid w:val="00E25E55"/>
    <w:rsid w:val="00E26636"/>
    <w:rsid w:val="00E274C6"/>
    <w:rsid w:val="00E3158E"/>
    <w:rsid w:val="00E318CD"/>
    <w:rsid w:val="00E32CB9"/>
    <w:rsid w:val="00E34A56"/>
    <w:rsid w:val="00E35052"/>
    <w:rsid w:val="00E3524B"/>
    <w:rsid w:val="00E35574"/>
    <w:rsid w:val="00E3592A"/>
    <w:rsid w:val="00E37AC2"/>
    <w:rsid w:val="00E37CE0"/>
    <w:rsid w:val="00E37D8E"/>
    <w:rsid w:val="00E41220"/>
    <w:rsid w:val="00E41641"/>
    <w:rsid w:val="00E4206D"/>
    <w:rsid w:val="00E42B50"/>
    <w:rsid w:val="00E44BD1"/>
    <w:rsid w:val="00E46082"/>
    <w:rsid w:val="00E4656C"/>
    <w:rsid w:val="00E50511"/>
    <w:rsid w:val="00E50A8F"/>
    <w:rsid w:val="00E5137E"/>
    <w:rsid w:val="00E52BBE"/>
    <w:rsid w:val="00E537CC"/>
    <w:rsid w:val="00E54BA0"/>
    <w:rsid w:val="00E55BDC"/>
    <w:rsid w:val="00E56542"/>
    <w:rsid w:val="00E56586"/>
    <w:rsid w:val="00E56D9B"/>
    <w:rsid w:val="00E57139"/>
    <w:rsid w:val="00E609C1"/>
    <w:rsid w:val="00E60CE0"/>
    <w:rsid w:val="00E60FAF"/>
    <w:rsid w:val="00E61654"/>
    <w:rsid w:val="00E61671"/>
    <w:rsid w:val="00E622B0"/>
    <w:rsid w:val="00E62914"/>
    <w:rsid w:val="00E635B4"/>
    <w:rsid w:val="00E64367"/>
    <w:rsid w:val="00E6461D"/>
    <w:rsid w:val="00E64C1D"/>
    <w:rsid w:val="00E64F63"/>
    <w:rsid w:val="00E660F9"/>
    <w:rsid w:val="00E677C5"/>
    <w:rsid w:val="00E70196"/>
    <w:rsid w:val="00E70BFD"/>
    <w:rsid w:val="00E7108C"/>
    <w:rsid w:val="00E742A5"/>
    <w:rsid w:val="00E743CB"/>
    <w:rsid w:val="00E74614"/>
    <w:rsid w:val="00E752B3"/>
    <w:rsid w:val="00E75695"/>
    <w:rsid w:val="00E7633E"/>
    <w:rsid w:val="00E76939"/>
    <w:rsid w:val="00E77751"/>
    <w:rsid w:val="00E81140"/>
    <w:rsid w:val="00E82286"/>
    <w:rsid w:val="00E8259C"/>
    <w:rsid w:val="00E85939"/>
    <w:rsid w:val="00E86CB8"/>
    <w:rsid w:val="00E86F01"/>
    <w:rsid w:val="00E87D6F"/>
    <w:rsid w:val="00E92FCC"/>
    <w:rsid w:val="00E93433"/>
    <w:rsid w:val="00E945B3"/>
    <w:rsid w:val="00E950C2"/>
    <w:rsid w:val="00E961A8"/>
    <w:rsid w:val="00E97FED"/>
    <w:rsid w:val="00EA0A0E"/>
    <w:rsid w:val="00EA0DDB"/>
    <w:rsid w:val="00EA1254"/>
    <w:rsid w:val="00EA1F3F"/>
    <w:rsid w:val="00EA31AE"/>
    <w:rsid w:val="00EA39FD"/>
    <w:rsid w:val="00EA3B22"/>
    <w:rsid w:val="00EA3D08"/>
    <w:rsid w:val="00EA3DFE"/>
    <w:rsid w:val="00EA6391"/>
    <w:rsid w:val="00EA6D0C"/>
    <w:rsid w:val="00EA6EA9"/>
    <w:rsid w:val="00EB0D3D"/>
    <w:rsid w:val="00EB10DD"/>
    <w:rsid w:val="00EB1993"/>
    <w:rsid w:val="00EB1F2A"/>
    <w:rsid w:val="00EB29F7"/>
    <w:rsid w:val="00EB2CA1"/>
    <w:rsid w:val="00EB339B"/>
    <w:rsid w:val="00EB3568"/>
    <w:rsid w:val="00EB4D03"/>
    <w:rsid w:val="00EB5C99"/>
    <w:rsid w:val="00EB6A8C"/>
    <w:rsid w:val="00EC07BA"/>
    <w:rsid w:val="00EC10B8"/>
    <w:rsid w:val="00EC1D39"/>
    <w:rsid w:val="00EC1D61"/>
    <w:rsid w:val="00EC270B"/>
    <w:rsid w:val="00EC2C25"/>
    <w:rsid w:val="00EC432B"/>
    <w:rsid w:val="00ED1933"/>
    <w:rsid w:val="00ED214E"/>
    <w:rsid w:val="00ED2390"/>
    <w:rsid w:val="00ED266A"/>
    <w:rsid w:val="00ED48E6"/>
    <w:rsid w:val="00ED56AF"/>
    <w:rsid w:val="00ED59FF"/>
    <w:rsid w:val="00ED71C7"/>
    <w:rsid w:val="00ED79D9"/>
    <w:rsid w:val="00EE0A76"/>
    <w:rsid w:val="00EE0EBD"/>
    <w:rsid w:val="00EE3986"/>
    <w:rsid w:val="00EE3C58"/>
    <w:rsid w:val="00EE4E58"/>
    <w:rsid w:val="00EE4F89"/>
    <w:rsid w:val="00EE56E8"/>
    <w:rsid w:val="00EF0B51"/>
    <w:rsid w:val="00EF0D09"/>
    <w:rsid w:val="00EF1368"/>
    <w:rsid w:val="00EF1599"/>
    <w:rsid w:val="00EF224D"/>
    <w:rsid w:val="00EF410A"/>
    <w:rsid w:val="00EF437E"/>
    <w:rsid w:val="00EF5893"/>
    <w:rsid w:val="00EF75E3"/>
    <w:rsid w:val="00EF77E9"/>
    <w:rsid w:val="00F01F1F"/>
    <w:rsid w:val="00F02938"/>
    <w:rsid w:val="00F02942"/>
    <w:rsid w:val="00F0308F"/>
    <w:rsid w:val="00F03CD0"/>
    <w:rsid w:val="00F03EAF"/>
    <w:rsid w:val="00F05B94"/>
    <w:rsid w:val="00F0657F"/>
    <w:rsid w:val="00F06653"/>
    <w:rsid w:val="00F06F84"/>
    <w:rsid w:val="00F07FD6"/>
    <w:rsid w:val="00F10D91"/>
    <w:rsid w:val="00F1122D"/>
    <w:rsid w:val="00F11570"/>
    <w:rsid w:val="00F12AB2"/>
    <w:rsid w:val="00F141EF"/>
    <w:rsid w:val="00F14E6F"/>
    <w:rsid w:val="00F1517C"/>
    <w:rsid w:val="00F1576D"/>
    <w:rsid w:val="00F16D19"/>
    <w:rsid w:val="00F17748"/>
    <w:rsid w:val="00F17C6B"/>
    <w:rsid w:val="00F17E12"/>
    <w:rsid w:val="00F21338"/>
    <w:rsid w:val="00F2150E"/>
    <w:rsid w:val="00F2165D"/>
    <w:rsid w:val="00F22237"/>
    <w:rsid w:val="00F22CC5"/>
    <w:rsid w:val="00F23417"/>
    <w:rsid w:val="00F258A6"/>
    <w:rsid w:val="00F268FE"/>
    <w:rsid w:val="00F26AD0"/>
    <w:rsid w:val="00F271EE"/>
    <w:rsid w:val="00F2720B"/>
    <w:rsid w:val="00F27A65"/>
    <w:rsid w:val="00F30196"/>
    <w:rsid w:val="00F30898"/>
    <w:rsid w:val="00F318F5"/>
    <w:rsid w:val="00F3315A"/>
    <w:rsid w:val="00F3379D"/>
    <w:rsid w:val="00F3500F"/>
    <w:rsid w:val="00F37362"/>
    <w:rsid w:val="00F37404"/>
    <w:rsid w:val="00F407D1"/>
    <w:rsid w:val="00F41465"/>
    <w:rsid w:val="00F42ED3"/>
    <w:rsid w:val="00F43509"/>
    <w:rsid w:val="00F43FB2"/>
    <w:rsid w:val="00F44586"/>
    <w:rsid w:val="00F44DDB"/>
    <w:rsid w:val="00F4519B"/>
    <w:rsid w:val="00F4624D"/>
    <w:rsid w:val="00F4754D"/>
    <w:rsid w:val="00F50596"/>
    <w:rsid w:val="00F508E6"/>
    <w:rsid w:val="00F514B7"/>
    <w:rsid w:val="00F53202"/>
    <w:rsid w:val="00F537C0"/>
    <w:rsid w:val="00F53B97"/>
    <w:rsid w:val="00F54114"/>
    <w:rsid w:val="00F558D5"/>
    <w:rsid w:val="00F572F1"/>
    <w:rsid w:val="00F613FB"/>
    <w:rsid w:val="00F61427"/>
    <w:rsid w:val="00F62086"/>
    <w:rsid w:val="00F624CD"/>
    <w:rsid w:val="00F62FCD"/>
    <w:rsid w:val="00F63415"/>
    <w:rsid w:val="00F63EA5"/>
    <w:rsid w:val="00F647C2"/>
    <w:rsid w:val="00F64A6F"/>
    <w:rsid w:val="00F64AE4"/>
    <w:rsid w:val="00F64FF8"/>
    <w:rsid w:val="00F65806"/>
    <w:rsid w:val="00F66528"/>
    <w:rsid w:val="00F66ECF"/>
    <w:rsid w:val="00F67291"/>
    <w:rsid w:val="00F677C3"/>
    <w:rsid w:val="00F677FF"/>
    <w:rsid w:val="00F67B42"/>
    <w:rsid w:val="00F71ADE"/>
    <w:rsid w:val="00F71BDB"/>
    <w:rsid w:val="00F71CC5"/>
    <w:rsid w:val="00F71FAF"/>
    <w:rsid w:val="00F72FA4"/>
    <w:rsid w:val="00F73179"/>
    <w:rsid w:val="00F74CF4"/>
    <w:rsid w:val="00F74D1E"/>
    <w:rsid w:val="00F755C2"/>
    <w:rsid w:val="00F773AD"/>
    <w:rsid w:val="00F77A5B"/>
    <w:rsid w:val="00F77C8D"/>
    <w:rsid w:val="00F82068"/>
    <w:rsid w:val="00F831F9"/>
    <w:rsid w:val="00F83E17"/>
    <w:rsid w:val="00F847C5"/>
    <w:rsid w:val="00F854CC"/>
    <w:rsid w:val="00F8760C"/>
    <w:rsid w:val="00F906A5"/>
    <w:rsid w:val="00F91B31"/>
    <w:rsid w:val="00F92514"/>
    <w:rsid w:val="00F92E75"/>
    <w:rsid w:val="00F95391"/>
    <w:rsid w:val="00F95DC3"/>
    <w:rsid w:val="00F965C0"/>
    <w:rsid w:val="00FA009A"/>
    <w:rsid w:val="00FA3515"/>
    <w:rsid w:val="00FA4BBE"/>
    <w:rsid w:val="00FA52C6"/>
    <w:rsid w:val="00FA7214"/>
    <w:rsid w:val="00FA75C5"/>
    <w:rsid w:val="00FA7BB3"/>
    <w:rsid w:val="00FB139B"/>
    <w:rsid w:val="00FB2C5E"/>
    <w:rsid w:val="00FB3A58"/>
    <w:rsid w:val="00FB46EB"/>
    <w:rsid w:val="00FB656D"/>
    <w:rsid w:val="00FB718F"/>
    <w:rsid w:val="00FC290F"/>
    <w:rsid w:val="00FC3422"/>
    <w:rsid w:val="00FC41FD"/>
    <w:rsid w:val="00FC45DC"/>
    <w:rsid w:val="00FC603F"/>
    <w:rsid w:val="00FC6F3F"/>
    <w:rsid w:val="00FC7800"/>
    <w:rsid w:val="00FC78F4"/>
    <w:rsid w:val="00FC7AE8"/>
    <w:rsid w:val="00FC7F06"/>
    <w:rsid w:val="00FD03D2"/>
    <w:rsid w:val="00FD10CE"/>
    <w:rsid w:val="00FD21AA"/>
    <w:rsid w:val="00FD2D8E"/>
    <w:rsid w:val="00FD49C2"/>
    <w:rsid w:val="00FD62D2"/>
    <w:rsid w:val="00FD6DBF"/>
    <w:rsid w:val="00FD7F44"/>
    <w:rsid w:val="00FE03A8"/>
    <w:rsid w:val="00FE0D89"/>
    <w:rsid w:val="00FE0F1D"/>
    <w:rsid w:val="00FE13B7"/>
    <w:rsid w:val="00FE1808"/>
    <w:rsid w:val="00FE3DD6"/>
    <w:rsid w:val="00FE4893"/>
    <w:rsid w:val="00FF0B2D"/>
    <w:rsid w:val="00FF0C9A"/>
    <w:rsid w:val="00FF0E95"/>
    <w:rsid w:val="00FF0FFA"/>
    <w:rsid w:val="00FF1715"/>
    <w:rsid w:val="00FF4C75"/>
    <w:rsid w:val="00FF6F1C"/>
    <w:rsid w:val="00FF6FC4"/>
    <w:rsid w:val="00FF6FFE"/>
    <w:rsid w:val="00FF7063"/>
    <w:rsid w:val="00FF78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f" fillcolor="white" stroke="f">
      <v:fill color="white" on="f"/>
      <v:stroke on="f"/>
      <o:colormru v:ext="edit" colors="#99f,#9ecdf8,#f00000,#00326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HTML Typewriter"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307B"/>
    <w:pPr>
      <w:widowControl w:val="0"/>
      <w:jc w:val="both"/>
    </w:pPr>
    <w:rPr>
      <w:kern w:val="2"/>
      <w:sz w:val="21"/>
      <w:szCs w:val="24"/>
    </w:rPr>
  </w:style>
  <w:style w:type="paragraph" w:styleId="1">
    <w:name w:val="heading 1"/>
    <w:basedOn w:val="a0"/>
    <w:next w:val="a0"/>
    <w:link w:val="1Char"/>
    <w:qFormat/>
    <w:rsid w:val="00E00A33"/>
    <w:pPr>
      <w:keepNext/>
      <w:keepLines/>
      <w:spacing w:before="340" w:after="330" w:line="578" w:lineRule="auto"/>
      <w:outlineLvl w:val="0"/>
    </w:pPr>
    <w:rPr>
      <w:b/>
      <w:bCs/>
      <w:kern w:val="44"/>
      <w:sz w:val="44"/>
      <w:szCs w:val="44"/>
      <w:lang/>
    </w:rPr>
  </w:style>
  <w:style w:type="paragraph" w:styleId="2">
    <w:name w:val="heading 2"/>
    <w:basedOn w:val="a0"/>
    <w:next w:val="a0"/>
    <w:link w:val="2Char"/>
    <w:qFormat/>
    <w:rsid w:val="00E00A33"/>
    <w:pPr>
      <w:keepNext/>
      <w:keepLines/>
      <w:spacing w:before="260" w:after="260" w:line="416" w:lineRule="auto"/>
      <w:outlineLvl w:val="1"/>
    </w:pPr>
    <w:rPr>
      <w:rFonts w:ascii="Arial" w:eastAsia="SimHei" w:hAnsi="Arial"/>
      <w:b/>
      <w:bCs/>
      <w:sz w:val="32"/>
      <w:szCs w:val="32"/>
      <w:lang/>
    </w:rPr>
  </w:style>
  <w:style w:type="paragraph" w:styleId="5">
    <w:name w:val="heading 5"/>
    <w:basedOn w:val="a0"/>
    <w:next w:val="a0"/>
    <w:qFormat/>
    <w:rsid w:val="00B75DD0"/>
    <w:pPr>
      <w:keepNext/>
      <w:jc w:val="center"/>
      <w:outlineLvl w:val="4"/>
    </w:pPr>
    <w:rPr>
      <w:rFonts w:ascii="Arial" w:eastAsia="SimHei" w:hAnsi="Arial" w:cs="Arial"/>
      <w:b/>
      <w:bCs/>
      <w:kern w:val="0"/>
      <w:sz w:val="18"/>
      <w:szCs w:val="1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A460CD"/>
    <w:rPr>
      <w:b/>
      <w:bCs/>
      <w:kern w:val="44"/>
      <w:sz w:val="44"/>
      <w:szCs w:val="44"/>
    </w:rPr>
  </w:style>
  <w:style w:type="character" w:customStyle="1" w:styleId="2Char">
    <w:name w:val="标题 2 Char"/>
    <w:link w:val="2"/>
    <w:rsid w:val="00A56132"/>
    <w:rPr>
      <w:rFonts w:ascii="Arial" w:eastAsia="SimHei" w:hAnsi="Arial"/>
      <w:b/>
      <w:bCs/>
      <w:kern w:val="2"/>
      <w:sz w:val="32"/>
      <w:szCs w:val="32"/>
    </w:rPr>
  </w:style>
  <w:style w:type="table" w:styleId="a4">
    <w:name w:val="Table Grid"/>
    <w:basedOn w:val="a2"/>
    <w:rsid w:val="00F1576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Char"/>
    <w:uiPriority w:val="99"/>
    <w:rsid w:val="00021EF5"/>
    <w:pPr>
      <w:tabs>
        <w:tab w:val="center" w:pos="4153"/>
        <w:tab w:val="right" w:pos="8306"/>
      </w:tabs>
      <w:snapToGrid w:val="0"/>
      <w:jc w:val="center"/>
    </w:pPr>
    <w:rPr>
      <w:sz w:val="18"/>
      <w:szCs w:val="18"/>
      <w:lang/>
    </w:rPr>
  </w:style>
  <w:style w:type="character" w:customStyle="1" w:styleId="Char">
    <w:name w:val="页眉 Char"/>
    <w:link w:val="a5"/>
    <w:uiPriority w:val="99"/>
    <w:rsid w:val="00A56132"/>
    <w:rPr>
      <w:kern w:val="2"/>
      <w:sz w:val="18"/>
      <w:szCs w:val="18"/>
    </w:rPr>
  </w:style>
  <w:style w:type="paragraph" w:styleId="a6">
    <w:name w:val="footer"/>
    <w:basedOn w:val="a0"/>
    <w:link w:val="Char0"/>
    <w:uiPriority w:val="99"/>
    <w:rsid w:val="00021EF5"/>
    <w:pPr>
      <w:tabs>
        <w:tab w:val="center" w:pos="4153"/>
        <w:tab w:val="right" w:pos="8306"/>
      </w:tabs>
      <w:snapToGrid w:val="0"/>
      <w:jc w:val="left"/>
    </w:pPr>
    <w:rPr>
      <w:sz w:val="18"/>
      <w:szCs w:val="18"/>
      <w:lang/>
    </w:rPr>
  </w:style>
  <w:style w:type="character" w:customStyle="1" w:styleId="Char0">
    <w:name w:val="页脚 Char"/>
    <w:link w:val="a6"/>
    <w:uiPriority w:val="99"/>
    <w:rsid w:val="00DE095A"/>
    <w:rPr>
      <w:kern w:val="2"/>
      <w:sz w:val="18"/>
      <w:szCs w:val="18"/>
    </w:rPr>
  </w:style>
  <w:style w:type="paragraph" w:customStyle="1" w:styleId="a">
    <w:name w:val="封面正文"/>
    <w:basedOn w:val="a0"/>
    <w:rsid w:val="00401122"/>
    <w:pPr>
      <w:numPr>
        <w:numId w:val="3"/>
      </w:numPr>
      <w:spacing w:afterLines="50" w:line="300" w:lineRule="exact"/>
    </w:pPr>
    <w:rPr>
      <w:rFonts w:ascii="Arial" w:eastAsia="SimHei" w:hAnsi="Arial"/>
      <w:b/>
      <w:sz w:val="18"/>
      <w:szCs w:val="21"/>
    </w:rPr>
  </w:style>
  <w:style w:type="paragraph" w:customStyle="1" w:styleId="a7">
    <w:name w:val="封边字"/>
    <w:basedOn w:val="a0"/>
    <w:link w:val="Char1"/>
    <w:rsid w:val="00AD3F58"/>
    <w:pPr>
      <w:tabs>
        <w:tab w:val="right" w:pos="3119"/>
      </w:tabs>
      <w:spacing w:line="240" w:lineRule="exact"/>
    </w:pPr>
    <w:rPr>
      <w:rFonts w:ascii="Arial" w:eastAsia="楷体_GB2312" w:hAnsi="Arial" w:cs="Arial"/>
      <w:color w:val="000000"/>
      <w:sz w:val="18"/>
      <w:szCs w:val="16"/>
    </w:rPr>
  </w:style>
  <w:style w:type="character" w:customStyle="1" w:styleId="Char1">
    <w:name w:val="封边字 Char"/>
    <w:link w:val="a7"/>
    <w:rsid w:val="00AD3F58"/>
    <w:rPr>
      <w:rFonts w:ascii="Arial" w:eastAsia="楷体_GB2312" w:hAnsi="Arial" w:cs="Arial"/>
      <w:color w:val="000000"/>
      <w:kern w:val="2"/>
      <w:sz w:val="18"/>
      <w:szCs w:val="16"/>
      <w:lang w:val="en-US" w:eastAsia="zh-CN" w:bidi="ar-SA"/>
    </w:rPr>
  </w:style>
  <w:style w:type="paragraph" w:customStyle="1" w:styleId="a8">
    <w:name w:val="内正文"/>
    <w:basedOn w:val="a0"/>
    <w:link w:val="CharChar"/>
    <w:rsid w:val="00153924"/>
    <w:pPr>
      <w:spacing w:afterLines="50" w:line="360" w:lineRule="exact"/>
      <w:ind w:leftChars="1350" w:left="2835"/>
    </w:pPr>
    <w:rPr>
      <w:rFonts w:ascii="宋体" w:hAnsi="宋体"/>
      <w:szCs w:val="21"/>
    </w:rPr>
  </w:style>
  <w:style w:type="character" w:customStyle="1" w:styleId="CharChar">
    <w:name w:val="内正文 Char Char"/>
    <w:link w:val="a8"/>
    <w:rsid w:val="00994FE9"/>
    <w:rPr>
      <w:rFonts w:ascii="宋体" w:eastAsia="宋体" w:hAnsi="宋体"/>
      <w:kern w:val="2"/>
      <w:sz w:val="21"/>
      <w:szCs w:val="21"/>
      <w:lang w:val="en-US" w:eastAsia="zh-CN" w:bidi="ar-SA"/>
    </w:rPr>
  </w:style>
  <w:style w:type="paragraph" w:styleId="a9">
    <w:name w:val="Balloon Text"/>
    <w:basedOn w:val="a0"/>
    <w:link w:val="Char2"/>
    <w:uiPriority w:val="99"/>
    <w:rsid w:val="00B75DD0"/>
    <w:rPr>
      <w:rFonts w:ascii="Arial" w:eastAsia="SimHei" w:hAnsi="Arial"/>
      <w:sz w:val="18"/>
      <w:szCs w:val="18"/>
      <w:lang/>
    </w:rPr>
  </w:style>
  <w:style w:type="character" w:customStyle="1" w:styleId="Char2">
    <w:name w:val="批注框文本 Char"/>
    <w:link w:val="a9"/>
    <w:uiPriority w:val="99"/>
    <w:rsid w:val="00A56132"/>
    <w:rPr>
      <w:rFonts w:ascii="Arial" w:eastAsia="SimHei" w:hAnsi="Arial"/>
      <w:kern w:val="2"/>
      <w:sz w:val="18"/>
      <w:szCs w:val="18"/>
    </w:rPr>
  </w:style>
  <w:style w:type="paragraph" w:customStyle="1" w:styleId="xl32">
    <w:name w:val="xl32"/>
    <w:basedOn w:val="a0"/>
    <w:semiHidden/>
    <w:rsid w:val="00B75DD0"/>
    <w:pPr>
      <w:widowControl/>
      <w:spacing w:before="100" w:beforeAutospacing="1" w:after="100" w:afterAutospacing="1"/>
      <w:jc w:val="center"/>
    </w:pPr>
    <w:rPr>
      <w:rFonts w:ascii="SimHei" w:eastAsia="SimHei" w:hAnsi="Arial Unicode MS" w:cs="Arial Unicode MS" w:hint="eastAsia"/>
      <w:kern w:val="0"/>
      <w:sz w:val="18"/>
      <w:szCs w:val="18"/>
    </w:rPr>
  </w:style>
  <w:style w:type="character" w:styleId="aa">
    <w:name w:val="Hyperlink"/>
    <w:rsid w:val="00B75DD0"/>
    <w:rPr>
      <w:color w:val="0000FF"/>
      <w:u w:val="single"/>
    </w:rPr>
  </w:style>
  <w:style w:type="character" w:styleId="ab">
    <w:name w:val="page number"/>
    <w:basedOn w:val="a1"/>
    <w:rsid w:val="008F1970"/>
  </w:style>
  <w:style w:type="paragraph" w:customStyle="1" w:styleId="ac">
    <w:name w:val="三级标题"/>
    <w:basedOn w:val="a0"/>
    <w:autoRedefine/>
    <w:rsid w:val="005B12C3"/>
    <w:pPr>
      <w:spacing w:after="72"/>
    </w:pPr>
    <w:rPr>
      <w:rFonts w:ascii="Arial" w:eastAsia="汉仪楷体简" w:hAnsi="Arial" w:cs="宋体"/>
      <w:b/>
      <w:color w:val="000080"/>
      <w:sz w:val="24"/>
    </w:rPr>
  </w:style>
  <w:style w:type="paragraph" w:customStyle="1" w:styleId="ad">
    <w:name w:val="表格内题"/>
    <w:basedOn w:val="a0"/>
    <w:autoRedefine/>
    <w:rsid w:val="005B12C3"/>
    <w:pPr>
      <w:ind w:left="113"/>
    </w:pPr>
    <w:rPr>
      <w:rFonts w:ascii="Arial" w:eastAsia="SimHei" w:hAnsi="Arial" w:cs="宋体"/>
      <w:b/>
      <w:sz w:val="18"/>
      <w:szCs w:val="20"/>
    </w:rPr>
  </w:style>
  <w:style w:type="paragraph" w:customStyle="1" w:styleId="ae">
    <w:name w:val="表格内正文"/>
    <w:basedOn w:val="a0"/>
    <w:autoRedefine/>
    <w:rsid w:val="005B12C3"/>
    <w:pPr>
      <w:ind w:left="113"/>
    </w:pPr>
    <w:rPr>
      <w:rFonts w:ascii="Arial" w:eastAsia="SimHei" w:hAnsi="Arial" w:cs="Arial"/>
      <w:sz w:val="18"/>
      <w:szCs w:val="20"/>
    </w:rPr>
  </w:style>
  <w:style w:type="paragraph" w:styleId="af">
    <w:name w:val="caption"/>
    <w:basedOn w:val="a0"/>
    <w:next w:val="a0"/>
    <w:link w:val="Char3"/>
    <w:qFormat/>
    <w:rsid w:val="007676C0"/>
    <w:rPr>
      <w:rFonts w:ascii="Arial" w:eastAsia="SimHei" w:hAnsi="Arial"/>
      <w:sz w:val="20"/>
      <w:szCs w:val="20"/>
      <w:lang/>
    </w:rPr>
  </w:style>
  <w:style w:type="character" w:customStyle="1" w:styleId="Char3">
    <w:name w:val="题注 Char"/>
    <w:link w:val="af"/>
    <w:rsid w:val="005F4C6A"/>
    <w:rPr>
      <w:rFonts w:ascii="Arial" w:eastAsia="SimHei" w:hAnsi="Arial" w:cs="Arial"/>
      <w:kern w:val="2"/>
    </w:rPr>
  </w:style>
  <w:style w:type="paragraph" w:styleId="10">
    <w:name w:val="toc 1"/>
    <w:basedOn w:val="a0"/>
    <w:next w:val="a0"/>
    <w:autoRedefine/>
    <w:uiPriority w:val="39"/>
    <w:rsid w:val="00E81140"/>
    <w:pPr>
      <w:tabs>
        <w:tab w:val="right" w:leader="dot" w:pos="6226"/>
      </w:tabs>
    </w:pPr>
    <w:rPr>
      <w:rFonts w:eastAsia="SimHei"/>
      <w:b/>
      <w:noProof/>
    </w:rPr>
  </w:style>
  <w:style w:type="paragraph" w:styleId="20">
    <w:name w:val="toc 2"/>
    <w:basedOn w:val="a0"/>
    <w:next w:val="a0"/>
    <w:autoRedefine/>
    <w:semiHidden/>
    <w:rsid w:val="00E00A33"/>
    <w:pPr>
      <w:ind w:leftChars="200" w:left="420"/>
    </w:pPr>
  </w:style>
  <w:style w:type="paragraph" w:styleId="af0">
    <w:name w:val="table of figures"/>
    <w:basedOn w:val="a0"/>
    <w:next w:val="a0"/>
    <w:uiPriority w:val="99"/>
    <w:rsid w:val="0044376C"/>
    <w:pPr>
      <w:ind w:leftChars="200" w:left="200" w:hangingChars="200" w:hanging="200"/>
    </w:pPr>
  </w:style>
  <w:style w:type="paragraph" w:customStyle="1" w:styleId="af1">
    <w:name w:val="大表题"/>
    <w:basedOn w:val="a0"/>
    <w:rsid w:val="008B5536"/>
    <w:pPr>
      <w:pBdr>
        <w:top w:val="single" w:sz="8" w:space="1" w:color="FF6600"/>
      </w:pBdr>
      <w:spacing w:beforeLines="100" w:line="320" w:lineRule="exact"/>
      <w:textAlignment w:val="center"/>
    </w:pPr>
    <w:rPr>
      <w:rFonts w:ascii="SimHei" w:eastAsia="SimHei" w:hAnsi="Arial" w:cs="Arial"/>
      <w:b/>
      <w:color w:val="FF6600"/>
      <w:sz w:val="18"/>
      <w:szCs w:val="18"/>
    </w:rPr>
  </w:style>
  <w:style w:type="paragraph" w:customStyle="1" w:styleId="af2">
    <w:name w:val="大表字"/>
    <w:basedOn w:val="a0"/>
    <w:rsid w:val="008B5536"/>
    <w:pPr>
      <w:pBdr>
        <w:top w:val="single" w:sz="4" w:space="2" w:color="FF6600"/>
        <w:bottom w:val="single" w:sz="4" w:space="0" w:color="FF6600"/>
      </w:pBdr>
      <w:shd w:val="clear" w:color="auto" w:fill="E6E6E6"/>
      <w:spacing w:line="300" w:lineRule="exact"/>
      <w:jc w:val="left"/>
      <w:textAlignment w:val="center"/>
    </w:pPr>
    <w:rPr>
      <w:rFonts w:ascii="Arial" w:eastAsia="SimHei" w:hAnsi="Arial" w:cs="宋体"/>
      <w:b/>
      <w:bCs/>
      <w:sz w:val="18"/>
      <w:szCs w:val="18"/>
    </w:rPr>
  </w:style>
  <w:style w:type="paragraph" w:customStyle="1" w:styleId="af3">
    <w:name w:val="大表格字"/>
    <w:basedOn w:val="a0"/>
    <w:rsid w:val="008B5536"/>
    <w:pPr>
      <w:spacing w:line="300" w:lineRule="exact"/>
      <w:jc w:val="left"/>
      <w:textAlignment w:val="center"/>
    </w:pPr>
    <w:rPr>
      <w:rFonts w:ascii="Arial" w:eastAsia="汉仪中等线简" w:hAnsi="Arial" w:cs="Arial"/>
      <w:color w:val="000000"/>
      <w:sz w:val="18"/>
      <w:szCs w:val="18"/>
    </w:rPr>
  </w:style>
  <w:style w:type="paragraph" w:customStyle="1" w:styleId="af4">
    <w:name w:val="资料字"/>
    <w:basedOn w:val="a0"/>
    <w:rsid w:val="008B5536"/>
    <w:pPr>
      <w:pBdr>
        <w:top w:val="single" w:sz="8" w:space="1" w:color="FF6600"/>
      </w:pBdr>
      <w:spacing w:afterLines="50" w:line="240" w:lineRule="exact"/>
      <w:ind w:leftChars="1350" w:left="2835"/>
    </w:pPr>
    <w:rPr>
      <w:rFonts w:ascii="Arial" w:eastAsia="楷体_GB2312" w:hAnsi="Arial" w:cs="Arial"/>
      <w:i/>
      <w:iCs/>
      <w:color w:val="000000"/>
      <w:sz w:val="16"/>
      <w:szCs w:val="16"/>
    </w:rPr>
  </w:style>
  <w:style w:type="character" w:styleId="af5">
    <w:name w:val="annotation reference"/>
    <w:semiHidden/>
    <w:rsid w:val="00033526"/>
    <w:rPr>
      <w:sz w:val="21"/>
      <w:szCs w:val="21"/>
    </w:rPr>
  </w:style>
  <w:style w:type="paragraph" w:styleId="af6">
    <w:name w:val="annotation text"/>
    <w:basedOn w:val="a0"/>
    <w:semiHidden/>
    <w:rsid w:val="00033526"/>
    <w:pPr>
      <w:jc w:val="left"/>
    </w:pPr>
  </w:style>
  <w:style w:type="paragraph" w:styleId="af7">
    <w:name w:val="annotation subject"/>
    <w:basedOn w:val="af6"/>
    <w:next w:val="af6"/>
    <w:semiHidden/>
    <w:rsid w:val="00033526"/>
    <w:rPr>
      <w:b/>
      <w:bCs/>
    </w:rPr>
  </w:style>
  <w:style w:type="paragraph" w:customStyle="1" w:styleId="af8">
    <w:name w:val="投资要点"/>
    <w:basedOn w:val="a0"/>
    <w:rsid w:val="00372B5C"/>
    <w:pPr>
      <w:spacing w:line="240" w:lineRule="exact"/>
      <w:ind w:leftChars="200" w:left="420" w:rightChars="-103" w:right="-216"/>
    </w:pPr>
    <w:rPr>
      <w:rFonts w:ascii="Arial" w:eastAsia="楷体_GB2312" w:hAnsi="Arial"/>
      <w:b/>
      <w:color w:val="000080"/>
      <w:szCs w:val="21"/>
    </w:rPr>
  </w:style>
  <w:style w:type="paragraph" w:customStyle="1" w:styleId="af9">
    <w:name w:val="封面大标题"/>
    <w:basedOn w:val="a0"/>
    <w:rsid w:val="00DB458F"/>
    <w:pPr>
      <w:jc w:val="center"/>
    </w:pPr>
    <w:rPr>
      <w:rFonts w:ascii="SimHei" w:eastAsia="SimHei" w:hAnsi="Arial"/>
      <w:b/>
      <w:bCs/>
      <w:color w:val="FF6600"/>
      <w:kern w:val="44"/>
      <w:sz w:val="36"/>
      <w:szCs w:val="36"/>
    </w:rPr>
  </w:style>
  <w:style w:type="paragraph" w:customStyle="1" w:styleId="afa">
    <w:name w:val="封面表字"/>
    <w:basedOn w:val="a0"/>
    <w:rsid w:val="007756FF"/>
    <w:pPr>
      <w:pBdr>
        <w:top w:val="single" w:sz="8" w:space="1" w:color="FF6600"/>
        <w:bottom w:val="single" w:sz="4" w:space="1" w:color="FF6600"/>
      </w:pBdr>
      <w:shd w:val="clear" w:color="auto" w:fill="E6E6E6"/>
      <w:tabs>
        <w:tab w:val="right" w:pos="3916"/>
        <w:tab w:val="right" w:pos="5520"/>
        <w:tab w:val="right" w:pos="7080"/>
      </w:tabs>
      <w:spacing w:line="240" w:lineRule="exact"/>
      <w:ind w:leftChars="207" w:left="207" w:right="-68"/>
      <w:textAlignment w:val="center"/>
    </w:pPr>
    <w:rPr>
      <w:rFonts w:ascii="Arial" w:eastAsia="楷体_GB2312" w:hAnsi="Arial" w:cs="Arial"/>
      <w:color w:val="000000"/>
      <w:sz w:val="18"/>
      <w:szCs w:val="18"/>
    </w:rPr>
  </w:style>
  <w:style w:type="paragraph" w:customStyle="1" w:styleId="afb">
    <w:name w:val="封面说明文字"/>
    <w:basedOn w:val="a0"/>
    <w:semiHidden/>
    <w:rsid w:val="007756FF"/>
    <w:pPr>
      <w:pBdr>
        <w:top w:val="single" w:sz="8" w:space="1" w:color="FF6600"/>
      </w:pBdr>
      <w:spacing w:line="260" w:lineRule="exact"/>
      <w:ind w:leftChars="207" w:left="207"/>
      <w:textAlignment w:val="center"/>
    </w:pPr>
    <w:rPr>
      <w:rFonts w:ascii="Arial" w:eastAsia="楷体_GB2312" w:hAnsi="Arial" w:cs="Arial"/>
      <w:i/>
      <w:iCs/>
      <w:color w:val="000000"/>
      <w:sz w:val="16"/>
      <w:szCs w:val="16"/>
    </w:rPr>
  </w:style>
  <w:style w:type="paragraph" w:styleId="afc">
    <w:name w:val="Normal (Web)"/>
    <w:basedOn w:val="a0"/>
    <w:uiPriority w:val="99"/>
    <w:rsid w:val="00D25F53"/>
    <w:pPr>
      <w:widowControl/>
      <w:spacing w:before="100" w:beforeAutospacing="1" w:after="100" w:afterAutospacing="1"/>
      <w:jc w:val="left"/>
    </w:pPr>
    <w:rPr>
      <w:rFonts w:ascii="宋体" w:hAnsi="宋体" w:cs="宋体"/>
      <w:color w:val="000000"/>
      <w:kern w:val="0"/>
      <w:sz w:val="24"/>
    </w:rPr>
  </w:style>
  <w:style w:type="character" w:styleId="afd">
    <w:name w:val="Strong"/>
    <w:uiPriority w:val="22"/>
    <w:qFormat/>
    <w:rsid w:val="00D25F53"/>
    <w:rPr>
      <w:b/>
      <w:bCs/>
    </w:rPr>
  </w:style>
  <w:style w:type="paragraph" w:customStyle="1" w:styleId="afe">
    <w:basedOn w:val="a0"/>
    <w:autoRedefine/>
    <w:rsid w:val="009E64B6"/>
    <w:pPr>
      <w:widowControl/>
      <w:spacing w:after="160" w:line="240" w:lineRule="exact"/>
      <w:jc w:val="left"/>
    </w:pPr>
    <w:rPr>
      <w:rFonts w:ascii="Verdana" w:eastAsia="仿宋_GB2312" w:hAnsi="Verdana"/>
      <w:kern w:val="0"/>
      <w:sz w:val="24"/>
      <w:szCs w:val="20"/>
      <w:lang w:eastAsia="en-US"/>
    </w:rPr>
  </w:style>
  <w:style w:type="character" w:customStyle="1" w:styleId="11pt">
    <w:name w:val="11pt"/>
    <w:basedOn w:val="a1"/>
    <w:rsid w:val="005366A6"/>
  </w:style>
  <w:style w:type="paragraph" w:customStyle="1" w:styleId="ParaCharCharCharCharCharCharChar">
    <w:name w:val="默认段落字体 Para Char Char Char Char Char Char Char"/>
    <w:basedOn w:val="a0"/>
    <w:rsid w:val="00994FE9"/>
    <w:rPr>
      <w:rFonts w:ascii="Arial" w:hAnsi="Arial" w:cs="Arial"/>
      <w:sz w:val="20"/>
      <w:szCs w:val="20"/>
    </w:rPr>
  </w:style>
  <w:style w:type="paragraph" w:styleId="HTML">
    <w:name w:val="HTML Preformatted"/>
    <w:basedOn w:val="a0"/>
    <w:rsid w:val="00994F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1"/>
    </w:rPr>
  </w:style>
  <w:style w:type="paragraph" w:styleId="aff">
    <w:name w:val="Document Map"/>
    <w:basedOn w:val="a0"/>
    <w:semiHidden/>
    <w:rsid w:val="00236454"/>
    <w:pPr>
      <w:shd w:val="clear" w:color="auto" w:fill="000080"/>
    </w:pPr>
  </w:style>
  <w:style w:type="paragraph" w:customStyle="1" w:styleId="aff0">
    <w:name w:val="封边题"/>
    <w:basedOn w:val="a0"/>
    <w:rsid w:val="00F2720B"/>
    <w:pPr>
      <w:pBdr>
        <w:top w:val="single" w:sz="8" w:space="1" w:color="FF6600"/>
      </w:pBdr>
      <w:tabs>
        <w:tab w:val="right" w:pos="2940"/>
      </w:tabs>
      <w:spacing w:after="156" w:line="240" w:lineRule="exact"/>
      <w:ind w:rightChars="35" w:right="73"/>
    </w:pPr>
    <w:rPr>
      <w:rFonts w:ascii="Arial" w:eastAsia="楷体_GB2312" w:hAnsi="Arial" w:cs="Arial"/>
      <w:b/>
      <w:color w:val="000080"/>
      <w:szCs w:val="21"/>
    </w:rPr>
  </w:style>
  <w:style w:type="paragraph" w:customStyle="1" w:styleId="aff1">
    <w:name w:val="边字"/>
    <w:rsid w:val="00052D23"/>
    <w:rPr>
      <w:rFonts w:ascii="Arial" w:eastAsia="SimHei" w:hAnsi="Arial"/>
      <w:color w:val="333399"/>
      <w:kern w:val="2"/>
      <w:sz w:val="18"/>
      <w:szCs w:val="18"/>
    </w:rPr>
  </w:style>
  <w:style w:type="paragraph" w:customStyle="1" w:styleId="aff2">
    <w:name w:val="内页图题"/>
    <w:basedOn w:val="a0"/>
    <w:semiHidden/>
    <w:rsid w:val="00052D23"/>
    <w:pPr>
      <w:pBdr>
        <w:bottom w:val="single" w:sz="8" w:space="1" w:color="FF6600"/>
      </w:pBdr>
      <w:spacing w:beforeLines="50" w:line="360" w:lineRule="exact"/>
      <w:ind w:left="1911"/>
      <w:textAlignment w:val="center"/>
    </w:pPr>
    <w:rPr>
      <w:rFonts w:ascii="SimHei" w:eastAsia="SimHei" w:hAnsi="Arial"/>
      <w:sz w:val="18"/>
      <w:szCs w:val="21"/>
    </w:rPr>
  </w:style>
  <w:style w:type="character" w:customStyle="1" w:styleId="apple-style-span">
    <w:name w:val="apple-style-span"/>
    <w:basedOn w:val="a1"/>
    <w:rsid w:val="002537C8"/>
  </w:style>
  <w:style w:type="paragraph" w:customStyle="1" w:styleId="top-read-1">
    <w:name w:val="top-read-1"/>
    <w:basedOn w:val="a0"/>
    <w:rsid w:val="006E05E3"/>
    <w:pPr>
      <w:widowControl/>
      <w:spacing w:before="100" w:beforeAutospacing="1" w:after="100" w:afterAutospacing="1"/>
      <w:jc w:val="left"/>
    </w:pPr>
    <w:rPr>
      <w:rFonts w:ascii="宋体" w:hAnsi="宋体" w:cs="宋体"/>
      <w:kern w:val="0"/>
      <w:sz w:val="24"/>
    </w:rPr>
  </w:style>
  <w:style w:type="paragraph" w:customStyle="1" w:styleId="aff3">
    <w:name w:val="国信投资摘要内容标题"/>
    <w:basedOn w:val="a0"/>
    <w:link w:val="Char4"/>
    <w:rsid w:val="00755F39"/>
    <w:pPr>
      <w:spacing w:beforeLines="20" w:line="280" w:lineRule="exact"/>
      <w:outlineLvl w:val="0"/>
    </w:pPr>
    <w:rPr>
      <w:rFonts w:ascii="Arial" w:eastAsia="楷体_GB2312" w:hAnsi="Arial"/>
      <w:b/>
      <w:color w:val="000000"/>
      <w:sz w:val="20"/>
      <w:lang/>
    </w:rPr>
  </w:style>
  <w:style w:type="character" w:customStyle="1" w:styleId="Char4">
    <w:name w:val="国信投资摘要内容标题 Char"/>
    <w:link w:val="aff3"/>
    <w:rsid w:val="00755F39"/>
    <w:rPr>
      <w:rFonts w:ascii="Arial" w:eastAsia="楷体_GB2312" w:hAnsi="Arial" w:cs="Arial"/>
      <w:b/>
      <w:color w:val="000000"/>
      <w:kern w:val="2"/>
      <w:szCs w:val="24"/>
    </w:rPr>
  </w:style>
  <w:style w:type="table" w:customStyle="1" w:styleId="-11">
    <w:name w:val="浅色底纹 - 强调文字颜色 11"/>
    <w:basedOn w:val="a2"/>
    <w:uiPriority w:val="60"/>
    <w:rsid w:val="005F4C6A"/>
    <w:rPr>
      <w:rFonts w:ascii="Calibri" w:hAnsi="Calibri"/>
      <w:color w:val="365F91"/>
      <w:kern w:val="2"/>
      <w:sz w:val="21"/>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4">
    <w:name w:val="国信投资摘要内容"/>
    <w:basedOn w:val="a0"/>
    <w:link w:val="Char5"/>
    <w:rsid w:val="00571027"/>
    <w:pPr>
      <w:spacing w:beforeLines="20" w:line="280" w:lineRule="exact"/>
    </w:pPr>
    <w:rPr>
      <w:rFonts w:ascii="Arial" w:eastAsia="楷体_GB2312" w:hAnsi="Arial"/>
      <w:color w:val="000000"/>
      <w:sz w:val="20"/>
      <w:szCs w:val="20"/>
      <w:lang/>
    </w:rPr>
  </w:style>
  <w:style w:type="character" w:customStyle="1" w:styleId="Char5">
    <w:name w:val="国信投资摘要内容 Char"/>
    <w:link w:val="aff4"/>
    <w:rsid w:val="00571027"/>
    <w:rPr>
      <w:rFonts w:ascii="Arial" w:eastAsia="楷体_GB2312" w:hAnsi="Arial" w:cs="Arial"/>
      <w:color w:val="000000"/>
      <w:kern w:val="2"/>
    </w:rPr>
  </w:style>
  <w:style w:type="character" w:customStyle="1" w:styleId="Char6">
    <w:name w:val="内正文 Char"/>
    <w:rsid w:val="00B529DA"/>
    <w:rPr>
      <w:rFonts w:ascii="宋体" w:eastAsia="宋体" w:hAnsi="宋体"/>
      <w:kern w:val="2"/>
      <w:sz w:val="21"/>
      <w:szCs w:val="21"/>
      <w:lang w:val="en-US" w:eastAsia="zh-CN" w:bidi="ar-SA"/>
    </w:rPr>
  </w:style>
  <w:style w:type="paragraph" w:styleId="aff5">
    <w:name w:val="Plain Text"/>
    <w:basedOn w:val="a0"/>
    <w:link w:val="Char7"/>
    <w:uiPriority w:val="99"/>
    <w:unhideWhenUsed/>
    <w:rsid w:val="00A56132"/>
    <w:rPr>
      <w:rFonts w:ascii="宋体" w:hAnsi="Courier New"/>
      <w:szCs w:val="21"/>
      <w:lang/>
    </w:rPr>
  </w:style>
  <w:style w:type="character" w:customStyle="1" w:styleId="Char7">
    <w:name w:val="纯文本 Char"/>
    <w:link w:val="aff5"/>
    <w:uiPriority w:val="99"/>
    <w:rsid w:val="00A56132"/>
    <w:rPr>
      <w:rFonts w:ascii="宋体" w:hAnsi="Courier New" w:cs="Courier New"/>
      <w:kern w:val="2"/>
      <w:sz w:val="21"/>
      <w:szCs w:val="21"/>
    </w:rPr>
  </w:style>
  <w:style w:type="paragraph" w:styleId="aff6">
    <w:name w:val="List Paragraph"/>
    <w:basedOn w:val="a0"/>
    <w:uiPriority w:val="34"/>
    <w:qFormat/>
    <w:rsid w:val="00A56132"/>
    <w:pPr>
      <w:ind w:firstLineChars="200" w:firstLine="420"/>
    </w:pPr>
    <w:rPr>
      <w:rFonts w:ascii="Calibri" w:hAnsi="Calibri"/>
      <w:szCs w:val="22"/>
    </w:rPr>
  </w:style>
  <w:style w:type="character" w:styleId="HTML0">
    <w:name w:val="HTML Typewriter"/>
    <w:uiPriority w:val="99"/>
    <w:unhideWhenUsed/>
    <w:rsid w:val="00A56132"/>
    <w:rPr>
      <w:rFonts w:ascii="宋体" w:eastAsia="宋体" w:hAnsi="宋体" w:cs="宋体"/>
      <w:sz w:val="24"/>
      <w:szCs w:val="24"/>
    </w:rPr>
  </w:style>
  <w:style w:type="paragraph" w:styleId="z-">
    <w:name w:val="HTML Top of Form"/>
    <w:basedOn w:val="a0"/>
    <w:next w:val="a0"/>
    <w:link w:val="z-Char"/>
    <w:hidden/>
    <w:uiPriority w:val="99"/>
    <w:unhideWhenUsed/>
    <w:rsid w:val="00A56132"/>
    <w:pPr>
      <w:pBdr>
        <w:bottom w:val="single" w:sz="6" w:space="1" w:color="auto"/>
      </w:pBdr>
      <w:jc w:val="center"/>
    </w:pPr>
    <w:rPr>
      <w:rFonts w:ascii="Arial" w:hAnsi="Arial"/>
      <w:vanish/>
      <w:sz w:val="16"/>
      <w:szCs w:val="16"/>
      <w:lang/>
    </w:rPr>
  </w:style>
  <w:style w:type="character" w:customStyle="1" w:styleId="z-Char">
    <w:name w:val="z-窗体顶端 Char"/>
    <w:link w:val="z-"/>
    <w:uiPriority w:val="99"/>
    <w:rsid w:val="00A56132"/>
    <w:rPr>
      <w:rFonts w:ascii="Arial" w:hAnsi="Arial"/>
      <w:vanish/>
      <w:kern w:val="2"/>
      <w:sz w:val="16"/>
      <w:szCs w:val="16"/>
    </w:rPr>
  </w:style>
  <w:style w:type="paragraph" w:styleId="z-0">
    <w:name w:val="HTML Bottom of Form"/>
    <w:basedOn w:val="a0"/>
    <w:next w:val="a0"/>
    <w:link w:val="z-Char0"/>
    <w:hidden/>
    <w:uiPriority w:val="99"/>
    <w:unhideWhenUsed/>
    <w:rsid w:val="00A56132"/>
    <w:pPr>
      <w:pBdr>
        <w:top w:val="single" w:sz="6" w:space="1" w:color="auto"/>
      </w:pBdr>
      <w:jc w:val="center"/>
    </w:pPr>
    <w:rPr>
      <w:rFonts w:ascii="Arial" w:hAnsi="Arial"/>
      <w:vanish/>
      <w:sz w:val="16"/>
      <w:szCs w:val="16"/>
      <w:lang/>
    </w:rPr>
  </w:style>
  <w:style w:type="character" w:customStyle="1" w:styleId="z-Char0">
    <w:name w:val="z-窗体底端 Char"/>
    <w:link w:val="z-0"/>
    <w:uiPriority w:val="99"/>
    <w:rsid w:val="00A56132"/>
    <w:rPr>
      <w:rFonts w:ascii="Arial" w:hAnsi="Arial"/>
      <w:vanish/>
      <w:kern w:val="2"/>
      <w:sz w:val="16"/>
      <w:szCs w:val="16"/>
    </w:rPr>
  </w:style>
  <w:style w:type="paragraph" w:styleId="aff7">
    <w:name w:val="Date"/>
    <w:basedOn w:val="a0"/>
    <w:next w:val="a0"/>
    <w:link w:val="Char8"/>
    <w:rsid w:val="00A56132"/>
    <w:pPr>
      <w:ind w:leftChars="2500" w:left="100"/>
    </w:pPr>
    <w:rPr>
      <w:lang/>
    </w:rPr>
  </w:style>
  <w:style w:type="character" w:customStyle="1" w:styleId="Char8">
    <w:name w:val="日期 Char"/>
    <w:link w:val="aff7"/>
    <w:rsid w:val="00A56132"/>
    <w:rPr>
      <w:kern w:val="2"/>
      <w:sz w:val="21"/>
      <w:szCs w:val="24"/>
    </w:rPr>
  </w:style>
  <w:style w:type="character" w:customStyle="1" w:styleId="rwrr">
    <w:name w:val="rwrr"/>
    <w:rsid w:val="00A56132"/>
    <w:rPr>
      <w:color w:val="408CD9"/>
      <w:u w:val="single"/>
      <w:shd w:val="clear" w:color="auto" w:fill="FFFFFF"/>
    </w:rPr>
  </w:style>
  <w:style w:type="paragraph" w:styleId="aff8">
    <w:name w:val="footnote text"/>
    <w:basedOn w:val="a0"/>
    <w:link w:val="Char9"/>
    <w:rsid w:val="00A56132"/>
    <w:pPr>
      <w:snapToGrid w:val="0"/>
      <w:jc w:val="left"/>
    </w:pPr>
    <w:rPr>
      <w:sz w:val="18"/>
      <w:szCs w:val="18"/>
      <w:lang/>
    </w:rPr>
  </w:style>
  <w:style w:type="character" w:customStyle="1" w:styleId="Char9">
    <w:name w:val="脚注文本 Char"/>
    <w:link w:val="aff8"/>
    <w:rsid w:val="00A56132"/>
    <w:rPr>
      <w:kern w:val="2"/>
      <w:sz w:val="18"/>
      <w:szCs w:val="18"/>
    </w:rPr>
  </w:style>
  <w:style w:type="character" w:styleId="aff9">
    <w:name w:val="footnote reference"/>
    <w:rsid w:val="00A56132"/>
    <w:rPr>
      <w:vertAlign w:val="superscript"/>
    </w:rPr>
  </w:style>
  <w:style w:type="paragraph" w:customStyle="1" w:styleId="Default">
    <w:name w:val="Default"/>
    <w:rsid w:val="0013506B"/>
    <w:pPr>
      <w:widowControl w:val="0"/>
      <w:autoSpaceDE w:val="0"/>
      <w:autoSpaceDN w:val="0"/>
      <w:adjustRightInd w:val="0"/>
    </w:pPr>
    <w:rPr>
      <w:rFonts w:ascii="楷体_GB2312" w:hAnsi="楷体_GB2312" w:cs="楷体_GB2312"/>
      <w:color w:val="000000"/>
      <w:sz w:val="24"/>
      <w:szCs w:val="24"/>
    </w:rPr>
  </w:style>
</w:styles>
</file>

<file path=word/webSettings.xml><?xml version="1.0" encoding="utf-8"?>
<w:webSettings xmlns:r="http://schemas.openxmlformats.org/officeDocument/2006/relationships" xmlns:w="http://schemas.openxmlformats.org/wordprocessingml/2006/main">
  <w:divs>
    <w:div w:id="8146236">
      <w:bodyDiv w:val="1"/>
      <w:marLeft w:val="0"/>
      <w:marRight w:val="0"/>
      <w:marTop w:val="0"/>
      <w:marBottom w:val="0"/>
      <w:divBdr>
        <w:top w:val="none" w:sz="0" w:space="0" w:color="auto"/>
        <w:left w:val="none" w:sz="0" w:space="0" w:color="auto"/>
        <w:bottom w:val="none" w:sz="0" w:space="0" w:color="auto"/>
        <w:right w:val="none" w:sz="0" w:space="0" w:color="auto"/>
      </w:divBdr>
    </w:div>
    <w:div w:id="16153467">
      <w:bodyDiv w:val="1"/>
      <w:marLeft w:val="0"/>
      <w:marRight w:val="0"/>
      <w:marTop w:val="0"/>
      <w:marBottom w:val="0"/>
      <w:divBdr>
        <w:top w:val="none" w:sz="0" w:space="0" w:color="auto"/>
        <w:left w:val="none" w:sz="0" w:space="0" w:color="auto"/>
        <w:bottom w:val="none" w:sz="0" w:space="0" w:color="auto"/>
        <w:right w:val="none" w:sz="0" w:space="0" w:color="auto"/>
      </w:divBdr>
      <w:divsChild>
        <w:div w:id="1430421006">
          <w:marLeft w:val="0"/>
          <w:marRight w:val="0"/>
          <w:marTop w:val="0"/>
          <w:marBottom w:val="0"/>
          <w:divBdr>
            <w:top w:val="none" w:sz="0" w:space="0" w:color="auto"/>
            <w:left w:val="none" w:sz="0" w:space="0" w:color="auto"/>
            <w:bottom w:val="none" w:sz="0" w:space="0" w:color="auto"/>
            <w:right w:val="none" w:sz="0" w:space="0" w:color="auto"/>
          </w:divBdr>
        </w:div>
      </w:divsChild>
    </w:div>
    <w:div w:id="24599928">
      <w:bodyDiv w:val="1"/>
      <w:marLeft w:val="0"/>
      <w:marRight w:val="0"/>
      <w:marTop w:val="0"/>
      <w:marBottom w:val="0"/>
      <w:divBdr>
        <w:top w:val="none" w:sz="0" w:space="0" w:color="auto"/>
        <w:left w:val="none" w:sz="0" w:space="0" w:color="auto"/>
        <w:bottom w:val="none" w:sz="0" w:space="0" w:color="auto"/>
        <w:right w:val="none" w:sz="0" w:space="0" w:color="auto"/>
      </w:divBdr>
    </w:div>
    <w:div w:id="60566829">
      <w:bodyDiv w:val="1"/>
      <w:marLeft w:val="0"/>
      <w:marRight w:val="0"/>
      <w:marTop w:val="0"/>
      <w:marBottom w:val="0"/>
      <w:divBdr>
        <w:top w:val="none" w:sz="0" w:space="0" w:color="auto"/>
        <w:left w:val="none" w:sz="0" w:space="0" w:color="auto"/>
        <w:bottom w:val="none" w:sz="0" w:space="0" w:color="auto"/>
        <w:right w:val="none" w:sz="0" w:space="0" w:color="auto"/>
      </w:divBdr>
    </w:div>
    <w:div w:id="133257971">
      <w:bodyDiv w:val="1"/>
      <w:marLeft w:val="0"/>
      <w:marRight w:val="0"/>
      <w:marTop w:val="0"/>
      <w:marBottom w:val="0"/>
      <w:divBdr>
        <w:top w:val="none" w:sz="0" w:space="0" w:color="auto"/>
        <w:left w:val="none" w:sz="0" w:space="0" w:color="auto"/>
        <w:bottom w:val="none" w:sz="0" w:space="0" w:color="auto"/>
        <w:right w:val="none" w:sz="0" w:space="0" w:color="auto"/>
      </w:divBdr>
    </w:div>
    <w:div w:id="168445951">
      <w:bodyDiv w:val="1"/>
      <w:marLeft w:val="0"/>
      <w:marRight w:val="0"/>
      <w:marTop w:val="0"/>
      <w:marBottom w:val="0"/>
      <w:divBdr>
        <w:top w:val="none" w:sz="0" w:space="0" w:color="auto"/>
        <w:left w:val="none" w:sz="0" w:space="0" w:color="auto"/>
        <w:bottom w:val="none" w:sz="0" w:space="0" w:color="auto"/>
        <w:right w:val="none" w:sz="0" w:space="0" w:color="auto"/>
      </w:divBdr>
    </w:div>
    <w:div w:id="210384363">
      <w:bodyDiv w:val="1"/>
      <w:marLeft w:val="0"/>
      <w:marRight w:val="0"/>
      <w:marTop w:val="0"/>
      <w:marBottom w:val="0"/>
      <w:divBdr>
        <w:top w:val="none" w:sz="0" w:space="0" w:color="auto"/>
        <w:left w:val="none" w:sz="0" w:space="0" w:color="auto"/>
        <w:bottom w:val="none" w:sz="0" w:space="0" w:color="auto"/>
        <w:right w:val="none" w:sz="0" w:space="0" w:color="auto"/>
      </w:divBdr>
    </w:div>
    <w:div w:id="242371890">
      <w:bodyDiv w:val="1"/>
      <w:marLeft w:val="0"/>
      <w:marRight w:val="0"/>
      <w:marTop w:val="0"/>
      <w:marBottom w:val="0"/>
      <w:divBdr>
        <w:top w:val="none" w:sz="0" w:space="0" w:color="auto"/>
        <w:left w:val="none" w:sz="0" w:space="0" w:color="auto"/>
        <w:bottom w:val="none" w:sz="0" w:space="0" w:color="auto"/>
        <w:right w:val="none" w:sz="0" w:space="0" w:color="auto"/>
      </w:divBdr>
      <w:divsChild>
        <w:div w:id="813369899">
          <w:marLeft w:val="0"/>
          <w:marRight w:val="0"/>
          <w:marTop w:val="0"/>
          <w:marBottom w:val="0"/>
          <w:divBdr>
            <w:top w:val="none" w:sz="0" w:space="0" w:color="auto"/>
            <w:left w:val="none" w:sz="0" w:space="0" w:color="auto"/>
            <w:bottom w:val="none" w:sz="0" w:space="0" w:color="auto"/>
            <w:right w:val="single" w:sz="6" w:space="5" w:color="CCCCCC"/>
          </w:divBdr>
          <w:divsChild>
            <w:div w:id="2606453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78894831">
      <w:bodyDiv w:val="1"/>
      <w:marLeft w:val="0"/>
      <w:marRight w:val="0"/>
      <w:marTop w:val="0"/>
      <w:marBottom w:val="0"/>
      <w:divBdr>
        <w:top w:val="none" w:sz="0" w:space="0" w:color="auto"/>
        <w:left w:val="none" w:sz="0" w:space="0" w:color="auto"/>
        <w:bottom w:val="none" w:sz="0" w:space="0" w:color="auto"/>
        <w:right w:val="none" w:sz="0" w:space="0" w:color="auto"/>
      </w:divBdr>
    </w:div>
    <w:div w:id="405490761">
      <w:bodyDiv w:val="1"/>
      <w:marLeft w:val="0"/>
      <w:marRight w:val="0"/>
      <w:marTop w:val="0"/>
      <w:marBottom w:val="0"/>
      <w:divBdr>
        <w:top w:val="none" w:sz="0" w:space="0" w:color="auto"/>
        <w:left w:val="none" w:sz="0" w:space="0" w:color="auto"/>
        <w:bottom w:val="none" w:sz="0" w:space="0" w:color="auto"/>
        <w:right w:val="none" w:sz="0" w:space="0" w:color="auto"/>
      </w:divBdr>
      <w:divsChild>
        <w:div w:id="138697359">
          <w:marLeft w:val="0"/>
          <w:marRight w:val="0"/>
          <w:marTop w:val="0"/>
          <w:marBottom w:val="0"/>
          <w:divBdr>
            <w:top w:val="none" w:sz="0" w:space="0" w:color="auto"/>
            <w:left w:val="none" w:sz="0" w:space="0" w:color="auto"/>
            <w:bottom w:val="none" w:sz="0" w:space="0" w:color="auto"/>
            <w:right w:val="none" w:sz="0" w:space="0" w:color="auto"/>
          </w:divBdr>
        </w:div>
        <w:div w:id="1327517732">
          <w:marLeft w:val="0"/>
          <w:marRight w:val="0"/>
          <w:marTop w:val="0"/>
          <w:marBottom w:val="0"/>
          <w:divBdr>
            <w:top w:val="none" w:sz="0" w:space="0" w:color="auto"/>
            <w:left w:val="none" w:sz="0" w:space="0" w:color="auto"/>
            <w:bottom w:val="none" w:sz="0" w:space="0" w:color="auto"/>
            <w:right w:val="none" w:sz="0" w:space="0" w:color="auto"/>
          </w:divBdr>
        </w:div>
      </w:divsChild>
    </w:div>
    <w:div w:id="479077387">
      <w:bodyDiv w:val="1"/>
      <w:marLeft w:val="0"/>
      <w:marRight w:val="0"/>
      <w:marTop w:val="0"/>
      <w:marBottom w:val="0"/>
      <w:divBdr>
        <w:top w:val="none" w:sz="0" w:space="0" w:color="auto"/>
        <w:left w:val="none" w:sz="0" w:space="0" w:color="auto"/>
        <w:bottom w:val="none" w:sz="0" w:space="0" w:color="auto"/>
        <w:right w:val="none" w:sz="0" w:space="0" w:color="auto"/>
      </w:divBdr>
    </w:div>
    <w:div w:id="485126798">
      <w:bodyDiv w:val="1"/>
      <w:marLeft w:val="0"/>
      <w:marRight w:val="0"/>
      <w:marTop w:val="0"/>
      <w:marBottom w:val="0"/>
      <w:divBdr>
        <w:top w:val="none" w:sz="0" w:space="0" w:color="auto"/>
        <w:left w:val="none" w:sz="0" w:space="0" w:color="auto"/>
        <w:bottom w:val="none" w:sz="0" w:space="0" w:color="auto"/>
        <w:right w:val="none" w:sz="0" w:space="0" w:color="auto"/>
      </w:divBdr>
    </w:div>
    <w:div w:id="602613677">
      <w:bodyDiv w:val="1"/>
      <w:marLeft w:val="0"/>
      <w:marRight w:val="0"/>
      <w:marTop w:val="0"/>
      <w:marBottom w:val="0"/>
      <w:divBdr>
        <w:top w:val="none" w:sz="0" w:space="0" w:color="auto"/>
        <w:left w:val="none" w:sz="0" w:space="0" w:color="auto"/>
        <w:bottom w:val="none" w:sz="0" w:space="0" w:color="auto"/>
        <w:right w:val="none" w:sz="0" w:space="0" w:color="auto"/>
      </w:divBdr>
    </w:div>
    <w:div w:id="615794021">
      <w:bodyDiv w:val="1"/>
      <w:marLeft w:val="0"/>
      <w:marRight w:val="0"/>
      <w:marTop w:val="0"/>
      <w:marBottom w:val="0"/>
      <w:divBdr>
        <w:top w:val="none" w:sz="0" w:space="0" w:color="auto"/>
        <w:left w:val="none" w:sz="0" w:space="0" w:color="auto"/>
        <w:bottom w:val="none" w:sz="0" w:space="0" w:color="auto"/>
        <w:right w:val="none" w:sz="0" w:space="0" w:color="auto"/>
      </w:divBdr>
    </w:div>
    <w:div w:id="681861957">
      <w:bodyDiv w:val="1"/>
      <w:marLeft w:val="0"/>
      <w:marRight w:val="0"/>
      <w:marTop w:val="0"/>
      <w:marBottom w:val="0"/>
      <w:divBdr>
        <w:top w:val="none" w:sz="0" w:space="0" w:color="auto"/>
        <w:left w:val="none" w:sz="0" w:space="0" w:color="auto"/>
        <w:bottom w:val="none" w:sz="0" w:space="0" w:color="auto"/>
        <w:right w:val="none" w:sz="0" w:space="0" w:color="auto"/>
      </w:divBdr>
      <w:divsChild>
        <w:div w:id="169758540">
          <w:marLeft w:val="0"/>
          <w:marRight w:val="0"/>
          <w:marTop w:val="0"/>
          <w:marBottom w:val="0"/>
          <w:divBdr>
            <w:top w:val="none" w:sz="0" w:space="0" w:color="auto"/>
            <w:left w:val="none" w:sz="0" w:space="0" w:color="auto"/>
            <w:bottom w:val="none" w:sz="0" w:space="0" w:color="auto"/>
            <w:right w:val="none" w:sz="0" w:space="0" w:color="auto"/>
          </w:divBdr>
          <w:divsChild>
            <w:div w:id="1503085449">
              <w:marLeft w:val="0"/>
              <w:marRight w:val="0"/>
              <w:marTop w:val="0"/>
              <w:marBottom w:val="0"/>
              <w:divBdr>
                <w:top w:val="none" w:sz="0" w:space="0" w:color="auto"/>
                <w:left w:val="none" w:sz="0" w:space="0" w:color="auto"/>
                <w:bottom w:val="none" w:sz="0" w:space="0" w:color="auto"/>
                <w:right w:val="none" w:sz="0" w:space="0" w:color="auto"/>
              </w:divBdr>
              <w:divsChild>
                <w:div w:id="1774398703">
                  <w:marLeft w:val="0"/>
                  <w:marRight w:val="0"/>
                  <w:marTop w:val="0"/>
                  <w:marBottom w:val="0"/>
                  <w:divBdr>
                    <w:top w:val="none" w:sz="0" w:space="0" w:color="auto"/>
                    <w:left w:val="none" w:sz="0" w:space="0" w:color="auto"/>
                    <w:bottom w:val="none" w:sz="0" w:space="0" w:color="auto"/>
                    <w:right w:val="none" w:sz="0" w:space="0" w:color="auto"/>
                  </w:divBdr>
                  <w:divsChild>
                    <w:div w:id="1943763302">
                      <w:marLeft w:val="0"/>
                      <w:marRight w:val="0"/>
                      <w:marTop w:val="0"/>
                      <w:marBottom w:val="0"/>
                      <w:divBdr>
                        <w:top w:val="none" w:sz="0" w:space="0" w:color="auto"/>
                        <w:left w:val="none" w:sz="0" w:space="0" w:color="auto"/>
                        <w:bottom w:val="none" w:sz="0" w:space="0" w:color="auto"/>
                        <w:right w:val="none" w:sz="0" w:space="0" w:color="auto"/>
                      </w:divBdr>
                      <w:divsChild>
                        <w:div w:id="1395735719">
                          <w:marLeft w:val="0"/>
                          <w:marRight w:val="0"/>
                          <w:marTop w:val="0"/>
                          <w:marBottom w:val="84"/>
                          <w:divBdr>
                            <w:top w:val="none" w:sz="0" w:space="0" w:color="auto"/>
                            <w:left w:val="none" w:sz="0" w:space="0" w:color="auto"/>
                            <w:bottom w:val="none" w:sz="0" w:space="0" w:color="auto"/>
                            <w:right w:val="none" w:sz="0" w:space="0" w:color="auto"/>
                          </w:divBdr>
                          <w:divsChild>
                            <w:div w:id="1234387711">
                              <w:marLeft w:val="0"/>
                              <w:marRight w:val="0"/>
                              <w:marTop w:val="0"/>
                              <w:marBottom w:val="0"/>
                              <w:divBdr>
                                <w:top w:val="none" w:sz="0" w:space="0" w:color="auto"/>
                                <w:left w:val="none" w:sz="0" w:space="0" w:color="auto"/>
                                <w:bottom w:val="none" w:sz="0" w:space="0" w:color="auto"/>
                                <w:right w:val="none" w:sz="0" w:space="0" w:color="auto"/>
                              </w:divBdr>
                              <w:divsChild>
                                <w:div w:id="18797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043829">
      <w:bodyDiv w:val="1"/>
      <w:marLeft w:val="0"/>
      <w:marRight w:val="0"/>
      <w:marTop w:val="0"/>
      <w:marBottom w:val="0"/>
      <w:divBdr>
        <w:top w:val="none" w:sz="0" w:space="0" w:color="auto"/>
        <w:left w:val="none" w:sz="0" w:space="0" w:color="auto"/>
        <w:bottom w:val="none" w:sz="0" w:space="0" w:color="auto"/>
        <w:right w:val="none" w:sz="0" w:space="0" w:color="auto"/>
      </w:divBdr>
    </w:div>
    <w:div w:id="837844578">
      <w:bodyDiv w:val="1"/>
      <w:marLeft w:val="0"/>
      <w:marRight w:val="0"/>
      <w:marTop w:val="0"/>
      <w:marBottom w:val="0"/>
      <w:divBdr>
        <w:top w:val="none" w:sz="0" w:space="0" w:color="auto"/>
        <w:left w:val="none" w:sz="0" w:space="0" w:color="auto"/>
        <w:bottom w:val="none" w:sz="0" w:space="0" w:color="auto"/>
        <w:right w:val="none" w:sz="0" w:space="0" w:color="auto"/>
      </w:divBdr>
    </w:div>
    <w:div w:id="845166723">
      <w:bodyDiv w:val="1"/>
      <w:marLeft w:val="0"/>
      <w:marRight w:val="0"/>
      <w:marTop w:val="0"/>
      <w:marBottom w:val="0"/>
      <w:divBdr>
        <w:top w:val="none" w:sz="0" w:space="0" w:color="auto"/>
        <w:left w:val="none" w:sz="0" w:space="0" w:color="auto"/>
        <w:bottom w:val="none" w:sz="0" w:space="0" w:color="auto"/>
        <w:right w:val="none" w:sz="0" w:space="0" w:color="auto"/>
      </w:divBdr>
    </w:div>
    <w:div w:id="921063663">
      <w:bodyDiv w:val="1"/>
      <w:marLeft w:val="0"/>
      <w:marRight w:val="0"/>
      <w:marTop w:val="0"/>
      <w:marBottom w:val="0"/>
      <w:divBdr>
        <w:top w:val="none" w:sz="0" w:space="0" w:color="auto"/>
        <w:left w:val="none" w:sz="0" w:space="0" w:color="auto"/>
        <w:bottom w:val="none" w:sz="0" w:space="0" w:color="auto"/>
        <w:right w:val="none" w:sz="0" w:space="0" w:color="auto"/>
      </w:divBdr>
    </w:div>
    <w:div w:id="1133477726">
      <w:bodyDiv w:val="1"/>
      <w:marLeft w:val="0"/>
      <w:marRight w:val="0"/>
      <w:marTop w:val="0"/>
      <w:marBottom w:val="0"/>
      <w:divBdr>
        <w:top w:val="none" w:sz="0" w:space="0" w:color="auto"/>
        <w:left w:val="none" w:sz="0" w:space="0" w:color="auto"/>
        <w:bottom w:val="none" w:sz="0" w:space="0" w:color="auto"/>
        <w:right w:val="none" w:sz="0" w:space="0" w:color="auto"/>
      </w:divBdr>
    </w:div>
    <w:div w:id="1200894051">
      <w:bodyDiv w:val="1"/>
      <w:marLeft w:val="0"/>
      <w:marRight w:val="0"/>
      <w:marTop w:val="0"/>
      <w:marBottom w:val="0"/>
      <w:divBdr>
        <w:top w:val="none" w:sz="0" w:space="0" w:color="auto"/>
        <w:left w:val="none" w:sz="0" w:space="0" w:color="auto"/>
        <w:bottom w:val="none" w:sz="0" w:space="0" w:color="auto"/>
        <w:right w:val="none" w:sz="0" w:space="0" w:color="auto"/>
      </w:divBdr>
    </w:div>
    <w:div w:id="1217857071">
      <w:bodyDiv w:val="1"/>
      <w:marLeft w:val="0"/>
      <w:marRight w:val="0"/>
      <w:marTop w:val="0"/>
      <w:marBottom w:val="0"/>
      <w:divBdr>
        <w:top w:val="none" w:sz="0" w:space="0" w:color="auto"/>
        <w:left w:val="none" w:sz="0" w:space="0" w:color="auto"/>
        <w:bottom w:val="none" w:sz="0" w:space="0" w:color="auto"/>
        <w:right w:val="none" w:sz="0" w:space="0" w:color="auto"/>
      </w:divBdr>
    </w:div>
    <w:div w:id="1280261363">
      <w:bodyDiv w:val="1"/>
      <w:marLeft w:val="0"/>
      <w:marRight w:val="0"/>
      <w:marTop w:val="0"/>
      <w:marBottom w:val="0"/>
      <w:divBdr>
        <w:top w:val="none" w:sz="0" w:space="0" w:color="auto"/>
        <w:left w:val="none" w:sz="0" w:space="0" w:color="auto"/>
        <w:bottom w:val="none" w:sz="0" w:space="0" w:color="auto"/>
        <w:right w:val="none" w:sz="0" w:space="0" w:color="auto"/>
      </w:divBdr>
    </w:div>
    <w:div w:id="1289776411">
      <w:bodyDiv w:val="1"/>
      <w:marLeft w:val="0"/>
      <w:marRight w:val="0"/>
      <w:marTop w:val="0"/>
      <w:marBottom w:val="0"/>
      <w:divBdr>
        <w:top w:val="none" w:sz="0" w:space="0" w:color="auto"/>
        <w:left w:val="none" w:sz="0" w:space="0" w:color="auto"/>
        <w:bottom w:val="none" w:sz="0" w:space="0" w:color="auto"/>
        <w:right w:val="none" w:sz="0" w:space="0" w:color="auto"/>
      </w:divBdr>
      <w:divsChild>
        <w:div w:id="692149887">
          <w:marLeft w:val="0"/>
          <w:marRight w:val="0"/>
          <w:marTop w:val="0"/>
          <w:marBottom w:val="0"/>
          <w:divBdr>
            <w:top w:val="none" w:sz="0" w:space="0" w:color="auto"/>
            <w:left w:val="none" w:sz="0" w:space="0" w:color="auto"/>
            <w:bottom w:val="none" w:sz="0" w:space="0" w:color="auto"/>
            <w:right w:val="none" w:sz="0" w:space="0" w:color="auto"/>
          </w:divBdr>
          <w:divsChild>
            <w:div w:id="1216433986">
              <w:marLeft w:val="0"/>
              <w:marRight w:val="0"/>
              <w:marTop w:val="0"/>
              <w:marBottom w:val="0"/>
              <w:divBdr>
                <w:top w:val="single" w:sz="4" w:space="0" w:color="C8D8F2"/>
                <w:left w:val="none" w:sz="0" w:space="0" w:color="auto"/>
                <w:bottom w:val="none" w:sz="0" w:space="0" w:color="auto"/>
                <w:right w:val="none" w:sz="0" w:space="0" w:color="auto"/>
              </w:divBdr>
              <w:divsChild>
                <w:div w:id="1552619006">
                  <w:marLeft w:val="0"/>
                  <w:marRight w:val="0"/>
                  <w:marTop w:val="0"/>
                  <w:marBottom w:val="0"/>
                  <w:divBdr>
                    <w:top w:val="none" w:sz="0" w:space="0" w:color="auto"/>
                    <w:left w:val="none" w:sz="0" w:space="0" w:color="auto"/>
                    <w:bottom w:val="none" w:sz="0" w:space="0" w:color="auto"/>
                    <w:right w:val="none" w:sz="0" w:space="0" w:color="auto"/>
                  </w:divBdr>
                  <w:divsChild>
                    <w:div w:id="598677962">
                      <w:marLeft w:val="0"/>
                      <w:marRight w:val="0"/>
                      <w:marTop w:val="0"/>
                      <w:marBottom w:val="0"/>
                      <w:divBdr>
                        <w:top w:val="none" w:sz="0" w:space="0" w:color="auto"/>
                        <w:left w:val="none" w:sz="0" w:space="0" w:color="auto"/>
                        <w:bottom w:val="none" w:sz="0" w:space="0" w:color="auto"/>
                        <w:right w:val="none" w:sz="0" w:space="0" w:color="auto"/>
                      </w:divBdr>
                      <w:divsChild>
                        <w:div w:id="1720081869">
                          <w:marLeft w:val="0"/>
                          <w:marRight w:val="0"/>
                          <w:marTop w:val="0"/>
                          <w:marBottom w:val="0"/>
                          <w:divBdr>
                            <w:top w:val="none" w:sz="0" w:space="0" w:color="auto"/>
                            <w:left w:val="none" w:sz="0" w:space="0" w:color="auto"/>
                            <w:bottom w:val="none" w:sz="0" w:space="0" w:color="auto"/>
                            <w:right w:val="none" w:sz="0" w:space="0" w:color="auto"/>
                          </w:divBdr>
                          <w:divsChild>
                            <w:div w:id="98139794">
                              <w:marLeft w:val="0"/>
                              <w:marRight w:val="0"/>
                              <w:marTop w:val="153"/>
                              <w:marBottom w:val="0"/>
                              <w:divBdr>
                                <w:top w:val="none" w:sz="0" w:space="0" w:color="auto"/>
                                <w:left w:val="none" w:sz="0" w:space="0" w:color="auto"/>
                                <w:bottom w:val="none" w:sz="0" w:space="0" w:color="auto"/>
                                <w:right w:val="none" w:sz="0" w:space="0" w:color="auto"/>
                              </w:divBdr>
                            </w:div>
                            <w:div w:id="111163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146278">
      <w:bodyDiv w:val="1"/>
      <w:marLeft w:val="0"/>
      <w:marRight w:val="0"/>
      <w:marTop w:val="0"/>
      <w:marBottom w:val="0"/>
      <w:divBdr>
        <w:top w:val="none" w:sz="0" w:space="0" w:color="auto"/>
        <w:left w:val="none" w:sz="0" w:space="0" w:color="auto"/>
        <w:bottom w:val="none" w:sz="0" w:space="0" w:color="auto"/>
        <w:right w:val="none" w:sz="0" w:space="0" w:color="auto"/>
      </w:divBdr>
      <w:divsChild>
        <w:div w:id="877551808">
          <w:marLeft w:val="0"/>
          <w:marRight w:val="0"/>
          <w:marTop w:val="0"/>
          <w:marBottom w:val="0"/>
          <w:divBdr>
            <w:top w:val="none" w:sz="0" w:space="0" w:color="auto"/>
            <w:left w:val="none" w:sz="0" w:space="0" w:color="auto"/>
            <w:bottom w:val="none" w:sz="0" w:space="0" w:color="auto"/>
            <w:right w:val="none" w:sz="0" w:space="0" w:color="auto"/>
          </w:divBdr>
          <w:divsChild>
            <w:div w:id="1034503858">
              <w:marLeft w:val="0"/>
              <w:marRight w:val="0"/>
              <w:marTop w:val="0"/>
              <w:marBottom w:val="0"/>
              <w:divBdr>
                <w:top w:val="single" w:sz="6" w:space="0" w:color="C8D8F2"/>
                <w:left w:val="none" w:sz="0" w:space="0" w:color="auto"/>
                <w:bottom w:val="none" w:sz="0" w:space="0" w:color="auto"/>
                <w:right w:val="none" w:sz="0" w:space="0" w:color="auto"/>
              </w:divBdr>
              <w:divsChild>
                <w:div w:id="1359350179">
                  <w:marLeft w:val="0"/>
                  <w:marRight w:val="0"/>
                  <w:marTop w:val="0"/>
                  <w:marBottom w:val="0"/>
                  <w:divBdr>
                    <w:top w:val="none" w:sz="0" w:space="0" w:color="auto"/>
                    <w:left w:val="none" w:sz="0" w:space="0" w:color="auto"/>
                    <w:bottom w:val="none" w:sz="0" w:space="0" w:color="auto"/>
                    <w:right w:val="none" w:sz="0" w:space="0" w:color="auto"/>
                  </w:divBdr>
                  <w:divsChild>
                    <w:div w:id="770470098">
                      <w:marLeft w:val="0"/>
                      <w:marRight w:val="0"/>
                      <w:marTop w:val="0"/>
                      <w:marBottom w:val="0"/>
                      <w:divBdr>
                        <w:top w:val="none" w:sz="0" w:space="0" w:color="auto"/>
                        <w:left w:val="none" w:sz="0" w:space="0" w:color="auto"/>
                        <w:bottom w:val="none" w:sz="0" w:space="0" w:color="auto"/>
                        <w:right w:val="none" w:sz="0" w:space="0" w:color="auto"/>
                      </w:divBdr>
                      <w:divsChild>
                        <w:div w:id="635649153">
                          <w:marLeft w:val="0"/>
                          <w:marRight w:val="0"/>
                          <w:marTop w:val="0"/>
                          <w:marBottom w:val="0"/>
                          <w:divBdr>
                            <w:top w:val="none" w:sz="0" w:space="0" w:color="auto"/>
                            <w:left w:val="none" w:sz="0" w:space="0" w:color="auto"/>
                            <w:bottom w:val="none" w:sz="0" w:space="0" w:color="auto"/>
                            <w:right w:val="none" w:sz="0" w:space="0" w:color="auto"/>
                          </w:divBdr>
                          <w:divsChild>
                            <w:div w:id="167202248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771604">
      <w:bodyDiv w:val="1"/>
      <w:marLeft w:val="0"/>
      <w:marRight w:val="0"/>
      <w:marTop w:val="0"/>
      <w:marBottom w:val="0"/>
      <w:divBdr>
        <w:top w:val="none" w:sz="0" w:space="0" w:color="auto"/>
        <w:left w:val="none" w:sz="0" w:space="0" w:color="auto"/>
        <w:bottom w:val="none" w:sz="0" w:space="0" w:color="auto"/>
        <w:right w:val="none" w:sz="0" w:space="0" w:color="auto"/>
      </w:divBdr>
      <w:divsChild>
        <w:div w:id="1168397483">
          <w:marLeft w:val="0"/>
          <w:marRight w:val="0"/>
          <w:marTop w:val="0"/>
          <w:marBottom w:val="0"/>
          <w:divBdr>
            <w:top w:val="none" w:sz="0" w:space="0" w:color="auto"/>
            <w:left w:val="none" w:sz="0" w:space="0" w:color="auto"/>
            <w:bottom w:val="none" w:sz="0" w:space="0" w:color="auto"/>
            <w:right w:val="none" w:sz="0" w:space="0" w:color="auto"/>
          </w:divBdr>
          <w:divsChild>
            <w:div w:id="1631394666">
              <w:marLeft w:val="0"/>
              <w:marRight w:val="0"/>
              <w:marTop w:val="0"/>
              <w:marBottom w:val="0"/>
              <w:divBdr>
                <w:top w:val="none" w:sz="0" w:space="0" w:color="auto"/>
                <w:left w:val="none" w:sz="0" w:space="0" w:color="auto"/>
                <w:bottom w:val="none" w:sz="0" w:space="0" w:color="auto"/>
                <w:right w:val="none" w:sz="0" w:space="0" w:color="auto"/>
              </w:divBdr>
              <w:divsChild>
                <w:div w:id="488252337">
                  <w:marLeft w:val="0"/>
                  <w:marRight w:val="0"/>
                  <w:marTop w:val="0"/>
                  <w:marBottom w:val="0"/>
                  <w:divBdr>
                    <w:top w:val="single" w:sz="6" w:space="0" w:color="E8E8E8"/>
                    <w:left w:val="none" w:sz="0" w:space="0" w:color="auto"/>
                    <w:bottom w:val="single" w:sz="6" w:space="0" w:color="CCCCCC"/>
                    <w:right w:val="none" w:sz="0" w:space="0" w:color="auto"/>
                  </w:divBdr>
                </w:div>
              </w:divsChild>
            </w:div>
          </w:divsChild>
        </w:div>
      </w:divsChild>
    </w:div>
    <w:div w:id="1352414278">
      <w:bodyDiv w:val="1"/>
      <w:marLeft w:val="0"/>
      <w:marRight w:val="0"/>
      <w:marTop w:val="0"/>
      <w:marBottom w:val="0"/>
      <w:divBdr>
        <w:top w:val="none" w:sz="0" w:space="0" w:color="auto"/>
        <w:left w:val="none" w:sz="0" w:space="0" w:color="auto"/>
        <w:bottom w:val="none" w:sz="0" w:space="0" w:color="auto"/>
        <w:right w:val="none" w:sz="0" w:space="0" w:color="auto"/>
      </w:divBdr>
    </w:div>
    <w:div w:id="1418089692">
      <w:bodyDiv w:val="1"/>
      <w:marLeft w:val="0"/>
      <w:marRight w:val="0"/>
      <w:marTop w:val="0"/>
      <w:marBottom w:val="0"/>
      <w:divBdr>
        <w:top w:val="none" w:sz="0" w:space="0" w:color="auto"/>
        <w:left w:val="none" w:sz="0" w:space="0" w:color="auto"/>
        <w:bottom w:val="none" w:sz="0" w:space="0" w:color="auto"/>
        <w:right w:val="none" w:sz="0" w:space="0" w:color="auto"/>
      </w:divBdr>
    </w:div>
    <w:div w:id="1538660148">
      <w:bodyDiv w:val="1"/>
      <w:marLeft w:val="0"/>
      <w:marRight w:val="0"/>
      <w:marTop w:val="0"/>
      <w:marBottom w:val="0"/>
      <w:divBdr>
        <w:top w:val="none" w:sz="0" w:space="0" w:color="auto"/>
        <w:left w:val="none" w:sz="0" w:space="0" w:color="auto"/>
        <w:bottom w:val="none" w:sz="0" w:space="0" w:color="auto"/>
        <w:right w:val="none" w:sz="0" w:space="0" w:color="auto"/>
      </w:divBdr>
    </w:div>
    <w:div w:id="159134864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28">
          <w:marLeft w:val="0"/>
          <w:marRight w:val="0"/>
          <w:marTop w:val="300"/>
          <w:marBottom w:val="300"/>
          <w:divBdr>
            <w:top w:val="none" w:sz="0" w:space="0" w:color="auto"/>
            <w:left w:val="none" w:sz="0" w:space="0" w:color="auto"/>
            <w:bottom w:val="none" w:sz="0" w:space="0" w:color="auto"/>
            <w:right w:val="none" w:sz="0" w:space="0" w:color="auto"/>
          </w:divBdr>
          <w:divsChild>
            <w:div w:id="528958781">
              <w:marLeft w:val="0"/>
              <w:marRight w:val="0"/>
              <w:marTop w:val="150"/>
              <w:marBottom w:val="150"/>
              <w:divBdr>
                <w:top w:val="none" w:sz="0" w:space="0" w:color="auto"/>
                <w:left w:val="none" w:sz="0" w:space="0" w:color="auto"/>
                <w:bottom w:val="none" w:sz="0" w:space="0" w:color="auto"/>
                <w:right w:val="none" w:sz="0" w:space="0" w:color="auto"/>
              </w:divBdr>
              <w:divsChild>
                <w:div w:id="10132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44278">
      <w:bodyDiv w:val="1"/>
      <w:marLeft w:val="0"/>
      <w:marRight w:val="0"/>
      <w:marTop w:val="0"/>
      <w:marBottom w:val="0"/>
      <w:divBdr>
        <w:top w:val="none" w:sz="0" w:space="0" w:color="auto"/>
        <w:left w:val="none" w:sz="0" w:space="0" w:color="auto"/>
        <w:bottom w:val="none" w:sz="0" w:space="0" w:color="auto"/>
        <w:right w:val="none" w:sz="0" w:space="0" w:color="auto"/>
      </w:divBdr>
    </w:div>
    <w:div w:id="1617367892">
      <w:bodyDiv w:val="1"/>
      <w:marLeft w:val="0"/>
      <w:marRight w:val="0"/>
      <w:marTop w:val="0"/>
      <w:marBottom w:val="0"/>
      <w:divBdr>
        <w:top w:val="none" w:sz="0" w:space="0" w:color="auto"/>
        <w:left w:val="none" w:sz="0" w:space="0" w:color="auto"/>
        <w:bottom w:val="none" w:sz="0" w:space="0" w:color="auto"/>
        <w:right w:val="none" w:sz="0" w:space="0" w:color="auto"/>
      </w:divBdr>
    </w:div>
    <w:div w:id="1647858737">
      <w:bodyDiv w:val="1"/>
      <w:marLeft w:val="0"/>
      <w:marRight w:val="0"/>
      <w:marTop w:val="0"/>
      <w:marBottom w:val="0"/>
      <w:divBdr>
        <w:top w:val="none" w:sz="0" w:space="0" w:color="auto"/>
        <w:left w:val="none" w:sz="0" w:space="0" w:color="auto"/>
        <w:bottom w:val="none" w:sz="0" w:space="0" w:color="auto"/>
        <w:right w:val="none" w:sz="0" w:space="0" w:color="auto"/>
      </w:divBdr>
      <w:divsChild>
        <w:div w:id="23214710">
          <w:marLeft w:val="378"/>
          <w:marRight w:val="0"/>
          <w:marTop w:val="0"/>
          <w:marBottom w:val="0"/>
          <w:divBdr>
            <w:top w:val="none" w:sz="0" w:space="0" w:color="auto"/>
            <w:left w:val="none" w:sz="0" w:space="0" w:color="auto"/>
            <w:bottom w:val="none" w:sz="0" w:space="0" w:color="auto"/>
            <w:right w:val="none" w:sz="0" w:space="0" w:color="auto"/>
          </w:divBdr>
        </w:div>
        <w:div w:id="1214849936">
          <w:marLeft w:val="378"/>
          <w:marRight w:val="0"/>
          <w:marTop w:val="0"/>
          <w:marBottom w:val="0"/>
          <w:divBdr>
            <w:top w:val="none" w:sz="0" w:space="0" w:color="auto"/>
            <w:left w:val="none" w:sz="0" w:space="0" w:color="auto"/>
            <w:bottom w:val="none" w:sz="0" w:space="0" w:color="auto"/>
            <w:right w:val="none" w:sz="0" w:space="0" w:color="auto"/>
          </w:divBdr>
        </w:div>
      </w:divsChild>
    </w:div>
    <w:div w:id="1805613167">
      <w:bodyDiv w:val="1"/>
      <w:marLeft w:val="0"/>
      <w:marRight w:val="0"/>
      <w:marTop w:val="0"/>
      <w:marBottom w:val="0"/>
      <w:divBdr>
        <w:top w:val="none" w:sz="0" w:space="0" w:color="auto"/>
        <w:left w:val="none" w:sz="0" w:space="0" w:color="auto"/>
        <w:bottom w:val="none" w:sz="0" w:space="0" w:color="auto"/>
        <w:right w:val="none" w:sz="0" w:space="0" w:color="auto"/>
      </w:divBdr>
    </w:div>
    <w:div w:id="1844585142">
      <w:bodyDiv w:val="1"/>
      <w:marLeft w:val="0"/>
      <w:marRight w:val="0"/>
      <w:marTop w:val="0"/>
      <w:marBottom w:val="0"/>
      <w:divBdr>
        <w:top w:val="none" w:sz="0" w:space="0" w:color="auto"/>
        <w:left w:val="none" w:sz="0" w:space="0" w:color="auto"/>
        <w:bottom w:val="none" w:sz="0" w:space="0" w:color="auto"/>
        <w:right w:val="none" w:sz="0" w:space="0" w:color="auto"/>
      </w:divBdr>
    </w:div>
    <w:div w:id="1911885492">
      <w:bodyDiv w:val="1"/>
      <w:marLeft w:val="0"/>
      <w:marRight w:val="0"/>
      <w:marTop w:val="0"/>
      <w:marBottom w:val="0"/>
      <w:divBdr>
        <w:top w:val="none" w:sz="0" w:space="0" w:color="auto"/>
        <w:left w:val="none" w:sz="0" w:space="0" w:color="auto"/>
        <w:bottom w:val="none" w:sz="0" w:space="0" w:color="auto"/>
        <w:right w:val="none" w:sz="0" w:space="0" w:color="auto"/>
      </w:divBdr>
    </w:div>
    <w:div w:id="1936550755">
      <w:bodyDiv w:val="1"/>
      <w:marLeft w:val="0"/>
      <w:marRight w:val="0"/>
      <w:marTop w:val="0"/>
      <w:marBottom w:val="0"/>
      <w:divBdr>
        <w:top w:val="none" w:sz="0" w:space="0" w:color="auto"/>
        <w:left w:val="none" w:sz="0" w:space="0" w:color="auto"/>
        <w:bottom w:val="none" w:sz="0" w:space="0" w:color="auto"/>
        <w:right w:val="none" w:sz="0" w:space="0" w:color="auto"/>
      </w:divBdr>
    </w:div>
    <w:div w:id="1985506865">
      <w:bodyDiv w:val="1"/>
      <w:marLeft w:val="0"/>
      <w:marRight w:val="0"/>
      <w:marTop w:val="0"/>
      <w:marBottom w:val="0"/>
      <w:divBdr>
        <w:top w:val="none" w:sz="0" w:space="0" w:color="auto"/>
        <w:left w:val="none" w:sz="0" w:space="0" w:color="auto"/>
        <w:bottom w:val="none" w:sz="0" w:space="0" w:color="auto"/>
        <w:right w:val="none" w:sz="0" w:space="0" w:color="auto"/>
      </w:divBdr>
      <w:divsChild>
        <w:div w:id="650410349">
          <w:marLeft w:val="0"/>
          <w:marRight w:val="0"/>
          <w:marTop w:val="0"/>
          <w:marBottom w:val="0"/>
          <w:divBdr>
            <w:top w:val="none" w:sz="0" w:space="0" w:color="auto"/>
            <w:left w:val="none" w:sz="0" w:space="0" w:color="auto"/>
            <w:bottom w:val="none" w:sz="0" w:space="0" w:color="auto"/>
            <w:right w:val="none" w:sz="0" w:space="0" w:color="auto"/>
          </w:divBdr>
        </w:div>
        <w:div w:id="1941254851">
          <w:marLeft w:val="0"/>
          <w:marRight w:val="0"/>
          <w:marTop w:val="0"/>
          <w:marBottom w:val="0"/>
          <w:divBdr>
            <w:top w:val="none" w:sz="0" w:space="0" w:color="auto"/>
            <w:left w:val="none" w:sz="0" w:space="0" w:color="auto"/>
            <w:bottom w:val="none" w:sz="0" w:space="0" w:color="auto"/>
            <w:right w:val="none" w:sz="0" w:space="0" w:color="auto"/>
          </w:divBdr>
        </w:div>
      </w:divsChild>
    </w:div>
    <w:div w:id="2046907404">
      <w:bodyDiv w:val="1"/>
      <w:marLeft w:val="0"/>
      <w:marRight w:val="0"/>
      <w:marTop w:val="0"/>
      <w:marBottom w:val="0"/>
      <w:divBdr>
        <w:top w:val="none" w:sz="0" w:space="0" w:color="auto"/>
        <w:left w:val="none" w:sz="0" w:space="0" w:color="auto"/>
        <w:bottom w:val="none" w:sz="0" w:space="0" w:color="auto"/>
        <w:right w:val="none" w:sz="0" w:space="0" w:color="auto"/>
      </w:divBdr>
      <w:divsChild>
        <w:div w:id="1927297945">
          <w:marLeft w:val="0"/>
          <w:marRight w:val="0"/>
          <w:marTop w:val="0"/>
          <w:marBottom w:val="0"/>
          <w:divBdr>
            <w:top w:val="none" w:sz="0" w:space="0" w:color="auto"/>
            <w:left w:val="none" w:sz="0" w:space="0" w:color="auto"/>
            <w:bottom w:val="none" w:sz="0" w:space="0" w:color="auto"/>
            <w:right w:val="none" w:sz="0" w:space="0" w:color="auto"/>
          </w:divBdr>
          <w:divsChild>
            <w:div w:id="1615403289">
              <w:marLeft w:val="15"/>
              <w:marRight w:val="0"/>
              <w:marTop w:val="0"/>
              <w:marBottom w:val="0"/>
              <w:divBdr>
                <w:top w:val="single" w:sz="6" w:space="4" w:color="666666"/>
                <w:left w:val="single" w:sz="6" w:space="4" w:color="666666"/>
                <w:bottom w:val="single" w:sz="6" w:space="4" w:color="666666"/>
                <w:right w:val="single" w:sz="6" w:space="4" w:color="666666"/>
              </w:divBdr>
              <w:divsChild>
                <w:div w:id="1270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6621">
      <w:bodyDiv w:val="1"/>
      <w:marLeft w:val="0"/>
      <w:marRight w:val="0"/>
      <w:marTop w:val="0"/>
      <w:marBottom w:val="0"/>
      <w:divBdr>
        <w:top w:val="none" w:sz="0" w:space="0" w:color="auto"/>
        <w:left w:val="none" w:sz="0" w:space="0" w:color="auto"/>
        <w:bottom w:val="none" w:sz="0" w:space="0" w:color="auto"/>
        <w:right w:val="none" w:sz="0" w:space="0" w:color="auto"/>
      </w:divBdr>
    </w:div>
    <w:div w:id="21302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aochen@shzq.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emf"/></Relationships>
</file>

<file path=word/charts/_rels/chart1.xml.rels><?xml version="1.0" encoding="UTF-8" standalone="yes"?>
<Relationships xmlns="http://schemas.openxmlformats.org/package/2006/relationships"><Relationship Id="rId1" Type="http://schemas.openxmlformats.org/officeDocument/2006/relationships/oleObject" Target="file:///D:\E&#30424;\&#22522;&#37329;&#21608;&#25253;\&#21608;&#20116;&#24066;&#22330;&#21608;&#25253;\&#25968;&#25454;&#36164;&#28304;\&#22522;&#37329;&#21608;&#24066;&#22330;&#25253;&#21578;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style val="12"/>
  <c:chart>
    <c:plotArea>
      <c:layout>
        <c:manualLayout>
          <c:layoutTarget val="inner"/>
          <c:xMode val="edge"/>
          <c:yMode val="edge"/>
          <c:x val="8.6959699657795944E-2"/>
          <c:y val="5.7724161838260922E-2"/>
          <c:w val="0.87108054531158363"/>
          <c:h val="0.75181102362205265"/>
        </c:manualLayout>
      </c:layout>
      <c:barChart>
        <c:barDir val="col"/>
        <c:grouping val="clustered"/>
        <c:ser>
          <c:idx val="0"/>
          <c:order val="0"/>
          <c:dPt>
            <c:idx val="5"/>
            <c:spPr>
              <a:solidFill>
                <a:schemeClr val="accent1"/>
              </a:solidFill>
            </c:spPr>
          </c:dPt>
          <c:dLbls>
            <c:txPr>
              <a:bodyPr/>
              <a:lstStyle/>
              <a:p>
                <a:pPr>
                  <a:defRPr b="1"/>
                </a:pPr>
                <a:endParaRPr lang="zh-CN"/>
              </a:p>
            </c:txPr>
            <c:showVal val="1"/>
          </c:dLbls>
          <c:cat>
            <c:strRef>
              <c:f>市场分析!$D$27:$I$27</c:f>
              <c:strCache>
                <c:ptCount val="6"/>
                <c:pt idx="0">
                  <c:v>股票基金</c:v>
                </c:pt>
                <c:pt idx="1">
                  <c:v>混合基金</c:v>
                </c:pt>
                <c:pt idx="2">
                  <c:v>债券基金</c:v>
                </c:pt>
                <c:pt idx="3">
                  <c:v>指数基金</c:v>
                </c:pt>
                <c:pt idx="4">
                  <c:v>QDII及另类</c:v>
                </c:pt>
                <c:pt idx="5">
                  <c:v>沪深300</c:v>
                </c:pt>
              </c:strCache>
            </c:strRef>
          </c:cat>
          <c:val>
            <c:numRef>
              <c:f>市场分析!$D$28:$I$28</c:f>
              <c:numCache>
                <c:formatCode>0.00_ </c:formatCode>
                <c:ptCount val="6"/>
                <c:pt idx="0">
                  <c:v>0.26807742848078409</c:v>
                </c:pt>
                <c:pt idx="1">
                  <c:v>0.22396879347235121</c:v>
                </c:pt>
                <c:pt idx="2">
                  <c:v>8.2001408711773763E-2</c:v>
                </c:pt>
                <c:pt idx="3">
                  <c:v>-0.20880462924290769</c:v>
                </c:pt>
                <c:pt idx="4">
                  <c:v>1.4930755841223</c:v>
                </c:pt>
                <c:pt idx="5">
                  <c:v>-0.51065254208904054</c:v>
                </c:pt>
              </c:numCache>
            </c:numRef>
          </c:val>
        </c:ser>
        <c:axId val="159181824"/>
        <c:axId val="159294208"/>
      </c:barChart>
      <c:catAx>
        <c:axId val="159181824"/>
        <c:scaling>
          <c:orientation val="minMax"/>
        </c:scaling>
        <c:axPos val="b"/>
        <c:numFmt formatCode="General" sourceLinked="1"/>
        <c:tickLblPos val="low"/>
        <c:crossAx val="159294208"/>
        <c:crosses val="autoZero"/>
        <c:auto val="1"/>
        <c:lblAlgn val="ctr"/>
        <c:lblOffset val="100"/>
      </c:catAx>
      <c:valAx>
        <c:axId val="159294208"/>
        <c:scaling>
          <c:orientation val="minMax"/>
        </c:scaling>
        <c:axPos val="l"/>
        <c:numFmt formatCode="0.00_ " sourceLinked="0"/>
        <c:tickLblPos val="nextTo"/>
        <c:crossAx val="159181824"/>
        <c:crosses val="autoZero"/>
        <c:crossBetween val="between"/>
      </c:valAx>
    </c:plotArea>
    <c:plotVisOnly val="1"/>
    <c:dispBlanksAs val="gap"/>
  </c:chart>
  <c:spPr>
    <a:noFill/>
    <a:ln>
      <a:noFill/>
    </a:ln>
  </c:sp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1D810-063B-4AFF-87AA-4C161C85A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Links>
    <vt:vector size="6" baseType="variant">
      <vt:variant>
        <vt:i4>2359319</vt:i4>
      </vt:variant>
      <vt:variant>
        <vt:i4>0</vt:i4>
      </vt:variant>
      <vt:variant>
        <vt:i4>0</vt:i4>
      </vt:variant>
      <vt:variant>
        <vt:i4>5</vt:i4>
      </vt:variant>
      <vt:variant>
        <vt:lpwstr>mailto:gaochen@shzq.com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主要观点：</dc:title>
  <dc:creator>高琛</dc:creator>
  <cp:lastModifiedBy>高琛:</cp:lastModifiedBy>
  <cp:revision>3</cp:revision>
  <cp:lastPrinted>2015-11-30T07:18:00Z</cp:lastPrinted>
  <dcterms:created xsi:type="dcterms:W3CDTF">2016-05-30T03:21:00Z</dcterms:created>
  <dcterms:modified xsi:type="dcterms:W3CDTF">2016-05-30T05:28:00Z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2013年10月10日</vt:lpwstr>
  </property>
  <property fmtid="{D5CDD505-2E9C-101B-9397-08002B2CF9AE}" pid="3" name="repoertnumber">
    <vt:lpwstr> </vt:lpwstr>
  </property>
  <property fmtid="{D5CDD505-2E9C-101B-9397-08002B2CF9AE}" pid="4" name="abbreviation">
    <vt:lpwstr>MR</vt:lpwstr>
  </property>
  <property fmtid="{D5CDD505-2E9C-101B-9397-08002B2CF9AE}" pid="5" name="allname">
    <vt:lpwstr>某某</vt:lpwstr>
  </property>
</Properties>
</file>