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21" w:type="dxa"/>
        <w:tblLayout w:type="fixed"/>
        <w:tblLook w:val="0000" w:firstRow="0" w:lastRow="0" w:firstColumn="0" w:lastColumn="0" w:noHBand="0" w:noVBand="0"/>
      </w:tblPr>
      <w:tblGrid>
        <w:gridCol w:w="7621"/>
      </w:tblGrid>
      <w:tr w:rsidR="0053273E" w:rsidRPr="0032491D" w:rsidTr="00FC5199">
        <w:trPr>
          <w:trHeight w:val="532"/>
        </w:trPr>
        <w:tc>
          <w:tcPr>
            <w:tcW w:w="7621" w:type="dxa"/>
            <w:tcBorders>
              <w:top w:val="single" w:sz="4" w:space="0" w:color="auto"/>
            </w:tcBorders>
            <w:shd w:val="clear" w:color="auto" w:fill="F0EAC6"/>
          </w:tcPr>
          <w:p w:rsidR="0053273E" w:rsidRPr="0032491D" w:rsidRDefault="0053273E" w:rsidP="00FC5199">
            <w:pPr>
              <w:rPr>
                <w:rFonts w:ascii="楷体" w:eastAsia="楷体" w:hAnsi="楷体" w:cs="Arial"/>
                <w:b/>
                <w:sz w:val="32"/>
              </w:rPr>
            </w:pPr>
            <w:proofErr w:type="gramStart"/>
            <w:r w:rsidRPr="0032491D">
              <w:rPr>
                <w:rFonts w:ascii="楷体" w:eastAsia="楷体" w:hAnsi="楷体" w:cs="Arial"/>
                <w:b/>
                <w:sz w:val="32"/>
              </w:rPr>
              <w:t>凯</w:t>
            </w:r>
            <w:proofErr w:type="gramEnd"/>
            <w:r w:rsidRPr="0032491D">
              <w:rPr>
                <w:rFonts w:ascii="楷体" w:eastAsia="楷体" w:hAnsi="楷体" w:cs="Arial"/>
                <w:b/>
                <w:sz w:val="32"/>
              </w:rPr>
              <w:t>石公</w:t>
            </w:r>
            <w:proofErr w:type="gramStart"/>
            <w:r w:rsidRPr="0032491D">
              <w:rPr>
                <w:rFonts w:ascii="楷体" w:eastAsia="楷体" w:hAnsi="楷体" w:cs="Arial"/>
                <w:b/>
                <w:sz w:val="32"/>
              </w:rPr>
              <w:t>募基金</w:t>
            </w:r>
            <w:proofErr w:type="gramEnd"/>
            <w:r w:rsidRPr="0032491D">
              <w:rPr>
                <w:rFonts w:ascii="楷体" w:eastAsia="楷体" w:hAnsi="楷体" w:cs="Arial" w:hint="eastAsia"/>
                <w:b/>
                <w:sz w:val="32"/>
              </w:rPr>
              <w:t>周</w:t>
            </w:r>
            <w:r w:rsidRPr="0032491D">
              <w:rPr>
                <w:rFonts w:ascii="楷体" w:eastAsia="楷体" w:hAnsi="楷体" w:cs="Arial"/>
                <w:b/>
                <w:sz w:val="32"/>
              </w:rPr>
              <w:t>报</w:t>
            </w:r>
          </w:p>
          <w:p w:rsidR="0053273E" w:rsidRPr="00245E40" w:rsidRDefault="0053273E" w:rsidP="00427FAE">
            <w:pPr>
              <w:rPr>
                <w:rFonts w:ascii="楷体" w:eastAsia="楷体" w:hAnsi="楷体" w:cs="Arial"/>
                <w:b/>
                <w:sz w:val="32"/>
              </w:rPr>
            </w:pPr>
            <w:r w:rsidRPr="0032491D">
              <w:rPr>
                <w:rFonts w:ascii="楷体" w:eastAsia="楷体" w:hAnsi="楷体" w:cs="Arial"/>
                <w:b/>
                <w:sz w:val="32"/>
              </w:rPr>
              <w:softHyphen/>
            </w:r>
            <w:r w:rsidRPr="0032491D">
              <w:rPr>
                <w:rFonts w:ascii="楷体" w:eastAsia="楷体" w:hAnsi="楷体" w:cs="Arial"/>
                <w:b/>
                <w:sz w:val="32"/>
              </w:rPr>
              <w:softHyphen/>
              <w:t>——</w:t>
            </w:r>
            <w:r w:rsidR="00F129A0">
              <w:rPr>
                <w:rFonts w:ascii="楷体" w:eastAsia="楷体" w:hAnsi="楷体" w:cs="Arial" w:hint="eastAsia"/>
                <w:b/>
                <w:sz w:val="32"/>
              </w:rPr>
              <w:t>美</w:t>
            </w:r>
            <w:r w:rsidR="00CE3206">
              <w:rPr>
                <w:rFonts w:ascii="楷体" w:eastAsia="楷体" w:hAnsi="楷体" w:cs="Arial" w:hint="eastAsia"/>
                <w:b/>
                <w:sz w:val="32"/>
              </w:rPr>
              <w:t>加息预期升温，黄金商品类QDII</w:t>
            </w:r>
            <w:r w:rsidR="00245E40">
              <w:rPr>
                <w:rFonts w:ascii="楷体" w:eastAsia="楷体" w:hAnsi="楷体" w:cs="Arial" w:hint="eastAsia"/>
                <w:b/>
                <w:sz w:val="32"/>
              </w:rPr>
              <w:t>短期承压</w:t>
            </w:r>
          </w:p>
        </w:tc>
      </w:tr>
      <w:tr w:rsidR="0053273E" w:rsidRPr="0032491D" w:rsidTr="00FC5199">
        <w:trPr>
          <w:trHeight w:val="11778"/>
        </w:trPr>
        <w:tc>
          <w:tcPr>
            <w:tcW w:w="7621" w:type="dxa"/>
          </w:tcPr>
          <w:p w:rsidR="0053273E" w:rsidRPr="0032491D" w:rsidRDefault="0053273E" w:rsidP="00FC5199">
            <w:pPr>
              <w:pStyle w:val="a6"/>
              <w:numPr>
                <w:ilvl w:val="0"/>
                <w:numId w:val="3"/>
              </w:numPr>
              <w:spacing w:line="300" w:lineRule="auto"/>
              <w:ind w:firstLineChars="0"/>
              <w:rPr>
                <w:rStyle w:val="textsmall2"/>
                <w:rFonts w:ascii="楷体" w:eastAsia="楷体" w:hAnsi="楷体" w:cs="Arial"/>
                <w:b/>
                <w:color w:val="000000"/>
                <w:sz w:val="22"/>
                <w:szCs w:val="22"/>
              </w:rPr>
            </w:pPr>
            <w:r w:rsidRPr="0032491D">
              <w:rPr>
                <w:rStyle w:val="textsmall2"/>
                <w:rFonts w:ascii="楷体" w:eastAsia="楷体" w:hAnsi="楷体" w:cs="Arial" w:hint="eastAsia"/>
                <w:b/>
                <w:color w:val="000000"/>
                <w:sz w:val="22"/>
                <w:szCs w:val="22"/>
              </w:rPr>
              <w:t>一周资本市场回顾</w:t>
            </w:r>
          </w:p>
          <w:p w:rsidR="008E0B99" w:rsidRDefault="0053273E" w:rsidP="00FC5199">
            <w:pPr>
              <w:rPr>
                <w:rStyle w:val="textsmall2"/>
                <w:rFonts w:ascii="楷体" w:eastAsia="楷体" w:hAnsi="楷体" w:cs="Arial"/>
                <w:b/>
                <w:sz w:val="18"/>
                <w:szCs w:val="20"/>
              </w:rPr>
            </w:pPr>
            <w:r w:rsidRPr="0032491D">
              <w:rPr>
                <w:rStyle w:val="textsmall2"/>
                <w:rFonts w:ascii="楷体" w:eastAsia="楷体" w:hAnsi="楷体" w:cs="Arial"/>
                <w:b/>
                <w:sz w:val="18"/>
                <w:szCs w:val="20"/>
              </w:rPr>
              <w:t>A</w:t>
            </w:r>
            <w:r w:rsidRPr="0032491D">
              <w:rPr>
                <w:rStyle w:val="textsmall2"/>
                <w:rFonts w:ascii="楷体" w:eastAsia="楷体" w:hAnsi="楷体" w:cs="Arial" w:hint="eastAsia"/>
                <w:b/>
                <w:sz w:val="18"/>
                <w:szCs w:val="20"/>
              </w:rPr>
              <w:t>股市场：</w:t>
            </w:r>
            <w:r w:rsidR="008E0B99">
              <w:rPr>
                <w:rFonts w:hint="eastAsia"/>
              </w:rPr>
              <w:t xml:space="preserve"> </w:t>
            </w:r>
            <w:r w:rsidR="008E0B99" w:rsidRPr="008E0B99">
              <w:rPr>
                <w:rFonts w:ascii="楷体" w:eastAsia="楷体" w:hAnsi="楷体" w:cs="Arial" w:hint="eastAsia"/>
                <w:b/>
                <w:color w:val="000000" w:themeColor="text1"/>
                <w:sz w:val="18"/>
                <w:szCs w:val="20"/>
              </w:rPr>
              <w:t>A股窄幅震荡险守2800，中小</w:t>
            </w:r>
            <w:proofErr w:type="gramStart"/>
            <w:r w:rsidR="008E0B99" w:rsidRPr="008E0B99">
              <w:rPr>
                <w:rFonts w:ascii="楷体" w:eastAsia="楷体" w:hAnsi="楷体" w:cs="Arial" w:hint="eastAsia"/>
                <w:b/>
                <w:color w:val="000000" w:themeColor="text1"/>
                <w:sz w:val="18"/>
                <w:szCs w:val="20"/>
              </w:rPr>
              <w:t>创走势</w:t>
            </w:r>
            <w:proofErr w:type="gramEnd"/>
            <w:r w:rsidR="008E0B99" w:rsidRPr="008E0B99">
              <w:rPr>
                <w:rFonts w:ascii="楷体" w:eastAsia="楷体" w:hAnsi="楷体" w:cs="Arial" w:hint="eastAsia"/>
                <w:b/>
                <w:color w:val="000000" w:themeColor="text1"/>
                <w:sz w:val="18"/>
                <w:szCs w:val="20"/>
              </w:rPr>
              <w:t>强于主板。</w:t>
            </w:r>
            <w:r w:rsidR="008E0B99" w:rsidRPr="008E0B99">
              <w:rPr>
                <w:rFonts w:ascii="楷体" w:eastAsia="楷体" w:hAnsi="楷体" w:cs="Arial" w:hint="eastAsia"/>
                <w:color w:val="000000" w:themeColor="text1"/>
                <w:sz w:val="18"/>
                <w:szCs w:val="20"/>
              </w:rPr>
              <w:t>A股连续第五周下跌，本周依旧低量窄幅震荡，2800点</w:t>
            </w:r>
            <w:proofErr w:type="gramStart"/>
            <w:r w:rsidR="008E0B99" w:rsidRPr="008E0B99">
              <w:rPr>
                <w:rFonts w:ascii="楷体" w:eastAsia="楷体" w:hAnsi="楷体" w:cs="Arial" w:hint="eastAsia"/>
                <w:color w:val="000000" w:themeColor="text1"/>
                <w:sz w:val="18"/>
                <w:szCs w:val="20"/>
              </w:rPr>
              <w:t>保守战</w:t>
            </w:r>
            <w:proofErr w:type="gramEnd"/>
            <w:r w:rsidR="008E0B99" w:rsidRPr="008E0B99">
              <w:rPr>
                <w:rFonts w:ascii="楷体" w:eastAsia="楷体" w:hAnsi="楷体" w:cs="Arial" w:hint="eastAsia"/>
                <w:color w:val="000000" w:themeColor="text1"/>
                <w:sz w:val="18"/>
                <w:szCs w:val="20"/>
              </w:rPr>
              <w:t>打响。4月工业增速、消费及固定资产投资增速全面回落，货币信贷数据大幅回落，房地产一直独秀。基本面的压制使得A 股市场极度低迷，大盘持续地量成交。</w:t>
            </w:r>
            <w:r w:rsidR="00144D4C" w:rsidRPr="00144D4C">
              <w:rPr>
                <w:rFonts w:ascii="楷体" w:eastAsia="楷体" w:hAnsi="楷体" w:cs="Arial" w:hint="eastAsia"/>
                <w:color w:val="000000" w:themeColor="text1"/>
                <w:sz w:val="18"/>
                <w:szCs w:val="20"/>
              </w:rPr>
              <w:t>同时，4月中以来政策变化也引起市场情绪和风险偏好的变化。</w:t>
            </w:r>
            <w:r w:rsidR="008E0B99" w:rsidRPr="008E0B99">
              <w:rPr>
                <w:rFonts w:ascii="楷体" w:eastAsia="楷体" w:hAnsi="楷体" w:cs="Arial" w:hint="eastAsia"/>
                <w:color w:val="000000" w:themeColor="text1"/>
                <w:sz w:val="18"/>
                <w:szCs w:val="20"/>
              </w:rPr>
              <w:t>而相比之下，中小</w:t>
            </w:r>
            <w:proofErr w:type="gramStart"/>
            <w:r w:rsidR="008E0B99" w:rsidRPr="008E0B99">
              <w:rPr>
                <w:rFonts w:ascii="楷体" w:eastAsia="楷体" w:hAnsi="楷体" w:cs="Arial" w:hint="eastAsia"/>
                <w:color w:val="000000" w:themeColor="text1"/>
                <w:sz w:val="18"/>
                <w:szCs w:val="20"/>
              </w:rPr>
              <w:t>创走势</w:t>
            </w:r>
            <w:proofErr w:type="gramEnd"/>
            <w:r w:rsidR="008E0B99" w:rsidRPr="008E0B99">
              <w:rPr>
                <w:rFonts w:ascii="楷体" w:eastAsia="楷体" w:hAnsi="楷体" w:cs="Arial" w:hint="eastAsia"/>
                <w:color w:val="000000" w:themeColor="text1"/>
                <w:sz w:val="18"/>
                <w:szCs w:val="20"/>
              </w:rPr>
              <w:t>和人气都强于主板。截至5月19日，沪深两市融资融券余额报8289.62亿元。全周来看，上证综指跌0.06%，沪深300涨0.11%，中小板指涨0.55%、创业板指涨</w:t>
            </w:r>
            <w:r w:rsidR="008E0B99">
              <w:rPr>
                <w:rFonts w:ascii="楷体" w:eastAsia="楷体" w:hAnsi="楷体" w:cs="Arial" w:hint="eastAsia"/>
                <w:color w:val="000000" w:themeColor="text1"/>
                <w:sz w:val="18"/>
                <w:szCs w:val="20"/>
              </w:rPr>
              <w:t>1.98</w:t>
            </w:r>
            <w:r w:rsidR="008E0B99" w:rsidRPr="008E0B99">
              <w:rPr>
                <w:rFonts w:ascii="楷体" w:eastAsia="楷体" w:hAnsi="楷体" w:cs="Arial" w:hint="eastAsia"/>
                <w:color w:val="000000" w:themeColor="text1"/>
                <w:sz w:val="18"/>
                <w:szCs w:val="20"/>
              </w:rPr>
              <w:t>%。</w:t>
            </w:r>
            <w:r w:rsidR="008E0B99">
              <w:rPr>
                <w:rFonts w:ascii="楷体" w:eastAsia="楷体" w:hAnsi="楷体" w:cs="Arial" w:hint="eastAsia"/>
                <w:color w:val="000000" w:themeColor="text1"/>
                <w:sz w:val="18"/>
                <w:szCs w:val="20"/>
              </w:rPr>
              <w:t>2</w:t>
            </w:r>
            <w:r w:rsidR="008E0B99" w:rsidRPr="008E0B99">
              <w:rPr>
                <w:rFonts w:ascii="楷体" w:eastAsia="楷体" w:hAnsi="楷体" w:cs="Arial" w:hint="eastAsia"/>
                <w:color w:val="000000" w:themeColor="text1"/>
                <w:sz w:val="18"/>
                <w:szCs w:val="20"/>
              </w:rPr>
              <w:t>9个中信</w:t>
            </w:r>
            <w:proofErr w:type="gramStart"/>
            <w:r w:rsidR="008E0B99" w:rsidRPr="008E0B99">
              <w:rPr>
                <w:rFonts w:ascii="楷体" w:eastAsia="楷体" w:hAnsi="楷体" w:cs="Arial" w:hint="eastAsia"/>
                <w:color w:val="000000" w:themeColor="text1"/>
                <w:sz w:val="18"/>
                <w:szCs w:val="20"/>
              </w:rPr>
              <w:t>一级行业</w:t>
            </w:r>
            <w:proofErr w:type="gramEnd"/>
            <w:r w:rsidR="008E0B99" w:rsidRPr="008E0B99">
              <w:rPr>
                <w:rFonts w:ascii="楷体" w:eastAsia="楷体" w:hAnsi="楷体" w:cs="Arial" w:hint="eastAsia"/>
                <w:color w:val="000000" w:themeColor="text1"/>
                <w:sz w:val="18"/>
                <w:szCs w:val="20"/>
              </w:rPr>
              <w:t>有15个行业上涨，其中计算机（3.64%）、电子元器件（2.71%）、有色金属（2.19%）等行业表现相对较好，商贸零售（-1.84%）、餐饮旅游（-1.54%）、交通运输（-1.84%）等行业表现垫底。</w:t>
            </w:r>
          </w:p>
          <w:p w:rsidR="0053273E" w:rsidRPr="00237A7E" w:rsidRDefault="0053273E" w:rsidP="00FC5199">
            <w:pPr>
              <w:rPr>
                <w:rStyle w:val="textsmall2"/>
                <w:rFonts w:ascii="楷体" w:eastAsia="楷体" w:hAnsi="楷体" w:cs="Arial"/>
                <w:sz w:val="18"/>
                <w:szCs w:val="20"/>
              </w:rPr>
            </w:pPr>
            <w:r w:rsidRPr="0032491D">
              <w:rPr>
                <w:rStyle w:val="textsmall2"/>
                <w:rFonts w:ascii="楷体" w:eastAsia="楷体" w:hAnsi="楷体" w:cs="Arial" w:hint="eastAsia"/>
                <w:b/>
                <w:sz w:val="18"/>
                <w:szCs w:val="20"/>
              </w:rPr>
              <w:t>国内债市：</w:t>
            </w:r>
            <w:r w:rsidR="00237A7E" w:rsidRPr="00237A7E">
              <w:rPr>
                <w:rStyle w:val="textsmall2"/>
                <w:rFonts w:ascii="楷体" w:eastAsia="楷体" w:hAnsi="楷体" w:cs="Arial" w:hint="eastAsia"/>
                <w:b/>
                <w:sz w:val="18"/>
                <w:szCs w:val="20"/>
              </w:rPr>
              <w:t>续作MLF提</w:t>
            </w:r>
            <w:proofErr w:type="gramStart"/>
            <w:r w:rsidR="00237A7E" w:rsidRPr="00237A7E">
              <w:rPr>
                <w:rStyle w:val="textsmall2"/>
                <w:rFonts w:ascii="楷体" w:eastAsia="楷体" w:hAnsi="楷体" w:cs="Arial" w:hint="eastAsia"/>
                <w:b/>
                <w:sz w:val="18"/>
                <w:szCs w:val="20"/>
              </w:rPr>
              <w:t>振市场</w:t>
            </w:r>
            <w:proofErr w:type="gramEnd"/>
            <w:r w:rsidR="00237A7E" w:rsidRPr="00237A7E">
              <w:rPr>
                <w:rStyle w:val="textsmall2"/>
                <w:rFonts w:ascii="楷体" w:eastAsia="楷体" w:hAnsi="楷体" w:cs="Arial" w:hint="eastAsia"/>
                <w:b/>
                <w:sz w:val="18"/>
                <w:szCs w:val="20"/>
              </w:rPr>
              <w:t>情绪，维持资金面平稳格局。</w:t>
            </w:r>
            <w:r w:rsidR="00237A7E" w:rsidRPr="00237A7E">
              <w:rPr>
                <w:rStyle w:val="textsmall2"/>
                <w:rFonts w:ascii="楷体" w:eastAsia="楷体" w:hAnsi="楷体" w:cs="Arial" w:hint="eastAsia"/>
                <w:sz w:val="18"/>
                <w:szCs w:val="20"/>
              </w:rPr>
              <w:t>本周净投放500亿。由于例行财政缴税导致大型商业银行资金供给减少，上周一银行间市场资金面较前日略有收紧。于是5月16日，为保持银行体系流动性合理充裕，人民银行对21家金融机构开展MLF</w:t>
            </w:r>
            <w:proofErr w:type="gramStart"/>
            <w:r w:rsidR="00237A7E" w:rsidRPr="00237A7E">
              <w:rPr>
                <w:rStyle w:val="textsmall2"/>
                <w:rFonts w:ascii="楷体" w:eastAsia="楷体" w:hAnsi="楷体" w:cs="Arial" w:hint="eastAsia"/>
                <w:sz w:val="18"/>
                <w:szCs w:val="20"/>
              </w:rPr>
              <w:t>操作共</w:t>
            </w:r>
            <w:proofErr w:type="gramEnd"/>
            <w:r w:rsidR="00237A7E" w:rsidRPr="00237A7E">
              <w:rPr>
                <w:rStyle w:val="textsmall2"/>
                <w:rFonts w:ascii="楷体" w:eastAsia="楷体" w:hAnsi="楷体" w:cs="Arial" w:hint="eastAsia"/>
                <w:sz w:val="18"/>
                <w:szCs w:val="20"/>
              </w:rPr>
              <w:t>2900亿元，当日MLF的操作规模已超过本月MLF 的到期量，充分显示了央行维持资金面稳定的决心。各期限资金利率保持相对平稳的状态。短端7天逆回购招标利率仍维持在2.25%不变。银行间7天回购利率R007小幅下行4bp至2.41%，隔夜回购利率R001维持2.03%不变。利率债方面，加息预期再起令汇率承压，利率债重回调整，一级招标利率上行，金融监管升级也对债市产生一定负影响。信用债方面，</w:t>
            </w:r>
            <w:proofErr w:type="gramStart"/>
            <w:r w:rsidR="00237A7E" w:rsidRPr="00237A7E">
              <w:rPr>
                <w:rStyle w:val="textsmall2"/>
                <w:rFonts w:ascii="楷体" w:eastAsia="楷体" w:hAnsi="楷体" w:cs="Arial" w:hint="eastAsia"/>
                <w:sz w:val="18"/>
                <w:szCs w:val="20"/>
              </w:rPr>
              <w:t>资管监管趋严对债券</w:t>
            </w:r>
            <w:proofErr w:type="gramEnd"/>
            <w:r w:rsidR="00237A7E" w:rsidRPr="00237A7E">
              <w:rPr>
                <w:rStyle w:val="textsmall2"/>
                <w:rFonts w:ascii="楷体" w:eastAsia="楷体" w:hAnsi="楷体" w:cs="Arial" w:hint="eastAsia"/>
                <w:sz w:val="18"/>
                <w:szCs w:val="20"/>
              </w:rPr>
              <w:t>形成抛压，信用债也小幅调整。</w:t>
            </w:r>
            <w:proofErr w:type="gramStart"/>
            <w:r w:rsidR="00237A7E" w:rsidRPr="00237A7E">
              <w:rPr>
                <w:rStyle w:val="textsmall2"/>
                <w:rFonts w:ascii="楷体" w:eastAsia="楷体" w:hAnsi="楷体" w:cs="Arial" w:hint="eastAsia"/>
                <w:sz w:val="18"/>
                <w:szCs w:val="20"/>
              </w:rPr>
              <w:t>上周中债总净价</w:t>
            </w:r>
            <w:proofErr w:type="gramEnd"/>
            <w:r w:rsidR="00237A7E" w:rsidRPr="00237A7E">
              <w:rPr>
                <w:rStyle w:val="textsmall2"/>
                <w:rFonts w:ascii="楷体" w:eastAsia="楷体" w:hAnsi="楷体" w:cs="Arial" w:hint="eastAsia"/>
                <w:sz w:val="18"/>
                <w:szCs w:val="20"/>
              </w:rPr>
              <w:t>指数下跌0.27%，中</w:t>
            </w:r>
            <w:proofErr w:type="gramStart"/>
            <w:r w:rsidR="00237A7E" w:rsidRPr="00237A7E">
              <w:rPr>
                <w:rStyle w:val="textsmall2"/>
                <w:rFonts w:ascii="楷体" w:eastAsia="楷体" w:hAnsi="楷体" w:cs="Arial" w:hint="eastAsia"/>
                <w:sz w:val="18"/>
                <w:szCs w:val="20"/>
              </w:rPr>
              <w:t>债企业债总</w:t>
            </w:r>
            <w:proofErr w:type="gramEnd"/>
            <w:r w:rsidR="00237A7E" w:rsidRPr="00237A7E">
              <w:rPr>
                <w:rStyle w:val="textsmall2"/>
                <w:rFonts w:ascii="楷体" w:eastAsia="楷体" w:hAnsi="楷体" w:cs="Arial" w:hint="eastAsia"/>
                <w:sz w:val="18"/>
                <w:szCs w:val="20"/>
              </w:rPr>
              <w:t>净价指数下跌0.18%，中债国债总净价指数下跌0.31%，中</w:t>
            </w:r>
            <w:proofErr w:type="gramStart"/>
            <w:r w:rsidR="00237A7E" w:rsidRPr="00237A7E">
              <w:rPr>
                <w:rStyle w:val="textsmall2"/>
                <w:rFonts w:ascii="楷体" w:eastAsia="楷体" w:hAnsi="楷体" w:cs="Arial" w:hint="eastAsia"/>
                <w:sz w:val="18"/>
                <w:szCs w:val="20"/>
              </w:rPr>
              <w:t>证转债跌</w:t>
            </w:r>
            <w:proofErr w:type="gramEnd"/>
            <w:r w:rsidR="00237A7E" w:rsidRPr="00237A7E">
              <w:rPr>
                <w:rStyle w:val="textsmall2"/>
                <w:rFonts w:ascii="楷体" w:eastAsia="楷体" w:hAnsi="楷体" w:cs="Arial" w:hint="eastAsia"/>
                <w:sz w:val="18"/>
                <w:szCs w:val="20"/>
              </w:rPr>
              <w:t>1.23%。</w:t>
            </w:r>
          </w:p>
          <w:p w:rsidR="0053273E" w:rsidRPr="00B76564" w:rsidRDefault="0053273E" w:rsidP="00FC5199">
            <w:pPr>
              <w:rPr>
                <w:rStyle w:val="textsmall2"/>
                <w:rFonts w:ascii="楷体" w:eastAsia="楷体" w:hAnsi="楷体" w:cs="Arial"/>
                <w:sz w:val="18"/>
                <w:szCs w:val="20"/>
              </w:rPr>
            </w:pPr>
            <w:r w:rsidRPr="0032491D">
              <w:rPr>
                <w:rStyle w:val="textsmall2"/>
                <w:rFonts w:ascii="楷体" w:eastAsia="楷体" w:hAnsi="楷体" w:cs="Arial" w:hint="eastAsia"/>
                <w:b/>
                <w:sz w:val="18"/>
                <w:szCs w:val="20"/>
              </w:rPr>
              <w:t>海外市场：</w:t>
            </w:r>
            <w:r w:rsidR="003629DD" w:rsidRPr="003629DD">
              <w:rPr>
                <w:rFonts w:ascii="楷体" w:eastAsia="楷体" w:hAnsi="楷体" w:cs="Arial" w:hint="eastAsia"/>
                <w:b/>
                <w:color w:val="000000" w:themeColor="text1"/>
                <w:sz w:val="18"/>
                <w:szCs w:val="20"/>
              </w:rPr>
              <w:t>美联储重提加息可能，助</w:t>
            </w:r>
            <w:proofErr w:type="gramStart"/>
            <w:r w:rsidR="003629DD" w:rsidRPr="003629DD">
              <w:rPr>
                <w:rFonts w:ascii="楷体" w:eastAsia="楷体" w:hAnsi="楷体" w:cs="Arial" w:hint="eastAsia"/>
                <w:b/>
                <w:color w:val="000000" w:themeColor="text1"/>
                <w:sz w:val="18"/>
                <w:szCs w:val="20"/>
              </w:rPr>
              <w:t>推美元</w:t>
            </w:r>
            <w:proofErr w:type="gramEnd"/>
            <w:r w:rsidR="003629DD" w:rsidRPr="003629DD">
              <w:rPr>
                <w:rFonts w:ascii="楷体" w:eastAsia="楷体" w:hAnsi="楷体" w:cs="Arial" w:hint="eastAsia"/>
                <w:b/>
                <w:color w:val="000000" w:themeColor="text1"/>
                <w:sz w:val="18"/>
                <w:szCs w:val="20"/>
              </w:rPr>
              <w:t>小幅上涨。</w:t>
            </w:r>
            <w:r w:rsidR="003629DD" w:rsidRPr="003629DD">
              <w:rPr>
                <w:rFonts w:ascii="楷体" w:eastAsia="楷体" w:hAnsi="楷体" w:cs="Arial" w:hint="eastAsia"/>
                <w:color w:val="000000" w:themeColor="text1"/>
                <w:sz w:val="18"/>
                <w:szCs w:val="20"/>
              </w:rPr>
              <w:t>美联储公布4月26日-27日货币政策会议纪要，委员对有关数据是否支持6月加息存在一定分歧。多数委员都认为如果经济形势允许，6月加息“有可能”。同时经济数据面上新屋开工量、工业产出、消费者物价指数、制造业指数好坏参半。全周美元指数上涨0.72%。全周来看，美国市场，标普、纳斯达克100分别上涨0.28%、0.84%，道指下跌0.20%；欧洲市场，德国DAX指数、法国CAC40指数、英国富时100指数上周涨跌幅分别为-0.37%、0.78%、0.29%。</w:t>
            </w:r>
            <w:r w:rsidR="00B76564" w:rsidRPr="00B76564">
              <w:rPr>
                <w:rFonts w:ascii="楷体" w:eastAsia="楷体" w:hAnsi="楷体" w:cs="Arial" w:hint="eastAsia"/>
                <w:b/>
                <w:color w:val="000000" w:themeColor="text1"/>
                <w:sz w:val="18"/>
                <w:szCs w:val="20"/>
              </w:rPr>
              <w:t>加息可能令金价承压，</w:t>
            </w:r>
            <w:proofErr w:type="gramStart"/>
            <w:r w:rsidR="00B76564" w:rsidRPr="00B76564">
              <w:rPr>
                <w:rFonts w:ascii="楷体" w:eastAsia="楷体" w:hAnsi="楷体" w:cs="Arial" w:hint="eastAsia"/>
                <w:b/>
                <w:color w:val="000000" w:themeColor="text1"/>
                <w:sz w:val="18"/>
                <w:szCs w:val="20"/>
              </w:rPr>
              <w:t>原油周</w:t>
            </w:r>
            <w:proofErr w:type="gramEnd"/>
            <w:r w:rsidR="00B76564" w:rsidRPr="00B76564">
              <w:rPr>
                <w:rFonts w:ascii="楷体" w:eastAsia="楷体" w:hAnsi="楷体" w:cs="Arial" w:hint="eastAsia"/>
                <w:b/>
                <w:color w:val="000000" w:themeColor="text1"/>
                <w:sz w:val="18"/>
                <w:szCs w:val="20"/>
              </w:rPr>
              <w:t>中创新高。</w:t>
            </w:r>
            <w:r w:rsidR="00B76564" w:rsidRPr="00B76564">
              <w:rPr>
                <w:rFonts w:ascii="楷体" w:eastAsia="楷体" w:hAnsi="楷体" w:cs="Arial" w:hint="eastAsia"/>
                <w:color w:val="000000" w:themeColor="text1"/>
                <w:sz w:val="18"/>
                <w:szCs w:val="20"/>
              </w:rPr>
              <w:t>本周因美联储不断提高6月加息的概率，严重地挫伤了黄金的需求。全周金价下跌1.68%，到达三周最低收盘价。原油交易商们预计加拿大与尼日利亚原油生产受阻，可能有助于缓解全球原油供应过剩局面。在5月17日收盘创7个多月以来最高收盘价。全周上涨4.81%。</w:t>
            </w:r>
          </w:p>
          <w:p w:rsidR="0053273E" w:rsidRPr="0032491D" w:rsidRDefault="0053273E" w:rsidP="00FC5199">
            <w:pPr>
              <w:pStyle w:val="a6"/>
              <w:numPr>
                <w:ilvl w:val="0"/>
                <w:numId w:val="3"/>
              </w:numPr>
              <w:spacing w:line="300" w:lineRule="auto"/>
              <w:ind w:firstLineChars="0"/>
              <w:rPr>
                <w:rStyle w:val="textsmall2"/>
                <w:rFonts w:ascii="楷体" w:eastAsia="楷体" w:hAnsi="楷体" w:cs="Arial"/>
                <w:b/>
                <w:color w:val="000000"/>
                <w:szCs w:val="22"/>
              </w:rPr>
            </w:pPr>
            <w:r w:rsidRPr="0032491D">
              <w:rPr>
                <w:rStyle w:val="textsmall2"/>
                <w:rFonts w:ascii="楷体" w:eastAsia="楷体" w:hAnsi="楷体" w:cs="Arial" w:hint="eastAsia"/>
                <w:b/>
                <w:color w:val="000000"/>
                <w:szCs w:val="22"/>
              </w:rPr>
              <w:t>一周基金表现回顾</w:t>
            </w:r>
          </w:p>
          <w:p w:rsidR="0053273E" w:rsidRPr="0032491D" w:rsidRDefault="0053273E" w:rsidP="00FC5199">
            <w:pPr>
              <w:rPr>
                <w:rFonts w:ascii="楷体" w:eastAsia="楷体" w:hAnsi="楷体" w:cs="Arial"/>
                <w:sz w:val="18"/>
                <w:szCs w:val="20"/>
              </w:rPr>
            </w:pPr>
            <w:proofErr w:type="gramStart"/>
            <w:r w:rsidRPr="0032491D">
              <w:rPr>
                <w:rFonts w:ascii="楷体" w:eastAsia="楷体" w:hAnsi="楷体" w:cs="Arial" w:hint="eastAsia"/>
                <w:b/>
                <w:sz w:val="18"/>
                <w:szCs w:val="20"/>
              </w:rPr>
              <w:t>股混基金</w:t>
            </w:r>
            <w:proofErr w:type="gramEnd"/>
            <w:r w:rsidRPr="0032491D">
              <w:rPr>
                <w:rFonts w:ascii="楷体" w:eastAsia="楷体" w:hAnsi="楷体" w:cs="Arial" w:hint="eastAsia"/>
                <w:b/>
                <w:sz w:val="18"/>
                <w:szCs w:val="20"/>
              </w:rPr>
              <w:t>业绩：</w:t>
            </w:r>
            <w:r w:rsidRPr="0032491D">
              <w:rPr>
                <w:rFonts w:ascii="楷体" w:eastAsia="楷体" w:hAnsi="楷体" w:cs="Arial" w:hint="eastAsia"/>
                <w:sz w:val="18"/>
                <w:szCs w:val="20"/>
              </w:rPr>
              <w:t>普通股</w:t>
            </w:r>
            <w:proofErr w:type="gramStart"/>
            <w:r w:rsidRPr="0032491D">
              <w:rPr>
                <w:rFonts w:ascii="楷体" w:eastAsia="楷体" w:hAnsi="楷体" w:cs="Arial" w:hint="eastAsia"/>
                <w:sz w:val="18"/>
                <w:szCs w:val="20"/>
              </w:rPr>
              <w:t>基平均</w:t>
            </w:r>
            <w:proofErr w:type="gramEnd"/>
            <w:r w:rsidRPr="0032491D">
              <w:rPr>
                <w:rFonts w:ascii="楷体" w:eastAsia="楷体" w:hAnsi="楷体" w:cs="Arial" w:hint="eastAsia"/>
                <w:sz w:val="18"/>
                <w:szCs w:val="20"/>
              </w:rPr>
              <w:t>收益为</w:t>
            </w:r>
            <w:r w:rsidR="000E78A4">
              <w:rPr>
                <w:rFonts w:ascii="楷体" w:eastAsia="楷体" w:hAnsi="楷体" w:cs="Arial" w:hint="eastAsia"/>
                <w:sz w:val="18"/>
                <w:szCs w:val="20"/>
              </w:rPr>
              <w:t>0.30</w:t>
            </w:r>
            <w:r w:rsidRPr="0032491D">
              <w:rPr>
                <w:rFonts w:ascii="楷体" w:eastAsia="楷体" w:hAnsi="楷体" w:cs="Arial"/>
                <w:sz w:val="18"/>
                <w:szCs w:val="20"/>
              </w:rPr>
              <w:t>%</w:t>
            </w:r>
            <w:r w:rsidRPr="0032491D">
              <w:rPr>
                <w:rFonts w:ascii="楷体" w:eastAsia="楷体" w:hAnsi="楷体" w:cs="Arial" w:hint="eastAsia"/>
                <w:sz w:val="18"/>
                <w:szCs w:val="20"/>
              </w:rPr>
              <w:t>，指数</w:t>
            </w:r>
            <w:proofErr w:type="gramStart"/>
            <w:r w:rsidRPr="0032491D">
              <w:rPr>
                <w:rFonts w:ascii="楷体" w:eastAsia="楷体" w:hAnsi="楷体" w:cs="Arial" w:hint="eastAsia"/>
                <w:sz w:val="18"/>
                <w:szCs w:val="20"/>
              </w:rPr>
              <w:t>股基平均</w:t>
            </w:r>
            <w:proofErr w:type="gramEnd"/>
            <w:r w:rsidRPr="0032491D">
              <w:rPr>
                <w:rFonts w:ascii="楷体" w:eastAsia="楷体" w:hAnsi="楷体" w:cs="Arial" w:hint="eastAsia"/>
                <w:sz w:val="18"/>
                <w:szCs w:val="20"/>
              </w:rPr>
              <w:t>收益为</w:t>
            </w:r>
            <w:r w:rsidR="000E78A4">
              <w:rPr>
                <w:rFonts w:ascii="楷体" w:eastAsia="楷体" w:hAnsi="楷体" w:cs="Arial" w:hint="eastAsia"/>
                <w:sz w:val="18"/>
                <w:szCs w:val="20"/>
              </w:rPr>
              <w:t>0.37%</w:t>
            </w:r>
            <w:r w:rsidRPr="0032491D">
              <w:rPr>
                <w:rFonts w:ascii="楷体" w:eastAsia="楷体" w:hAnsi="楷体" w:cs="Arial" w:hint="eastAsia"/>
                <w:sz w:val="18"/>
                <w:szCs w:val="20"/>
              </w:rPr>
              <w:t>。</w:t>
            </w:r>
            <w:proofErr w:type="gramStart"/>
            <w:r w:rsidRPr="0032491D">
              <w:rPr>
                <w:rFonts w:ascii="楷体" w:eastAsia="楷体" w:hAnsi="楷体" w:cs="Arial" w:hint="eastAsia"/>
                <w:sz w:val="18"/>
                <w:szCs w:val="20"/>
              </w:rPr>
              <w:t>偏股型平均</w:t>
            </w:r>
            <w:proofErr w:type="gramEnd"/>
            <w:r w:rsidRPr="0032491D">
              <w:rPr>
                <w:rFonts w:ascii="楷体" w:eastAsia="楷体" w:hAnsi="楷体" w:cs="Arial" w:hint="eastAsia"/>
                <w:sz w:val="18"/>
                <w:szCs w:val="20"/>
              </w:rPr>
              <w:t>收益为</w:t>
            </w:r>
            <w:r w:rsidR="000E78A4">
              <w:rPr>
                <w:rFonts w:ascii="楷体" w:eastAsia="楷体" w:hAnsi="楷体" w:cs="Arial" w:hint="eastAsia"/>
                <w:sz w:val="18"/>
                <w:szCs w:val="20"/>
              </w:rPr>
              <w:t>0.29</w:t>
            </w:r>
            <w:r w:rsidRPr="0032491D">
              <w:rPr>
                <w:rFonts w:ascii="楷体" w:eastAsia="楷体" w:hAnsi="楷体" w:cs="Arial"/>
                <w:sz w:val="18"/>
                <w:szCs w:val="20"/>
              </w:rPr>
              <w:t>%</w:t>
            </w:r>
            <w:r w:rsidRPr="0032491D">
              <w:rPr>
                <w:rFonts w:ascii="楷体" w:eastAsia="楷体" w:hAnsi="楷体" w:cs="Arial" w:hint="eastAsia"/>
                <w:sz w:val="18"/>
                <w:szCs w:val="20"/>
              </w:rPr>
              <w:t>，</w:t>
            </w:r>
            <w:proofErr w:type="gramStart"/>
            <w:r w:rsidRPr="0032491D">
              <w:rPr>
                <w:rFonts w:ascii="楷体" w:eastAsia="楷体" w:hAnsi="楷体" w:cs="Arial" w:hint="eastAsia"/>
                <w:sz w:val="18"/>
                <w:szCs w:val="20"/>
              </w:rPr>
              <w:t>偏债型</w:t>
            </w:r>
            <w:proofErr w:type="gramEnd"/>
            <w:r w:rsidRPr="0032491D">
              <w:rPr>
                <w:rFonts w:ascii="楷体" w:eastAsia="楷体" w:hAnsi="楷体" w:cs="Arial" w:hint="eastAsia"/>
                <w:sz w:val="18"/>
                <w:szCs w:val="20"/>
              </w:rPr>
              <w:t>产品平均收益为</w:t>
            </w:r>
            <w:r w:rsidR="000E78A4">
              <w:rPr>
                <w:rFonts w:ascii="楷体" w:eastAsia="楷体" w:hAnsi="楷体" w:cs="Arial" w:hint="eastAsia"/>
                <w:sz w:val="18"/>
                <w:szCs w:val="20"/>
              </w:rPr>
              <w:t>0.00</w:t>
            </w:r>
            <w:r w:rsidRPr="0032491D">
              <w:rPr>
                <w:rFonts w:ascii="楷体" w:eastAsia="楷体" w:hAnsi="楷体" w:cs="Arial"/>
                <w:sz w:val="18"/>
                <w:szCs w:val="20"/>
              </w:rPr>
              <w:t>%</w:t>
            </w:r>
            <w:r w:rsidRPr="0032491D">
              <w:rPr>
                <w:rFonts w:ascii="楷体" w:eastAsia="楷体" w:hAnsi="楷体" w:cs="Arial" w:hint="eastAsia"/>
                <w:sz w:val="18"/>
                <w:szCs w:val="20"/>
              </w:rPr>
              <w:t>，灵活配置</w:t>
            </w:r>
            <w:proofErr w:type="gramStart"/>
            <w:r w:rsidRPr="0032491D">
              <w:rPr>
                <w:rFonts w:ascii="楷体" w:eastAsia="楷体" w:hAnsi="楷体" w:cs="Arial" w:hint="eastAsia"/>
                <w:sz w:val="18"/>
                <w:szCs w:val="20"/>
              </w:rPr>
              <w:t>型平均</w:t>
            </w:r>
            <w:proofErr w:type="gramEnd"/>
            <w:r w:rsidRPr="0032491D">
              <w:rPr>
                <w:rFonts w:ascii="楷体" w:eastAsia="楷体" w:hAnsi="楷体" w:cs="Arial" w:hint="eastAsia"/>
                <w:sz w:val="18"/>
                <w:szCs w:val="20"/>
              </w:rPr>
              <w:t>收益为</w:t>
            </w:r>
            <w:r w:rsidR="000E78A4">
              <w:rPr>
                <w:rFonts w:ascii="楷体" w:eastAsia="楷体" w:hAnsi="楷体" w:cs="Arial" w:hint="eastAsia"/>
                <w:sz w:val="18"/>
                <w:szCs w:val="20"/>
              </w:rPr>
              <w:t>0.15</w:t>
            </w:r>
            <w:r w:rsidRPr="0032491D">
              <w:rPr>
                <w:rFonts w:ascii="楷体" w:eastAsia="楷体" w:hAnsi="楷体" w:cs="Arial"/>
                <w:sz w:val="18"/>
                <w:szCs w:val="20"/>
              </w:rPr>
              <w:t>%</w:t>
            </w:r>
            <w:r w:rsidRPr="0032491D">
              <w:rPr>
                <w:rFonts w:ascii="楷体" w:eastAsia="楷体" w:hAnsi="楷体" w:cs="Arial" w:hint="eastAsia"/>
                <w:sz w:val="18"/>
                <w:szCs w:val="20"/>
              </w:rPr>
              <w:t>，平衡</w:t>
            </w:r>
            <w:proofErr w:type="gramStart"/>
            <w:r w:rsidRPr="0032491D">
              <w:rPr>
                <w:rFonts w:ascii="楷体" w:eastAsia="楷体" w:hAnsi="楷体" w:cs="Arial" w:hint="eastAsia"/>
                <w:sz w:val="18"/>
                <w:szCs w:val="20"/>
              </w:rPr>
              <w:t>型平均</w:t>
            </w:r>
            <w:proofErr w:type="gramEnd"/>
            <w:r w:rsidRPr="0032491D">
              <w:rPr>
                <w:rFonts w:ascii="楷体" w:eastAsia="楷体" w:hAnsi="楷体" w:cs="Arial" w:hint="eastAsia"/>
                <w:sz w:val="18"/>
                <w:szCs w:val="20"/>
              </w:rPr>
              <w:t>收益为</w:t>
            </w:r>
            <w:r w:rsidR="000E78A4">
              <w:rPr>
                <w:rFonts w:ascii="楷体" w:eastAsia="楷体" w:hAnsi="楷体" w:cs="Arial" w:hint="eastAsia"/>
                <w:sz w:val="18"/>
                <w:szCs w:val="20"/>
              </w:rPr>
              <w:t>0.24</w:t>
            </w:r>
            <w:r w:rsidRPr="0032491D">
              <w:rPr>
                <w:rFonts w:ascii="楷体" w:eastAsia="楷体" w:hAnsi="楷体" w:cs="Arial"/>
                <w:sz w:val="18"/>
                <w:szCs w:val="20"/>
              </w:rPr>
              <w:t>%</w:t>
            </w:r>
            <w:r w:rsidRPr="0032491D">
              <w:rPr>
                <w:rFonts w:ascii="楷体" w:eastAsia="楷体" w:hAnsi="楷体" w:cs="Arial" w:hint="eastAsia"/>
                <w:sz w:val="18"/>
                <w:szCs w:val="20"/>
              </w:rPr>
              <w:t>。</w:t>
            </w:r>
          </w:p>
          <w:p w:rsidR="0053273E" w:rsidRPr="0032491D" w:rsidRDefault="0053273E" w:rsidP="00FC5199">
            <w:pPr>
              <w:rPr>
                <w:rFonts w:ascii="楷体" w:eastAsia="楷体" w:hAnsi="楷体" w:cs="Arial"/>
                <w:sz w:val="18"/>
                <w:szCs w:val="20"/>
              </w:rPr>
            </w:pPr>
            <w:r w:rsidRPr="0032491D">
              <w:rPr>
                <w:rFonts w:ascii="楷体" w:eastAsia="楷体" w:hAnsi="楷体" w:cs="Arial" w:hint="eastAsia"/>
                <w:b/>
                <w:sz w:val="18"/>
                <w:szCs w:val="20"/>
              </w:rPr>
              <w:t>固定收益基金：</w:t>
            </w:r>
            <w:proofErr w:type="gramStart"/>
            <w:r w:rsidRPr="0032491D">
              <w:rPr>
                <w:rFonts w:ascii="楷体" w:eastAsia="楷体" w:hAnsi="楷体" w:cs="Arial" w:hint="eastAsia"/>
                <w:sz w:val="18"/>
                <w:szCs w:val="20"/>
              </w:rPr>
              <w:t>纯债基金</w:t>
            </w:r>
            <w:proofErr w:type="gramEnd"/>
            <w:r w:rsidRPr="0032491D">
              <w:rPr>
                <w:rFonts w:ascii="楷体" w:eastAsia="楷体" w:hAnsi="楷体" w:cs="Arial" w:hint="eastAsia"/>
                <w:sz w:val="18"/>
                <w:szCs w:val="20"/>
              </w:rPr>
              <w:t>平均收益为</w:t>
            </w:r>
            <w:r w:rsidR="000E78A4">
              <w:rPr>
                <w:rFonts w:ascii="楷体" w:eastAsia="楷体" w:hAnsi="楷体" w:cs="Arial" w:hint="eastAsia"/>
                <w:sz w:val="18"/>
                <w:szCs w:val="20"/>
              </w:rPr>
              <w:t>-0.03</w:t>
            </w:r>
            <w:r w:rsidRPr="0032491D">
              <w:rPr>
                <w:rFonts w:ascii="楷体" w:eastAsia="楷体" w:hAnsi="楷体" w:cs="Arial"/>
                <w:sz w:val="18"/>
                <w:szCs w:val="20"/>
              </w:rPr>
              <w:t>%</w:t>
            </w:r>
            <w:r w:rsidRPr="0032491D">
              <w:rPr>
                <w:rFonts w:ascii="楷体" w:eastAsia="楷体" w:hAnsi="楷体" w:cs="Arial" w:hint="eastAsia"/>
                <w:sz w:val="18"/>
                <w:szCs w:val="20"/>
              </w:rPr>
              <w:t>，一级</w:t>
            </w:r>
            <w:proofErr w:type="gramStart"/>
            <w:r w:rsidRPr="0032491D">
              <w:rPr>
                <w:rFonts w:ascii="楷体" w:eastAsia="楷体" w:hAnsi="楷体" w:cs="Arial" w:hint="eastAsia"/>
                <w:sz w:val="18"/>
                <w:szCs w:val="20"/>
              </w:rPr>
              <w:t>债基平均</w:t>
            </w:r>
            <w:proofErr w:type="gramEnd"/>
            <w:r w:rsidRPr="0032491D">
              <w:rPr>
                <w:rFonts w:ascii="楷体" w:eastAsia="楷体" w:hAnsi="楷体" w:cs="Arial" w:hint="eastAsia"/>
                <w:sz w:val="18"/>
                <w:szCs w:val="20"/>
              </w:rPr>
              <w:t>收益为</w:t>
            </w:r>
            <w:r w:rsidR="000E78A4">
              <w:rPr>
                <w:rFonts w:ascii="楷体" w:eastAsia="楷体" w:hAnsi="楷体" w:cs="Arial" w:hint="eastAsia"/>
                <w:sz w:val="18"/>
                <w:szCs w:val="20"/>
              </w:rPr>
              <w:t>-0.08</w:t>
            </w:r>
            <w:r w:rsidRPr="0032491D">
              <w:rPr>
                <w:rFonts w:ascii="楷体" w:eastAsia="楷体" w:hAnsi="楷体" w:cs="Arial"/>
                <w:sz w:val="18"/>
                <w:szCs w:val="20"/>
              </w:rPr>
              <w:t>%</w:t>
            </w:r>
            <w:r w:rsidRPr="0032491D">
              <w:rPr>
                <w:rFonts w:ascii="楷体" w:eastAsia="楷体" w:hAnsi="楷体" w:cs="Arial" w:hint="eastAsia"/>
                <w:sz w:val="18"/>
                <w:szCs w:val="20"/>
              </w:rPr>
              <w:t>，二级</w:t>
            </w:r>
            <w:proofErr w:type="gramStart"/>
            <w:r w:rsidRPr="0032491D">
              <w:rPr>
                <w:rFonts w:ascii="楷体" w:eastAsia="楷体" w:hAnsi="楷体" w:cs="Arial" w:hint="eastAsia"/>
                <w:sz w:val="18"/>
                <w:szCs w:val="20"/>
              </w:rPr>
              <w:t>债基平均</w:t>
            </w:r>
            <w:proofErr w:type="gramEnd"/>
            <w:r w:rsidRPr="0032491D">
              <w:rPr>
                <w:rFonts w:ascii="楷体" w:eastAsia="楷体" w:hAnsi="楷体" w:cs="Arial" w:hint="eastAsia"/>
                <w:sz w:val="18"/>
                <w:szCs w:val="20"/>
              </w:rPr>
              <w:t>收益为</w:t>
            </w:r>
            <w:r w:rsidRPr="0032491D">
              <w:rPr>
                <w:rFonts w:ascii="楷体" w:eastAsia="楷体" w:hAnsi="楷体" w:cs="Arial"/>
                <w:sz w:val="18"/>
                <w:szCs w:val="20"/>
              </w:rPr>
              <w:t>-</w:t>
            </w:r>
            <w:r>
              <w:rPr>
                <w:rFonts w:ascii="楷体" w:eastAsia="楷体" w:hAnsi="楷体" w:cs="Arial" w:hint="eastAsia"/>
                <w:sz w:val="18"/>
                <w:szCs w:val="20"/>
              </w:rPr>
              <w:t>0.</w:t>
            </w:r>
            <w:r w:rsidR="000E78A4">
              <w:rPr>
                <w:rFonts w:ascii="楷体" w:eastAsia="楷体" w:hAnsi="楷体" w:cs="Arial" w:hint="eastAsia"/>
                <w:sz w:val="18"/>
                <w:szCs w:val="20"/>
              </w:rPr>
              <w:t>01</w:t>
            </w:r>
            <w:r w:rsidRPr="0032491D">
              <w:rPr>
                <w:rFonts w:ascii="楷体" w:eastAsia="楷体" w:hAnsi="楷体" w:cs="Arial"/>
                <w:sz w:val="18"/>
                <w:szCs w:val="20"/>
              </w:rPr>
              <w:t>%</w:t>
            </w:r>
            <w:r w:rsidRPr="0032491D">
              <w:rPr>
                <w:rFonts w:ascii="楷体" w:eastAsia="楷体" w:hAnsi="楷体" w:cs="Arial" w:hint="eastAsia"/>
                <w:sz w:val="18"/>
                <w:szCs w:val="20"/>
              </w:rPr>
              <w:t>。货币基金</w:t>
            </w:r>
            <w:proofErr w:type="gramStart"/>
            <w:r w:rsidRPr="0032491D">
              <w:rPr>
                <w:rFonts w:ascii="楷体" w:eastAsia="楷体" w:hAnsi="楷体" w:cs="Arial" w:hint="eastAsia"/>
                <w:sz w:val="18"/>
                <w:szCs w:val="20"/>
              </w:rPr>
              <w:t>七日年化收益率</w:t>
            </w:r>
            <w:proofErr w:type="gramEnd"/>
            <w:r w:rsidRPr="0032491D">
              <w:rPr>
                <w:rFonts w:ascii="楷体" w:eastAsia="楷体" w:hAnsi="楷体" w:cs="Arial" w:hint="eastAsia"/>
                <w:sz w:val="18"/>
                <w:szCs w:val="20"/>
              </w:rPr>
              <w:t>均值为</w:t>
            </w:r>
            <w:r w:rsidRPr="0032491D">
              <w:rPr>
                <w:rFonts w:ascii="楷体" w:eastAsia="楷体" w:hAnsi="楷体" w:cs="Arial"/>
                <w:sz w:val="18"/>
                <w:szCs w:val="20"/>
              </w:rPr>
              <w:t>2.</w:t>
            </w:r>
            <w:r w:rsidR="000E78A4">
              <w:rPr>
                <w:rFonts w:ascii="楷体" w:eastAsia="楷体" w:hAnsi="楷体" w:cs="Arial" w:hint="eastAsia"/>
                <w:sz w:val="18"/>
                <w:szCs w:val="20"/>
              </w:rPr>
              <w:t>4</w:t>
            </w:r>
            <w:r w:rsidR="00F63767">
              <w:rPr>
                <w:rFonts w:ascii="楷体" w:eastAsia="楷体" w:hAnsi="楷体" w:cs="Arial" w:hint="eastAsia"/>
                <w:sz w:val="18"/>
                <w:szCs w:val="20"/>
              </w:rPr>
              <w:t>4</w:t>
            </w:r>
            <w:r w:rsidRPr="0032491D">
              <w:rPr>
                <w:rFonts w:ascii="楷体" w:eastAsia="楷体" w:hAnsi="楷体" w:cs="Arial"/>
                <w:sz w:val="18"/>
                <w:szCs w:val="20"/>
              </w:rPr>
              <w:t>%</w:t>
            </w:r>
            <w:r w:rsidRPr="0032491D">
              <w:rPr>
                <w:rFonts w:ascii="楷体" w:eastAsia="楷体" w:hAnsi="楷体" w:cs="Arial" w:hint="eastAsia"/>
                <w:sz w:val="18"/>
                <w:szCs w:val="20"/>
              </w:rPr>
              <w:t>。</w:t>
            </w:r>
          </w:p>
          <w:p w:rsidR="0053273E" w:rsidRPr="0032491D" w:rsidRDefault="0053273E" w:rsidP="00FC5199">
            <w:pPr>
              <w:rPr>
                <w:rFonts w:ascii="楷体" w:eastAsia="楷体" w:hAnsi="楷体" w:cs="Arial"/>
                <w:sz w:val="18"/>
                <w:szCs w:val="20"/>
              </w:rPr>
            </w:pPr>
            <w:r w:rsidRPr="0032491D">
              <w:rPr>
                <w:rFonts w:ascii="楷体" w:eastAsia="楷体" w:hAnsi="楷体" w:cs="Arial" w:hint="eastAsia"/>
                <w:b/>
                <w:sz w:val="18"/>
              </w:rPr>
              <w:t>商品及对冲基金：</w:t>
            </w:r>
            <w:r w:rsidR="00F63767">
              <w:rPr>
                <w:rFonts w:ascii="楷体" w:eastAsia="楷体" w:hAnsi="楷体" w:cs="Arial" w:hint="eastAsia"/>
                <w:sz w:val="18"/>
                <w:szCs w:val="20"/>
              </w:rPr>
              <w:t>商品基金平均下跌</w:t>
            </w:r>
            <w:r w:rsidR="000E78A4">
              <w:rPr>
                <w:rFonts w:ascii="楷体" w:eastAsia="楷体" w:hAnsi="楷体" w:cs="Arial" w:hint="eastAsia"/>
                <w:sz w:val="18"/>
                <w:szCs w:val="20"/>
              </w:rPr>
              <w:t>1.33</w:t>
            </w:r>
            <w:r w:rsidRPr="0032491D">
              <w:rPr>
                <w:rFonts w:ascii="楷体" w:eastAsia="楷体" w:hAnsi="楷体" w:cs="Arial"/>
                <w:sz w:val="18"/>
                <w:szCs w:val="20"/>
              </w:rPr>
              <w:t>%</w:t>
            </w:r>
            <w:r w:rsidRPr="0032491D">
              <w:rPr>
                <w:rFonts w:ascii="楷体" w:eastAsia="楷体" w:hAnsi="楷体" w:cs="Arial" w:hint="eastAsia"/>
                <w:sz w:val="18"/>
                <w:szCs w:val="20"/>
              </w:rPr>
              <w:t>，以绝对收益为投资目标的股票多空类产品平均收益为</w:t>
            </w:r>
            <w:r w:rsidRPr="0032491D">
              <w:rPr>
                <w:rFonts w:ascii="楷体" w:eastAsia="楷体" w:hAnsi="楷体" w:cs="Arial"/>
                <w:sz w:val="18"/>
                <w:szCs w:val="20"/>
              </w:rPr>
              <w:t>-0.</w:t>
            </w:r>
            <w:r w:rsidR="00F63767">
              <w:rPr>
                <w:rFonts w:ascii="楷体" w:eastAsia="楷体" w:hAnsi="楷体" w:cs="Arial" w:hint="eastAsia"/>
                <w:sz w:val="18"/>
                <w:szCs w:val="20"/>
              </w:rPr>
              <w:t>0</w:t>
            </w:r>
            <w:r w:rsidR="000E78A4">
              <w:rPr>
                <w:rFonts w:ascii="楷体" w:eastAsia="楷体" w:hAnsi="楷体" w:cs="Arial" w:hint="eastAsia"/>
                <w:sz w:val="18"/>
                <w:szCs w:val="20"/>
              </w:rPr>
              <w:t>2</w:t>
            </w:r>
            <w:r w:rsidRPr="0032491D">
              <w:rPr>
                <w:rFonts w:ascii="楷体" w:eastAsia="楷体" w:hAnsi="楷体" w:cs="Arial"/>
                <w:sz w:val="18"/>
                <w:szCs w:val="20"/>
              </w:rPr>
              <w:t>%</w:t>
            </w:r>
            <w:r w:rsidRPr="0032491D">
              <w:rPr>
                <w:rFonts w:ascii="楷体" w:eastAsia="楷体" w:hAnsi="楷体" w:cs="Arial" w:hint="eastAsia"/>
                <w:sz w:val="18"/>
                <w:szCs w:val="20"/>
              </w:rPr>
              <w:t>。</w:t>
            </w:r>
          </w:p>
          <w:p w:rsidR="0053273E" w:rsidRPr="00F63767" w:rsidRDefault="0053273E" w:rsidP="00FC5199">
            <w:pPr>
              <w:rPr>
                <w:rStyle w:val="textsmall2"/>
                <w:rFonts w:ascii="楷体" w:eastAsia="楷体" w:hAnsi="楷体" w:cs="Arial"/>
                <w:color w:val="FF0000"/>
                <w:sz w:val="18"/>
                <w:szCs w:val="20"/>
              </w:rPr>
            </w:pPr>
            <w:r w:rsidRPr="0032491D">
              <w:rPr>
                <w:rStyle w:val="textsmall2"/>
                <w:rFonts w:ascii="楷体" w:eastAsia="楷体" w:hAnsi="楷体" w:cs="Arial"/>
                <w:b/>
                <w:sz w:val="18"/>
                <w:szCs w:val="20"/>
              </w:rPr>
              <w:t>QDII</w:t>
            </w:r>
            <w:r w:rsidRPr="0032491D">
              <w:rPr>
                <w:rStyle w:val="textsmall2"/>
                <w:rFonts w:ascii="楷体" w:eastAsia="楷体" w:hAnsi="楷体" w:cs="Arial" w:hint="eastAsia"/>
                <w:b/>
                <w:sz w:val="18"/>
                <w:szCs w:val="20"/>
              </w:rPr>
              <w:t>基金</w:t>
            </w:r>
            <w:r w:rsidRPr="0032491D">
              <w:rPr>
                <w:rStyle w:val="textsmall2"/>
                <w:rFonts w:ascii="楷体" w:eastAsia="楷体" w:hAnsi="楷体" w:cs="Arial"/>
                <w:b/>
                <w:sz w:val="18"/>
                <w:szCs w:val="20"/>
              </w:rPr>
              <w:t>:</w:t>
            </w:r>
            <w:r w:rsidRPr="0032491D">
              <w:rPr>
                <w:rFonts w:ascii="楷体" w:eastAsia="楷体" w:hAnsi="楷体"/>
                <w:sz w:val="20"/>
              </w:rPr>
              <w:t xml:space="preserve"> </w:t>
            </w:r>
            <w:r w:rsidRPr="0032491D">
              <w:rPr>
                <w:rFonts w:ascii="楷体" w:eastAsia="楷体" w:hAnsi="楷体" w:cs="Arial"/>
                <w:sz w:val="18"/>
                <w:szCs w:val="20"/>
              </w:rPr>
              <w:t xml:space="preserve"> QDII</w:t>
            </w:r>
            <w:r w:rsidRPr="0032491D">
              <w:rPr>
                <w:rFonts w:ascii="楷体" w:eastAsia="楷体" w:hAnsi="楷体" w:cs="Arial" w:hint="eastAsia"/>
                <w:sz w:val="18"/>
                <w:szCs w:val="20"/>
              </w:rPr>
              <w:t>基金平均收益为</w:t>
            </w:r>
            <w:r w:rsidR="000E78A4">
              <w:rPr>
                <w:rFonts w:ascii="楷体" w:eastAsia="楷体" w:hAnsi="楷体" w:cs="Arial" w:hint="eastAsia"/>
                <w:sz w:val="18"/>
                <w:szCs w:val="20"/>
              </w:rPr>
              <w:t>-0.17</w:t>
            </w:r>
            <w:r w:rsidRPr="0032491D">
              <w:rPr>
                <w:rFonts w:ascii="楷体" w:eastAsia="楷体" w:hAnsi="楷体" w:cs="Arial"/>
                <w:sz w:val="18"/>
                <w:szCs w:val="20"/>
              </w:rPr>
              <w:t>%</w:t>
            </w:r>
            <w:r w:rsidRPr="0032491D">
              <w:rPr>
                <w:rFonts w:ascii="楷体" w:eastAsia="楷体" w:hAnsi="楷体" w:cs="Arial" w:hint="eastAsia"/>
                <w:sz w:val="18"/>
                <w:szCs w:val="20"/>
              </w:rPr>
              <w:t>，</w:t>
            </w:r>
            <w:r w:rsidR="007A39E5" w:rsidRPr="007A39E5">
              <w:rPr>
                <w:rFonts w:ascii="楷体" w:eastAsia="楷体" w:hAnsi="楷体" w:cs="Arial" w:hint="eastAsia"/>
                <w:sz w:val="18"/>
                <w:szCs w:val="20"/>
              </w:rPr>
              <w:t>从具体品种来看，</w:t>
            </w:r>
            <w:r w:rsidR="005642AF" w:rsidRPr="005642AF">
              <w:rPr>
                <w:rFonts w:ascii="楷体" w:eastAsia="楷体" w:hAnsi="楷体" w:cs="Arial" w:hint="eastAsia"/>
                <w:sz w:val="18"/>
                <w:szCs w:val="20"/>
              </w:rPr>
              <w:t>商品、生物科技主题QDII表现最好，房地产、</w:t>
            </w:r>
            <w:proofErr w:type="gramStart"/>
            <w:r w:rsidR="005642AF" w:rsidRPr="005642AF">
              <w:rPr>
                <w:rFonts w:ascii="楷体" w:eastAsia="楷体" w:hAnsi="楷体" w:cs="Arial" w:hint="eastAsia"/>
                <w:sz w:val="18"/>
                <w:szCs w:val="20"/>
              </w:rPr>
              <w:t>金砖四国主题</w:t>
            </w:r>
            <w:proofErr w:type="gramEnd"/>
            <w:r w:rsidR="005642AF" w:rsidRPr="005642AF">
              <w:rPr>
                <w:rFonts w:ascii="楷体" w:eastAsia="楷体" w:hAnsi="楷体" w:cs="Arial" w:hint="eastAsia"/>
                <w:sz w:val="18"/>
                <w:szCs w:val="20"/>
              </w:rPr>
              <w:t xml:space="preserve"> QDII表现较差。</w:t>
            </w:r>
          </w:p>
          <w:p w:rsidR="0053273E" w:rsidRPr="0032491D" w:rsidRDefault="0053273E" w:rsidP="00FC5199">
            <w:pPr>
              <w:pStyle w:val="a6"/>
              <w:numPr>
                <w:ilvl w:val="0"/>
                <w:numId w:val="3"/>
              </w:numPr>
              <w:spacing w:line="300" w:lineRule="auto"/>
              <w:ind w:firstLineChars="0"/>
              <w:rPr>
                <w:rStyle w:val="textsmall2"/>
                <w:rFonts w:ascii="楷体" w:eastAsia="楷体" w:hAnsi="楷体" w:cs="Arial"/>
                <w:b/>
                <w:color w:val="000000"/>
                <w:szCs w:val="22"/>
              </w:rPr>
            </w:pPr>
            <w:r w:rsidRPr="0032491D">
              <w:rPr>
                <w:rStyle w:val="textsmall2"/>
                <w:rFonts w:ascii="楷体" w:eastAsia="楷体" w:hAnsi="楷体" w:cs="Arial" w:hint="eastAsia"/>
                <w:b/>
                <w:color w:val="000000"/>
                <w:szCs w:val="22"/>
              </w:rPr>
              <w:t>未来基金投资策略</w:t>
            </w:r>
          </w:p>
          <w:p w:rsidR="0053273E" w:rsidRPr="0032491D" w:rsidRDefault="00F129A0" w:rsidP="00FC5199">
            <w:pPr>
              <w:rPr>
                <w:rFonts w:ascii="楷体" w:eastAsia="楷体" w:hAnsi="楷体" w:cs="Arial"/>
                <w:b/>
                <w:sz w:val="18"/>
                <w:szCs w:val="20"/>
              </w:rPr>
            </w:pPr>
            <w:proofErr w:type="gramStart"/>
            <w:r>
              <w:rPr>
                <w:rFonts w:ascii="楷体" w:eastAsia="楷体" w:hAnsi="楷体" w:cs="Arial"/>
                <w:b/>
                <w:sz w:val="18"/>
                <w:szCs w:val="20"/>
              </w:rPr>
              <w:t>股混基金</w:t>
            </w:r>
            <w:proofErr w:type="gramEnd"/>
            <w:r>
              <w:rPr>
                <w:rFonts w:ascii="楷体" w:eastAsia="楷体" w:hAnsi="楷体" w:cs="Arial"/>
                <w:b/>
                <w:sz w:val="18"/>
                <w:szCs w:val="20"/>
              </w:rPr>
              <w:t>，</w:t>
            </w:r>
            <w:r w:rsidRPr="00F129A0">
              <w:rPr>
                <w:rFonts w:ascii="楷体" w:eastAsia="楷体" w:hAnsi="楷体" w:cs="Arial" w:hint="eastAsia"/>
                <w:b/>
                <w:sz w:val="18"/>
                <w:szCs w:val="20"/>
              </w:rPr>
              <w:t>回归中性</w:t>
            </w:r>
            <w:proofErr w:type="gramStart"/>
            <w:r w:rsidRPr="00F129A0">
              <w:rPr>
                <w:rFonts w:ascii="楷体" w:eastAsia="楷体" w:hAnsi="楷体" w:cs="Arial" w:hint="eastAsia"/>
                <w:b/>
                <w:sz w:val="18"/>
                <w:szCs w:val="20"/>
              </w:rPr>
              <w:t>仓位</w:t>
            </w:r>
            <w:proofErr w:type="gramEnd"/>
            <w:r w:rsidRPr="00F129A0">
              <w:rPr>
                <w:rFonts w:ascii="楷体" w:eastAsia="楷体" w:hAnsi="楷体" w:cs="Arial" w:hint="eastAsia"/>
                <w:b/>
                <w:sz w:val="18"/>
                <w:szCs w:val="20"/>
              </w:rPr>
              <w:t>，结构均衡</w:t>
            </w:r>
            <w:r w:rsidR="0053273E" w:rsidRPr="0032491D">
              <w:rPr>
                <w:rFonts w:ascii="楷体" w:eastAsia="楷体" w:hAnsi="楷体" w:cs="Arial" w:hint="eastAsia"/>
                <w:b/>
                <w:sz w:val="18"/>
                <w:szCs w:val="20"/>
              </w:rPr>
              <w:t>。</w:t>
            </w:r>
            <w:r w:rsidRPr="00F129A0">
              <w:rPr>
                <w:rFonts w:ascii="楷体" w:eastAsia="楷体" w:hAnsi="楷体" w:cs="Arial" w:hint="eastAsia"/>
                <w:sz w:val="18"/>
                <w:szCs w:val="20"/>
              </w:rPr>
              <w:t>美加息预期升温带来汇率压力，进而带来流动性担忧成为近期新的负面因素。但上周央行资金</w:t>
            </w:r>
            <w:proofErr w:type="gramStart"/>
            <w:r w:rsidRPr="00F129A0">
              <w:rPr>
                <w:rFonts w:ascii="楷体" w:eastAsia="楷体" w:hAnsi="楷体" w:cs="Arial" w:hint="eastAsia"/>
                <w:sz w:val="18"/>
                <w:szCs w:val="20"/>
              </w:rPr>
              <w:t>面维稳</w:t>
            </w:r>
            <w:proofErr w:type="gramEnd"/>
            <w:r w:rsidRPr="00F129A0">
              <w:rPr>
                <w:rFonts w:ascii="楷体" w:eastAsia="楷体" w:hAnsi="楷体" w:cs="Arial" w:hint="eastAsia"/>
                <w:sz w:val="18"/>
                <w:szCs w:val="20"/>
              </w:rPr>
              <w:t>决心和市场面后半周显示出的自发反弹需求也是我们需要关注的积极转变点。短期影响A股的几大因素有所变化，因此相对稳态的震荡阴跌局面可能被打破，市场短期波动或加剧，但我们建议投资者进行偏右侧跟随，因为短期市场虽然有内在反弹动力但</w:t>
            </w:r>
            <w:proofErr w:type="spellStart"/>
            <w:r w:rsidRPr="00F129A0">
              <w:rPr>
                <w:rFonts w:ascii="楷体" w:eastAsia="楷体" w:hAnsi="楷体" w:cs="Arial" w:hint="eastAsia"/>
                <w:sz w:val="18"/>
                <w:szCs w:val="20"/>
              </w:rPr>
              <w:t>A</w:t>
            </w:r>
            <w:proofErr w:type="spellEnd"/>
            <w:r w:rsidRPr="00F129A0">
              <w:rPr>
                <w:rFonts w:ascii="楷体" w:eastAsia="楷体" w:hAnsi="楷体" w:cs="Arial" w:hint="eastAsia"/>
                <w:sz w:val="18"/>
                <w:szCs w:val="20"/>
              </w:rPr>
              <w:t>股跌过头的情形也时常发生。</w:t>
            </w:r>
            <w:proofErr w:type="gramStart"/>
            <w:r w:rsidRPr="00F129A0">
              <w:rPr>
                <w:rFonts w:ascii="楷体" w:eastAsia="楷体" w:hAnsi="楷体" w:cs="Arial" w:hint="eastAsia"/>
                <w:sz w:val="18"/>
                <w:szCs w:val="20"/>
              </w:rPr>
              <w:t>股混基金</w:t>
            </w:r>
            <w:proofErr w:type="gramEnd"/>
            <w:r w:rsidRPr="00F129A0">
              <w:rPr>
                <w:rFonts w:ascii="楷体" w:eastAsia="楷体" w:hAnsi="楷体" w:cs="Arial" w:hint="eastAsia"/>
                <w:sz w:val="18"/>
                <w:szCs w:val="20"/>
              </w:rPr>
              <w:t>投资上，短期建议投资者微幅上调</w:t>
            </w:r>
            <w:proofErr w:type="gramStart"/>
            <w:r w:rsidRPr="00F129A0">
              <w:rPr>
                <w:rFonts w:ascii="楷体" w:eastAsia="楷体" w:hAnsi="楷体" w:cs="Arial" w:hint="eastAsia"/>
                <w:sz w:val="18"/>
                <w:szCs w:val="20"/>
              </w:rPr>
              <w:t>仓位</w:t>
            </w:r>
            <w:proofErr w:type="gramEnd"/>
            <w:r w:rsidRPr="00F129A0">
              <w:rPr>
                <w:rFonts w:ascii="楷体" w:eastAsia="楷体" w:hAnsi="楷体" w:cs="Arial" w:hint="eastAsia"/>
                <w:sz w:val="18"/>
                <w:szCs w:val="20"/>
              </w:rPr>
              <w:t>水平回归到中性</w:t>
            </w:r>
            <w:proofErr w:type="gramStart"/>
            <w:r w:rsidRPr="00F129A0">
              <w:rPr>
                <w:rFonts w:ascii="楷体" w:eastAsia="楷体" w:hAnsi="楷体" w:cs="Arial" w:hint="eastAsia"/>
                <w:sz w:val="18"/>
                <w:szCs w:val="20"/>
              </w:rPr>
              <w:t>仓位</w:t>
            </w:r>
            <w:proofErr w:type="gramEnd"/>
            <w:r w:rsidRPr="00F129A0">
              <w:rPr>
                <w:rFonts w:ascii="楷体" w:eastAsia="楷体" w:hAnsi="楷体" w:cs="Arial" w:hint="eastAsia"/>
                <w:sz w:val="18"/>
                <w:szCs w:val="20"/>
              </w:rPr>
              <w:t>。结构上，依然均衡配置为上。长期而言， A股依然是性价比较高的资产，长线投资者尤其</w:t>
            </w:r>
            <w:proofErr w:type="gramStart"/>
            <w:r w:rsidRPr="00F129A0">
              <w:rPr>
                <w:rFonts w:ascii="楷体" w:eastAsia="楷体" w:hAnsi="楷体" w:cs="Arial" w:hint="eastAsia"/>
                <w:sz w:val="18"/>
                <w:szCs w:val="20"/>
              </w:rPr>
              <w:t>是定投投资者</w:t>
            </w:r>
            <w:proofErr w:type="gramEnd"/>
            <w:r w:rsidRPr="00F129A0">
              <w:rPr>
                <w:rFonts w:ascii="楷体" w:eastAsia="楷体" w:hAnsi="楷体" w:cs="Arial" w:hint="eastAsia"/>
                <w:sz w:val="18"/>
                <w:szCs w:val="20"/>
              </w:rPr>
              <w:t>可以分批介入布局</w:t>
            </w:r>
            <w:r w:rsidR="0053273E" w:rsidRPr="00F129A0">
              <w:rPr>
                <w:rFonts w:ascii="楷体" w:eastAsia="楷体" w:hAnsi="楷体" w:cs="Arial" w:hint="eastAsia"/>
                <w:sz w:val="18"/>
                <w:szCs w:val="20"/>
              </w:rPr>
              <w:t>。</w:t>
            </w:r>
          </w:p>
          <w:p w:rsidR="0053273E" w:rsidRDefault="00237A7E" w:rsidP="00FC5199">
            <w:pPr>
              <w:rPr>
                <w:rFonts w:ascii="楷体" w:eastAsia="楷体" w:hAnsi="楷体" w:cs="Arial"/>
                <w:sz w:val="18"/>
                <w:szCs w:val="20"/>
              </w:rPr>
            </w:pPr>
            <w:r>
              <w:rPr>
                <w:rFonts w:ascii="楷体" w:eastAsia="楷体" w:hAnsi="楷体" w:cs="Arial" w:hint="eastAsia"/>
                <w:b/>
                <w:sz w:val="18"/>
                <w:szCs w:val="20"/>
              </w:rPr>
              <w:t>固定收益基金</w:t>
            </w:r>
            <w:r w:rsidR="00F129A0">
              <w:rPr>
                <w:rFonts w:ascii="楷体" w:eastAsia="楷体" w:hAnsi="楷体" w:cs="Arial" w:hint="eastAsia"/>
                <w:b/>
                <w:sz w:val="18"/>
                <w:szCs w:val="20"/>
              </w:rPr>
              <w:t>，仍需静待风险</w:t>
            </w:r>
            <w:r>
              <w:rPr>
                <w:rFonts w:ascii="楷体" w:eastAsia="楷体" w:hAnsi="楷体" w:cs="Arial" w:hint="eastAsia"/>
                <w:b/>
                <w:sz w:val="18"/>
                <w:szCs w:val="20"/>
              </w:rPr>
              <w:t>释放</w:t>
            </w:r>
            <w:r w:rsidR="0053273E" w:rsidRPr="002D391D">
              <w:rPr>
                <w:rFonts w:ascii="楷体" w:eastAsia="楷体" w:hAnsi="楷体" w:cs="Arial" w:hint="eastAsia"/>
                <w:b/>
                <w:sz w:val="18"/>
                <w:szCs w:val="20"/>
              </w:rPr>
              <w:t>。</w:t>
            </w:r>
            <w:r w:rsidR="003A2B41">
              <w:rPr>
                <w:rFonts w:ascii="楷体" w:eastAsia="楷体" w:hAnsi="楷体" w:cs="Arial" w:hint="eastAsia"/>
                <w:sz w:val="18"/>
                <w:szCs w:val="20"/>
              </w:rPr>
              <w:t>债市</w:t>
            </w:r>
            <w:r w:rsidR="0053273E" w:rsidRPr="002D391D">
              <w:rPr>
                <w:rFonts w:ascii="楷体" w:eastAsia="楷体" w:hAnsi="楷体" w:cs="Arial" w:hint="eastAsia"/>
                <w:sz w:val="18"/>
                <w:szCs w:val="20"/>
              </w:rPr>
              <w:t>入场时机</w:t>
            </w:r>
            <w:r w:rsidR="003A2B41">
              <w:rPr>
                <w:rFonts w:ascii="楷体" w:eastAsia="楷体" w:hAnsi="楷体" w:cs="Arial" w:hint="eastAsia"/>
                <w:sz w:val="18"/>
                <w:szCs w:val="20"/>
              </w:rPr>
              <w:t>仍需</w:t>
            </w:r>
            <w:r w:rsidR="0053273E" w:rsidRPr="002D391D">
              <w:rPr>
                <w:rFonts w:ascii="楷体" w:eastAsia="楷体" w:hAnsi="楷体" w:cs="Arial" w:hint="eastAsia"/>
                <w:sz w:val="18"/>
                <w:szCs w:val="20"/>
              </w:rPr>
              <w:t>谨慎。对于有债券基金刚性配置需求的投资者，当前在</w:t>
            </w:r>
            <w:proofErr w:type="gramStart"/>
            <w:r w:rsidR="0053273E" w:rsidRPr="002D391D">
              <w:rPr>
                <w:rFonts w:ascii="楷体" w:eastAsia="楷体" w:hAnsi="楷体" w:cs="Arial" w:hint="eastAsia"/>
                <w:sz w:val="18"/>
                <w:szCs w:val="20"/>
              </w:rPr>
              <w:t>债基产品</w:t>
            </w:r>
            <w:proofErr w:type="gramEnd"/>
            <w:r w:rsidR="0053273E" w:rsidRPr="002D391D">
              <w:rPr>
                <w:rFonts w:ascii="楷体" w:eastAsia="楷体" w:hAnsi="楷体" w:cs="Arial" w:hint="eastAsia"/>
                <w:sz w:val="18"/>
                <w:szCs w:val="20"/>
              </w:rPr>
              <w:t>上要强调风险控制，建议</w:t>
            </w:r>
            <w:proofErr w:type="gramStart"/>
            <w:r w:rsidR="0053273E" w:rsidRPr="002D391D">
              <w:rPr>
                <w:rFonts w:ascii="楷体" w:eastAsia="楷体" w:hAnsi="楷体" w:cs="Arial" w:hint="eastAsia"/>
                <w:sz w:val="18"/>
                <w:szCs w:val="20"/>
              </w:rPr>
              <w:t>精选久</w:t>
            </w:r>
            <w:r w:rsidR="003A2B41">
              <w:rPr>
                <w:rFonts w:ascii="楷体" w:eastAsia="楷体" w:hAnsi="楷体" w:cs="Arial" w:hint="eastAsia"/>
                <w:sz w:val="18"/>
                <w:szCs w:val="20"/>
              </w:rPr>
              <w:t>期短</w:t>
            </w:r>
            <w:proofErr w:type="gramEnd"/>
            <w:r w:rsidR="003A2B41">
              <w:rPr>
                <w:rFonts w:ascii="楷体" w:eastAsia="楷体" w:hAnsi="楷体" w:cs="Arial" w:hint="eastAsia"/>
                <w:sz w:val="18"/>
                <w:szCs w:val="20"/>
              </w:rPr>
              <w:t>、杠杆较低和持券信用等级较高的基金，例如以短融为主要投资</w:t>
            </w:r>
            <w:r w:rsidR="0053273E" w:rsidRPr="002D391D">
              <w:rPr>
                <w:rFonts w:ascii="楷体" w:eastAsia="楷体" w:hAnsi="楷体" w:cs="Arial" w:hint="eastAsia"/>
                <w:sz w:val="18"/>
                <w:szCs w:val="20"/>
              </w:rPr>
              <w:t>的</w:t>
            </w:r>
            <w:proofErr w:type="gramStart"/>
            <w:r w:rsidR="0053273E" w:rsidRPr="002D391D">
              <w:rPr>
                <w:rFonts w:ascii="楷体" w:eastAsia="楷体" w:hAnsi="楷体" w:cs="Arial" w:hint="eastAsia"/>
                <w:sz w:val="18"/>
                <w:szCs w:val="20"/>
              </w:rPr>
              <w:t>短融基金</w:t>
            </w:r>
            <w:proofErr w:type="gramEnd"/>
            <w:r w:rsidR="0053273E" w:rsidRPr="002D391D">
              <w:rPr>
                <w:rFonts w:ascii="楷体" w:eastAsia="楷体" w:hAnsi="楷体" w:cs="Arial" w:hint="eastAsia"/>
                <w:sz w:val="18"/>
                <w:szCs w:val="20"/>
              </w:rPr>
              <w:t>是当前防守较好的品种。</w:t>
            </w:r>
          </w:p>
          <w:p w:rsidR="0053273E" w:rsidRPr="0032491D" w:rsidRDefault="0053273E" w:rsidP="00CE3206">
            <w:pPr>
              <w:rPr>
                <w:rFonts w:ascii="楷体" w:eastAsia="楷体" w:hAnsi="楷体"/>
              </w:rPr>
            </w:pPr>
            <w:r w:rsidRPr="0032491D">
              <w:rPr>
                <w:rFonts w:ascii="楷体" w:eastAsia="楷体" w:hAnsi="楷体" w:cs="Arial" w:hint="eastAsia"/>
                <w:b/>
                <w:sz w:val="18"/>
                <w:szCs w:val="20"/>
              </w:rPr>
              <w:t>关注黄金和大宗商品类QDII</w:t>
            </w:r>
            <w:r w:rsidR="00CE3206">
              <w:rPr>
                <w:rFonts w:ascii="楷体" w:eastAsia="楷体" w:hAnsi="楷体" w:cs="Arial" w:hint="eastAsia"/>
                <w:b/>
                <w:sz w:val="18"/>
                <w:szCs w:val="20"/>
              </w:rPr>
              <w:t>，近期或受美加息预期冲击</w:t>
            </w:r>
            <w:r w:rsidRPr="0032491D">
              <w:rPr>
                <w:rFonts w:ascii="楷体" w:eastAsia="楷体" w:hAnsi="楷体" w:cs="Arial" w:hint="eastAsia"/>
                <w:b/>
                <w:sz w:val="18"/>
                <w:szCs w:val="20"/>
              </w:rPr>
              <w:t>。</w:t>
            </w:r>
            <w:r w:rsidRPr="0032491D">
              <w:rPr>
                <w:rFonts w:ascii="楷体" w:eastAsia="楷体" w:hAnsi="楷体" w:cs="Arial" w:hint="eastAsia"/>
                <w:sz w:val="18"/>
                <w:szCs w:val="20"/>
              </w:rPr>
              <w:t>在全球经济低迷和货币超发的大背景下，黄金的保值和抗通胀价值显现。油气能源等大宗商品主题基金方面，全球货币超发带来的</w:t>
            </w:r>
            <w:proofErr w:type="gramStart"/>
            <w:r w:rsidRPr="0032491D">
              <w:rPr>
                <w:rFonts w:ascii="楷体" w:eastAsia="楷体" w:hAnsi="楷体" w:cs="Arial" w:hint="eastAsia"/>
                <w:sz w:val="18"/>
                <w:szCs w:val="20"/>
              </w:rPr>
              <w:t>通胀担忧</w:t>
            </w:r>
            <w:proofErr w:type="gramEnd"/>
            <w:r w:rsidRPr="0032491D">
              <w:rPr>
                <w:rFonts w:ascii="楷体" w:eastAsia="楷体" w:hAnsi="楷体" w:cs="Arial" w:hint="eastAsia"/>
                <w:sz w:val="18"/>
                <w:szCs w:val="20"/>
              </w:rPr>
              <w:t>和中国经济回暖带来的需求</w:t>
            </w:r>
            <w:proofErr w:type="gramStart"/>
            <w:r w:rsidRPr="0032491D">
              <w:rPr>
                <w:rFonts w:ascii="楷体" w:eastAsia="楷体" w:hAnsi="楷体" w:cs="Arial" w:hint="eastAsia"/>
                <w:sz w:val="18"/>
                <w:szCs w:val="20"/>
              </w:rPr>
              <w:t>端改善</w:t>
            </w:r>
            <w:proofErr w:type="gramEnd"/>
            <w:r w:rsidRPr="0032491D">
              <w:rPr>
                <w:rFonts w:ascii="楷体" w:eastAsia="楷体" w:hAnsi="楷体" w:cs="Arial" w:hint="eastAsia"/>
                <w:sz w:val="18"/>
                <w:szCs w:val="20"/>
              </w:rPr>
              <w:t>等都有利于推升大宗商品价格。</w:t>
            </w:r>
            <w:r w:rsidR="00CE3206">
              <w:rPr>
                <w:rFonts w:ascii="楷体" w:eastAsia="楷体" w:hAnsi="楷体" w:cs="Arial" w:hint="eastAsia"/>
                <w:sz w:val="18"/>
                <w:szCs w:val="20"/>
              </w:rPr>
              <w:t>但近期需关注美加息预期升温带来美元走强对商品的短期冲击。</w:t>
            </w:r>
          </w:p>
        </w:tc>
      </w:tr>
    </w:tbl>
    <w:p w:rsidR="0053273E" w:rsidRPr="0032491D" w:rsidRDefault="0053273E" w:rsidP="0053273E">
      <w:pPr>
        <w:tabs>
          <w:tab w:val="left" w:pos="900"/>
        </w:tabs>
        <w:jc w:val="left"/>
        <w:rPr>
          <w:rFonts w:ascii="楷体" w:eastAsia="楷体" w:hAnsi="楷体" w:cs="Arial"/>
          <w:b/>
        </w:rPr>
        <w:sectPr w:rsidR="0053273E" w:rsidRPr="0032491D" w:rsidSect="00FC5199">
          <w:headerReference w:type="default" r:id="rId8"/>
          <w:footerReference w:type="default" r:id="rId9"/>
          <w:pgSz w:w="11907" w:h="16840" w:code="9"/>
          <w:pgMar w:top="1674" w:right="680" w:bottom="851" w:left="680" w:header="851" w:footer="612" w:gutter="0"/>
          <w:cols w:space="425"/>
          <w:docGrid w:linePitch="312"/>
        </w:sectPr>
      </w:pPr>
      <w:r w:rsidRPr="0032491D">
        <w:rPr>
          <w:rFonts w:ascii="楷体" w:eastAsia="楷体" w:hAnsi="楷体" w:cs="Arial"/>
          <w:b/>
          <w:noProof/>
        </w:rPr>
        <mc:AlternateContent>
          <mc:Choice Requires="wps">
            <w:drawing>
              <wp:anchor distT="0" distB="0" distL="114300" distR="114300" simplePos="0" relativeHeight="251659264" behindDoc="0" locked="0" layoutInCell="1" allowOverlap="1" wp14:anchorId="60E7DD8C" wp14:editId="3A2B3022">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27A" w:rsidRPr="004071E8" w:rsidRDefault="00FE427A" w:rsidP="0053273E">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FE427A" w:rsidRPr="0032491D" w:rsidTr="00FC5199">
                              <w:trPr>
                                <w:cantSplit/>
                                <w:trHeight w:val="764"/>
                              </w:trPr>
                              <w:tc>
                                <w:tcPr>
                                  <w:tcW w:w="2899" w:type="dxa"/>
                                  <w:shd w:val="clear" w:color="auto" w:fill="F0EAC6"/>
                                  <w:vAlign w:val="center"/>
                                </w:tcPr>
                                <w:p w:rsidR="00FE427A" w:rsidRPr="0032491D" w:rsidRDefault="00FE427A" w:rsidP="00427FAE">
                                  <w:pPr>
                                    <w:ind w:firstLineChars="50" w:firstLine="90"/>
                                    <w:rPr>
                                      <w:rFonts w:ascii="楷体" w:eastAsia="楷体" w:hAnsi="楷体" w:cs="Arial"/>
                                      <w:color w:val="000000"/>
                                      <w:sz w:val="15"/>
                                    </w:rPr>
                                  </w:pPr>
                                  <w:r w:rsidRPr="0032491D">
                                    <w:rPr>
                                      <w:rFonts w:ascii="楷体" w:eastAsia="楷体" w:hAnsi="楷体" w:cs="Arial" w:hint="eastAsia"/>
                                      <w:b/>
                                      <w:sz w:val="18"/>
                                      <w:szCs w:val="16"/>
                                    </w:rPr>
                                    <w:t>报告日期：2016-05-</w:t>
                                  </w:r>
                                  <w:r>
                                    <w:rPr>
                                      <w:rFonts w:ascii="楷体" w:eastAsia="楷体" w:hAnsi="楷体" w:cs="Arial" w:hint="eastAsia"/>
                                      <w:b/>
                                      <w:sz w:val="18"/>
                                      <w:szCs w:val="16"/>
                                    </w:rPr>
                                    <w:t>23</w:t>
                                  </w:r>
                                </w:p>
                              </w:tc>
                            </w:tr>
                            <w:tr w:rsidR="00FE427A" w:rsidRPr="0032491D" w:rsidTr="00FC5199">
                              <w:trPr>
                                <w:cantSplit/>
                                <w:trHeight w:val="2023"/>
                              </w:trPr>
                              <w:tc>
                                <w:tcPr>
                                  <w:tcW w:w="2899" w:type="dxa"/>
                                  <w:tcBorders>
                                    <w:top w:val="single" w:sz="4" w:space="0" w:color="auto"/>
                                    <w:bottom w:val="single" w:sz="4" w:space="0" w:color="auto"/>
                                  </w:tcBorders>
                                  <w:shd w:val="clear" w:color="auto" w:fill="F0EAC6"/>
                                </w:tcPr>
                                <w:p w:rsidR="00FE427A" w:rsidRDefault="00FE427A" w:rsidP="00FC5199">
                                  <w:pPr>
                                    <w:rPr>
                                      <w:rFonts w:ascii="楷体" w:eastAsia="楷体" w:hAnsi="楷体"/>
                                    </w:rPr>
                                  </w:pPr>
                                </w:p>
                                <w:p w:rsidR="00FE427A" w:rsidRPr="0032491D" w:rsidRDefault="00FE427A" w:rsidP="00FC5199">
                                  <w:pPr>
                                    <w:rPr>
                                      <w:rFonts w:ascii="楷体" w:eastAsia="楷体" w:hAnsi="楷体" w:cs="Arial"/>
                                      <w:b/>
                                      <w:sz w:val="18"/>
                                      <w:szCs w:val="16"/>
                                    </w:rPr>
                                  </w:pPr>
                                  <w:r w:rsidRPr="0032491D">
                                    <w:rPr>
                                      <w:rFonts w:ascii="楷体" w:eastAsia="楷体" w:hAnsi="楷体" w:cs="Arial" w:hint="eastAsia"/>
                                      <w:b/>
                                      <w:sz w:val="18"/>
                                      <w:szCs w:val="16"/>
                                    </w:rPr>
                                    <w:t>高级分析师：</w:t>
                                  </w:r>
                                  <w:proofErr w:type="gramStart"/>
                                  <w:r w:rsidRPr="0032491D">
                                    <w:rPr>
                                      <w:rFonts w:ascii="楷体" w:eastAsia="楷体" w:hAnsi="楷体" w:cs="Arial" w:hint="eastAsia"/>
                                      <w:b/>
                                      <w:sz w:val="18"/>
                                      <w:szCs w:val="16"/>
                                    </w:rPr>
                                    <w:t>桑柳玉</w:t>
                                  </w:r>
                                  <w:proofErr w:type="gramEnd"/>
                                </w:p>
                                <w:p w:rsidR="00FE427A" w:rsidRPr="0032491D" w:rsidRDefault="00FE427A" w:rsidP="00FC5199">
                                  <w:pPr>
                                    <w:rPr>
                                      <w:rFonts w:ascii="楷体" w:eastAsia="楷体" w:hAnsi="楷体" w:cs="Arial"/>
                                      <w:sz w:val="18"/>
                                      <w:szCs w:val="16"/>
                                    </w:rPr>
                                  </w:pPr>
                                  <w:r w:rsidRPr="0032491D">
                                    <w:rPr>
                                      <w:rFonts w:ascii="楷体" w:eastAsia="楷体" w:hAnsi="楷体" w:cs="Arial" w:hint="eastAsia"/>
                                      <w:sz w:val="18"/>
                                      <w:szCs w:val="16"/>
                                    </w:rPr>
                                    <w:t>Email：sangly@vstone.com.cn</w:t>
                                  </w:r>
                                </w:p>
                                <w:p w:rsidR="00FE427A" w:rsidRPr="0032491D" w:rsidRDefault="00FE427A" w:rsidP="00FC5199">
                                  <w:pPr>
                                    <w:ind w:firstLineChars="50" w:firstLine="80"/>
                                    <w:rPr>
                                      <w:rFonts w:ascii="楷体" w:eastAsia="楷体" w:hAnsi="楷体" w:cs="Arial"/>
                                      <w:sz w:val="16"/>
                                      <w:szCs w:val="16"/>
                                    </w:rPr>
                                  </w:pPr>
                                </w:p>
                                <w:p w:rsidR="00FE427A" w:rsidRPr="0032491D" w:rsidRDefault="00FE427A" w:rsidP="00FC5199">
                                  <w:pPr>
                                    <w:rPr>
                                      <w:rFonts w:ascii="楷体" w:eastAsia="楷体" w:hAnsi="楷体" w:cs="Arial"/>
                                      <w:b/>
                                      <w:sz w:val="18"/>
                                      <w:szCs w:val="16"/>
                                    </w:rPr>
                                  </w:pPr>
                                  <w:r w:rsidRPr="0032491D">
                                    <w:rPr>
                                      <w:rFonts w:ascii="楷体" w:eastAsia="楷体" w:hAnsi="楷体" w:cs="Arial" w:hint="eastAsia"/>
                                      <w:b/>
                                      <w:sz w:val="18"/>
                                      <w:szCs w:val="16"/>
                                    </w:rPr>
                                    <w:t>分析师：俞辰瑶</w:t>
                                  </w:r>
                                </w:p>
                                <w:p w:rsidR="00FE427A" w:rsidRPr="0032491D" w:rsidRDefault="00FE427A" w:rsidP="00FC5199">
                                  <w:pPr>
                                    <w:rPr>
                                      <w:rFonts w:ascii="楷体" w:eastAsia="楷体" w:hAnsi="楷体" w:cs="Arial"/>
                                      <w:sz w:val="18"/>
                                      <w:szCs w:val="16"/>
                                    </w:rPr>
                                  </w:pPr>
                                  <w:r w:rsidRPr="0032491D">
                                    <w:rPr>
                                      <w:rFonts w:ascii="楷体" w:eastAsia="楷体" w:hAnsi="楷体" w:cs="Arial" w:hint="eastAsia"/>
                                      <w:sz w:val="18"/>
                                      <w:szCs w:val="16"/>
                                    </w:rPr>
                                    <w:t>Email：yucy@vstone.com.cn</w:t>
                                  </w:r>
                                </w:p>
                                <w:p w:rsidR="00FE427A" w:rsidRPr="0032491D" w:rsidRDefault="00FE427A" w:rsidP="00FC5199">
                                  <w:pPr>
                                    <w:rPr>
                                      <w:rFonts w:ascii="楷体" w:eastAsia="楷体" w:hAnsi="楷体" w:cs="Arial"/>
                                      <w:sz w:val="16"/>
                                      <w:szCs w:val="16"/>
                                    </w:rPr>
                                  </w:pPr>
                                </w:p>
                              </w:tc>
                            </w:tr>
                            <w:tr w:rsidR="00FE427A" w:rsidRPr="0032491D" w:rsidTr="00FC5199">
                              <w:trPr>
                                <w:cantSplit/>
                                <w:trHeight w:val="10189"/>
                              </w:trPr>
                              <w:tc>
                                <w:tcPr>
                                  <w:tcW w:w="2899" w:type="dxa"/>
                                  <w:tcBorders>
                                    <w:top w:val="single" w:sz="4" w:space="0" w:color="auto"/>
                                  </w:tcBorders>
                                  <w:shd w:val="clear" w:color="auto" w:fill="F0EAC6"/>
                                </w:tcPr>
                                <w:p w:rsidR="00FE427A" w:rsidRPr="0032491D" w:rsidRDefault="00FE427A" w:rsidP="00FC5199">
                                  <w:pPr>
                                    <w:rPr>
                                      <w:rFonts w:ascii="楷体" w:eastAsia="楷体" w:hAnsi="楷体" w:cs="Arial"/>
                                      <w:b/>
                                      <w:sz w:val="18"/>
                                      <w:szCs w:val="16"/>
                                    </w:rPr>
                                  </w:pPr>
                                </w:p>
                                <w:p w:rsidR="00FE427A" w:rsidRPr="0032491D" w:rsidRDefault="00FE427A" w:rsidP="00FC5199">
                                  <w:pPr>
                                    <w:rPr>
                                      <w:rFonts w:ascii="楷体" w:eastAsia="楷体" w:hAnsi="楷体" w:cs="Arial"/>
                                      <w:b/>
                                      <w:sz w:val="18"/>
                                      <w:szCs w:val="16"/>
                                    </w:rPr>
                                  </w:pPr>
                                  <w:r w:rsidRPr="0032491D">
                                    <w:rPr>
                                      <w:rFonts w:ascii="楷体" w:eastAsia="楷体" w:hAnsi="楷体" w:cs="Arial" w:hint="eastAsia"/>
                                      <w:b/>
                                      <w:sz w:val="18"/>
                                      <w:szCs w:val="16"/>
                                    </w:rPr>
                                    <w:t>相关报告</w:t>
                                  </w:r>
                                </w:p>
                                <w:p w:rsidR="00FE427A" w:rsidRPr="0032491D" w:rsidRDefault="00FE427A" w:rsidP="00FC5199">
                                  <w:pPr>
                                    <w:rPr>
                                      <w:rFonts w:ascii="楷体" w:eastAsia="楷体" w:hAnsi="楷体" w:cs="Arial"/>
                                      <w:sz w:val="18"/>
                                      <w:szCs w:val="16"/>
                                    </w:rPr>
                                  </w:pPr>
                                </w:p>
                              </w:tc>
                            </w:tr>
                          </w:tbl>
                          <w:p w:rsidR="00FE427A" w:rsidRPr="004071E8" w:rsidRDefault="00FE427A" w:rsidP="0053273E">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FE427A" w:rsidRPr="004071E8" w:rsidRDefault="00FE427A" w:rsidP="0053273E">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FE427A" w:rsidRPr="0032491D" w:rsidTr="00FC5199">
                        <w:trPr>
                          <w:cantSplit/>
                          <w:trHeight w:val="764"/>
                        </w:trPr>
                        <w:tc>
                          <w:tcPr>
                            <w:tcW w:w="2899" w:type="dxa"/>
                            <w:shd w:val="clear" w:color="auto" w:fill="F0EAC6"/>
                            <w:vAlign w:val="center"/>
                          </w:tcPr>
                          <w:p w:rsidR="00FE427A" w:rsidRPr="0032491D" w:rsidRDefault="00FE427A" w:rsidP="00427FAE">
                            <w:pPr>
                              <w:ind w:firstLineChars="50" w:firstLine="90"/>
                              <w:rPr>
                                <w:rFonts w:ascii="楷体" w:eastAsia="楷体" w:hAnsi="楷体" w:cs="Arial"/>
                                <w:color w:val="000000"/>
                                <w:sz w:val="15"/>
                              </w:rPr>
                            </w:pPr>
                            <w:r w:rsidRPr="0032491D">
                              <w:rPr>
                                <w:rFonts w:ascii="楷体" w:eastAsia="楷体" w:hAnsi="楷体" w:cs="Arial" w:hint="eastAsia"/>
                                <w:b/>
                                <w:sz w:val="18"/>
                                <w:szCs w:val="16"/>
                              </w:rPr>
                              <w:t>报告日期：2016-05-</w:t>
                            </w:r>
                            <w:r>
                              <w:rPr>
                                <w:rFonts w:ascii="楷体" w:eastAsia="楷体" w:hAnsi="楷体" w:cs="Arial" w:hint="eastAsia"/>
                                <w:b/>
                                <w:sz w:val="18"/>
                                <w:szCs w:val="16"/>
                              </w:rPr>
                              <w:t>23</w:t>
                            </w:r>
                          </w:p>
                        </w:tc>
                      </w:tr>
                      <w:tr w:rsidR="00FE427A" w:rsidRPr="0032491D" w:rsidTr="00FC5199">
                        <w:trPr>
                          <w:cantSplit/>
                          <w:trHeight w:val="2023"/>
                        </w:trPr>
                        <w:tc>
                          <w:tcPr>
                            <w:tcW w:w="2899" w:type="dxa"/>
                            <w:tcBorders>
                              <w:top w:val="single" w:sz="4" w:space="0" w:color="auto"/>
                              <w:bottom w:val="single" w:sz="4" w:space="0" w:color="auto"/>
                            </w:tcBorders>
                            <w:shd w:val="clear" w:color="auto" w:fill="F0EAC6"/>
                          </w:tcPr>
                          <w:p w:rsidR="00FE427A" w:rsidRDefault="00FE427A" w:rsidP="00FC5199">
                            <w:pPr>
                              <w:rPr>
                                <w:rFonts w:ascii="楷体" w:eastAsia="楷体" w:hAnsi="楷体"/>
                              </w:rPr>
                            </w:pPr>
                          </w:p>
                          <w:p w:rsidR="00FE427A" w:rsidRPr="0032491D" w:rsidRDefault="00FE427A" w:rsidP="00FC5199">
                            <w:pPr>
                              <w:rPr>
                                <w:rFonts w:ascii="楷体" w:eastAsia="楷体" w:hAnsi="楷体" w:cs="Arial"/>
                                <w:b/>
                                <w:sz w:val="18"/>
                                <w:szCs w:val="16"/>
                              </w:rPr>
                            </w:pPr>
                            <w:r w:rsidRPr="0032491D">
                              <w:rPr>
                                <w:rFonts w:ascii="楷体" w:eastAsia="楷体" w:hAnsi="楷体" w:cs="Arial" w:hint="eastAsia"/>
                                <w:b/>
                                <w:sz w:val="18"/>
                                <w:szCs w:val="16"/>
                              </w:rPr>
                              <w:t>高级分析师：</w:t>
                            </w:r>
                            <w:proofErr w:type="gramStart"/>
                            <w:r w:rsidRPr="0032491D">
                              <w:rPr>
                                <w:rFonts w:ascii="楷体" w:eastAsia="楷体" w:hAnsi="楷体" w:cs="Arial" w:hint="eastAsia"/>
                                <w:b/>
                                <w:sz w:val="18"/>
                                <w:szCs w:val="16"/>
                              </w:rPr>
                              <w:t>桑柳玉</w:t>
                            </w:r>
                            <w:proofErr w:type="gramEnd"/>
                          </w:p>
                          <w:p w:rsidR="00FE427A" w:rsidRPr="0032491D" w:rsidRDefault="00FE427A" w:rsidP="00FC5199">
                            <w:pPr>
                              <w:rPr>
                                <w:rFonts w:ascii="楷体" w:eastAsia="楷体" w:hAnsi="楷体" w:cs="Arial"/>
                                <w:sz w:val="18"/>
                                <w:szCs w:val="16"/>
                              </w:rPr>
                            </w:pPr>
                            <w:r w:rsidRPr="0032491D">
                              <w:rPr>
                                <w:rFonts w:ascii="楷体" w:eastAsia="楷体" w:hAnsi="楷体" w:cs="Arial" w:hint="eastAsia"/>
                                <w:sz w:val="18"/>
                                <w:szCs w:val="16"/>
                              </w:rPr>
                              <w:t>Email：sangly@vstone.com.cn</w:t>
                            </w:r>
                          </w:p>
                          <w:p w:rsidR="00FE427A" w:rsidRPr="0032491D" w:rsidRDefault="00FE427A" w:rsidP="00FC5199">
                            <w:pPr>
                              <w:ind w:firstLineChars="50" w:firstLine="80"/>
                              <w:rPr>
                                <w:rFonts w:ascii="楷体" w:eastAsia="楷体" w:hAnsi="楷体" w:cs="Arial"/>
                                <w:sz w:val="16"/>
                                <w:szCs w:val="16"/>
                              </w:rPr>
                            </w:pPr>
                          </w:p>
                          <w:p w:rsidR="00FE427A" w:rsidRPr="0032491D" w:rsidRDefault="00FE427A" w:rsidP="00FC5199">
                            <w:pPr>
                              <w:rPr>
                                <w:rFonts w:ascii="楷体" w:eastAsia="楷体" w:hAnsi="楷体" w:cs="Arial"/>
                                <w:b/>
                                <w:sz w:val="18"/>
                                <w:szCs w:val="16"/>
                              </w:rPr>
                            </w:pPr>
                            <w:r w:rsidRPr="0032491D">
                              <w:rPr>
                                <w:rFonts w:ascii="楷体" w:eastAsia="楷体" w:hAnsi="楷体" w:cs="Arial" w:hint="eastAsia"/>
                                <w:b/>
                                <w:sz w:val="18"/>
                                <w:szCs w:val="16"/>
                              </w:rPr>
                              <w:t>分析师：俞辰瑶</w:t>
                            </w:r>
                          </w:p>
                          <w:p w:rsidR="00FE427A" w:rsidRPr="0032491D" w:rsidRDefault="00FE427A" w:rsidP="00FC5199">
                            <w:pPr>
                              <w:rPr>
                                <w:rFonts w:ascii="楷体" w:eastAsia="楷体" w:hAnsi="楷体" w:cs="Arial"/>
                                <w:sz w:val="18"/>
                                <w:szCs w:val="16"/>
                              </w:rPr>
                            </w:pPr>
                            <w:r w:rsidRPr="0032491D">
                              <w:rPr>
                                <w:rFonts w:ascii="楷体" w:eastAsia="楷体" w:hAnsi="楷体" w:cs="Arial" w:hint="eastAsia"/>
                                <w:sz w:val="18"/>
                                <w:szCs w:val="16"/>
                              </w:rPr>
                              <w:t>Email：yucy@vstone.com.cn</w:t>
                            </w:r>
                          </w:p>
                          <w:p w:rsidR="00FE427A" w:rsidRPr="0032491D" w:rsidRDefault="00FE427A" w:rsidP="00FC5199">
                            <w:pPr>
                              <w:rPr>
                                <w:rFonts w:ascii="楷体" w:eastAsia="楷体" w:hAnsi="楷体" w:cs="Arial"/>
                                <w:sz w:val="16"/>
                                <w:szCs w:val="16"/>
                              </w:rPr>
                            </w:pPr>
                          </w:p>
                        </w:tc>
                      </w:tr>
                      <w:tr w:rsidR="00FE427A" w:rsidRPr="0032491D" w:rsidTr="00FC5199">
                        <w:trPr>
                          <w:cantSplit/>
                          <w:trHeight w:val="10189"/>
                        </w:trPr>
                        <w:tc>
                          <w:tcPr>
                            <w:tcW w:w="2899" w:type="dxa"/>
                            <w:tcBorders>
                              <w:top w:val="single" w:sz="4" w:space="0" w:color="auto"/>
                            </w:tcBorders>
                            <w:shd w:val="clear" w:color="auto" w:fill="F0EAC6"/>
                          </w:tcPr>
                          <w:p w:rsidR="00FE427A" w:rsidRPr="0032491D" w:rsidRDefault="00FE427A" w:rsidP="00FC5199">
                            <w:pPr>
                              <w:rPr>
                                <w:rFonts w:ascii="楷体" w:eastAsia="楷体" w:hAnsi="楷体" w:cs="Arial"/>
                                <w:b/>
                                <w:sz w:val="18"/>
                                <w:szCs w:val="16"/>
                              </w:rPr>
                            </w:pPr>
                          </w:p>
                          <w:p w:rsidR="00FE427A" w:rsidRPr="0032491D" w:rsidRDefault="00FE427A" w:rsidP="00FC5199">
                            <w:pPr>
                              <w:rPr>
                                <w:rFonts w:ascii="楷体" w:eastAsia="楷体" w:hAnsi="楷体" w:cs="Arial"/>
                                <w:b/>
                                <w:sz w:val="18"/>
                                <w:szCs w:val="16"/>
                              </w:rPr>
                            </w:pPr>
                            <w:r w:rsidRPr="0032491D">
                              <w:rPr>
                                <w:rFonts w:ascii="楷体" w:eastAsia="楷体" w:hAnsi="楷体" w:cs="Arial" w:hint="eastAsia"/>
                                <w:b/>
                                <w:sz w:val="18"/>
                                <w:szCs w:val="16"/>
                              </w:rPr>
                              <w:t>相关报告</w:t>
                            </w:r>
                          </w:p>
                          <w:p w:rsidR="00FE427A" w:rsidRPr="0032491D" w:rsidRDefault="00FE427A" w:rsidP="00FC5199">
                            <w:pPr>
                              <w:rPr>
                                <w:rFonts w:ascii="楷体" w:eastAsia="楷体" w:hAnsi="楷体" w:cs="Arial"/>
                                <w:sz w:val="18"/>
                                <w:szCs w:val="16"/>
                              </w:rPr>
                            </w:pPr>
                          </w:p>
                        </w:tc>
                      </w:tr>
                    </w:tbl>
                    <w:p w:rsidR="00FE427A" w:rsidRPr="004071E8" w:rsidRDefault="00FE427A" w:rsidP="0053273E">
                      <w:pPr>
                        <w:rPr>
                          <w:rFonts w:ascii="楷体_GB2312"/>
                        </w:rPr>
                      </w:pPr>
                    </w:p>
                  </w:txbxContent>
                </v:textbox>
              </v:shape>
            </w:pict>
          </mc:Fallback>
        </mc:AlternateContent>
      </w:r>
      <w:r w:rsidRPr="0032491D">
        <w:rPr>
          <w:rFonts w:ascii="楷体" w:eastAsia="楷体" w:hAnsi="楷体" w:cs="Arial" w:hint="eastAsia"/>
          <w:b/>
        </w:rPr>
        <w:t>。</w:t>
      </w:r>
      <w:bookmarkStart w:id="0" w:name="_GoBack"/>
      <w:bookmarkEnd w:id="0"/>
    </w:p>
    <w:p w:rsidR="0053273E" w:rsidRPr="0032491D" w:rsidRDefault="0053273E" w:rsidP="0053273E">
      <w:pPr>
        <w:pStyle w:val="a6"/>
        <w:numPr>
          <w:ilvl w:val="0"/>
          <w:numId w:val="1"/>
        </w:numPr>
        <w:ind w:firstLineChars="0"/>
        <w:rPr>
          <w:rFonts w:ascii="楷体" w:eastAsia="楷体" w:hAnsi="楷体" w:cs="Arial"/>
          <w:b/>
          <w:color w:val="996600"/>
          <w:sz w:val="32"/>
          <w:szCs w:val="28"/>
        </w:rPr>
      </w:pPr>
      <w:bookmarkStart w:id="1" w:name="_Toc431285223"/>
      <w:r w:rsidRPr="0032491D">
        <w:rPr>
          <w:rFonts w:ascii="楷体" w:eastAsia="楷体" w:hAnsi="楷体" w:cs="Arial"/>
          <w:noProof/>
          <w:sz w:val="20"/>
          <w:szCs w:val="20"/>
        </w:rPr>
        <w:lastRenderedPageBreak/>
        <mc:AlternateContent>
          <mc:Choice Requires="wps">
            <w:drawing>
              <wp:anchor distT="0" distB="0" distL="0" distR="0" simplePos="0" relativeHeight="251660288" behindDoc="0" locked="0" layoutInCell="1" allowOverlap="0" wp14:anchorId="25E24DE3" wp14:editId="75D2C684">
                <wp:simplePos x="0" y="0"/>
                <wp:positionH relativeFrom="page">
                  <wp:posOffset>327804</wp:posOffset>
                </wp:positionH>
                <wp:positionV relativeFrom="paragraph">
                  <wp:posOffset>31295</wp:posOffset>
                </wp:positionV>
                <wp:extent cx="2441051" cy="8816196"/>
                <wp:effectExtent l="0" t="0" r="0" b="444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051" cy="8816196"/>
                        </a:xfrm>
                        <a:prstGeom prst="rect">
                          <a:avLst/>
                        </a:prstGeom>
                        <a:solidFill>
                          <a:srgbClr val="FFFFFF"/>
                        </a:solidFill>
                        <a:ln w="9525">
                          <a:noFill/>
                          <a:miter lim="800000"/>
                          <a:headEnd/>
                          <a:tailEnd/>
                        </a:ln>
                      </wps:spPr>
                      <wps:txbx>
                        <w:txbxContent>
                          <w:tbl>
                            <w:tblPr>
                              <w:tblW w:w="3538" w:type="dxa"/>
                              <w:tblLayout w:type="fixed"/>
                              <w:tblLook w:val="04A0" w:firstRow="1" w:lastRow="0" w:firstColumn="1" w:lastColumn="0" w:noHBand="0" w:noVBand="1"/>
                            </w:tblPr>
                            <w:tblGrid>
                              <w:gridCol w:w="1276"/>
                              <w:gridCol w:w="142"/>
                              <w:gridCol w:w="986"/>
                              <w:gridCol w:w="1134"/>
                            </w:tblGrid>
                            <w:tr w:rsidR="00FE427A" w:rsidRPr="00A64D32" w:rsidTr="00FC5199">
                              <w:trPr>
                                <w:trHeight w:val="417"/>
                              </w:trPr>
                              <w:tc>
                                <w:tcPr>
                                  <w:tcW w:w="1276" w:type="dxa"/>
                                  <w:tcBorders>
                                    <w:top w:val="single" w:sz="8" w:space="0" w:color="000000"/>
                                    <w:bottom w:val="single" w:sz="8" w:space="0" w:color="000000"/>
                                    <w:right w:val="nil"/>
                                  </w:tcBorders>
                                  <w:shd w:val="clear" w:color="F79646" w:fill="F79646"/>
                                  <w:vAlign w:val="center"/>
                                  <w:hideMark/>
                                </w:tcPr>
                                <w:p w:rsidR="00FE427A" w:rsidRPr="00A64D32" w:rsidRDefault="00FE427A"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FE427A" w:rsidRPr="00A64D32" w:rsidRDefault="00FE427A" w:rsidP="009736C2">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16</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22</w:t>
                                  </w:r>
                                </w:p>
                              </w:tc>
                            </w:tr>
                            <w:tr w:rsidR="00FE427A" w:rsidRPr="00A64D32" w:rsidTr="00FC5199">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FE427A" w:rsidRPr="003175BA" w:rsidRDefault="00FE427A"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FE427A" w:rsidRPr="003175BA" w:rsidRDefault="00FE427A"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FE427A" w:rsidRPr="003175BA" w:rsidRDefault="00FE427A"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E427A"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3F211B" w:rsidRDefault="00FE427A"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2825.48</w:t>
                                  </w:r>
                                </w:p>
                              </w:tc>
                              <w:tc>
                                <w:tcPr>
                                  <w:tcW w:w="1134" w:type="dxa"/>
                                  <w:tcBorders>
                                    <w:top w:val="nil"/>
                                    <w:left w:val="nil"/>
                                    <w:bottom w:val="single" w:sz="8" w:space="0" w:color="000000"/>
                                    <w:right w:val="nil"/>
                                  </w:tcBorders>
                                  <w:shd w:val="clear" w:color="D9D9D9" w:fill="D9D9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-0.06</w:t>
                                  </w:r>
                                </w:p>
                              </w:tc>
                            </w:tr>
                            <w:tr w:rsidR="00FE427A" w:rsidRPr="00A64D32" w:rsidTr="00FC5199">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E427A" w:rsidRPr="003F211B" w:rsidRDefault="00FE427A"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3078.22</w:t>
                                  </w:r>
                                </w:p>
                              </w:tc>
                              <w:tc>
                                <w:tcPr>
                                  <w:tcW w:w="1134" w:type="dxa"/>
                                  <w:tcBorders>
                                    <w:top w:val="nil"/>
                                    <w:left w:val="nil"/>
                                    <w:bottom w:val="single" w:sz="8" w:space="0" w:color="000000"/>
                                    <w:right w:val="nil"/>
                                  </w:tcBorders>
                                  <w:shd w:val="clear" w:color="auto" w:fill="auto"/>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FE427A"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3F211B" w:rsidRDefault="00FE427A"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6433.56</w:t>
                                  </w:r>
                                </w:p>
                              </w:tc>
                              <w:tc>
                                <w:tcPr>
                                  <w:tcW w:w="1134" w:type="dxa"/>
                                  <w:tcBorders>
                                    <w:top w:val="nil"/>
                                    <w:left w:val="nil"/>
                                    <w:bottom w:val="single" w:sz="8" w:space="0" w:color="000000"/>
                                    <w:right w:val="nil"/>
                                  </w:tcBorders>
                                  <w:shd w:val="clear" w:color="D9D9D9" w:fill="D9D9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0.55</w:t>
                                  </w:r>
                                </w:p>
                              </w:tc>
                            </w:tr>
                            <w:tr w:rsidR="00FE427A" w:rsidRPr="00A64D32" w:rsidTr="00FC5199">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E427A" w:rsidRPr="003F211B" w:rsidRDefault="00FE427A"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2065.30</w:t>
                                  </w:r>
                                </w:p>
                              </w:tc>
                              <w:tc>
                                <w:tcPr>
                                  <w:tcW w:w="1134" w:type="dxa"/>
                                  <w:tcBorders>
                                    <w:top w:val="nil"/>
                                    <w:left w:val="nil"/>
                                    <w:bottom w:val="single" w:sz="8" w:space="0" w:color="000000"/>
                                    <w:right w:val="nil"/>
                                  </w:tcBorders>
                                  <w:shd w:val="clear" w:color="auto" w:fill="auto"/>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1.98</w:t>
                                  </w:r>
                                </w:p>
                              </w:tc>
                            </w:tr>
                            <w:tr w:rsidR="00FE427A"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3F211B" w:rsidRDefault="00FE427A" w:rsidP="00FC5199">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118.62</w:t>
                                  </w:r>
                                </w:p>
                              </w:tc>
                              <w:tc>
                                <w:tcPr>
                                  <w:tcW w:w="1134" w:type="dxa"/>
                                  <w:tcBorders>
                                    <w:top w:val="nil"/>
                                    <w:left w:val="nil"/>
                                    <w:bottom w:val="single" w:sz="8" w:space="0" w:color="000000"/>
                                    <w:right w:val="nil"/>
                                  </w:tcBorders>
                                  <w:shd w:val="clear" w:color="D9D9D9" w:fill="D9D9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-0.27</w:t>
                                  </w:r>
                                </w:p>
                              </w:tc>
                            </w:tr>
                            <w:tr w:rsidR="00FE427A" w:rsidRPr="00A64D32" w:rsidTr="00FC5199">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FE427A" w:rsidRPr="003F211B" w:rsidRDefault="00FE427A" w:rsidP="00FC5199">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91.54</w:t>
                                  </w:r>
                                </w:p>
                              </w:tc>
                              <w:tc>
                                <w:tcPr>
                                  <w:tcW w:w="1134" w:type="dxa"/>
                                  <w:tcBorders>
                                    <w:top w:val="single" w:sz="8" w:space="0" w:color="000000"/>
                                    <w:left w:val="nil"/>
                                    <w:bottom w:val="single" w:sz="8" w:space="0" w:color="000000"/>
                                    <w:right w:val="nil"/>
                                  </w:tcBorders>
                                  <w:shd w:val="clear" w:color="D9D9D9"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-0.18</w:t>
                                  </w:r>
                                </w:p>
                              </w:tc>
                            </w:tr>
                            <w:tr w:rsidR="00FE427A" w:rsidRPr="00A64D32" w:rsidTr="00FC5199">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FE427A" w:rsidRPr="003F211B" w:rsidRDefault="00FE427A" w:rsidP="00FC5199">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119.82</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-0.31</w:t>
                                  </w:r>
                                </w:p>
                              </w:tc>
                            </w:tr>
                            <w:tr w:rsidR="00FE427A" w:rsidRPr="00A64D32" w:rsidTr="00FC5199">
                              <w:trPr>
                                <w:trHeight w:val="435"/>
                              </w:trPr>
                              <w:tc>
                                <w:tcPr>
                                  <w:tcW w:w="1276" w:type="dxa"/>
                                  <w:tcBorders>
                                    <w:top w:val="single" w:sz="8" w:space="0" w:color="000000"/>
                                    <w:bottom w:val="single" w:sz="8" w:space="0" w:color="000000"/>
                                    <w:right w:val="nil"/>
                                  </w:tcBorders>
                                  <w:shd w:val="clear" w:color="F79646" w:fill="F79646"/>
                                  <w:vAlign w:val="center"/>
                                  <w:hideMark/>
                                </w:tcPr>
                                <w:p w:rsidR="00FE427A" w:rsidRPr="00A64D32" w:rsidRDefault="00FE427A"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E427A" w:rsidRPr="00A64D32" w:rsidRDefault="00FE427A" w:rsidP="00F63767">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16</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22</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tcPr>
                                <w:p w:rsidR="00FE427A" w:rsidRPr="003175BA" w:rsidRDefault="00FE427A"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E427A" w:rsidRPr="003175BA" w:rsidRDefault="00FE427A"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E427A" w:rsidRPr="003175BA" w:rsidRDefault="00FE427A"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100</w:t>
                                  </w:r>
                                </w:p>
                              </w:tc>
                              <w:tc>
                                <w:tcPr>
                                  <w:tcW w:w="986" w:type="dxa"/>
                                  <w:tcBorders>
                                    <w:top w:val="nil"/>
                                    <w:left w:val="nil"/>
                                    <w:bottom w:val="single" w:sz="8" w:space="0" w:color="000000"/>
                                    <w:right w:val="single" w:sz="8" w:space="0" w:color="000000"/>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4362.90</w:t>
                                  </w:r>
                                </w:p>
                              </w:tc>
                              <w:tc>
                                <w:tcPr>
                                  <w:tcW w:w="1134" w:type="dxa"/>
                                  <w:tcBorders>
                                    <w:top w:val="nil"/>
                                    <w:left w:val="nil"/>
                                    <w:bottom w:val="single" w:sz="8" w:space="0" w:color="000000"/>
                                    <w:right w:val="nil"/>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0.84</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E427A" w:rsidRPr="00A64D32" w:rsidRDefault="00FE427A" w:rsidP="00FC5199">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2052.32</w:t>
                                  </w:r>
                                </w:p>
                              </w:tc>
                              <w:tc>
                                <w:tcPr>
                                  <w:tcW w:w="1134" w:type="dxa"/>
                                  <w:tcBorders>
                                    <w:top w:val="nil"/>
                                    <w:left w:val="nil"/>
                                    <w:bottom w:val="single" w:sz="8" w:space="0" w:color="000000"/>
                                    <w:right w:val="nil"/>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0.28</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A64D32" w:rsidRDefault="00FE427A" w:rsidP="00FC5199">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17500.94</w:t>
                                  </w:r>
                                </w:p>
                              </w:tc>
                              <w:tc>
                                <w:tcPr>
                                  <w:tcW w:w="1134" w:type="dxa"/>
                                  <w:tcBorders>
                                    <w:top w:val="nil"/>
                                    <w:left w:val="nil"/>
                                    <w:bottom w:val="single" w:sz="8" w:space="0" w:color="000000"/>
                                    <w:right w:val="nil"/>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-0.20</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19852.20</w:t>
                                  </w:r>
                                </w:p>
                              </w:tc>
                              <w:tc>
                                <w:tcPr>
                                  <w:tcW w:w="1134" w:type="dxa"/>
                                  <w:tcBorders>
                                    <w:top w:val="nil"/>
                                    <w:left w:val="nil"/>
                                    <w:bottom w:val="single" w:sz="8" w:space="0" w:color="000000"/>
                                    <w:right w:val="nil"/>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0.67</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16736.35</w:t>
                                  </w:r>
                                </w:p>
                              </w:tc>
                              <w:tc>
                                <w:tcPr>
                                  <w:tcW w:w="1134" w:type="dxa"/>
                                  <w:tcBorders>
                                    <w:top w:val="nil"/>
                                    <w:left w:val="nil"/>
                                    <w:bottom w:val="single" w:sz="8" w:space="0" w:color="000000"/>
                                    <w:right w:val="nil"/>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1.97</w:t>
                                  </w:r>
                                </w:p>
                              </w:tc>
                            </w:tr>
                            <w:tr w:rsidR="00FE427A" w:rsidRPr="00A64D32" w:rsidTr="00FC5199">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338.01</w:t>
                                  </w:r>
                                </w:p>
                              </w:tc>
                              <w:tc>
                                <w:tcPr>
                                  <w:tcW w:w="1134" w:type="dxa"/>
                                  <w:tcBorders>
                                    <w:top w:val="nil"/>
                                    <w:left w:val="nil"/>
                                    <w:bottom w:val="single" w:sz="8" w:space="0" w:color="auto"/>
                                    <w:right w:val="nil"/>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0.99</w:t>
                                  </w:r>
                                </w:p>
                              </w:tc>
                            </w:tr>
                            <w:tr w:rsidR="00FE427A" w:rsidRPr="00A64D32" w:rsidTr="00FC5199">
                              <w:trPr>
                                <w:trHeight w:val="435"/>
                              </w:trPr>
                              <w:tc>
                                <w:tcPr>
                                  <w:tcW w:w="1276" w:type="dxa"/>
                                  <w:tcBorders>
                                    <w:top w:val="single" w:sz="8" w:space="0" w:color="000000"/>
                                    <w:bottom w:val="single" w:sz="8" w:space="0" w:color="000000"/>
                                    <w:right w:val="nil"/>
                                  </w:tcBorders>
                                  <w:shd w:val="clear" w:color="F79646" w:fill="F79646"/>
                                  <w:vAlign w:val="center"/>
                                  <w:hideMark/>
                                </w:tcPr>
                                <w:p w:rsidR="00FE427A" w:rsidRPr="00A64D32" w:rsidRDefault="00FE427A"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E427A" w:rsidRPr="00A64D32" w:rsidRDefault="00FE427A" w:rsidP="00F63767">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16</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22</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tcPr>
                                <w:p w:rsidR="00FE427A" w:rsidRPr="003175BA" w:rsidRDefault="00FE427A"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E427A" w:rsidRPr="003175BA" w:rsidRDefault="00FE427A"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E427A" w:rsidRPr="003175BA" w:rsidRDefault="00FE427A"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95.30</w:t>
                                  </w:r>
                                </w:p>
                              </w:tc>
                              <w:tc>
                                <w:tcPr>
                                  <w:tcW w:w="1134" w:type="dxa"/>
                                  <w:tcBorders>
                                    <w:top w:val="nil"/>
                                    <w:left w:val="nil"/>
                                    <w:bottom w:val="single" w:sz="8" w:space="0" w:color="000000"/>
                                    <w:right w:val="nil"/>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0.72</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120.18</w:t>
                                  </w:r>
                                </w:p>
                              </w:tc>
                              <w:tc>
                                <w:tcPr>
                                  <w:tcW w:w="1134" w:type="dxa"/>
                                  <w:tcBorders>
                                    <w:top w:val="nil"/>
                                    <w:left w:val="nil"/>
                                    <w:bottom w:val="single" w:sz="8" w:space="0" w:color="000000"/>
                                    <w:right w:val="nil"/>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0.10</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1252.90</w:t>
                                  </w:r>
                                </w:p>
                              </w:tc>
                              <w:tc>
                                <w:tcPr>
                                  <w:tcW w:w="1134" w:type="dxa"/>
                                  <w:tcBorders>
                                    <w:top w:val="nil"/>
                                    <w:left w:val="nil"/>
                                    <w:bottom w:val="single" w:sz="8" w:space="0" w:color="000000"/>
                                    <w:right w:val="nil"/>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-1.68</w:t>
                                  </w:r>
                                </w:p>
                              </w:tc>
                            </w:tr>
                            <w:tr w:rsidR="00FE427A" w:rsidRPr="00A64D32" w:rsidTr="00FC5199">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48.48</w:t>
                                  </w:r>
                                </w:p>
                              </w:tc>
                              <w:tc>
                                <w:tcPr>
                                  <w:tcW w:w="1134" w:type="dxa"/>
                                  <w:tcBorders>
                                    <w:top w:val="nil"/>
                                    <w:left w:val="nil"/>
                                    <w:bottom w:val="single" w:sz="8" w:space="0" w:color="auto"/>
                                    <w:right w:val="nil"/>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4.81</w:t>
                                  </w:r>
                                </w:p>
                              </w:tc>
                            </w:tr>
                          </w:tbl>
                          <w:p w:rsidR="00FE427A" w:rsidRPr="00AD43BA" w:rsidRDefault="00FE427A"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FE427A" w:rsidRPr="00A64D32" w:rsidTr="00FC5199">
                              <w:trPr>
                                <w:trHeight w:val="435"/>
                                <w:jc w:val="center"/>
                              </w:trPr>
                              <w:tc>
                                <w:tcPr>
                                  <w:tcW w:w="3494" w:type="dxa"/>
                                  <w:tcBorders>
                                    <w:left w:val="nil"/>
                                    <w:right w:val="nil"/>
                                  </w:tcBorders>
                                  <w:shd w:val="clear" w:color="F79646" w:fill="F79646"/>
                                  <w:vAlign w:val="center"/>
                                  <w:hideMark/>
                                </w:tcPr>
                                <w:p w:rsidR="00FE427A" w:rsidRDefault="00FE427A" w:rsidP="00F63767">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1147F2">
                                    <w:rPr>
                                      <w:rFonts w:ascii="Arial" w:cs="Arial"/>
                                      <w:b/>
                                      <w:sz w:val="16"/>
                                      <w:szCs w:val="16"/>
                                    </w:rPr>
                                    <w:t>2016.0</w:t>
                                  </w:r>
                                  <w:r>
                                    <w:rPr>
                                      <w:rFonts w:ascii="Arial" w:cs="Arial" w:hint="eastAsia"/>
                                      <w:b/>
                                      <w:sz w:val="16"/>
                                      <w:szCs w:val="16"/>
                                    </w:rPr>
                                    <w:t>5</w:t>
                                  </w:r>
                                  <w:r w:rsidRPr="001147F2">
                                    <w:rPr>
                                      <w:rFonts w:ascii="Arial" w:cs="Arial"/>
                                      <w:b/>
                                      <w:sz w:val="16"/>
                                      <w:szCs w:val="16"/>
                                    </w:rPr>
                                    <w:t>.</w:t>
                                  </w:r>
                                  <w:r>
                                    <w:rPr>
                                      <w:rFonts w:ascii="Arial" w:cs="Arial" w:hint="eastAsia"/>
                                      <w:b/>
                                      <w:sz w:val="16"/>
                                      <w:szCs w:val="16"/>
                                    </w:rPr>
                                    <w:t>16</w:t>
                                  </w:r>
                                  <w:r w:rsidRPr="001147F2">
                                    <w:rPr>
                                      <w:rFonts w:ascii="Arial" w:cs="Arial"/>
                                      <w:b/>
                                      <w:sz w:val="16"/>
                                      <w:szCs w:val="16"/>
                                    </w:rPr>
                                    <w:t>-2016.0</w:t>
                                  </w:r>
                                  <w:r>
                                    <w:rPr>
                                      <w:rFonts w:ascii="Arial" w:cs="Arial" w:hint="eastAsia"/>
                                      <w:b/>
                                      <w:sz w:val="16"/>
                                      <w:szCs w:val="16"/>
                                    </w:rPr>
                                    <w:t>5.22</w:t>
                                  </w:r>
                                </w:p>
                              </w:tc>
                            </w:tr>
                            <w:tr w:rsidR="00FE427A" w:rsidRPr="00A64D32" w:rsidTr="00AB718A">
                              <w:trPr>
                                <w:trHeight w:val="2474"/>
                                <w:jc w:val="center"/>
                              </w:trPr>
                              <w:tc>
                                <w:tcPr>
                                  <w:tcW w:w="3494" w:type="dxa"/>
                                  <w:shd w:val="clear" w:color="auto" w:fill="auto"/>
                                  <w:vAlign w:val="center"/>
                                  <w:hideMark/>
                                </w:tcPr>
                                <w:p w:rsidR="00FE427A" w:rsidRPr="00A64D32" w:rsidRDefault="00FE427A" w:rsidP="00FC5199">
                                  <w:pPr>
                                    <w:widowControl/>
                                    <w:jc w:val="center"/>
                                    <w:rPr>
                                      <w:rFonts w:ascii="楷体" w:eastAsia="楷体" w:hAnsi="楷体" w:cs="宋体"/>
                                      <w:color w:val="000000"/>
                                      <w:kern w:val="0"/>
                                      <w:sz w:val="16"/>
                                      <w:szCs w:val="16"/>
                                    </w:rPr>
                                  </w:pPr>
                                  <w:r>
                                    <w:rPr>
                                      <w:noProof/>
                                    </w:rPr>
                                    <w:drawing>
                                      <wp:inline distT="0" distB="0" distL="0" distR="0" wp14:anchorId="676A4238" wp14:editId="00E9FDEB">
                                        <wp:extent cx="2044460" cy="3554083"/>
                                        <wp:effectExtent l="0" t="0" r="13335" b="2794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FE427A" w:rsidRPr="00BC1770" w:rsidRDefault="00FE427A"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5.8pt;margin-top:2.45pt;width:192.2pt;height:694.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" o:allowoverlap="f" stroked="f">
                <v:textbox>
                  <w:txbxContent>
                    <w:tbl>
                      <w:tblPr>
                        <w:tblW w:w="3538" w:type="dxa"/>
                        <w:tblLayout w:type="fixed"/>
                        <w:tblLook w:val="04A0" w:firstRow="1" w:lastRow="0" w:firstColumn="1" w:lastColumn="0" w:noHBand="0" w:noVBand="1"/>
                      </w:tblPr>
                      <w:tblGrid>
                        <w:gridCol w:w="1276"/>
                        <w:gridCol w:w="142"/>
                        <w:gridCol w:w="986"/>
                        <w:gridCol w:w="1134"/>
                      </w:tblGrid>
                      <w:tr w:rsidR="00FE427A" w:rsidRPr="00A64D32" w:rsidTr="00FC5199">
                        <w:trPr>
                          <w:trHeight w:val="417"/>
                        </w:trPr>
                        <w:tc>
                          <w:tcPr>
                            <w:tcW w:w="1276" w:type="dxa"/>
                            <w:tcBorders>
                              <w:top w:val="single" w:sz="8" w:space="0" w:color="000000"/>
                              <w:bottom w:val="single" w:sz="8" w:space="0" w:color="000000"/>
                              <w:right w:val="nil"/>
                            </w:tcBorders>
                            <w:shd w:val="clear" w:color="F79646" w:fill="F79646"/>
                            <w:vAlign w:val="center"/>
                            <w:hideMark/>
                          </w:tcPr>
                          <w:p w:rsidR="00FE427A" w:rsidRPr="00A64D32" w:rsidRDefault="00FE427A"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FE427A" w:rsidRPr="00A64D32" w:rsidRDefault="00FE427A" w:rsidP="009736C2">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16</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22</w:t>
                            </w:r>
                          </w:p>
                        </w:tc>
                      </w:tr>
                      <w:tr w:rsidR="00FE427A" w:rsidRPr="00A64D32" w:rsidTr="00FC5199">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FE427A" w:rsidRPr="003175BA" w:rsidRDefault="00FE427A"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FE427A" w:rsidRPr="003175BA" w:rsidRDefault="00FE427A"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FE427A" w:rsidRPr="003175BA" w:rsidRDefault="00FE427A"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E427A"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3F211B" w:rsidRDefault="00FE427A"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2825.48</w:t>
                            </w:r>
                          </w:p>
                        </w:tc>
                        <w:tc>
                          <w:tcPr>
                            <w:tcW w:w="1134" w:type="dxa"/>
                            <w:tcBorders>
                              <w:top w:val="nil"/>
                              <w:left w:val="nil"/>
                              <w:bottom w:val="single" w:sz="8" w:space="0" w:color="000000"/>
                              <w:right w:val="nil"/>
                            </w:tcBorders>
                            <w:shd w:val="clear" w:color="D9D9D9" w:fill="D9D9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-0.06</w:t>
                            </w:r>
                          </w:p>
                        </w:tc>
                      </w:tr>
                      <w:tr w:rsidR="00FE427A" w:rsidRPr="00A64D32" w:rsidTr="00FC5199">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E427A" w:rsidRPr="003F211B" w:rsidRDefault="00FE427A"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3078.22</w:t>
                            </w:r>
                          </w:p>
                        </w:tc>
                        <w:tc>
                          <w:tcPr>
                            <w:tcW w:w="1134" w:type="dxa"/>
                            <w:tcBorders>
                              <w:top w:val="nil"/>
                              <w:left w:val="nil"/>
                              <w:bottom w:val="single" w:sz="8" w:space="0" w:color="000000"/>
                              <w:right w:val="nil"/>
                            </w:tcBorders>
                            <w:shd w:val="clear" w:color="auto" w:fill="auto"/>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FE427A"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3F211B" w:rsidRDefault="00FE427A"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6433.56</w:t>
                            </w:r>
                          </w:p>
                        </w:tc>
                        <w:tc>
                          <w:tcPr>
                            <w:tcW w:w="1134" w:type="dxa"/>
                            <w:tcBorders>
                              <w:top w:val="nil"/>
                              <w:left w:val="nil"/>
                              <w:bottom w:val="single" w:sz="8" w:space="0" w:color="000000"/>
                              <w:right w:val="nil"/>
                            </w:tcBorders>
                            <w:shd w:val="clear" w:color="D9D9D9" w:fill="D9D9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0.55</w:t>
                            </w:r>
                          </w:p>
                        </w:tc>
                      </w:tr>
                      <w:tr w:rsidR="00FE427A" w:rsidRPr="00A64D32" w:rsidTr="00FC5199">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E427A" w:rsidRPr="003F211B" w:rsidRDefault="00FE427A"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2065.30</w:t>
                            </w:r>
                          </w:p>
                        </w:tc>
                        <w:tc>
                          <w:tcPr>
                            <w:tcW w:w="1134" w:type="dxa"/>
                            <w:tcBorders>
                              <w:top w:val="nil"/>
                              <w:left w:val="nil"/>
                              <w:bottom w:val="single" w:sz="8" w:space="0" w:color="000000"/>
                              <w:right w:val="nil"/>
                            </w:tcBorders>
                            <w:shd w:val="clear" w:color="auto" w:fill="auto"/>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1.98</w:t>
                            </w:r>
                          </w:p>
                        </w:tc>
                      </w:tr>
                      <w:tr w:rsidR="00FE427A"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3F211B" w:rsidRDefault="00FE427A" w:rsidP="00FC5199">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118.62</w:t>
                            </w:r>
                          </w:p>
                        </w:tc>
                        <w:tc>
                          <w:tcPr>
                            <w:tcW w:w="1134" w:type="dxa"/>
                            <w:tcBorders>
                              <w:top w:val="nil"/>
                              <w:left w:val="nil"/>
                              <w:bottom w:val="single" w:sz="8" w:space="0" w:color="000000"/>
                              <w:right w:val="nil"/>
                            </w:tcBorders>
                            <w:shd w:val="clear" w:color="D9D9D9" w:fill="D9D9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-0.27</w:t>
                            </w:r>
                          </w:p>
                        </w:tc>
                      </w:tr>
                      <w:tr w:rsidR="00FE427A" w:rsidRPr="00A64D32" w:rsidTr="00FC5199">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FE427A" w:rsidRPr="003F211B" w:rsidRDefault="00FE427A" w:rsidP="00FC5199">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91.54</w:t>
                            </w:r>
                          </w:p>
                        </w:tc>
                        <w:tc>
                          <w:tcPr>
                            <w:tcW w:w="1134" w:type="dxa"/>
                            <w:tcBorders>
                              <w:top w:val="single" w:sz="8" w:space="0" w:color="000000"/>
                              <w:left w:val="nil"/>
                              <w:bottom w:val="single" w:sz="8" w:space="0" w:color="000000"/>
                              <w:right w:val="nil"/>
                            </w:tcBorders>
                            <w:shd w:val="clear" w:color="D9D9D9"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-0.18</w:t>
                            </w:r>
                          </w:p>
                        </w:tc>
                      </w:tr>
                      <w:tr w:rsidR="00FE427A" w:rsidRPr="00A64D32" w:rsidTr="00FC5199">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FE427A" w:rsidRPr="003F211B" w:rsidRDefault="00FE427A" w:rsidP="00FC5199">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119.82</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-0.31</w:t>
                            </w:r>
                          </w:p>
                        </w:tc>
                      </w:tr>
                      <w:tr w:rsidR="00FE427A" w:rsidRPr="00A64D32" w:rsidTr="00FC5199">
                        <w:trPr>
                          <w:trHeight w:val="435"/>
                        </w:trPr>
                        <w:tc>
                          <w:tcPr>
                            <w:tcW w:w="1276" w:type="dxa"/>
                            <w:tcBorders>
                              <w:top w:val="single" w:sz="8" w:space="0" w:color="000000"/>
                              <w:bottom w:val="single" w:sz="8" w:space="0" w:color="000000"/>
                              <w:right w:val="nil"/>
                            </w:tcBorders>
                            <w:shd w:val="clear" w:color="F79646" w:fill="F79646"/>
                            <w:vAlign w:val="center"/>
                            <w:hideMark/>
                          </w:tcPr>
                          <w:p w:rsidR="00FE427A" w:rsidRPr="00A64D32" w:rsidRDefault="00FE427A"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E427A" w:rsidRPr="00A64D32" w:rsidRDefault="00FE427A" w:rsidP="00F63767">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16</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22</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tcPr>
                          <w:p w:rsidR="00FE427A" w:rsidRPr="003175BA" w:rsidRDefault="00FE427A"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E427A" w:rsidRPr="003175BA" w:rsidRDefault="00FE427A"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E427A" w:rsidRPr="003175BA" w:rsidRDefault="00FE427A"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100</w:t>
                            </w:r>
                          </w:p>
                        </w:tc>
                        <w:tc>
                          <w:tcPr>
                            <w:tcW w:w="986" w:type="dxa"/>
                            <w:tcBorders>
                              <w:top w:val="nil"/>
                              <w:left w:val="nil"/>
                              <w:bottom w:val="single" w:sz="8" w:space="0" w:color="000000"/>
                              <w:right w:val="single" w:sz="8" w:space="0" w:color="000000"/>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4362.90</w:t>
                            </w:r>
                          </w:p>
                        </w:tc>
                        <w:tc>
                          <w:tcPr>
                            <w:tcW w:w="1134" w:type="dxa"/>
                            <w:tcBorders>
                              <w:top w:val="nil"/>
                              <w:left w:val="nil"/>
                              <w:bottom w:val="single" w:sz="8" w:space="0" w:color="000000"/>
                              <w:right w:val="nil"/>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0.84</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E427A" w:rsidRPr="00A64D32" w:rsidRDefault="00FE427A" w:rsidP="00FC5199">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2052.32</w:t>
                            </w:r>
                          </w:p>
                        </w:tc>
                        <w:tc>
                          <w:tcPr>
                            <w:tcW w:w="1134" w:type="dxa"/>
                            <w:tcBorders>
                              <w:top w:val="nil"/>
                              <w:left w:val="nil"/>
                              <w:bottom w:val="single" w:sz="8" w:space="0" w:color="000000"/>
                              <w:right w:val="nil"/>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0.28</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A64D32" w:rsidRDefault="00FE427A" w:rsidP="00FC5199">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17500.94</w:t>
                            </w:r>
                          </w:p>
                        </w:tc>
                        <w:tc>
                          <w:tcPr>
                            <w:tcW w:w="1134" w:type="dxa"/>
                            <w:tcBorders>
                              <w:top w:val="nil"/>
                              <w:left w:val="nil"/>
                              <w:bottom w:val="single" w:sz="8" w:space="0" w:color="000000"/>
                              <w:right w:val="nil"/>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-0.20</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19852.20</w:t>
                            </w:r>
                          </w:p>
                        </w:tc>
                        <w:tc>
                          <w:tcPr>
                            <w:tcW w:w="1134" w:type="dxa"/>
                            <w:tcBorders>
                              <w:top w:val="nil"/>
                              <w:left w:val="nil"/>
                              <w:bottom w:val="single" w:sz="8" w:space="0" w:color="000000"/>
                              <w:right w:val="nil"/>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0.67</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16736.35</w:t>
                            </w:r>
                          </w:p>
                        </w:tc>
                        <w:tc>
                          <w:tcPr>
                            <w:tcW w:w="1134" w:type="dxa"/>
                            <w:tcBorders>
                              <w:top w:val="nil"/>
                              <w:left w:val="nil"/>
                              <w:bottom w:val="single" w:sz="8" w:space="0" w:color="000000"/>
                              <w:right w:val="nil"/>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1.97</w:t>
                            </w:r>
                          </w:p>
                        </w:tc>
                      </w:tr>
                      <w:tr w:rsidR="00FE427A" w:rsidRPr="00A64D32" w:rsidTr="00FC5199">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338.01</w:t>
                            </w:r>
                          </w:p>
                        </w:tc>
                        <w:tc>
                          <w:tcPr>
                            <w:tcW w:w="1134" w:type="dxa"/>
                            <w:tcBorders>
                              <w:top w:val="nil"/>
                              <w:left w:val="nil"/>
                              <w:bottom w:val="single" w:sz="8" w:space="0" w:color="auto"/>
                              <w:right w:val="nil"/>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0.99</w:t>
                            </w:r>
                          </w:p>
                        </w:tc>
                      </w:tr>
                      <w:tr w:rsidR="00FE427A" w:rsidRPr="00A64D32" w:rsidTr="00FC5199">
                        <w:trPr>
                          <w:trHeight w:val="435"/>
                        </w:trPr>
                        <w:tc>
                          <w:tcPr>
                            <w:tcW w:w="1276" w:type="dxa"/>
                            <w:tcBorders>
                              <w:top w:val="single" w:sz="8" w:space="0" w:color="000000"/>
                              <w:bottom w:val="single" w:sz="8" w:space="0" w:color="000000"/>
                              <w:right w:val="nil"/>
                            </w:tcBorders>
                            <w:shd w:val="clear" w:color="F79646" w:fill="F79646"/>
                            <w:vAlign w:val="center"/>
                            <w:hideMark/>
                          </w:tcPr>
                          <w:p w:rsidR="00FE427A" w:rsidRPr="00A64D32" w:rsidRDefault="00FE427A"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E427A" w:rsidRPr="00A64D32" w:rsidRDefault="00FE427A" w:rsidP="00F63767">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16</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5</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22</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tcPr>
                          <w:p w:rsidR="00FE427A" w:rsidRPr="003175BA" w:rsidRDefault="00FE427A"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E427A" w:rsidRPr="003175BA" w:rsidRDefault="00FE427A"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E427A" w:rsidRPr="003175BA" w:rsidRDefault="00FE427A"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95.30</w:t>
                            </w:r>
                          </w:p>
                        </w:tc>
                        <w:tc>
                          <w:tcPr>
                            <w:tcW w:w="1134" w:type="dxa"/>
                            <w:tcBorders>
                              <w:top w:val="nil"/>
                              <w:left w:val="nil"/>
                              <w:bottom w:val="single" w:sz="8" w:space="0" w:color="000000"/>
                              <w:right w:val="nil"/>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0.72</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120.18</w:t>
                            </w:r>
                          </w:p>
                        </w:tc>
                        <w:tc>
                          <w:tcPr>
                            <w:tcW w:w="1134" w:type="dxa"/>
                            <w:tcBorders>
                              <w:top w:val="nil"/>
                              <w:left w:val="nil"/>
                              <w:bottom w:val="single" w:sz="8" w:space="0" w:color="000000"/>
                              <w:right w:val="nil"/>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0.10</w:t>
                            </w:r>
                          </w:p>
                        </w:tc>
                      </w:tr>
                      <w:tr w:rsidR="00FE427A"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1252.90</w:t>
                            </w:r>
                          </w:p>
                        </w:tc>
                        <w:tc>
                          <w:tcPr>
                            <w:tcW w:w="1134" w:type="dxa"/>
                            <w:tcBorders>
                              <w:top w:val="nil"/>
                              <w:left w:val="nil"/>
                              <w:bottom w:val="single" w:sz="8" w:space="0" w:color="000000"/>
                              <w:right w:val="nil"/>
                            </w:tcBorders>
                            <w:shd w:val="clear" w:color="D9D9D9" w:fill="D9D9D9"/>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-1.68</w:t>
                            </w:r>
                          </w:p>
                        </w:tc>
                      </w:tr>
                      <w:tr w:rsidR="00FE427A" w:rsidRPr="00A64D32" w:rsidTr="00FC5199">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FE427A" w:rsidRPr="00A64D32" w:rsidRDefault="00FE427A"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48.48</w:t>
                            </w:r>
                          </w:p>
                        </w:tc>
                        <w:tc>
                          <w:tcPr>
                            <w:tcW w:w="1134" w:type="dxa"/>
                            <w:tcBorders>
                              <w:top w:val="nil"/>
                              <w:left w:val="nil"/>
                              <w:bottom w:val="single" w:sz="8" w:space="0" w:color="auto"/>
                              <w:right w:val="nil"/>
                            </w:tcBorders>
                            <w:shd w:val="clear" w:color="auto" w:fill="auto"/>
                            <w:vAlign w:val="center"/>
                          </w:tcPr>
                          <w:p w:rsidR="00FE427A" w:rsidRDefault="00FE427A">
                            <w:pPr>
                              <w:jc w:val="center"/>
                              <w:rPr>
                                <w:rFonts w:ascii="楷体" w:eastAsia="楷体" w:hAnsi="楷体" w:cs="宋体"/>
                                <w:color w:val="000000"/>
                                <w:sz w:val="16"/>
                                <w:szCs w:val="16"/>
                              </w:rPr>
                            </w:pPr>
                            <w:r>
                              <w:rPr>
                                <w:rFonts w:ascii="楷体" w:eastAsia="楷体" w:hAnsi="楷体" w:hint="eastAsia"/>
                                <w:color w:val="000000"/>
                                <w:sz w:val="16"/>
                                <w:szCs w:val="16"/>
                              </w:rPr>
                              <w:t>4.81</w:t>
                            </w:r>
                          </w:p>
                        </w:tc>
                      </w:tr>
                    </w:tbl>
                    <w:p w:rsidR="00FE427A" w:rsidRPr="00AD43BA" w:rsidRDefault="00FE427A"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FE427A" w:rsidRPr="00A64D32" w:rsidTr="00FC5199">
                        <w:trPr>
                          <w:trHeight w:val="435"/>
                          <w:jc w:val="center"/>
                        </w:trPr>
                        <w:tc>
                          <w:tcPr>
                            <w:tcW w:w="3494" w:type="dxa"/>
                            <w:tcBorders>
                              <w:left w:val="nil"/>
                              <w:right w:val="nil"/>
                            </w:tcBorders>
                            <w:shd w:val="clear" w:color="F79646" w:fill="F79646"/>
                            <w:vAlign w:val="center"/>
                            <w:hideMark/>
                          </w:tcPr>
                          <w:p w:rsidR="00FE427A" w:rsidRDefault="00FE427A" w:rsidP="00F63767">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1147F2">
                              <w:rPr>
                                <w:rFonts w:ascii="Arial" w:cs="Arial"/>
                                <w:b/>
                                <w:sz w:val="16"/>
                                <w:szCs w:val="16"/>
                              </w:rPr>
                              <w:t>2016.0</w:t>
                            </w:r>
                            <w:r>
                              <w:rPr>
                                <w:rFonts w:ascii="Arial" w:cs="Arial" w:hint="eastAsia"/>
                                <w:b/>
                                <w:sz w:val="16"/>
                                <w:szCs w:val="16"/>
                              </w:rPr>
                              <w:t>5</w:t>
                            </w:r>
                            <w:r w:rsidRPr="001147F2">
                              <w:rPr>
                                <w:rFonts w:ascii="Arial" w:cs="Arial"/>
                                <w:b/>
                                <w:sz w:val="16"/>
                                <w:szCs w:val="16"/>
                              </w:rPr>
                              <w:t>.</w:t>
                            </w:r>
                            <w:r>
                              <w:rPr>
                                <w:rFonts w:ascii="Arial" w:cs="Arial" w:hint="eastAsia"/>
                                <w:b/>
                                <w:sz w:val="16"/>
                                <w:szCs w:val="16"/>
                              </w:rPr>
                              <w:t>16</w:t>
                            </w:r>
                            <w:r w:rsidRPr="001147F2">
                              <w:rPr>
                                <w:rFonts w:ascii="Arial" w:cs="Arial"/>
                                <w:b/>
                                <w:sz w:val="16"/>
                                <w:szCs w:val="16"/>
                              </w:rPr>
                              <w:t>-2016.0</w:t>
                            </w:r>
                            <w:r>
                              <w:rPr>
                                <w:rFonts w:ascii="Arial" w:cs="Arial" w:hint="eastAsia"/>
                                <w:b/>
                                <w:sz w:val="16"/>
                                <w:szCs w:val="16"/>
                              </w:rPr>
                              <w:t>5.22</w:t>
                            </w:r>
                          </w:p>
                        </w:tc>
                      </w:tr>
                      <w:tr w:rsidR="00FE427A" w:rsidRPr="00A64D32" w:rsidTr="00AB718A">
                        <w:trPr>
                          <w:trHeight w:val="2474"/>
                          <w:jc w:val="center"/>
                        </w:trPr>
                        <w:tc>
                          <w:tcPr>
                            <w:tcW w:w="3494" w:type="dxa"/>
                            <w:shd w:val="clear" w:color="auto" w:fill="auto"/>
                            <w:vAlign w:val="center"/>
                            <w:hideMark/>
                          </w:tcPr>
                          <w:p w:rsidR="00FE427A" w:rsidRPr="00A64D32" w:rsidRDefault="00FE427A" w:rsidP="00FC5199">
                            <w:pPr>
                              <w:widowControl/>
                              <w:jc w:val="center"/>
                              <w:rPr>
                                <w:rFonts w:ascii="楷体" w:eastAsia="楷体" w:hAnsi="楷体" w:cs="宋体"/>
                                <w:color w:val="000000"/>
                                <w:kern w:val="0"/>
                                <w:sz w:val="16"/>
                                <w:szCs w:val="16"/>
                              </w:rPr>
                            </w:pPr>
                            <w:r>
                              <w:rPr>
                                <w:noProof/>
                              </w:rPr>
                              <w:drawing>
                                <wp:inline distT="0" distB="0" distL="0" distR="0" wp14:anchorId="676A4238" wp14:editId="00E9FDEB">
                                  <wp:extent cx="2044460" cy="3554083"/>
                                  <wp:effectExtent l="0" t="0" r="13335" b="2794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FE427A" w:rsidRPr="00BC1770" w:rsidRDefault="00FE427A"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Pr="0032491D">
        <w:rPr>
          <w:rFonts w:ascii="楷体" w:eastAsia="楷体" w:hAnsi="楷体" w:cs="Arial" w:hint="eastAsia"/>
          <w:b/>
          <w:color w:val="996600"/>
          <w:sz w:val="32"/>
          <w:szCs w:val="28"/>
        </w:rPr>
        <w:t>一周</w:t>
      </w:r>
      <w:r w:rsidRPr="0032491D">
        <w:rPr>
          <w:rFonts w:ascii="楷体" w:eastAsia="楷体" w:hAnsi="楷体" w:cs="Arial"/>
          <w:b/>
          <w:color w:val="996600"/>
          <w:sz w:val="32"/>
          <w:szCs w:val="28"/>
        </w:rPr>
        <w:t>资本市场回顾</w:t>
      </w:r>
      <w:bookmarkEnd w:id="1"/>
    </w:p>
    <w:p w:rsidR="0053273E" w:rsidRPr="0032491D" w:rsidRDefault="0053273E" w:rsidP="0053273E">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A股市场</w:t>
      </w:r>
    </w:p>
    <w:p w:rsidR="0053273E" w:rsidRPr="0032491D" w:rsidRDefault="00D1090A" w:rsidP="009736C2">
      <w:pPr>
        <w:pStyle w:val="a5"/>
        <w:spacing w:beforeLines="100" w:before="240" w:afterLines="100" w:after="240" w:line="260" w:lineRule="exact"/>
        <w:ind w:leftChars="1822" w:left="3826" w:rightChars="-34" w:right="-71" w:firstLineChars="212" w:firstLine="426"/>
        <w:rPr>
          <w:rFonts w:ascii="楷体" w:eastAsia="楷体" w:hAnsi="楷体" w:cs="Arial"/>
          <w:color w:val="auto"/>
          <w:sz w:val="20"/>
          <w:szCs w:val="20"/>
        </w:rPr>
      </w:pPr>
      <w:r>
        <w:rPr>
          <w:rFonts w:ascii="楷体" w:eastAsia="楷体" w:hAnsi="楷体" w:cs="Arial" w:hint="eastAsia"/>
          <w:b/>
          <w:color w:val="auto"/>
          <w:sz w:val="20"/>
          <w:szCs w:val="20"/>
        </w:rPr>
        <w:t>A股窄幅震荡险守2800，</w:t>
      </w:r>
      <w:r w:rsidR="00FC2361">
        <w:rPr>
          <w:rFonts w:ascii="楷体" w:eastAsia="楷体" w:hAnsi="楷体" w:cs="Arial" w:hint="eastAsia"/>
          <w:b/>
          <w:color w:val="auto"/>
          <w:sz w:val="20"/>
          <w:szCs w:val="20"/>
        </w:rPr>
        <w:t>中小</w:t>
      </w:r>
      <w:proofErr w:type="gramStart"/>
      <w:r w:rsidR="00FC2361">
        <w:rPr>
          <w:rFonts w:ascii="楷体" w:eastAsia="楷体" w:hAnsi="楷体" w:cs="Arial" w:hint="eastAsia"/>
          <w:b/>
          <w:color w:val="auto"/>
          <w:sz w:val="20"/>
          <w:szCs w:val="20"/>
        </w:rPr>
        <w:t>创走势</w:t>
      </w:r>
      <w:proofErr w:type="gramEnd"/>
      <w:r w:rsidR="00FC2361">
        <w:rPr>
          <w:rFonts w:ascii="楷体" w:eastAsia="楷体" w:hAnsi="楷体" w:cs="Arial" w:hint="eastAsia"/>
          <w:b/>
          <w:color w:val="auto"/>
          <w:sz w:val="20"/>
          <w:szCs w:val="20"/>
        </w:rPr>
        <w:t>强于主板</w:t>
      </w:r>
      <w:r w:rsidR="0053273E" w:rsidRPr="0032491D">
        <w:rPr>
          <w:rFonts w:ascii="楷体" w:eastAsia="楷体" w:hAnsi="楷体" w:cs="Arial" w:hint="eastAsia"/>
          <w:b/>
          <w:color w:val="auto"/>
          <w:sz w:val="20"/>
          <w:szCs w:val="20"/>
        </w:rPr>
        <w:t>。</w:t>
      </w:r>
      <w:r w:rsidR="00FC2361" w:rsidRPr="00FC2361">
        <w:rPr>
          <w:rFonts w:ascii="楷体" w:eastAsia="楷体" w:hAnsi="楷体" w:cs="Arial" w:hint="eastAsia"/>
          <w:color w:val="auto"/>
          <w:sz w:val="20"/>
          <w:szCs w:val="20"/>
        </w:rPr>
        <w:t>A股</w:t>
      </w:r>
      <w:r w:rsidR="00FC2361">
        <w:rPr>
          <w:rFonts w:ascii="楷体" w:eastAsia="楷体" w:hAnsi="楷体" w:cs="Arial" w:hint="eastAsia"/>
          <w:color w:val="auto"/>
          <w:sz w:val="20"/>
          <w:szCs w:val="20"/>
        </w:rPr>
        <w:t>连续第五周下跌，</w:t>
      </w:r>
      <w:r w:rsidR="008E0B99">
        <w:rPr>
          <w:rFonts w:ascii="楷体" w:eastAsia="楷体" w:hAnsi="楷体" w:cs="Arial" w:hint="eastAsia"/>
          <w:color w:val="auto"/>
          <w:sz w:val="20"/>
          <w:szCs w:val="20"/>
        </w:rPr>
        <w:t>本周依旧低量窄幅震荡，</w:t>
      </w:r>
      <w:r w:rsidR="008E0B99" w:rsidRPr="008E0B99">
        <w:rPr>
          <w:rFonts w:ascii="楷体" w:eastAsia="楷体" w:hAnsi="楷体" w:cs="Arial" w:hint="eastAsia"/>
          <w:color w:val="auto"/>
          <w:sz w:val="20"/>
          <w:szCs w:val="20"/>
        </w:rPr>
        <w:t>2800</w:t>
      </w:r>
      <w:r w:rsidR="008E0B99">
        <w:rPr>
          <w:rFonts w:ascii="楷体" w:eastAsia="楷体" w:hAnsi="楷体" w:cs="Arial" w:hint="eastAsia"/>
          <w:color w:val="auto"/>
          <w:sz w:val="20"/>
          <w:szCs w:val="20"/>
        </w:rPr>
        <w:t>点</w:t>
      </w:r>
      <w:proofErr w:type="gramStart"/>
      <w:r w:rsidR="008E0B99">
        <w:rPr>
          <w:rFonts w:ascii="楷体" w:eastAsia="楷体" w:hAnsi="楷体" w:cs="Arial" w:hint="eastAsia"/>
          <w:color w:val="auto"/>
          <w:sz w:val="20"/>
          <w:szCs w:val="20"/>
        </w:rPr>
        <w:t>保守战</w:t>
      </w:r>
      <w:proofErr w:type="gramEnd"/>
      <w:r w:rsidR="008E0B99">
        <w:rPr>
          <w:rFonts w:ascii="楷体" w:eastAsia="楷体" w:hAnsi="楷体" w:cs="Arial" w:hint="eastAsia"/>
          <w:color w:val="auto"/>
          <w:sz w:val="20"/>
          <w:szCs w:val="20"/>
        </w:rPr>
        <w:t>打响。</w:t>
      </w:r>
      <w:r w:rsidR="00FC2361" w:rsidRPr="00FC2361">
        <w:rPr>
          <w:rFonts w:ascii="楷体" w:eastAsia="楷体" w:hAnsi="楷体" w:cs="Arial" w:hint="eastAsia"/>
          <w:color w:val="auto"/>
          <w:sz w:val="20"/>
          <w:szCs w:val="20"/>
        </w:rPr>
        <w:t>4月工业增速、消费及固定资产投资增速全面回落，货币信贷数据大幅回落，房地产一直独秀。</w:t>
      </w:r>
      <w:r w:rsidR="008E0B99" w:rsidRPr="008E0B99">
        <w:rPr>
          <w:rFonts w:ascii="楷体" w:eastAsia="楷体" w:hAnsi="楷体" w:cs="Arial" w:hint="eastAsia"/>
          <w:color w:val="auto"/>
          <w:sz w:val="20"/>
          <w:szCs w:val="20"/>
        </w:rPr>
        <w:t>基本面的压制使得A 股市场极度低迷，大盘持续地量成交</w:t>
      </w:r>
      <w:r w:rsidR="008E0B99">
        <w:rPr>
          <w:rFonts w:ascii="楷体" w:eastAsia="楷体" w:hAnsi="楷体" w:cs="Arial" w:hint="eastAsia"/>
          <w:color w:val="auto"/>
          <w:sz w:val="20"/>
          <w:szCs w:val="20"/>
        </w:rPr>
        <w:t>。</w:t>
      </w:r>
      <w:r w:rsidR="00144D4C">
        <w:rPr>
          <w:rFonts w:ascii="楷体" w:eastAsia="楷体" w:hAnsi="楷体" w:cs="Arial" w:hint="eastAsia"/>
          <w:color w:val="auto"/>
          <w:sz w:val="20"/>
          <w:szCs w:val="20"/>
        </w:rPr>
        <w:t>同时，</w:t>
      </w:r>
      <w:r w:rsidR="00144D4C" w:rsidRPr="00144D4C">
        <w:rPr>
          <w:rFonts w:ascii="楷体" w:eastAsia="楷体" w:hAnsi="楷体" w:cs="Arial" w:hint="eastAsia"/>
          <w:color w:val="auto"/>
          <w:sz w:val="20"/>
          <w:szCs w:val="20"/>
        </w:rPr>
        <w:t>4</w:t>
      </w:r>
      <w:r w:rsidR="00144D4C">
        <w:rPr>
          <w:rFonts w:ascii="楷体" w:eastAsia="楷体" w:hAnsi="楷体" w:cs="Arial" w:hint="eastAsia"/>
          <w:color w:val="auto"/>
          <w:sz w:val="20"/>
          <w:szCs w:val="20"/>
        </w:rPr>
        <w:t>月中以来</w:t>
      </w:r>
      <w:r w:rsidR="00144D4C" w:rsidRPr="00144D4C">
        <w:rPr>
          <w:rFonts w:ascii="楷体" w:eastAsia="楷体" w:hAnsi="楷体" w:cs="Arial" w:hint="eastAsia"/>
          <w:color w:val="auto"/>
          <w:sz w:val="20"/>
          <w:szCs w:val="20"/>
        </w:rPr>
        <w:t>政策变化</w:t>
      </w:r>
      <w:r w:rsidR="00144D4C">
        <w:rPr>
          <w:rFonts w:ascii="楷体" w:eastAsia="楷体" w:hAnsi="楷体" w:cs="Arial" w:hint="eastAsia"/>
          <w:color w:val="auto"/>
          <w:sz w:val="20"/>
          <w:szCs w:val="20"/>
        </w:rPr>
        <w:t>也引起市场情绪和风险偏好的变化</w:t>
      </w:r>
      <w:r w:rsidR="00144D4C" w:rsidRPr="00144D4C">
        <w:rPr>
          <w:rFonts w:ascii="楷体" w:eastAsia="楷体" w:hAnsi="楷体" w:cs="Arial" w:hint="eastAsia"/>
          <w:color w:val="auto"/>
          <w:sz w:val="20"/>
          <w:szCs w:val="20"/>
        </w:rPr>
        <w:t>。</w:t>
      </w:r>
      <w:r w:rsidR="008E0B99">
        <w:rPr>
          <w:rFonts w:ascii="楷体" w:eastAsia="楷体" w:hAnsi="楷体" w:cs="Arial" w:hint="eastAsia"/>
          <w:color w:val="auto"/>
          <w:sz w:val="20"/>
          <w:szCs w:val="20"/>
        </w:rPr>
        <w:t>全周万得全A日均成交额为3897.56</w:t>
      </w:r>
      <w:r w:rsidR="008E0B99" w:rsidRPr="005A6BEB">
        <w:rPr>
          <w:rFonts w:ascii="楷体" w:eastAsia="楷体" w:hAnsi="楷体" w:cs="Arial" w:hint="eastAsia"/>
          <w:color w:val="auto"/>
          <w:sz w:val="20"/>
          <w:szCs w:val="20"/>
        </w:rPr>
        <w:t>亿元</w:t>
      </w:r>
      <w:r w:rsidR="008E0B99">
        <w:rPr>
          <w:rFonts w:ascii="楷体" w:eastAsia="楷体" w:hAnsi="楷体" w:cs="Arial" w:hint="eastAsia"/>
          <w:color w:val="auto"/>
          <w:sz w:val="20"/>
          <w:szCs w:val="20"/>
        </w:rPr>
        <w:t>，较上周减少0.78</w:t>
      </w:r>
      <w:r w:rsidR="008E0B99" w:rsidRPr="005A6BEB">
        <w:rPr>
          <w:rFonts w:ascii="楷体" w:eastAsia="楷体" w:hAnsi="楷体" w:cs="Arial" w:hint="eastAsia"/>
          <w:color w:val="auto"/>
          <w:sz w:val="20"/>
          <w:szCs w:val="20"/>
        </w:rPr>
        <w:t>%</w:t>
      </w:r>
      <w:r w:rsidR="008E0B99">
        <w:rPr>
          <w:rFonts w:ascii="楷体" w:eastAsia="楷体" w:hAnsi="楷体" w:cs="Arial" w:hint="eastAsia"/>
          <w:color w:val="auto"/>
          <w:sz w:val="20"/>
          <w:szCs w:val="20"/>
        </w:rPr>
        <w:t>，成交额连续两周下降</w:t>
      </w:r>
      <w:r w:rsidR="008E0B99" w:rsidRPr="009736C2">
        <w:rPr>
          <w:rFonts w:ascii="楷体" w:eastAsia="楷体" w:hAnsi="楷体" w:cs="Arial" w:hint="eastAsia"/>
          <w:color w:val="auto"/>
          <w:sz w:val="20"/>
          <w:szCs w:val="20"/>
        </w:rPr>
        <w:t>。</w:t>
      </w:r>
      <w:r w:rsidR="008E0B99">
        <w:rPr>
          <w:rFonts w:ascii="楷体" w:eastAsia="楷体" w:hAnsi="楷体" w:cs="Arial" w:hint="eastAsia"/>
          <w:color w:val="auto"/>
          <w:sz w:val="20"/>
          <w:szCs w:val="20"/>
        </w:rPr>
        <w:t>而相比之下，</w:t>
      </w:r>
      <w:r w:rsidR="008E0B99" w:rsidRPr="00FC2361">
        <w:rPr>
          <w:rFonts w:ascii="楷体" w:eastAsia="楷体" w:hAnsi="楷体" w:cs="Arial" w:hint="eastAsia"/>
          <w:color w:val="auto"/>
          <w:sz w:val="20"/>
          <w:szCs w:val="20"/>
        </w:rPr>
        <w:t>中小</w:t>
      </w:r>
      <w:proofErr w:type="gramStart"/>
      <w:r w:rsidR="008E0B99" w:rsidRPr="00FC2361">
        <w:rPr>
          <w:rFonts w:ascii="楷体" w:eastAsia="楷体" w:hAnsi="楷体" w:cs="Arial" w:hint="eastAsia"/>
          <w:color w:val="auto"/>
          <w:sz w:val="20"/>
          <w:szCs w:val="20"/>
        </w:rPr>
        <w:t>创走势</w:t>
      </w:r>
      <w:proofErr w:type="gramEnd"/>
      <w:r w:rsidR="008E0B99">
        <w:rPr>
          <w:rFonts w:ascii="楷体" w:eastAsia="楷体" w:hAnsi="楷体" w:cs="Arial" w:hint="eastAsia"/>
          <w:color w:val="auto"/>
          <w:sz w:val="20"/>
          <w:szCs w:val="20"/>
        </w:rPr>
        <w:t>和人气都</w:t>
      </w:r>
      <w:r w:rsidR="008E0B99" w:rsidRPr="00FC2361">
        <w:rPr>
          <w:rFonts w:ascii="楷体" w:eastAsia="楷体" w:hAnsi="楷体" w:cs="Arial" w:hint="eastAsia"/>
          <w:color w:val="auto"/>
          <w:sz w:val="20"/>
          <w:szCs w:val="20"/>
        </w:rPr>
        <w:t>强于主板</w:t>
      </w:r>
      <w:r w:rsidR="008E0B99">
        <w:rPr>
          <w:rFonts w:ascii="楷体" w:eastAsia="楷体" w:hAnsi="楷体" w:cs="Arial" w:hint="eastAsia"/>
          <w:color w:val="auto"/>
          <w:sz w:val="20"/>
          <w:szCs w:val="20"/>
        </w:rPr>
        <w:t>，中小板成交额较上周增加11.38%，创业板成交额较上周增加21.70%。</w:t>
      </w:r>
      <w:r w:rsidR="0053273E" w:rsidRPr="00CB7D61">
        <w:rPr>
          <w:rFonts w:ascii="楷体" w:eastAsia="楷体" w:hAnsi="楷体" w:cs="Arial" w:hint="eastAsia"/>
          <w:color w:val="auto"/>
          <w:sz w:val="20"/>
          <w:szCs w:val="20"/>
        </w:rPr>
        <w:t>截至5月</w:t>
      </w:r>
      <w:r w:rsidR="009736C2">
        <w:rPr>
          <w:rFonts w:ascii="楷体" w:eastAsia="楷体" w:hAnsi="楷体" w:cs="Arial" w:hint="eastAsia"/>
          <w:color w:val="auto"/>
          <w:sz w:val="20"/>
          <w:szCs w:val="20"/>
        </w:rPr>
        <w:t>1</w:t>
      </w:r>
      <w:r>
        <w:rPr>
          <w:rFonts w:ascii="楷体" w:eastAsia="楷体" w:hAnsi="楷体" w:cs="Arial" w:hint="eastAsia"/>
          <w:color w:val="auto"/>
          <w:sz w:val="20"/>
          <w:szCs w:val="20"/>
        </w:rPr>
        <w:t>9</w:t>
      </w:r>
      <w:r w:rsidR="0053273E" w:rsidRPr="00CB7D61">
        <w:rPr>
          <w:rFonts w:ascii="楷体" w:eastAsia="楷体" w:hAnsi="楷体" w:cs="Arial" w:hint="eastAsia"/>
          <w:color w:val="auto"/>
          <w:sz w:val="20"/>
          <w:szCs w:val="20"/>
        </w:rPr>
        <w:t>日，沪深两市融资融券余额报</w:t>
      </w:r>
      <w:r w:rsidR="009736C2">
        <w:rPr>
          <w:rFonts w:ascii="楷体" w:eastAsia="楷体" w:hAnsi="楷体" w:cs="Arial" w:hint="eastAsia"/>
          <w:color w:val="auto"/>
          <w:sz w:val="20"/>
          <w:szCs w:val="20"/>
        </w:rPr>
        <w:t>8</w:t>
      </w:r>
      <w:r>
        <w:rPr>
          <w:rFonts w:ascii="楷体" w:eastAsia="楷体" w:hAnsi="楷体" w:cs="Arial" w:hint="eastAsia"/>
          <w:color w:val="auto"/>
          <w:sz w:val="20"/>
          <w:szCs w:val="20"/>
        </w:rPr>
        <w:t>289.62</w:t>
      </w:r>
      <w:r w:rsidR="0053273E" w:rsidRPr="00CB7D61">
        <w:rPr>
          <w:rFonts w:ascii="楷体" w:eastAsia="楷体" w:hAnsi="楷体" w:cs="Arial" w:hint="eastAsia"/>
          <w:color w:val="auto"/>
          <w:sz w:val="20"/>
          <w:szCs w:val="20"/>
        </w:rPr>
        <w:t>亿元，</w:t>
      </w:r>
      <w:r>
        <w:rPr>
          <w:rFonts w:ascii="楷体" w:eastAsia="楷体" w:hAnsi="楷体" w:cs="Arial" w:hint="eastAsia"/>
          <w:color w:val="auto"/>
          <w:sz w:val="20"/>
          <w:szCs w:val="20"/>
        </w:rPr>
        <w:t>而5月18日的8283.90亿元</w:t>
      </w:r>
      <w:r w:rsidR="00FC2361">
        <w:rPr>
          <w:rFonts w:ascii="楷体" w:eastAsia="楷体" w:hAnsi="楷体" w:cs="Arial" w:hint="eastAsia"/>
          <w:color w:val="auto"/>
          <w:sz w:val="20"/>
          <w:szCs w:val="20"/>
        </w:rPr>
        <w:t>两融余额到达了</w:t>
      </w:r>
      <w:r w:rsidRPr="00D1090A">
        <w:rPr>
          <w:rFonts w:ascii="楷体" w:eastAsia="楷体" w:hAnsi="楷体" w:cs="Arial" w:hint="eastAsia"/>
          <w:color w:val="auto"/>
          <w:sz w:val="20"/>
          <w:szCs w:val="20"/>
        </w:rPr>
        <w:t>2014年11月28日以来的低位。</w:t>
      </w:r>
      <w:r w:rsidR="0053273E" w:rsidRPr="005A6BEB">
        <w:rPr>
          <w:rFonts w:ascii="楷体" w:eastAsia="楷体" w:hAnsi="楷体" w:cs="Arial"/>
          <w:color w:val="auto"/>
          <w:sz w:val="20"/>
          <w:szCs w:val="20"/>
        </w:rPr>
        <w:t>全</w:t>
      </w:r>
      <w:r w:rsidR="0053273E">
        <w:rPr>
          <w:rFonts w:ascii="楷体" w:eastAsia="楷体" w:hAnsi="楷体" w:cs="Arial" w:hint="eastAsia"/>
          <w:color w:val="auto"/>
          <w:sz w:val="20"/>
          <w:szCs w:val="20"/>
        </w:rPr>
        <w:t>周</w:t>
      </w:r>
      <w:r w:rsidR="0053273E" w:rsidRPr="0032491D">
        <w:rPr>
          <w:rFonts w:ascii="楷体" w:eastAsia="楷体" w:hAnsi="楷体" w:cs="Arial"/>
          <w:color w:val="auto"/>
          <w:sz w:val="20"/>
          <w:szCs w:val="20"/>
        </w:rPr>
        <w:t>来看，</w:t>
      </w:r>
      <w:r w:rsidR="0053273E" w:rsidRPr="0032491D">
        <w:rPr>
          <w:rFonts w:ascii="楷体" w:eastAsia="楷体" w:hAnsi="楷体" w:cs="Arial" w:hint="eastAsia"/>
          <w:color w:val="auto"/>
          <w:sz w:val="20"/>
          <w:szCs w:val="20"/>
        </w:rPr>
        <w:t>上证综指跌</w:t>
      </w:r>
      <w:r w:rsidR="00FC2361">
        <w:rPr>
          <w:rFonts w:ascii="楷体" w:eastAsia="楷体" w:hAnsi="楷体" w:cs="Arial" w:hint="eastAsia"/>
          <w:color w:val="auto"/>
          <w:sz w:val="20"/>
          <w:szCs w:val="20"/>
        </w:rPr>
        <w:t>0.06</w:t>
      </w:r>
      <w:r w:rsidR="0053273E" w:rsidRPr="0032491D">
        <w:rPr>
          <w:rFonts w:ascii="楷体" w:eastAsia="楷体" w:hAnsi="楷体" w:cs="Arial" w:hint="eastAsia"/>
          <w:color w:val="auto"/>
          <w:sz w:val="20"/>
          <w:szCs w:val="20"/>
        </w:rPr>
        <w:t>%</w:t>
      </w:r>
      <w:r w:rsidR="0053273E" w:rsidRPr="0032491D">
        <w:rPr>
          <w:rFonts w:ascii="楷体" w:eastAsia="楷体" w:hAnsi="楷体" w:cs="Arial"/>
          <w:color w:val="auto"/>
          <w:sz w:val="20"/>
          <w:szCs w:val="20"/>
        </w:rPr>
        <w:t>，沪深300</w:t>
      </w:r>
      <w:r w:rsidR="00FC2361">
        <w:rPr>
          <w:rFonts w:ascii="楷体" w:eastAsia="楷体" w:hAnsi="楷体" w:cs="Arial" w:hint="eastAsia"/>
          <w:color w:val="auto"/>
          <w:sz w:val="20"/>
          <w:szCs w:val="20"/>
        </w:rPr>
        <w:t>涨0.11</w:t>
      </w:r>
      <w:r w:rsidR="0053273E" w:rsidRPr="0032491D">
        <w:rPr>
          <w:rFonts w:ascii="楷体" w:eastAsia="楷体" w:hAnsi="楷体" w:cs="Arial"/>
          <w:color w:val="auto"/>
          <w:sz w:val="20"/>
          <w:szCs w:val="20"/>
        </w:rPr>
        <w:t>%，中小板指</w:t>
      </w:r>
      <w:r w:rsidR="00FC2361">
        <w:rPr>
          <w:rFonts w:ascii="楷体" w:eastAsia="楷体" w:hAnsi="楷体" w:cs="Arial" w:hint="eastAsia"/>
          <w:color w:val="auto"/>
          <w:sz w:val="20"/>
          <w:szCs w:val="20"/>
        </w:rPr>
        <w:t>涨0.55</w:t>
      </w:r>
      <w:r w:rsidR="0053273E" w:rsidRPr="0032491D">
        <w:rPr>
          <w:rFonts w:ascii="楷体" w:eastAsia="楷体" w:hAnsi="楷体" w:cs="Arial"/>
          <w:color w:val="auto"/>
          <w:sz w:val="20"/>
          <w:szCs w:val="20"/>
        </w:rPr>
        <w:t>%</w:t>
      </w:r>
      <w:r w:rsidR="00FC2361">
        <w:rPr>
          <w:rFonts w:ascii="楷体" w:eastAsia="楷体" w:hAnsi="楷体" w:cs="Arial"/>
          <w:color w:val="auto"/>
          <w:sz w:val="20"/>
          <w:szCs w:val="20"/>
        </w:rPr>
        <w:t>、创业板指涨</w:t>
      </w:r>
      <w:r w:rsidR="00FC2361">
        <w:rPr>
          <w:rFonts w:ascii="楷体" w:eastAsia="楷体" w:hAnsi="楷体" w:cs="Arial" w:hint="eastAsia"/>
          <w:color w:val="auto"/>
          <w:sz w:val="20"/>
          <w:szCs w:val="20"/>
        </w:rPr>
        <w:t>1.98</w:t>
      </w:r>
      <w:r w:rsidR="0053273E" w:rsidRPr="0032491D">
        <w:rPr>
          <w:rFonts w:ascii="楷体" w:eastAsia="楷体" w:hAnsi="楷体" w:cs="Arial"/>
          <w:color w:val="auto"/>
          <w:sz w:val="20"/>
          <w:szCs w:val="20"/>
        </w:rPr>
        <w:t>%。从</w:t>
      </w:r>
      <w:r w:rsidR="0053273E" w:rsidRPr="0032491D">
        <w:rPr>
          <w:rFonts w:ascii="楷体" w:eastAsia="楷体" w:hAnsi="楷体" w:cs="Arial" w:hint="eastAsia"/>
          <w:color w:val="auto"/>
          <w:sz w:val="20"/>
          <w:szCs w:val="20"/>
        </w:rPr>
        <w:t>概念板块来</w:t>
      </w:r>
      <w:r w:rsidR="0053273E" w:rsidRPr="0032491D">
        <w:rPr>
          <w:rFonts w:ascii="楷体" w:eastAsia="楷体" w:hAnsi="楷体" w:cs="Arial"/>
          <w:color w:val="auto"/>
          <w:sz w:val="20"/>
          <w:szCs w:val="20"/>
        </w:rPr>
        <w:t>看，</w:t>
      </w:r>
      <w:r w:rsidR="00FC2361">
        <w:rPr>
          <w:rFonts w:ascii="楷体" w:eastAsia="楷体" w:hAnsi="楷体" w:cs="Arial" w:hint="eastAsia"/>
          <w:color w:val="auto"/>
          <w:sz w:val="20"/>
          <w:szCs w:val="20"/>
        </w:rPr>
        <w:t>稀土永磁</w:t>
      </w:r>
      <w:r w:rsidR="0053273E" w:rsidRPr="0032491D">
        <w:rPr>
          <w:rFonts w:ascii="楷体" w:eastAsia="楷体" w:hAnsi="楷体" w:cs="Arial" w:hint="eastAsia"/>
          <w:color w:val="auto"/>
          <w:sz w:val="20"/>
          <w:szCs w:val="20"/>
        </w:rPr>
        <w:t>指数（</w:t>
      </w:r>
      <w:r w:rsidR="00FC2361">
        <w:rPr>
          <w:rFonts w:ascii="楷体" w:eastAsia="楷体" w:hAnsi="楷体" w:cs="Arial" w:hint="eastAsia"/>
          <w:color w:val="auto"/>
          <w:sz w:val="20"/>
          <w:szCs w:val="20"/>
        </w:rPr>
        <w:t>12.48</w:t>
      </w:r>
      <w:r w:rsidR="0053273E" w:rsidRPr="0032491D">
        <w:rPr>
          <w:rFonts w:ascii="楷体" w:eastAsia="楷体" w:hAnsi="楷体" w:cs="Arial" w:hint="eastAsia"/>
          <w:color w:val="auto"/>
          <w:sz w:val="20"/>
          <w:szCs w:val="20"/>
        </w:rPr>
        <w:t>%）、</w:t>
      </w:r>
      <w:r w:rsidR="00FC2361">
        <w:rPr>
          <w:rFonts w:ascii="楷体" w:eastAsia="楷体" w:hAnsi="楷体" w:cs="Arial" w:hint="eastAsia"/>
          <w:color w:val="auto"/>
          <w:sz w:val="20"/>
          <w:szCs w:val="20"/>
        </w:rPr>
        <w:t>移动转售</w:t>
      </w:r>
      <w:r w:rsidR="0053273E" w:rsidRPr="0032491D">
        <w:rPr>
          <w:rFonts w:ascii="楷体" w:eastAsia="楷体" w:hAnsi="楷体" w:cs="Arial" w:hint="eastAsia"/>
          <w:color w:val="auto"/>
          <w:sz w:val="20"/>
          <w:szCs w:val="20"/>
        </w:rPr>
        <w:t>指数（</w:t>
      </w:r>
      <w:r w:rsidR="00FC2361">
        <w:rPr>
          <w:rFonts w:ascii="楷体" w:eastAsia="楷体" w:hAnsi="楷体" w:cs="Arial" w:hint="eastAsia"/>
          <w:color w:val="auto"/>
          <w:sz w:val="20"/>
          <w:szCs w:val="20"/>
        </w:rPr>
        <w:t>5.34</w:t>
      </w:r>
      <w:r w:rsidR="0053273E" w:rsidRPr="0032491D">
        <w:rPr>
          <w:rFonts w:ascii="楷体" w:eastAsia="楷体" w:hAnsi="楷体" w:cs="Arial" w:hint="eastAsia"/>
          <w:color w:val="auto"/>
          <w:sz w:val="20"/>
          <w:szCs w:val="20"/>
        </w:rPr>
        <w:t>%）、</w:t>
      </w:r>
      <w:r w:rsidR="00FC2361">
        <w:rPr>
          <w:rFonts w:ascii="楷体" w:eastAsia="楷体" w:hAnsi="楷体" w:cs="Arial" w:hint="eastAsia"/>
          <w:color w:val="auto"/>
          <w:sz w:val="20"/>
          <w:szCs w:val="20"/>
        </w:rPr>
        <w:t>智能汽车</w:t>
      </w:r>
      <w:r w:rsidR="0053273E" w:rsidRPr="0032491D">
        <w:rPr>
          <w:rFonts w:ascii="楷体" w:eastAsia="楷体" w:hAnsi="楷体" w:cs="Arial" w:hint="eastAsia"/>
          <w:color w:val="auto"/>
          <w:sz w:val="20"/>
          <w:szCs w:val="20"/>
        </w:rPr>
        <w:t>指数（</w:t>
      </w:r>
      <w:r w:rsidR="00FC2361">
        <w:rPr>
          <w:rFonts w:ascii="楷体" w:eastAsia="楷体" w:hAnsi="楷体" w:cs="Arial" w:hint="eastAsia"/>
          <w:color w:val="auto"/>
          <w:sz w:val="20"/>
          <w:szCs w:val="20"/>
        </w:rPr>
        <w:t>5.00</w:t>
      </w:r>
      <w:r w:rsidR="0053273E" w:rsidRPr="0032491D">
        <w:rPr>
          <w:rFonts w:ascii="楷体" w:eastAsia="楷体" w:hAnsi="楷体" w:cs="Arial" w:hint="eastAsia"/>
          <w:color w:val="auto"/>
          <w:sz w:val="20"/>
          <w:szCs w:val="20"/>
        </w:rPr>
        <w:t>%）</w:t>
      </w:r>
      <w:r w:rsidR="0053273E" w:rsidRPr="0032491D">
        <w:rPr>
          <w:rFonts w:ascii="楷体" w:eastAsia="楷体" w:hAnsi="楷体" w:cs="Arial"/>
          <w:color w:val="auto"/>
          <w:sz w:val="20"/>
          <w:szCs w:val="20"/>
        </w:rPr>
        <w:t>表现</w:t>
      </w:r>
      <w:r w:rsidR="00A36CC5">
        <w:rPr>
          <w:rFonts w:ascii="楷体" w:eastAsia="楷体" w:hAnsi="楷体" w:cs="Arial"/>
          <w:color w:val="auto"/>
          <w:sz w:val="20"/>
          <w:szCs w:val="20"/>
        </w:rPr>
        <w:t>相对</w:t>
      </w:r>
      <w:r w:rsidR="0053273E" w:rsidRPr="0032491D">
        <w:rPr>
          <w:rFonts w:ascii="楷体" w:eastAsia="楷体" w:hAnsi="楷体" w:cs="Arial"/>
          <w:color w:val="auto"/>
          <w:sz w:val="20"/>
          <w:szCs w:val="20"/>
        </w:rPr>
        <w:t>较好。29个中信</w:t>
      </w:r>
      <w:proofErr w:type="gramStart"/>
      <w:r w:rsidR="0053273E" w:rsidRPr="0032491D">
        <w:rPr>
          <w:rFonts w:ascii="楷体" w:eastAsia="楷体" w:hAnsi="楷体" w:cs="Arial"/>
          <w:color w:val="auto"/>
          <w:sz w:val="20"/>
          <w:szCs w:val="20"/>
        </w:rPr>
        <w:t>一级行业</w:t>
      </w:r>
      <w:proofErr w:type="gramEnd"/>
      <w:r w:rsidR="0053273E" w:rsidRPr="0032491D">
        <w:rPr>
          <w:rFonts w:ascii="楷体" w:eastAsia="楷体" w:hAnsi="楷体" w:cs="Arial" w:hint="eastAsia"/>
          <w:color w:val="auto"/>
          <w:sz w:val="20"/>
          <w:szCs w:val="20"/>
        </w:rPr>
        <w:t>有</w:t>
      </w:r>
      <w:r w:rsidR="00A36CC5">
        <w:rPr>
          <w:rFonts w:ascii="楷体" w:eastAsia="楷体" w:hAnsi="楷体" w:cs="Arial" w:hint="eastAsia"/>
          <w:color w:val="auto"/>
          <w:sz w:val="20"/>
          <w:szCs w:val="20"/>
        </w:rPr>
        <w:t>1</w:t>
      </w:r>
      <w:r w:rsidR="00FC2361">
        <w:rPr>
          <w:rFonts w:ascii="楷体" w:eastAsia="楷体" w:hAnsi="楷体" w:cs="Arial" w:hint="eastAsia"/>
          <w:color w:val="auto"/>
          <w:sz w:val="20"/>
          <w:szCs w:val="20"/>
        </w:rPr>
        <w:t>5</w:t>
      </w:r>
      <w:r w:rsidR="0053273E" w:rsidRPr="0032491D">
        <w:rPr>
          <w:rFonts w:ascii="楷体" w:eastAsia="楷体" w:hAnsi="楷体" w:cs="Arial" w:hint="eastAsia"/>
          <w:color w:val="auto"/>
          <w:sz w:val="20"/>
          <w:szCs w:val="20"/>
        </w:rPr>
        <w:t>个行业上涨</w:t>
      </w:r>
      <w:r w:rsidR="0053273E" w:rsidRPr="0032491D">
        <w:rPr>
          <w:rFonts w:ascii="楷体" w:eastAsia="楷体" w:hAnsi="楷体" w:cs="Arial"/>
          <w:color w:val="auto"/>
          <w:sz w:val="20"/>
          <w:szCs w:val="20"/>
        </w:rPr>
        <w:t>，其中</w:t>
      </w:r>
      <w:r w:rsidR="00FC2361">
        <w:rPr>
          <w:rFonts w:ascii="楷体" w:eastAsia="楷体" w:hAnsi="楷体" w:cs="Arial" w:hint="eastAsia"/>
          <w:color w:val="auto"/>
          <w:sz w:val="20"/>
          <w:szCs w:val="20"/>
        </w:rPr>
        <w:t>计算机</w:t>
      </w:r>
      <w:r w:rsidR="0053273E" w:rsidRPr="0032491D">
        <w:rPr>
          <w:rFonts w:ascii="楷体" w:eastAsia="楷体" w:hAnsi="楷体" w:cs="Arial"/>
          <w:color w:val="auto"/>
          <w:sz w:val="20"/>
          <w:szCs w:val="20"/>
        </w:rPr>
        <w:t>（</w:t>
      </w:r>
      <w:r w:rsidR="00FC2361">
        <w:rPr>
          <w:rFonts w:ascii="楷体" w:eastAsia="楷体" w:hAnsi="楷体" w:cs="Arial" w:hint="eastAsia"/>
          <w:color w:val="auto"/>
          <w:sz w:val="20"/>
          <w:szCs w:val="20"/>
        </w:rPr>
        <w:t>3.64</w:t>
      </w:r>
      <w:r w:rsidR="0053273E" w:rsidRPr="0032491D">
        <w:rPr>
          <w:rFonts w:ascii="楷体" w:eastAsia="楷体" w:hAnsi="楷体" w:cs="Arial"/>
          <w:color w:val="auto"/>
          <w:sz w:val="20"/>
          <w:szCs w:val="20"/>
        </w:rPr>
        <w:t>%）、</w:t>
      </w:r>
      <w:r w:rsidR="00FC2361">
        <w:rPr>
          <w:rFonts w:ascii="楷体" w:eastAsia="楷体" w:hAnsi="楷体" w:cs="Arial" w:hint="eastAsia"/>
          <w:color w:val="auto"/>
          <w:sz w:val="20"/>
          <w:szCs w:val="20"/>
        </w:rPr>
        <w:t>电子元器件</w:t>
      </w:r>
      <w:r w:rsidR="0053273E" w:rsidRPr="0032491D">
        <w:rPr>
          <w:rFonts w:ascii="楷体" w:eastAsia="楷体" w:hAnsi="楷体" w:cs="Arial"/>
          <w:color w:val="auto"/>
          <w:sz w:val="20"/>
          <w:szCs w:val="20"/>
        </w:rPr>
        <w:t>（</w:t>
      </w:r>
      <w:r w:rsidR="00FC2361">
        <w:rPr>
          <w:rFonts w:ascii="楷体" w:eastAsia="楷体" w:hAnsi="楷体" w:cs="Arial" w:hint="eastAsia"/>
          <w:color w:val="auto"/>
          <w:sz w:val="20"/>
          <w:szCs w:val="20"/>
        </w:rPr>
        <w:t>2.71</w:t>
      </w:r>
      <w:r w:rsidR="0053273E" w:rsidRPr="0032491D">
        <w:rPr>
          <w:rFonts w:ascii="楷体" w:eastAsia="楷体" w:hAnsi="楷体" w:cs="Arial"/>
          <w:color w:val="auto"/>
          <w:sz w:val="20"/>
          <w:szCs w:val="20"/>
        </w:rPr>
        <w:t>%）</w:t>
      </w:r>
      <w:r w:rsidR="0053273E">
        <w:rPr>
          <w:rFonts w:ascii="楷体" w:eastAsia="楷体" w:hAnsi="楷体" w:cs="Arial" w:hint="eastAsia"/>
          <w:color w:val="auto"/>
          <w:sz w:val="20"/>
          <w:szCs w:val="20"/>
        </w:rPr>
        <w:t>、</w:t>
      </w:r>
      <w:r w:rsidR="00FC2361">
        <w:rPr>
          <w:rFonts w:ascii="楷体" w:eastAsia="楷体" w:hAnsi="楷体" w:cs="Arial" w:hint="eastAsia"/>
          <w:color w:val="auto"/>
          <w:sz w:val="20"/>
          <w:szCs w:val="20"/>
        </w:rPr>
        <w:t>有色金属</w:t>
      </w:r>
      <w:r w:rsidR="0053273E" w:rsidRPr="0032491D">
        <w:rPr>
          <w:rFonts w:ascii="楷体" w:eastAsia="楷体" w:hAnsi="楷体" w:cs="Arial"/>
          <w:color w:val="auto"/>
          <w:sz w:val="20"/>
          <w:szCs w:val="20"/>
        </w:rPr>
        <w:t>（</w:t>
      </w:r>
      <w:r w:rsidR="00FC2361">
        <w:rPr>
          <w:rFonts w:ascii="楷体" w:eastAsia="楷体" w:hAnsi="楷体" w:cs="Arial" w:hint="eastAsia"/>
          <w:color w:val="auto"/>
          <w:sz w:val="20"/>
          <w:szCs w:val="20"/>
        </w:rPr>
        <w:t>2.19</w:t>
      </w:r>
      <w:r w:rsidR="0053273E" w:rsidRPr="0032491D">
        <w:rPr>
          <w:rFonts w:ascii="楷体" w:eastAsia="楷体" w:hAnsi="楷体" w:cs="Arial"/>
          <w:color w:val="auto"/>
          <w:sz w:val="20"/>
          <w:szCs w:val="20"/>
        </w:rPr>
        <w:t>%）等行业</w:t>
      </w:r>
      <w:r w:rsidR="0053273E" w:rsidRPr="0032491D">
        <w:rPr>
          <w:rFonts w:ascii="楷体" w:eastAsia="楷体" w:hAnsi="楷体" w:cs="Arial" w:hint="eastAsia"/>
          <w:color w:val="auto"/>
          <w:sz w:val="20"/>
          <w:szCs w:val="20"/>
        </w:rPr>
        <w:t>表现</w:t>
      </w:r>
      <w:r w:rsidR="0053273E" w:rsidRPr="0032491D">
        <w:rPr>
          <w:rFonts w:ascii="楷体" w:eastAsia="楷体" w:hAnsi="楷体" w:cs="Arial"/>
          <w:color w:val="auto"/>
          <w:sz w:val="20"/>
          <w:szCs w:val="20"/>
        </w:rPr>
        <w:t>相对较好，</w:t>
      </w:r>
      <w:r w:rsidR="00FC2361">
        <w:rPr>
          <w:rFonts w:ascii="楷体" w:eastAsia="楷体" w:hAnsi="楷体" w:cs="Arial" w:hint="eastAsia"/>
          <w:color w:val="auto"/>
          <w:sz w:val="20"/>
          <w:szCs w:val="20"/>
        </w:rPr>
        <w:t>商贸零售</w:t>
      </w:r>
      <w:r w:rsidR="0053273E" w:rsidRPr="0032491D">
        <w:rPr>
          <w:rFonts w:ascii="楷体" w:eastAsia="楷体" w:hAnsi="楷体" w:cs="Arial"/>
          <w:color w:val="auto"/>
          <w:sz w:val="20"/>
          <w:szCs w:val="20"/>
        </w:rPr>
        <w:t>（</w:t>
      </w:r>
      <w:r w:rsidR="0053273E" w:rsidRPr="0032491D">
        <w:rPr>
          <w:rFonts w:ascii="楷体" w:eastAsia="楷体" w:hAnsi="楷体" w:cs="Arial" w:hint="eastAsia"/>
          <w:color w:val="auto"/>
          <w:sz w:val="20"/>
          <w:szCs w:val="20"/>
        </w:rPr>
        <w:t>-</w:t>
      </w:r>
      <w:r w:rsidR="00FC2361">
        <w:rPr>
          <w:rFonts w:ascii="楷体" w:eastAsia="楷体" w:hAnsi="楷体" w:cs="Arial" w:hint="eastAsia"/>
          <w:color w:val="auto"/>
          <w:sz w:val="20"/>
          <w:szCs w:val="20"/>
        </w:rPr>
        <w:t>1.84</w:t>
      </w:r>
      <w:r w:rsidR="0053273E" w:rsidRPr="0032491D">
        <w:rPr>
          <w:rFonts w:ascii="楷体" w:eastAsia="楷体" w:hAnsi="楷体" w:cs="Arial"/>
          <w:color w:val="auto"/>
          <w:sz w:val="20"/>
          <w:szCs w:val="20"/>
        </w:rPr>
        <w:t>%）、</w:t>
      </w:r>
      <w:r w:rsidR="00FC2361">
        <w:rPr>
          <w:rFonts w:ascii="楷体" w:eastAsia="楷体" w:hAnsi="楷体" w:cs="Arial" w:hint="eastAsia"/>
          <w:color w:val="auto"/>
          <w:sz w:val="20"/>
          <w:szCs w:val="20"/>
        </w:rPr>
        <w:t>餐饮旅游</w:t>
      </w:r>
      <w:r w:rsidR="0053273E" w:rsidRPr="0032491D">
        <w:rPr>
          <w:rFonts w:ascii="楷体" w:eastAsia="楷体" w:hAnsi="楷体" w:cs="Arial"/>
          <w:color w:val="auto"/>
          <w:sz w:val="20"/>
          <w:szCs w:val="20"/>
        </w:rPr>
        <w:t>（</w:t>
      </w:r>
      <w:r w:rsidR="0053273E" w:rsidRPr="0032491D">
        <w:rPr>
          <w:rFonts w:ascii="楷体" w:eastAsia="楷体" w:hAnsi="楷体" w:cs="Arial" w:hint="eastAsia"/>
          <w:color w:val="auto"/>
          <w:sz w:val="20"/>
          <w:szCs w:val="20"/>
        </w:rPr>
        <w:t>-</w:t>
      </w:r>
      <w:r w:rsidR="00FC2361">
        <w:rPr>
          <w:rFonts w:ascii="楷体" w:eastAsia="楷体" w:hAnsi="楷体" w:cs="Arial" w:hint="eastAsia"/>
          <w:color w:val="auto"/>
          <w:sz w:val="20"/>
          <w:szCs w:val="20"/>
        </w:rPr>
        <w:t>1.54</w:t>
      </w:r>
      <w:r w:rsidR="0053273E" w:rsidRPr="0032491D">
        <w:rPr>
          <w:rFonts w:ascii="楷体" w:eastAsia="楷体" w:hAnsi="楷体" w:cs="Arial"/>
          <w:color w:val="auto"/>
          <w:sz w:val="20"/>
          <w:szCs w:val="20"/>
        </w:rPr>
        <w:t>%）、</w:t>
      </w:r>
      <w:r w:rsidR="00FC2361">
        <w:rPr>
          <w:rFonts w:ascii="楷体" w:eastAsia="楷体" w:hAnsi="楷体" w:cs="Arial" w:hint="eastAsia"/>
          <w:color w:val="auto"/>
          <w:sz w:val="20"/>
          <w:szCs w:val="20"/>
        </w:rPr>
        <w:t>交通运输</w:t>
      </w:r>
      <w:r w:rsidR="0053273E" w:rsidRPr="0032491D">
        <w:rPr>
          <w:rFonts w:ascii="楷体" w:eastAsia="楷体" w:hAnsi="楷体" w:cs="Arial"/>
          <w:color w:val="auto"/>
          <w:sz w:val="20"/>
          <w:szCs w:val="20"/>
        </w:rPr>
        <w:t>（</w:t>
      </w:r>
      <w:r w:rsidR="0053273E" w:rsidRPr="0032491D">
        <w:rPr>
          <w:rFonts w:ascii="楷体" w:eastAsia="楷体" w:hAnsi="楷体" w:cs="Arial" w:hint="eastAsia"/>
          <w:color w:val="auto"/>
          <w:sz w:val="20"/>
          <w:szCs w:val="20"/>
        </w:rPr>
        <w:t>-</w:t>
      </w:r>
      <w:r w:rsidR="00FC2361">
        <w:rPr>
          <w:rFonts w:ascii="楷体" w:eastAsia="楷体" w:hAnsi="楷体" w:cs="Arial" w:hint="eastAsia"/>
          <w:color w:val="auto"/>
          <w:sz w:val="20"/>
          <w:szCs w:val="20"/>
        </w:rPr>
        <w:t>1.84</w:t>
      </w:r>
      <w:r w:rsidR="0053273E" w:rsidRPr="0032491D">
        <w:rPr>
          <w:rFonts w:ascii="楷体" w:eastAsia="楷体" w:hAnsi="楷体" w:cs="Arial"/>
          <w:color w:val="auto"/>
          <w:sz w:val="20"/>
          <w:szCs w:val="20"/>
        </w:rPr>
        <w:t>%）等行业</w:t>
      </w:r>
      <w:r w:rsidR="0053273E" w:rsidRPr="0032491D">
        <w:rPr>
          <w:rFonts w:ascii="楷体" w:eastAsia="楷体" w:hAnsi="楷体" w:cs="Arial" w:hint="eastAsia"/>
          <w:color w:val="auto"/>
          <w:sz w:val="20"/>
          <w:szCs w:val="20"/>
        </w:rPr>
        <w:t>表现垫底</w:t>
      </w:r>
      <w:r w:rsidR="0053273E" w:rsidRPr="0032491D">
        <w:rPr>
          <w:rFonts w:ascii="楷体" w:eastAsia="楷体" w:hAnsi="楷体" w:cs="Arial"/>
          <w:color w:val="auto"/>
          <w:sz w:val="20"/>
          <w:szCs w:val="20"/>
        </w:rPr>
        <w:t>。</w:t>
      </w:r>
    </w:p>
    <w:p w:rsidR="0053273E" w:rsidRPr="0032491D" w:rsidRDefault="0053273E" w:rsidP="0053273E">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国内债券市场</w:t>
      </w:r>
    </w:p>
    <w:p w:rsidR="0053273E" w:rsidRPr="006C29BB" w:rsidRDefault="00376B3A" w:rsidP="006C29BB">
      <w:pPr>
        <w:pStyle w:val="a5"/>
        <w:spacing w:beforeLines="100" w:before="240" w:afterLines="100" w:after="240" w:line="260" w:lineRule="exact"/>
        <w:ind w:leftChars="1822" w:left="3826" w:rightChars="-34" w:right="-71" w:firstLineChars="212" w:firstLine="426"/>
        <w:rPr>
          <w:rFonts w:ascii="楷体" w:eastAsia="楷体" w:hAnsi="楷体" w:cs="Arial"/>
          <w:color w:val="auto"/>
          <w:sz w:val="20"/>
          <w:szCs w:val="20"/>
        </w:rPr>
      </w:pPr>
      <w:r w:rsidRPr="00376B3A">
        <w:rPr>
          <w:rFonts w:ascii="楷体" w:eastAsia="楷体" w:hAnsi="楷体" w:cs="Arial" w:hint="eastAsia"/>
          <w:b/>
          <w:color w:val="auto"/>
          <w:sz w:val="20"/>
          <w:szCs w:val="20"/>
        </w:rPr>
        <w:t>续作MLF提</w:t>
      </w:r>
      <w:proofErr w:type="gramStart"/>
      <w:r w:rsidRPr="00376B3A">
        <w:rPr>
          <w:rFonts w:ascii="楷体" w:eastAsia="楷体" w:hAnsi="楷体" w:cs="Arial" w:hint="eastAsia"/>
          <w:b/>
          <w:color w:val="auto"/>
          <w:sz w:val="20"/>
          <w:szCs w:val="20"/>
        </w:rPr>
        <w:t>振市场</w:t>
      </w:r>
      <w:proofErr w:type="gramEnd"/>
      <w:r w:rsidRPr="00376B3A">
        <w:rPr>
          <w:rFonts w:ascii="楷体" w:eastAsia="楷体" w:hAnsi="楷体" w:cs="Arial" w:hint="eastAsia"/>
          <w:b/>
          <w:color w:val="auto"/>
          <w:sz w:val="20"/>
          <w:szCs w:val="20"/>
        </w:rPr>
        <w:t>情绪</w:t>
      </w:r>
      <w:r w:rsidR="00E54722">
        <w:rPr>
          <w:rFonts w:ascii="楷体" w:eastAsia="楷体" w:hAnsi="楷体" w:cs="Arial" w:hint="eastAsia"/>
          <w:b/>
          <w:color w:val="auto"/>
          <w:sz w:val="20"/>
          <w:szCs w:val="20"/>
        </w:rPr>
        <w:t>，维持资金面平稳格局</w:t>
      </w:r>
      <w:r w:rsidR="0053273E" w:rsidRPr="006C29BB">
        <w:rPr>
          <w:rFonts w:ascii="楷体" w:eastAsia="楷体" w:hAnsi="楷体" w:cs="Arial"/>
          <w:b/>
          <w:color w:val="auto"/>
          <w:sz w:val="20"/>
          <w:szCs w:val="20"/>
        </w:rPr>
        <w:t>。</w:t>
      </w:r>
      <w:r w:rsidR="00B62338" w:rsidRPr="006C29BB">
        <w:rPr>
          <w:rFonts w:ascii="楷体" w:eastAsia="楷体" w:hAnsi="楷体" w:cs="Arial" w:hint="eastAsia"/>
          <w:color w:val="auto"/>
          <w:sz w:val="20"/>
          <w:szCs w:val="20"/>
        </w:rPr>
        <w:t>本周净</w:t>
      </w:r>
      <w:r w:rsidR="00E54722">
        <w:rPr>
          <w:rFonts w:ascii="楷体" w:eastAsia="楷体" w:hAnsi="楷体" w:cs="Arial" w:hint="eastAsia"/>
          <w:color w:val="auto"/>
          <w:sz w:val="20"/>
          <w:szCs w:val="20"/>
        </w:rPr>
        <w:t>投放500亿。</w:t>
      </w:r>
      <w:r w:rsidR="00E54722" w:rsidRPr="00E54722">
        <w:rPr>
          <w:rFonts w:ascii="楷体" w:eastAsia="楷体" w:hAnsi="楷体" w:cs="Arial" w:hint="eastAsia"/>
          <w:color w:val="auto"/>
          <w:sz w:val="20"/>
          <w:szCs w:val="20"/>
        </w:rPr>
        <w:t>由于例行财政缴税导致大型商业银行资金供给减少，</w:t>
      </w:r>
      <w:r w:rsidR="002252D6">
        <w:rPr>
          <w:rFonts w:ascii="楷体" w:eastAsia="楷体" w:hAnsi="楷体" w:cs="Arial" w:hint="eastAsia"/>
          <w:color w:val="auto"/>
          <w:sz w:val="20"/>
          <w:szCs w:val="20"/>
        </w:rPr>
        <w:t>上</w:t>
      </w:r>
      <w:r w:rsidR="00A1271C">
        <w:rPr>
          <w:rFonts w:ascii="楷体" w:eastAsia="楷体" w:hAnsi="楷体" w:cs="Arial" w:hint="eastAsia"/>
          <w:color w:val="auto"/>
          <w:sz w:val="20"/>
          <w:szCs w:val="20"/>
        </w:rPr>
        <w:t>周一银行间市场资金面较前日略有收紧，</w:t>
      </w:r>
      <w:r w:rsidR="002252D6">
        <w:rPr>
          <w:rFonts w:ascii="楷体" w:eastAsia="楷体" w:hAnsi="楷体" w:cs="Arial" w:hint="eastAsia"/>
          <w:color w:val="auto"/>
          <w:sz w:val="20"/>
          <w:szCs w:val="20"/>
        </w:rPr>
        <w:t>5月16</w:t>
      </w:r>
      <w:r w:rsidR="00A1271C">
        <w:rPr>
          <w:rFonts w:ascii="楷体" w:eastAsia="楷体" w:hAnsi="楷体" w:cs="Arial" w:hint="eastAsia"/>
          <w:color w:val="auto"/>
          <w:sz w:val="20"/>
          <w:szCs w:val="20"/>
        </w:rPr>
        <w:t>日</w:t>
      </w:r>
      <w:r w:rsidR="00E54722" w:rsidRPr="00E54722">
        <w:rPr>
          <w:rFonts w:ascii="楷体" w:eastAsia="楷体" w:hAnsi="楷体" w:cs="Arial" w:hint="eastAsia"/>
          <w:color w:val="auto"/>
          <w:sz w:val="20"/>
          <w:szCs w:val="20"/>
        </w:rPr>
        <w:t>为保持银行体系流动性合理充裕，人民银行对21家金融机构开展MLF</w:t>
      </w:r>
      <w:proofErr w:type="gramStart"/>
      <w:r w:rsidR="00E54722" w:rsidRPr="00E54722">
        <w:rPr>
          <w:rFonts w:ascii="楷体" w:eastAsia="楷体" w:hAnsi="楷体" w:cs="Arial" w:hint="eastAsia"/>
          <w:color w:val="auto"/>
          <w:sz w:val="20"/>
          <w:szCs w:val="20"/>
        </w:rPr>
        <w:t>操作共</w:t>
      </w:r>
      <w:proofErr w:type="gramEnd"/>
      <w:r w:rsidR="00E54722" w:rsidRPr="00E54722">
        <w:rPr>
          <w:rFonts w:ascii="楷体" w:eastAsia="楷体" w:hAnsi="楷体" w:cs="Arial" w:hint="eastAsia"/>
          <w:color w:val="auto"/>
          <w:sz w:val="20"/>
          <w:szCs w:val="20"/>
        </w:rPr>
        <w:t>2900亿元</w:t>
      </w:r>
      <w:r w:rsidR="00E54722">
        <w:rPr>
          <w:rFonts w:ascii="楷体" w:eastAsia="楷体" w:hAnsi="楷体" w:cs="Arial" w:hint="eastAsia"/>
          <w:color w:val="auto"/>
          <w:sz w:val="20"/>
          <w:szCs w:val="20"/>
        </w:rPr>
        <w:t>，</w:t>
      </w:r>
      <w:r w:rsidR="00E54722" w:rsidRPr="00E54722">
        <w:rPr>
          <w:rFonts w:ascii="楷体" w:eastAsia="楷体" w:hAnsi="楷体" w:cs="Arial" w:hint="eastAsia"/>
          <w:color w:val="auto"/>
          <w:sz w:val="20"/>
          <w:szCs w:val="20"/>
        </w:rPr>
        <w:t>当日MLF的操作规模已超过本月</w:t>
      </w:r>
      <w:r w:rsidR="00A1271C">
        <w:rPr>
          <w:rFonts w:ascii="楷体" w:eastAsia="楷体" w:hAnsi="楷体" w:cs="Arial" w:hint="eastAsia"/>
          <w:color w:val="auto"/>
          <w:sz w:val="20"/>
          <w:szCs w:val="20"/>
        </w:rPr>
        <w:t>MLF</w:t>
      </w:r>
      <w:r w:rsidR="00E54722" w:rsidRPr="00E54722">
        <w:rPr>
          <w:rFonts w:ascii="楷体" w:eastAsia="楷体" w:hAnsi="楷体" w:cs="Arial" w:hint="eastAsia"/>
          <w:color w:val="auto"/>
          <w:sz w:val="20"/>
          <w:szCs w:val="20"/>
        </w:rPr>
        <w:t>到期量，充分显示了央行维持资金面稳定的决心。</w:t>
      </w:r>
      <w:r w:rsidR="00A867D5" w:rsidRPr="006C29BB">
        <w:rPr>
          <w:rFonts w:ascii="楷体" w:eastAsia="楷体" w:hAnsi="楷体" w:cs="Arial" w:hint="eastAsia"/>
          <w:color w:val="auto"/>
          <w:sz w:val="20"/>
          <w:szCs w:val="20"/>
        </w:rPr>
        <w:t>各期限资金利率</w:t>
      </w:r>
      <w:r w:rsidR="006C29BB" w:rsidRPr="006C29BB">
        <w:rPr>
          <w:rFonts w:ascii="楷体" w:eastAsia="楷体" w:hAnsi="楷体" w:cs="Arial" w:hint="eastAsia"/>
          <w:color w:val="auto"/>
          <w:sz w:val="20"/>
          <w:szCs w:val="20"/>
        </w:rPr>
        <w:t>保持相对平稳的状态</w:t>
      </w:r>
      <w:r w:rsidR="00A867D5" w:rsidRPr="006C29BB">
        <w:rPr>
          <w:rFonts w:ascii="楷体" w:eastAsia="楷体" w:hAnsi="楷体" w:cs="Arial" w:hint="eastAsia"/>
          <w:color w:val="auto"/>
          <w:sz w:val="20"/>
          <w:szCs w:val="20"/>
        </w:rPr>
        <w:t>。短端7天逆回购招标利率仍维持在2.25%不变。银行间7天回购利率R007</w:t>
      </w:r>
      <w:r w:rsidR="00E54722">
        <w:rPr>
          <w:rFonts w:ascii="楷体" w:eastAsia="楷体" w:hAnsi="楷体" w:cs="Arial" w:hint="eastAsia"/>
          <w:color w:val="auto"/>
          <w:sz w:val="20"/>
          <w:szCs w:val="20"/>
        </w:rPr>
        <w:t>小幅下</w:t>
      </w:r>
      <w:r w:rsidR="006C29BB" w:rsidRPr="006C29BB">
        <w:rPr>
          <w:rFonts w:ascii="楷体" w:eastAsia="楷体" w:hAnsi="楷体" w:cs="Arial" w:hint="eastAsia"/>
          <w:color w:val="auto"/>
          <w:sz w:val="20"/>
          <w:szCs w:val="20"/>
        </w:rPr>
        <w:t>行</w:t>
      </w:r>
      <w:r w:rsidR="00E54722">
        <w:rPr>
          <w:rFonts w:ascii="楷体" w:eastAsia="楷体" w:hAnsi="楷体" w:cs="Arial" w:hint="eastAsia"/>
          <w:color w:val="auto"/>
          <w:sz w:val="20"/>
          <w:szCs w:val="20"/>
        </w:rPr>
        <w:t>4</w:t>
      </w:r>
      <w:r w:rsidR="006C29BB" w:rsidRPr="006C29BB">
        <w:rPr>
          <w:rFonts w:ascii="楷体" w:eastAsia="楷体" w:hAnsi="楷体" w:cs="Arial" w:hint="eastAsia"/>
          <w:color w:val="auto"/>
          <w:sz w:val="20"/>
          <w:szCs w:val="20"/>
        </w:rPr>
        <w:t>bp至2.4</w:t>
      </w:r>
      <w:r w:rsidR="00E54722">
        <w:rPr>
          <w:rFonts w:ascii="楷体" w:eastAsia="楷体" w:hAnsi="楷体" w:cs="Arial" w:hint="eastAsia"/>
          <w:color w:val="auto"/>
          <w:sz w:val="20"/>
          <w:szCs w:val="20"/>
        </w:rPr>
        <w:t>1</w:t>
      </w:r>
      <w:r w:rsidR="006C29BB" w:rsidRPr="006C29BB">
        <w:rPr>
          <w:rFonts w:ascii="楷体" w:eastAsia="楷体" w:hAnsi="楷体" w:cs="Arial" w:hint="eastAsia"/>
          <w:color w:val="auto"/>
          <w:sz w:val="20"/>
          <w:szCs w:val="20"/>
        </w:rPr>
        <w:t>%</w:t>
      </w:r>
      <w:r w:rsidR="00A867D5" w:rsidRPr="006C29BB">
        <w:rPr>
          <w:rFonts w:ascii="楷体" w:eastAsia="楷体" w:hAnsi="楷体" w:cs="Arial" w:hint="eastAsia"/>
          <w:color w:val="auto"/>
          <w:sz w:val="20"/>
          <w:szCs w:val="20"/>
        </w:rPr>
        <w:t>，隔夜回购利率R001</w:t>
      </w:r>
      <w:r w:rsidR="006C29BB" w:rsidRPr="006C29BB">
        <w:rPr>
          <w:rFonts w:ascii="楷体" w:eastAsia="楷体" w:hAnsi="楷体" w:cs="Arial" w:hint="eastAsia"/>
          <w:color w:val="auto"/>
          <w:sz w:val="20"/>
          <w:szCs w:val="20"/>
        </w:rPr>
        <w:t>维持2.03</w:t>
      </w:r>
      <w:r w:rsidR="00A867D5" w:rsidRPr="006C29BB">
        <w:rPr>
          <w:rFonts w:ascii="楷体" w:eastAsia="楷体" w:hAnsi="楷体" w:cs="Arial" w:hint="eastAsia"/>
          <w:color w:val="auto"/>
          <w:sz w:val="20"/>
          <w:szCs w:val="20"/>
        </w:rPr>
        <w:t>%</w:t>
      </w:r>
      <w:r w:rsidR="006C29BB" w:rsidRPr="006C29BB">
        <w:rPr>
          <w:rFonts w:ascii="楷体" w:eastAsia="楷体" w:hAnsi="楷体" w:cs="Arial" w:hint="eastAsia"/>
          <w:color w:val="auto"/>
          <w:sz w:val="20"/>
          <w:szCs w:val="20"/>
        </w:rPr>
        <w:t>不变</w:t>
      </w:r>
      <w:r w:rsidR="00A867D5" w:rsidRPr="006C29BB">
        <w:rPr>
          <w:rFonts w:ascii="楷体" w:eastAsia="楷体" w:hAnsi="楷体" w:cs="Arial" w:hint="eastAsia"/>
          <w:color w:val="auto"/>
          <w:sz w:val="20"/>
          <w:szCs w:val="20"/>
        </w:rPr>
        <w:t>。</w:t>
      </w:r>
      <w:r w:rsidR="0053273E" w:rsidRPr="00F354FD">
        <w:rPr>
          <w:rFonts w:ascii="楷体" w:eastAsia="楷体" w:hAnsi="楷体" w:cs="Arial" w:hint="eastAsia"/>
          <w:color w:val="auto"/>
          <w:sz w:val="20"/>
          <w:szCs w:val="20"/>
        </w:rPr>
        <w:t>利率债方面，</w:t>
      </w:r>
      <w:r w:rsidR="00F354FD" w:rsidRPr="00F354FD">
        <w:rPr>
          <w:rFonts w:ascii="楷体" w:eastAsia="楷体" w:hAnsi="楷体" w:cs="Arial" w:hint="eastAsia"/>
          <w:color w:val="auto"/>
          <w:sz w:val="20"/>
          <w:szCs w:val="20"/>
        </w:rPr>
        <w:t>加息预期再起令汇率承压，利率债重回调整，一级招标利率上行，金融监管升级也对债市产生一定负影响。</w:t>
      </w:r>
      <w:r w:rsidR="00A867D5" w:rsidRPr="00F354FD">
        <w:rPr>
          <w:rFonts w:ascii="楷体" w:eastAsia="楷体" w:hAnsi="楷体" w:cs="Arial" w:hint="eastAsia"/>
          <w:color w:val="auto"/>
          <w:sz w:val="20"/>
          <w:szCs w:val="20"/>
        </w:rPr>
        <w:t>信用债方面，</w:t>
      </w:r>
      <w:proofErr w:type="gramStart"/>
      <w:r w:rsidR="00F354FD" w:rsidRPr="00F354FD">
        <w:rPr>
          <w:rFonts w:ascii="楷体" w:eastAsia="楷体" w:hAnsi="楷体" w:cs="Arial" w:hint="eastAsia"/>
          <w:color w:val="auto"/>
          <w:sz w:val="20"/>
          <w:szCs w:val="20"/>
        </w:rPr>
        <w:t>资管监管趋严对债券</w:t>
      </w:r>
      <w:proofErr w:type="gramEnd"/>
      <w:r w:rsidR="00F354FD" w:rsidRPr="00F354FD">
        <w:rPr>
          <w:rFonts w:ascii="楷体" w:eastAsia="楷体" w:hAnsi="楷体" w:cs="Arial" w:hint="eastAsia"/>
          <w:color w:val="auto"/>
          <w:sz w:val="20"/>
          <w:szCs w:val="20"/>
        </w:rPr>
        <w:t>形成抛压，信用债也小幅调整。</w:t>
      </w:r>
      <w:proofErr w:type="gramStart"/>
      <w:r w:rsidR="00E917C3" w:rsidRPr="00F354FD">
        <w:rPr>
          <w:rFonts w:ascii="楷体" w:eastAsia="楷体" w:hAnsi="楷体" w:cs="Arial" w:hint="eastAsia"/>
          <w:color w:val="auto"/>
          <w:sz w:val="20"/>
          <w:szCs w:val="20"/>
        </w:rPr>
        <w:t>上周</w:t>
      </w:r>
      <w:r w:rsidR="00E54722" w:rsidRPr="00F354FD">
        <w:rPr>
          <w:rFonts w:ascii="楷体" w:eastAsia="楷体" w:hAnsi="楷体" w:cs="Arial" w:hint="eastAsia"/>
          <w:color w:val="auto"/>
          <w:sz w:val="20"/>
          <w:szCs w:val="20"/>
        </w:rPr>
        <w:t>中债总净价</w:t>
      </w:r>
      <w:proofErr w:type="gramEnd"/>
      <w:r w:rsidR="00E54722" w:rsidRPr="00F354FD">
        <w:rPr>
          <w:rFonts w:ascii="楷体" w:eastAsia="楷体" w:hAnsi="楷体" w:cs="Arial" w:hint="eastAsia"/>
          <w:color w:val="auto"/>
          <w:sz w:val="20"/>
          <w:szCs w:val="20"/>
        </w:rPr>
        <w:t>指数下跌</w:t>
      </w:r>
      <w:r w:rsidR="0053273E" w:rsidRPr="00F354FD">
        <w:rPr>
          <w:rFonts w:ascii="楷体" w:eastAsia="楷体" w:hAnsi="楷体" w:cs="Arial" w:hint="eastAsia"/>
          <w:color w:val="auto"/>
          <w:sz w:val="20"/>
          <w:szCs w:val="20"/>
        </w:rPr>
        <w:t>0.</w:t>
      </w:r>
      <w:r w:rsidR="00B214B7" w:rsidRPr="00F354FD">
        <w:rPr>
          <w:rFonts w:ascii="楷体" w:eastAsia="楷体" w:hAnsi="楷体" w:cs="Arial" w:hint="eastAsia"/>
          <w:color w:val="auto"/>
          <w:sz w:val="20"/>
          <w:szCs w:val="20"/>
        </w:rPr>
        <w:t>27</w:t>
      </w:r>
      <w:r w:rsidR="0053273E" w:rsidRPr="00F354FD">
        <w:rPr>
          <w:rFonts w:ascii="楷体" w:eastAsia="楷体" w:hAnsi="楷体" w:cs="Arial" w:hint="eastAsia"/>
          <w:color w:val="auto"/>
          <w:sz w:val="20"/>
          <w:szCs w:val="20"/>
        </w:rPr>
        <w:t>%，中</w:t>
      </w:r>
      <w:proofErr w:type="gramStart"/>
      <w:r w:rsidR="0053273E" w:rsidRPr="00F354FD">
        <w:rPr>
          <w:rFonts w:ascii="楷体" w:eastAsia="楷体" w:hAnsi="楷体" w:cs="Arial" w:hint="eastAsia"/>
          <w:color w:val="auto"/>
          <w:sz w:val="20"/>
          <w:szCs w:val="20"/>
        </w:rPr>
        <w:t>债企业债总</w:t>
      </w:r>
      <w:proofErr w:type="gramEnd"/>
      <w:r w:rsidR="0053273E" w:rsidRPr="00F354FD">
        <w:rPr>
          <w:rFonts w:ascii="楷体" w:eastAsia="楷体" w:hAnsi="楷体" w:cs="Arial" w:hint="eastAsia"/>
          <w:color w:val="auto"/>
          <w:sz w:val="20"/>
          <w:szCs w:val="20"/>
        </w:rPr>
        <w:t>净价指数</w:t>
      </w:r>
      <w:r w:rsidR="00E54722" w:rsidRPr="00F354FD">
        <w:rPr>
          <w:rFonts w:ascii="楷体" w:eastAsia="楷体" w:hAnsi="楷体" w:cs="Arial" w:hint="eastAsia"/>
          <w:color w:val="auto"/>
          <w:sz w:val="20"/>
          <w:szCs w:val="20"/>
        </w:rPr>
        <w:t>下跌</w:t>
      </w:r>
      <w:r w:rsidR="0053273E" w:rsidRPr="00F354FD">
        <w:rPr>
          <w:rFonts w:ascii="楷体" w:eastAsia="楷体" w:hAnsi="楷体" w:cs="Arial" w:hint="eastAsia"/>
          <w:color w:val="auto"/>
          <w:sz w:val="20"/>
          <w:szCs w:val="20"/>
        </w:rPr>
        <w:t>0.</w:t>
      </w:r>
      <w:r w:rsidR="00E54722" w:rsidRPr="00F354FD">
        <w:rPr>
          <w:rFonts w:ascii="楷体" w:eastAsia="楷体" w:hAnsi="楷体" w:cs="Arial" w:hint="eastAsia"/>
          <w:color w:val="auto"/>
          <w:sz w:val="20"/>
          <w:szCs w:val="20"/>
        </w:rPr>
        <w:t>18</w:t>
      </w:r>
      <w:r w:rsidR="0053273E" w:rsidRPr="00F354FD">
        <w:rPr>
          <w:rFonts w:ascii="楷体" w:eastAsia="楷体" w:hAnsi="楷体" w:cs="Arial" w:hint="eastAsia"/>
          <w:color w:val="auto"/>
          <w:sz w:val="20"/>
          <w:szCs w:val="20"/>
        </w:rPr>
        <w:t>%，中债国</w:t>
      </w:r>
      <w:r w:rsidR="0053273E" w:rsidRPr="006C29BB">
        <w:rPr>
          <w:rFonts w:ascii="楷体" w:eastAsia="楷体" w:hAnsi="楷体" w:cs="Arial" w:hint="eastAsia"/>
          <w:color w:val="auto"/>
          <w:sz w:val="20"/>
          <w:szCs w:val="20"/>
        </w:rPr>
        <w:t>债总净价指数</w:t>
      </w:r>
      <w:r w:rsidR="00E54722">
        <w:rPr>
          <w:rFonts w:ascii="楷体" w:eastAsia="楷体" w:hAnsi="楷体" w:cs="Arial" w:hint="eastAsia"/>
          <w:color w:val="auto"/>
          <w:sz w:val="20"/>
          <w:szCs w:val="20"/>
        </w:rPr>
        <w:t>下跌</w:t>
      </w:r>
      <w:r w:rsidR="0053273E" w:rsidRPr="006C29BB">
        <w:rPr>
          <w:rFonts w:ascii="楷体" w:eastAsia="楷体" w:hAnsi="楷体" w:cs="Arial" w:hint="eastAsia"/>
          <w:color w:val="auto"/>
          <w:sz w:val="20"/>
          <w:szCs w:val="20"/>
        </w:rPr>
        <w:t>0.</w:t>
      </w:r>
      <w:r w:rsidR="00E54722">
        <w:rPr>
          <w:rFonts w:ascii="楷体" w:eastAsia="楷体" w:hAnsi="楷体" w:cs="Arial" w:hint="eastAsia"/>
          <w:color w:val="auto"/>
          <w:sz w:val="20"/>
          <w:szCs w:val="20"/>
        </w:rPr>
        <w:t>31</w:t>
      </w:r>
      <w:r w:rsidR="0053273E" w:rsidRPr="006C29BB">
        <w:rPr>
          <w:rFonts w:ascii="楷体" w:eastAsia="楷体" w:hAnsi="楷体" w:cs="Arial" w:hint="eastAsia"/>
          <w:color w:val="auto"/>
          <w:sz w:val="20"/>
          <w:szCs w:val="20"/>
        </w:rPr>
        <w:t>%，中</w:t>
      </w:r>
      <w:proofErr w:type="gramStart"/>
      <w:r w:rsidR="0053273E" w:rsidRPr="006C29BB">
        <w:rPr>
          <w:rFonts w:ascii="楷体" w:eastAsia="楷体" w:hAnsi="楷体" w:cs="Arial" w:hint="eastAsia"/>
          <w:color w:val="auto"/>
          <w:sz w:val="20"/>
          <w:szCs w:val="20"/>
        </w:rPr>
        <w:t>证转债</w:t>
      </w:r>
      <w:r w:rsidR="00B214B7">
        <w:rPr>
          <w:rFonts w:ascii="楷体" w:eastAsia="楷体" w:hAnsi="楷体" w:cs="Arial" w:hint="eastAsia"/>
          <w:color w:val="auto"/>
          <w:sz w:val="20"/>
          <w:szCs w:val="20"/>
        </w:rPr>
        <w:t>跌</w:t>
      </w:r>
      <w:proofErr w:type="gramEnd"/>
      <w:r w:rsidR="00E54722">
        <w:rPr>
          <w:rFonts w:ascii="楷体" w:eastAsia="楷体" w:hAnsi="楷体" w:cs="Arial" w:hint="eastAsia"/>
          <w:color w:val="auto"/>
          <w:sz w:val="20"/>
          <w:szCs w:val="20"/>
        </w:rPr>
        <w:t>1.23</w:t>
      </w:r>
      <w:r w:rsidR="0053273E" w:rsidRPr="006C29BB">
        <w:rPr>
          <w:rFonts w:ascii="楷体" w:eastAsia="楷体" w:hAnsi="楷体" w:cs="Arial" w:hint="eastAsia"/>
          <w:color w:val="auto"/>
          <w:sz w:val="20"/>
          <w:szCs w:val="20"/>
        </w:rPr>
        <w:t>%。</w:t>
      </w:r>
    </w:p>
    <w:p w:rsidR="0053273E" w:rsidRPr="0032491D" w:rsidRDefault="00325556" w:rsidP="0053273E">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Pr>
          <w:rFonts w:ascii="楷体" w:eastAsia="楷体" w:hAnsi="楷体" w:cs="Arial" w:hint="eastAsia"/>
          <w:b/>
          <w:bCs/>
          <w:color w:val="002060"/>
          <w:kern w:val="0"/>
          <w:sz w:val="24"/>
          <w:szCs w:val="13"/>
        </w:rPr>
        <w:t xml:space="preserve"> </w:t>
      </w:r>
      <w:r w:rsidR="0053273E" w:rsidRPr="0032491D">
        <w:rPr>
          <w:rFonts w:ascii="楷体" w:eastAsia="楷体" w:hAnsi="楷体" w:cs="Arial"/>
          <w:b/>
          <w:bCs/>
          <w:color w:val="002060"/>
          <w:kern w:val="0"/>
          <w:sz w:val="24"/>
          <w:szCs w:val="13"/>
        </w:rPr>
        <w:t>海外市场</w:t>
      </w:r>
    </w:p>
    <w:p w:rsidR="0053273E" w:rsidRPr="0032491D" w:rsidRDefault="003629DD" w:rsidP="0053273E">
      <w:pPr>
        <w:pStyle w:val="a5"/>
        <w:spacing w:beforeLines="100" w:before="240" w:afterLines="100" w:after="240" w:line="260" w:lineRule="exact"/>
        <w:ind w:leftChars="1822" w:left="3826" w:rightChars="-34" w:right="-71" w:firstLineChars="212" w:firstLine="426"/>
        <w:rPr>
          <w:rFonts w:ascii="楷体" w:eastAsia="楷体" w:hAnsi="楷体" w:cs="Arial"/>
          <w:color w:val="000000" w:themeColor="text1"/>
          <w:sz w:val="20"/>
          <w:szCs w:val="20"/>
        </w:rPr>
      </w:pPr>
      <w:r>
        <w:rPr>
          <w:rFonts w:ascii="楷体" w:eastAsia="楷体" w:hAnsi="楷体" w:cs="Arial" w:hint="eastAsia"/>
          <w:b/>
          <w:color w:val="000000" w:themeColor="text1"/>
          <w:sz w:val="20"/>
          <w:szCs w:val="20"/>
        </w:rPr>
        <w:t>美联储重提加息可能，助</w:t>
      </w:r>
      <w:proofErr w:type="gramStart"/>
      <w:r>
        <w:rPr>
          <w:rFonts w:ascii="楷体" w:eastAsia="楷体" w:hAnsi="楷体" w:cs="Arial" w:hint="eastAsia"/>
          <w:b/>
          <w:color w:val="000000" w:themeColor="text1"/>
          <w:sz w:val="20"/>
          <w:szCs w:val="20"/>
        </w:rPr>
        <w:t>推美元</w:t>
      </w:r>
      <w:proofErr w:type="gramEnd"/>
      <w:r>
        <w:rPr>
          <w:rFonts w:ascii="楷体" w:eastAsia="楷体" w:hAnsi="楷体" w:cs="Arial" w:hint="eastAsia"/>
          <w:b/>
          <w:color w:val="000000" w:themeColor="text1"/>
          <w:sz w:val="20"/>
          <w:szCs w:val="20"/>
        </w:rPr>
        <w:t>小幅上涨</w:t>
      </w:r>
      <w:r w:rsidR="0053273E">
        <w:rPr>
          <w:rFonts w:ascii="楷体" w:eastAsia="楷体" w:hAnsi="楷体" w:cs="Arial" w:hint="eastAsia"/>
          <w:b/>
          <w:color w:val="000000" w:themeColor="text1"/>
          <w:sz w:val="20"/>
          <w:szCs w:val="20"/>
        </w:rPr>
        <w:t>。</w:t>
      </w:r>
      <w:r w:rsidRPr="003629DD">
        <w:rPr>
          <w:rFonts w:ascii="楷体" w:eastAsia="楷体" w:hAnsi="楷体" w:cs="Arial" w:hint="eastAsia"/>
          <w:color w:val="000000" w:themeColor="text1"/>
          <w:sz w:val="20"/>
          <w:szCs w:val="20"/>
        </w:rPr>
        <w:t>北京时间5月19日凌晨，美联储公布4月26日-27日货币政策会议纪要，委员对有关数据是否支持6月加息存在一定分歧。有几位FOMC委员认为4月加息是合适的。多数委员都认为如果经济形势允许，6月加息“有可能”。</w:t>
      </w:r>
      <w:r>
        <w:rPr>
          <w:rFonts w:ascii="楷体" w:eastAsia="楷体" w:hAnsi="楷体" w:cs="Arial" w:hint="eastAsia"/>
          <w:color w:val="000000" w:themeColor="text1"/>
          <w:sz w:val="20"/>
          <w:szCs w:val="20"/>
        </w:rPr>
        <w:t>同时</w:t>
      </w:r>
      <w:r w:rsidRPr="003629DD">
        <w:rPr>
          <w:rFonts w:ascii="楷体" w:eastAsia="楷体" w:hAnsi="楷体" w:cs="Arial" w:hint="eastAsia"/>
          <w:color w:val="000000" w:themeColor="text1"/>
          <w:sz w:val="20"/>
          <w:szCs w:val="20"/>
        </w:rPr>
        <w:t>经济数据面</w:t>
      </w:r>
      <w:r>
        <w:rPr>
          <w:rFonts w:ascii="楷体" w:eastAsia="楷体" w:hAnsi="楷体" w:cs="Arial" w:hint="eastAsia"/>
          <w:color w:val="000000" w:themeColor="text1"/>
          <w:sz w:val="20"/>
          <w:szCs w:val="20"/>
        </w:rPr>
        <w:t>上新屋开工量、工业产出、消费者物价指数、制造业指数好坏参半</w:t>
      </w:r>
      <w:r w:rsidRPr="003629DD">
        <w:rPr>
          <w:rFonts w:ascii="楷体" w:eastAsia="楷体" w:hAnsi="楷体" w:cs="Arial" w:hint="eastAsia"/>
          <w:color w:val="000000" w:themeColor="text1"/>
          <w:sz w:val="20"/>
          <w:szCs w:val="20"/>
        </w:rPr>
        <w:t>。投资者正在权衡经济数据与美联储官员有关加息的言论。</w:t>
      </w:r>
      <w:r w:rsidR="0053273E">
        <w:rPr>
          <w:rFonts w:ascii="楷体" w:eastAsia="楷体" w:hAnsi="楷体" w:cs="Arial" w:hint="eastAsia"/>
          <w:color w:val="000000" w:themeColor="text1"/>
          <w:sz w:val="20"/>
          <w:szCs w:val="20"/>
        </w:rPr>
        <w:t>全周</w:t>
      </w:r>
      <w:r w:rsidR="000A5EFA">
        <w:rPr>
          <w:rFonts w:ascii="楷体" w:eastAsia="楷体" w:hAnsi="楷体" w:cs="Arial" w:hint="eastAsia"/>
          <w:color w:val="000000" w:themeColor="text1"/>
          <w:sz w:val="20"/>
          <w:szCs w:val="20"/>
        </w:rPr>
        <w:t>美元指数</w:t>
      </w:r>
      <w:r w:rsidR="0053273E">
        <w:rPr>
          <w:rFonts w:ascii="楷体" w:eastAsia="楷体" w:hAnsi="楷体" w:cs="Arial" w:hint="eastAsia"/>
          <w:color w:val="000000" w:themeColor="text1"/>
          <w:sz w:val="20"/>
          <w:szCs w:val="20"/>
        </w:rPr>
        <w:t>上涨</w:t>
      </w:r>
      <w:r>
        <w:rPr>
          <w:rFonts w:ascii="楷体" w:eastAsia="楷体" w:hAnsi="楷体" w:cs="Arial" w:hint="eastAsia"/>
          <w:color w:val="000000" w:themeColor="text1"/>
          <w:sz w:val="20"/>
          <w:szCs w:val="20"/>
        </w:rPr>
        <w:t>0.7</w:t>
      </w:r>
      <w:r w:rsidR="000A5EFA">
        <w:rPr>
          <w:rFonts w:ascii="楷体" w:eastAsia="楷体" w:hAnsi="楷体" w:cs="Arial" w:hint="eastAsia"/>
          <w:color w:val="000000" w:themeColor="text1"/>
          <w:sz w:val="20"/>
          <w:szCs w:val="20"/>
        </w:rPr>
        <w:t>2</w:t>
      </w:r>
      <w:r w:rsidR="0053273E">
        <w:rPr>
          <w:rFonts w:ascii="楷体" w:eastAsia="楷体" w:hAnsi="楷体" w:cs="Arial" w:hint="eastAsia"/>
          <w:color w:val="000000" w:themeColor="text1"/>
          <w:sz w:val="20"/>
          <w:szCs w:val="20"/>
        </w:rPr>
        <w:t>%。全周来看</w:t>
      </w:r>
      <w:r w:rsidR="0053273E" w:rsidRPr="0032491D">
        <w:rPr>
          <w:rFonts w:ascii="楷体" w:eastAsia="楷体" w:hAnsi="楷体" w:cs="Arial" w:hint="eastAsia"/>
          <w:color w:val="000000" w:themeColor="text1"/>
          <w:sz w:val="20"/>
          <w:szCs w:val="20"/>
        </w:rPr>
        <w:t>，美国市场，标普、纳斯达克100分</w:t>
      </w:r>
      <w:r>
        <w:rPr>
          <w:rFonts w:ascii="楷体" w:eastAsia="楷体" w:hAnsi="楷体" w:cs="Arial" w:hint="eastAsia"/>
          <w:color w:val="000000" w:themeColor="text1"/>
          <w:sz w:val="20"/>
          <w:szCs w:val="20"/>
        </w:rPr>
        <w:t>别上涨0.28</w:t>
      </w:r>
      <w:r w:rsidR="0053273E" w:rsidRPr="0032491D">
        <w:rPr>
          <w:rFonts w:ascii="楷体" w:eastAsia="楷体" w:hAnsi="楷体" w:cs="Arial" w:hint="eastAsia"/>
          <w:color w:val="000000" w:themeColor="text1"/>
          <w:sz w:val="20"/>
          <w:szCs w:val="20"/>
        </w:rPr>
        <w:t>%、</w:t>
      </w:r>
      <w:r>
        <w:rPr>
          <w:rFonts w:ascii="楷体" w:eastAsia="楷体" w:hAnsi="楷体" w:cs="Arial" w:hint="eastAsia"/>
          <w:color w:val="000000" w:themeColor="text1"/>
          <w:sz w:val="20"/>
          <w:szCs w:val="20"/>
        </w:rPr>
        <w:t>0.84</w:t>
      </w:r>
      <w:r w:rsidR="0053273E" w:rsidRPr="0032491D">
        <w:rPr>
          <w:rFonts w:ascii="楷体" w:eastAsia="楷体" w:hAnsi="楷体" w:cs="Arial" w:hint="eastAsia"/>
          <w:color w:val="000000" w:themeColor="text1"/>
          <w:sz w:val="20"/>
          <w:szCs w:val="20"/>
        </w:rPr>
        <w:t>%</w:t>
      </w:r>
      <w:r>
        <w:rPr>
          <w:rFonts w:ascii="楷体" w:eastAsia="楷体" w:hAnsi="楷体" w:cs="Arial" w:hint="eastAsia"/>
          <w:color w:val="000000" w:themeColor="text1"/>
          <w:sz w:val="20"/>
          <w:szCs w:val="20"/>
        </w:rPr>
        <w:t>，道指下跌</w:t>
      </w:r>
      <w:r w:rsidR="0053273E">
        <w:rPr>
          <w:rFonts w:ascii="楷体" w:eastAsia="楷体" w:hAnsi="楷体" w:cs="Arial" w:hint="eastAsia"/>
          <w:color w:val="000000" w:themeColor="text1"/>
          <w:sz w:val="20"/>
          <w:szCs w:val="20"/>
        </w:rPr>
        <w:t>0.</w:t>
      </w:r>
      <w:r>
        <w:rPr>
          <w:rFonts w:ascii="楷体" w:eastAsia="楷体" w:hAnsi="楷体" w:cs="Arial" w:hint="eastAsia"/>
          <w:color w:val="000000" w:themeColor="text1"/>
          <w:sz w:val="20"/>
          <w:szCs w:val="20"/>
        </w:rPr>
        <w:t>20</w:t>
      </w:r>
      <w:r w:rsidR="0053273E">
        <w:rPr>
          <w:rFonts w:ascii="楷体" w:eastAsia="楷体" w:hAnsi="楷体" w:cs="Arial" w:hint="eastAsia"/>
          <w:color w:val="000000" w:themeColor="text1"/>
          <w:sz w:val="20"/>
          <w:szCs w:val="20"/>
        </w:rPr>
        <w:t>%</w:t>
      </w:r>
      <w:r w:rsidR="0053273E" w:rsidRPr="0032491D">
        <w:rPr>
          <w:rFonts w:ascii="楷体" w:eastAsia="楷体" w:hAnsi="楷体" w:cs="Arial" w:hint="eastAsia"/>
          <w:color w:val="000000" w:themeColor="text1"/>
          <w:sz w:val="20"/>
          <w:szCs w:val="20"/>
        </w:rPr>
        <w:t>；欧洲市场，德国DAX指数、法国CAC40指数、英国富时100指数上周涨跌幅分别为</w:t>
      </w:r>
      <w:r>
        <w:rPr>
          <w:rFonts w:ascii="楷体" w:eastAsia="楷体" w:hAnsi="楷体" w:cs="Arial" w:hint="eastAsia"/>
          <w:color w:val="000000" w:themeColor="text1"/>
          <w:sz w:val="20"/>
          <w:szCs w:val="20"/>
        </w:rPr>
        <w:t>-0.37</w:t>
      </w:r>
      <w:r w:rsidR="0053273E" w:rsidRPr="0032491D">
        <w:rPr>
          <w:rFonts w:ascii="楷体" w:eastAsia="楷体" w:hAnsi="楷体" w:cs="Arial" w:hint="eastAsia"/>
          <w:color w:val="000000" w:themeColor="text1"/>
          <w:sz w:val="20"/>
          <w:szCs w:val="20"/>
        </w:rPr>
        <w:t>%、</w:t>
      </w:r>
      <w:r>
        <w:rPr>
          <w:rFonts w:ascii="楷体" w:eastAsia="楷体" w:hAnsi="楷体" w:cs="Arial" w:hint="eastAsia"/>
          <w:color w:val="000000" w:themeColor="text1"/>
          <w:sz w:val="20"/>
          <w:szCs w:val="20"/>
        </w:rPr>
        <w:t>0.78</w:t>
      </w:r>
      <w:r w:rsidR="0053273E" w:rsidRPr="0032491D">
        <w:rPr>
          <w:rFonts w:ascii="楷体" w:eastAsia="楷体" w:hAnsi="楷体" w:cs="Arial" w:hint="eastAsia"/>
          <w:color w:val="000000" w:themeColor="text1"/>
          <w:sz w:val="20"/>
          <w:szCs w:val="20"/>
        </w:rPr>
        <w:t>%、</w:t>
      </w:r>
      <w:r>
        <w:rPr>
          <w:rFonts w:ascii="楷体" w:eastAsia="楷体" w:hAnsi="楷体" w:cs="Arial" w:hint="eastAsia"/>
          <w:color w:val="000000" w:themeColor="text1"/>
          <w:sz w:val="20"/>
          <w:szCs w:val="20"/>
        </w:rPr>
        <w:t>0.29</w:t>
      </w:r>
      <w:r w:rsidR="0053273E" w:rsidRPr="0032491D">
        <w:rPr>
          <w:rFonts w:ascii="楷体" w:eastAsia="楷体" w:hAnsi="楷体" w:cs="Arial" w:hint="eastAsia"/>
          <w:color w:val="000000" w:themeColor="text1"/>
          <w:sz w:val="20"/>
          <w:szCs w:val="20"/>
        </w:rPr>
        <w:t>%。</w:t>
      </w:r>
    </w:p>
    <w:p w:rsidR="0053273E" w:rsidRPr="007E17CD" w:rsidRDefault="00B76564" w:rsidP="007E17CD">
      <w:pPr>
        <w:pStyle w:val="a5"/>
        <w:spacing w:beforeLines="100" w:before="240" w:afterLines="100" w:after="240" w:line="260" w:lineRule="exact"/>
        <w:ind w:leftChars="1822" w:left="3826" w:rightChars="-34" w:right="-71" w:firstLineChars="212" w:firstLine="426"/>
        <w:rPr>
          <w:rFonts w:ascii="楷体" w:eastAsia="楷体" w:hAnsi="楷体" w:cs="Arial"/>
          <w:color w:val="FF0000"/>
          <w:sz w:val="20"/>
          <w:szCs w:val="20"/>
        </w:rPr>
      </w:pPr>
      <w:r>
        <w:rPr>
          <w:rFonts w:ascii="楷体" w:eastAsia="楷体" w:hAnsi="楷体" w:cs="Arial" w:hint="eastAsia"/>
          <w:b/>
          <w:color w:val="000000" w:themeColor="text1"/>
          <w:sz w:val="20"/>
          <w:szCs w:val="20"/>
        </w:rPr>
        <w:t>加息可能令金价承压</w:t>
      </w:r>
      <w:r w:rsidR="00B36BE6">
        <w:rPr>
          <w:rFonts w:ascii="楷体" w:eastAsia="楷体" w:hAnsi="楷体" w:cs="Arial" w:hint="eastAsia"/>
          <w:b/>
          <w:color w:val="000000" w:themeColor="text1"/>
          <w:sz w:val="20"/>
          <w:szCs w:val="20"/>
        </w:rPr>
        <w:t>，</w:t>
      </w:r>
      <w:proofErr w:type="gramStart"/>
      <w:r w:rsidR="00B36BE6">
        <w:rPr>
          <w:rFonts w:ascii="楷体" w:eastAsia="楷体" w:hAnsi="楷体" w:cs="Arial" w:hint="eastAsia"/>
          <w:b/>
          <w:color w:val="000000" w:themeColor="text1"/>
          <w:sz w:val="20"/>
          <w:szCs w:val="20"/>
        </w:rPr>
        <w:t>原油</w:t>
      </w:r>
      <w:r>
        <w:rPr>
          <w:rFonts w:ascii="楷体" w:eastAsia="楷体" w:hAnsi="楷体" w:cs="Arial" w:hint="eastAsia"/>
          <w:b/>
          <w:color w:val="000000" w:themeColor="text1"/>
          <w:sz w:val="20"/>
          <w:szCs w:val="20"/>
        </w:rPr>
        <w:t>周</w:t>
      </w:r>
      <w:proofErr w:type="gramEnd"/>
      <w:r>
        <w:rPr>
          <w:rFonts w:ascii="楷体" w:eastAsia="楷体" w:hAnsi="楷体" w:cs="Arial" w:hint="eastAsia"/>
          <w:b/>
          <w:color w:val="000000" w:themeColor="text1"/>
          <w:sz w:val="20"/>
          <w:szCs w:val="20"/>
        </w:rPr>
        <w:t>中创新高</w:t>
      </w:r>
      <w:r w:rsidR="0053273E" w:rsidRPr="0032491D">
        <w:rPr>
          <w:rFonts w:ascii="楷体" w:eastAsia="楷体" w:hAnsi="楷体" w:cs="Arial" w:hint="eastAsia"/>
          <w:b/>
          <w:color w:val="000000" w:themeColor="text1"/>
          <w:sz w:val="20"/>
          <w:szCs w:val="20"/>
        </w:rPr>
        <w:t>。</w:t>
      </w:r>
      <w:r w:rsidRPr="00B76564">
        <w:rPr>
          <w:rFonts w:ascii="楷体" w:eastAsia="楷体" w:hAnsi="楷体" w:cs="Arial" w:hint="eastAsia"/>
          <w:color w:val="000000" w:themeColor="text1"/>
          <w:sz w:val="20"/>
          <w:szCs w:val="20"/>
        </w:rPr>
        <w:t>本周金价最初受到中国数据疲弱的支撑</w:t>
      </w:r>
      <w:r>
        <w:rPr>
          <w:rFonts w:ascii="楷体" w:eastAsia="楷体" w:hAnsi="楷体" w:cs="Arial" w:hint="eastAsia"/>
          <w:color w:val="000000" w:themeColor="text1"/>
          <w:sz w:val="20"/>
          <w:szCs w:val="20"/>
        </w:rPr>
        <w:t>，后因</w:t>
      </w:r>
      <w:r w:rsidRPr="00B76564">
        <w:rPr>
          <w:rFonts w:ascii="楷体" w:eastAsia="楷体" w:hAnsi="楷体" w:cs="Arial" w:hint="eastAsia"/>
          <w:color w:val="000000" w:themeColor="text1"/>
          <w:sz w:val="20"/>
          <w:szCs w:val="20"/>
        </w:rPr>
        <w:t>美联储不断提高6</w:t>
      </w:r>
      <w:r>
        <w:rPr>
          <w:rFonts w:ascii="楷体" w:eastAsia="楷体" w:hAnsi="楷体" w:cs="Arial" w:hint="eastAsia"/>
          <w:color w:val="000000" w:themeColor="text1"/>
          <w:sz w:val="20"/>
          <w:szCs w:val="20"/>
        </w:rPr>
        <w:t>月加息的概率，</w:t>
      </w:r>
      <w:r w:rsidRPr="00B76564">
        <w:rPr>
          <w:rFonts w:ascii="楷体" w:eastAsia="楷体" w:hAnsi="楷体" w:cs="Arial" w:hint="eastAsia"/>
          <w:color w:val="000000" w:themeColor="text1"/>
          <w:sz w:val="20"/>
          <w:szCs w:val="20"/>
        </w:rPr>
        <w:t>严重地挫伤了黄金的需求</w:t>
      </w:r>
      <w:r>
        <w:rPr>
          <w:rFonts w:ascii="楷体" w:eastAsia="楷体" w:hAnsi="楷体" w:cs="Arial" w:hint="eastAsia"/>
          <w:color w:val="000000" w:themeColor="text1"/>
          <w:sz w:val="20"/>
          <w:szCs w:val="20"/>
        </w:rPr>
        <w:t>。</w:t>
      </w:r>
      <w:r w:rsidR="005A2F60">
        <w:rPr>
          <w:rFonts w:ascii="楷体" w:eastAsia="楷体" w:hAnsi="楷体" w:cs="Arial" w:hint="eastAsia"/>
          <w:color w:val="000000" w:themeColor="text1"/>
          <w:sz w:val="20"/>
          <w:szCs w:val="20"/>
        </w:rPr>
        <w:t>全周金价下跌</w:t>
      </w:r>
      <w:r>
        <w:rPr>
          <w:rFonts w:ascii="楷体" w:eastAsia="楷体" w:hAnsi="楷体" w:cs="Arial" w:hint="eastAsia"/>
          <w:color w:val="000000" w:themeColor="text1"/>
          <w:sz w:val="20"/>
          <w:szCs w:val="20"/>
        </w:rPr>
        <w:t>1.68</w:t>
      </w:r>
      <w:r w:rsidR="005A2F60">
        <w:rPr>
          <w:rFonts w:ascii="楷体" w:eastAsia="楷体" w:hAnsi="楷体" w:cs="Arial" w:hint="eastAsia"/>
          <w:color w:val="000000" w:themeColor="text1"/>
          <w:sz w:val="20"/>
          <w:szCs w:val="20"/>
        </w:rPr>
        <w:t>%</w:t>
      </w:r>
      <w:r>
        <w:rPr>
          <w:rFonts w:ascii="楷体" w:eastAsia="楷体" w:hAnsi="楷体" w:cs="Arial" w:hint="eastAsia"/>
          <w:color w:val="000000" w:themeColor="text1"/>
          <w:sz w:val="20"/>
          <w:szCs w:val="20"/>
        </w:rPr>
        <w:t>，到达三周最低收盘价</w:t>
      </w:r>
      <w:r w:rsidR="005A2F60" w:rsidRPr="005A2F60">
        <w:rPr>
          <w:rFonts w:ascii="楷体" w:eastAsia="楷体" w:hAnsi="楷体" w:cs="Arial" w:hint="eastAsia"/>
          <w:color w:val="000000" w:themeColor="text1"/>
          <w:sz w:val="20"/>
          <w:szCs w:val="20"/>
        </w:rPr>
        <w:t>。</w:t>
      </w:r>
      <w:r w:rsidRPr="00B76564">
        <w:rPr>
          <w:rFonts w:ascii="楷体" w:eastAsia="楷体" w:hAnsi="楷体" w:cs="Arial" w:hint="eastAsia"/>
          <w:color w:val="000000" w:themeColor="text1"/>
          <w:sz w:val="20"/>
          <w:szCs w:val="20"/>
        </w:rPr>
        <w:t>原油交易商们预计加拿大与尼日利亚原油生产受阻，可能有助于缓解全球原油供应过剩局面。</w:t>
      </w:r>
      <w:r>
        <w:rPr>
          <w:rFonts w:ascii="楷体" w:eastAsia="楷体" w:hAnsi="楷体" w:cs="Arial" w:hint="eastAsia"/>
          <w:color w:val="000000" w:themeColor="text1"/>
          <w:sz w:val="20"/>
          <w:szCs w:val="20"/>
        </w:rPr>
        <w:t>在5月17日</w:t>
      </w:r>
      <w:r w:rsidRPr="00B76564">
        <w:rPr>
          <w:rFonts w:ascii="楷体" w:eastAsia="楷体" w:hAnsi="楷体" w:cs="Arial" w:hint="eastAsia"/>
          <w:color w:val="000000" w:themeColor="text1"/>
          <w:sz w:val="20"/>
          <w:szCs w:val="20"/>
        </w:rPr>
        <w:t>收盘创7个多月以来最高收盘价。</w:t>
      </w:r>
      <w:r>
        <w:rPr>
          <w:rFonts w:ascii="楷体" w:eastAsia="楷体" w:hAnsi="楷体" w:cs="Arial" w:hint="eastAsia"/>
          <w:color w:val="000000" w:themeColor="text1"/>
          <w:sz w:val="20"/>
          <w:szCs w:val="20"/>
        </w:rPr>
        <w:t>后因美联储纪要令原油价格承压</w:t>
      </w:r>
      <w:r w:rsidRPr="00B76564">
        <w:rPr>
          <w:rFonts w:ascii="楷体" w:eastAsia="楷体" w:hAnsi="楷体" w:cs="Arial" w:hint="eastAsia"/>
          <w:color w:val="000000" w:themeColor="text1"/>
          <w:sz w:val="20"/>
          <w:szCs w:val="20"/>
        </w:rPr>
        <w:t>。</w:t>
      </w:r>
      <w:r>
        <w:rPr>
          <w:rFonts w:ascii="楷体" w:eastAsia="楷体" w:hAnsi="楷体" w:cs="Arial" w:hint="eastAsia"/>
          <w:color w:val="000000" w:themeColor="text1"/>
          <w:sz w:val="20"/>
          <w:szCs w:val="20"/>
        </w:rPr>
        <w:t>全周上涨4.81%。</w:t>
      </w:r>
    </w:p>
    <w:tbl>
      <w:tblPr>
        <w:tblpPr w:leftFromText="180" w:rightFromText="180" w:vertAnchor="text" w:horzAnchor="margin" w:tblpY="180"/>
        <w:tblW w:w="3701" w:type="dxa"/>
        <w:tblLook w:val="04A0" w:firstRow="1" w:lastRow="0" w:firstColumn="1" w:lastColumn="0" w:noHBand="0" w:noVBand="1"/>
      </w:tblPr>
      <w:tblGrid>
        <w:gridCol w:w="2283"/>
        <w:gridCol w:w="1418"/>
      </w:tblGrid>
      <w:tr w:rsidR="0053273E" w:rsidRPr="0032491D" w:rsidTr="00FC5199">
        <w:trPr>
          <w:trHeight w:val="270"/>
        </w:trPr>
        <w:tc>
          <w:tcPr>
            <w:tcW w:w="3701" w:type="dxa"/>
            <w:gridSpan w:val="2"/>
            <w:tcBorders>
              <w:top w:val="single" w:sz="4" w:space="0" w:color="auto"/>
              <w:bottom w:val="single" w:sz="4" w:space="0" w:color="auto"/>
            </w:tcBorders>
            <w:shd w:val="clear" w:color="000000" w:fill="F79646"/>
            <w:vAlign w:val="center"/>
            <w:hideMark/>
          </w:tcPr>
          <w:p w:rsidR="0053273E" w:rsidRPr="0032491D" w:rsidRDefault="0053273E" w:rsidP="00FC5199">
            <w:pPr>
              <w:widowControl/>
              <w:jc w:val="center"/>
              <w:rPr>
                <w:rFonts w:ascii="楷体" w:eastAsia="楷体" w:hAnsi="楷体" w:cs="宋体"/>
                <w:b/>
                <w:bCs/>
                <w:color w:val="000000" w:themeColor="text1"/>
                <w:kern w:val="0"/>
                <w:sz w:val="20"/>
                <w:szCs w:val="20"/>
              </w:rPr>
            </w:pPr>
            <w:r w:rsidRPr="0032491D">
              <w:rPr>
                <w:rFonts w:ascii="楷体" w:eastAsia="楷体" w:hAnsi="楷体" w:cs="宋体" w:hint="eastAsia"/>
                <w:b/>
                <w:bCs/>
                <w:color w:val="000000" w:themeColor="text1"/>
                <w:kern w:val="0"/>
                <w:sz w:val="20"/>
                <w:szCs w:val="20"/>
              </w:rPr>
              <w:t>国内经济重要数据</w:t>
            </w:r>
          </w:p>
        </w:tc>
      </w:tr>
      <w:tr w:rsidR="0053273E" w:rsidRPr="0032491D" w:rsidTr="00FC5199">
        <w:trPr>
          <w:trHeight w:val="270"/>
        </w:trPr>
        <w:tc>
          <w:tcPr>
            <w:tcW w:w="2283" w:type="dxa"/>
            <w:tcBorders>
              <w:top w:val="nil"/>
              <w:bottom w:val="single" w:sz="4" w:space="0" w:color="auto"/>
              <w:right w:val="single" w:sz="4" w:space="0" w:color="auto"/>
            </w:tcBorders>
            <w:shd w:val="clear" w:color="000000" w:fill="D9D9D9"/>
            <w:vAlign w:val="center"/>
            <w:hideMark/>
          </w:tcPr>
          <w:p w:rsidR="0053273E" w:rsidRPr="0032491D" w:rsidRDefault="0053273E" w:rsidP="00FC5199">
            <w:pPr>
              <w:widowControl/>
              <w:jc w:val="center"/>
              <w:rPr>
                <w:rFonts w:ascii="楷体" w:eastAsia="楷体" w:hAnsi="楷体" w:cs="宋体"/>
                <w:b/>
                <w:bCs/>
                <w:color w:val="000000" w:themeColor="text1"/>
                <w:kern w:val="0"/>
                <w:sz w:val="18"/>
                <w:szCs w:val="18"/>
              </w:rPr>
            </w:pPr>
            <w:r w:rsidRPr="0032491D">
              <w:rPr>
                <w:rFonts w:ascii="楷体" w:eastAsia="楷体" w:hAnsi="楷体" w:cs="宋体" w:hint="eastAsia"/>
                <w:b/>
                <w:bCs/>
                <w:color w:val="000000" w:themeColor="text1"/>
                <w:kern w:val="0"/>
                <w:sz w:val="18"/>
                <w:szCs w:val="18"/>
              </w:rPr>
              <w:t>项目</w:t>
            </w:r>
          </w:p>
        </w:tc>
        <w:tc>
          <w:tcPr>
            <w:tcW w:w="1418" w:type="dxa"/>
            <w:tcBorders>
              <w:top w:val="nil"/>
              <w:left w:val="nil"/>
              <w:bottom w:val="single" w:sz="4" w:space="0" w:color="auto"/>
            </w:tcBorders>
            <w:shd w:val="clear" w:color="000000" w:fill="D9D9D9"/>
            <w:vAlign w:val="center"/>
            <w:hideMark/>
          </w:tcPr>
          <w:p w:rsidR="0053273E" w:rsidRPr="0032491D" w:rsidRDefault="0053273E" w:rsidP="00FC5199">
            <w:pPr>
              <w:widowControl/>
              <w:jc w:val="center"/>
              <w:rPr>
                <w:rFonts w:ascii="楷体" w:eastAsia="楷体" w:hAnsi="楷体" w:cs="宋体"/>
                <w:b/>
                <w:bCs/>
                <w:color w:val="000000" w:themeColor="text1"/>
                <w:kern w:val="0"/>
                <w:sz w:val="18"/>
                <w:szCs w:val="18"/>
              </w:rPr>
            </w:pPr>
            <w:r w:rsidRPr="0032491D">
              <w:rPr>
                <w:rFonts w:ascii="楷体" w:eastAsia="楷体" w:hAnsi="楷体" w:cs="宋体" w:hint="eastAsia"/>
                <w:b/>
                <w:bCs/>
                <w:color w:val="000000" w:themeColor="text1"/>
                <w:kern w:val="0"/>
                <w:sz w:val="18"/>
                <w:szCs w:val="18"/>
              </w:rPr>
              <w:t>数据</w:t>
            </w:r>
          </w:p>
        </w:tc>
      </w:tr>
      <w:tr w:rsidR="0053273E" w:rsidRPr="0032491D" w:rsidTr="00FC5199">
        <w:trPr>
          <w:trHeight w:val="270"/>
        </w:trPr>
        <w:tc>
          <w:tcPr>
            <w:tcW w:w="2283" w:type="dxa"/>
            <w:tcBorders>
              <w:top w:val="nil"/>
              <w:bottom w:val="single" w:sz="4" w:space="0" w:color="auto"/>
              <w:right w:val="single" w:sz="4" w:space="0" w:color="auto"/>
            </w:tcBorders>
            <w:shd w:val="clear" w:color="auto" w:fill="auto"/>
            <w:noWrap/>
            <w:vAlign w:val="center"/>
          </w:tcPr>
          <w:p w:rsidR="0053273E" w:rsidRPr="0032491D" w:rsidRDefault="004C32E7" w:rsidP="00FC5199">
            <w:pPr>
              <w:jc w:val="center"/>
              <w:rPr>
                <w:rFonts w:ascii="楷体" w:eastAsia="楷体" w:hAnsi="楷体" w:cs="宋体"/>
                <w:color w:val="000000" w:themeColor="text1"/>
                <w:sz w:val="16"/>
                <w:szCs w:val="16"/>
              </w:rPr>
            </w:pPr>
            <w:r w:rsidRPr="004C32E7">
              <w:rPr>
                <w:rFonts w:ascii="楷体" w:eastAsia="楷体" w:hAnsi="楷体" w:cs="宋体" w:hint="eastAsia"/>
                <w:color w:val="000000" w:themeColor="text1"/>
                <w:sz w:val="16"/>
                <w:szCs w:val="16"/>
              </w:rPr>
              <w:lastRenderedPageBreak/>
              <w:t>4月规模以上工业增加值</w:t>
            </w:r>
          </w:p>
        </w:tc>
        <w:tc>
          <w:tcPr>
            <w:tcW w:w="1418" w:type="dxa"/>
            <w:tcBorders>
              <w:top w:val="nil"/>
              <w:left w:val="nil"/>
              <w:bottom w:val="single" w:sz="4" w:space="0" w:color="auto"/>
            </w:tcBorders>
            <w:shd w:val="clear" w:color="auto" w:fill="auto"/>
            <w:noWrap/>
            <w:vAlign w:val="center"/>
          </w:tcPr>
          <w:p w:rsidR="0053273E" w:rsidRPr="0032491D" w:rsidRDefault="0053273E" w:rsidP="00FC5199">
            <w:pPr>
              <w:jc w:val="center"/>
              <w:rPr>
                <w:rFonts w:ascii="楷体" w:eastAsia="楷体" w:hAnsi="楷体" w:cs="宋体"/>
                <w:color w:val="000000" w:themeColor="text1"/>
                <w:sz w:val="16"/>
                <w:szCs w:val="16"/>
              </w:rPr>
            </w:pPr>
            <w:r>
              <w:rPr>
                <w:rFonts w:ascii="楷体" w:eastAsia="楷体" w:hAnsi="楷体" w:cs="宋体" w:hint="eastAsia"/>
                <w:color w:val="000000" w:themeColor="text1"/>
                <w:sz w:val="16"/>
                <w:szCs w:val="16"/>
              </w:rPr>
              <w:t>同比增长</w:t>
            </w:r>
            <w:r w:rsidR="004C32E7">
              <w:rPr>
                <w:rFonts w:ascii="楷体" w:eastAsia="楷体" w:hAnsi="楷体" w:cs="宋体" w:hint="eastAsia"/>
                <w:color w:val="000000" w:themeColor="text1"/>
                <w:sz w:val="16"/>
                <w:szCs w:val="16"/>
              </w:rPr>
              <w:t>6.0</w:t>
            </w:r>
            <w:r>
              <w:rPr>
                <w:rFonts w:ascii="楷体" w:eastAsia="楷体" w:hAnsi="楷体" w:cs="宋体" w:hint="eastAsia"/>
                <w:color w:val="000000" w:themeColor="text1"/>
                <w:sz w:val="16"/>
                <w:szCs w:val="16"/>
              </w:rPr>
              <w:t>%</w:t>
            </w:r>
          </w:p>
        </w:tc>
      </w:tr>
      <w:tr w:rsidR="0053273E" w:rsidRPr="0032491D" w:rsidTr="00FC5199">
        <w:trPr>
          <w:trHeight w:val="270"/>
        </w:trPr>
        <w:tc>
          <w:tcPr>
            <w:tcW w:w="2283" w:type="dxa"/>
            <w:tcBorders>
              <w:top w:val="nil"/>
              <w:bottom w:val="single" w:sz="4" w:space="0" w:color="auto"/>
              <w:right w:val="single" w:sz="4" w:space="0" w:color="auto"/>
            </w:tcBorders>
            <w:shd w:val="clear" w:color="000000" w:fill="D9D9D9"/>
            <w:noWrap/>
            <w:vAlign w:val="center"/>
          </w:tcPr>
          <w:p w:rsidR="0053273E" w:rsidRPr="0032491D" w:rsidRDefault="002252D6" w:rsidP="002252D6">
            <w:pPr>
              <w:widowControl/>
              <w:jc w:val="center"/>
              <w:rPr>
                <w:rFonts w:ascii="楷体" w:eastAsia="楷体" w:hAnsi="楷体" w:cs="宋体"/>
                <w:color w:val="000000" w:themeColor="text1"/>
                <w:kern w:val="0"/>
                <w:sz w:val="16"/>
                <w:szCs w:val="16"/>
              </w:rPr>
            </w:pPr>
            <w:r w:rsidRPr="002252D6">
              <w:rPr>
                <w:rFonts w:ascii="楷体" w:eastAsia="楷体" w:hAnsi="楷体" w:cs="宋体" w:hint="eastAsia"/>
                <w:color w:val="000000" w:themeColor="text1"/>
                <w:kern w:val="0"/>
                <w:sz w:val="16"/>
                <w:szCs w:val="16"/>
              </w:rPr>
              <w:t>4月社会消费品零售总额</w:t>
            </w:r>
          </w:p>
        </w:tc>
        <w:tc>
          <w:tcPr>
            <w:tcW w:w="1418" w:type="dxa"/>
            <w:tcBorders>
              <w:top w:val="nil"/>
              <w:left w:val="nil"/>
              <w:bottom w:val="single" w:sz="4" w:space="0" w:color="auto"/>
            </w:tcBorders>
            <w:shd w:val="clear" w:color="000000" w:fill="D9D9D9"/>
            <w:noWrap/>
            <w:vAlign w:val="center"/>
          </w:tcPr>
          <w:p w:rsidR="0053273E" w:rsidRPr="0032491D" w:rsidRDefault="002252D6" w:rsidP="005A3B05">
            <w:pPr>
              <w:widowControl/>
              <w:jc w:val="center"/>
              <w:rPr>
                <w:rFonts w:ascii="楷体" w:eastAsia="楷体" w:hAnsi="楷体" w:cs="宋体"/>
                <w:color w:val="000000" w:themeColor="text1"/>
                <w:kern w:val="0"/>
                <w:sz w:val="16"/>
                <w:szCs w:val="16"/>
              </w:rPr>
            </w:pPr>
            <w:r>
              <w:rPr>
                <w:rFonts w:ascii="楷体" w:eastAsia="楷体" w:hAnsi="楷体" w:cs="宋体"/>
                <w:color w:val="000000" w:themeColor="text1"/>
                <w:kern w:val="0"/>
                <w:sz w:val="16"/>
                <w:szCs w:val="16"/>
              </w:rPr>
              <w:t>同比增加</w:t>
            </w:r>
            <w:r>
              <w:rPr>
                <w:rFonts w:ascii="楷体" w:eastAsia="楷体" w:hAnsi="楷体" w:cs="宋体" w:hint="eastAsia"/>
                <w:color w:val="000000" w:themeColor="text1"/>
                <w:kern w:val="0"/>
                <w:sz w:val="16"/>
                <w:szCs w:val="16"/>
              </w:rPr>
              <w:t>10.1%</w:t>
            </w:r>
          </w:p>
        </w:tc>
      </w:tr>
      <w:tr w:rsidR="0053273E" w:rsidRPr="0032491D" w:rsidTr="00FC5199">
        <w:trPr>
          <w:trHeight w:val="270"/>
        </w:trPr>
        <w:tc>
          <w:tcPr>
            <w:tcW w:w="2283" w:type="dxa"/>
            <w:tcBorders>
              <w:top w:val="nil"/>
              <w:bottom w:val="single" w:sz="4" w:space="0" w:color="auto"/>
              <w:right w:val="single" w:sz="4" w:space="0" w:color="auto"/>
            </w:tcBorders>
            <w:shd w:val="clear" w:color="auto" w:fill="auto"/>
            <w:noWrap/>
            <w:vAlign w:val="center"/>
          </w:tcPr>
          <w:p w:rsidR="0053273E" w:rsidRPr="0032491D" w:rsidRDefault="0053273E" w:rsidP="00FC5199">
            <w:pPr>
              <w:jc w:val="center"/>
              <w:rPr>
                <w:rFonts w:ascii="楷体" w:eastAsia="楷体" w:hAnsi="楷体" w:cs="宋体"/>
                <w:color w:val="000000" w:themeColor="text1"/>
                <w:sz w:val="16"/>
                <w:szCs w:val="16"/>
              </w:rPr>
            </w:pPr>
          </w:p>
        </w:tc>
        <w:tc>
          <w:tcPr>
            <w:tcW w:w="1418" w:type="dxa"/>
            <w:tcBorders>
              <w:top w:val="nil"/>
              <w:left w:val="nil"/>
              <w:bottom w:val="single" w:sz="4" w:space="0" w:color="auto"/>
            </w:tcBorders>
            <w:shd w:val="clear" w:color="auto" w:fill="auto"/>
            <w:noWrap/>
            <w:vAlign w:val="center"/>
          </w:tcPr>
          <w:p w:rsidR="0053273E" w:rsidRPr="0032491D" w:rsidRDefault="0053273E" w:rsidP="005A3B05">
            <w:pPr>
              <w:jc w:val="center"/>
              <w:rPr>
                <w:rFonts w:ascii="楷体" w:eastAsia="楷体" w:hAnsi="楷体" w:cs="宋体"/>
                <w:color w:val="000000" w:themeColor="text1"/>
                <w:sz w:val="16"/>
                <w:szCs w:val="16"/>
              </w:rPr>
            </w:pPr>
          </w:p>
        </w:tc>
      </w:tr>
      <w:tr w:rsidR="0053273E" w:rsidRPr="0032491D" w:rsidTr="00FC5199">
        <w:trPr>
          <w:trHeight w:val="270"/>
        </w:trPr>
        <w:tc>
          <w:tcPr>
            <w:tcW w:w="2283" w:type="dxa"/>
            <w:tcBorders>
              <w:top w:val="nil"/>
              <w:bottom w:val="single" w:sz="4" w:space="0" w:color="auto"/>
              <w:right w:val="single" w:sz="4" w:space="0" w:color="auto"/>
            </w:tcBorders>
            <w:shd w:val="clear" w:color="000000" w:fill="D9D9D9"/>
            <w:noWrap/>
            <w:vAlign w:val="center"/>
          </w:tcPr>
          <w:p w:rsidR="0053273E" w:rsidRPr="0032491D" w:rsidRDefault="0053273E" w:rsidP="00FC5199">
            <w:pPr>
              <w:widowControl/>
              <w:jc w:val="center"/>
              <w:rPr>
                <w:rFonts w:ascii="楷体" w:eastAsia="楷体" w:hAnsi="楷体" w:cs="宋体"/>
                <w:color w:val="000000" w:themeColor="text1"/>
                <w:kern w:val="0"/>
                <w:sz w:val="16"/>
                <w:szCs w:val="16"/>
              </w:rPr>
            </w:pPr>
          </w:p>
        </w:tc>
        <w:tc>
          <w:tcPr>
            <w:tcW w:w="1418" w:type="dxa"/>
            <w:tcBorders>
              <w:top w:val="nil"/>
              <w:left w:val="nil"/>
              <w:bottom w:val="single" w:sz="4" w:space="0" w:color="auto"/>
            </w:tcBorders>
            <w:shd w:val="clear" w:color="000000" w:fill="D9D9D9"/>
            <w:noWrap/>
            <w:vAlign w:val="center"/>
          </w:tcPr>
          <w:p w:rsidR="0053273E" w:rsidRPr="0032491D" w:rsidRDefault="0053273E" w:rsidP="005A3B05">
            <w:pPr>
              <w:widowControl/>
              <w:jc w:val="center"/>
              <w:rPr>
                <w:rFonts w:ascii="楷体" w:eastAsia="楷体" w:hAnsi="楷体" w:cs="宋体"/>
                <w:color w:val="000000" w:themeColor="text1"/>
                <w:kern w:val="0"/>
                <w:sz w:val="16"/>
                <w:szCs w:val="16"/>
              </w:rPr>
            </w:pPr>
          </w:p>
        </w:tc>
      </w:tr>
      <w:tr w:rsidR="0053273E" w:rsidRPr="0032491D" w:rsidTr="00FC5199">
        <w:trPr>
          <w:trHeight w:val="270"/>
        </w:trPr>
        <w:tc>
          <w:tcPr>
            <w:tcW w:w="2283" w:type="dxa"/>
            <w:tcBorders>
              <w:top w:val="nil"/>
              <w:bottom w:val="single" w:sz="4" w:space="0" w:color="auto"/>
              <w:right w:val="single" w:sz="4" w:space="0" w:color="auto"/>
            </w:tcBorders>
            <w:shd w:val="clear" w:color="auto" w:fill="auto"/>
            <w:noWrap/>
            <w:vAlign w:val="center"/>
          </w:tcPr>
          <w:p w:rsidR="0053273E" w:rsidRPr="0032491D" w:rsidRDefault="0053273E" w:rsidP="00FC5199">
            <w:pPr>
              <w:jc w:val="center"/>
              <w:rPr>
                <w:rFonts w:ascii="楷体" w:eastAsia="楷体" w:hAnsi="楷体" w:cs="宋体"/>
                <w:color w:val="000000" w:themeColor="text1"/>
                <w:sz w:val="16"/>
                <w:szCs w:val="16"/>
              </w:rPr>
            </w:pPr>
          </w:p>
        </w:tc>
        <w:tc>
          <w:tcPr>
            <w:tcW w:w="1418" w:type="dxa"/>
            <w:tcBorders>
              <w:top w:val="nil"/>
              <w:left w:val="nil"/>
              <w:bottom w:val="single" w:sz="4" w:space="0" w:color="auto"/>
            </w:tcBorders>
            <w:shd w:val="clear" w:color="auto" w:fill="auto"/>
            <w:noWrap/>
            <w:vAlign w:val="center"/>
          </w:tcPr>
          <w:p w:rsidR="0053273E" w:rsidRPr="0032491D" w:rsidRDefault="0053273E" w:rsidP="005A3B05">
            <w:pPr>
              <w:jc w:val="center"/>
              <w:rPr>
                <w:rFonts w:ascii="楷体" w:eastAsia="楷体" w:hAnsi="楷体" w:cs="宋体"/>
                <w:color w:val="000000" w:themeColor="text1"/>
                <w:sz w:val="16"/>
                <w:szCs w:val="16"/>
              </w:rPr>
            </w:pPr>
          </w:p>
        </w:tc>
      </w:tr>
      <w:tr w:rsidR="0053273E" w:rsidRPr="0032491D" w:rsidTr="00FC5199">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53273E" w:rsidRPr="0032491D" w:rsidRDefault="0053273E" w:rsidP="00FC5199">
            <w:pPr>
              <w:widowControl/>
              <w:jc w:val="center"/>
              <w:rPr>
                <w:rFonts w:ascii="楷体" w:eastAsia="楷体" w:hAnsi="楷体" w:cs="宋体"/>
                <w:color w:val="000000" w:themeColor="text1"/>
                <w:kern w:val="0"/>
                <w:sz w:val="16"/>
                <w:szCs w:val="16"/>
              </w:rPr>
            </w:pPr>
          </w:p>
        </w:tc>
        <w:tc>
          <w:tcPr>
            <w:tcW w:w="1418" w:type="dxa"/>
            <w:tcBorders>
              <w:top w:val="nil"/>
              <w:left w:val="nil"/>
              <w:bottom w:val="single" w:sz="4" w:space="0" w:color="auto"/>
            </w:tcBorders>
            <w:shd w:val="clear" w:color="auto" w:fill="D9D9D9" w:themeFill="background1" w:themeFillShade="D9"/>
            <w:noWrap/>
            <w:vAlign w:val="center"/>
          </w:tcPr>
          <w:p w:rsidR="0053273E" w:rsidRPr="0032491D" w:rsidRDefault="0053273E" w:rsidP="005A3B05">
            <w:pPr>
              <w:widowControl/>
              <w:jc w:val="center"/>
              <w:rPr>
                <w:rFonts w:ascii="楷体" w:eastAsia="楷体" w:hAnsi="楷体" w:cs="宋体"/>
                <w:color w:val="000000" w:themeColor="text1"/>
                <w:kern w:val="0"/>
                <w:sz w:val="16"/>
                <w:szCs w:val="16"/>
              </w:rPr>
            </w:pPr>
          </w:p>
        </w:tc>
      </w:tr>
      <w:tr w:rsidR="0053273E" w:rsidRPr="0032491D" w:rsidTr="00FC5199">
        <w:trPr>
          <w:trHeight w:val="270"/>
        </w:trPr>
        <w:tc>
          <w:tcPr>
            <w:tcW w:w="3701" w:type="dxa"/>
            <w:gridSpan w:val="2"/>
            <w:tcBorders>
              <w:top w:val="single" w:sz="4" w:space="0" w:color="auto"/>
              <w:bottom w:val="single" w:sz="4" w:space="0" w:color="auto"/>
            </w:tcBorders>
            <w:shd w:val="clear" w:color="000000" w:fill="F79646"/>
            <w:vAlign w:val="center"/>
            <w:hideMark/>
          </w:tcPr>
          <w:p w:rsidR="0053273E" w:rsidRPr="0032491D" w:rsidRDefault="0053273E" w:rsidP="00FC5199">
            <w:pPr>
              <w:widowControl/>
              <w:jc w:val="center"/>
              <w:rPr>
                <w:rFonts w:ascii="楷体" w:eastAsia="楷体" w:hAnsi="楷体" w:cs="宋体"/>
                <w:b/>
                <w:bCs/>
                <w:color w:val="000000" w:themeColor="text1"/>
                <w:kern w:val="0"/>
                <w:sz w:val="20"/>
                <w:szCs w:val="20"/>
              </w:rPr>
            </w:pPr>
            <w:r w:rsidRPr="0032491D">
              <w:rPr>
                <w:rFonts w:ascii="楷体" w:eastAsia="楷体" w:hAnsi="楷体" w:cs="宋体" w:hint="eastAsia"/>
                <w:b/>
                <w:bCs/>
                <w:color w:val="000000" w:themeColor="text1"/>
                <w:kern w:val="0"/>
                <w:sz w:val="20"/>
                <w:szCs w:val="20"/>
              </w:rPr>
              <w:t>海外经济重要数据</w:t>
            </w:r>
          </w:p>
        </w:tc>
      </w:tr>
      <w:tr w:rsidR="0053273E" w:rsidRPr="0032491D" w:rsidTr="00FC5199">
        <w:trPr>
          <w:trHeight w:val="300"/>
        </w:trPr>
        <w:tc>
          <w:tcPr>
            <w:tcW w:w="2283" w:type="dxa"/>
            <w:tcBorders>
              <w:top w:val="nil"/>
              <w:bottom w:val="single" w:sz="4" w:space="0" w:color="auto"/>
              <w:right w:val="single" w:sz="4" w:space="0" w:color="auto"/>
            </w:tcBorders>
            <w:shd w:val="clear" w:color="000000" w:fill="D9D9D9"/>
            <w:vAlign w:val="center"/>
            <w:hideMark/>
          </w:tcPr>
          <w:p w:rsidR="0053273E" w:rsidRPr="0032491D" w:rsidRDefault="0053273E" w:rsidP="00FC5199">
            <w:pPr>
              <w:widowControl/>
              <w:jc w:val="center"/>
              <w:rPr>
                <w:rFonts w:ascii="楷体" w:eastAsia="楷体" w:hAnsi="楷体" w:cs="宋体"/>
                <w:b/>
                <w:bCs/>
                <w:color w:val="000000" w:themeColor="text1"/>
                <w:kern w:val="0"/>
                <w:sz w:val="18"/>
                <w:szCs w:val="18"/>
              </w:rPr>
            </w:pPr>
            <w:r w:rsidRPr="0032491D">
              <w:rPr>
                <w:rFonts w:ascii="楷体" w:eastAsia="楷体" w:hAnsi="楷体" w:cs="宋体" w:hint="eastAsia"/>
                <w:b/>
                <w:bCs/>
                <w:color w:val="000000" w:themeColor="text1"/>
                <w:kern w:val="0"/>
                <w:sz w:val="18"/>
                <w:szCs w:val="18"/>
              </w:rPr>
              <w:t>项目</w:t>
            </w:r>
          </w:p>
        </w:tc>
        <w:tc>
          <w:tcPr>
            <w:tcW w:w="1418" w:type="dxa"/>
            <w:tcBorders>
              <w:top w:val="nil"/>
              <w:left w:val="nil"/>
              <w:bottom w:val="single" w:sz="4" w:space="0" w:color="auto"/>
            </w:tcBorders>
            <w:shd w:val="clear" w:color="000000" w:fill="D9D9D9"/>
            <w:vAlign w:val="center"/>
            <w:hideMark/>
          </w:tcPr>
          <w:p w:rsidR="0053273E" w:rsidRPr="0032491D" w:rsidRDefault="0053273E" w:rsidP="00FC5199">
            <w:pPr>
              <w:widowControl/>
              <w:jc w:val="center"/>
              <w:rPr>
                <w:rFonts w:ascii="楷体" w:eastAsia="楷体" w:hAnsi="楷体" w:cs="宋体"/>
                <w:b/>
                <w:bCs/>
                <w:color w:val="000000" w:themeColor="text1"/>
                <w:kern w:val="0"/>
                <w:sz w:val="18"/>
                <w:szCs w:val="18"/>
              </w:rPr>
            </w:pPr>
            <w:r w:rsidRPr="0032491D">
              <w:rPr>
                <w:rFonts w:ascii="楷体" w:eastAsia="楷体" w:hAnsi="楷体" w:cs="宋体" w:hint="eastAsia"/>
                <w:b/>
                <w:bCs/>
                <w:color w:val="000000" w:themeColor="text1"/>
                <w:kern w:val="0"/>
                <w:sz w:val="18"/>
                <w:szCs w:val="18"/>
              </w:rPr>
              <w:t>数据</w:t>
            </w:r>
          </w:p>
        </w:tc>
      </w:tr>
      <w:tr w:rsidR="0053273E" w:rsidRPr="0032491D" w:rsidTr="00FC5199">
        <w:trPr>
          <w:trHeight w:val="270"/>
        </w:trPr>
        <w:tc>
          <w:tcPr>
            <w:tcW w:w="2283" w:type="dxa"/>
            <w:tcBorders>
              <w:top w:val="nil"/>
              <w:bottom w:val="single" w:sz="4" w:space="0" w:color="auto"/>
              <w:right w:val="single" w:sz="4" w:space="0" w:color="auto"/>
            </w:tcBorders>
            <w:shd w:val="clear" w:color="auto" w:fill="auto"/>
            <w:noWrap/>
            <w:vAlign w:val="center"/>
          </w:tcPr>
          <w:p w:rsidR="0053273E" w:rsidRPr="0032491D" w:rsidRDefault="0053273E" w:rsidP="0053273E">
            <w:pPr>
              <w:widowControl/>
              <w:jc w:val="left"/>
              <w:rPr>
                <w:rFonts w:ascii="楷体" w:eastAsia="楷体" w:hAnsi="楷体"/>
                <w:color w:val="000000" w:themeColor="text1"/>
                <w:sz w:val="16"/>
                <w:szCs w:val="16"/>
              </w:rPr>
            </w:pPr>
            <w:r w:rsidRPr="0032491D">
              <w:rPr>
                <w:rFonts w:ascii="楷体" w:eastAsia="楷体" w:hAnsi="楷体" w:hint="eastAsia"/>
                <w:color w:val="000000" w:themeColor="text1"/>
                <w:sz w:val="16"/>
                <w:szCs w:val="16"/>
              </w:rPr>
              <w:t xml:space="preserve">美国： </w:t>
            </w:r>
            <w:r w:rsidR="00135F9A">
              <w:rPr>
                <w:rFonts w:ascii="楷体" w:eastAsia="楷体" w:hAnsi="楷体" w:hint="eastAsia"/>
                <w:color w:val="000000" w:themeColor="text1"/>
                <w:sz w:val="16"/>
                <w:szCs w:val="16"/>
              </w:rPr>
              <w:t>4</w:t>
            </w:r>
            <w:r w:rsidR="004D6BF2">
              <w:rPr>
                <w:rFonts w:ascii="楷体" w:eastAsia="楷体" w:hAnsi="楷体" w:hint="eastAsia"/>
                <w:color w:val="000000" w:themeColor="text1"/>
                <w:sz w:val="16"/>
                <w:szCs w:val="16"/>
              </w:rPr>
              <w:t>月</w:t>
            </w:r>
            <w:r w:rsidR="00135F9A">
              <w:rPr>
                <w:rFonts w:ascii="楷体" w:eastAsia="楷体" w:hAnsi="楷体" w:hint="eastAsia"/>
                <w:color w:val="000000" w:themeColor="text1"/>
                <w:sz w:val="16"/>
                <w:szCs w:val="16"/>
              </w:rPr>
              <w:t>CPI</w:t>
            </w:r>
          </w:p>
        </w:tc>
        <w:tc>
          <w:tcPr>
            <w:tcW w:w="1418" w:type="dxa"/>
            <w:tcBorders>
              <w:top w:val="nil"/>
              <w:left w:val="nil"/>
              <w:bottom w:val="single" w:sz="4" w:space="0" w:color="auto"/>
            </w:tcBorders>
            <w:shd w:val="clear" w:color="auto" w:fill="auto"/>
            <w:noWrap/>
            <w:vAlign w:val="center"/>
          </w:tcPr>
          <w:p w:rsidR="0053273E" w:rsidRPr="00135F9A" w:rsidRDefault="004D6BF2" w:rsidP="00FC5199">
            <w:pPr>
              <w:widowControl/>
              <w:jc w:val="center"/>
              <w:rPr>
                <w:rFonts w:ascii="楷体" w:eastAsia="楷体" w:hAnsi="楷体"/>
                <w:color w:val="000000" w:themeColor="text1"/>
                <w:sz w:val="16"/>
                <w:szCs w:val="16"/>
              </w:rPr>
            </w:pPr>
            <w:r>
              <w:rPr>
                <w:rFonts w:ascii="楷体" w:eastAsia="楷体" w:hAnsi="楷体"/>
                <w:color w:val="000000" w:themeColor="text1"/>
                <w:sz w:val="16"/>
                <w:szCs w:val="16"/>
              </w:rPr>
              <w:t>环比增长</w:t>
            </w:r>
            <w:r w:rsidR="00135F9A">
              <w:rPr>
                <w:rFonts w:ascii="楷体" w:eastAsia="楷体" w:hAnsi="楷体" w:hint="eastAsia"/>
                <w:color w:val="000000" w:themeColor="text1"/>
                <w:sz w:val="16"/>
                <w:szCs w:val="16"/>
              </w:rPr>
              <w:t>0.4%</w:t>
            </w:r>
          </w:p>
        </w:tc>
      </w:tr>
      <w:tr w:rsidR="0053273E" w:rsidRPr="0032491D" w:rsidTr="00FC5199">
        <w:trPr>
          <w:trHeight w:val="270"/>
        </w:trPr>
        <w:tc>
          <w:tcPr>
            <w:tcW w:w="2283" w:type="dxa"/>
            <w:tcBorders>
              <w:top w:val="nil"/>
              <w:bottom w:val="single" w:sz="4" w:space="0" w:color="auto"/>
              <w:right w:val="single" w:sz="4" w:space="0" w:color="auto"/>
            </w:tcBorders>
            <w:shd w:val="clear" w:color="000000" w:fill="D9D9D9"/>
            <w:noWrap/>
            <w:vAlign w:val="center"/>
          </w:tcPr>
          <w:p w:rsidR="0053273E" w:rsidRPr="0032491D" w:rsidRDefault="00135F9A" w:rsidP="00FC5199">
            <w:pPr>
              <w:widowControl/>
              <w:jc w:val="left"/>
              <w:rPr>
                <w:rFonts w:ascii="楷体" w:eastAsia="楷体" w:hAnsi="楷体"/>
                <w:color w:val="000000" w:themeColor="text1"/>
                <w:sz w:val="16"/>
                <w:szCs w:val="16"/>
              </w:rPr>
            </w:pPr>
            <w:r>
              <w:rPr>
                <w:rFonts w:ascii="楷体" w:eastAsia="楷体" w:hAnsi="楷体"/>
                <w:color w:val="000000" w:themeColor="text1"/>
                <w:sz w:val="16"/>
                <w:szCs w:val="16"/>
              </w:rPr>
              <w:t>美国</w:t>
            </w:r>
            <w:r>
              <w:rPr>
                <w:rFonts w:ascii="楷体" w:eastAsia="楷体" w:hAnsi="楷体" w:hint="eastAsia"/>
                <w:color w:val="000000" w:themeColor="text1"/>
                <w:sz w:val="16"/>
                <w:szCs w:val="16"/>
              </w:rPr>
              <w:t>：4月新屋开工总数</w:t>
            </w:r>
          </w:p>
        </w:tc>
        <w:tc>
          <w:tcPr>
            <w:tcW w:w="1418" w:type="dxa"/>
            <w:tcBorders>
              <w:top w:val="nil"/>
              <w:left w:val="nil"/>
              <w:bottom w:val="single" w:sz="4" w:space="0" w:color="auto"/>
            </w:tcBorders>
            <w:shd w:val="clear" w:color="000000" w:fill="D9D9D9"/>
            <w:noWrap/>
            <w:vAlign w:val="center"/>
          </w:tcPr>
          <w:p w:rsidR="0053273E" w:rsidRPr="0032491D" w:rsidRDefault="004D6BF2" w:rsidP="00FC5199">
            <w:pPr>
              <w:widowControl/>
              <w:jc w:val="center"/>
              <w:rPr>
                <w:rFonts w:ascii="楷体" w:eastAsia="楷体" w:hAnsi="楷体"/>
                <w:color w:val="000000" w:themeColor="text1"/>
                <w:sz w:val="16"/>
                <w:szCs w:val="16"/>
              </w:rPr>
            </w:pPr>
            <w:r>
              <w:rPr>
                <w:rFonts w:ascii="楷体" w:eastAsia="楷体" w:hAnsi="楷体" w:hint="eastAsia"/>
                <w:color w:val="000000" w:themeColor="text1"/>
                <w:sz w:val="16"/>
                <w:szCs w:val="16"/>
              </w:rPr>
              <w:t>增长6.6%</w:t>
            </w:r>
          </w:p>
        </w:tc>
      </w:tr>
      <w:tr w:rsidR="0053273E" w:rsidRPr="0032491D" w:rsidTr="00FC5199">
        <w:trPr>
          <w:trHeight w:val="270"/>
        </w:trPr>
        <w:tc>
          <w:tcPr>
            <w:tcW w:w="2283" w:type="dxa"/>
            <w:tcBorders>
              <w:top w:val="nil"/>
              <w:bottom w:val="single" w:sz="4" w:space="0" w:color="auto"/>
              <w:right w:val="single" w:sz="4" w:space="0" w:color="auto"/>
            </w:tcBorders>
            <w:shd w:val="clear" w:color="auto" w:fill="auto"/>
            <w:noWrap/>
            <w:vAlign w:val="center"/>
          </w:tcPr>
          <w:p w:rsidR="0053273E" w:rsidRPr="0032491D" w:rsidRDefault="004D6BF2" w:rsidP="00FC5199">
            <w:pPr>
              <w:widowControl/>
              <w:jc w:val="left"/>
              <w:rPr>
                <w:rFonts w:ascii="楷体" w:eastAsia="楷体" w:hAnsi="楷体"/>
                <w:color w:val="000000" w:themeColor="text1"/>
                <w:sz w:val="16"/>
                <w:szCs w:val="16"/>
              </w:rPr>
            </w:pPr>
            <w:r>
              <w:rPr>
                <w:rFonts w:ascii="楷体" w:eastAsia="楷体" w:hAnsi="楷体"/>
                <w:color w:val="000000" w:themeColor="text1"/>
                <w:sz w:val="16"/>
                <w:szCs w:val="16"/>
              </w:rPr>
              <w:t>美国</w:t>
            </w:r>
            <w:r>
              <w:rPr>
                <w:rFonts w:ascii="楷体" w:eastAsia="楷体" w:hAnsi="楷体" w:hint="eastAsia"/>
                <w:color w:val="000000" w:themeColor="text1"/>
                <w:sz w:val="16"/>
                <w:szCs w:val="16"/>
              </w:rPr>
              <w:t>：4月工业产出</w:t>
            </w:r>
          </w:p>
        </w:tc>
        <w:tc>
          <w:tcPr>
            <w:tcW w:w="1418" w:type="dxa"/>
            <w:tcBorders>
              <w:top w:val="nil"/>
              <w:left w:val="nil"/>
              <w:bottom w:val="single" w:sz="4" w:space="0" w:color="auto"/>
            </w:tcBorders>
            <w:shd w:val="clear" w:color="auto" w:fill="auto"/>
            <w:noWrap/>
            <w:vAlign w:val="center"/>
          </w:tcPr>
          <w:p w:rsidR="0053273E" w:rsidRPr="0032491D" w:rsidRDefault="004D6BF2" w:rsidP="00FC5199">
            <w:pPr>
              <w:widowControl/>
              <w:jc w:val="center"/>
              <w:rPr>
                <w:rFonts w:ascii="楷体" w:eastAsia="楷体" w:hAnsi="楷体"/>
                <w:color w:val="000000" w:themeColor="text1"/>
                <w:sz w:val="16"/>
                <w:szCs w:val="16"/>
              </w:rPr>
            </w:pPr>
            <w:r>
              <w:rPr>
                <w:rFonts w:ascii="楷体" w:eastAsia="楷体" w:hAnsi="楷体"/>
                <w:color w:val="000000" w:themeColor="text1"/>
                <w:sz w:val="16"/>
                <w:szCs w:val="16"/>
              </w:rPr>
              <w:t>环比增长</w:t>
            </w:r>
            <w:r>
              <w:rPr>
                <w:rFonts w:ascii="楷体" w:eastAsia="楷体" w:hAnsi="楷体" w:hint="eastAsia"/>
                <w:color w:val="000000" w:themeColor="text1"/>
                <w:sz w:val="16"/>
                <w:szCs w:val="16"/>
              </w:rPr>
              <w:t>0.7%</w:t>
            </w:r>
          </w:p>
        </w:tc>
      </w:tr>
      <w:tr w:rsidR="0053273E" w:rsidRPr="0032491D" w:rsidTr="00FC5199">
        <w:trPr>
          <w:trHeight w:val="270"/>
        </w:trPr>
        <w:tc>
          <w:tcPr>
            <w:tcW w:w="2283" w:type="dxa"/>
            <w:tcBorders>
              <w:top w:val="nil"/>
              <w:bottom w:val="single" w:sz="4" w:space="0" w:color="auto"/>
              <w:right w:val="single" w:sz="4" w:space="0" w:color="auto"/>
            </w:tcBorders>
            <w:shd w:val="clear" w:color="000000" w:fill="D9D9D9"/>
            <w:noWrap/>
            <w:vAlign w:val="center"/>
          </w:tcPr>
          <w:p w:rsidR="0053273E" w:rsidRPr="0032491D" w:rsidRDefault="0053273E" w:rsidP="00FC5199">
            <w:pPr>
              <w:widowControl/>
              <w:jc w:val="left"/>
              <w:rPr>
                <w:rFonts w:ascii="楷体" w:eastAsia="楷体" w:hAnsi="楷体"/>
                <w:color w:val="000000" w:themeColor="text1"/>
                <w:sz w:val="16"/>
                <w:szCs w:val="16"/>
              </w:rPr>
            </w:pPr>
            <w:r w:rsidRPr="0032491D">
              <w:rPr>
                <w:rFonts w:ascii="楷体" w:eastAsia="楷体" w:hAnsi="楷体" w:cs="Arial"/>
                <w:b/>
                <w:bCs/>
                <w:noProof/>
                <w:color w:val="002060"/>
                <w:kern w:val="0"/>
                <w:sz w:val="24"/>
                <w:szCs w:val="13"/>
              </w:rPr>
              <mc:AlternateContent>
                <mc:Choice Requires="wps">
                  <w:drawing>
                    <wp:anchor distT="0" distB="0" distL="114300" distR="114300" simplePos="0" relativeHeight="251662336" behindDoc="0" locked="0" layoutInCell="1" allowOverlap="1" wp14:anchorId="0CB69721" wp14:editId="53D09212">
                      <wp:simplePos x="0" y="0"/>
                      <wp:positionH relativeFrom="column">
                        <wp:posOffset>-78105</wp:posOffset>
                      </wp:positionH>
                      <wp:positionV relativeFrom="paragraph">
                        <wp:posOffset>130810</wp:posOffset>
                      </wp:positionV>
                      <wp:extent cx="2154555" cy="214630"/>
                      <wp:effectExtent l="0" t="0" r="0" b="0"/>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214630"/>
                              </a:xfrm>
                              <a:prstGeom prst="rect">
                                <a:avLst/>
                              </a:prstGeom>
                              <a:noFill/>
                              <a:ln w="9525">
                                <a:noFill/>
                                <a:miter lim="800000"/>
                                <a:headEnd/>
                                <a:tailEnd/>
                              </a:ln>
                            </wps:spPr>
                            <wps:txbx>
                              <w:txbxContent>
                                <w:p w:rsidR="00FE427A" w:rsidRPr="00B33891" w:rsidRDefault="00FE427A" w:rsidP="0053273E">
                                  <w:pPr>
                                    <w:rPr>
                                      <w:rFonts w:ascii="楷体" w:eastAsia="楷体" w:hAnsi="楷体" w:cs="宋体"/>
                                      <w:b/>
                                      <w:bCs/>
                                      <w:kern w:val="0"/>
                                      <w:sz w:val="16"/>
                                      <w:szCs w:val="16"/>
                                      <w:lang w:val="en-GB"/>
                                    </w:rPr>
                                  </w:pPr>
                                  <w:r w:rsidRPr="00B33891">
                                    <w:rPr>
                                      <w:rFonts w:ascii="楷体" w:eastAsia="楷体" w:hAnsi="楷体" w:cs="宋体" w:hint="eastAsia"/>
                                      <w:b/>
                                      <w:bCs/>
                                      <w:kern w:val="0"/>
                                      <w:sz w:val="16"/>
                                      <w:szCs w:val="16"/>
                                      <w:lang w:val="en-GB"/>
                                    </w:rPr>
                                    <w:t>数据来源：</w:t>
                                  </w:r>
                                  <w:proofErr w:type="gramStart"/>
                                  <w:r w:rsidRPr="00B33891">
                                    <w:rPr>
                                      <w:rFonts w:ascii="楷体" w:eastAsia="楷体" w:hAnsi="楷体" w:cs="宋体" w:hint="eastAsia"/>
                                      <w:b/>
                                      <w:bCs/>
                                      <w:kern w:val="0"/>
                                      <w:sz w:val="16"/>
                                      <w:szCs w:val="16"/>
                                      <w:lang w:val="en-GB"/>
                                    </w:rPr>
                                    <w:t>凯</w:t>
                                  </w:r>
                                  <w:proofErr w:type="gramEnd"/>
                                  <w:r w:rsidRPr="00B33891">
                                    <w:rPr>
                                      <w:rFonts w:ascii="楷体" w:eastAsia="楷体" w:hAnsi="楷体" w:cs="宋体" w:hint="eastAsia"/>
                                      <w:b/>
                                      <w:bCs/>
                                      <w:kern w:val="0"/>
                                      <w:sz w:val="16"/>
                                      <w:szCs w:val="16"/>
                                      <w:lang w:val="en-GB"/>
                                    </w:rPr>
                                    <w:t>石、WIND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6.15pt;margin-top:10.3pt;width:169.65pt;height:1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" filled="f" stroked="f">
                      <v:textbox>
                        <w:txbxContent>
                          <w:p w:rsidR="00FE427A" w:rsidRPr="00B33891" w:rsidRDefault="00FE427A" w:rsidP="0053273E">
                            <w:pPr>
                              <w:rPr>
                                <w:rFonts w:ascii="楷体" w:eastAsia="楷体" w:hAnsi="楷体" w:cs="宋体"/>
                                <w:b/>
                                <w:bCs/>
                                <w:kern w:val="0"/>
                                <w:sz w:val="16"/>
                                <w:szCs w:val="16"/>
                                <w:lang w:val="en-GB"/>
                              </w:rPr>
                            </w:pPr>
                            <w:r w:rsidRPr="00B33891">
                              <w:rPr>
                                <w:rFonts w:ascii="楷体" w:eastAsia="楷体" w:hAnsi="楷体" w:cs="宋体" w:hint="eastAsia"/>
                                <w:b/>
                                <w:bCs/>
                                <w:kern w:val="0"/>
                                <w:sz w:val="16"/>
                                <w:szCs w:val="16"/>
                                <w:lang w:val="en-GB"/>
                              </w:rPr>
                              <w:t>数据来源：</w:t>
                            </w:r>
                            <w:proofErr w:type="gramStart"/>
                            <w:r w:rsidRPr="00B33891">
                              <w:rPr>
                                <w:rFonts w:ascii="楷体" w:eastAsia="楷体" w:hAnsi="楷体" w:cs="宋体" w:hint="eastAsia"/>
                                <w:b/>
                                <w:bCs/>
                                <w:kern w:val="0"/>
                                <w:sz w:val="16"/>
                                <w:szCs w:val="16"/>
                                <w:lang w:val="en-GB"/>
                              </w:rPr>
                              <w:t>凯</w:t>
                            </w:r>
                            <w:proofErr w:type="gramEnd"/>
                            <w:r w:rsidRPr="00B33891">
                              <w:rPr>
                                <w:rFonts w:ascii="楷体" w:eastAsia="楷体" w:hAnsi="楷体" w:cs="宋体" w:hint="eastAsia"/>
                                <w:b/>
                                <w:bCs/>
                                <w:kern w:val="0"/>
                                <w:sz w:val="16"/>
                                <w:szCs w:val="16"/>
                                <w:lang w:val="en-GB"/>
                              </w:rPr>
                              <w:t>石、WIND</w:t>
                            </w:r>
                          </w:p>
                        </w:txbxContent>
                      </v:textbox>
                    </v:shape>
                  </w:pict>
                </mc:Fallback>
              </mc:AlternateContent>
            </w:r>
          </w:p>
        </w:tc>
        <w:tc>
          <w:tcPr>
            <w:tcW w:w="1418" w:type="dxa"/>
            <w:tcBorders>
              <w:top w:val="nil"/>
              <w:left w:val="nil"/>
              <w:bottom w:val="single" w:sz="4" w:space="0" w:color="auto"/>
            </w:tcBorders>
            <w:shd w:val="clear" w:color="000000" w:fill="D9D9D9"/>
            <w:noWrap/>
            <w:vAlign w:val="center"/>
          </w:tcPr>
          <w:p w:rsidR="0053273E" w:rsidRPr="0032491D" w:rsidRDefault="0053273E" w:rsidP="00FC5199">
            <w:pPr>
              <w:widowControl/>
              <w:jc w:val="center"/>
              <w:rPr>
                <w:rFonts w:ascii="楷体" w:eastAsia="楷体" w:hAnsi="楷体"/>
                <w:color w:val="000000" w:themeColor="text1"/>
                <w:sz w:val="16"/>
                <w:szCs w:val="16"/>
              </w:rPr>
            </w:pPr>
          </w:p>
        </w:tc>
      </w:tr>
    </w:tbl>
    <w:p w:rsidR="0053273E" w:rsidRPr="0032491D" w:rsidRDefault="0053273E" w:rsidP="0053273E">
      <w:pPr>
        <w:pStyle w:val="a6"/>
        <w:numPr>
          <w:ilvl w:val="0"/>
          <w:numId w:val="1"/>
        </w:numPr>
        <w:ind w:left="643" w:hangingChars="200" w:hanging="643"/>
        <w:rPr>
          <w:rFonts w:ascii="楷体" w:eastAsia="楷体" w:hAnsi="楷体" w:cs="Arial"/>
          <w:b/>
          <w:color w:val="996600"/>
          <w:sz w:val="32"/>
          <w:szCs w:val="28"/>
        </w:rPr>
      </w:pPr>
      <w:r w:rsidRPr="0032491D">
        <w:rPr>
          <w:rFonts w:ascii="楷体" w:eastAsia="楷体" w:hAnsi="楷体" w:cs="Arial" w:hint="eastAsia"/>
          <w:b/>
          <w:color w:val="996600"/>
          <w:sz w:val="32"/>
          <w:szCs w:val="28"/>
        </w:rPr>
        <w:t>一周</w:t>
      </w:r>
      <w:r w:rsidRPr="0032491D">
        <w:rPr>
          <w:rFonts w:ascii="楷体" w:eastAsia="楷体" w:hAnsi="楷体" w:cs="Arial"/>
          <w:b/>
          <w:color w:val="996600"/>
          <w:sz w:val="32"/>
          <w:szCs w:val="28"/>
        </w:rPr>
        <w:t xml:space="preserve">基金表现回顾 </w:t>
      </w:r>
    </w:p>
    <w:p w:rsidR="0053273E" w:rsidRPr="0032491D" w:rsidRDefault="0053273E" w:rsidP="0053273E">
      <w:pPr>
        <w:pStyle w:val="a5"/>
        <w:numPr>
          <w:ilvl w:val="0"/>
          <w:numId w:val="2"/>
        </w:numPr>
        <w:spacing w:beforeLines="100" w:before="240" w:afterLines="100" w:after="240" w:line="260" w:lineRule="exact"/>
        <w:ind w:leftChars="0" w:left="987"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股票基金</w:t>
      </w:r>
    </w:p>
    <w:p w:rsidR="0053273E" w:rsidRPr="0032491D" w:rsidRDefault="000E78A4" w:rsidP="0053273E">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Pr>
          <w:rFonts w:ascii="楷体" w:eastAsia="楷体" w:hAnsi="楷体" w:cs="Arial" w:hint="eastAsia"/>
          <w:color w:val="auto"/>
          <w:sz w:val="20"/>
          <w:szCs w:val="20"/>
        </w:rPr>
        <w:t>上周</w:t>
      </w:r>
      <w:r w:rsidR="0053273E" w:rsidRPr="0032491D">
        <w:rPr>
          <w:rFonts w:ascii="楷体" w:eastAsia="楷体" w:hAnsi="楷体" w:cs="Arial" w:hint="eastAsia"/>
          <w:color w:val="auto"/>
          <w:sz w:val="20"/>
          <w:szCs w:val="20"/>
        </w:rPr>
        <w:t>股票基金</w:t>
      </w:r>
      <w:r w:rsidR="0053273E" w:rsidRPr="0032491D">
        <w:rPr>
          <w:rFonts w:ascii="楷体" w:eastAsia="楷体" w:hAnsi="楷体" w:cs="Arial"/>
          <w:color w:val="auto"/>
          <w:sz w:val="20"/>
          <w:szCs w:val="20"/>
        </w:rPr>
        <w:t>平均收益为</w:t>
      </w:r>
      <w:r>
        <w:rPr>
          <w:rFonts w:ascii="楷体" w:eastAsia="楷体" w:hAnsi="楷体" w:cs="Arial" w:hint="eastAsia"/>
          <w:color w:val="auto"/>
          <w:sz w:val="20"/>
          <w:szCs w:val="20"/>
        </w:rPr>
        <w:t>0.35</w:t>
      </w:r>
      <w:r w:rsidR="0053273E" w:rsidRPr="0032491D">
        <w:rPr>
          <w:rFonts w:ascii="楷体" w:eastAsia="楷体" w:hAnsi="楷体" w:cs="Arial"/>
          <w:color w:val="auto"/>
          <w:sz w:val="20"/>
          <w:szCs w:val="20"/>
        </w:rPr>
        <w:t>%。具体来看，普通股</w:t>
      </w:r>
      <w:proofErr w:type="gramStart"/>
      <w:r w:rsidR="0053273E" w:rsidRPr="0032491D">
        <w:rPr>
          <w:rFonts w:ascii="楷体" w:eastAsia="楷体" w:hAnsi="楷体" w:cs="Arial"/>
          <w:color w:val="auto"/>
          <w:sz w:val="20"/>
          <w:szCs w:val="20"/>
        </w:rPr>
        <w:t>基平均</w:t>
      </w:r>
      <w:proofErr w:type="gramEnd"/>
      <w:r w:rsidR="0053273E" w:rsidRPr="0032491D">
        <w:rPr>
          <w:rFonts w:ascii="楷体" w:eastAsia="楷体" w:hAnsi="楷体" w:cs="Arial"/>
          <w:color w:val="auto"/>
          <w:sz w:val="20"/>
          <w:szCs w:val="20"/>
        </w:rPr>
        <w:t>收益为</w:t>
      </w:r>
      <w:r>
        <w:rPr>
          <w:rFonts w:ascii="楷体" w:eastAsia="楷体" w:hAnsi="楷体" w:cs="Arial" w:hint="eastAsia"/>
          <w:color w:val="auto"/>
          <w:sz w:val="20"/>
          <w:szCs w:val="20"/>
        </w:rPr>
        <w:t>0.30</w:t>
      </w:r>
      <w:r w:rsidR="0053273E" w:rsidRPr="0032491D">
        <w:rPr>
          <w:rFonts w:ascii="楷体" w:eastAsia="楷体" w:hAnsi="楷体" w:cs="Arial"/>
          <w:color w:val="auto"/>
          <w:sz w:val="20"/>
          <w:szCs w:val="20"/>
        </w:rPr>
        <w:t>%，</w:t>
      </w:r>
      <w:r w:rsidR="00F63767">
        <w:rPr>
          <w:rFonts w:ascii="楷体" w:eastAsia="楷体" w:hAnsi="楷体" w:cs="Arial"/>
          <w:color w:val="auto"/>
          <w:sz w:val="20"/>
          <w:szCs w:val="20"/>
        </w:rPr>
        <w:t>有</w:t>
      </w:r>
      <w:r>
        <w:rPr>
          <w:rFonts w:ascii="楷体" w:eastAsia="楷体" w:hAnsi="楷体" w:cs="Arial" w:hint="eastAsia"/>
          <w:color w:val="auto"/>
          <w:sz w:val="20"/>
          <w:szCs w:val="20"/>
        </w:rPr>
        <w:t>61</w:t>
      </w:r>
      <w:r w:rsidR="0053273E" w:rsidRPr="0032491D">
        <w:rPr>
          <w:rFonts w:ascii="楷体" w:eastAsia="楷体" w:hAnsi="楷体" w:cs="Arial" w:hint="eastAsia"/>
          <w:color w:val="auto"/>
          <w:sz w:val="20"/>
          <w:szCs w:val="20"/>
        </w:rPr>
        <w:t>%的产品</w:t>
      </w:r>
      <w:r w:rsidR="0053273E" w:rsidRPr="0032491D">
        <w:rPr>
          <w:rFonts w:ascii="楷体" w:eastAsia="楷体" w:hAnsi="楷体" w:cs="Arial"/>
          <w:color w:val="auto"/>
          <w:sz w:val="20"/>
          <w:szCs w:val="20"/>
        </w:rPr>
        <w:t>为</w:t>
      </w:r>
      <w:r w:rsidR="0053273E" w:rsidRPr="0032491D">
        <w:rPr>
          <w:rFonts w:ascii="楷体" w:eastAsia="楷体" w:hAnsi="楷体" w:cs="Arial" w:hint="eastAsia"/>
          <w:color w:val="auto"/>
          <w:sz w:val="20"/>
          <w:szCs w:val="20"/>
        </w:rPr>
        <w:t>正收益，</w:t>
      </w:r>
      <w:r w:rsidR="0053273E" w:rsidRPr="0032491D">
        <w:rPr>
          <w:rFonts w:ascii="楷体" w:eastAsia="楷体" w:hAnsi="楷体" w:cs="Arial"/>
          <w:color w:val="auto"/>
          <w:sz w:val="20"/>
          <w:szCs w:val="20"/>
        </w:rPr>
        <w:t>最高收益为</w:t>
      </w:r>
      <w:r w:rsidR="001C26A9">
        <w:rPr>
          <w:rFonts w:ascii="楷体" w:eastAsia="楷体" w:hAnsi="楷体" w:cs="Arial" w:hint="eastAsia"/>
          <w:color w:val="auto"/>
          <w:sz w:val="20"/>
          <w:szCs w:val="20"/>
        </w:rPr>
        <w:t>景顺长城中小</w:t>
      </w:r>
      <w:proofErr w:type="gramStart"/>
      <w:r w:rsidR="001C26A9">
        <w:rPr>
          <w:rFonts w:ascii="楷体" w:eastAsia="楷体" w:hAnsi="楷体" w:cs="Arial" w:hint="eastAsia"/>
          <w:color w:val="auto"/>
          <w:sz w:val="20"/>
          <w:szCs w:val="20"/>
        </w:rPr>
        <w:t>板创业</w:t>
      </w:r>
      <w:proofErr w:type="gramEnd"/>
      <w:r w:rsidR="001C26A9">
        <w:rPr>
          <w:rFonts w:ascii="楷体" w:eastAsia="楷体" w:hAnsi="楷体" w:cs="Arial" w:hint="eastAsia"/>
          <w:color w:val="auto"/>
          <w:sz w:val="20"/>
          <w:szCs w:val="20"/>
        </w:rPr>
        <w:t>板</w:t>
      </w:r>
      <w:r w:rsidR="0053273E" w:rsidRPr="0032491D">
        <w:rPr>
          <w:rFonts w:ascii="楷体" w:eastAsia="楷体" w:hAnsi="楷体" w:cs="Arial"/>
          <w:color w:val="auto"/>
          <w:sz w:val="20"/>
          <w:szCs w:val="20"/>
        </w:rPr>
        <w:t>的</w:t>
      </w:r>
      <w:r w:rsidR="001C26A9">
        <w:rPr>
          <w:rFonts w:ascii="楷体" w:eastAsia="楷体" w:hAnsi="楷体" w:cs="Arial" w:hint="eastAsia"/>
          <w:color w:val="auto"/>
          <w:sz w:val="20"/>
          <w:szCs w:val="20"/>
        </w:rPr>
        <w:t>3.81</w:t>
      </w:r>
      <w:r w:rsidR="0053273E" w:rsidRPr="0032491D">
        <w:rPr>
          <w:rFonts w:ascii="楷体" w:eastAsia="楷体" w:hAnsi="楷体" w:cs="Arial"/>
          <w:color w:val="auto"/>
          <w:sz w:val="20"/>
          <w:szCs w:val="20"/>
        </w:rPr>
        <w:t>%。指数</w:t>
      </w:r>
      <w:proofErr w:type="gramStart"/>
      <w:r w:rsidR="0053273E" w:rsidRPr="0032491D">
        <w:rPr>
          <w:rFonts w:ascii="楷体" w:eastAsia="楷体" w:hAnsi="楷体" w:cs="Arial"/>
          <w:color w:val="auto"/>
          <w:sz w:val="20"/>
          <w:szCs w:val="20"/>
        </w:rPr>
        <w:t>股基平均</w:t>
      </w:r>
      <w:proofErr w:type="gramEnd"/>
      <w:r w:rsidR="0053273E" w:rsidRPr="0032491D">
        <w:rPr>
          <w:rFonts w:ascii="楷体" w:eastAsia="楷体" w:hAnsi="楷体" w:cs="Arial"/>
          <w:color w:val="auto"/>
          <w:sz w:val="20"/>
          <w:szCs w:val="20"/>
        </w:rPr>
        <w:t>收益为</w:t>
      </w:r>
      <w:r>
        <w:rPr>
          <w:rFonts w:ascii="楷体" w:eastAsia="楷体" w:hAnsi="楷体" w:cs="Arial" w:hint="eastAsia"/>
          <w:color w:val="auto"/>
          <w:sz w:val="20"/>
          <w:szCs w:val="20"/>
        </w:rPr>
        <w:t>0.37</w:t>
      </w:r>
      <w:r w:rsidR="0053273E" w:rsidRPr="0032491D">
        <w:rPr>
          <w:rFonts w:ascii="楷体" w:eastAsia="楷体" w:hAnsi="楷体" w:cs="Arial"/>
          <w:color w:val="auto"/>
          <w:sz w:val="20"/>
          <w:szCs w:val="20"/>
        </w:rPr>
        <w:t>%</w:t>
      </w:r>
      <w:r>
        <w:rPr>
          <w:rFonts w:ascii="楷体" w:eastAsia="楷体" w:hAnsi="楷体" w:cs="Arial" w:hint="eastAsia"/>
          <w:color w:val="auto"/>
          <w:sz w:val="20"/>
          <w:szCs w:val="20"/>
        </w:rPr>
        <w:t>，</w:t>
      </w:r>
      <w:r w:rsidR="0053273E" w:rsidRPr="0032491D">
        <w:rPr>
          <w:rFonts w:ascii="楷体" w:eastAsia="楷体" w:hAnsi="楷体" w:cs="Arial" w:hint="eastAsia"/>
          <w:color w:val="auto"/>
          <w:sz w:val="20"/>
          <w:szCs w:val="20"/>
        </w:rPr>
        <w:t>有</w:t>
      </w:r>
      <w:r>
        <w:rPr>
          <w:rFonts w:ascii="楷体" w:eastAsia="楷体" w:hAnsi="楷体" w:cs="Arial" w:hint="eastAsia"/>
          <w:color w:val="auto"/>
          <w:sz w:val="20"/>
          <w:szCs w:val="20"/>
        </w:rPr>
        <w:t>75</w:t>
      </w:r>
      <w:r w:rsidR="0053273E" w:rsidRPr="0032491D">
        <w:rPr>
          <w:rFonts w:ascii="楷体" w:eastAsia="楷体" w:hAnsi="楷体" w:cs="Arial" w:hint="eastAsia"/>
          <w:color w:val="auto"/>
          <w:sz w:val="20"/>
          <w:szCs w:val="20"/>
        </w:rPr>
        <w:t>%的</w:t>
      </w:r>
      <w:r w:rsidR="003E5A0D">
        <w:rPr>
          <w:rFonts w:ascii="楷体" w:eastAsia="楷体" w:hAnsi="楷体" w:cs="Arial"/>
          <w:color w:val="auto"/>
          <w:sz w:val="20"/>
          <w:szCs w:val="20"/>
        </w:rPr>
        <w:t>产品上涨，最高收益</w:t>
      </w:r>
      <w:proofErr w:type="gramStart"/>
      <w:r w:rsidR="003E5A0D">
        <w:rPr>
          <w:rFonts w:ascii="楷体" w:eastAsia="楷体" w:hAnsi="楷体" w:cs="Arial"/>
          <w:color w:val="auto"/>
          <w:sz w:val="20"/>
          <w:szCs w:val="20"/>
        </w:rPr>
        <w:t>为天弘中证</w:t>
      </w:r>
      <w:proofErr w:type="gramEnd"/>
      <w:r w:rsidR="003E5A0D">
        <w:rPr>
          <w:rFonts w:ascii="楷体" w:eastAsia="楷体" w:hAnsi="楷体" w:cs="Arial"/>
          <w:color w:val="auto"/>
          <w:sz w:val="20"/>
          <w:szCs w:val="20"/>
        </w:rPr>
        <w:t>计算机</w:t>
      </w:r>
      <w:r w:rsidR="003E5A0D">
        <w:rPr>
          <w:rFonts w:ascii="楷体" w:eastAsia="楷体" w:hAnsi="楷体" w:cs="Arial" w:hint="eastAsia"/>
          <w:color w:val="auto"/>
          <w:sz w:val="20"/>
          <w:szCs w:val="20"/>
        </w:rPr>
        <w:t>A</w:t>
      </w:r>
      <w:r w:rsidR="0053273E" w:rsidRPr="0032491D">
        <w:rPr>
          <w:rFonts w:ascii="楷体" w:eastAsia="楷体" w:hAnsi="楷体" w:cs="Arial"/>
          <w:color w:val="auto"/>
          <w:sz w:val="20"/>
          <w:szCs w:val="20"/>
        </w:rPr>
        <w:t>的</w:t>
      </w:r>
      <w:r w:rsidR="003E5A0D">
        <w:rPr>
          <w:rFonts w:ascii="楷体" w:eastAsia="楷体" w:hAnsi="楷体" w:cs="Arial" w:hint="eastAsia"/>
          <w:color w:val="auto"/>
          <w:sz w:val="20"/>
          <w:szCs w:val="20"/>
        </w:rPr>
        <w:t>3.03</w:t>
      </w:r>
      <w:r w:rsidR="0053273E" w:rsidRPr="0032491D">
        <w:rPr>
          <w:rFonts w:ascii="楷体" w:eastAsia="楷体" w:hAnsi="楷体" w:cs="Arial"/>
          <w:color w:val="auto"/>
          <w:sz w:val="20"/>
          <w:szCs w:val="20"/>
        </w:rPr>
        <w:t>%。</w:t>
      </w:r>
    </w:p>
    <w:p w:rsidR="0053273E" w:rsidRPr="0032491D" w:rsidRDefault="0053273E" w:rsidP="0053273E">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color w:val="auto"/>
          <w:sz w:val="20"/>
          <w:szCs w:val="20"/>
        </w:rPr>
        <w:t>从投资范围来看</w:t>
      </w:r>
      <w:r w:rsidRPr="0032491D">
        <w:rPr>
          <w:rFonts w:ascii="楷体" w:eastAsia="楷体" w:hAnsi="楷体" w:cs="Arial" w:hint="eastAsia"/>
          <w:color w:val="auto"/>
          <w:sz w:val="20"/>
          <w:szCs w:val="20"/>
        </w:rPr>
        <w:t>，</w:t>
      </w:r>
      <w:r w:rsidR="00691457">
        <w:rPr>
          <w:rFonts w:ascii="楷体" w:eastAsia="楷体" w:hAnsi="楷体" w:cs="Arial" w:hint="eastAsia"/>
          <w:color w:val="auto"/>
          <w:sz w:val="20"/>
          <w:szCs w:val="20"/>
        </w:rPr>
        <w:t>信息技术、移动互联、智能汽车</w:t>
      </w:r>
      <w:r w:rsidRPr="0032491D">
        <w:rPr>
          <w:rFonts w:ascii="楷体" w:eastAsia="楷体" w:hAnsi="楷体" w:cs="Arial" w:hint="eastAsia"/>
          <w:color w:val="auto"/>
          <w:sz w:val="20"/>
          <w:szCs w:val="20"/>
        </w:rPr>
        <w:t>基金表现较好</w:t>
      </w:r>
      <w:r w:rsidR="00691457">
        <w:rPr>
          <w:rFonts w:ascii="楷体" w:eastAsia="楷体" w:hAnsi="楷体" w:cs="Arial"/>
          <w:color w:val="auto"/>
          <w:sz w:val="20"/>
          <w:szCs w:val="20"/>
        </w:rPr>
        <w:t>。</w:t>
      </w:r>
      <w:proofErr w:type="gramStart"/>
      <w:r w:rsidR="00691457">
        <w:rPr>
          <w:rFonts w:ascii="楷体" w:eastAsia="楷体" w:hAnsi="楷体" w:cs="Arial"/>
          <w:color w:val="auto"/>
          <w:sz w:val="20"/>
          <w:szCs w:val="20"/>
        </w:rPr>
        <w:t>收益居</w:t>
      </w:r>
      <w:proofErr w:type="gramEnd"/>
      <w:r w:rsidR="00691457">
        <w:rPr>
          <w:rFonts w:ascii="楷体" w:eastAsia="楷体" w:hAnsi="楷体" w:cs="Arial"/>
          <w:color w:val="auto"/>
          <w:sz w:val="20"/>
          <w:szCs w:val="20"/>
        </w:rPr>
        <w:t>前的基金有富国中证智能汽车</w:t>
      </w:r>
      <w:r w:rsidRPr="0032491D">
        <w:rPr>
          <w:rFonts w:ascii="楷体" w:eastAsia="楷体" w:hAnsi="楷体" w:cs="Arial" w:hint="eastAsia"/>
          <w:color w:val="auto"/>
          <w:sz w:val="20"/>
          <w:szCs w:val="20"/>
        </w:rPr>
        <w:t>（</w:t>
      </w:r>
      <w:r w:rsidR="00691457">
        <w:rPr>
          <w:rFonts w:ascii="楷体" w:eastAsia="楷体" w:hAnsi="楷体" w:cs="Arial" w:hint="eastAsia"/>
          <w:color w:val="auto"/>
          <w:sz w:val="20"/>
          <w:szCs w:val="20"/>
        </w:rPr>
        <w:t>2.73</w:t>
      </w:r>
      <w:r w:rsidRPr="0032491D">
        <w:rPr>
          <w:rFonts w:ascii="楷体" w:eastAsia="楷体" w:hAnsi="楷体" w:cs="Arial" w:hint="eastAsia"/>
          <w:color w:val="auto"/>
          <w:sz w:val="20"/>
          <w:szCs w:val="20"/>
        </w:rPr>
        <w:t>%</w:t>
      </w:r>
      <w:r>
        <w:rPr>
          <w:rFonts w:ascii="楷体" w:eastAsia="楷体" w:hAnsi="楷体" w:cs="Arial" w:hint="eastAsia"/>
          <w:color w:val="auto"/>
          <w:sz w:val="20"/>
          <w:szCs w:val="20"/>
        </w:rPr>
        <w:t>），</w:t>
      </w:r>
      <w:r w:rsidR="00691457">
        <w:rPr>
          <w:rFonts w:ascii="楷体" w:eastAsia="楷体" w:hAnsi="楷体" w:cs="Arial" w:hint="eastAsia"/>
          <w:color w:val="auto"/>
          <w:sz w:val="20"/>
          <w:szCs w:val="20"/>
        </w:rPr>
        <w:t>南方中证500信息技术ETF</w:t>
      </w:r>
      <w:r w:rsidRPr="0032491D">
        <w:rPr>
          <w:rFonts w:ascii="楷体" w:eastAsia="楷体" w:hAnsi="楷体" w:cs="Arial" w:hint="eastAsia"/>
          <w:color w:val="auto"/>
          <w:sz w:val="20"/>
          <w:szCs w:val="20"/>
        </w:rPr>
        <w:t>（</w:t>
      </w:r>
      <w:r w:rsidR="00691457">
        <w:rPr>
          <w:rFonts w:ascii="楷体" w:eastAsia="楷体" w:hAnsi="楷体" w:cs="Arial" w:hint="eastAsia"/>
          <w:color w:val="auto"/>
          <w:sz w:val="20"/>
          <w:szCs w:val="20"/>
        </w:rPr>
        <w:t>2.69</w:t>
      </w:r>
      <w:r w:rsidRPr="0032491D">
        <w:rPr>
          <w:rFonts w:ascii="楷体" w:eastAsia="楷体" w:hAnsi="楷体" w:cs="Arial" w:hint="eastAsia"/>
          <w:color w:val="auto"/>
          <w:sz w:val="20"/>
          <w:szCs w:val="20"/>
        </w:rPr>
        <w:t>%</w:t>
      </w:r>
      <w:r>
        <w:rPr>
          <w:rFonts w:ascii="楷体" w:eastAsia="楷体" w:hAnsi="楷体" w:cs="Arial" w:hint="eastAsia"/>
          <w:color w:val="auto"/>
          <w:sz w:val="20"/>
          <w:szCs w:val="20"/>
        </w:rPr>
        <w:t>）、</w:t>
      </w:r>
      <w:r w:rsidR="00691457">
        <w:rPr>
          <w:rFonts w:ascii="楷体" w:eastAsia="楷体" w:hAnsi="楷体" w:cs="Arial" w:hint="eastAsia"/>
          <w:color w:val="auto"/>
          <w:sz w:val="20"/>
          <w:szCs w:val="20"/>
        </w:rPr>
        <w:t>鹏华中证移动互联网</w:t>
      </w:r>
      <w:r w:rsidRPr="0032491D">
        <w:rPr>
          <w:rFonts w:ascii="楷体" w:eastAsia="楷体" w:hAnsi="楷体" w:cs="Arial" w:hint="eastAsia"/>
          <w:color w:val="auto"/>
          <w:sz w:val="20"/>
          <w:szCs w:val="20"/>
        </w:rPr>
        <w:t>（</w:t>
      </w:r>
      <w:r w:rsidR="00691457">
        <w:rPr>
          <w:rFonts w:ascii="楷体" w:eastAsia="楷体" w:hAnsi="楷体" w:cs="Arial" w:hint="eastAsia"/>
          <w:color w:val="auto"/>
          <w:sz w:val="20"/>
          <w:szCs w:val="20"/>
        </w:rPr>
        <w:t>2.64</w:t>
      </w:r>
      <w:r w:rsidRPr="0032491D">
        <w:rPr>
          <w:rFonts w:ascii="楷体" w:eastAsia="楷体" w:hAnsi="楷体" w:cs="Arial" w:hint="eastAsia"/>
          <w:color w:val="auto"/>
          <w:sz w:val="20"/>
          <w:szCs w:val="20"/>
        </w:rPr>
        <w:t>%</w:t>
      </w:r>
      <w:r>
        <w:rPr>
          <w:rFonts w:ascii="楷体" w:eastAsia="楷体" w:hAnsi="楷体" w:cs="Arial" w:hint="eastAsia"/>
          <w:color w:val="auto"/>
          <w:sz w:val="20"/>
          <w:szCs w:val="20"/>
        </w:rPr>
        <w:t>）、</w:t>
      </w:r>
      <w:r w:rsidR="00691457">
        <w:rPr>
          <w:rFonts w:ascii="楷体" w:eastAsia="楷体" w:hAnsi="楷体" w:cs="Arial" w:hint="eastAsia"/>
          <w:color w:val="auto"/>
          <w:sz w:val="20"/>
          <w:szCs w:val="20"/>
        </w:rPr>
        <w:t>广发</w:t>
      </w:r>
      <w:proofErr w:type="gramStart"/>
      <w:r w:rsidR="00691457">
        <w:rPr>
          <w:rFonts w:ascii="楷体" w:eastAsia="楷体" w:hAnsi="楷体" w:cs="Arial" w:hint="eastAsia"/>
          <w:color w:val="auto"/>
          <w:sz w:val="20"/>
          <w:szCs w:val="20"/>
        </w:rPr>
        <w:t>中证全指</w:t>
      </w:r>
      <w:proofErr w:type="gramEnd"/>
      <w:r w:rsidR="00691457">
        <w:rPr>
          <w:rFonts w:ascii="楷体" w:eastAsia="楷体" w:hAnsi="楷体" w:cs="Arial" w:hint="eastAsia"/>
          <w:color w:val="auto"/>
          <w:sz w:val="20"/>
          <w:szCs w:val="20"/>
        </w:rPr>
        <w:t>信息技术ETF</w:t>
      </w:r>
      <w:r w:rsidRPr="0032491D">
        <w:rPr>
          <w:rFonts w:ascii="楷体" w:eastAsia="楷体" w:hAnsi="楷体" w:cs="Arial" w:hint="eastAsia"/>
          <w:color w:val="auto"/>
          <w:sz w:val="20"/>
          <w:szCs w:val="20"/>
        </w:rPr>
        <w:t>（</w:t>
      </w:r>
      <w:r w:rsidR="00691457">
        <w:rPr>
          <w:rFonts w:ascii="楷体" w:eastAsia="楷体" w:hAnsi="楷体" w:cs="Arial" w:hint="eastAsia"/>
          <w:color w:val="auto"/>
          <w:sz w:val="20"/>
          <w:szCs w:val="20"/>
        </w:rPr>
        <w:t>2.49</w:t>
      </w:r>
      <w:r w:rsidRPr="0032491D">
        <w:rPr>
          <w:rFonts w:ascii="楷体" w:eastAsia="楷体" w:hAnsi="楷体" w:cs="Arial" w:hint="eastAsia"/>
          <w:color w:val="auto"/>
          <w:sz w:val="20"/>
          <w:szCs w:val="20"/>
        </w:rPr>
        <w:t>%）等。</w:t>
      </w:r>
    </w:p>
    <w:p w:rsidR="0053273E" w:rsidRPr="0032491D" w:rsidRDefault="0053273E" w:rsidP="0053273E">
      <w:pPr>
        <w:pStyle w:val="a5"/>
        <w:numPr>
          <w:ilvl w:val="0"/>
          <w:numId w:val="2"/>
        </w:numPr>
        <w:spacing w:beforeLines="100" w:before="240" w:afterLines="100" w:after="240" w:line="260" w:lineRule="exact"/>
        <w:ind w:leftChars="0" w:left="987"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混合基金</w:t>
      </w:r>
    </w:p>
    <w:p w:rsidR="0053273E" w:rsidRPr="0032491D" w:rsidRDefault="000E78A4" w:rsidP="0053273E">
      <w:pPr>
        <w:pStyle w:val="a5"/>
        <w:spacing w:afterLines="100" w:after="240" w:line="260" w:lineRule="exact"/>
        <w:ind w:leftChars="1822" w:left="3826" w:rightChars="-34" w:right="-71" w:firstLineChars="200" w:firstLine="400"/>
        <w:rPr>
          <w:rFonts w:ascii="楷体" w:eastAsia="楷体" w:hAnsi="楷体" w:cs="Arial"/>
          <w:color w:val="auto"/>
          <w:sz w:val="20"/>
          <w:szCs w:val="20"/>
        </w:rPr>
      </w:pPr>
      <w:r>
        <w:rPr>
          <w:rFonts w:ascii="楷体" w:eastAsia="楷体" w:hAnsi="楷体" w:cs="Arial" w:hint="eastAsia"/>
          <w:color w:val="auto"/>
          <w:sz w:val="20"/>
          <w:szCs w:val="20"/>
        </w:rPr>
        <w:t>混合基金表现劣</w:t>
      </w:r>
      <w:r w:rsidR="0053273E" w:rsidRPr="0032491D">
        <w:rPr>
          <w:rFonts w:ascii="楷体" w:eastAsia="楷体" w:hAnsi="楷体" w:cs="Arial" w:hint="eastAsia"/>
          <w:color w:val="auto"/>
          <w:sz w:val="20"/>
          <w:szCs w:val="20"/>
        </w:rPr>
        <w:t>于股票基金</w:t>
      </w:r>
      <w:r w:rsidR="0053273E" w:rsidRPr="0032491D">
        <w:rPr>
          <w:rFonts w:ascii="楷体" w:eastAsia="楷体" w:hAnsi="楷体" w:cs="Arial"/>
          <w:color w:val="auto"/>
          <w:sz w:val="20"/>
          <w:szCs w:val="20"/>
        </w:rPr>
        <w:t>，其平均收益为</w:t>
      </w:r>
      <w:r>
        <w:rPr>
          <w:rFonts w:ascii="楷体" w:eastAsia="楷体" w:hAnsi="楷体" w:cs="Arial" w:hint="eastAsia"/>
          <w:color w:val="auto"/>
          <w:sz w:val="20"/>
          <w:szCs w:val="20"/>
        </w:rPr>
        <w:t>0.17</w:t>
      </w:r>
      <w:r w:rsidR="0053273E" w:rsidRPr="0032491D">
        <w:rPr>
          <w:rFonts w:ascii="楷体" w:eastAsia="楷体" w:hAnsi="楷体" w:cs="Arial"/>
          <w:color w:val="auto"/>
          <w:sz w:val="20"/>
          <w:szCs w:val="20"/>
        </w:rPr>
        <w:t>%。其中，</w:t>
      </w:r>
      <w:proofErr w:type="gramStart"/>
      <w:r w:rsidR="0053273E" w:rsidRPr="0032491D">
        <w:rPr>
          <w:rFonts w:ascii="楷体" w:eastAsia="楷体" w:hAnsi="楷体" w:cs="Arial"/>
          <w:color w:val="auto"/>
          <w:sz w:val="20"/>
          <w:szCs w:val="20"/>
        </w:rPr>
        <w:t>偏股型平均</w:t>
      </w:r>
      <w:proofErr w:type="gramEnd"/>
      <w:r w:rsidR="0053273E" w:rsidRPr="0032491D">
        <w:rPr>
          <w:rFonts w:ascii="楷体" w:eastAsia="楷体" w:hAnsi="楷体" w:cs="Arial"/>
          <w:color w:val="auto"/>
          <w:sz w:val="20"/>
          <w:szCs w:val="20"/>
        </w:rPr>
        <w:t>收益为</w:t>
      </w:r>
      <w:r>
        <w:rPr>
          <w:rFonts w:ascii="楷体" w:eastAsia="楷体" w:hAnsi="楷体" w:cs="Arial" w:hint="eastAsia"/>
          <w:color w:val="auto"/>
          <w:sz w:val="20"/>
          <w:szCs w:val="20"/>
        </w:rPr>
        <w:t>0.29</w:t>
      </w:r>
      <w:r w:rsidR="0053273E" w:rsidRPr="0032491D">
        <w:rPr>
          <w:rFonts w:ascii="楷体" w:eastAsia="楷体" w:hAnsi="楷体" w:cs="Arial"/>
          <w:color w:val="auto"/>
          <w:sz w:val="20"/>
          <w:szCs w:val="20"/>
        </w:rPr>
        <w:t>%，</w:t>
      </w:r>
      <w:proofErr w:type="gramStart"/>
      <w:r w:rsidR="0053273E" w:rsidRPr="0032491D">
        <w:rPr>
          <w:rFonts w:ascii="楷体" w:eastAsia="楷体" w:hAnsi="楷体" w:cs="Arial"/>
          <w:color w:val="auto"/>
          <w:sz w:val="20"/>
          <w:szCs w:val="20"/>
        </w:rPr>
        <w:t>偏债型</w:t>
      </w:r>
      <w:proofErr w:type="gramEnd"/>
      <w:r w:rsidR="0053273E" w:rsidRPr="0032491D">
        <w:rPr>
          <w:rFonts w:ascii="楷体" w:eastAsia="楷体" w:hAnsi="楷体" w:cs="Arial"/>
          <w:color w:val="auto"/>
          <w:sz w:val="20"/>
          <w:szCs w:val="20"/>
        </w:rPr>
        <w:t>产品平均收益为</w:t>
      </w:r>
      <w:r>
        <w:rPr>
          <w:rFonts w:ascii="楷体" w:eastAsia="楷体" w:hAnsi="楷体" w:cs="Arial" w:hint="eastAsia"/>
          <w:color w:val="auto"/>
          <w:sz w:val="20"/>
          <w:szCs w:val="20"/>
        </w:rPr>
        <w:t>0.00</w:t>
      </w:r>
      <w:r w:rsidR="0053273E" w:rsidRPr="0032491D">
        <w:rPr>
          <w:rFonts w:ascii="楷体" w:eastAsia="楷体" w:hAnsi="楷体" w:cs="Arial"/>
          <w:color w:val="auto"/>
          <w:sz w:val="20"/>
          <w:szCs w:val="20"/>
        </w:rPr>
        <w:t>%，灵活配置</w:t>
      </w:r>
      <w:proofErr w:type="gramStart"/>
      <w:r w:rsidR="0053273E" w:rsidRPr="0032491D">
        <w:rPr>
          <w:rFonts w:ascii="楷体" w:eastAsia="楷体" w:hAnsi="楷体" w:cs="Arial"/>
          <w:color w:val="auto"/>
          <w:sz w:val="20"/>
          <w:szCs w:val="20"/>
        </w:rPr>
        <w:t>型平均</w:t>
      </w:r>
      <w:proofErr w:type="gramEnd"/>
      <w:r w:rsidR="0053273E" w:rsidRPr="0032491D">
        <w:rPr>
          <w:rFonts w:ascii="楷体" w:eastAsia="楷体" w:hAnsi="楷体" w:cs="Arial"/>
          <w:color w:val="auto"/>
          <w:sz w:val="20"/>
          <w:szCs w:val="20"/>
        </w:rPr>
        <w:t>收益为</w:t>
      </w:r>
      <w:r>
        <w:rPr>
          <w:rFonts w:ascii="楷体" w:eastAsia="楷体" w:hAnsi="楷体" w:cs="Arial" w:hint="eastAsia"/>
          <w:color w:val="auto"/>
          <w:sz w:val="20"/>
          <w:szCs w:val="20"/>
        </w:rPr>
        <w:t>0.15</w:t>
      </w:r>
      <w:r w:rsidR="0053273E" w:rsidRPr="0032491D">
        <w:rPr>
          <w:rFonts w:ascii="楷体" w:eastAsia="楷体" w:hAnsi="楷体" w:cs="Arial"/>
          <w:color w:val="auto"/>
          <w:sz w:val="20"/>
          <w:szCs w:val="20"/>
        </w:rPr>
        <w:t>%，平衡</w:t>
      </w:r>
      <w:proofErr w:type="gramStart"/>
      <w:r w:rsidR="0053273E" w:rsidRPr="0032491D">
        <w:rPr>
          <w:rFonts w:ascii="楷体" w:eastAsia="楷体" w:hAnsi="楷体" w:cs="Arial"/>
          <w:color w:val="auto"/>
          <w:sz w:val="20"/>
          <w:szCs w:val="20"/>
        </w:rPr>
        <w:t>型平均</w:t>
      </w:r>
      <w:proofErr w:type="gramEnd"/>
      <w:r w:rsidR="0053273E" w:rsidRPr="0032491D">
        <w:rPr>
          <w:rFonts w:ascii="楷体" w:eastAsia="楷体" w:hAnsi="楷体" w:cs="Arial"/>
          <w:color w:val="auto"/>
          <w:sz w:val="20"/>
          <w:szCs w:val="20"/>
        </w:rPr>
        <w:t>收益为</w:t>
      </w:r>
      <w:r>
        <w:rPr>
          <w:rFonts w:ascii="楷体" w:eastAsia="楷体" w:hAnsi="楷体" w:cs="Arial" w:hint="eastAsia"/>
          <w:color w:val="auto"/>
          <w:sz w:val="20"/>
          <w:szCs w:val="20"/>
        </w:rPr>
        <w:t>0.24</w:t>
      </w:r>
      <w:r w:rsidR="0053273E" w:rsidRPr="0032491D">
        <w:rPr>
          <w:rFonts w:ascii="楷体" w:eastAsia="楷体" w:hAnsi="楷体" w:cs="Arial"/>
          <w:color w:val="auto"/>
          <w:sz w:val="20"/>
          <w:szCs w:val="20"/>
        </w:rPr>
        <w:t>%。</w:t>
      </w:r>
    </w:p>
    <w:tbl>
      <w:tblPr>
        <w:tblpPr w:leftFromText="180" w:rightFromText="180" w:vertAnchor="text" w:horzAnchor="margin" w:tblpY="150"/>
        <w:tblW w:w="368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53273E" w:rsidRPr="0032491D" w:rsidTr="00FC5199">
        <w:trPr>
          <w:trHeight w:val="415"/>
        </w:trPr>
        <w:tc>
          <w:tcPr>
            <w:tcW w:w="3686" w:type="dxa"/>
            <w:gridSpan w:val="4"/>
            <w:shd w:val="clear" w:color="000000" w:fill="F79646"/>
            <w:vAlign w:val="center"/>
            <w:hideMark/>
          </w:tcPr>
          <w:p w:rsidR="0053273E" w:rsidRPr="0032491D" w:rsidRDefault="0053273E" w:rsidP="00FC5199">
            <w:pPr>
              <w:widowControl/>
              <w:jc w:val="center"/>
              <w:rPr>
                <w:rFonts w:ascii="楷体" w:eastAsia="楷体" w:hAnsi="楷体" w:cs="宋体"/>
                <w:b/>
                <w:bCs/>
                <w:color w:val="000000"/>
                <w:kern w:val="0"/>
                <w:sz w:val="20"/>
                <w:szCs w:val="20"/>
              </w:rPr>
            </w:pPr>
            <w:r w:rsidRPr="0032491D">
              <w:rPr>
                <w:rFonts w:ascii="楷体" w:eastAsia="楷体" w:hAnsi="楷体" w:cs="宋体" w:hint="eastAsia"/>
                <w:b/>
                <w:bCs/>
                <w:color w:val="000000"/>
                <w:kern w:val="0"/>
                <w:sz w:val="20"/>
                <w:szCs w:val="20"/>
              </w:rPr>
              <w:t>公</w:t>
            </w:r>
            <w:proofErr w:type="gramStart"/>
            <w:r w:rsidRPr="0032491D">
              <w:rPr>
                <w:rFonts w:ascii="楷体" w:eastAsia="楷体" w:hAnsi="楷体" w:cs="宋体" w:hint="eastAsia"/>
                <w:b/>
                <w:bCs/>
                <w:color w:val="000000"/>
                <w:kern w:val="0"/>
                <w:sz w:val="20"/>
                <w:szCs w:val="20"/>
              </w:rPr>
              <w:t>募基金</w:t>
            </w:r>
            <w:proofErr w:type="gramEnd"/>
            <w:r w:rsidRPr="0032491D">
              <w:rPr>
                <w:rFonts w:ascii="楷体" w:eastAsia="楷体" w:hAnsi="楷体" w:cs="宋体" w:hint="eastAsia"/>
                <w:b/>
                <w:bCs/>
                <w:color w:val="000000"/>
                <w:kern w:val="0"/>
                <w:sz w:val="20"/>
                <w:szCs w:val="20"/>
              </w:rPr>
              <w:t>区间收益%</w:t>
            </w:r>
          </w:p>
        </w:tc>
      </w:tr>
      <w:tr w:rsidR="00365A9F" w:rsidRPr="0032491D" w:rsidTr="00FC5199">
        <w:trPr>
          <w:trHeight w:val="285"/>
        </w:trPr>
        <w:tc>
          <w:tcPr>
            <w:tcW w:w="993" w:type="dxa"/>
            <w:vMerge w:val="restart"/>
            <w:shd w:val="clear" w:color="auto" w:fill="auto"/>
            <w:vAlign w:val="center"/>
            <w:hideMark/>
          </w:tcPr>
          <w:p w:rsidR="00365A9F" w:rsidRPr="0032491D" w:rsidRDefault="00365A9F"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365A9F" w:rsidRDefault="00365A9F">
            <w:pPr>
              <w:jc w:val="center"/>
              <w:rPr>
                <w:rFonts w:ascii="楷体" w:eastAsia="楷体" w:hAnsi="楷体" w:cs="宋体"/>
                <w:color w:val="000000"/>
                <w:sz w:val="15"/>
                <w:szCs w:val="15"/>
              </w:rPr>
            </w:pPr>
            <w:r>
              <w:rPr>
                <w:rFonts w:ascii="楷体" w:eastAsia="楷体" w:hAnsi="楷体" w:hint="eastAsia"/>
                <w:color w:val="000000"/>
                <w:sz w:val="15"/>
                <w:szCs w:val="15"/>
              </w:rPr>
              <w:t>0.35</w:t>
            </w:r>
          </w:p>
        </w:tc>
        <w:tc>
          <w:tcPr>
            <w:tcW w:w="992" w:type="dxa"/>
            <w:shd w:val="clear" w:color="000000" w:fill="D9D9D9"/>
            <w:vAlign w:val="center"/>
            <w:hideMark/>
          </w:tcPr>
          <w:p w:rsidR="00365A9F" w:rsidRPr="0032491D" w:rsidRDefault="00365A9F"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365A9F" w:rsidRDefault="00365A9F">
            <w:pPr>
              <w:jc w:val="center"/>
              <w:rPr>
                <w:rFonts w:ascii="楷体" w:eastAsia="楷体" w:hAnsi="楷体" w:cs="宋体"/>
                <w:color w:val="000000"/>
                <w:sz w:val="16"/>
                <w:szCs w:val="16"/>
              </w:rPr>
            </w:pPr>
            <w:r>
              <w:rPr>
                <w:rFonts w:ascii="楷体" w:eastAsia="楷体" w:hAnsi="楷体" w:hint="eastAsia"/>
                <w:color w:val="000000"/>
                <w:sz w:val="16"/>
                <w:szCs w:val="16"/>
              </w:rPr>
              <w:t>0.30</w:t>
            </w:r>
          </w:p>
        </w:tc>
      </w:tr>
      <w:tr w:rsidR="00365A9F" w:rsidRPr="0032491D" w:rsidTr="00FC5199">
        <w:trPr>
          <w:trHeight w:val="285"/>
        </w:trPr>
        <w:tc>
          <w:tcPr>
            <w:tcW w:w="993" w:type="dxa"/>
            <w:vMerge/>
            <w:vAlign w:val="center"/>
            <w:hideMark/>
          </w:tcPr>
          <w:p w:rsidR="00365A9F" w:rsidRPr="0032491D" w:rsidRDefault="00365A9F" w:rsidP="00FC5199">
            <w:pPr>
              <w:widowControl/>
              <w:jc w:val="left"/>
              <w:rPr>
                <w:rFonts w:ascii="楷体" w:eastAsia="楷体" w:hAnsi="楷体" w:cs="宋体"/>
                <w:color w:val="000000"/>
                <w:kern w:val="0"/>
                <w:sz w:val="16"/>
                <w:szCs w:val="16"/>
              </w:rPr>
            </w:pPr>
          </w:p>
        </w:tc>
        <w:tc>
          <w:tcPr>
            <w:tcW w:w="709" w:type="dxa"/>
            <w:vMerge/>
            <w:vAlign w:val="center"/>
            <w:hideMark/>
          </w:tcPr>
          <w:p w:rsidR="00365A9F" w:rsidRPr="0032491D" w:rsidRDefault="00365A9F" w:rsidP="00FC5199">
            <w:pPr>
              <w:widowControl/>
              <w:jc w:val="center"/>
              <w:rPr>
                <w:rStyle w:val="textsmall2"/>
                <w:rFonts w:ascii="楷体" w:eastAsia="楷体" w:hAnsi="楷体" w:cs="Arial"/>
                <w:sz w:val="16"/>
                <w:szCs w:val="16"/>
              </w:rPr>
            </w:pPr>
          </w:p>
        </w:tc>
        <w:tc>
          <w:tcPr>
            <w:tcW w:w="992" w:type="dxa"/>
            <w:shd w:val="clear" w:color="auto" w:fill="auto"/>
            <w:vAlign w:val="center"/>
            <w:hideMark/>
          </w:tcPr>
          <w:p w:rsidR="00365A9F" w:rsidRPr="0032491D" w:rsidRDefault="00365A9F" w:rsidP="00FC5199">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365A9F" w:rsidRDefault="00365A9F">
            <w:pPr>
              <w:jc w:val="center"/>
              <w:rPr>
                <w:rFonts w:ascii="楷体" w:eastAsia="楷体" w:hAnsi="楷体" w:cs="宋体"/>
                <w:color w:val="000000"/>
                <w:sz w:val="16"/>
                <w:szCs w:val="16"/>
              </w:rPr>
            </w:pPr>
            <w:r>
              <w:rPr>
                <w:rFonts w:ascii="楷体" w:eastAsia="楷体" w:hAnsi="楷体" w:hint="eastAsia"/>
                <w:color w:val="000000"/>
                <w:sz w:val="16"/>
                <w:szCs w:val="16"/>
              </w:rPr>
              <w:t>0.37</w:t>
            </w:r>
          </w:p>
        </w:tc>
      </w:tr>
      <w:tr w:rsidR="00365A9F" w:rsidRPr="0032491D" w:rsidTr="00FC5199">
        <w:trPr>
          <w:trHeight w:val="285"/>
        </w:trPr>
        <w:tc>
          <w:tcPr>
            <w:tcW w:w="993" w:type="dxa"/>
            <w:vMerge w:val="restart"/>
            <w:shd w:val="clear" w:color="auto" w:fill="auto"/>
            <w:vAlign w:val="center"/>
            <w:hideMark/>
          </w:tcPr>
          <w:p w:rsidR="00365A9F" w:rsidRPr="0032491D" w:rsidRDefault="00365A9F"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365A9F" w:rsidRDefault="00365A9F">
            <w:pPr>
              <w:jc w:val="center"/>
              <w:rPr>
                <w:rFonts w:ascii="楷体" w:eastAsia="楷体" w:hAnsi="楷体" w:cs="宋体"/>
                <w:color w:val="000000"/>
                <w:sz w:val="15"/>
                <w:szCs w:val="15"/>
              </w:rPr>
            </w:pPr>
            <w:r>
              <w:rPr>
                <w:rFonts w:ascii="楷体" w:eastAsia="楷体" w:hAnsi="楷体" w:hint="eastAsia"/>
                <w:color w:val="000000"/>
                <w:sz w:val="15"/>
                <w:szCs w:val="15"/>
              </w:rPr>
              <w:t>0.17</w:t>
            </w:r>
          </w:p>
        </w:tc>
        <w:tc>
          <w:tcPr>
            <w:tcW w:w="992" w:type="dxa"/>
            <w:shd w:val="clear" w:color="000000" w:fill="D9D9D9"/>
            <w:vAlign w:val="center"/>
            <w:hideMark/>
          </w:tcPr>
          <w:p w:rsidR="00365A9F" w:rsidRPr="0032491D" w:rsidRDefault="00365A9F" w:rsidP="00FC5199">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365A9F" w:rsidRDefault="00365A9F">
            <w:pPr>
              <w:jc w:val="center"/>
              <w:rPr>
                <w:rFonts w:ascii="楷体" w:eastAsia="楷体" w:hAnsi="楷体" w:cs="宋体"/>
                <w:color w:val="000000"/>
                <w:sz w:val="16"/>
                <w:szCs w:val="16"/>
              </w:rPr>
            </w:pPr>
            <w:r>
              <w:rPr>
                <w:rFonts w:ascii="楷体" w:eastAsia="楷体" w:hAnsi="楷体" w:hint="eastAsia"/>
                <w:color w:val="000000"/>
                <w:sz w:val="16"/>
                <w:szCs w:val="16"/>
              </w:rPr>
              <w:t>0.29</w:t>
            </w:r>
          </w:p>
        </w:tc>
      </w:tr>
      <w:tr w:rsidR="00365A9F" w:rsidRPr="0032491D" w:rsidTr="00FC5199">
        <w:trPr>
          <w:trHeight w:val="285"/>
        </w:trPr>
        <w:tc>
          <w:tcPr>
            <w:tcW w:w="993" w:type="dxa"/>
            <w:vMerge/>
            <w:vAlign w:val="center"/>
            <w:hideMark/>
          </w:tcPr>
          <w:p w:rsidR="00365A9F" w:rsidRPr="0032491D" w:rsidRDefault="00365A9F" w:rsidP="00FC5199">
            <w:pPr>
              <w:widowControl/>
              <w:jc w:val="left"/>
              <w:rPr>
                <w:rFonts w:ascii="楷体" w:eastAsia="楷体" w:hAnsi="楷体" w:cs="宋体"/>
                <w:color w:val="000000"/>
                <w:kern w:val="0"/>
                <w:sz w:val="16"/>
                <w:szCs w:val="16"/>
              </w:rPr>
            </w:pPr>
          </w:p>
        </w:tc>
        <w:tc>
          <w:tcPr>
            <w:tcW w:w="709" w:type="dxa"/>
            <w:vMerge/>
            <w:vAlign w:val="center"/>
            <w:hideMark/>
          </w:tcPr>
          <w:p w:rsidR="00365A9F" w:rsidRPr="0032491D" w:rsidRDefault="00365A9F" w:rsidP="00FC5199">
            <w:pPr>
              <w:widowControl/>
              <w:jc w:val="center"/>
              <w:rPr>
                <w:rStyle w:val="textsmall2"/>
                <w:rFonts w:ascii="楷体" w:eastAsia="楷体" w:hAnsi="楷体" w:cs="Arial"/>
                <w:sz w:val="16"/>
                <w:szCs w:val="16"/>
              </w:rPr>
            </w:pPr>
          </w:p>
        </w:tc>
        <w:tc>
          <w:tcPr>
            <w:tcW w:w="992" w:type="dxa"/>
            <w:shd w:val="clear" w:color="auto" w:fill="auto"/>
            <w:vAlign w:val="center"/>
            <w:hideMark/>
          </w:tcPr>
          <w:p w:rsidR="00365A9F" w:rsidRPr="0032491D" w:rsidRDefault="00365A9F" w:rsidP="00FC5199">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365A9F" w:rsidRDefault="00365A9F">
            <w:pPr>
              <w:jc w:val="center"/>
              <w:rPr>
                <w:rFonts w:ascii="楷体" w:eastAsia="楷体" w:hAnsi="楷体" w:cs="宋体"/>
                <w:color w:val="000000"/>
                <w:sz w:val="16"/>
                <w:szCs w:val="16"/>
              </w:rPr>
            </w:pPr>
            <w:r>
              <w:rPr>
                <w:rFonts w:ascii="楷体" w:eastAsia="楷体" w:hAnsi="楷体" w:hint="eastAsia"/>
                <w:color w:val="000000"/>
                <w:sz w:val="16"/>
                <w:szCs w:val="16"/>
              </w:rPr>
              <w:t>0.00</w:t>
            </w:r>
          </w:p>
        </w:tc>
      </w:tr>
      <w:tr w:rsidR="00365A9F" w:rsidRPr="0032491D" w:rsidTr="00FC5199">
        <w:trPr>
          <w:trHeight w:val="285"/>
        </w:trPr>
        <w:tc>
          <w:tcPr>
            <w:tcW w:w="993" w:type="dxa"/>
            <w:vMerge/>
            <w:vAlign w:val="center"/>
            <w:hideMark/>
          </w:tcPr>
          <w:p w:rsidR="00365A9F" w:rsidRPr="0032491D" w:rsidRDefault="00365A9F" w:rsidP="00FC5199">
            <w:pPr>
              <w:widowControl/>
              <w:jc w:val="left"/>
              <w:rPr>
                <w:rFonts w:ascii="楷体" w:eastAsia="楷体" w:hAnsi="楷体" w:cs="宋体"/>
                <w:color w:val="000000"/>
                <w:kern w:val="0"/>
                <w:sz w:val="16"/>
                <w:szCs w:val="16"/>
              </w:rPr>
            </w:pPr>
          </w:p>
        </w:tc>
        <w:tc>
          <w:tcPr>
            <w:tcW w:w="709" w:type="dxa"/>
            <w:vMerge/>
            <w:vAlign w:val="center"/>
            <w:hideMark/>
          </w:tcPr>
          <w:p w:rsidR="00365A9F" w:rsidRPr="0032491D" w:rsidRDefault="00365A9F" w:rsidP="00FC5199">
            <w:pPr>
              <w:widowControl/>
              <w:jc w:val="center"/>
              <w:rPr>
                <w:rStyle w:val="textsmall2"/>
                <w:rFonts w:ascii="楷体" w:eastAsia="楷体" w:hAnsi="楷体" w:cs="Arial"/>
                <w:sz w:val="16"/>
                <w:szCs w:val="16"/>
              </w:rPr>
            </w:pPr>
          </w:p>
        </w:tc>
        <w:tc>
          <w:tcPr>
            <w:tcW w:w="992" w:type="dxa"/>
            <w:shd w:val="clear" w:color="000000" w:fill="D9D9D9"/>
            <w:vAlign w:val="center"/>
            <w:hideMark/>
          </w:tcPr>
          <w:p w:rsidR="00365A9F" w:rsidRPr="0032491D" w:rsidRDefault="00365A9F"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365A9F" w:rsidRDefault="00365A9F">
            <w:pPr>
              <w:jc w:val="center"/>
              <w:rPr>
                <w:rFonts w:ascii="楷体" w:eastAsia="楷体" w:hAnsi="楷体" w:cs="宋体"/>
                <w:color w:val="000000"/>
                <w:sz w:val="16"/>
                <w:szCs w:val="16"/>
              </w:rPr>
            </w:pPr>
            <w:r>
              <w:rPr>
                <w:rFonts w:ascii="楷体" w:eastAsia="楷体" w:hAnsi="楷体" w:hint="eastAsia"/>
                <w:color w:val="000000"/>
                <w:sz w:val="16"/>
                <w:szCs w:val="16"/>
              </w:rPr>
              <w:t>0.15</w:t>
            </w:r>
          </w:p>
        </w:tc>
      </w:tr>
      <w:tr w:rsidR="00365A9F" w:rsidRPr="0032491D" w:rsidTr="00FC5199">
        <w:trPr>
          <w:trHeight w:val="285"/>
        </w:trPr>
        <w:tc>
          <w:tcPr>
            <w:tcW w:w="993" w:type="dxa"/>
            <w:vMerge/>
            <w:vAlign w:val="center"/>
            <w:hideMark/>
          </w:tcPr>
          <w:p w:rsidR="00365A9F" w:rsidRPr="0032491D" w:rsidRDefault="00365A9F" w:rsidP="00FC5199">
            <w:pPr>
              <w:widowControl/>
              <w:jc w:val="left"/>
              <w:rPr>
                <w:rFonts w:ascii="楷体" w:eastAsia="楷体" w:hAnsi="楷体" w:cs="宋体"/>
                <w:color w:val="000000"/>
                <w:kern w:val="0"/>
                <w:sz w:val="16"/>
                <w:szCs w:val="16"/>
              </w:rPr>
            </w:pPr>
          </w:p>
        </w:tc>
        <w:tc>
          <w:tcPr>
            <w:tcW w:w="709" w:type="dxa"/>
            <w:vMerge/>
            <w:vAlign w:val="center"/>
            <w:hideMark/>
          </w:tcPr>
          <w:p w:rsidR="00365A9F" w:rsidRPr="0032491D" w:rsidRDefault="00365A9F" w:rsidP="00FC5199">
            <w:pPr>
              <w:widowControl/>
              <w:jc w:val="center"/>
              <w:rPr>
                <w:rStyle w:val="textsmall2"/>
                <w:rFonts w:ascii="楷体" w:eastAsia="楷体" w:hAnsi="楷体" w:cs="Arial"/>
                <w:sz w:val="16"/>
                <w:szCs w:val="16"/>
              </w:rPr>
            </w:pPr>
          </w:p>
        </w:tc>
        <w:tc>
          <w:tcPr>
            <w:tcW w:w="992" w:type="dxa"/>
            <w:shd w:val="clear" w:color="auto" w:fill="auto"/>
            <w:vAlign w:val="center"/>
            <w:hideMark/>
          </w:tcPr>
          <w:p w:rsidR="00365A9F" w:rsidRPr="0032491D" w:rsidRDefault="00365A9F"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混合平衡</w:t>
            </w:r>
          </w:p>
        </w:tc>
        <w:tc>
          <w:tcPr>
            <w:tcW w:w="992" w:type="dxa"/>
            <w:shd w:val="clear" w:color="auto" w:fill="auto"/>
            <w:vAlign w:val="center"/>
            <w:hideMark/>
          </w:tcPr>
          <w:p w:rsidR="00365A9F" w:rsidRDefault="00365A9F">
            <w:pPr>
              <w:jc w:val="center"/>
              <w:rPr>
                <w:rFonts w:ascii="楷体" w:eastAsia="楷体" w:hAnsi="楷体" w:cs="宋体"/>
                <w:color w:val="000000"/>
                <w:sz w:val="16"/>
                <w:szCs w:val="16"/>
              </w:rPr>
            </w:pPr>
            <w:r>
              <w:rPr>
                <w:rFonts w:ascii="楷体" w:eastAsia="楷体" w:hAnsi="楷体" w:hint="eastAsia"/>
                <w:color w:val="000000"/>
                <w:sz w:val="16"/>
                <w:szCs w:val="16"/>
              </w:rPr>
              <w:t>0.24</w:t>
            </w:r>
          </w:p>
        </w:tc>
      </w:tr>
      <w:tr w:rsidR="00365A9F" w:rsidRPr="0032491D" w:rsidTr="00FC5199">
        <w:trPr>
          <w:trHeight w:val="285"/>
        </w:trPr>
        <w:tc>
          <w:tcPr>
            <w:tcW w:w="993" w:type="dxa"/>
            <w:vMerge w:val="restart"/>
            <w:shd w:val="clear" w:color="auto" w:fill="auto"/>
            <w:vAlign w:val="center"/>
            <w:hideMark/>
          </w:tcPr>
          <w:p w:rsidR="00365A9F" w:rsidRPr="0032491D" w:rsidRDefault="00365A9F"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365A9F" w:rsidRDefault="00365A9F">
            <w:pPr>
              <w:jc w:val="center"/>
              <w:rPr>
                <w:rFonts w:ascii="楷体" w:eastAsia="楷体" w:hAnsi="楷体" w:cs="宋体"/>
                <w:color w:val="000000"/>
                <w:sz w:val="15"/>
                <w:szCs w:val="15"/>
              </w:rPr>
            </w:pPr>
            <w:r>
              <w:rPr>
                <w:rFonts w:ascii="楷体" w:eastAsia="楷体" w:hAnsi="楷体" w:hint="eastAsia"/>
                <w:color w:val="000000"/>
                <w:sz w:val="15"/>
                <w:szCs w:val="15"/>
              </w:rPr>
              <w:t>-0.04</w:t>
            </w:r>
          </w:p>
        </w:tc>
        <w:tc>
          <w:tcPr>
            <w:tcW w:w="992" w:type="dxa"/>
            <w:shd w:val="clear" w:color="000000" w:fill="D9D9D9"/>
            <w:vAlign w:val="center"/>
            <w:hideMark/>
          </w:tcPr>
          <w:p w:rsidR="00365A9F" w:rsidRPr="0032491D" w:rsidRDefault="00365A9F" w:rsidP="00FC5199">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365A9F" w:rsidRDefault="00365A9F">
            <w:pPr>
              <w:jc w:val="center"/>
              <w:rPr>
                <w:rFonts w:ascii="楷体" w:eastAsia="楷体" w:hAnsi="楷体" w:cs="宋体"/>
                <w:color w:val="000000"/>
                <w:sz w:val="16"/>
                <w:szCs w:val="16"/>
              </w:rPr>
            </w:pPr>
            <w:r>
              <w:rPr>
                <w:rFonts w:ascii="楷体" w:eastAsia="楷体" w:hAnsi="楷体" w:hint="eastAsia"/>
                <w:color w:val="000000"/>
                <w:sz w:val="16"/>
                <w:szCs w:val="16"/>
              </w:rPr>
              <w:t>-0.03</w:t>
            </w:r>
          </w:p>
        </w:tc>
      </w:tr>
      <w:tr w:rsidR="00365A9F" w:rsidRPr="0032491D" w:rsidTr="00FC5199">
        <w:trPr>
          <w:trHeight w:val="285"/>
        </w:trPr>
        <w:tc>
          <w:tcPr>
            <w:tcW w:w="993" w:type="dxa"/>
            <w:vMerge/>
            <w:vAlign w:val="center"/>
            <w:hideMark/>
          </w:tcPr>
          <w:p w:rsidR="00365A9F" w:rsidRPr="0032491D" w:rsidRDefault="00365A9F" w:rsidP="00FC5199">
            <w:pPr>
              <w:widowControl/>
              <w:jc w:val="left"/>
              <w:rPr>
                <w:rFonts w:ascii="楷体" w:eastAsia="楷体" w:hAnsi="楷体" w:cs="宋体"/>
                <w:color w:val="000000"/>
                <w:kern w:val="0"/>
                <w:sz w:val="16"/>
                <w:szCs w:val="16"/>
              </w:rPr>
            </w:pPr>
          </w:p>
        </w:tc>
        <w:tc>
          <w:tcPr>
            <w:tcW w:w="709" w:type="dxa"/>
            <w:vMerge/>
            <w:vAlign w:val="center"/>
            <w:hideMark/>
          </w:tcPr>
          <w:p w:rsidR="00365A9F" w:rsidRPr="0032491D" w:rsidRDefault="00365A9F" w:rsidP="00FC5199">
            <w:pPr>
              <w:widowControl/>
              <w:jc w:val="center"/>
              <w:rPr>
                <w:rStyle w:val="textsmall2"/>
                <w:rFonts w:ascii="楷体" w:eastAsia="楷体" w:hAnsi="楷体" w:cs="Arial"/>
                <w:sz w:val="16"/>
                <w:szCs w:val="16"/>
              </w:rPr>
            </w:pPr>
          </w:p>
        </w:tc>
        <w:tc>
          <w:tcPr>
            <w:tcW w:w="992" w:type="dxa"/>
            <w:shd w:val="clear" w:color="auto" w:fill="auto"/>
            <w:vAlign w:val="center"/>
            <w:hideMark/>
          </w:tcPr>
          <w:p w:rsidR="00365A9F" w:rsidRPr="0032491D" w:rsidRDefault="00365A9F" w:rsidP="00FC5199">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365A9F" w:rsidRDefault="00365A9F">
            <w:pPr>
              <w:jc w:val="center"/>
              <w:rPr>
                <w:rFonts w:ascii="楷体" w:eastAsia="楷体" w:hAnsi="楷体" w:cs="宋体"/>
                <w:color w:val="000000"/>
                <w:sz w:val="16"/>
                <w:szCs w:val="16"/>
              </w:rPr>
            </w:pPr>
            <w:r>
              <w:rPr>
                <w:rFonts w:ascii="楷体" w:eastAsia="楷体" w:hAnsi="楷体" w:hint="eastAsia"/>
                <w:color w:val="000000"/>
                <w:sz w:val="16"/>
                <w:szCs w:val="16"/>
              </w:rPr>
              <w:t>-0.08</w:t>
            </w:r>
          </w:p>
        </w:tc>
      </w:tr>
      <w:tr w:rsidR="00365A9F" w:rsidRPr="0032491D" w:rsidTr="00FC5199">
        <w:trPr>
          <w:trHeight w:val="285"/>
        </w:trPr>
        <w:tc>
          <w:tcPr>
            <w:tcW w:w="993" w:type="dxa"/>
            <w:vMerge/>
            <w:vAlign w:val="center"/>
            <w:hideMark/>
          </w:tcPr>
          <w:p w:rsidR="00365A9F" w:rsidRPr="0032491D" w:rsidRDefault="00365A9F" w:rsidP="00FC5199">
            <w:pPr>
              <w:widowControl/>
              <w:jc w:val="left"/>
              <w:rPr>
                <w:rFonts w:ascii="楷体" w:eastAsia="楷体" w:hAnsi="楷体" w:cs="宋体"/>
                <w:color w:val="000000"/>
                <w:kern w:val="0"/>
                <w:sz w:val="16"/>
                <w:szCs w:val="16"/>
              </w:rPr>
            </w:pPr>
          </w:p>
        </w:tc>
        <w:tc>
          <w:tcPr>
            <w:tcW w:w="709" w:type="dxa"/>
            <w:vMerge/>
            <w:vAlign w:val="center"/>
            <w:hideMark/>
          </w:tcPr>
          <w:p w:rsidR="00365A9F" w:rsidRPr="0032491D" w:rsidRDefault="00365A9F" w:rsidP="00FC5199">
            <w:pPr>
              <w:widowControl/>
              <w:jc w:val="center"/>
              <w:rPr>
                <w:rStyle w:val="textsmall2"/>
                <w:rFonts w:ascii="楷体" w:eastAsia="楷体" w:hAnsi="楷体" w:cs="Arial"/>
                <w:sz w:val="16"/>
                <w:szCs w:val="16"/>
              </w:rPr>
            </w:pPr>
          </w:p>
        </w:tc>
        <w:tc>
          <w:tcPr>
            <w:tcW w:w="992" w:type="dxa"/>
            <w:shd w:val="clear" w:color="000000" w:fill="D9D9D9"/>
            <w:vAlign w:val="center"/>
            <w:hideMark/>
          </w:tcPr>
          <w:p w:rsidR="00365A9F" w:rsidRPr="0032491D" w:rsidRDefault="00365A9F" w:rsidP="00FC5199">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365A9F" w:rsidRDefault="00365A9F">
            <w:pPr>
              <w:jc w:val="center"/>
              <w:rPr>
                <w:rFonts w:ascii="楷体" w:eastAsia="楷体" w:hAnsi="楷体" w:cs="宋体"/>
                <w:color w:val="000000"/>
                <w:sz w:val="16"/>
                <w:szCs w:val="16"/>
              </w:rPr>
            </w:pPr>
            <w:r>
              <w:rPr>
                <w:rFonts w:ascii="楷体" w:eastAsia="楷体" w:hAnsi="楷体" w:hint="eastAsia"/>
                <w:color w:val="000000"/>
                <w:sz w:val="16"/>
                <w:szCs w:val="16"/>
              </w:rPr>
              <w:t>-0.01</w:t>
            </w:r>
          </w:p>
        </w:tc>
      </w:tr>
      <w:tr w:rsidR="00365A9F" w:rsidRPr="0032491D" w:rsidTr="00FC5199">
        <w:trPr>
          <w:trHeight w:val="285"/>
        </w:trPr>
        <w:tc>
          <w:tcPr>
            <w:tcW w:w="993" w:type="dxa"/>
            <w:vMerge/>
            <w:tcBorders>
              <w:bottom w:val="single" w:sz="4" w:space="0" w:color="auto"/>
            </w:tcBorders>
            <w:vAlign w:val="center"/>
            <w:hideMark/>
          </w:tcPr>
          <w:p w:rsidR="00365A9F" w:rsidRPr="0032491D" w:rsidRDefault="00365A9F" w:rsidP="00FC5199">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365A9F" w:rsidRPr="0032491D" w:rsidRDefault="00365A9F" w:rsidP="00FC5199">
            <w:pPr>
              <w:widowControl/>
              <w:jc w:val="center"/>
              <w:rPr>
                <w:rStyle w:val="textsmall2"/>
                <w:rFonts w:ascii="楷体" w:eastAsia="楷体" w:hAnsi="楷体" w:cs="Arial"/>
                <w:sz w:val="16"/>
                <w:szCs w:val="16"/>
              </w:rPr>
            </w:pPr>
          </w:p>
        </w:tc>
        <w:tc>
          <w:tcPr>
            <w:tcW w:w="992" w:type="dxa"/>
            <w:shd w:val="clear" w:color="auto" w:fill="auto"/>
            <w:vAlign w:val="center"/>
            <w:hideMark/>
          </w:tcPr>
          <w:p w:rsidR="00365A9F" w:rsidRPr="0032491D" w:rsidRDefault="00365A9F" w:rsidP="00FC5199">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365A9F" w:rsidRDefault="00365A9F">
            <w:pPr>
              <w:jc w:val="center"/>
              <w:rPr>
                <w:rFonts w:ascii="楷体" w:eastAsia="楷体" w:hAnsi="楷体" w:cs="宋体"/>
                <w:color w:val="000000"/>
                <w:sz w:val="16"/>
                <w:szCs w:val="16"/>
              </w:rPr>
            </w:pPr>
            <w:r>
              <w:rPr>
                <w:rFonts w:ascii="楷体" w:eastAsia="楷体" w:hAnsi="楷体" w:hint="eastAsia"/>
                <w:color w:val="000000"/>
                <w:sz w:val="16"/>
                <w:szCs w:val="16"/>
              </w:rPr>
              <w:t>-0.23</w:t>
            </w:r>
          </w:p>
        </w:tc>
      </w:tr>
      <w:tr w:rsidR="00365A9F" w:rsidRPr="0032491D" w:rsidTr="00FC5199">
        <w:trPr>
          <w:trHeight w:val="285"/>
        </w:trPr>
        <w:tc>
          <w:tcPr>
            <w:tcW w:w="993" w:type="dxa"/>
            <w:shd w:val="clear" w:color="auto" w:fill="D9D9D9" w:themeFill="background1" w:themeFillShade="D9"/>
            <w:vAlign w:val="center"/>
            <w:hideMark/>
          </w:tcPr>
          <w:p w:rsidR="00365A9F" w:rsidRPr="0032491D" w:rsidRDefault="00365A9F"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365A9F" w:rsidRDefault="00365A9F">
            <w:pPr>
              <w:jc w:val="center"/>
              <w:rPr>
                <w:rFonts w:ascii="楷体" w:eastAsia="楷体" w:hAnsi="楷体" w:cs="宋体"/>
                <w:color w:val="000000"/>
                <w:sz w:val="13"/>
                <w:szCs w:val="13"/>
              </w:rPr>
            </w:pPr>
            <w:r>
              <w:rPr>
                <w:rFonts w:ascii="楷体" w:eastAsia="楷体" w:hAnsi="楷体" w:hint="eastAsia"/>
                <w:color w:val="000000"/>
                <w:sz w:val="13"/>
                <w:szCs w:val="13"/>
              </w:rPr>
              <w:t>-1.33</w:t>
            </w:r>
          </w:p>
        </w:tc>
        <w:tc>
          <w:tcPr>
            <w:tcW w:w="992" w:type="dxa"/>
            <w:shd w:val="clear" w:color="000000" w:fill="D9D9D9"/>
            <w:vAlign w:val="center"/>
            <w:hideMark/>
          </w:tcPr>
          <w:p w:rsidR="00365A9F" w:rsidRPr="0032491D" w:rsidRDefault="00365A9F"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365A9F" w:rsidRDefault="00365A9F">
            <w:pPr>
              <w:jc w:val="center"/>
              <w:rPr>
                <w:rFonts w:ascii="楷体" w:eastAsia="楷体" w:hAnsi="楷体" w:cs="宋体"/>
                <w:color w:val="000000"/>
                <w:sz w:val="16"/>
                <w:szCs w:val="16"/>
              </w:rPr>
            </w:pPr>
            <w:r>
              <w:rPr>
                <w:rFonts w:ascii="楷体" w:eastAsia="楷体" w:hAnsi="楷体" w:hint="eastAsia"/>
                <w:color w:val="000000"/>
                <w:sz w:val="16"/>
                <w:szCs w:val="16"/>
              </w:rPr>
              <w:t>-0.02</w:t>
            </w:r>
          </w:p>
        </w:tc>
      </w:tr>
      <w:tr w:rsidR="0053273E" w:rsidRPr="0032491D" w:rsidTr="00FC5199">
        <w:trPr>
          <w:trHeight w:val="270"/>
        </w:trPr>
        <w:tc>
          <w:tcPr>
            <w:tcW w:w="1702" w:type="dxa"/>
            <w:gridSpan w:val="2"/>
            <w:vMerge w:val="restart"/>
            <w:shd w:val="clear" w:color="auto" w:fill="auto"/>
            <w:vAlign w:val="center"/>
            <w:hideMark/>
          </w:tcPr>
          <w:p w:rsidR="0053273E" w:rsidRPr="0032491D" w:rsidRDefault="0053273E"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货币基金</w:t>
            </w:r>
          </w:p>
          <w:p w:rsidR="0053273E" w:rsidRPr="0032491D" w:rsidRDefault="0053273E" w:rsidP="00FC5199">
            <w:pPr>
              <w:widowControl/>
              <w:jc w:val="center"/>
              <w:rPr>
                <w:rFonts w:ascii="楷体" w:eastAsia="楷体" w:hAnsi="楷体" w:cs="宋体"/>
                <w:color w:val="000000"/>
                <w:kern w:val="0"/>
                <w:sz w:val="13"/>
                <w:szCs w:val="13"/>
              </w:rPr>
            </w:pPr>
            <w:proofErr w:type="gramStart"/>
            <w:r w:rsidRPr="0032491D">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53273E" w:rsidRPr="0032491D" w:rsidRDefault="0053273E" w:rsidP="00365A9F">
            <w:pPr>
              <w:jc w:val="center"/>
              <w:rPr>
                <w:rFonts w:ascii="楷体" w:eastAsia="楷体" w:hAnsi="楷体"/>
                <w:color w:val="000000"/>
                <w:sz w:val="15"/>
                <w:szCs w:val="15"/>
              </w:rPr>
            </w:pPr>
            <w:r w:rsidRPr="0032491D">
              <w:rPr>
                <w:rFonts w:ascii="楷体" w:eastAsia="楷体" w:hAnsi="楷体"/>
                <w:color w:val="000000"/>
                <w:sz w:val="15"/>
                <w:szCs w:val="15"/>
              </w:rPr>
              <w:t>2.</w:t>
            </w:r>
            <w:r w:rsidR="00365A9F">
              <w:rPr>
                <w:rFonts w:ascii="楷体" w:eastAsia="楷体" w:hAnsi="楷体" w:hint="eastAsia"/>
                <w:color w:val="000000"/>
                <w:sz w:val="15"/>
                <w:szCs w:val="15"/>
              </w:rPr>
              <w:t>4</w:t>
            </w:r>
            <w:r w:rsidR="00F63767">
              <w:rPr>
                <w:rFonts w:ascii="楷体" w:eastAsia="楷体" w:hAnsi="楷体" w:hint="eastAsia"/>
                <w:color w:val="000000"/>
                <w:sz w:val="15"/>
                <w:szCs w:val="15"/>
              </w:rPr>
              <w:t>4</w:t>
            </w:r>
            <w:r w:rsidRPr="0032491D">
              <w:rPr>
                <w:rFonts w:ascii="楷体" w:eastAsia="楷体" w:hAnsi="楷体"/>
                <w:color w:val="000000"/>
                <w:sz w:val="15"/>
                <w:szCs w:val="15"/>
              </w:rPr>
              <w:tab/>
            </w:r>
          </w:p>
        </w:tc>
      </w:tr>
      <w:tr w:rsidR="0053273E" w:rsidRPr="0032491D" w:rsidTr="00FC5199">
        <w:trPr>
          <w:trHeight w:val="285"/>
        </w:trPr>
        <w:tc>
          <w:tcPr>
            <w:tcW w:w="1702" w:type="dxa"/>
            <w:gridSpan w:val="2"/>
            <w:vMerge/>
            <w:vAlign w:val="center"/>
            <w:hideMark/>
          </w:tcPr>
          <w:p w:rsidR="0053273E" w:rsidRPr="0032491D" w:rsidRDefault="0053273E" w:rsidP="00FC5199">
            <w:pPr>
              <w:widowControl/>
              <w:jc w:val="left"/>
              <w:rPr>
                <w:rFonts w:ascii="楷体" w:eastAsia="楷体" w:hAnsi="楷体" w:cs="宋体"/>
                <w:color w:val="000000"/>
                <w:kern w:val="0"/>
                <w:sz w:val="16"/>
                <w:szCs w:val="16"/>
              </w:rPr>
            </w:pPr>
          </w:p>
        </w:tc>
        <w:tc>
          <w:tcPr>
            <w:tcW w:w="1984" w:type="dxa"/>
            <w:gridSpan w:val="2"/>
            <w:vMerge/>
            <w:vAlign w:val="center"/>
            <w:hideMark/>
          </w:tcPr>
          <w:p w:rsidR="0053273E" w:rsidRPr="0032491D" w:rsidRDefault="0053273E" w:rsidP="00FC5199">
            <w:pPr>
              <w:widowControl/>
              <w:jc w:val="left"/>
              <w:rPr>
                <w:rFonts w:ascii="楷体" w:eastAsia="楷体" w:hAnsi="楷体" w:cs="宋体"/>
                <w:color w:val="000000"/>
                <w:kern w:val="0"/>
                <w:sz w:val="16"/>
                <w:szCs w:val="16"/>
              </w:rPr>
            </w:pPr>
          </w:p>
        </w:tc>
      </w:tr>
      <w:tr w:rsidR="00365A9F" w:rsidRPr="0032491D" w:rsidTr="00FC5199">
        <w:trPr>
          <w:trHeight w:val="285"/>
        </w:trPr>
        <w:tc>
          <w:tcPr>
            <w:tcW w:w="993" w:type="dxa"/>
            <w:vMerge w:val="restart"/>
            <w:shd w:val="clear" w:color="auto" w:fill="auto"/>
            <w:vAlign w:val="center"/>
            <w:hideMark/>
          </w:tcPr>
          <w:p w:rsidR="00365A9F" w:rsidRPr="0032491D" w:rsidRDefault="00365A9F"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365A9F" w:rsidRDefault="00365A9F">
            <w:pPr>
              <w:jc w:val="center"/>
              <w:rPr>
                <w:rFonts w:ascii="楷体" w:eastAsia="楷体" w:hAnsi="楷体" w:cs="宋体"/>
                <w:color w:val="000000"/>
                <w:sz w:val="15"/>
                <w:szCs w:val="15"/>
              </w:rPr>
            </w:pPr>
            <w:r>
              <w:rPr>
                <w:rFonts w:ascii="楷体" w:eastAsia="楷体" w:hAnsi="楷体" w:hint="eastAsia"/>
                <w:color w:val="000000"/>
                <w:sz w:val="15"/>
                <w:szCs w:val="15"/>
              </w:rPr>
              <w:t>-0.17</w:t>
            </w:r>
          </w:p>
        </w:tc>
        <w:tc>
          <w:tcPr>
            <w:tcW w:w="992" w:type="dxa"/>
            <w:shd w:val="clear" w:color="000000" w:fill="D9D9D9"/>
            <w:vAlign w:val="center"/>
            <w:hideMark/>
          </w:tcPr>
          <w:p w:rsidR="00365A9F" w:rsidRPr="0032491D" w:rsidRDefault="00365A9F"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w:t>
            </w:r>
            <w:proofErr w:type="gramStart"/>
            <w:r w:rsidRPr="0032491D">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365A9F" w:rsidRDefault="00365A9F">
            <w:pPr>
              <w:jc w:val="center"/>
              <w:rPr>
                <w:rFonts w:ascii="楷体" w:eastAsia="楷体" w:hAnsi="楷体" w:cs="宋体"/>
                <w:color w:val="000000"/>
                <w:sz w:val="16"/>
                <w:szCs w:val="16"/>
              </w:rPr>
            </w:pPr>
            <w:r>
              <w:rPr>
                <w:rFonts w:ascii="楷体" w:eastAsia="楷体" w:hAnsi="楷体" w:hint="eastAsia"/>
                <w:color w:val="000000"/>
                <w:sz w:val="16"/>
                <w:szCs w:val="16"/>
              </w:rPr>
              <w:t>-0.27</w:t>
            </w:r>
          </w:p>
        </w:tc>
      </w:tr>
      <w:tr w:rsidR="00365A9F" w:rsidRPr="0032491D" w:rsidTr="00FC5199">
        <w:trPr>
          <w:trHeight w:val="285"/>
        </w:trPr>
        <w:tc>
          <w:tcPr>
            <w:tcW w:w="993" w:type="dxa"/>
            <w:vMerge/>
            <w:vAlign w:val="center"/>
            <w:hideMark/>
          </w:tcPr>
          <w:p w:rsidR="00365A9F" w:rsidRPr="0032491D" w:rsidRDefault="00365A9F" w:rsidP="00FC5199">
            <w:pPr>
              <w:widowControl/>
              <w:jc w:val="left"/>
              <w:rPr>
                <w:rFonts w:ascii="楷体" w:eastAsia="楷体" w:hAnsi="楷体" w:cs="宋体"/>
                <w:color w:val="000000"/>
                <w:kern w:val="0"/>
                <w:sz w:val="16"/>
                <w:szCs w:val="16"/>
              </w:rPr>
            </w:pPr>
          </w:p>
        </w:tc>
        <w:tc>
          <w:tcPr>
            <w:tcW w:w="709" w:type="dxa"/>
            <w:vMerge/>
            <w:vAlign w:val="center"/>
            <w:hideMark/>
          </w:tcPr>
          <w:p w:rsidR="00365A9F" w:rsidRPr="0032491D" w:rsidRDefault="00365A9F" w:rsidP="00FC5199">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365A9F" w:rsidRPr="0032491D" w:rsidRDefault="00365A9F"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QDII混合</w:t>
            </w:r>
          </w:p>
        </w:tc>
        <w:tc>
          <w:tcPr>
            <w:tcW w:w="992" w:type="dxa"/>
            <w:shd w:val="clear" w:color="auto" w:fill="auto"/>
            <w:vAlign w:val="center"/>
            <w:hideMark/>
          </w:tcPr>
          <w:p w:rsidR="00365A9F" w:rsidRDefault="00365A9F">
            <w:pPr>
              <w:jc w:val="center"/>
              <w:rPr>
                <w:rFonts w:ascii="楷体" w:eastAsia="楷体" w:hAnsi="楷体" w:cs="宋体"/>
                <w:color w:val="000000"/>
                <w:sz w:val="16"/>
                <w:szCs w:val="16"/>
              </w:rPr>
            </w:pPr>
            <w:r>
              <w:rPr>
                <w:rFonts w:ascii="楷体" w:eastAsia="楷体" w:hAnsi="楷体" w:hint="eastAsia"/>
                <w:color w:val="000000"/>
                <w:sz w:val="16"/>
                <w:szCs w:val="16"/>
              </w:rPr>
              <w:t>-0.45</w:t>
            </w:r>
          </w:p>
        </w:tc>
      </w:tr>
      <w:tr w:rsidR="00365A9F" w:rsidRPr="0032491D" w:rsidTr="00FC5199">
        <w:trPr>
          <w:trHeight w:val="285"/>
        </w:trPr>
        <w:tc>
          <w:tcPr>
            <w:tcW w:w="993" w:type="dxa"/>
            <w:vMerge/>
            <w:vAlign w:val="center"/>
            <w:hideMark/>
          </w:tcPr>
          <w:p w:rsidR="00365A9F" w:rsidRPr="0032491D" w:rsidRDefault="00365A9F" w:rsidP="00FC5199">
            <w:pPr>
              <w:widowControl/>
              <w:jc w:val="left"/>
              <w:rPr>
                <w:rFonts w:ascii="楷体" w:eastAsia="楷体" w:hAnsi="楷体" w:cs="宋体"/>
                <w:color w:val="000000"/>
                <w:kern w:val="0"/>
                <w:sz w:val="16"/>
                <w:szCs w:val="16"/>
              </w:rPr>
            </w:pPr>
          </w:p>
        </w:tc>
        <w:tc>
          <w:tcPr>
            <w:tcW w:w="709" w:type="dxa"/>
            <w:vMerge/>
            <w:vAlign w:val="center"/>
            <w:hideMark/>
          </w:tcPr>
          <w:p w:rsidR="00365A9F" w:rsidRPr="0032491D" w:rsidRDefault="00365A9F" w:rsidP="00FC5199">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365A9F" w:rsidRPr="0032491D" w:rsidRDefault="00365A9F"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w:t>
            </w:r>
            <w:proofErr w:type="gramStart"/>
            <w:r w:rsidRPr="0032491D">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365A9F" w:rsidRDefault="00365A9F">
            <w:pPr>
              <w:jc w:val="center"/>
              <w:rPr>
                <w:rFonts w:ascii="楷体" w:eastAsia="楷体" w:hAnsi="楷体" w:cs="宋体"/>
                <w:color w:val="000000"/>
                <w:sz w:val="16"/>
                <w:szCs w:val="16"/>
              </w:rPr>
            </w:pPr>
            <w:r>
              <w:rPr>
                <w:rFonts w:ascii="楷体" w:eastAsia="楷体" w:hAnsi="楷体" w:hint="eastAsia"/>
                <w:color w:val="000000"/>
                <w:sz w:val="16"/>
                <w:szCs w:val="16"/>
              </w:rPr>
              <w:t>0.57</w:t>
            </w:r>
          </w:p>
        </w:tc>
      </w:tr>
      <w:tr w:rsidR="00365A9F" w:rsidRPr="0032491D" w:rsidTr="00FC5199">
        <w:trPr>
          <w:trHeight w:val="285"/>
        </w:trPr>
        <w:tc>
          <w:tcPr>
            <w:tcW w:w="993" w:type="dxa"/>
            <w:vMerge/>
            <w:vAlign w:val="center"/>
            <w:hideMark/>
          </w:tcPr>
          <w:p w:rsidR="00365A9F" w:rsidRPr="0032491D" w:rsidRDefault="00365A9F" w:rsidP="00FC5199">
            <w:pPr>
              <w:widowControl/>
              <w:jc w:val="left"/>
              <w:rPr>
                <w:rFonts w:ascii="楷体" w:eastAsia="楷体" w:hAnsi="楷体" w:cs="宋体"/>
                <w:color w:val="000000"/>
                <w:kern w:val="0"/>
                <w:sz w:val="16"/>
                <w:szCs w:val="16"/>
              </w:rPr>
            </w:pPr>
          </w:p>
        </w:tc>
        <w:tc>
          <w:tcPr>
            <w:tcW w:w="709" w:type="dxa"/>
            <w:vMerge/>
            <w:vAlign w:val="center"/>
            <w:hideMark/>
          </w:tcPr>
          <w:p w:rsidR="00365A9F" w:rsidRPr="0032491D" w:rsidRDefault="00365A9F" w:rsidP="00FC5199">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365A9F" w:rsidRPr="0032491D" w:rsidRDefault="00365A9F" w:rsidP="00FC5199">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QDII另类</w:t>
            </w:r>
          </w:p>
        </w:tc>
        <w:tc>
          <w:tcPr>
            <w:tcW w:w="992" w:type="dxa"/>
            <w:shd w:val="clear" w:color="auto" w:fill="auto"/>
            <w:vAlign w:val="center"/>
            <w:hideMark/>
          </w:tcPr>
          <w:p w:rsidR="00365A9F" w:rsidRDefault="00365A9F">
            <w:pPr>
              <w:jc w:val="center"/>
              <w:rPr>
                <w:rFonts w:ascii="楷体" w:eastAsia="楷体" w:hAnsi="楷体" w:cs="宋体"/>
                <w:color w:val="000000"/>
                <w:sz w:val="16"/>
                <w:szCs w:val="16"/>
              </w:rPr>
            </w:pPr>
            <w:r>
              <w:rPr>
                <w:rFonts w:ascii="楷体" w:eastAsia="楷体" w:hAnsi="楷体" w:hint="eastAsia"/>
                <w:color w:val="000000"/>
                <w:sz w:val="16"/>
                <w:szCs w:val="16"/>
              </w:rPr>
              <w:t>-0.21</w:t>
            </w:r>
          </w:p>
        </w:tc>
      </w:tr>
    </w:tbl>
    <w:p w:rsidR="0053273E" w:rsidRPr="0032491D" w:rsidRDefault="0053273E" w:rsidP="0053273E">
      <w:pPr>
        <w:pStyle w:val="a5"/>
        <w:spacing w:beforeLines="100" w:before="240" w:afterLines="100" w:after="240" w:line="260" w:lineRule="exact"/>
        <w:ind w:leftChars="0" w:left="0" w:rightChars="-34" w:right="-71" w:firstLineChars="300" w:firstLine="600"/>
        <w:rPr>
          <w:rFonts w:ascii="楷体" w:eastAsia="楷体" w:hAnsi="楷体" w:cs="Arial"/>
          <w:color w:val="auto"/>
          <w:sz w:val="20"/>
          <w:szCs w:val="20"/>
        </w:rPr>
      </w:pPr>
      <w:proofErr w:type="gramStart"/>
      <w:r w:rsidRPr="0032491D">
        <w:rPr>
          <w:rFonts w:ascii="楷体" w:eastAsia="楷体" w:hAnsi="楷体" w:cs="Arial"/>
          <w:color w:val="auto"/>
          <w:sz w:val="20"/>
          <w:szCs w:val="20"/>
        </w:rPr>
        <w:t>偏股型</w:t>
      </w:r>
      <w:proofErr w:type="gramEnd"/>
      <w:r w:rsidRPr="0032491D">
        <w:rPr>
          <w:rFonts w:ascii="楷体" w:eastAsia="楷体" w:hAnsi="楷体" w:cs="Arial"/>
          <w:color w:val="auto"/>
          <w:sz w:val="20"/>
          <w:szCs w:val="20"/>
        </w:rPr>
        <w:t>产品</w:t>
      </w:r>
      <w:r w:rsidRPr="0032491D">
        <w:rPr>
          <w:rFonts w:ascii="楷体" w:eastAsia="楷体" w:hAnsi="楷体" w:cs="Arial" w:hint="eastAsia"/>
          <w:color w:val="auto"/>
          <w:sz w:val="20"/>
          <w:szCs w:val="20"/>
        </w:rPr>
        <w:t>中</w:t>
      </w:r>
      <w:r w:rsidR="000E78A4">
        <w:rPr>
          <w:rFonts w:ascii="楷体" w:eastAsia="楷体" w:hAnsi="楷体" w:cs="Arial" w:hint="eastAsia"/>
          <w:color w:val="auto"/>
          <w:sz w:val="20"/>
          <w:szCs w:val="20"/>
        </w:rPr>
        <w:t>61</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，最高收益为</w:t>
      </w:r>
      <w:r w:rsidR="001A072D">
        <w:rPr>
          <w:rFonts w:ascii="楷体" w:eastAsia="楷体" w:hAnsi="楷体" w:cs="Arial" w:hint="eastAsia"/>
          <w:color w:val="auto"/>
          <w:sz w:val="20"/>
          <w:szCs w:val="20"/>
        </w:rPr>
        <w:t>金</w:t>
      </w:r>
      <w:proofErr w:type="gramStart"/>
      <w:r w:rsidR="001A072D">
        <w:rPr>
          <w:rFonts w:ascii="楷体" w:eastAsia="楷体" w:hAnsi="楷体" w:cs="Arial" w:hint="eastAsia"/>
          <w:color w:val="auto"/>
          <w:sz w:val="20"/>
          <w:szCs w:val="20"/>
        </w:rPr>
        <w:t>鹰</w:t>
      </w:r>
      <w:proofErr w:type="gramEnd"/>
      <w:r w:rsidR="001A072D">
        <w:rPr>
          <w:rFonts w:ascii="楷体" w:eastAsia="楷体" w:hAnsi="楷体" w:cs="Arial" w:hint="eastAsia"/>
          <w:color w:val="auto"/>
          <w:sz w:val="20"/>
          <w:szCs w:val="20"/>
        </w:rPr>
        <w:t>稳健成长</w:t>
      </w:r>
      <w:r w:rsidRPr="0032491D">
        <w:rPr>
          <w:rFonts w:ascii="楷体" w:eastAsia="楷体" w:hAnsi="楷体" w:cs="Arial"/>
          <w:color w:val="auto"/>
          <w:sz w:val="20"/>
          <w:szCs w:val="20"/>
        </w:rPr>
        <w:t>的</w:t>
      </w:r>
      <w:r w:rsidR="001A072D">
        <w:rPr>
          <w:rFonts w:ascii="楷体" w:eastAsia="楷体" w:hAnsi="楷体" w:cs="Arial" w:hint="eastAsia"/>
          <w:color w:val="auto"/>
          <w:sz w:val="20"/>
          <w:szCs w:val="20"/>
        </w:rPr>
        <w:t>3.58</w:t>
      </w:r>
      <w:r w:rsidRPr="0032491D">
        <w:rPr>
          <w:rFonts w:ascii="楷体" w:eastAsia="楷体" w:hAnsi="楷体" w:cs="Arial"/>
          <w:color w:val="auto"/>
          <w:sz w:val="20"/>
          <w:szCs w:val="20"/>
        </w:rPr>
        <w:t>%。灵活型产品中，</w:t>
      </w:r>
      <w:r w:rsidR="000E78A4">
        <w:rPr>
          <w:rFonts w:ascii="楷体" w:eastAsia="楷体" w:hAnsi="楷体" w:cs="Arial" w:hint="eastAsia"/>
          <w:color w:val="auto"/>
          <w:sz w:val="20"/>
          <w:szCs w:val="20"/>
        </w:rPr>
        <w:t>6</w:t>
      </w:r>
      <w:r w:rsidR="00F63767">
        <w:rPr>
          <w:rFonts w:ascii="楷体" w:eastAsia="楷体" w:hAnsi="楷体" w:cs="Arial" w:hint="eastAsia"/>
          <w:color w:val="auto"/>
          <w:sz w:val="20"/>
          <w:szCs w:val="20"/>
        </w:rPr>
        <w:t>6</w:t>
      </w:r>
      <w:r w:rsidRPr="0032491D">
        <w:rPr>
          <w:rFonts w:ascii="楷体" w:eastAsia="楷体" w:hAnsi="楷体" w:cs="Arial" w:hint="eastAsia"/>
          <w:color w:val="auto"/>
          <w:sz w:val="20"/>
          <w:szCs w:val="20"/>
        </w:rPr>
        <w:t>%产品收益为正</w:t>
      </w:r>
      <w:r>
        <w:rPr>
          <w:rFonts w:ascii="楷体" w:eastAsia="楷体" w:hAnsi="楷体" w:cs="Arial"/>
          <w:color w:val="auto"/>
          <w:sz w:val="20"/>
          <w:szCs w:val="20"/>
        </w:rPr>
        <w:t>，最高收益为</w:t>
      </w:r>
      <w:r w:rsidR="001A072D">
        <w:rPr>
          <w:rFonts w:ascii="楷体" w:eastAsia="楷体" w:hAnsi="楷体" w:cs="Arial" w:hint="eastAsia"/>
          <w:color w:val="auto"/>
          <w:sz w:val="20"/>
          <w:szCs w:val="20"/>
        </w:rPr>
        <w:t>北信瑞丰无限互联主题</w:t>
      </w:r>
      <w:r w:rsidRPr="0032491D">
        <w:rPr>
          <w:rFonts w:ascii="楷体" w:eastAsia="楷体" w:hAnsi="楷体" w:cs="Arial"/>
          <w:color w:val="auto"/>
          <w:sz w:val="20"/>
          <w:szCs w:val="20"/>
        </w:rPr>
        <w:t>的</w:t>
      </w:r>
      <w:r w:rsidR="001A072D">
        <w:rPr>
          <w:rFonts w:ascii="楷体" w:eastAsia="楷体" w:hAnsi="楷体" w:cs="Arial" w:hint="eastAsia"/>
          <w:color w:val="auto"/>
          <w:sz w:val="20"/>
          <w:szCs w:val="20"/>
        </w:rPr>
        <w:t>6.97</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2</w:t>
      </w:r>
      <w:r>
        <w:rPr>
          <w:rFonts w:ascii="楷体" w:eastAsia="楷体" w:hAnsi="楷体" w:cs="Arial" w:hint="eastAsia"/>
          <w:color w:val="auto"/>
          <w:sz w:val="20"/>
          <w:szCs w:val="20"/>
        </w:rPr>
        <w:t>2</w:t>
      </w:r>
      <w:r w:rsidRPr="0032491D">
        <w:rPr>
          <w:rFonts w:ascii="楷体" w:eastAsia="楷体" w:hAnsi="楷体" w:cs="Arial" w:hint="eastAsia"/>
          <w:color w:val="auto"/>
          <w:sz w:val="20"/>
          <w:szCs w:val="20"/>
        </w:rPr>
        <w:t>只</w:t>
      </w:r>
      <w:r w:rsidRPr="0032491D">
        <w:rPr>
          <w:rFonts w:ascii="楷体" w:eastAsia="楷体" w:hAnsi="楷体" w:cs="Arial"/>
          <w:color w:val="auto"/>
          <w:sz w:val="20"/>
          <w:szCs w:val="20"/>
        </w:rPr>
        <w:t>平衡型产品</w:t>
      </w:r>
      <w:r w:rsidR="000E78A4">
        <w:rPr>
          <w:rFonts w:ascii="楷体" w:eastAsia="楷体" w:hAnsi="楷体" w:cs="Arial" w:hint="eastAsia"/>
          <w:color w:val="auto"/>
          <w:sz w:val="20"/>
          <w:szCs w:val="20"/>
        </w:rPr>
        <w:t>中</w:t>
      </w:r>
      <w:r w:rsidR="00F63767">
        <w:rPr>
          <w:rFonts w:ascii="楷体" w:eastAsia="楷体" w:hAnsi="楷体" w:cs="Arial" w:hint="eastAsia"/>
          <w:color w:val="auto"/>
          <w:sz w:val="20"/>
          <w:szCs w:val="20"/>
        </w:rPr>
        <w:t>有</w:t>
      </w:r>
      <w:r w:rsidR="000E78A4">
        <w:rPr>
          <w:rFonts w:ascii="楷体" w:eastAsia="楷体" w:hAnsi="楷体" w:cs="Arial" w:hint="eastAsia"/>
          <w:color w:val="auto"/>
          <w:sz w:val="20"/>
          <w:szCs w:val="20"/>
        </w:rPr>
        <w:t>10</w:t>
      </w:r>
      <w:r w:rsidRPr="0032491D">
        <w:rPr>
          <w:rFonts w:ascii="楷体" w:eastAsia="楷体" w:hAnsi="楷体" w:cs="Arial" w:hint="eastAsia"/>
          <w:color w:val="auto"/>
          <w:sz w:val="20"/>
          <w:szCs w:val="20"/>
        </w:rPr>
        <w:t>只收益为正</w:t>
      </w:r>
      <w:r w:rsidRPr="0032491D">
        <w:rPr>
          <w:rFonts w:ascii="楷体" w:eastAsia="楷体" w:hAnsi="楷体" w:cs="Arial"/>
          <w:color w:val="auto"/>
          <w:sz w:val="20"/>
          <w:szCs w:val="20"/>
        </w:rPr>
        <w:t>，最高收益为</w:t>
      </w:r>
      <w:r w:rsidR="001A072D">
        <w:rPr>
          <w:rFonts w:ascii="楷体" w:eastAsia="楷体" w:hAnsi="楷体" w:cs="Arial" w:hint="eastAsia"/>
          <w:color w:val="auto"/>
          <w:sz w:val="20"/>
          <w:szCs w:val="20"/>
        </w:rPr>
        <w:t>易方达平稳增长</w:t>
      </w:r>
      <w:r w:rsidRPr="0032491D">
        <w:rPr>
          <w:rFonts w:ascii="楷体" w:eastAsia="楷体" w:hAnsi="楷体" w:cs="Arial"/>
          <w:color w:val="auto"/>
          <w:sz w:val="20"/>
          <w:szCs w:val="20"/>
        </w:rPr>
        <w:t>的</w:t>
      </w:r>
      <w:r w:rsidR="001A072D">
        <w:rPr>
          <w:rFonts w:ascii="楷体" w:eastAsia="楷体" w:hAnsi="楷体" w:cs="Arial" w:hint="eastAsia"/>
          <w:color w:val="auto"/>
          <w:sz w:val="20"/>
          <w:szCs w:val="20"/>
        </w:rPr>
        <w:t>2.04</w:t>
      </w:r>
      <w:r w:rsidRPr="0032491D">
        <w:rPr>
          <w:rFonts w:ascii="楷体" w:eastAsia="楷体" w:hAnsi="楷体" w:cs="Arial"/>
          <w:color w:val="auto"/>
          <w:sz w:val="20"/>
          <w:szCs w:val="20"/>
        </w:rPr>
        <w:t>%。</w:t>
      </w:r>
      <w:proofErr w:type="gramStart"/>
      <w:r w:rsidRPr="0032491D">
        <w:rPr>
          <w:rFonts w:ascii="楷体" w:eastAsia="楷体" w:hAnsi="楷体" w:cs="Arial"/>
          <w:color w:val="auto"/>
          <w:sz w:val="20"/>
          <w:szCs w:val="20"/>
        </w:rPr>
        <w:t>偏债型</w:t>
      </w:r>
      <w:proofErr w:type="gramEnd"/>
      <w:r w:rsidRPr="0032491D">
        <w:rPr>
          <w:rFonts w:ascii="楷体" w:eastAsia="楷体" w:hAnsi="楷体" w:cs="Arial"/>
          <w:color w:val="auto"/>
          <w:sz w:val="20"/>
          <w:szCs w:val="20"/>
        </w:rPr>
        <w:t>产品中，</w:t>
      </w:r>
      <w:r w:rsidR="000E78A4">
        <w:rPr>
          <w:rFonts w:ascii="楷体" w:eastAsia="楷体" w:hAnsi="楷体" w:cs="Arial" w:hint="eastAsia"/>
          <w:color w:val="auto"/>
          <w:sz w:val="20"/>
          <w:szCs w:val="20"/>
        </w:rPr>
        <w:t>75</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，最高收益为</w:t>
      </w:r>
      <w:r w:rsidR="001A072D">
        <w:rPr>
          <w:rFonts w:ascii="楷体" w:eastAsia="楷体" w:hAnsi="楷体" w:cs="Arial" w:hint="eastAsia"/>
          <w:color w:val="auto"/>
          <w:sz w:val="20"/>
          <w:szCs w:val="20"/>
        </w:rPr>
        <w:t>东方赢家</w:t>
      </w:r>
      <w:r w:rsidR="00654571">
        <w:rPr>
          <w:rFonts w:ascii="楷体" w:eastAsia="楷体" w:hAnsi="楷体" w:cs="Arial" w:hint="eastAsia"/>
          <w:color w:val="auto"/>
          <w:sz w:val="20"/>
          <w:szCs w:val="20"/>
        </w:rPr>
        <w:t>保本</w:t>
      </w:r>
      <w:r w:rsidRPr="0032491D">
        <w:rPr>
          <w:rFonts w:ascii="楷体" w:eastAsia="楷体" w:hAnsi="楷体" w:cs="Arial"/>
          <w:color w:val="auto"/>
          <w:sz w:val="20"/>
          <w:szCs w:val="20"/>
        </w:rPr>
        <w:t>的</w:t>
      </w:r>
      <w:r w:rsidR="001A072D">
        <w:rPr>
          <w:rFonts w:ascii="楷体" w:eastAsia="楷体" w:hAnsi="楷体" w:cs="Arial" w:hint="eastAsia"/>
          <w:color w:val="auto"/>
          <w:sz w:val="20"/>
          <w:szCs w:val="20"/>
        </w:rPr>
        <w:t>0.90</w:t>
      </w:r>
      <w:r w:rsidRPr="0032491D">
        <w:rPr>
          <w:rFonts w:ascii="楷体" w:eastAsia="楷体" w:hAnsi="楷体" w:cs="Arial"/>
          <w:color w:val="auto"/>
          <w:sz w:val="20"/>
          <w:szCs w:val="20"/>
        </w:rPr>
        <w:t>%。</w:t>
      </w:r>
    </w:p>
    <w:p w:rsidR="0053273E" w:rsidRPr="0032491D" w:rsidRDefault="0053273E" w:rsidP="0053273E">
      <w:pPr>
        <w:pStyle w:val="a5"/>
        <w:numPr>
          <w:ilvl w:val="0"/>
          <w:numId w:val="2"/>
        </w:numPr>
        <w:spacing w:beforeLines="100" w:before="240" w:afterLines="100" w:after="240" w:line="260" w:lineRule="exact"/>
        <w:ind w:leftChars="0" w:left="987"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债券基金</w:t>
      </w:r>
    </w:p>
    <w:p w:rsidR="0053273E" w:rsidRPr="0032491D" w:rsidRDefault="0053273E" w:rsidP="0053273E">
      <w:pPr>
        <w:pStyle w:val="a5"/>
        <w:spacing w:beforeLines="100" w:before="240" w:afterLines="100" w:after="240" w:line="260" w:lineRule="exact"/>
        <w:ind w:leftChars="1822" w:left="3826" w:rightChars="-34" w:right="-71" w:firstLineChars="212" w:firstLine="424"/>
        <w:rPr>
          <w:rFonts w:ascii="楷体" w:eastAsia="楷体" w:hAnsi="楷体" w:cs="Arial"/>
          <w:b/>
          <w:color w:val="auto"/>
          <w:sz w:val="20"/>
          <w:szCs w:val="20"/>
        </w:rPr>
      </w:pPr>
      <w:r w:rsidRPr="0032491D">
        <w:rPr>
          <w:rFonts w:ascii="楷体" w:eastAsia="楷体" w:hAnsi="楷体" w:cs="Arial" w:hint="eastAsia"/>
          <w:color w:val="auto"/>
          <w:sz w:val="20"/>
          <w:szCs w:val="20"/>
        </w:rPr>
        <w:t>债券型基金平均收益为</w:t>
      </w:r>
      <w:r w:rsidR="000E78A4">
        <w:rPr>
          <w:rFonts w:ascii="楷体" w:eastAsia="楷体" w:hAnsi="楷体" w:cs="Arial" w:hint="eastAsia"/>
          <w:color w:val="auto"/>
          <w:sz w:val="20"/>
          <w:szCs w:val="20"/>
        </w:rPr>
        <w:t>-</w:t>
      </w:r>
      <w:r>
        <w:rPr>
          <w:rFonts w:ascii="楷体" w:eastAsia="楷体" w:hAnsi="楷体" w:cs="Arial" w:hint="eastAsia"/>
          <w:color w:val="auto"/>
          <w:sz w:val="20"/>
          <w:szCs w:val="20"/>
        </w:rPr>
        <w:t>0.</w:t>
      </w:r>
      <w:r w:rsidR="000E78A4">
        <w:rPr>
          <w:rFonts w:ascii="楷体" w:eastAsia="楷体" w:hAnsi="楷体" w:cs="Arial" w:hint="eastAsia"/>
          <w:color w:val="auto"/>
          <w:sz w:val="20"/>
          <w:szCs w:val="20"/>
        </w:rPr>
        <w:t>04</w:t>
      </w:r>
      <w:r w:rsidRPr="0032491D">
        <w:rPr>
          <w:rFonts w:ascii="楷体" w:eastAsia="楷体" w:hAnsi="楷体" w:cs="Arial" w:hint="eastAsia"/>
          <w:color w:val="auto"/>
          <w:sz w:val="20"/>
          <w:szCs w:val="20"/>
        </w:rPr>
        <w:t>%，二级债基表现</w:t>
      </w:r>
      <w:r w:rsidR="000E78A4">
        <w:rPr>
          <w:rFonts w:ascii="楷体" w:eastAsia="楷体" w:hAnsi="楷体" w:cs="Arial" w:hint="eastAsia"/>
          <w:color w:val="auto"/>
          <w:sz w:val="20"/>
          <w:szCs w:val="20"/>
        </w:rPr>
        <w:t>好</w:t>
      </w:r>
      <w:r w:rsidRPr="0032491D">
        <w:rPr>
          <w:rFonts w:ascii="楷体" w:eastAsia="楷体" w:hAnsi="楷体" w:cs="Arial" w:hint="eastAsia"/>
          <w:color w:val="auto"/>
          <w:sz w:val="20"/>
          <w:szCs w:val="20"/>
        </w:rPr>
        <w:t>于一级债基</w:t>
      </w:r>
      <w:r w:rsidRPr="0032491D">
        <w:rPr>
          <w:rFonts w:ascii="楷体" w:eastAsia="楷体" w:hAnsi="楷体" w:cs="Arial"/>
          <w:color w:val="auto"/>
          <w:sz w:val="20"/>
          <w:szCs w:val="20"/>
        </w:rPr>
        <w:t>。其中，</w:t>
      </w:r>
      <w:proofErr w:type="gramStart"/>
      <w:r w:rsidRPr="0032491D">
        <w:rPr>
          <w:rFonts w:ascii="楷体" w:eastAsia="楷体" w:hAnsi="楷体" w:cs="Arial"/>
          <w:color w:val="auto"/>
          <w:sz w:val="20"/>
          <w:szCs w:val="20"/>
        </w:rPr>
        <w:t>纯债基金</w:t>
      </w:r>
      <w:proofErr w:type="gramEnd"/>
      <w:r w:rsidRPr="0032491D">
        <w:rPr>
          <w:rFonts w:ascii="楷体" w:eastAsia="楷体" w:hAnsi="楷体" w:cs="Arial"/>
          <w:color w:val="auto"/>
          <w:sz w:val="20"/>
          <w:szCs w:val="20"/>
        </w:rPr>
        <w:t>平均收益为</w:t>
      </w:r>
      <w:r w:rsidR="000E78A4">
        <w:rPr>
          <w:rFonts w:ascii="楷体" w:eastAsia="楷体" w:hAnsi="楷体" w:cs="Arial" w:hint="eastAsia"/>
          <w:color w:val="auto"/>
          <w:sz w:val="20"/>
          <w:szCs w:val="20"/>
        </w:rPr>
        <w:t>-0.03</w:t>
      </w:r>
      <w:r w:rsidRPr="0032491D">
        <w:rPr>
          <w:rFonts w:ascii="楷体" w:eastAsia="楷体" w:hAnsi="楷体" w:cs="Arial"/>
          <w:color w:val="auto"/>
          <w:sz w:val="20"/>
          <w:szCs w:val="20"/>
        </w:rPr>
        <w:t>%，</w:t>
      </w:r>
      <w:r w:rsidR="000E78A4">
        <w:rPr>
          <w:rFonts w:ascii="楷体" w:eastAsia="楷体" w:hAnsi="楷体" w:cs="Arial" w:hint="eastAsia"/>
          <w:color w:val="auto"/>
          <w:sz w:val="20"/>
          <w:szCs w:val="20"/>
        </w:rPr>
        <w:t>62</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w:t>
      </w:r>
      <w:proofErr w:type="gramStart"/>
      <w:r w:rsidR="00B0146A">
        <w:rPr>
          <w:rFonts w:ascii="楷体" w:eastAsia="楷体" w:hAnsi="楷体" w:cs="Arial" w:hint="eastAsia"/>
          <w:color w:val="auto"/>
          <w:sz w:val="20"/>
          <w:szCs w:val="20"/>
        </w:rPr>
        <w:t>银华永益</w:t>
      </w:r>
      <w:proofErr w:type="gramEnd"/>
      <w:r w:rsidR="00B0146A">
        <w:rPr>
          <w:rFonts w:ascii="楷体" w:eastAsia="楷体" w:hAnsi="楷体" w:cs="Arial" w:hint="eastAsia"/>
          <w:color w:val="auto"/>
          <w:sz w:val="20"/>
          <w:szCs w:val="20"/>
        </w:rPr>
        <w:t>分级</w:t>
      </w:r>
      <w:r w:rsidRPr="0032491D">
        <w:rPr>
          <w:rFonts w:ascii="楷体" w:eastAsia="楷体" w:hAnsi="楷体" w:cs="Arial"/>
          <w:color w:val="auto"/>
          <w:sz w:val="20"/>
          <w:szCs w:val="20"/>
        </w:rPr>
        <w:t>（</w:t>
      </w:r>
      <w:r w:rsidR="00B0146A">
        <w:rPr>
          <w:rFonts w:ascii="楷体" w:eastAsia="楷体" w:hAnsi="楷体" w:cs="Arial" w:hint="eastAsia"/>
          <w:color w:val="auto"/>
          <w:sz w:val="20"/>
          <w:szCs w:val="20"/>
        </w:rPr>
        <w:t>1.9</w:t>
      </w:r>
      <w:r w:rsidR="00D401CE">
        <w:rPr>
          <w:rFonts w:ascii="楷体" w:eastAsia="楷体" w:hAnsi="楷体" w:cs="Arial" w:hint="eastAsia"/>
          <w:color w:val="auto"/>
          <w:sz w:val="20"/>
          <w:szCs w:val="20"/>
        </w:rPr>
        <w:t>0</w:t>
      </w:r>
      <w:r w:rsidRPr="0032491D">
        <w:rPr>
          <w:rFonts w:ascii="楷体" w:eastAsia="楷体" w:hAnsi="楷体" w:cs="Arial"/>
          <w:color w:val="auto"/>
          <w:sz w:val="20"/>
          <w:szCs w:val="20"/>
        </w:rPr>
        <w:t>%）涨幅最大。一级</w:t>
      </w:r>
      <w:proofErr w:type="gramStart"/>
      <w:r w:rsidRPr="0032491D">
        <w:rPr>
          <w:rFonts w:ascii="楷体" w:eastAsia="楷体" w:hAnsi="楷体" w:cs="Arial"/>
          <w:color w:val="auto"/>
          <w:sz w:val="20"/>
          <w:szCs w:val="20"/>
        </w:rPr>
        <w:t>债基平均</w:t>
      </w:r>
      <w:proofErr w:type="gramEnd"/>
      <w:r w:rsidRPr="0032491D">
        <w:rPr>
          <w:rFonts w:ascii="楷体" w:eastAsia="楷体" w:hAnsi="楷体" w:cs="Arial"/>
          <w:color w:val="auto"/>
          <w:sz w:val="20"/>
          <w:szCs w:val="20"/>
        </w:rPr>
        <w:t>收益为</w:t>
      </w:r>
      <w:r w:rsidR="000E78A4">
        <w:rPr>
          <w:rFonts w:ascii="楷体" w:eastAsia="楷体" w:hAnsi="楷体" w:cs="Arial" w:hint="eastAsia"/>
          <w:color w:val="auto"/>
          <w:sz w:val="20"/>
          <w:szCs w:val="20"/>
        </w:rPr>
        <w:t>-0.07</w:t>
      </w:r>
      <w:r w:rsidRPr="0032491D">
        <w:rPr>
          <w:rFonts w:ascii="楷体" w:eastAsia="楷体" w:hAnsi="楷体" w:cs="Arial"/>
          <w:color w:val="auto"/>
          <w:sz w:val="20"/>
          <w:szCs w:val="20"/>
        </w:rPr>
        <w:t>%，</w:t>
      </w:r>
      <w:r w:rsidR="000E78A4">
        <w:rPr>
          <w:rFonts w:ascii="楷体" w:eastAsia="楷体" w:hAnsi="楷体" w:cs="Arial" w:hint="eastAsia"/>
          <w:color w:val="auto"/>
          <w:sz w:val="20"/>
          <w:szCs w:val="20"/>
        </w:rPr>
        <w:t>52</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，最高收益为</w:t>
      </w:r>
      <w:r w:rsidR="00B0146A">
        <w:rPr>
          <w:rFonts w:ascii="楷体" w:eastAsia="楷体" w:hAnsi="楷体" w:cs="Arial" w:hint="eastAsia"/>
          <w:color w:val="auto"/>
          <w:sz w:val="20"/>
          <w:szCs w:val="20"/>
        </w:rPr>
        <w:t>信诚</w:t>
      </w:r>
      <w:proofErr w:type="gramStart"/>
      <w:r w:rsidR="00B0146A">
        <w:rPr>
          <w:rFonts w:ascii="楷体" w:eastAsia="楷体" w:hAnsi="楷体" w:cs="Arial" w:hint="eastAsia"/>
          <w:color w:val="auto"/>
          <w:sz w:val="20"/>
          <w:szCs w:val="20"/>
        </w:rPr>
        <w:t>经典优债</w:t>
      </w:r>
      <w:proofErr w:type="gramEnd"/>
      <w:r w:rsidR="00B0146A">
        <w:rPr>
          <w:rFonts w:ascii="楷体" w:eastAsia="楷体" w:hAnsi="楷体" w:cs="Arial" w:hint="eastAsia"/>
          <w:color w:val="auto"/>
          <w:sz w:val="20"/>
          <w:szCs w:val="20"/>
        </w:rPr>
        <w:t>A</w:t>
      </w:r>
      <w:r w:rsidRPr="0032491D">
        <w:rPr>
          <w:rFonts w:ascii="楷体" w:eastAsia="楷体" w:hAnsi="楷体" w:cs="Arial" w:hint="eastAsia"/>
          <w:color w:val="auto"/>
          <w:sz w:val="20"/>
          <w:szCs w:val="20"/>
        </w:rPr>
        <w:t>的</w:t>
      </w:r>
      <w:r w:rsidR="00B0146A">
        <w:rPr>
          <w:rFonts w:ascii="楷体" w:eastAsia="楷体" w:hAnsi="楷体" w:cs="Arial" w:hint="eastAsia"/>
          <w:color w:val="auto"/>
          <w:sz w:val="20"/>
          <w:szCs w:val="20"/>
        </w:rPr>
        <w:t>0.60</w:t>
      </w:r>
      <w:r w:rsidRPr="0032491D">
        <w:rPr>
          <w:rFonts w:ascii="楷体" w:eastAsia="楷体" w:hAnsi="楷体" w:cs="Arial"/>
          <w:color w:val="auto"/>
          <w:sz w:val="20"/>
          <w:szCs w:val="20"/>
        </w:rPr>
        <w:t>%。二级</w:t>
      </w:r>
      <w:proofErr w:type="gramStart"/>
      <w:r w:rsidRPr="0032491D">
        <w:rPr>
          <w:rFonts w:ascii="楷体" w:eastAsia="楷体" w:hAnsi="楷体" w:cs="Arial"/>
          <w:color w:val="auto"/>
          <w:sz w:val="20"/>
          <w:szCs w:val="20"/>
        </w:rPr>
        <w:t>债基平均</w:t>
      </w:r>
      <w:proofErr w:type="gramEnd"/>
      <w:r w:rsidRPr="0032491D">
        <w:rPr>
          <w:rFonts w:ascii="楷体" w:eastAsia="楷体" w:hAnsi="楷体" w:cs="Arial"/>
          <w:color w:val="auto"/>
          <w:sz w:val="20"/>
          <w:szCs w:val="20"/>
        </w:rPr>
        <w:t>收益为</w:t>
      </w:r>
      <w:r w:rsidRPr="0032491D">
        <w:rPr>
          <w:rFonts w:ascii="楷体" w:eastAsia="楷体" w:hAnsi="楷体" w:cs="Arial" w:hint="eastAsia"/>
          <w:color w:val="auto"/>
          <w:sz w:val="20"/>
          <w:szCs w:val="20"/>
        </w:rPr>
        <w:t>-</w:t>
      </w:r>
      <w:r w:rsidR="000E78A4">
        <w:rPr>
          <w:rFonts w:ascii="楷体" w:eastAsia="楷体" w:hAnsi="楷体" w:cs="Arial" w:hint="eastAsia"/>
          <w:color w:val="auto"/>
          <w:sz w:val="20"/>
          <w:szCs w:val="20"/>
        </w:rPr>
        <w:t>0.01</w:t>
      </w:r>
      <w:r w:rsidRPr="0032491D">
        <w:rPr>
          <w:rFonts w:ascii="楷体" w:eastAsia="楷体" w:hAnsi="楷体" w:cs="Arial"/>
          <w:color w:val="auto"/>
          <w:sz w:val="20"/>
          <w:szCs w:val="20"/>
        </w:rPr>
        <w:t>%，</w:t>
      </w:r>
      <w:r w:rsidR="000E78A4">
        <w:rPr>
          <w:rFonts w:ascii="楷体" w:eastAsia="楷体" w:hAnsi="楷体" w:cs="Arial" w:hint="eastAsia"/>
          <w:color w:val="auto"/>
          <w:sz w:val="20"/>
          <w:szCs w:val="20"/>
        </w:rPr>
        <w:t>61</w:t>
      </w:r>
      <w:r w:rsidRPr="0032491D">
        <w:rPr>
          <w:rFonts w:ascii="楷体" w:eastAsia="楷体" w:hAnsi="楷体" w:cs="Arial" w:hint="eastAsia"/>
          <w:color w:val="auto"/>
          <w:sz w:val="20"/>
          <w:szCs w:val="20"/>
        </w:rPr>
        <w:t>%</w:t>
      </w:r>
      <w:r w:rsidRPr="0032491D">
        <w:rPr>
          <w:rFonts w:ascii="楷体" w:eastAsia="楷体" w:hAnsi="楷体" w:cs="Arial"/>
          <w:color w:val="auto"/>
          <w:sz w:val="20"/>
          <w:szCs w:val="20"/>
        </w:rPr>
        <w:t>产品收益为正，最高收益为</w:t>
      </w:r>
      <w:r w:rsidR="00B0146A">
        <w:rPr>
          <w:rFonts w:ascii="楷体" w:eastAsia="楷体" w:hAnsi="楷体" w:cs="Arial" w:hint="eastAsia"/>
          <w:color w:val="auto"/>
          <w:sz w:val="20"/>
          <w:szCs w:val="20"/>
        </w:rPr>
        <w:t>广发集</w:t>
      </w:r>
      <w:proofErr w:type="gramStart"/>
      <w:r w:rsidR="00B0146A">
        <w:rPr>
          <w:rFonts w:ascii="楷体" w:eastAsia="楷体" w:hAnsi="楷体" w:cs="Arial" w:hint="eastAsia"/>
          <w:color w:val="auto"/>
          <w:sz w:val="20"/>
          <w:szCs w:val="20"/>
        </w:rPr>
        <w:t>鑫</w:t>
      </w:r>
      <w:proofErr w:type="gramEnd"/>
      <w:r w:rsidR="00B0146A">
        <w:rPr>
          <w:rFonts w:ascii="楷体" w:eastAsia="楷体" w:hAnsi="楷体" w:cs="Arial" w:hint="eastAsia"/>
          <w:color w:val="auto"/>
          <w:sz w:val="20"/>
          <w:szCs w:val="20"/>
        </w:rPr>
        <w:t>A</w:t>
      </w:r>
      <w:r w:rsidRPr="0032491D">
        <w:rPr>
          <w:rFonts w:ascii="楷体" w:eastAsia="楷体" w:hAnsi="楷体" w:cs="Arial"/>
          <w:color w:val="auto"/>
          <w:sz w:val="20"/>
          <w:szCs w:val="20"/>
        </w:rPr>
        <w:t>的</w:t>
      </w:r>
      <w:r w:rsidRPr="0032491D">
        <w:rPr>
          <w:rFonts w:ascii="楷体" w:eastAsia="楷体" w:hAnsi="楷体" w:cs="Arial" w:hint="eastAsia"/>
          <w:color w:val="auto"/>
          <w:sz w:val="20"/>
          <w:szCs w:val="20"/>
        </w:rPr>
        <w:t>0.</w:t>
      </w:r>
      <w:r w:rsidR="00B0146A">
        <w:rPr>
          <w:rFonts w:ascii="楷体" w:eastAsia="楷体" w:hAnsi="楷体" w:cs="Arial" w:hint="eastAsia"/>
          <w:color w:val="auto"/>
          <w:sz w:val="20"/>
          <w:szCs w:val="20"/>
        </w:rPr>
        <w:t>93</w:t>
      </w:r>
      <w:r w:rsidRPr="0032491D">
        <w:rPr>
          <w:rFonts w:ascii="楷体" w:eastAsia="楷体" w:hAnsi="楷体" w:cs="Arial"/>
          <w:color w:val="auto"/>
          <w:sz w:val="20"/>
          <w:szCs w:val="20"/>
        </w:rPr>
        <w:t>%。指数</w:t>
      </w:r>
      <w:proofErr w:type="gramStart"/>
      <w:r w:rsidRPr="0032491D">
        <w:rPr>
          <w:rFonts w:ascii="楷体" w:eastAsia="楷体" w:hAnsi="楷体" w:cs="Arial"/>
          <w:color w:val="auto"/>
          <w:sz w:val="20"/>
          <w:szCs w:val="20"/>
        </w:rPr>
        <w:t>债基平均</w:t>
      </w:r>
      <w:proofErr w:type="gramEnd"/>
      <w:r w:rsidRPr="0032491D">
        <w:rPr>
          <w:rFonts w:ascii="楷体" w:eastAsia="楷体" w:hAnsi="楷体" w:cs="Arial"/>
          <w:color w:val="auto"/>
          <w:sz w:val="20"/>
          <w:szCs w:val="20"/>
        </w:rPr>
        <w:t>收益为</w:t>
      </w:r>
      <w:r w:rsidR="000E78A4">
        <w:rPr>
          <w:rFonts w:ascii="楷体" w:eastAsia="楷体" w:hAnsi="楷体" w:cs="Arial" w:hint="eastAsia"/>
          <w:color w:val="auto"/>
          <w:sz w:val="20"/>
          <w:szCs w:val="20"/>
        </w:rPr>
        <w:t>-0.23</w:t>
      </w:r>
      <w:r w:rsidRPr="0032491D">
        <w:rPr>
          <w:rFonts w:ascii="楷体" w:eastAsia="楷体" w:hAnsi="楷体" w:cs="Arial"/>
          <w:color w:val="auto"/>
          <w:sz w:val="20"/>
          <w:szCs w:val="20"/>
        </w:rPr>
        <w:t>%，</w:t>
      </w:r>
      <w:r w:rsidR="000E78A4">
        <w:rPr>
          <w:rFonts w:ascii="楷体" w:eastAsia="楷体" w:hAnsi="楷体" w:cs="Arial" w:hint="eastAsia"/>
          <w:color w:val="auto"/>
          <w:sz w:val="20"/>
          <w:szCs w:val="20"/>
        </w:rPr>
        <w:t>36</w:t>
      </w:r>
      <w:r w:rsidR="00F357E3">
        <w:rPr>
          <w:rFonts w:ascii="楷体" w:eastAsia="楷体" w:hAnsi="楷体" w:cs="Arial" w:hint="eastAsia"/>
          <w:color w:val="auto"/>
          <w:sz w:val="20"/>
          <w:szCs w:val="20"/>
        </w:rPr>
        <w:t>%</w:t>
      </w:r>
      <w:r w:rsidRPr="0032491D">
        <w:rPr>
          <w:rFonts w:ascii="楷体" w:eastAsia="楷体" w:hAnsi="楷体" w:cs="Arial" w:hint="eastAsia"/>
          <w:color w:val="auto"/>
          <w:sz w:val="20"/>
          <w:szCs w:val="20"/>
        </w:rPr>
        <w:t>产品</w:t>
      </w:r>
      <w:r w:rsidRPr="0032491D">
        <w:rPr>
          <w:rFonts w:ascii="楷体" w:eastAsia="楷体" w:hAnsi="楷体" w:cs="Arial"/>
          <w:color w:val="auto"/>
          <w:sz w:val="20"/>
          <w:szCs w:val="20"/>
        </w:rPr>
        <w:t>收益均为</w:t>
      </w:r>
      <w:r>
        <w:rPr>
          <w:rFonts w:ascii="楷体" w:eastAsia="楷体" w:hAnsi="楷体" w:cs="Arial" w:hint="eastAsia"/>
          <w:color w:val="auto"/>
          <w:sz w:val="20"/>
          <w:szCs w:val="20"/>
        </w:rPr>
        <w:t>正</w:t>
      </w:r>
      <w:r w:rsidRPr="0032491D">
        <w:rPr>
          <w:rFonts w:ascii="楷体" w:eastAsia="楷体" w:hAnsi="楷体" w:cs="Arial" w:hint="eastAsia"/>
          <w:color w:val="auto"/>
          <w:sz w:val="20"/>
          <w:szCs w:val="20"/>
        </w:rPr>
        <w:t>，</w:t>
      </w:r>
      <w:r w:rsidR="00675CA8">
        <w:rPr>
          <w:rFonts w:ascii="楷体" w:eastAsia="楷体" w:hAnsi="楷体" w:cs="Arial"/>
          <w:color w:val="auto"/>
          <w:sz w:val="20"/>
          <w:szCs w:val="20"/>
        </w:rPr>
        <w:t>最高收益为德</w:t>
      </w:r>
      <w:proofErr w:type="gramStart"/>
      <w:r w:rsidR="00675CA8">
        <w:rPr>
          <w:rFonts w:ascii="楷体" w:eastAsia="楷体" w:hAnsi="楷体" w:cs="Arial"/>
          <w:color w:val="auto"/>
          <w:sz w:val="20"/>
          <w:szCs w:val="20"/>
        </w:rPr>
        <w:t>邦</w:t>
      </w:r>
      <w:proofErr w:type="gramEnd"/>
      <w:r w:rsidR="00675CA8">
        <w:rPr>
          <w:rFonts w:ascii="楷体" w:eastAsia="楷体" w:hAnsi="楷体" w:cs="Arial"/>
          <w:color w:val="auto"/>
          <w:sz w:val="20"/>
          <w:szCs w:val="20"/>
        </w:rPr>
        <w:t>企债分级</w:t>
      </w:r>
      <w:r w:rsidRPr="0032491D">
        <w:rPr>
          <w:rFonts w:ascii="楷体" w:eastAsia="楷体" w:hAnsi="楷体" w:cs="Arial"/>
          <w:color w:val="auto"/>
          <w:sz w:val="20"/>
          <w:szCs w:val="20"/>
        </w:rPr>
        <w:t>的</w:t>
      </w:r>
      <w:r w:rsidR="00675CA8">
        <w:rPr>
          <w:rFonts w:ascii="楷体" w:eastAsia="楷体" w:hAnsi="楷体" w:cs="Arial" w:hint="eastAsia"/>
          <w:color w:val="auto"/>
          <w:sz w:val="20"/>
          <w:szCs w:val="20"/>
        </w:rPr>
        <w:t>0.09</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w:t>
      </w:r>
    </w:p>
    <w:p w:rsidR="0053273E" w:rsidRPr="0032491D" w:rsidRDefault="0053273E" w:rsidP="0053273E">
      <w:pPr>
        <w:pStyle w:val="a5"/>
        <w:numPr>
          <w:ilvl w:val="0"/>
          <w:numId w:val="2"/>
        </w:numPr>
        <w:spacing w:beforeLines="100" w:before="240" w:afterLines="100" w:after="240" w:line="260" w:lineRule="exact"/>
        <w:ind w:leftChars="0" w:left="987" w:rightChars="-34" w:right="-71"/>
        <w:rPr>
          <w:rFonts w:ascii="楷体" w:eastAsia="楷体" w:hAnsi="楷体" w:cs="Arial"/>
          <w:b/>
          <w:bCs/>
          <w:color w:val="002060"/>
          <w:kern w:val="0"/>
          <w:sz w:val="24"/>
          <w:szCs w:val="13"/>
        </w:rPr>
      </w:pPr>
      <w:r w:rsidRPr="0032491D">
        <w:rPr>
          <w:rFonts w:ascii="楷体" w:eastAsia="楷体" w:hAnsi="楷体" w:cs="Arial" w:hint="eastAsia"/>
          <w:b/>
          <w:bCs/>
          <w:color w:val="002060"/>
          <w:kern w:val="0"/>
          <w:sz w:val="24"/>
          <w:szCs w:val="13"/>
        </w:rPr>
        <w:t>商品基金及对冲基金</w:t>
      </w:r>
    </w:p>
    <w:p w:rsidR="0053273E" w:rsidRPr="0032491D" w:rsidRDefault="0053273E" w:rsidP="0053273E">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hint="eastAsia"/>
          <w:color w:val="auto"/>
          <w:sz w:val="20"/>
          <w:szCs w:val="20"/>
        </w:rPr>
        <w:t>商品基金</w:t>
      </w:r>
      <w:r w:rsidRPr="0032491D">
        <w:rPr>
          <w:rFonts w:ascii="楷体" w:eastAsia="楷体" w:hAnsi="楷体" w:cs="Arial"/>
          <w:color w:val="auto"/>
          <w:sz w:val="20"/>
          <w:szCs w:val="20"/>
        </w:rPr>
        <w:t>平均</w:t>
      </w:r>
      <w:r w:rsidR="00F357E3">
        <w:rPr>
          <w:rFonts w:ascii="楷体" w:eastAsia="楷体" w:hAnsi="楷体" w:cs="Arial" w:hint="eastAsia"/>
          <w:color w:val="auto"/>
          <w:sz w:val="20"/>
          <w:szCs w:val="20"/>
        </w:rPr>
        <w:t>下跌</w:t>
      </w:r>
      <w:r w:rsidR="000E78A4">
        <w:rPr>
          <w:rFonts w:ascii="楷体" w:eastAsia="楷体" w:hAnsi="楷体" w:cs="Arial" w:hint="eastAsia"/>
          <w:color w:val="auto"/>
          <w:sz w:val="20"/>
          <w:szCs w:val="20"/>
        </w:rPr>
        <w:t>1.33</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其中</w:t>
      </w:r>
      <w:r w:rsidR="007A39E5">
        <w:rPr>
          <w:rFonts w:ascii="楷体" w:eastAsia="楷体" w:hAnsi="楷体" w:cs="Arial" w:hint="eastAsia"/>
          <w:color w:val="auto"/>
          <w:sz w:val="20"/>
          <w:szCs w:val="20"/>
        </w:rPr>
        <w:t>国泰黄金ETF联接跌幅最小</w:t>
      </w:r>
      <w:r w:rsidRPr="0032491D">
        <w:rPr>
          <w:rFonts w:ascii="楷体" w:eastAsia="楷体" w:hAnsi="楷体" w:cs="Arial"/>
          <w:color w:val="auto"/>
          <w:sz w:val="20"/>
          <w:szCs w:val="20"/>
        </w:rPr>
        <w:t>，</w:t>
      </w:r>
      <w:r w:rsidR="007A39E5">
        <w:rPr>
          <w:rFonts w:ascii="楷体" w:eastAsia="楷体" w:hAnsi="楷体" w:cs="Arial" w:hint="eastAsia"/>
          <w:color w:val="auto"/>
          <w:sz w:val="20"/>
          <w:szCs w:val="20"/>
        </w:rPr>
        <w:t>跌</w:t>
      </w:r>
      <w:r>
        <w:rPr>
          <w:rFonts w:ascii="楷体" w:eastAsia="楷体" w:hAnsi="楷体" w:cs="Arial" w:hint="eastAsia"/>
          <w:color w:val="auto"/>
          <w:sz w:val="20"/>
          <w:szCs w:val="20"/>
        </w:rPr>
        <w:t>0.</w:t>
      </w:r>
      <w:r w:rsidR="00675CA8">
        <w:rPr>
          <w:rFonts w:ascii="楷体" w:eastAsia="楷体" w:hAnsi="楷体" w:cs="Arial" w:hint="eastAsia"/>
          <w:color w:val="auto"/>
          <w:sz w:val="20"/>
          <w:szCs w:val="20"/>
        </w:rPr>
        <w:t>82</w:t>
      </w:r>
      <w:r w:rsidRPr="0032491D">
        <w:rPr>
          <w:rFonts w:ascii="楷体" w:eastAsia="楷体" w:hAnsi="楷体" w:cs="Arial"/>
          <w:color w:val="auto"/>
          <w:sz w:val="20"/>
          <w:szCs w:val="20"/>
        </w:rPr>
        <w:t>%。以绝对收益为投资目标的股票多空类产品平均收益为</w:t>
      </w:r>
      <w:r w:rsidRPr="0032491D">
        <w:rPr>
          <w:rFonts w:ascii="楷体" w:eastAsia="楷体" w:hAnsi="楷体" w:cs="Arial" w:hint="eastAsia"/>
          <w:color w:val="auto"/>
          <w:sz w:val="20"/>
          <w:szCs w:val="20"/>
        </w:rPr>
        <w:t>-0.</w:t>
      </w:r>
      <w:r w:rsidR="000E78A4">
        <w:rPr>
          <w:rFonts w:ascii="楷体" w:eastAsia="楷体" w:hAnsi="楷体" w:cs="Arial" w:hint="eastAsia"/>
          <w:color w:val="auto"/>
          <w:sz w:val="20"/>
          <w:szCs w:val="20"/>
        </w:rPr>
        <w:t>02</w:t>
      </w:r>
      <w:r w:rsidRPr="0032491D">
        <w:rPr>
          <w:rFonts w:ascii="楷体" w:eastAsia="楷体" w:hAnsi="楷体" w:cs="Arial"/>
          <w:color w:val="auto"/>
          <w:sz w:val="20"/>
          <w:szCs w:val="20"/>
        </w:rPr>
        <w:t>%，最高收益为</w:t>
      </w:r>
      <w:r w:rsidR="00675CA8">
        <w:rPr>
          <w:rFonts w:ascii="楷体" w:eastAsia="楷体" w:hAnsi="楷体" w:cs="Arial" w:hint="eastAsia"/>
          <w:color w:val="auto"/>
          <w:sz w:val="20"/>
          <w:szCs w:val="20"/>
        </w:rPr>
        <w:t>富国绝对收益多策略</w:t>
      </w:r>
      <w:r w:rsidRPr="0032491D">
        <w:rPr>
          <w:rFonts w:ascii="楷体" w:eastAsia="楷体" w:hAnsi="楷体" w:cs="Arial"/>
          <w:color w:val="auto"/>
          <w:sz w:val="20"/>
          <w:szCs w:val="20"/>
        </w:rPr>
        <w:t>的</w:t>
      </w:r>
      <w:r>
        <w:rPr>
          <w:rFonts w:ascii="楷体" w:eastAsia="楷体" w:hAnsi="楷体" w:cs="Arial" w:hint="eastAsia"/>
          <w:color w:val="auto"/>
          <w:sz w:val="20"/>
          <w:szCs w:val="20"/>
        </w:rPr>
        <w:t>0.</w:t>
      </w:r>
      <w:r w:rsidR="00675CA8">
        <w:rPr>
          <w:rFonts w:ascii="楷体" w:eastAsia="楷体" w:hAnsi="楷体" w:cs="Arial" w:hint="eastAsia"/>
          <w:color w:val="auto"/>
          <w:sz w:val="20"/>
          <w:szCs w:val="20"/>
        </w:rPr>
        <w:t>2</w:t>
      </w:r>
      <w:r w:rsidR="007A39E5">
        <w:rPr>
          <w:rFonts w:ascii="楷体" w:eastAsia="楷体" w:hAnsi="楷体" w:cs="Arial" w:hint="eastAsia"/>
          <w:color w:val="auto"/>
          <w:sz w:val="20"/>
          <w:szCs w:val="20"/>
        </w:rPr>
        <w:t>0</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w:t>
      </w:r>
    </w:p>
    <w:p w:rsidR="0053273E" w:rsidRPr="0032491D" w:rsidRDefault="0053273E" w:rsidP="0053273E">
      <w:pPr>
        <w:pStyle w:val="a5"/>
        <w:numPr>
          <w:ilvl w:val="0"/>
          <w:numId w:val="2"/>
        </w:numPr>
        <w:spacing w:beforeLines="100" w:before="240" w:afterLines="100" w:after="240" w:line="260" w:lineRule="exact"/>
        <w:ind w:leftChars="0" w:left="4395" w:rightChars="-34" w:right="-71" w:firstLine="0"/>
        <w:rPr>
          <w:rFonts w:ascii="楷体" w:eastAsia="楷体" w:hAnsi="楷体" w:cs="Arial"/>
          <w:b/>
          <w:bCs/>
          <w:color w:val="002060"/>
          <w:kern w:val="0"/>
          <w:sz w:val="24"/>
          <w:szCs w:val="13"/>
        </w:rPr>
      </w:pPr>
      <w:r w:rsidRPr="0032491D">
        <w:rPr>
          <w:rFonts w:ascii="楷体" w:eastAsia="楷体" w:hAnsi="楷体" w:cs="Arial"/>
          <w:noProof/>
          <w:sz w:val="20"/>
          <w:szCs w:val="20"/>
        </w:rPr>
        <mc:AlternateContent>
          <mc:Choice Requires="wps">
            <w:drawing>
              <wp:anchor distT="0" distB="0" distL="0" distR="0" simplePos="0" relativeHeight="251661312" behindDoc="0" locked="0" layoutInCell="1" allowOverlap="0" wp14:anchorId="537B7F51" wp14:editId="43D02642">
                <wp:simplePos x="0" y="0"/>
                <wp:positionH relativeFrom="page">
                  <wp:posOffset>375920</wp:posOffset>
                </wp:positionH>
                <wp:positionV relativeFrom="paragraph">
                  <wp:posOffset>152975</wp:posOffset>
                </wp:positionV>
                <wp:extent cx="2154555" cy="107251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072515"/>
                        </a:xfrm>
                        <a:prstGeom prst="rect">
                          <a:avLst/>
                        </a:prstGeom>
                        <a:noFill/>
                        <a:ln w="9525">
                          <a:noFill/>
                          <a:miter lim="800000"/>
                          <a:headEnd/>
                          <a:tailEnd/>
                        </a:ln>
                      </wps:spPr>
                      <wps:txbx>
                        <w:txbxContent>
                          <w:p w:rsidR="00FE427A" w:rsidRPr="00593057" w:rsidRDefault="00FE427A"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6pt;margin-top:12.05pt;width:169.65pt;height:84.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" o:allowoverlap="f" filled="f" stroked="f">
                <v:textbox>
                  <w:txbxContent>
                    <w:p w:rsidR="00FE427A" w:rsidRPr="00593057" w:rsidRDefault="00FE427A"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Pr="0032491D">
        <w:rPr>
          <w:rFonts w:ascii="楷体" w:eastAsia="楷体" w:hAnsi="楷体" w:cs="Arial"/>
          <w:b/>
          <w:bCs/>
          <w:color w:val="002060"/>
          <w:kern w:val="0"/>
          <w:sz w:val="24"/>
          <w:szCs w:val="13"/>
        </w:rPr>
        <w:t>货币基金</w:t>
      </w:r>
    </w:p>
    <w:p w:rsidR="0053273E" w:rsidRPr="0032491D" w:rsidRDefault="0053273E" w:rsidP="0053273E">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color w:val="auto"/>
          <w:sz w:val="20"/>
          <w:szCs w:val="20"/>
        </w:rPr>
        <w:t>货币基金</w:t>
      </w:r>
      <w:proofErr w:type="gramStart"/>
      <w:r w:rsidRPr="0032491D">
        <w:rPr>
          <w:rFonts w:ascii="楷体" w:eastAsia="楷体" w:hAnsi="楷体" w:cs="Arial"/>
          <w:color w:val="auto"/>
          <w:sz w:val="20"/>
          <w:szCs w:val="20"/>
        </w:rPr>
        <w:t>年化收益</w:t>
      </w:r>
      <w:proofErr w:type="gramEnd"/>
      <w:r>
        <w:rPr>
          <w:rFonts w:ascii="楷体" w:eastAsia="楷体" w:hAnsi="楷体" w:cs="Arial" w:hint="eastAsia"/>
          <w:color w:val="auto"/>
          <w:sz w:val="20"/>
          <w:szCs w:val="20"/>
        </w:rPr>
        <w:t>有所</w:t>
      </w:r>
      <w:r w:rsidR="000E78A4">
        <w:rPr>
          <w:rFonts w:ascii="楷体" w:eastAsia="楷体" w:hAnsi="楷体" w:cs="Arial" w:hint="eastAsia"/>
          <w:color w:val="auto"/>
          <w:sz w:val="20"/>
          <w:szCs w:val="20"/>
        </w:rPr>
        <w:t>下降</w:t>
      </w:r>
      <w:r w:rsidRPr="0032491D">
        <w:rPr>
          <w:rFonts w:ascii="楷体" w:eastAsia="楷体" w:hAnsi="楷体" w:cs="Arial"/>
          <w:color w:val="auto"/>
          <w:sz w:val="20"/>
          <w:szCs w:val="20"/>
        </w:rPr>
        <w:t>。</w:t>
      </w:r>
      <w:r>
        <w:rPr>
          <w:rFonts w:ascii="楷体" w:eastAsia="楷体" w:hAnsi="楷体" w:cs="Arial" w:hint="eastAsia"/>
          <w:color w:val="auto"/>
          <w:sz w:val="20"/>
          <w:szCs w:val="20"/>
        </w:rPr>
        <w:t>5</w:t>
      </w:r>
      <w:r w:rsidRPr="0032491D">
        <w:rPr>
          <w:rFonts w:ascii="楷体" w:eastAsia="楷体" w:hAnsi="楷体" w:cs="Arial" w:hint="eastAsia"/>
          <w:color w:val="auto"/>
          <w:sz w:val="20"/>
          <w:szCs w:val="20"/>
        </w:rPr>
        <w:t>月</w:t>
      </w:r>
      <w:r w:rsidR="000E78A4">
        <w:rPr>
          <w:rFonts w:ascii="楷体" w:eastAsia="楷体" w:hAnsi="楷体" w:cs="Arial" w:hint="eastAsia"/>
          <w:color w:val="auto"/>
          <w:sz w:val="20"/>
          <w:szCs w:val="20"/>
        </w:rPr>
        <w:t>20</w:t>
      </w:r>
      <w:r w:rsidRPr="0032491D">
        <w:rPr>
          <w:rFonts w:ascii="楷体" w:eastAsia="楷体" w:hAnsi="楷体" w:cs="Arial" w:hint="eastAsia"/>
          <w:color w:val="auto"/>
          <w:sz w:val="20"/>
          <w:szCs w:val="20"/>
        </w:rPr>
        <w:t>日，</w:t>
      </w:r>
      <w:r w:rsidRPr="0032491D">
        <w:rPr>
          <w:rFonts w:ascii="楷体" w:eastAsia="楷体" w:hAnsi="楷体" w:cs="Arial"/>
          <w:color w:val="auto"/>
          <w:sz w:val="20"/>
          <w:szCs w:val="20"/>
        </w:rPr>
        <w:t>货币基金</w:t>
      </w:r>
      <w:proofErr w:type="gramStart"/>
      <w:r w:rsidRPr="0032491D">
        <w:rPr>
          <w:rFonts w:ascii="楷体" w:eastAsia="楷体" w:hAnsi="楷体" w:cs="Arial"/>
          <w:color w:val="auto"/>
          <w:sz w:val="20"/>
          <w:szCs w:val="20"/>
        </w:rPr>
        <w:t>七日年化收益率</w:t>
      </w:r>
      <w:proofErr w:type="gramEnd"/>
      <w:r w:rsidRPr="0032491D">
        <w:rPr>
          <w:rFonts w:ascii="楷体" w:eastAsia="楷体" w:hAnsi="楷体" w:cs="Arial"/>
          <w:color w:val="auto"/>
          <w:sz w:val="20"/>
          <w:szCs w:val="20"/>
        </w:rPr>
        <w:t>均值为2.</w:t>
      </w:r>
      <w:r w:rsidRPr="0032491D">
        <w:rPr>
          <w:rFonts w:ascii="楷体" w:eastAsia="楷体" w:hAnsi="楷体" w:cs="Arial" w:hint="eastAsia"/>
          <w:color w:val="auto"/>
          <w:sz w:val="20"/>
          <w:szCs w:val="20"/>
        </w:rPr>
        <w:t xml:space="preserve"> </w:t>
      </w:r>
      <w:r w:rsidR="00507E75">
        <w:rPr>
          <w:rFonts w:ascii="楷体" w:eastAsia="楷体" w:hAnsi="楷体" w:cs="Arial" w:hint="eastAsia"/>
          <w:color w:val="auto"/>
          <w:sz w:val="20"/>
          <w:szCs w:val="20"/>
        </w:rPr>
        <w:t>4</w:t>
      </w:r>
      <w:r w:rsidR="00F357E3">
        <w:rPr>
          <w:rFonts w:ascii="楷体" w:eastAsia="楷体" w:hAnsi="楷体" w:cs="Arial" w:hint="eastAsia"/>
          <w:color w:val="auto"/>
          <w:sz w:val="20"/>
          <w:szCs w:val="20"/>
        </w:rPr>
        <w:t>4</w:t>
      </w:r>
      <w:r w:rsidRPr="0032491D">
        <w:rPr>
          <w:rFonts w:ascii="楷体" w:eastAsia="楷体" w:hAnsi="楷体" w:cs="Arial"/>
          <w:color w:val="auto"/>
          <w:sz w:val="20"/>
          <w:szCs w:val="20"/>
        </w:rPr>
        <w:t>%，</w:t>
      </w:r>
      <w:r w:rsidR="00507E75">
        <w:rPr>
          <w:rFonts w:ascii="楷体" w:eastAsia="楷体" w:hAnsi="楷体" w:cs="Arial" w:hint="eastAsia"/>
          <w:color w:val="auto"/>
          <w:sz w:val="20"/>
          <w:szCs w:val="20"/>
        </w:rPr>
        <w:t>中邮现金驿站C</w:t>
      </w:r>
      <w:r w:rsidRPr="0032491D">
        <w:rPr>
          <w:rFonts w:ascii="楷体" w:eastAsia="楷体" w:hAnsi="楷体" w:cs="Arial"/>
          <w:color w:val="auto"/>
          <w:sz w:val="20"/>
          <w:szCs w:val="20"/>
        </w:rPr>
        <w:t>（</w:t>
      </w:r>
      <w:r w:rsidR="00507E75">
        <w:rPr>
          <w:rFonts w:ascii="楷体" w:eastAsia="楷体" w:hAnsi="楷体" w:cs="Arial" w:hint="eastAsia"/>
          <w:color w:val="auto"/>
          <w:sz w:val="20"/>
          <w:szCs w:val="20"/>
        </w:rPr>
        <w:t>5.84</w:t>
      </w:r>
      <w:r w:rsidR="00E162B2">
        <w:rPr>
          <w:rFonts w:ascii="楷体" w:eastAsia="楷体" w:hAnsi="楷体" w:cs="Arial" w:hint="eastAsia"/>
          <w:color w:val="auto"/>
          <w:sz w:val="20"/>
          <w:szCs w:val="20"/>
        </w:rPr>
        <w:t>%</w:t>
      </w:r>
      <w:r w:rsidRPr="0032491D">
        <w:rPr>
          <w:rFonts w:ascii="楷体" w:eastAsia="楷体" w:hAnsi="楷体" w:cs="Arial"/>
          <w:color w:val="auto"/>
          <w:sz w:val="20"/>
          <w:szCs w:val="20"/>
        </w:rPr>
        <w:t>）、</w:t>
      </w:r>
      <w:r w:rsidR="00507E75">
        <w:rPr>
          <w:rFonts w:ascii="楷体" w:eastAsia="楷体" w:hAnsi="楷体" w:cs="Arial" w:hint="eastAsia"/>
          <w:color w:val="auto"/>
          <w:sz w:val="20"/>
          <w:szCs w:val="20"/>
        </w:rPr>
        <w:t>长城工资宝</w:t>
      </w:r>
      <w:r w:rsidRPr="0032491D">
        <w:rPr>
          <w:rFonts w:ascii="楷体" w:eastAsia="楷体" w:hAnsi="楷体" w:cs="Arial"/>
          <w:color w:val="auto"/>
          <w:sz w:val="20"/>
          <w:szCs w:val="20"/>
        </w:rPr>
        <w:t>（</w:t>
      </w:r>
      <w:r w:rsidR="00507E75">
        <w:rPr>
          <w:rFonts w:ascii="楷体" w:eastAsia="楷体" w:hAnsi="楷体" w:cs="Arial" w:hint="eastAsia"/>
          <w:color w:val="auto"/>
          <w:sz w:val="20"/>
          <w:szCs w:val="20"/>
        </w:rPr>
        <w:t>5.58</w:t>
      </w:r>
      <w:r w:rsidRPr="0032491D">
        <w:rPr>
          <w:rFonts w:ascii="楷体" w:eastAsia="楷体" w:hAnsi="楷体" w:cs="Arial"/>
          <w:color w:val="auto"/>
          <w:sz w:val="20"/>
          <w:szCs w:val="20"/>
        </w:rPr>
        <w:t>%）七日</w:t>
      </w:r>
      <w:proofErr w:type="gramStart"/>
      <w:r w:rsidRPr="0032491D">
        <w:rPr>
          <w:rFonts w:ascii="楷体" w:eastAsia="楷体" w:hAnsi="楷体" w:cs="Arial"/>
          <w:color w:val="auto"/>
          <w:sz w:val="20"/>
          <w:szCs w:val="20"/>
        </w:rPr>
        <w:t>年化收益</w:t>
      </w:r>
      <w:proofErr w:type="gramEnd"/>
      <w:r w:rsidRPr="0032491D">
        <w:rPr>
          <w:rFonts w:ascii="楷体" w:eastAsia="楷体" w:hAnsi="楷体" w:cs="Arial"/>
          <w:color w:val="auto"/>
          <w:sz w:val="20"/>
          <w:szCs w:val="20"/>
        </w:rPr>
        <w:t>最高。从收益区间来看，有</w:t>
      </w:r>
      <w:r w:rsidR="000E78A4">
        <w:rPr>
          <w:rFonts w:ascii="楷体" w:eastAsia="楷体" w:hAnsi="楷体" w:cs="Arial" w:hint="eastAsia"/>
          <w:color w:val="auto"/>
          <w:sz w:val="20"/>
          <w:szCs w:val="20"/>
        </w:rPr>
        <w:t>1</w:t>
      </w:r>
      <w:r w:rsidRPr="0032491D">
        <w:rPr>
          <w:rFonts w:ascii="楷体" w:eastAsia="楷体" w:hAnsi="楷体" w:cs="Arial"/>
          <w:color w:val="auto"/>
          <w:sz w:val="20"/>
          <w:szCs w:val="20"/>
        </w:rPr>
        <w:t>%的产品七日</w:t>
      </w:r>
      <w:proofErr w:type="gramStart"/>
      <w:r w:rsidRPr="0032491D">
        <w:rPr>
          <w:rFonts w:ascii="楷体" w:eastAsia="楷体" w:hAnsi="楷体" w:cs="Arial"/>
          <w:color w:val="auto"/>
          <w:sz w:val="20"/>
          <w:szCs w:val="20"/>
        </w:rPr>
        <w:t>年化收益</w:t>
      </w:r>
      <w:proofErr w:type="gramEnd"/>
      <w:r w:rsidRPr="0032491D">
        <w:rPr>
          <w:rFonts w:ascii="楷体" w:eastAsia="楷体" w:hAnsi="楷体" w:cs="Arial"/>
          <w:color w:val="auto"/>
          <w:sz w:val="20"/>
          <w:szCs w:val="20"/>
        </w:rPr>
        <w:t>超4%，</w:t>
      </w:r>
      <w:r w:rsidR="000E78A4">
        <w:rPr>
          <w:rFonts w:ascii="楷体" w:eastAsia="楷体" w:hAnsi="楷体" w:cs="Arial" w:hint="eastAsia"/>
          <w:color w:val="auto"/>
          <w:sz w:val="20"/>
          <w:szCs w:val="20"/>
        </w:rPr>
        <w:t>9</w:t>
      </w:r>
      <w:r w:rsidRPr="0032491D">
        <w:rPr>
          <w:rFonts w:ascii="楷体" w:eastAsia="楷体" w:hAnsi="楷体" w:cs="Arial"/>
          <w:color w:val="auto"/>
          <w:sz w:val="20"/>
          <w:szCs w:val="20"/>
        </w:rPr>
        <w:t>%的产品收益在3%-4%之间，</w:t>
      </w:r>
      <w:r w:rsidRPr="0032491D">
        <w:rPr>
          <w:rFonts w:ascii="楷体" w:eastAsia="楷体" w:hAnsi="楷体" w:cs="Arial" w:hint="eastAsia"/>
          <w:color w:val="auto"/>
          <w:sz w:val="20"/>
          <w:szCs w:val="20"/>
        </w:rPr>
        <w:t>7</w:t>
      </w:r>
      <w:r w:rsidR="000E78A4">
        <w:rPr>
          <w:rFonts w:ascii="楷体" w:eastAsia="楷体" w:hAnsi="楷体" w:cs="Arial" w:hint="eastAsia"/>
          <w:color w:val="auto"/>
          <w:sz w:val="20"/>
          <w:szCs w:val="20"/>
        </w:rPr>
        <w:t>8</w:t>
      </w:r>
      <w:r w:rsidRPr="0032491D">
        <w:rPr>
          <w:rFonts w:ascii="楷体" w:eastAsia="楷体" w:hAnsi="楷体" w:cs="Arial"/>
          <w:color w:val="auto"/>
          <w:sz w:val="20"/>
          <w:szCs w:val="20"/>
        </w:rPr>
        <w:t>%的产品收益在2%-3%之间。</w:t>
      </w:r>
    </w:p>
    <w:p w:rsidR="0053273E" w:rsidRPr="0032491D" w:rsidRDefault="0053273E" w:rsidP="0053273E">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QDII基金</w:t>
      </w:r>
    </w:p>
    <w:p w:rsidR="0053273E" w:rsidRDefault="0053273E" w:rsidP="0053273E">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color w:val="auto"/>
          <w:sz w:val="20"/>
          <w:szCs w:val="20"/>
        </w:rPr>
        <w:t>QDII基金平均收益为</w:t>
      </w:r>
      <w:r w:rsidR="000E78A4">
        <w:rPr>
          <w:rFonts w:ascii="楷体" w:eastAsia="楷体" w:hAnsi="楷体" w:cs="Arial" w:hint="eastAsia"/>
          <w:color w:val="auto"/>
          <w:sz w:val="20"/>
          <w:szCs w:val="20"/>
        </w:rPr>
        <w:t>-0.17</w:t>
      </w:r>
      <w:r w:rsidRPr="0032491D">
        <w:rPr>
          <w:rFonts w:ascii="楷体" w:eastAsia="楷体" w:hAnsi="楷体" w:cs="Arial"/>
          <w:color w:val="auto"/>
          <w:sz w:val="20"/>
          <w:szCs w:val="20"/>
        </w:rPr>
        <w:t>%，其中</w:t>
      </w:r>
      <w:r w:rsidR="007A39E5">
        <w:rPr>
          <w:rFonts w:ascii="楷体" w:eastAsia="楷体" w:hAnsi="楷体" w:cs="Arial" w:hint="eastAsia"/>
          <w:color w:val="auto"/>
          <w:sz w:val="20"/>
          <w:szCs w:val="20"/>
        </w:rPr>
        <w:t>国泰大宗</w:t>
      </w:r>
      <w:r w:rsidR="005642AF">
        <w:rPr>
          <w:rFonts w:ascii="楷体" w:eastAsia="楷体" w:hAnsi="楷体" w:cs="Arial" w:hint="eastAsia"/>
          <w:color w:val="auto"/>
          <w:sz w:val="20"/>
          <w:szCs w:val="20"/>
        </w:rPr>
        <w:t>商品</w:t>
      </w:r>
      <w:r w:rsidRPr="0032491D">
        <w:rPr>
          <w:rFonts w:ascii="楷体" w:eastAsia="楷体" w:hAnsi="楷体" w:cs="Arial"/>
          <w:color w:val="auto"/>
          <w:sz w:val="20"/>
          <w:szCs w:val="20"/>
        </w:rPr>
        <w:t>表现最好，涨</w:t>
      </w:r>
      <w:r w:rsidR="005642AF">
        <w:rPr>
          <w:rFonts w:ascii="楷体" w:eastAsia="楷体" w:hAnsi="楷体" w:cs="Arial" w:hint="eastAsia"/>
          <w:color w:val="auto"/>
          <w:sz w:val="20"/>
          <w:szCs w:val="20"/>
        </w:rPr>
        <w:t>3.95</w:t>
      </w:r>
      <w:r w:rsidRPr="0032491D">
        <w:rPr>
          <w:rFonts w:ascii="楷体" w:eastAsia="楷体" w:hAnsi="楷体" w:cs="Arial"/>
          <w:color w:val="auto"/>
          <w:sz w:val="20"/>
          <w:szCs w:val="20"/>
        </w:rPr>
        <w:t>%。从具体品种来看，</w:t>
      </w:r>
      <w:r w:rsidR="005642AF">
        <w:rPr>
          <w:rFonts w:ascii="楷体" w:eastAsia="楷体" w:hAnsi="楷体" w:cs="Arial" w:hint="eastAsia"/>
          <w:color w:val="auto"/>
          <w:sz w:val="20"/>
          <w:szCs w:val="20"/>
        </w:rPr>
        <w:t>商品、生物科技</w:t>
      </w:r>
      <w:r w:rsidRPr="0032491D">
        <w:rPr>
          <w:rFonts w:ascii="楷体" w:eastAsia="楷体" w:hAnsi="楷体" w:cs="Arial" w:hint="eastAsia"/>
          <w:color w:val="auto"/>
          <w:sz w:val="20"/>
          <w:szCs w:val="20"/>
        </w:rPr>
        <w:t>主题QDII</w:t>
      </w:r>
      <w:r w:rsidRPr="0032491D">
        <w:rPr>
          <w:rFonts w:ascii="楷体" w:eastAsia="楷体" w:hAnsi="楷体" w:cs="Arial"/>
          <w:color w:val="auto"/>
          <w:sz w:val="20"/>
          <w:szCs w:val="20"/>
        </w:rPr>
        <w:t>表现</w:t>
      </w:r>
      <w:r w:rsidRPr="0032491D">
        <w:rPr>
          <w:rFonts w:ascii="楷体" w:eastAsia="楷体" w:hAnsi="楷体" w:cs="Arial" w:hint="eastAsia"/>
          <w:color w:val="auto"/>
          <w:sz w:val="20"/>
          <w:szCs w:val="20"/>
        </w:rPr>
        <w:t>最</w:t>
      </w:r>
      <w:r w:rsidRPr="0032491D">
        <w:rPr>
          <w:rFonts w:ascii="楷体" w:eastAsia="楷体" w:hAnsi="楷体" w:cs="Arial"/>
          <w:color w:val="auto"/>
          <w:sz w:val="20"/>
          <w:szCs w:val="20"/>
        </w:rPr>
        <w:t>好，</w:t>
      </w:r>
      <w:r w:rsidR="005642AF">
        <w:rPr>
          <w:rFonts w:ascii="楷体" w:eastAsia="楷体" w:hAnsi="楷体" w:cs="Arial" w:hint="eastAsia"/>
          <w:color w:val="auto"/>
          <w:sz w:val="20"/>
          <w:szCs w:val="20"/>
        </w:rPr>
        <w:t>房地产、</w:t>
      </w:r>
      <w:proofErr w:type="gramStart"/>
      <w:r w:rsidR="005642AF">
        <w:rPr>
          <w:rFonts w:ascii="楷体" w:eastAsia="楷体" w:hAnsi="楷体" w:cs="Arial" w:hint="eastAsia"/>
          <w:color w:val="auto"/>
          <w:sz w:val="20"/>
          <w:szCs w:val="20"/>
        </w:rPr>
        <w:t>金砖四国</w:t>
      </w:r>
      <w:r w:rsidRPr="0032491D">
        <w:rPr>
          <w:rFonts w:ascii="楷体" w:eastAsia="楷体" w:hAnsi="楷体" w:cs="Arial"/>
          <w:color w:val="auto"/>
          <w:sz w:val="20"/>
          <w:szCs w:val="20"/>
        </w:rPr>
        <w:t>主题</w:t>
      </w:r>
      <w:proofErr w:type="gramEnd"/>
      <w:r w:rsidRPr="0032491D">
        <w:rPr>
          <w:rFonts w:ascii="楷体" w:eastAsia="楷体" w:hAnsi="楷体" w:cs="Arial"/>
          <w:color w:val="auto"/>
          <w:sz w:val="20"/>
          <w:szCs w:val="20"/>
        </w:rPr>
        <w:t xml:space="preserve"> QDII表现</w:t>
      </w:r>
      <w:r w:rsidRPr="0032491D">
        <w:rPr>
          <w:rFonts w:ascii="楷体" w:eastAsia="楷体" w:hAnsi="楷体" w:cs="Arial" w:hint="eastAsia"/>
          <w:color w:val="auto"/>
          <w:sz w:val="20"/>
          <w:szCs w:val="20"/>
        </w:rPr>
        <w:t>较差</w:t>
      </w:r>
      <w:r w:rsidRPr="0032491D">
        <w:rPr>
          <w:rFonts w:ascii="楷体" w:eastAsia="楷体" w:hAnsi="楷体" w:cs="Arial"/>
          <w:color w:val="auto"/>
          <w:sz w:val="20"/>
          <w:szCs w:val="20"/>
        </w:rPr>
        <w:t>。</w:t>
      </w:r>
    </w:p>
    <w:p w:rsidR="0053273E" w:rsidRPr="0032491D" w:rsidRDefault="0053273E" w:rsidP="0053273E">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p>
    <w:tbl>
      <w:tblPr>
        <w:tblpPr w:leftFromText="180" w:rightFromText="180" w:vertAnchor="text" w:horzAnchor="margin" w:tblpY="-39"/>
        <w:tblW w:w="3970" w:type="dxa"/>
        <w:tblLayout w:type="fixed"/>
        <w:tblLook w:val="04A0" w:firstRow="1" w:lastRow="0" w:firstColumn="1" w:lastColumn="0" w:noHBand="0" w:noVBand="1"/>
      </w:tblPr>
      <w:tblGrid>
        <w:gridCol w:w="709"/>
        <w:gridCol w:w="817"/>
        <w:gridCol w:w="1701"/>
        <w:gridCol w:w="743"/>
      </w:tblGrid>
      <w:tr w:rsidR="0053273E" w:rsidRPr="0032491D" w:rsidTr="00FC5199">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53273E" w:rsidRPr="0032491D" w:rsidRDefault="0053273E" w:rsidP="00FC5199">
            <w:pPr>
              <w:widowControl/>
              <w:jc w:val="center"/>
              <w:rPr>
                <w:rFonts w:ascii="楷体" w:eastAsia="楷体" w:hAnsi="楷体" w:cs="Arial"/>
                <w:b/>
                <w:sz w:val="20"/>
                <w:szCs w:val="20"/>
              </w:rPr>
            </w:pPr>
            <w:r w:rsidRPr="0032491D">
              <w:rPr>
                <w:rFonts w:ascii="楷体" w:eastAsia="楷体" w:hAnsi="楷体" w:cs="Arial"/>
                <w:b/>
                <w:sz w:val="20"/>
                <w:szCs w:val="20"/>
              </w:rPr>
              <w:lastRenderedPageBreak/>
              <w:t>类型</w:t>
            </w:r>
          </w:p>
        </w:tc>
        <w:tc>
          <w:tcPr>
            <w:tcW w:w="817" w:type="dxa"/>
            <w:tcBorders>
              <w:top w:val="single" w:sz="4" w:space="0" w:color="auto"/>
              <w:left w:val="single" w:sz="4" w:space="0" w:color="auto"/>
              <w:bottom w:val="single" w:sz="4" w:space="0" w:color="auto"/>
            </w:tcBorders>
            <w:shd w:val="clear" w:color="F79646" w:fill="F79646"/>
            <w:vAlign w:val="center"/>
            <w:hideMark/>
          </w:tcPr>
          <w:p w:rsidR="0053273E" w:rsidRPr="0032491D" w:rsidRDefault="0053273E" w:rsidP="00FC5199">
            <w:pPr>
              <w:widowControl/>
              <w:jc w:val="center"/>
              <w:rPr>
                <w:rFonts w:ascii="楷体" w:eastAsia="楷体" w:hAnsi="楷体" w:cs="Arial"/>
                <w:b/>
                <w:sz w:val="20"/>
                <w:szCs w:val="20"/>
              </w:rPr>
            </w:pPr>
            <w:r w:rsidRPr="0032491D">
              <w:rPr>
                <w:rFonts w:ascii="楷体" w:eastAsia="楷体" w:hAnsi="楷体" w:cs="Arial"/>
                <w:b/>
                <w:sz w:val="20"/>
                <w:szCs w:val="20"/>
              </w:rPr>
              <w:t>代码</w:t>
            </w:r>
          </w:p>
        </w:tc>
        <w:tc>
          <w:tcPr>
            <w:tcW w:w="1701" w:type="dxa"/>
            <w:tcBorders>
              <w:top w:val="single" w:sz="4" w:space="0" w:color="auto"/>
              <w:bottom w:val="single" w:sz="4" w:space="0" w:color="auto"/>
            </w:tcBorders>
            <w:shd w:val="clear" w:color="F79646" w:fill="F79646"/>
            <w:vAlign w:val="center"/>
            <w:hideMark/>
          </w:tcPr>
          <w:p w:rsidR="0053273E" w:rsidRPr="0032491D" w:rsidRDefault="0053273E" w:rsidP="00FC5199">
            <w:pPr>
              <w:widowControl/>
              <w:jc w:val="center"/>
              <w:rPr>
                <w:rFonts w:ascii="楷体" w:eastAsia="楷体" w:hAnsi="楷体" w:cs="Arial"/>
                <w:b/>
                <w:sz w:val="20"/>
                <w:szCs w:val="20"/>
              </w:rPr>
            </w:pPr>
            <w:r w:rsidRPr="0032491D">
              <w:rPr>
                <w:rFonts w:ascii="楷体" w:eastAsia="楷体" w:hAnsi="楷体" w:cs="Arial"/>
                <w:b/>
                <w:sz w:val="20"/>
                <w:szCs w:val="20"/>
              </w:rPr>
              <w:t>简称</w:t>
            </w:r>
          </w:p>
        </w:tc>
        <w:tc>
          <w:tcPr>
            <w:tcW w:w="743" w:type="dxa"/>
            <w:tcBorders>
              <w:top w:val="single" w:sz="4" w:space="0" w:color="auto"/>
              <w:bottom w:val="single" w:sz="4" w:space="0" w:color="auto"/>
            </w:tcBorders>
            <w:shd w:val="clear" w:color="F79646" w:fill="F79646"/>
            <w:vAlign w:val="center"/>
            <w:hideMark/>
          </w:tcPr>
          <w:p w:rsidR="0053273E" w:rsidRPr="0032491D" w:rsidRDefault="0053273E" w:rsidP="00FC5199">
            <w:pPr>
              <w:widowControl/>
              <w:jc w:val="left"/>
              <w:rPr>
                <w:rFonts w:ascii="楷体" w:eastAsia="楷体" w:hAnsi="楷体" w:cs="Arial"/>
                <w:b/>
                <w:sz w:val="18"/>
                <w:szCs w:val="18"/>
              </w:rPr>
            </w:pPr>
            <w:r w:rsidRPr="0032491D">
              <w:rPr>
                <w:rFonts w:ascii="楷体" w:eastAsia="楷体" w:hAnsi="楷体" w:cs="Arial"/>
                <w:b/>
                <w:sz w:val="18"/>
                <w:szCs w:val="18"/>
              </w:rPr>
              <w:t>涨跌%</w:t>
            </w:r>
          </w:p>
        </w:tc>
      </w:tr>
      <w:tr w:rsidR="001C26A9" w:rsidRPr="0032491D" w:rsidTr="00FC5199">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1C26A9" w:rsidRPr="0032491D" w:rsidRDefault="001C26A9" w:rsidP="00FC519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普通股基</w:t>
            </w:r>
          </w:p>
        </w:tc>
        <w:tc>
          <w:tcPr>
            <w:tcW w:w="817" w:type="dxa"/>
            <w:tcBorders>
              <w:top w:val="single" w:sz="4" w:space="0" w:color="auto"/>
              <w:left w:val="single" w:sz="4" w:space="0" w:color="auto"/>
            </w:tcBorders>
            <w:shd w:val="clear" w:color="auto" w:fill="FFFFFF" w:themeFill="background1"/>
            <w:vAlign w:val="center"/>
            <w:hideMark/>
          </w:tcPr>
          <w:p w:rsidR="001C26A9" w:rsidRPr="001C26A9" w:rsidRDefault="001C26A9">
            <w:pPr>
              <w:rPr>
                <w:rFonts w:ascii="楷体" w:eastAsia="楷体" w:hAnsi="楷体"/>
                <w:color w:val="000000"/>
                <w:sz w:val="16"/>
                <w:szCs w:val="16"/>
              </w:rPr>
            </w:pPr>
            <w:r>
              <w:rPr>
                <w:rFonts w:ascii="楷体" w:eastAsia="楷体" w:hAnsi="楷体" w:hint="eastAsia"/>
                <w:color w:val="000000"/>
                <w:sz w:val="16"/>
                <w:szCs w:val="16"/>
              </w:rPr>
              <w:t>000586.</w:t>
            </w:r>
          </w:p>
        </w:tc>
        <w:tc>
          <w:tcPr>
            <w:tcW w:w="1701" w:type="dxa"/>
            <w:tcBorders>
              <w:top w:val="single" w:sz="4" w:space="0" w:color="auto"/>
            </w:tcBorders>
            <w:shd w:val="clear" w:color="auto" w:fill="FFFFFF" w:themeFill="background1"/>
            <w:vAlign w:val="center"/>
            <w:hideMark/>
          </w:tcPr>
          <w:p w:rsidR="001C26A9" w:rsidRPr="001C26A9" w:rsidRDefault="001C26A9">
            <w:pPr>
              <w:rPr>
                <w:rFonts w:ascii="楷体" w:eastAsia="楷体" w:hAnsi="楷体"/>
                <w:color w:val="000000"/>
                <w:sz w:val="16"/>
                <w:szCs w:val="16"/>
              </w:rPr>
            </w:pPr>
            <w:r w:rsidRPr="001C26A9">
              <w:rPr>
                <w:rFonts w:ascii="楷体" w:eastAsia="楷体" w:hAnsi="楷体" w:hint="eastAsia"/>
                <w:color w:val="000000"/>
                <w:sz w:val="16"/>
                <w:szCs w:val="16"/>
              </w:rPr>
              <w:t>景顺长城中小</w:t>
            </w:r>
            <w:proofErr w:type="gramStart"/>
            <w:r w:rsidRPr="001C26A9">
              <w:rPr>
                <w:rFonts w:ascii="楷体" w:eastAsia="楷体" w:hAnsi="楷体" w:hint="eastAsia"/>
                <w:color w:val="000000"/>
                <w:sz w:val="16"/>
                <w:szCs w:val="16"/>
              </w:rPr>
              <w:t>板创业</w:t>
            </w:r>
            <w:proofErr w:type="gramEnd"/>
            <w:r w:rsidRPr="001C26A9">
              <w:rPr>
                <w:rFonts w:ascii="楷体" w:eastAsia="楷体" w:hAnsi="楷体" w:hint="eastAsia"/>
                <w:color w:val="000000"/>
                <w:sz w:val="16"/>
                <w:szCs w:val="16"/>
              </w:rPr>
              <w:t>板</w:t>
            </w:r>
          </w:p>
        </w:tc>
        <w:tc>
          <w:tcPr>
            <w:tcW w:w="743" w:type="dxa"/>
            <w:tcBorders>
              <w:top w:val="single" w:sz="4" w:space="0" w:color="auto"/>
            </w:tcBorders>
            <w:shd w:val="clear" w:color="auto" w:fill="FFFFFF" w:themeFill="background1"/>
            <w:vAlign w:val="center"/>
            <w:hideMark/>
          </w:tcPr>
          <w:p w:rsidR="001C26A9" w:rsidRPr="001C26A9" w:rsidRDefault="001C26A9">
            <w:pPr>
              <w:jc w:val="right"/>
              <w:rPr>
                <w:rFonts w:ascii="楷体" w:eastAsia="楷体" w:hAnsi="楷体"/>
                <w:color w:val="000000"/>
                <w:sz w:val="16"/>
                <w:szCs w:val="16"/>
              </w:rPr>
            </w:pPr>
            <w:r w:rsidRPr="001C26A9">
              <w:rPr>
                <w:rFonts w:ascii="楷体" w:eastAsia="楷体" w:hAnsi="楷体" w:hint="eastAsia"/>
                <w:color w:val="000000"/>
                <w:sz w:val="16"/>
                <w:szCs w:val="16"/>
              </w:rPr>
              <w:t>3.81</w:t>
            </w:r>
          </w:p>
        </w:tc>
      </w:tr>
      <w:tr w:rsidR="001C26A9" w:rsidRPr="0032491D" w:rsidTr="00FC5199">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1C26A9" w:rsidRPr="0032491D" w:rsidRDefault="001C26A9" w:rsidP="00FC5199">
            <w:pPr>
              <w:jc w:val="left"/>
              <w:rPr>
                <w:rFonts w:ascii="楷体" w:eastAsia="楷体" w:hAnsi="楷体" w:cs="Arial"/>
                <w:b/>
                <w:bCs/>
                <w:color w:val="000000"/>
                <w:kern w:val="0"/>
                <w:sz w:val="18"/>
                <w:szCs w:val="18"/>
              </w:rPr>
            </w:pPr>
          </w:p>
        </w:tc>
        <w:tc>
          <w:tcPr>
            <w:tcW w:w="817" w:type="dxa"/>
            <w:tcBorders>
              <w:left w:val="single" w:sz="4" w:space="0" w:color="auto"/>
            </w:tcBorders>
            <w:shd w:val="clear" w:color="auto" w:fill="FFFFFF" w:themeFill="background1"/>
            <w:vAlign w:val="center"/>
            <w:hideMark/>
          </w:tcPr>
          <w:p w:rsidR="001C26A9" w:rsidRPr="001C26A9" w:rsidRDefault="001C26A9">
            <w:pPr>
              <w:rPr>
                <w:rFonts w:ascii="楷体" w:eastAsia="楷体" w:hAnsi="楷体"/>
                <w:color w:val="000000"/>
                <w:sz w:val="16"/>
                <w:szCs w:val="16"/>
              </w:rPr>
            </w:pPr>
            <w:r>
              <w:rPr>
                <w:rFonts w:ascii="楷体" w:eastAsia="楷体" w:hAnsi="楷体" w:hint="eastAsia"/>
                <w:color w:val="000000"/>
                <w:sz w:val="16"/>
                <w:szCs w:val="16"/>
              </w:rPr>
              <w:t>001956.</w:t>
            </w:r>
          </w:p>
        </w:tc>
        <w:tc>
          <w:tcPr>
            <w:tcW w:w="1701" w:type="dxa"/>
            <w:shd w:val="clear" w:color="auto" w:fill="FFFFFF" w:themeFill="background1"/>
            <w:vAlign w:val="center"/>
            <w:hideMark/>
          </w:tcPr>
          <w:p w:rsidR="001C26A9" w:rsidRPr="001C26A9" w:rsidRDefault="001C26A9">
            <w:pPr>
              <w:rPr>
                <w:rFonts w:ascii="楷体" w:eastAsia="楷体" w:hAnsi="楷体"/>
                <w:color w:val="000000"/>
                <w:sz w:val="16"/>
                <w:szCs w:val="16"/>
              </w:rPr>
            </w:pPr>
            <w:r w:rsidRPr="001C26A9">
              <w:rPr>
                <w:rFonts w:ascii="楷体" w:eastAsia="楷体" w:hAnsi="楷体" w:hint="eastAsia"/>
                <w:color w:val="000000"/>
                <w:sz w:val="16"/>
                <w:szCs w:val="16"/>
              </w:rPr>
              <w:t>国联</w:t>
            </w:r>
            <w:proofErr w:type="gramStart"/>
            <w:r w:rsidRPr="001C26A9">
              <w:rPr>
                <w:rFonts w:ascii="楷体" w:eastAsia="楷体" w:hAnsi="楷体" w:hint="eastAsia"/>
                <w:color w:val="000000"/>
                <w:sz w:val="16"/>
                <w:szCs w:val="16"/>
              </w:rPr>
              <w:t>安科技</w:t>
            </w:r>
            <w:proofErr w:type="gramEnd"/>
            <w:r w:rsidRPr="001C26A9">
              <w:rPr>
                <w:rFonts w:ascii="楷体" w:eastAsia="楷体" w:hAnsi="楷体" w:hint="eastAsia"/>
                <w:color w:val="000000"/>
                <w:sz w:val="16"/>
                <w:szCs w:val="16"/>
              </w:rPr>
              <w:t>动力</w:t>
            </w:r>
          </w:p>
        </w:tc>
        <w:tc>
          <w:tcPr>
            <w:tcW w:w="743" w:type="dxa"/>
            <w:shd w:val="clear" w:color="auto" w:fill="FFFFFF" w:themeFill="background1"/>
            <w:vAlign w:val="center"/>
            <w:hideMark/>
          </w:tcPr>
          <w:p w:rsidR="001C26A9" w:rsidRPr="001C26A9" w:rsidRDefault="001C26A9">
            <w:pPr>
              <w:jc w:val="right"/>
              <w:rPr>
                <w:rFonts w:ascii="楷体" w:eastAsia="楷体" w:hAnsi="楷体"/>
                <w:color w:val="000000"/>
                <w:sz w:val="16"/>
                <w:szCs w:val="16"/>
              </w:rPr>
            </w:pPr>
            <w:r w:rsidRPr="001C26A9">
              <w:rPr>
                <w:rFonts w:ascii="楷体" w:eastAsia="楷体" w:hAnsi="楷体" w:hint="eastAsia"/>
                <w:color w:val="000000"/>
                <w:sz w:val="16"/>
                <w:szCs w:val="16"/>
              </w:rPr>
              <w:t>2.67</w:t>
            </w:r>
          </w:p>
        </w:tc>
      </w:tr>
      <w:tr w:rsidR="001C26A9" w:rsidRPr="0032491D" w:rsidTr="00FC5199">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1C26A9" w:rsidRPr="0032491D" w:rsidRDefault="001C26A9" w:rsidP="00FC5199">
            <w:pPr>
              <w:widowControl/>
              <w:jc w:val="left"/>
              <w:rPr>
                <w:rFonts w:ascii="楷体" w:eastAsia="楷体" w:hAnsi="楷体" w:cs="Arial"/>
                <w:b/>
                <w:bCs/>
                <w:color w:val="000000"/>
                <w:kern w:val="0"/>
                <w:sz w:val="18"/>
                <w:szCs w:val="18"/>
              </w:rPr>
            </w:pPr>
          </w:p>
        </w:tc>
        <w:tc>
          <w:tcPr>
            <w:tcW w:w="817" w:type="dxa"/>
            <w:tcBorders>
              <w:left w:val="single" w:sz="4" w:space="0" w:color="auto"/>
              <w:bottom w:val="single" w:sz="4" w:space="0" w:color="auto"/>
            </w:tcBorders>
            <w:shd w:val="clear" w:color="auto" w:fill="FFFFFF" w:themeFill="background1"/>
            <w:vAlign w:val="center"/>
            <w:hideMark/>
          </w:tcPr>
          <w:p w:rsidR="001C26A9" w:rsidRDefault="001C26A9">
            <w:pPr>
              <w:rPr>
                <w:rFonts w:ascii="宋体" w:eastAsia="宋体" w:hAnsi="宋体" w:cs="宋体"/>
                <w:color w:val="000000"/>
                <w:sz w:val="18"/>
                <w:szCs w:val="18"/>
              </w:rPr>
            </w:pPr>
            <w:r w:rsidRPr="001C26A9">
              <w:rPr>
                <w:rFonts w:ascii="楷体" w:eastAsia="楷体" w:hAnsi="楷体" w:hint="eastAsia"/>
                <w:color w:val="000000"/>
                <w:sz w:val="16"/>
                <w:szCs w:val="16"/>
              </w:rPr>
              <w:t>001054.</w:t>
            </w:r>
          </w:p>
        </w:tc>
        <w:tc>
          <w:tcPr>
            <w:tcW w:w="1701" w:type="dxa"/>
            <w:tcBorders>
              <w:bottom w:val="single" w:sz="4" w:space="0" w:color="auto"/>
            </w:tcBorders>
            <w:shd w:val="clear" w:color="auto" w:fill="FFFFFF" w:themeFill="background1"/>
            <w:vAlign w:val="center"/>
            <w:hideMark/>
          </w:tcPr>
          <w:p w:rsidR="001C26A9" w:rsidRPr="001C26A9" w:rsidRDefault="001C26A9">
            <w:pPr>
              <w:rPr>
                <w:rFonts w:ascii="楷体" w:eastAsia="楷体" w:hAnsi="楷体"/>
                <w:color w:val="000000"/>
                <w:sz w:val="16"/>
                <w:szCs w:val="16"/>
              </w:rPr>
            </w:pPr>
            <w:proofErr w:type="gramStart"/>
            <w:r w:rsidRPr="001C26A9">
              <w:rPr>
                <w:rFonts w:ascii="楷体" w:eastAsia="楷体" w:hAnsi="楷体" w:hint="eastAsia"/>
                <w:color w:val="000000"/>
                <w:sz w:val="16"/>
                <w:szCs w:val="16"/>
              </w:rPr>
              <w:t>工银瑞信</w:t>
            </w:r>
            <w:proofErr w:type="gramEnd"/>
            <w:r w:rsidRPr="001C26A9">
              <w:rPr>
                <w:rFonts w:ascii="楷体" w:eastAsia="楷体" w:hAnsi="楷体" w:hint="eastAsia"/>
                <w:color w:val="000000"/>
                <w:sz w:val="16"/>
                <w:szCs w:val="16"/>
              </w:rPr>
              <w:t>新金融</w:t>
            </w:r>
          </w:p>
        </w:tc>
        <w:tc>
          <w:tcPr>
            <w:tcW w:w="743" w:type="dxa"/>
            <w:tcBorders>
              <w:bottom w:val="single" w:sz="4" w:space="0" w:color="auto"/>
            </w:tcBorders>
            <w:shd w:val="clear" w:color="auto" w:fill="FFFFFF" w:themeFill="background1"/>
            <w:vAlign w:val="center"/>
            <w:hideMark/>
          </w:tcPr>
          <w:p w:rsidR="001C26A9" w:rsidRPr="001C26A9" w:rsidRDefault="001C26A9">
            <w:pPr>
              <w:jc w:val="right"/>
              <w:rPr>
                <w:rFonts w:ascii="楷体" w:eastAsia="楷体" w:hAnsi="楷体"/>
                <w:color w:val="000000"/>
                <w:sz w:val="16"/>
                <w:szCs w:val="16"/>
              </w:rPr>
            </w:pPr>
            <w:r w:rsidRPr="001C26A9">
              <w:rPr>
                <w:rFonts w:ascii="楷体" w:eastAsia="楷体" w:hAnsi="楷体" w:hint="eastAsia"/>
                <w:color w:val="000000"/>
                <w:sz w:val="16"/>
                <w:szCs w:val="16"/>
              </w:rPr>
              <w:t>2.53</w:t>
            </w:r>
          </w:p>
        </w:tc>
      </w:tr>
      <w:tr w:rsidR="001C26A9" w:rsidRPr="0032491D" w:rsidTr="001C26A9">
        <w:trPr>
          <w:trHeight w:val="248"/>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1C26A9" w:rsidRPr="0032491D" w:rsidRDefault="001C26A9" w:rsidP="00FC519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指数股基</w:t>
            </w:r>
            <w:proofErr w:type="gramEnd"/>
          </w:p>
        </w:tc>
        <w:tc>
          <w:tcPr>
            <w:tcW w:w="817" w:type="dxa"/>
            <w:tcBorders>
              <w:top w:val="single" w:sz="4" w:space="0" w:color="auto"/>
              <w:left w:val="nil"/>
              <w:bottom w:val="nil"/>
              <w:right w:val="nil"/>
            </w:tcBorders>
            <w:shd w:val="clear" w:color="auto" w:fill="F2F2F2" w:themeFill="background1" w:themeFillShade="F2"/>
            <w:vAlign w:val="center"/>
            <w:hideMark/>
          </w:tcPr>
          <w:p w:rsidR="001C26A9" w:rsidRPr="001C26A9" w:rsidRDefault="001C26A9">
            <w:pPr>
              <w:rPr>
                <w:rFonts w:ascii="楷体" w:eastAsia="楷体" w:hAnsi="楷体"/>
                <w:color w:val="000000"/>
                <w:sz w:val="16"/>
                <w:szCs w:val="16"/>
              </w:rPr>
            </w:pPr>
            <w:r>
              <w:rPr>
                <w:rFonts w:ascii="楷体" w:eastAsia="楷体" w:hAnsi="楷体" w:hint="eastAsia"/>
                <w:color w:val="000000"/>
                <w:sz w:val="16"/>
                <w:szCs w:val="16"/>
              </w:rPr>
              <w:t>001629.</w:t>
            </w:r>
          </w:p>
        </w:tc>
        <w:tc>
          <w:tcPr>
            <w:tcW w:w="1701" w:type="dxa"/>
            <w:tcBorders>
              <w:top w:val="single" w:sz="4" w:space="0" w:color="auto"/>
              <w:left w:val="nil"/>
              <w:bottom w:val="nil"/>
              <w:right w:val="nil"/>
            </w:tcBorders>
            <w:shd w:val="clear" w:color="auto" w:fill="F2F2F2" w:themeFill="background1" w:themeFillShade="F2"/>
            <w:vAlign w:val="center"/>
            <w:hideMark/>
          </w:tcPr>
          <w:p w:rsidR="001C26A9" w:rsidRPr="001C26A9" w:rsidRDefault="001C26A9">
            <w:pPr>
              <w:rPr>
                <w:rFonts w:ascii="楷体" w:eastAsia="楷体" w:hAnsi="楷体"/>
                <w:color w:val="000000"/>
                <w:sz w:val="16"/>
                <w:szCs w:val="16"/>
              </w:rPr>
            </w:pPr>
            <w:proofErr w:type="gramStart"/>
            <w:r w:rsidRPr="001C26A9">
              <w:rPr>
                <w:rFonts w:ascii="楷体" w:eastAsia="楷体" w:hAnsi="楷体" w:hint="eastAsia"/>
                <w:color w:val="000000"/>
                <w:sz w:val="16"/>
                <w:szCs w:val="16"/>
              </w:rPr>
              <w:t>天弘中</w:t>
            </w:r>
            <w:proofErr w:type="gramEnd"/>
            <w:r w:rsidRPr="001C26A9">
              <w:rPr>
                <w:rFonts w:ascii="楷体" w:eastAsia="楷体" w:hAnsi="楷体" w:hint="eastAsia"/>
                <w:color w:val="000000"/>
                <w:sz w:val="16"/>
                <w:szCs w:val="16"/>
              </w:rPr>
              <w:t>证计算机A</w:t>
            </w:r>
          </w:p>
        </w:tc>
        <w:tc>
          <w:tcPr>
            <w:tcW w:w="743" w:type="dxa"/>
            <w:tcBorders>
              <w:top w:val="single" w:sz="4" w:space="0" w:color="auto"/>
              <w:left w:val="nil"/>
              <w:bottom w:val="nil"/>
              <w:right w:val="nil"/>
            </w:tcBorders>
            <w:shd w:val="clear" w:color="auto" w:fill="F2F2F2" w:themeFill="background1" w:themeFillShade="F2"/>
            <w:vAlign w:val="center"/>
            <w:hideMark/>
          </w:tcPr>
          <w:p w:rsidR="001C26A9" w:rsidRPr="001C26A9" w:rsidRDefault="001C26A9">
            <w:pPr>
              <w:jc w:val="right"/>
              <w:rPr>
                <w:rFonts w:ascii="楷体" w:eastAsia="楷体" w:hAnsi="楷体"/>
                <w:color w:val="000000"/>
                <w:sz w:val="16"/>
                <w:szCs w:val="16"/>
              </w:rPr>
            </w:pPr>
            <w:r w:rsidRPr="001C26A9">
              <w:rPr>
                <w:rFonts w:ascii="楷体" w:eastAsia="楷体" w:hAnsi="楷体" w:hint="eastAsia"/>
                <w:color w:val="000000"/>
                <w:sz w:val="16"/>
                <w:szCs w:val="16"/>
              </w:rPr>
              <w:t>3.03</w:t>
            </w:r>
          </w:p>
        </w:tc>
      </w:tr>
      <w:tr w:rsidR="001C26A9" w:rsidRPr="0032491D" w:rsidTr="00FE427A">
        <w:trPr>
          <w:trHeight w:val="284"/>
        </w:trPr>
        <w:tc>
          <w:tcPr>
            <w:tcW w:w="709" w:type="dxa"/>
            <w:vMerge/>
            <w:tcBorders>
              <w:left w:val="nil"/>
              <w:right w:val="single" w:sz="8" w:space="0" w:color="000000"/>
            </w:tcBorders>
            <w:shd w:val="clear" w:color="auto" w:fill="F2F2F2" w:themeFill="background1" w:themeFillShade="F2"/>
            <w:vAlign w:val="center"/>
            <w:hideMark/>
          </w:tcPr>
          <w:p w:rsidR="001C26A9" w:rsidRPr="0032491D" w:rsidRDefault="001C26A9"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2F2F2" w:themeFill="background1" w:themeFillShade="F2"/>
            <w:hideMark/>
          </w:tcPr>
          <w:p w:rsidR="001C26A9" w:rsidRPr="001C26A9" w:rsidRDefault="001C26A9">
            <w:pPr>
              <w:rPr>
                <w:rFonts w:ascii="楷体" w:eastAsia="楷体" w:hAnsi="楷体"/>
                <w:color w:val="000000"/>
                <w:sz w:val="16"/>
                <w:szCs w:val="16"/>
              </w:rPr>
            </w:pPr>
            <w:r>
              <w:rPr>
                <w:rFonts w:ascii="楷体" w:eastAsia="楷体" w:hAnsi="楷体" w:hint="eastAsia"/>
                <w:color w:val="000000"/>
                <w:sz w:val="16"/>
                <w:szCs w:val="16"/>
              </w:rPr>
              <w:t>002510.</w:t>
            </w:r>
          </w:p>
        </w:tc>
        <w:tc>
          <w:tcPr>
            <w:tcW w:w="1701" w:type="dxa"/>
            <w:tcBorders>
              <w:top w:val="nil"/>
              <w:left w:val="nil"/>
              <w:bottom w:val="nil"/>
              <w:right w:val="nil"/>
            </w:tcBorders>
            <w:shd w:val="clear" w:color="auto" w:fill="F2F2F2" w:themeFill="background1" w:themeFillShade="F2"/>
            <w:hideMark/>
          </w:tcPr>
          <w:p w:rsidR="001C26A9" w:rsidRPr="001C26A9" w:rsidRDefault="001C26A9">
            <w:pPr>
              <w:rPr>
                <w:rFonts w:ascii="楷体" w:eastAsia="楷体" w:hAnsi="楷体"/>
                <w:color w:val="000000"/>
                <w:sz w:val="16"/>
                <w:szCs w:val="16"/>
              </w:rPr>
            </w:pPr>
            <w:proofErr w:type="gramStart"/>
            <w:r w:rsidRPr="001C26A9">
              <w:rPr>
                <w:rFonts w:ascii="楷体" w:eastAsia="楷体" w:hAnsi="楷体" w:hint="eastAsia"/>
                <w:color w:val="000000"/>
                <w:sz w:val="16"/>
                <w:szCs w:val="16"/>
              </w:rPr>
              <w:t>申万菱</w:t>
            </w:r>
            <w:proofErr w:type="gramEnd"/>
            <w:r w:rsidRPr="001C26A9">
              <w:rPr>
                <w:rFonts w:ascii="楷体" w:eastAsia="楷体" w:hAnsi="楷体" w:hint="eastAsia"/>
                <w:color w:val="000000"/>
                <w:sz w:val="16"/>
                <w:szCs w:val="16"/>
              </w:rPr>
              <w:t>信中证500</w:t>
            </w:r>
          </w:p>
        </w:tc>
        <w:tc>
          <w:tcPr>
            <w:tcW w:w="743" w:type="dxa"/>
            <w:tcBorders>
              <w:top w:val="nil"/>
              <w:left w:val="nil"/>
              <w:bottom w:val="nil"/>
              <w:right w:val="nil"/>
            </w:tcBorders>
            <w:shd w:val="clear" w:color="auto" w:fill="F2F2F2" w:themeFill="background1" w:themeFillShade="F2"/>
            <w:vAlign w:val="center"/>
            <w:hideMark/>
          </w:tcPr>
          <w:p w:rsidR="001C26A9" w:rsidRPr="001C26A9" w:rsidRDefault="001C26A9">
            <w:pPr>
              <w:jc w:val="right"/>
              <w:rPr>
                <w:rFonts w:ascii="楷体" w:eastAsia="楷体" w:hAnsi="楷体"/>
                <w:color w:val="000000"/>
                <w:sz w:val="16"/>
                <w:szCs w:val="16"/>
              </w:rPr>
            </w:pPr>
            <w:r w:rsidRPr="001C26A9">
              <w:rPr>
                <w:rFonts w:ascii="楷体" w:eastAsia="楷体" w:hAnsi="楷体" w:hint="eastAsia"/>
                <w:color w:val="000000"/>
                <w:sz w:val="16"/>
                <w:szCs w:val="16"/>
              </w:rPr>
              <w:t>2.86</w:t>
            </w:r>
          </w:p>
        </w:tc>
      </w:tr>
      <w:tr w:rsidR="001C26A9" w:rsidRPr="0032491D" w:rsidTr="00FC5199">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1C26A9" w:rsidRPr="0032491D" w:rsidRDefault="001C26A9"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1C26A9" w:rsidRPr="001C26A9" w:rsidRDefault="001C26A9">
            <w:pPr>
              <w:rPr>
                <w:rFonts w:ascii="楷体" w:eastAsia="楷体" w:hAnsi="楷体"/>
                <w:color w:val="000000"/>
                <w:sz w:val="16"/>
                <w:szCs w:val="16"/>
              </w:rPr>
            </w:pPr>
            <w:r>
              <w:rPr>
                <w:rFonts w:ascii="楷体" w:eastAsia="楷体" w:hAnsi="楷体" w:hint="eastAsia"/>
                <w:color w:val="000000"/>
                <w:sz w:val="16"/>
                <w:szCs w:val="16"/>
              </w:rPr>
              <w:t>161033.</w:t>
            </w:r>
          </w:p>
        </w:tc>
        <w:tc>
          <w:tcPr>
            <w:tcW w:w="1701" w:type="dxa"/>
            <w:tcBorders>
              <w:top w:val="nil"/>
              <w:left w:val="nil"/>
              <w:bottom w:val="single" w:sz="8" w:space="0" w:color="000000"/>
              <w:right w:val="nil"/>
            </w:tcBorders>
            <w:shd w:val="clear" w:color="auto" w:fill="F2F2F2" w:themeFill="background1" w:themeFillShade="F2"/>
            <w:vAlign w:val="center"/>
            <w:hideMark/>
          </w:tcPr>
          <w:p w:rsidR="001C26A9" w:rsidRPr="001C26A9" w:rsidRDefault="001C26A9">
            <w:pPr>
              <w:rPr>
                <w:rFonts w:ascii="楷体" w:eastAsia="楷体" w:hAnsi="楷体"/>
                <w:color w:val="000000"/>
                <w:sz w:val="16"/>
                <w:szCs w:val="16"/>
              </w:rPr>
            </w:pPr>
            <w:r w:rsidRPr="001C26A9">
              <w:rPr>
                <w:rFonts w:ascii="楷体" w:eastAsia="楷体" w:hAnsi="楷体" w:hint="eastAsia"/>
                <w:color w:val="000000"/>
                <w:sz w:val="16"/>
                <w:szCs w:val="16"/>
              </w:rPr>
              <w:t>富国中证智能汽车</w:t>
            </w:r>
          </w:p>
        </w:tc>
        <w:tc>
          <w:tcPr>
            <w:tcW w:w="743" w:type="dxa"/>
            <w:tcBorders>
              <w:top w:val="nil"/>
              <w:left w:val="nil"/>
              <w:bottom w:val="single" w:sz="8" w:space="0" w:color="000000"/>
              <w:right w:val="nil"/>
            </w:tcBorders>
            <w:shd w:val="clear" w:color="auto" w:fill="F2F2F2" w:themeFill="background1" w:themeFillShade="F2"/>
            <w:vAlign w:val="center"/>
            <w:hideMark/>
          </w:tcPr>
          <w:p w:rsidR="001C26A9" w:rsidRPr="001C26A9" w:rsidRDefault="001C26A9">
            <w:pPr>
              <w:jc w:val="right"/>
              <w:rPr>
                <w:rFonts w:ascii="楷体" w:eastAsia="楷体" w:hAnsi="楷体"/>
                <w:color w:val="000000"/>
                <w:sz w:val="16"/>
                <w:szCs w:val="16"/>
              </w:rPr>
            </w:pPr>
            <w:r w:rsidRPr="001C26A9">
              <w:rPr>
                <w:rFonts w:ascii="楷体" w:eastAsia="楷体" w:hAnsi="楷体" w:hint="eastAsia"/>
                <w:color w:val="000000"/>
                <w:sz w:val="16"/>
                <w:szCs w:val="16"/>
              </w:rPr>
              <w:t>2.73</w:t>
            </w:r>
          </w:p>
        </w:tc>
      </w:tr>
      <w:tr w:rsidR="001A072D" w:rsidRPr="0032491D" w:rsidTr="00FC519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1A072D" w:rsidRPr="0032491D" w:rsidRDefault="001A072D" w:rsidP="00FC519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混合偏股</w:t>
            </w:r>
            <w:proofErr w:type="gramEnd"/>
          </w:p>
        </w:tc>
        <w:tc>
          <w:tcPr>
            <w:tcW w:w="817" w:type="dxa"/>
            <w:tcBorders>
              <w:top w:val="nil"/>
              <w:left w:val="nil"/>
              <w:bottom w:val="nil"/>
              <w:right w:val="nil"/>
            </w:tcBorders>
            <w:shd w:val="clear" w:color="auto" w:fill="FFFFFF" w:themeFill="background1"/>
            <w:vAlign w:val="center"/>
            <w:hideMark/>
          </w:tcPr>
          <w:p w:rsidR="001A072D" w:rsidRPr="001A072D" w:rsidRDefault="001A072D">
            <w:pPr>
              <w:rPr>
                <w:rFonts w:ascii="楷体" w:eastAsia="楷体" w:hAnsi="楷体"/>
                <w:color w:val="000000"/>
                <w:sz w:val="16"/>
                <w:szCs w:val="16"/>
              </w:rPr>
            </w:pPr>
            <w:r>
              <w:rPr>
                <w:rFonts w:ascii="楷体" w:eastAsia="楷体" w:hAnsi="楷体" w:hint="eastAsia"/>
                <w:color w:val="000000"/>
                <w:sz w:val="16"/>
                <w:szCs w:val="16"/>
              </w:rPr>
              <w:t>210004.</w:t>
            </w:r>
          </w:p>
        </w:tc>
        <w:tc>
          <w:tcPr>
            <w:tcW w:w="1701" w:type="dxa"/>
            <w:tcBorders>
              <w:top w:val="nil"/>
              <w:left w:val="nil"/>
              <w:bottom w:val="nil"/>
              <w:right w:val="nil"/>
            </w:tcBorders>
            <w:shd w:val="clear" w:color="auto" w:fill="FFFFFF" w:themeFill="background1"/>
            <w:vAlign w:val="center"/>
            <w:hideMark/>
          </w:tcPr>
          <w:p w:rsidR="001A072D" w:rsidRPr="001A072D" w:rsidRDefault="001A072D">
            <w:pPr>
              <w:rPr>
                <w:rFonts w:ascii="楷体" w:eastAsia="楷体" w:hAnsi="楷体"/>
                <w:color w:val="000000"/>
                <w:sz w:val="16"/>
                <w:szCs w:val="16"/>
              </w:rPr>
            </w:pPr>
            <w:r w:rsidRPr="001A072D">
              <w:rPr>
                <w:rFonts w:ascii="楷体" w:eastAsia="楷体" w:hAnsi="楷体" w:hint="eastAsia"/>
                <w:color w:val="000000"/>
                <w:sz w:val="16"/>
                <w:szCs w:val="16"/>
              </w:rPr>
              <w:t>金鹰稳健成长</w:t>
            </w:r>
          </w:p>
        </w:tc>
        <w:tc>
          <w:tcPr>
            <w:tcW w:w="743" w:type="dxa"/>
            <w:tcBorders>
              <w:top w:val="nil"/>
              <w:left w:val="nil"/>
              <w:bottom w:val="nil"/>
              <w:right w:val="nil"/>
            </w:tcBorders>
            <w:shd w:val="clear" w:color="auto" w:fill="FFFFFF" w:themeFill="background1"/>
            <w:vAlign w:val="center"/>
            <w:hideMark/>
          </w:tcPr>
          <w:p w:rsidR="001A072D" w:rsidRPr="001A072D" w:rsidRDefault="001A072D">
            <w:pPr>
              <w:jc w:val="right"/>
              <w:rPr>
                <w:rFonts w:ascii="楷体" w:eastAsia="楷体" w:hAnsi="楷体"/>
                <w:color w:val="000000"/>
                <w:sz w:val="16"/>
                <w:szCs w:val="16"/>
              </w:rPr>
            </w:pPr>
            <w:r w:rsidRPr="001A072D">
              <w:rPr>
                <w:rFonts w:ascii="楷体" w:eastAsia="楷体" w:hAnsi="楷体" w:hint="eastAsia"/>
                <w:color w:val="000000"/>
                <w:sz w:val="16"/>
                <w:szCs w:val="16"/>
              </w:rPr>
              <w:t>3.58</w:t>
            </w:r>
          </w:p>
        </w:tc>
      </w:tr>
      <w:tr w:rsidR="001A072D" w:rsidRPr="0032491D" w:rsidTr="00FC5199">
        <w:trPr>
          <w:trHeight w:val="284"/>
        </w:trPr>
        <w:tc>
          <w:tcPr>
            <w:tcW w:w="709" w:type="dxa"/>
            <w:vMerge/>
            <w:tcBorders>
              <w:left w:val="nil"/>
              <w:right w:val="single" w:sz="8" w:space="0" w:color="000000"/>
            </w:tcBorders>
            <w:shd w:val="clear" w:color="auto" w:fill="FFFFFF" w:themeFill="background1"/>
            <w:vAlign w:val="center"/>
            <w:hideMark/>
          </w:tcPr>
          <w:p w:rsidR="001A072D" w:rsidRPr="0032491D" w:rsidRDefault="001A072D"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1A072D" w:rsidRPr="001A072D" w:rsidRDefault="001A072D">
            <w:pPr>
              <w:rPr>
                <w:rFonts w:ascii="楷体" w:eastAsia="楷体" w:hAnsi="楷体"/>
                <w:color w:val="000000"/>
                <w:sz w:val="16"/>
                <w:szCs w:val="16"/>
              </w:rPr>
            </w:pPr>
            <w:r>
              <w:rPr>
                <w:rFonts w:ascii="楷体" w:eastAsia="楷体" w:hAnsi="楷体" w:hint="eastAsia"/>
                <w:color w:val="000000"/>
                <w:sz w:val="16"/>
                <w:szCs w:val="16"/>
              </w:rPr>
              <w:t>450004.</w:t>
            </w:r>
          </w:p>
        </w:tc>
        <w:tc>
          <w:tcPr>
            <w:tcW w:w="1701" w:type="dxa"/>
            <w:tcBorders>
              <w:top w:val="nil"/>
              <w:left w:val="nil"/>
              <w:bottom w:val="nil"/>
              <w:right w:val="nil"/>
            </w:tcBorders>
            <w:shd w:val="clear" w:color="auto" w:fill="FFFFFF" w:themeFill="background1"/>
            <w:vAlign w:val="center"/>
            <w:hideMark/>
          </w:tcPr>
          <w:p w:rsidR="001A072D" w:rsidRPr="001A072D" w:rsidRDefault="001A072D">
            <w:pPr>
              <w:rPr>
                <w:rFonts w:ascii="楷体" w:eastAsia="楷体" w:hAnsi="楷体"/>
                <w:color w:val="000000"/>
                <w:sz w:val="16"/>
                <w:szCs w:val="16"/>
              </w:rPr>
            </w:pPr>
            <w:r w:rsidRPr="001A072D">
              <w:rPr>
                <w:rFonts w:ascii="楷体" w:eastAsia="楷体" w:hAnsi="楷体" w:hint="eastAsia"/>
                <w:color w:val="000000"/>
                <w:sz w:val="16"/>
                <w:szCs w:val="16"/>
              </w:rPr>
              <w:t>国富深化价值</w:t>
            </w:r>
          </w:p>
        </w:tc>
        <w:tc>
          <w:tcPr>
            <w:tcW w:w="743" w:type="dxa"/>
            <w:tcBorders>
              <w:top w:val="nil"/>
              <w:left w:val="nil"/>
              <w:bottom w:val="nil"/>
              <w:right w:val="nil"/>
            </w:tcBorders>
            <w:shd w:val="clear" w:color="auto" w:fill="FFFFFF" w:themeFill="background1"/>
            <w:vAlign w:val="center"/>
            <w:hideMark/>
          </w:tcPr>
          <w:p w:rsidR="001A072D" w:rsidRPr="001A072D" w:rsidRDefault="001A072D">
            <w:pPr>
              <w:jc w:val="right"/>
              <w:rPr>
                <w:rFonts w:ascii="楷体" w:eastAsia="楷体" w:hAnsi="楷体"/>
                <w:color w:val="000000"/>
                <w:sz w:val="16"/>
                <w:szCs w:val="16"/>
              </w:rPr>
            </w:pPr>
            <w:r w:rsidRPr="001A072D">
              <w:rPr>
                <w:rFonts w:ascii="楷体" w:eastAsia="楷体" w:hAnsi="楷体" w:hint="eastAsia"/>
                <w:color w:val="000000"/>
                <w:sz w:val="16"/>
                <w:szCs w:val="16"/>
              </w:rPr>
              <w:t>3.31</w:t>
            </w:r>
          </w:p>
        </w:tc>
      </w:tr>
      <w:tr w:rsidR="001A072D" w:rsidRPr="0032491D" w:rsidTr="00FC5199">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1A072D" w:rsidRPr="0032491D" w:rsidRDefault="001A072D"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1A072D" w:rsidRPr="001A072D" w:rsidRDefault="001A072D">
            <w:pPr>
              <w:rPr>
                <w:rFonts w:ascii="楷体" w:eastAsia="楷体" w:hAnsi="楷体"/>
                <w:color w:val="000000"/>
                <w:sz w:val="16"/>
                <w:szCs w:val="16"/>
              </w:rPr>
            </w:pPr>
            <w:r>
              <w:rPr>
                <w:rFonts w:ascii="楷体" w:eastAsia="楷体" w:hAnsi="楷体" w:hint="eastAsia"/>
                <w:color w:val="000000"/>
                <w:sz w:val="16"/>
                <w:szCs w:val="16"/>
              </w:rPr>
              <w:t>080015.</w:t>
            </w:r>
          </w:p>
        </w:tc>
        <w:tc>
          <w:tcPr>
            <w:tcW w:w="1701" w:type="dxa"/>
            <w:tcBorders>
              <w:top w:val="nil"/>
              <w:left w:val="nil"/>
              <w:bottom w:val="single" w:sz="8" w:space="0" w:color="000000"/>
              <w:right w:val="nil"/>
            </w:tcBorders>
            <w:shd w:val="clear" w:color="auto" w:fill="FFFFFF" w:themeFill="background1"/>
            <w:vAlign w:val="center"/>
            <w:hideMark/>
          </w:tcPr>
          <w:p w:rsidR="001A072D" w:rsidRPr="001A072D" w:rsidRDefault="001A072D">
            <w:pPr>
              <w:rPr>
                <w:rFonts w:ascii="楷体" w:eastAsia="楷体" w:hAnsi="楷体"/>
                <w:color w:val="000000"/>
                <w:sz w:val="16"/>
                <w:szCs w:val="16"/>
              </w:rPr>
            </w:pPr>
            <w:r w:rsidRPr="001A072D">
              <w:rPr>
                <w:rFonts w:ascii="楷体" w:eastAsia="楷体" w:hAnsi="楷体" w:hint="eastAsia"/>
                <w:color w:val="000000"/>
                <w:sz w:val="16"/>
                <w:szCs w:val="16"/>
              </w:rPr>
              <w:t>长盛中小盘精选</w:t>
            </w:r>
          </w:p>
        </w:tc>
        <w:tc>
          <w:tcPr>
            <w:tcW w:w="743" w:type="dxa"/>
            <w:tcBorders>
              <w:top w:val="nil"/>
              <w:left w:val="nil"/>
              <w:bottom w:val="single" w:sz="8" w:space="0" w:color="000000"/>
              <w:right w:val="nil"/>
            </w:tcBorders>
            <w:shd w:val="clear" w:color="auto" w:fill="FFFFFF" w:themeFill="background1"/>
            <w:vAlign w:val="center"/>
            <w:hideMark/>
          </w:tcPr>
          <w:p w:rsidR="001A072D" w:rsidRPr="001A072D" w:rsidRDefault="001A072D">
            <w:pPr>
              <w:jc w:val="right"/>
              <w:rPr>
                <w:rFonts w:ascii="楷体" w:eastAsia="楷体" w:hAnsi="楷体"/>
                <w:color w:val="000000"/>
                <w:sz w:val="16"/>
                <w:szCs w:val="16"/>
              </w:rPr>
            </w:pPr>
            <w:r w:rsidRPr="001A072D">
              <w:rPr>
                <w:rFonts w:ascii="楷体" w:eastAsia="楷体" w:hAnsi="楷体" w:hint="eastAsia"/>
                <w:color w:val="000000"/>
                <w:sz w:val="16"/>
                <w:szCs w:val="16"/>
              </w:rPr>
              <w:t>3.29</w:t>
            </w:r>
          </w:p>
        </w:tc>
      </w:tr>
      <w:tr w:rsidR="001A072D" w:rsidRPr="0032491D" w:rsidTr="00FC5199">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1A072D" w:rsidRPr="0032491D" w:rsidRDefault="001A072D" w:rsidP="00FC519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混合偏债</w:t>
            </w:r>
            <w:proofErr w:type="gramEnd"/>
          </w:p>
        </w:tc>
        <w:tc>
          <w:tcPr>
            <w:tcW w:w="817" w:type="dxa"/>
            <w:tcBorders>
              <w:top w:val="nil"/>
              <w:left w:val="nil"/>
              <w:bottom w:val="nil"/>
              <w:right w:val="nil"/>
            </w:tcBorders>
            <w:shd w:val="clear" w:color="auto" w:fill="F2F2F2" w:themeFill="background1" w:themeFillShade="F2"/>
            <w:vAlign w:val="center"/>
            <w:hideMark/>
          </w:tcPr>
          <w:p w:rsidR="001A072D" w:rsidRPr="001A072D" w:rsidRDefault="001A072D">
            <w:pPr>
              <w:rPr>
                <w:rFonts w:ascii="楷体" w:eastAsia="楷体" w:hAnsi="楷体"/>
                <w:color w:val="000000"/>
                <w:sz w:val="16"/>
                <w:szCs w:val="16"/>
              </w:rPr>
            </w:pPr>
            <w:r>
              <w:rPr>
                <w:rFonts w:ascii="楷体" w:eastAsia="楷体" w:hAnsi="楷体" w:hint="eastAsia"/>
                <w:color w:val="000000"/>
                <w:sz w:val="16"/>
                <w:szCs w:val="16"/>
              </w:rPr>
              <w:t>001317.</w:t>
            </w:r>
          </w:p>
        </w:tc>
        <w:tc>
          <w:tcPr>
            <w:tcW w:w="1701" w:type="dxa"/>
            <w:tcBorders>
              <w:top w:val="nil"/>
              <w:left w:val="nil"/>
              <w:bottom w:val="nil"/>
              <w:right w:val="nil"/>
            </w:tcBorders>
            <w:shd w:val="clear" w:color="auto" w:fill="F2F2F2" w:themeFill="background1" w:themeFillShade="F2"/>
            <w:vAlign w:val="center"/>
            <w:hideMark/>
          </w:tcPr>
          <w:p w:rsidR="001A072D" w:rsidRPr="001A072D" w:rsidRDefault="001A072D">
            <w:pPr>
              <w:rPr>
                <w:rFonts w:ascii="楷体" w:eastAsia="楷体" w:hAnsi="楷体"/>
                <w:color w:val="000000"/>
                <w:sz w:val="16"/>
                <w:szCs w:val="16"/>
              </w:rPr>
            </w:pPr>
            <w:r w:rsidRPr="001A072D">
              <w:rPr>
                <w:rFonts w:ascii="楷体" w:eastAsia="楷体" w:hAnsi="楷体" w:hint="eastAsia"/>
                <w:color w:val="000000"/>
                <w:sz w:val="16"/>
                <w:szCs w:val="16"/>
              </w:rPr>
              <w:t>东方赢家保本</w:t>
            </w:r>
          </w:p>
        </w:tc>
        <w:tc>
          <w:tcPr>
            <w:tcW w:w="743" w:type="dxa"/>
            <w:tcBorders>
              <w:top w:val="nil"/>
              <w:left w:val="nil"/>
              <w:bottom w:val="nil"/>
              <w:right w:val="nil"/>
            </w:tcBorders>
            <w:shd w:val="clear" w:color="auto" w:fill="F2F2F2" w:themeFill="background1" w:themeFillShade="F2"/>
            <w:vAlign w:val="center"/>
            <w:hideMark/>
          </w:tcPr>
          <w:p w:rsidR="001A072D" w:rsidRPr="001A072D" w:rsidRDefault="001A072D">
            <w:pPr>
              <w:jc w:val="right"/>
              <w:rPr>
                <w:rFonts w:ascii="楷体" w:eastAsia="楷体" w:hAnsi="楷体"/>
                <w:color w:val="000000"/>
                <w:sz w:val="16"/>
                <w:szCs w:val="16"/>
              </w:rPr>
            </w:pPr>
            <w:r w:rsidRPr="001A072D">
              <w:rPr>
                <w:rFonts w:ascii="楷体" w:eastAsia="楷体" w:hAnsi="楷体" w:hint="eastAsia"/>
                <w:color w:val="000000"/>
                <w:sz w:val="16"/>
                <w:szCs w:val="16"/>
              </w:rPr>
              <w:t>0.90</w:t>
            </w:r>
          </w:p>
        </w:tc>
      </w:tr>
      <w:tr w:rsidR="001A072D" w:rsidRPr="0032491D" w:rsidTr="00FE427A">
        <w:trPr>
          <w:trHeight w:val="284"/>
        </w:trPr>
        <w:tc>
          <w:tcPr>
            <w:tcW w:w="709" w:type="dxa"/>
            <w:vMerge/>
            <w:tcBorders>
              <w:left w:val="nil"/>
              <w:right w:val="single" w:sz="8" w:space="0" w:color="000000"/>
            </w:tcBorders>
            <w:shd w:val="clear" w:color="auto" w:fill="F2F2F2" w:themeFill="background1" w:themeFillShade="F2"/>
            <w:vAlign w:val="center"/>
            <w:hideMark/>
          </w:tcPr>
          <w:p w:rsidR="001A072D" w:rsidRPr="0032491D" w:rsidRDefault="001A072D"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2F2F2" w:themeFill="background1" w:themeFillShade="F2"/>
            <w:hideMark/>
          </w:tcPr>
          <w:p w:rsidR="001A072D" w:rsidRPr="001A072D" w:rsidRDefault="001A072D">
            <w:pPr>
              <w:rPr>
                <w:rFonts w:ascii="楷体" w:eastAsia="楷体" w:hAnsi="楷体"/>
                <w:color w:val="000000"/>
                <w:sz w:val="16"/>
                <w:szCs w:val="16"/>
              </w:rPr>
            </w:pPr>
            <w:r>
              <w:rPr>
                <w:rFonts w:ascii="楷体" w:eastAsia="楷体" w:hAnsi="楷体" w:hint="eastAsia"/>
                <w:color w:val="000000"/>
                <w:sz w:val="16"/>
                <w:szCs w:val="16"/>
              </w:rPr>
              <w:t>002480.</w:t>
            </w:r>
          </w:p>
        </w:tc>
        <w:tc>
          <w:tcPr>
            <w:tcW w:w="1701" w:type="dxa"/>
            <w:tcBorders>
              <w:top w:val="nil"/>
              <w:left w:val="nil"/>
              <w:bottom w:val="nil"/>
              <w:right w:val="nil"/>
            </w:tcBorders>
            <w:shd w:val="clear" w:color="auto" w:fill="F2F2F2" w:themeFill="background1" w:themeFillShade="F2"/>
            <w:hideMark/>
          </w:tcPr>
          <w:p w:rsidR="001A072D" w:rsidRPr="001A072D" w:rsidRDefault="001A072D">
            <w:pPr>
              <w:rPr>
                <w:rFonts w:ascii="楷体" w:eastAsia="楷体" w:hAnsi="楷体"/>
                <w:color w:val="000000"/>
                <w:sz w:val="16"/>
                <w:szCs w:val="16"/>
              </w:rPr>
            </w:pPr>
            <w:r w:rsidRPr="001A072D">
              <w:rPr>
                <w:rFonts w:ascii="楷体" w:eastAsia="楷体" w:hAnsi="楷体" w:hint="eastAsia"/>
                <w:color w:val="000000"/>
                <w:sz w:val="16"/>
                <w:szCs w:val="16"/>
              </w:rPr>
              <w:t>东方荣家保本</w:t>
            </w:r>
          </w:p>
        </w:tc>
        <w:tc>
          <w:tcPr>
            <w:tcW w:w="743" w:type="dxa"/>
            <w:tcBorders>
              <w:top w:val="nil"/>
              <w:left w:val="nil"/>
              <w:bottom w:val="nil"/>
              <w:right w:val="nil"/>
            </w:tcBorders>
            <w:shd w:val="clear" w:color="auto" w:fill="F2F2F2" w:themeFill="background1" w:themeFillShade="F2"/>
            <w:vAlign w:val="center"/>
            <w:hideMark/>
          </w:tcPr>
          <w:p w:rsidR="001A072D" w:rsidRPr="001A072D" w:rsidRDefault="001A072D">
            <w:pPr>
              <w:jc w:val="right"/>
              <w:rPr>
                <w:rFonts w:ascii="楷体" w:eastAsia="楷体" w:hAnsi="楷体"/>
                <w:color w:val="000000"/>
                <w:sz w:val="16"/>
                <w:szCs w:val="16"/>
              </w:rPr>
            </w:pPr>
            <w:r w:rsidRPr="001A072D">
              <w:rPr>
                <w:rFonts w:ascii="楷体" w:eastAsia="楷体" w:hAnsi="楷体" w:hint="eastAsia"/>
                <w:color w:val="000000"/>
                <w:sz w:val="16"/>
                <w:szCs w:val="16"/>
              </w:rPr>
              <w:t>0.59</w:t>
            </w:r>
          </w:p>
        </w:tc>
      </w:tr>
      <w:tr w:rsidR="001A072D" w:rsidRPr="0032491D" w:rsidTr="00FC5199">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1A072D" w:rsidRPr="0032491D" w:rsidRDefault="001A072D"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1A072D" w:rsidRPr="001A072D" w:rsidRDefault="001A072D">
            <w:pPr>
              <w:rPr>
                <w:rFonts w:ascii="楷体" w:eastAsia="楷体" w:hAnsi="楷体"/>
                <w:color w:val="000000"/>
                <w:sz w:val="16"/>
                <w:szCs w:val="16"/>
              </w:rPr>
            </w:pPr>
            <w:r>
              <w:rPr>
                <w:rFonts w:ascii="楷体" w:eastAsia="楷体" w:hAnsi="楷体" w:hint="eastAsia"/>
                <w:color w:val="000000"/>
                <w:sz w:val="16"/>
                <w:szCs w:val="16"/>
              </w:rPr>
              <w:t>020018.</w:t>
            </w:r>
          </w:p>
        </w:tc>
        <w:tc>
          <w:tcPr>
            <w:tcW w:w="1701" w:type="dxa"/>
            <w:tcBorders>
              <w:top w:val="nil"/>
              <w:left w:val="nil"/>
              <w:bottom w:val="single" w:sz="8" w:space="0" w:color="000000"/>
              <w:right w:val="nil"/>
            </w:tcBorders>
            <w:shd w:val="clear" w:color="auto" w:fill="F2F2F2" w:themeFill="background1" w:themeFillShade="F2"/>
            <w:vAlign w:val="center"/>
            <w:hideMark/>
          </w:tcPr>
          <w:p w:rsidR="001A072D" w:rsidRPr="001A072D" w:rsidRDefault="001A072D">
            <w:pPr>
              <w:rPr>
                <w:rFonts w:ascii="楷体" w:eastAsia="楷体" w:hAnsi="楷体"/>
                <w:color w:val="000000"/>
                <w:sz w:val="16"/>
                <w:szCs w:val="16"/>
              </w:rPr>
            </w:pPr>
            <w:r w:rsidRPr="001A072D">
              <w:rPr>
                <w:rFonts w:ascii="楷体" w:eastAsia="楷体" w:hAnsi="楷体" w:hint="eastAsia"/>
                <w:color w:val="000000"/>
                <w:sz w:val="16"/>
                <w:szCs w:val="16"/>
              </w:rPr>
              <w:t>国泰金鹿保本五期</w:t>
            </w:r>
          </w:p>
        </w:tc>
        <w:tc>
          <w:tcPr>
            <w:tcW w:w="743" w:type="dxa"/>
            <w:tcBorders>
              <w:top w:val="nil"/>
              <w:left w:val="nil"/>
              <w:bottom w:val="single" w:sz="8" w:space="0" w:color="000000"/>
              <w:right w:val="nil"/>
            </w:tcBorders>
            <w:shd w:val="clear" w:color="auto" w:fill="F2F2F2" w:themeFill="background1" w:themeFillShade="F2"/>
            <w:vAlign w:val="center"/>
            <w:hideMark/>
          </w:tcPr>
          <w:p w:rsidR="001A072D" w:rsidRPr="001A072D" w:rsidRDefault="001A072D">
            <w:pPr>
              <w:jc w:val="right"/>
              <w:rPr>
                <w:rFonts w:ascii="楷体" w:eastAsia="楷体" w:hAnsi="楷体"/>
                <w:color w:val="000000"/>
                <w:sz w:val="16"/>
                <w:szCs w:val="16"/>
              </w:rPr>
            </w:pPr>
            <w:r w:rsidRPr="001A072D">
              <w:rPr>
                <w:rFonts w:ascii="楷体" w:eastAsia="楷体" w:hAnsi="楷体" w:hint="eastAsia"/>
                <w:color w:val="000000"/>
                <w:sz w:val="16"/>
                <w:szCs w:val="16"/>
              </w:rPr>
              <w:t>0.57</w:t>
            </w:r>
          </w:p>
        </w:tc>
      </w:tr>
      <w:tr w:rsidR="001A072D" w:rsidRPr="0032491D" w:rsidTr="00FC519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1A072D" w:rsidRPr="0032491D" w:rsidRDefault="001A072D" w:rsidP="00FC519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混合灵活</w:t>
            </w:r>
          </w:p>
        </w:tc>
        <w:tc>
          <w:tcPr>
            <w:tcW w:w="817" w:type="dxa"/>
            <w:tcBorders>
              <w:top w:val="nil"/>
              <w:left w:val="nil"/>
              <w:bottom w:val="nil"/>
              <w:right w:val="nil"/>
            </w:tcBorders>
            <w:shd w:val="clear" w:color="auto" w:fill="FFFFFF" w:themeFill="background1"/>
            <w:vAlign w:val="center"/>
            <w:hideMark/>
          </w:tcPr>
          <w:p w:rsidR="001A072D" w:rsidRPr="001A072D" w:rsidRDefault="001A072D">
            <w:pPr>
              <w:rPr>
                <w:rFonts w:ascii="楷体" w:eastAsia="楷体" w:hAnsi="楷体"/>
                <w:color w:val="000000"/>
                <w:sz w:val="16"/>
                <w:szCs w:val="16"/>
              </w:rPr>
            </w:pPr>
            <w:r>
              <w:rPr>
                <w:rFonts w:ascii="楷体" w:eastAsia="楷体" w:hAnsi="楷体" w:hint="eastAsia"/>
                <w:color w:val="000000"/>
                <w:sz w:val="16"/>
                <w:szCs w:val="16"/>
              </w:rPr>
              <w:t>000886.</w:t>
            </w:r>
          </w:p>
        </w:tc>
        <w:tc>
          <w:tcPr>
            <w:tcW w:w="1701" w:type="dxa"/>
            <w:tcBorders>
              <w:top w:val="nil"/>
              <w:left w:val="nil"/>
              <w:bottom w:val="nil"/>
              <w:right w:val="nil"/>
            </w:tcBorders>
            <w:shd w:val="clear" w:color="auto" w:fill="FFFFFF" w:themeFill="background1"/>
            <w:vAlign w:val="center"/>
            <w:hideMark/>
          </w:tcPr>
          <w:p w:rsidR="001A072D" w:rsidRPr="001A072D" w:rsidRDefault="001A072D">
            <w:pPr>
              <w:rPr>
                <w:rFonts w:ascii="楷体" w:eastAsia="楷体" w:hAnsi="楷体"/>
                <w:color w:val="000000"/>
                <w:sz w:val="16"/>
                <w:szCs w:val="16"/>
              </w:rPr>
            </w:pPr>
            <w:r w:rsidRPr="001A072D">
              <w:rPr>
                <w:rFonts w:ascii="楷体" w:eastAsia="楷体" w:hAnsi="楷体" w:hint="eastAsia"/>
                <w:color w:val="000000"/>
                <w:sz w:val="16"/>
                <w:szCs w:val="16"/>
              </w:rPr>
              <w:t>北信瑞丰无限互联主题</w:t>
            </w:r>
          </w:p>
        </w:tc>
        <w:tc>
          <w:tcPr>
            <w:tcW w:w="743" w:type="dxa"/>
            <w:tcBorders>
              <w:top w:val="nil"/>
              <w:left w:val="nil"/>
              <w:bottom w:val="nil"/>
              <w:right w:val="nil"/>
            </w:tcBorders>
            <w:shd w:val="clear" w:color="auto" w:fill="FFFFFF" w:themeFill="background1"/>
            <w:vAlign w:val="center"/>
            <w:hideMark/>
          </w:tcPr>
          <w:p w:rsidR="001A072D" w:rsidRPr="001A072D" w:rsidRDefault="001A072D">
            <w:pPr>
              <w:jc w:val="right"/>
              <w:rPr>
                <w:rFonts w:ascii="楷体" w:eastAsia="楷体" w:hAnsi="楷体"/>
                <w:color w:val="000000"/>
                <w:sz w:val="16"/>
                <w:szCs w:val="16"/>
              </w:rPr>
            </w:pPr>
            <w:r w:rsidRPr="001A072D">
              <w:rPr>
                <w:rFonts w:ascii="楷体" w:eastAsia="楷体" w:hAnsi="楷体" w:hint="eastAsia"/>
                <w:color w:val="000000"/>
                <w:sz w:val="16"/>
                <w:szCs w:val="16"/>
              </w:rPr>
              <w:t>6.97</w:t>
            </w:r>
          </w:p>
        </w:tc>
      </w:tr>
      <w:tr w:rsidR="001A072D" w:rsidRPr="0032491D" w:rsidTr="00FC5199">
        <w:trPr>
          <w:trHeight w:val="284"/>
        </w:trPr>
        <w:tc>
          <w:tcPr>
            <w:tcW w:w="709" w:type="dxa"/>
            <w:vMerge/>
            <w:tcBorders>
              <w:left w:val="nil"/>
              <w:right w:val="single" w:sz="8" w:space="0" w:color="000000"/>
            </w:tcBorders>
            <w:shd w:val="clear" w:color="auto" w:fill="FFFFFF" w:themeFill="background1"/>
            <w:vAlign w:val="center"/>
            <w:hideMark/>
          </w:tcPr>
          <w:p w:rsidR="001A072D" w:rsidRPr="0032491D" w:rsidRDefault="001A072D"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1A072D" w:rsidRPr="001A072D" w:rsidRDefault="001A072D">
            <w:pPr>
              <w:rPr>
                <w:rFonts w:ascii="楷体" w:eastAsia="楷体" w:hAnsi="楷体"/>
                <w:color w:val="000000"/>
                <w:sz w:val="16"/>
                <w:szCs w:val="16"/>
              </w:rPr>
            </w:pPr>
            <w:r>
              <w:rPr>
                <w:rFonts w:ascii="楷体" w:eastAsia="楷体" w:hAnsi="楷体" w:hint="eastAsia"/>
                <w:color w:val="000000"/>
                <w:sz w:val="16"/>
                <w:szCs w:val="16"/>
              </w:rPr>
              <w:t>001479</w:t>
            </w:r>
          </w:p>
        </w:tc>
        <w:tc>
          <w:tcPr>
            <w:tcW w:w="1701" w:type="dxa"/>
            <w:tcBorders>
              <w:top w:val="nil"/>
              <w:left w:val="nil"/>
              <w:bottom w:val="nil"/>
              <w:right w:val="nil"/>
            </w:tcBorders>
            <w:shd w:val="clear" w:color="auto" w:fill="FFFFFF" w:themeFill="background1"/>
            <w:vAlign w:val="center"/>
            <w:hideMark/>
          </w:tcPr>
          <w:p w:rsidR="001A072D" w:rsidRPr="001A072D" w:rsidRDefault="001A072D">
            <w:pPr>
              <w:rPr>
                <w:rFonts w:ascii="楷体" w:eastAsia="楷体" w:hAnsi="楷体"/>
                <w:color w:val="000000"/>
                <w:sz w:val="16"/>
                <w:szCs w:val="16"/>
              </w:rPr>
            </w:pPr>
            <w:r w:rsidRPr="001A072D">
              <w:rPr>
                <w:rFonts w:ascii="楷体" w:eastAsia="楷体" w:hAnsi="楷体" w:hint="eastAsia"/>
                <w:color w:val="000000"/>
                <w:sz w:val="16"/>
                <w:szCs w:val="16"/>
              </w:rPr>
              <w:t>中</w:t>
            </w:r>
            <w:proofErr w:type="gramStart"/>
            <w:r w:rsidRPr="001A072D">
              <w:rPr>
                <w:rFonts w:ascii="楷体" w:eastAsia="楷体" w:hAnsi="楷体" w:hint="eastAsia"/>
                <w:color w:val="000000"/>
                <w:sz w:val="16"/>
                <w:szCs w:val="16"/>
              </w:rPr>
              <w:t>邮风格轮</w:t>
            </w:r>
            <w:proofErr w:type="gramEnd"/>
            <w:r w:rsidRPr="001A072D">
              <w:rPr>
                <w:rFonts w:ascii="楷体" w:eastAsia="楷体" w:hAnsi="楷体" w:hint="eastAsia"/>
                <w:color w:val="000000"/>
                <w:sz w:val="16"/>
                <w:szCs w:val="16"/>
              </w:rPr>
              <w:t>动</w:t>
            </w:r>
          </w:p>
        </w:tc>
        <w:tc>
          <w:tcPr>
            <w:tcW w:w="743" w:type="dxa"/>
            <w:tcBorders>
              <w:top w:val="nil"/>
              <w:left w:val="nil"/>
              <w:bottom w:val="nil"/>
              <w:right w:val="nil"/>
            </w:tcBorders>
            <w:shd w:val="clear" w:color="auto" w:fill="FFFFFF" w:themeFill="background1"/>
            <w:vAlign w:val="center"/>
            <w:hideMark/>
          </w:tcPr>
          <w:p w:rsidR="001A072D" w:rsidRPr="001A072D" w:rsidRDefault="001A072D">
            <w:pPr>
              <w:jc w:val="right"/>
              <w:rPr>
                <w:rFonts w:ascii="楷体" w:eastAsia="楷体" w:hAnsi="楷体"/>
                <w:color w:val="000000"/>
                <w:sz w:val="16"/>
                <w:szCs w:val="16"/>
              </w:rPr>
            </w:pPr>
            <w:r w:rsidRPr="001A072D">
              <w:rPr>
                <w:rFonts w:ascii="楷体" w:eastAsia="楷体" w:hAnsi="楷体" w:hint="eastAsia"/>
                <w:color w:val="000000"/>
                <w:sz w:val="16"/>
                <w:szCs w:val="16"/>
              </w:rPr>
              <w:t>5.57</w:t>
            </w:r>
          </w:p>
        </w:tc>
      </w:tr>
      <w:tr w:rsidR="001A072D" w:rsidRPr="0032491D" w:rsidTr="00FC5199">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1A072D" w:rsidRPr="0032491D" w:rsidRDefault="001A072D"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1A072D" w:rsidRPr="001A072D" w:rsidRDefault="001A072D">
            <w:pPr>
              <w:rPr>
                <w:rFonts w:ascii="楷体" w:eastAsia="楷体" w:hAnsi="楷体"/>
                <w:color w:val="000000"/>
                <w:sz w:val="16"/>
                <w:szCs w:val="16"/>
              </w:rPr>
            </w:pPr>
            <w:r>
              <w:rPr>
                <w:rFonts w:ascii="楷体" w:eastAsia="楷体" w:hAnsi="楷体" w:hint="eastAsia"/>
                <w:color w:val="000000"/>
                <w:sz w:val="16"/>
                <w:szCs w:val="16"/>
              </w:rPr>
              <w:t>000520.</w:t>
            </w:r>
          </w:p>
        </w:tc>
        <w:tc>
          <w:tcPr>
            <w:tcW w:w="1701" w:type="dxa"/>
            <w:tcBorders>
              <w:top w:val="nil"/>
              <w:left w:val="nil"/>
              <w:bottom w:val="single" w:sz="8" w:space="0" w:color="000000"/>
              <w:right w:val="nil"/>
            </w:tcBorders>
            <w:shd w:val="clear" w:color="auto" w:fill="FFFFFF" w:themeFill="background1"/>
            <w:vAlign w:val="center"/>
            <w:hideMark/>
          </w:tcPr>
          <w:p w:rsidR="001A072D" w:rsidRPr="001A072D" w:rsidRDefault="001A072D">
            <w:pPr>
              <w:rPr>
                <w:rFonts w:ascii="楷体" w:eastAsia="楷体" w:hAnsi="楷体"/>
                <w:color w:val="000000"/>
                <w:sz w:val="16"/>
                <w:szCs w:val="16"/>
              </w:rPr>
            </w:pPr>
            <w:r w:rsidRPr="001A072D">
              <w:rPr>
                <w:rFonts w:ascii="楷体" w:eastAsia="楷体" w:hAnsi="楷体" w:hint="eastAsia"/>
                <w:color w:val="000000"/>
                <w:sz w:val="16"/>
                <w:szCs w:val="16"/>
              </w:rPr>
              <w:t>上银新兴价值成长</w:t>
            </w:r>
          </w:p>
        </w:tc>
        <w:tc>
          <w:tcPr>
            <w:tcW w:w="743" w:type="dxa"/>
            <w:tcBorders>
              <w:top w:val="nil"/>
              <w:left w:val="nil"/>
              <w:bottom w:val="single" w:sz="8" w:space="0" w:color="000000"/>
              <w:right w:val="nil"/>
            </w:tcBorders>
            <w:shd w:val="clear" w:color="auto" w:fill="FFFFFF" w:themeFill="background1"/>
            <w:vAlign w:val="center"/>
            <w:hideMark/>
          </w:tcPr>
          <w:p w:rsidR="001A072D" w:rsidRPr="001A072D" w:rsidRDefault="001A072D">
            <w:pPr>
              <w:jc w:val="right"/>
              <w:rPr>
                <w:rFonts w:ascii="楷体" w:eastAsia="楷体" w:hAnsi="楷体"/>
                <w:color w:val="000000"/>
                <w:sz w:val="16"/>
                <w:szCs w:val="16"/>
              </w:rPr>
            </w:pPr>
            <w:r w:rsidRPr="001A072D">
              <w:rPr>
                <w:rFonts w:ascii="楷体" w:eastAsia="楷体" w:hAnsi="楷体" w:hint="eastAsia"/>
                <w:color w:val="000000"/>
                <w:sz w:val="16"/>
                <w:szCs w:val="16"/>
              </w:rPr>
              <w:t>4.44</w:t>
            </w:r>
          </w:p>
        </w:tc>
      </w:tr>
      <w:tr w:rsidR="001A072D" w:rsidRPr="0032491D" w:rsidTr="00FE427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1A072D" w:rsidRPr="0032491D" w:rsidRDefault="001A072D" w:rsidP="00FC519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混合平衡</w:t>
            </w:r>
          </w:p>
        </w:tc>
        <w:tc>
          <w:tcPr>
            <w:tcW w:w="817" w:type="dxa"/>
            <w:tcBorders>
              <w:top w:val="nil"/>
              <w:left w:val="nil"/>
              <w:bottom w:val="nil"/>
              <w:right w:val="nil"/>
            </w:tcBorders>
            <w:shd w:val="clear" w:color="auto" w:fill="F2F2F2" w:themeFill="background1" w:themeFillShade="F2"/>
            <w:vAlign w:val="center"/>
            <w:hideMark/>
          </w:tcPr>
          <w:p w:rsidR="001A072D" w:rsidRPr="001A072D" w:rsidRDefault="001A072D">
            <w:pPr>
              <w:rPr>
                <w:rFonts w:ascii="楷体" w:eastAsia="楷体" w:hAnsi="楷体"/>
                <w:color w:val="000000"/>
                <w:sz w:val="16"/>
                <w:szCs w:val="16"/>
              </w:rPr>
            </w:pPr>
            <w:r>
              <w:rPr>
                <w:rFonts w:ascii="楷体" w:eastAsia="楷体" w:hAnsi="楷体" w:hint="eastAsia"/>
                <w:color w:val="000000"/>
                <w:sz w:val="16"/>
                <w:szCs w:val="16"/>
              </w:rPr>
              <w:t>110001.</w:t>
            </w:r>
          </w:p>
        </w:tc>
        <w:tc>
          <w:tcPr>
            <w:tcW w:w="1701" w:type="dxa"/>
            <w:tcBorders>
              <w:top w:val="nil"/>
              <w:left w:val="nil"/>
              <w:bottom w:val="nil"/>
              <w:right w:val="nil"/>
            </w:tcBorders>
            <w:shd w:val="clear" w:color="auto" w:fill="F2F2F2" w:themeFill="background1" w:themeFillShade="F2"/>
            <w:vAlign w:val="center"/>
            <w:hideMark/>
          </w:tcPr>
          <w:p w:rsidR="001A072D" w:rsidRPr="001A072D" w:rsidRDefault="001A072D">
            <w:pPr>
              <w:rPr>
                <w:rFonts w:ascii="楷体" w:eastAsia="楷体" w:hAnsi="楷体"/>
                <w:color w:val="000000"/>
                <w:sz w:val="16"/>
                <w:szCs w:val="16"/>
              </w:rPr>
            </w:pPr>
            <w:r w:rsidRPr="001A072D">
              <w:rPr>
                <w:rFonts w:ascii="楷体" w:eastAsia="楷体" w:hAnsi="楷体" w:hint="eastAsia"/>
                <w:color w:val="000000"/>
                <w:sz w:val="16"/>
                <w:szCs w:val="16"/>
              </w:rPr>
              <w:t>易方达平稳增长</w:t>
            </w:r>
          </w:p>
        </w:tc>
        <w:tc>
          <w:tcPr>
            <w:tcW w:w="743" w:type="dxa"/>
            <w:tcBorders>
              <w:top w:val="nil"/>
              <w:left w:val="nil"/>
              <w:bottom w:val="nil"/>
              <w:right w:val="nil"/>
            </w:tcBorders>
            <w:shd w:val="clear" w:color="auto" w:fill="F2F2F2" w:themeFill="background1" w:themeFillShade="F2"/>
            <w:vAlign w:val="center"/>
            <w:hideMark/>
          </w:tcPr>
          <w:p w:rsidR="001A072D" w:rsidRPr="001A072D" w:rsidRDefault="001A072D">
            <w:pPr>
              <w:jc w:val="right"/>
              <w:rPr>
                <w:rFonts w:ascii="楷体" w:eastAsia="楷体" w:hAnsi="楷体"/>
                <w:color w:val="000000"/>
                <w:sz w:val="16"/>
                <w:szCs w:val="16"/>
              </w:rPr>
            </w:pPr>
            <w:r w:rsidRPr="001A072D">
              <w:rPr>
                <w:rFonts w:ascii="楷体" w:eastAsia="楷体" w:hAnsi="楷体" w:hint="eastAsia"/>
                <w:color w:val="000000"/>
                <w:sz w:val="16"/>
                <w:szCs w:val="16"/>
              </w:rPr>
              <w:t>2.04</w:t>
            </w:r>
          </w:p>
        </w:tc>
      </w:tr>
      <w:tr w:rsidR="001A072D" w:rsidRPr="0032491D" w:rsidTr="00FC5199">
        <w:trPr>
          <w:trHeight w:val="284"/>
        </w:trPr>
        <w:tc>
          <w:tcPr>
            <w:tcW w:w="709" w:type="dxa"/>
            <w:vMerge/>
            <w:tcBorders>
              <w:left w:val="nil"/>
              <w:right w:val="single" w:sz="8" w:space="0" w:color="000000"/>
            </w:tcBorders>
            <w:shd w:val="clear" w:color="auto" w:fill="F2F2F2" w:themeFill="background1" w:themeFillShade="F2"/>
            <w:vAlign w:val="center"/>
            <w:hideMark/>
          </w:tcPr>
          <w:p w:rsidR="001A072D" w:rsidRPr="0032491D" w:rsidRDefault="001A072D"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1A072D" w:rsidRPr="001A072D" w:rsidRDefault="001A072D">
            <w:pPr>
              <w:rPr>
                <w:rFonts w:ascii="楷体" w:eastAsia="楷体" w:hAnsi="楷体"/>
                <w:color w:val="000000"/>
                <w:sz w:val="16"/>
                <w:szCs w:val="16"/>
              </w:rPr>
            </w:pPr>
            <w:r>
              <w:rPr>
                <w:rFonts w:ascii="楷体" w:eastAsia="楷体" w:hAnsi="楷体" w:hint="eastAsia"/>
                <w:color w:val="000000"/>
                <w:sz w:val="16"/>
                <w:szCs w:val="16"/>
              </w:rPr>
              <w:t>270001.</w:t>
            </w:r>
          </w:p>
        </w:tc>
        <w:tc>
          <w:tcPr>
            <w:tcW w:w="1701" w:type="dxa"/>
            <w:tcBorders>
              <w:top w:val="nil"/>
              <w:left w:val="nil"/>
              <w:bottom w:val="nil"/>
              <w:right w:val="nil"/>
            </w:tcBorders>
            <w:shd w:val="clear" w:color="auto" w:fill="F2F2F2" w:themeFill="background1" w:themeFillShade="F2"/>
            <w:vAlign w:val="center"/>
            <w:hideMark/>
          </w:tcPr>
          <w:p w:rsidR="001A072D" w:rsidRPr="001A072D" w:rsidRDefault="001A072D">
            <w:pPr>
              <w:rPr>
                <w:rFonts w:ascii="楷体" w:eastAsia="楷体" w:hAnsi="楷体"/>
                <w:color w:val="000000"/>
                <w:sz w:val="16"/>
                <w:szCs w:val="16"/>
              </w:rPr>
            </w:pPr>
            <w:r w:rsidRPr="001A072D">
              <w:rPr>
                <w:rFonts w:ascii="楷体" w:eastAsia="楷体" w:hAnsi="楷体" w:hint="eastAsia"/>
                <w:color w:val="000000"/>
                <w:sz w:val="16"/>
                <w:szCs w:val="16"/>
              </w:rPr>
              <w:t>广</w:t>
            </w:r>
            <w:proofErr w:type="gramStart"/>
            <w:r w:rsidRPr="001A072D">
              <w:rPr>
                <w:rFonts w:ascii="楷体" w:eastAsia="楷体" w:hAnsi="楷体" w:hint="eastAsia"/>
                <w:color w:val="000000"/>
                <w:sz w:val="16"/>
                <w:szCs w:val="16"/>
              </w:rPr>
              <w:t>发聚富</w:t>
            </w:r>
            <w:proofErr w:type="gramEnd"/>
          </w:p>
        </w:tc>
        <w:tc>
          <w:tcPr>
            <w:tcW w:w="743" w:type="dxa"/>
            <w:tcBorders>
              <w:top w:val="nil"/>
              <w:left w:val="nil"/>
              <w:bottom w:val="nil"/>
              <w:right w:val="nil"/>
            </w:tcBorders>
            <w:shd w:val="clear" w:color="auto" w:fill="F2F2F2" w:themeFill="background1" w:themeFillShade="F2"/>
            <w:vAlign w:val="center"/>
            <w:hideMark/>
          </w:tcPr>
          <w:p w:rsidR="001A072D" w:rsidRPr="001A072D" w:rsidRDefault="001A072D">
            <w:pPr>
              <w:jc w:val="right"/>
              <w:rPr>
                <w:rFonts w:ascii="楷体" w:eastAsia="楷体" w:hAnsi="楷体"/>
                <w:color w:val="000000"/>
                <w:sz w:val="16"/>
                <w:szCs w:val="16"/>
              </w:rPr>
            </w:pPr>
            <w:r w:rsidRPr="001A072D">
              <w:rPr>
                <w:rFonts w:ascii="楷体" w:eastAsia="楷体" w:hAnsi="楷体" w:hint="eastAsia"/>
                <w:color w:val="000000"/>
                <w:sz w:val="16"/>
                <w:szCs w:val="16"/>
              </w:rPr>
              <w:t>2.00</w:t>
            </w:r>
          </w:p>
        </w:tc>
      </w:tr>
      <w:tr w:rsidR="001A072D" w:rsidRPr="0032491D" w:rsidTr="00FC5199">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1A072D" w:rsidRPr="0032491D" w:rsidRDefault="001A072D"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1A072D" w:rsidRPr="001A072D" w:rsidRDefault="001A072D">
            <w:pPr>
              <w:rPr>
                <w:rFonts w:ascii="楷体" w:eastAsia="楷体" w:hAnsi="楷体"/>
                <w:color w:val="000000"/>
                <w:sz w:val="16"/>
                <w:szCs w:val="16"/>
              </w:rPr>
            </w:pPr>
            <w:r>
              <w:rPr>
                <w:rFonts w:ascii="楷体" w:eastAsia="楷体" w:hAnsi="楷体" w:hint="eastAsia"/>
                <w:color w:val="000000"/>
                <w:sz w:val="16"/>
                <w:szCs w:val="16"/>
              </w:rPr>
              <w:t>519732.</w:t>
            </w:r>
          </w:p>
        </w:tc>
        <w:tc>
          <w:tcPr>
            <w:tcW w:w="1701" w:type="dxa"/>
            <w:tcBorders>
              <w:top w:val="nil"/>
              <w:left w:val="nil"/>
              <w:bottom w:val="single" w:sz="8" w:space="0" w:color="000000"/>
              <w:right w:val="nil"/>
            </w:tcBorders>
            <w:shd w:val="clear" w:color="auto" w:fill="F2F2F2" w:themeFill="background1" w:themeFillShade="F2"/>
            <w:vAlign w:val="center"/>
            <w:hideMark/>
          </w:tcPr>
          <w:p w:rsidR="001A072D" w:rsidRPr="001A072D" w:rsidRDefault="001A072D">
            <w:pPr>
              <w:rPr>
                <w:rFonts w:ascii="楷体" w:eastAsia="楷体" w:hAnsi="楷体"/>
                <w:color w:val="000000"/>
                <w:sz w:val="16"/>
                <w:szCs w:val="16"/>
              </w:rPr>
            </w:pPr>
            <w:r w:rsidRPr="001A072D">
              <w:rPr>
                <w:rFonts w:ascii="楷体" w:eastAsia="楷体" w:hAnsi="楷体" w:hint="eastAsia"/>
                <w:color w:val="000000"/>
                <w:sz w:val="16"/>
                <w:szCs w:val="16"/>
              </w:rPr>
              <w:t>交银定期支付双</w:t>
            </w:r>
            <w:proofErr w:type="gramStart"/>
            <w:r w:rsidRPr="001A072D">
              <w:rPr>
                <w:rFonts w:ascii="楷体" w:eastAsia="楷体" w:hAnsi="楷体" w:hint="eastAsia"/>
                <w:color w:val="000000"/>
                <w:sz w:val="16"/>
                <w:szCs w:val="16"/>
              </w:rPr>
              <w:t>息平衡</w:t>
            </w:r>
            <w:proofErr w:type="gramEnd"/>
          </w:p>
        </w:tc>
        <w:tc>
          <w:tcPr>
            <w:tcW w:w="743" w:type="dxa"/>
            <w:tcBorders>
              <w:top w:val="nil"/>
              <w:left w:val="nil"/>
              <w:bottom w:val="single" w:sz="8" w:space="0" w:color="000000"/>
              <w:right w:val="nil"/>
            </w:tcBorders>
            <w:shd w:val="clear" w:color="auto" w:fill="F2F2F2" w:themeFill="background1" w:themeFillShade="F2"/>
            <w:vAlign w:val="center"/>
            <w:hideMark/>
          </w:tcPr>
          <w:p w:rsidR="001A072D" w:rsidRPr="001A072D" w:rsidRDefault="001A072D">
            <w:pPr>
              <w:jc w:val="right"/>
              <w:rPr>
                <w:rFonts w:ascii="楷体" w:eastAsia="楷体" w:hAnsi="楷体"/>
                <w:color w:val="000000"/>
                <w:sz w:val="16"/>
                <w:szCs w:val="16"/>
              </w:rPr>
            </w:pPr>
            <w:r w:rsidRPr="001A072D">
              <w:rPr>
                <w:rFonts w:ascii="楷体" w:eastAsia="楷体" w:hAnsi="楷体" w:hint="eastAsia"/>
                <w:color w:val="000000"/>
                <w:sz w:val="16"/>
                <w:szCs w:val="16"/>
              </w:rPr>
              <w:t>1.54</w:t>
            </w:r>
          </w:p>
        </w:tc>
      </w:tr>
      <w:tr w:rsidR="00B0146A" w:rsidRPr="0032491D" w:rsidTr="00FE427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B0146A" w:rsidRPr="0032491D" w:rsidRDefault="00B0146A" w:rsidP="00FC519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纯债基金</w:t>
            </w:r>
            <w:proofErr w:type="gramEnd"/>
          </w:p>
        </w:tc>
        <w:tc>
          <w:tcPr>
            <w:tcW w:w="817" w:type="dxa"/>
            <w:tcBorders>
              <w:top w:val="nil"/>
              <w:left w:val="nil"/>
              <w:bottom w:val="nil"/>
              <w:right w:val="nil"/>
            </w:tcBorders>
            <w:shd w:val="clear" w:color="auto" w:fill="FFFFFF" w:themeFill="background1"/>
            <w:vAlign w:val="center"/>
            <w:hideMark/>
          </w:tcPr>
          <w:p w:rsidR="00B0146A" w:rsidRPr="00B0146A" w:rsidRDefault="00B0146A">
            <w:pPr>
              <w:rPr>
                <w:rFonts w:ascii="楷体" w:eastAsia="楷体" w:hAnsi="楷体"/>
                <w:color w:val="000000"/>
                <w:sz w:val="16"/>
                <w:szCs w:val="16"/>
              </w:rPr>
            </w:pPr>
            <w:r>
              <w:rPr>
                <w:rFonts w:ascii="楷体" w:eastAsia="楷体" w:hAnsi="楷体" w:hint="eastAsia"/>
                <w:color w:val="000000"/>
                <w:sz w:val="16"/>
                <w:szCs w:val="16"/>
              </w:rPr>
              <w:t>161827.</w:t>
            </w:r>
          </w:p>
        </w:tc>
        <w:tc>
          <w:tcPr>
            <w:tcW w:w="1701" w:type="dxa"/>
            <w:tcBorders>
              <w:top w:val="nil"/>
              <w:left w:val="nil"/>
              <w:bottom w:val="nil"/>
              <w:right w:val="nil"/>
            </w:tcBorders>
            <w:shd w:val="clear" w:color="auto" w:fill="FFFFFF" w:themeFill="background1"/>
            <w:vAlign w:val="center"/>
            <w:hideMark/>
          </w:tcPr>
          <w:p w:rsidR="00B0146A" w:rsidRPr="00B0146A" w:rsidRDefault="00B0146A">
            <w:pPr>
              <w:rPr>
                <w:rFonts w:ascii="楷体" w:eastAsia="楷体" w:hAnsi="楷体"/>
                <w:color w:val="000000"/>
                <w:sz w:val="16"/>
                <w:szCs w:val="16"/>
              </w:rPr>
            </w:pPr>
            <w:proofErr w:type="gramStart"/>
            <w:r w:rsidRPr="00B0146A">
              <w:rPr>
                <w:rFonts w:ascii="楷体" w:eastAsia="楷体" w:hAnsi="楷体" w:hint="eastAsia"/>
                <w:color w:val="000000"/>
                <w:sz w:val="16"/>
                <w:szCs w:val="16"/>
              </w:rPr>
              <w:t>银华永益</w:t>
            </w:r>
            <w:proofErr w:type="gramEnd"/>
            <w:r w:rsidRPr="00B0146A">
              <w:rPr>
                <w:rFonts w:ascii="楷体" w:eastAsia="楷体" w:hAnsi="楷体" w:hint="eastAsia"/>
                <w:color w:val="000000"/>
                <w:sz w:val="16"/>
                <w:szCs w:val="16"/>
              </w:rPr>
              <w:t>分级</w:t>
            </w:r>
          </w:p>
        </w:tc>
        <w:tc>
          <w:tcPr>
            <w:tcW w:w="743" w:type="dxa"/>
            <w:tcBorders>
              <w:top w:val="nil"/>
              <w:left w:val="nil"/>
              <w:bottom w:val="nil"/>
              <w:right w:val="nil"/>
            </w:tcBorders>
            <w:shd w:val="clear" w:color="auto" w:fill="FFFFFF" w:themeFill="background1"/>
            <w:vAlign w:val="center"/>
            <w:hideMark/>
          </w:tcPr>
          <w:p w:rsidR="00B0146A" w:rsidRPr="00B0146A" w:rsidRDefault="00B0146A">
            <w:pPr>
              <w:jc w:val="right"/>
              <w:rPr>
                <w:rFonts w:ascii="楷体" w:eastAsia="楷体" w:hAnsi="楷体"/>
                <w:color w:val="000000"/>
                <w:sz w:val="16"/>
                <w:szCs w:val="16"/>
              </w:rPr>
            </w:pPr>
            <w:r w:rsidRPr="00B0146A">
              <w:rPr>
                <w:rFonts w:ascii="楷体" w:eastAsia="楷体" w:hAnsi="楷体" w:hint="eastAsia"/>
                <w:color w:val="000000"/>
                <w:sz w:val="16"/>
                <w:szCs w:val="16"/>
              </w:rPr>
              <w:t>1.90</w:t>
            </w:r>
          </w:p>
        </w:tc>
      </w:tr>
      <w:tr w:rsidR="00B0146A" w:rsidRPr="0032491D" w:rsidTr="00FC5199">
        <w:trPr>
          <w:trHeight w:val="284"/>
        </w:trPr>
        <w:tc>
          <w:tcPr>
            <w:tcW w:w="709" w:type="dxa"/>
            <w:vMerge/>
            <w:tcBorders>
              <w:left w:val="nil"/>
              <w:right w:val="single" w:sz="8" w:space="0" w:color="000000"/>
            </w:tcBorders>
            <w:shd w:val="clear" w:color="auto" w:fill="FFFFFF" w:themeFill="background1"/>
            <w:vAlign w:val="center"/>
            <w:hideMark/>
          </w:tcPr>
          <w:p w:rsidR="00B0146A" w:rsidRPr="0032491D" w:rsidRDefault="00B0146A"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B0146A" w:rsidRPr="00B0146A" w:rsidRDefault="00B0146A">
            <w:pPr>
              <w:rPr>
                <w:rFonts w:ascii="楷体" w:eastAsia="楷体" w:hAnsi="楷体"/>
                <w:color w:val="000000"/>
                <w:sz w:val="16"/>
                <w:szCs w:val="16"/>
              </w:rPr>
            </w:pPr>
            <w:r>
              <w:rPr>
                <w:rFonts w:ascii="楷体" w:eastAsia="楷体" w:hAnsi="楷体" w:hint="eastAsia"/>
                <w:color w:val="000000"/>
                <w:sz w:val="16"/>
                <w:szCs w:val="16"/>
              </w:rPr>
              <w:t>163210.</w:t>
            </w:r>
          </w:p>
        </w:tc>
        <w:tc>
          <w:tcPr>
            <w:tcW w:w="1701" w:type="dxa"/>
            <w:tcBorders>
              <w:top w:val="nil"/>
              <w:left w:val="nil"/>
              <w:bottom w:val="nil"/>
              <w:right w:val="nil"/>
            </w:tcBorders>
            <w:shd w:val="clear" w:color="auto" w:fill="FFFFFF" w:themeFill="background1"/>
            <w:vAlign w:val="center"/>
            <w:hideMark/>
          </w:tcPr>
          <w:p w:rsidR="00B0146A" w:rsidRPr="00B0146A" w:rsidRDefault="00B0146A">
            <w:pPr>
              <w:rPr>
                <w:rFonts w:ascii="楷体" w:eastAsia="楷体" w:hAnsi="楷体"/>
                <w:color w:val="000000"/>
                <w:sz w:val="16"/>
                <w:szCs w:val="16"/>
              </w:rPr>
            </w:pPr>
            <w:proofErr w:type="gramStart"/>
            <w:r w:rsidRPr="00B0146A">
              <w:rPr>
                <w:rFonts w:ascii="楷体" w:eastAsia="楷体" w:hAnsi="楷体" w:hint="eastAsia"/>
                <w:color w:val="000000"/>
                <w:sz w:val="16"/>
                <w:szCs w:val="16"/>
              </w:rPr>
              <w:t>诺安纯债</w:t>
            </w:r>
            <w:proofErr w:type="gramEnd"/>
            <w:r w:rsidRPr="00B0146A">
              <w:rPr>
                <w:rFonts w:ascii="楷体" w:eastAsia="楷体" w:hAnsi="楷体" w:hint="eastAsia"/>
                <w:color w:val="000000"/>
                <w:sz w:val="16"/>
                <w:szCs w:val="16"/>
              </w:rPr>
              <w:t>A</w:t>
            </w:r>
          </w:p>
        </w:tc>
        <w:tc>
          <w:tcPr>
            <w:tcW w:w="743" w:type="dxa"/>
            <w:tcBorders>
              <w:top w:val="nil"/>
              <w:left w:val="nil"/>
              <w:bottom w:val="nil"/>
              <w:right w:val="nil"/>
            </w:tcBorders>
            <w:shd w:val="clear" w:color="auto" w:fill="FFFFFF" w:themeFill="background1"/>
            <w:vAlign w:val="center"/>
            <w:hideMark/>
          </w:tcPr>
          <w:p w:rsidR="00B0146A" w:rsidRPr="00B0146A" w:rsidRDefault="00B0146A">
            <w:pPr>
              <w:jc w:val="right"/>
              <w:rPr>
                <w:rFonts w:ascii="楷体" w:eastAsia="楷体" w:hAnsi="楷体"/>
                <w:color w:val="000000"/>
                <w:sz w:val="16"/>
                <w:szCs w:val="16"/>
              </w:rPr>
            </w:pPr>
            <w:r w:rsidRPr="00B0146A">
              <w:rPr>
                <w:rFonts w:ascii="楷体" w:eastAsia="楷体" w:hAnsi="楷体" w:hint="eastAsia"/>
                <w:color w:val="000000"/>
                <w:sz w:val="16"/>
                <w:szCs w:val="16"/>
              </w:rPr>
              <w:t>0.40</w:t>
            </w:r>
          </w:p>
        </w:tc>
      </w:tr>
      <w:tr w:rsidR="00B0146A" w:rsidRPr="0032491D" w:rsidTr="00FC5199">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B0146A" w:rsidRPr="0032491D" w:rsidRDefault="00B0146A"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B0146A" w:rsidRPr="00B0146A" w:rsidRDefault="00B0146A">
            <w:pPr>
              <w:rPr>
                <w:rFonts w:ascii="楷体" w:eastAsia="楷体" w:hAnsi="楷体"/>
                <w:color w:val="000000"/>
                <w:sz w:val="16"/>
                <w:szCs w:val="16"/>
              </w:rPr>
            </w:pPr>
            <w:r>
              <w:rPr>
                <w:rFonts w:ascii="楷体" w:eastAsia="楷体" w:hAnsi="楷体" w:hint="eastAsia"/>
                <w:color w:val="000000"/>
                <w:sz w:val="16"/>
                <w:szCs w:val="16"/>
              </w:rPr>
              <w:t>000899.</w:t>
            </w:r>
          </w:p>
        </w:tc>
        <w:tc>
          <w:tcPr>
            <w:tcW w:w="1701" w:type="dxa"/>
            <w:tcBorders>
              <w:top w:val="nil"/>
              <w:left w:val="nil"/>
              <w:bottom w:val="single" w:sz="8" w:space="0" w:color="000000"/>
              <w:right w:val="nil"/>
            </w:tcBorders>
            <w:shd w:val="clear" w:color="auto" w:fill="FFFFFF" w:themeFill="background1"/>
            <w:vAlign w:val="center"/>
            <w:hideMark/>
          </w:tcPr>
          <w:p w:rsidR="00B0146A" w:rsidRPr="00B0146A" w:rsidRDefault="00B0146A">
            <w:pPr>
              <w:rPr>
                <w:rFonts w:ascii="楷体" w:eastAsia="楷体" w:hAnsi="楷体"/>
                <w:color w:val="000000"/>
                <w:sz w:val="16"/>
                <w:szCs w:val="16"/>
              </w:rPr>
            </w:pPr>
            <w:r w:rsidRPr="00B0146A">
              <w:rPr>
                <w:rFonts w:ascii="楷体" w:eastAsia="楷体" w:hAnsi="楷体" w:hint="eastAsia"/>
                <w:color w:val="000000"/>
                <w:sz w:val="16"/>
                <w:szCs w:val="16"/>
              </w:rPr>
              <w:t>华</w:t>
            </w:r>
            <w:proofErr w:type="gramStart"/>
            <w:r w:rsidRPr="00B0146A">
              <w:rPr>
                <w:rFonts w:ascii="楷体" w:eastAsia="楷体" w:hAnsi="楷体" w:hint="eastAsia"/>
                <w:color w:val="000000"/>
                <w:sz w:val="16"/>
                <w:szCs w:val="16"/>
              </w:rPr>
              <w:t>富恒稳纯债</w:t>
            </w:r>
            <w:proofErr w:type="gramEnd"/>
            <w:r w:rsidRPr="00B0146A">
              <w:rPr>
                <w:rFonts w:ascii="楷体" w:eastAsia="楷体" w:hAnsi="楷体" w:hint="eastAsia"/>
                <w:color w:val="000000"/>
                <w:sz w:val="16"/>
                <w:szCs w:val="16"/>
              </w:rPr>
              <w:t>C</w:t>
            </w:r>
          </w:p>
        </w:tc>
        <w:tc>
          <w:tcPr>
            <w:tcW w:w="743" w:type="dxa"/>
            <w:tcBorders>
              <w:top w:val="nil"/>
              <w:left w:val="nil"/>
              <w:bottom w:val="single" w:sz="8" w:space="0" w:color="000000"/>
              <w:right w:val="nil"/>
            </w:tcBorders>
            <w:shd w:val="clear" w:color="auto" w:fill="FFFFFF" w:themeFill="background1"/>
            <w:vAlign w:val="center"/>
            <w:hideMark/>
          </w:tcPr>
          <w:p w:rsidR="00B0146A" w:rsidRPr="00B0146A" w:rsidRDefault="00B0146A">
            <w:pPr>
              <w:jc w:val="right"/>
              <w:rPr>
                <w:rFonts w:ascii="楷体" w:eastAsia="楷体" w:hAnsi="楷体"/>
                <w:color w:val="000000"/>
                <w:sz w:val="16"/>
                <w:szCs w:val="16"/>
              </w:rPr>
            </w:pPr>
            <w:r w:rsidRPr="00B0146A">
              <w:rPr>
                <w:rFonts w:ascii="楷体" w:eastAsia="楷体" w:hAnsi="楷体" w:hint="eastAsia"/>
                <w:color w:val="000000"/>
                <w:sz w:val="16"/>
                <w:szCs w:val="16"/>
              </w:rPr>
              <w:t>0.28</w:t>
            </w:r>
          </w:p>
        </w:tc>
      </w:tr>
      <w:tr w:rsidR="00B0146A" w:rsidRPr="0032491D" w:rsidTr="00FC5199">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B0146A" w:rsidRPr="0032491D" w:rsidRDefault="00B0146A" w:rsidP="00FC519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一级债基</w:t>
            </w:r>
            <w:proofErr w:type="gramEnd"/>
          </w:p>
        </w:tc>
        <w:tc>
          <w:tcPr>
            <w:tcW w:w="817" w:type="dxa"/>
            <w:tcBorders>
              <w:top w:val="nil"/>
              <w:left w:val="nil"/>
              <w:bottom w:val="nil"/>
              <w:right w:val="nil"/>
            </w:tcBorders>
            <w:shd w:val="clear" w:color="auto" w:fill="F2F2F2" w:themeFill="background1" w:themeFillShade="F2"/>
            <w:vAlign w:val="center"/>
            <w:hideMark/>
          </w:tcPr>
          <w:p w:rsidR="00B0146A" w:rsidRPr="00B0146A" w:rsidRDefault="00B0146A">
            <w:pPr>
              <w:rPr>
                <w:rFonts w:ascii="楷体" w:eastAsia="楷体" w:hAnsi="楷体"/>
                <w:color w:val="000000"/>
                <w:sz w:val="16"/>
                <w:szCs w:val="16"/>
              </w:rPr>
            </w:pPr>
            <w:r>
              <w:rPr>
                <w:rFonts w:ascii="楷体" w:eastAsia="楷体" w:hAnsi="楷体" w:hint="eastAsia"/>
                <w:color w:val="000000"/>
                <w:sz w:val="16"/>
                <w:szCs w:val="16"/>
              </w:rPr>
              <w:t>550006.</w:t>
            </w:r>
          </w:p>
        </w:tc>
        <w:tc>
          <w:tcPr>
            <w:tcW w:w="1701" w:type="dxa"/>
            <w:tcBorders>
              <w:top w:val="nil"/>
              <w:left w:val="nil"/>
              <w:bottom w:val="nil"/>
              <w:right w:val="nil"/>
            </w:tcBorders>
            <w:shd w:val="clear" w:color="auto" w:fill="F2F2F2" w:themeFill="background1" w:themeFillShade="F2"/>
            <w:vAlign w:val="center"/>
            <w:hideMark/>
          </w:tcPr>
          <w:p w:rsidR="00B0146A" w:rsidRPr="00B0146A" w:rsidRDefault="00B0146A">
            <w:pPr>
              <w:rPr>
                <w:rFonts w:ascii="楷体" w:eastAsia="楷体" w:hAnsi="楷体"/>
                <w:color w:val="000000"/>
                <w:sz w:val="16"/>
                <w:szCs w:val="16"/>
              </w:rPr>
            </w:pPr>
            <w:r w:rsidRPr="00B0146A">
              <w:rPr>
                <w:rFonts w:ascii="楷体" w:eastAsia="楷体" w:hAnsi="楷体" w:hint="eastAsia"/>
                <w:color w:val="000000"/>
                <w:sz w:val="16"/>
                <w:szCs w:val="16"/>
              </w:rPr>
              <w:t>信诚</w:t>
            </w:r>
            <w:proofErr w:type="gramStart"/>
            <w:r w:rsidRPr="00B0146A">
              <w:rPr>
                <w:rFonts w:ascii="楷体" w:eastAsia="楷体" w:hAnsi="楷体" w:hint="eastAsia"/>
                <w:color w:val="000000"/>
                <w:sz w:val="16"/>
                <w:szCs w:val="16"/>
              </w:rPr>
              <w:t>经典优债</w:t>
            </w:r>
            <w:proofErr w:type="gramEnd"/>
            <w:r w:rsidRPr="00B0146A">
              <w:rPr>
                <w:rFonts w:ascii="楷体" w:eastAsia="楷体" w:hAnsi="楷体" w:hint="eastAsia"/>
                <w:color w:val="000000"/>
                <w:sz w:val="16"/>
                <w:szCs w:val="16"/>
              </w:rPr>
              <w:t>A</w:t>
            </w:r>
          </w:p>
        </w:tc>
        <w:tc>
          <w:tcPr>
            <w:tcW w:w="743" w:type="dxa"/>
            <w:tcBorders>
              <w:top w:val="nil"/>
              <w:left w:val="nil"/>
              <w:bottom w:val="nil"/>
              <w:right w:val="nil"/>
            </w:tcBorders>
            <w:shd w:val="clear" w:color="auto" w:fill="F2F2F2" w:themeFill="background1" w:themeFillShade="F2"/>
            <w:vAlign w:val="center"/>
            <w:hideMark/>
          </w:tcPr>
          <w:p w:rsidR="00B0146A" w:rsidRPr="00B0146A" w:rsidRDefault="00B0146A">
            <w:pPr>
              <w:jc w:val="right"/>
              <w:rPr>
                <w:rFonts w:ascii="楷体" w:eastAsia="楷体" w:hAnsi="楷体"/>
                <w:color w:val="000000"/>
                <w:sz w:val="16"/>
                <w:szCs w:val="16"/>
              </w:rPr>
            </w:pPr>
            <w:r w:rsidRPr="00B0146A">
              <w:rPr>
                <w:rFonts w:ascii="楷体" w:eastAsia="楷体" w:hAnsi="楷体" w:hint="eastAsia"/>
                <w:color w:val="000000"/>
                <w:sz w:val="16"/>
                <w:szCs w:val="16"/>
              </w:rPr>
              <w:t>0.60</w:t>
            </w:r>
          </w:p>
        </w:tc>
      </w:tr>
      <w:tr w:rsidR="00B0146A" w:rsidRPr="0032491D" w:rsidTr="00FC5199">
        <w:trPr>
          <w:trHeight w:val="284"/>
        </w:trPr>
        <w:tc>
          <w:tcPr>
            <w:tcW w:w="709" w:type="dxa"/>
            <w:vMerge/>
            <w:tcBorders>
              <w:left w:val="nil"/>
              <w:right w:val="single" w:sz="8" w:space="0" w:color="000000"/>
            </w:tcBorders>
            <w:shd w:val="clear" w:color="auto" w:fill="F2F2F2" w:themeFill="background1" w:themeFillShade="F2"/>
            <w:vAlign w:val="center"/>
            <w:hideMark/>
          </w:tcPr>
          <w:p w:rsidR="00B0146A" w:rsidRPr="0032491D" w:rsidRDefault="00B0146A"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B0146A" w:rsidRPr="00B0146A" w:rsidRDefault="00B0146A">
            <w:pPr>
              <w:rPr>
                <w:rFonts w:ascii="楷体" w:eastAsia="楷体" w:hAnsi="楷体"/>
                <w:color w:val="000000"/>
                <w:sz w:val="16"/>
                <w:szCs w:val="16"/>
              </w:rPr>
            </w:pPr>
            <w:r>
              <w:rPr>
                <w:rFonts w:ascii="楷体" w:eastAsia="楷体" w:hAnsi="楷体" w:hint="eastAsia"/>
                <w:color w:val="000000"/>
                <w:sz w:val="16"/>
                <w:szCs w:val="16"/>
              </w:rPr>
              <w:t>161019.</w:t>
            </w:r>
          </w:p>
        </w:tc>
        <w:tc>
          <w:tcPr>
            <w:tcW w:w="1701" w:type="dxa"/>
            <w:tcBorders>
              <w:top w:val="nil"/>
              <w:left w:val="nil"/>
              <w:bottom w:val="nil"/>
              <w:right w:val="nil"/>
            </w:tcBorders>
            <w:shd w:val="clear" w:color="auto" w:fill="F2F2F2" w:themeFill="background1" w:themeFillShade="F2"/>
            <w:vAlign w:val="center"/>
            <w:hideMark/>
          </w:tcPr>
          <w:p w:rsidR="00B0146A" w:rsidRPr="00B0146A" w:rsidRDefault="00B0146A">
            <w:pPr>
              <w:rPr>
                <w:rFonts w:ascii="楷体" w:eastAsia="楷体" w:hAnsi="楷体"/>
                <w:color w:val="000000"/>
                <w:sz w:val="16"/>
                <w:szCs w:val="16"/>
              </w:rPr>
            </w:pPr>
            <w:r w:rsidRPr="00B0146A">
              <w:rPr>
                <w:rFonts w:ascii="楷体" w:eastAsia="楷体" w:hAnsi="楷体" w:hint="eastAsia"/>
                <w:color w:val="000000"/>
                <w:sz w:val="16"/>
                <w:szCs w:val="16"/>
              </w:rPr>
              <w:t>富国新天锋</w:t>
            </w:r>
          </w:p>
        </w:tc>
        <w:tc>
          <w:tcPr>
            <w:tcW w:w="743" w:type="dxa"/>
            <w:tcBorders>
              <w:top w:val="nil"/>
              <w:left w:val="nil"/>
              <w:bottom w:val="nil"/>
              <w:right w:val="nil"/>
            </w:tcBorders>
            <w:shd w:val="clear" w:color="auto" w:fill="F2F2F2" w:themeFill="background1" w:themeFillShade="F2"/>
            <w:vAlign w:val="center"/>
            <w:hideMark/>
          </w:tcPr>
          <w:p w:rsidR="00B0146A" w:rsidRPr="00B0146A" w:rsidRDefault="00B0146A">
            <w:pPr>
              <w:jc w:val="right"/>
              <w:rPr>
                <w:rFonts w:ascii="楷体" w:eastAsia="楷体" w:hAnsi="楷体"/>
                <w:color w:val="000000"/>
                <w:sz w:val="16"/>
                <w:szCs w:val="16"/>
              </w:rPr>
            </w:pPr>
            <w:r w:rsidRPr="00B0146A">
              <w:rPr>
                <w:rFonts w:ascii="楷体" w:eastAsia="楷体" w:hAnsi="楷体" w:hint="eastAsia"/>
                <w:color w:val="000000"/>
                <w:sz w:val="16"/>
                <w:szCs w:val="16"/>
              </w:rPr>
              <w:t>0.20</w:t>
            </w:r>
          </w:p>
        </w:tc>
      </w:tr>
      <w:tr w:rsidR="00B0146A" w:rsidRPr="0032491D" w:rsidTr="00FC5199">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B0146A" w:rsidRPr="0032491D" w:rsidRDefault="00B0146A"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B0146A" w:rsidRPr="00B0146A" w:rsidRDefault="00B0146A">
            <w:pPr>
              <w:rPr>
                <w:rFonts w:ascii="楷体" w:eastAsia="楷体" w:hAnsi="楷体"/>
                <w:color w:val="000000"/>
                <w:sz w:val="16"/>
                <w:szCs w:val="16"/>
              </w:rPr>
            </w:pPr>
            <w:r>
              <w:rPr>
                <w:rFonts w:ascii="楷体" w:eastAsia="楷体" w:hAnsi="楷体" w:hint="eastAsia"/>
                <w:color w:val="000000"/>
                <w:sz w:val="16"/>
                <w:szCs w:val="16"/>
              </w:rPr>
              <w:t>167501.</w:t>
            </w:r>
          </w:p>
        </w:tc>
        <w:tc>
          <w:tcPr>
            <w:tcW w:w="1701" w:type="dxa"/>
            <w:tcBorders>
              <w:top w:val="nil"/>
              <w:left w:val="nil"/>
              <w:bottom w:val="single" w:sz="8" w:space="0" w:color="000000"/>
              <w:right w:val="nil"/>
            </w:tcBorders>
            <w:shd w:val="clear" w:color="auto" w:fill="F2F2F2" w:themeFill="background1" w:themeFillShade="F2"/>
            <w:vAlign w:val="center"/>
            <w:hideMark/>
          </w:tcPr>
          <w:p w:rsidR="00B0146A" w:rsidRPr="00B0146A" w:rsidRDefault="00B0146A">
            <w:pPr>
              <w:rPr>
                <w:rFonts w:ascii="楷体" w:eastAsia="楷体" w:hAnsi="楷体"/>
                <w:color w:val="000000"/>
                <w:sz w:val="16"/>
                <w:szCs w:val="16"/>
              </w:rPr>
            </w:pPr>
            <w:r w:rsidRPr="00B0146A">
              <w:rPr>
                <w:rFonts w:ascii="楷体" w:eastAsia="楷体" w:hAnsi="楷体" w:hint="eastAsia"/>
                <w:color w:val="000000"/>
                <w:sz w:val="16"/>
                <w:szCs w:val="16"/>
              </w:rPr>
              <w:t>安信宝利</w:t>
            </w:r>
          </w:p>
        </w:tc>
        <w:tc>
          <w:tcPr>
            <w:tcW w:w="743" w:type="dxa"/>
            <w:tcBorders>
              <w:top w:val="nil"/>
              <w:left w:val="nil"/>
              <w:bottom w:val="single" w:sz="8" w:space="0" w:color="000000"/>
              <w:right w:val="nil"/>
            </w:tcBorders>
            <w:shd w:val="clear" w:color="auto" w:fill="F2F2F2" w:themeFill="background1" w:themeFillShade="F2"/>
            <w:vAlign w:val="center"/>
            <w:hideMark/>
          </w:tcPr>
          <w:p w:rsidR="00B0146A" w:rsidRPr="00B0146A" w:rsidRDefault="00B0146A">
            <w:pPr>
              <w:jc w:val="right"/>
              <w:rPr>
                <w:rFonts w:ascii="楷体" w:eastAsia="楷体" w:hAnsi="楷体"/>
                <w:color w:val="000000"/>
                <w:sz w:val="16"/>
                <w:szCs w:val="16"/>
              </w:rPr>
            </w:pPr>
            <w:r w:rsidRPr="00B0146A">
              <w:rPr>
                <w:rFonts w:ascii="楷体" w:eastAsia="楷体" w:hAnsi="楷体" w:hint="eastAsia"/>
                <w:color w:val="000000"/>
                <w:sz w:val="16"/>
                <w:szCs w:val="16"/>
              </w:rPr>
              <w:t>0.19</w:t>
            </w:r>
          </w:p>
        </w:tc>
      </w:tr>
      <w:tr w:rsidR="00B0146A" w:rsidRPr="0032491D" w:rsidTr="00FC519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B0146A" w:rsidRPr="00B0146A" w:rsidRDefault="00B0146A" w:rsidP="00FC5199">
            <w:pPr>
              <w:widowControl/>
              <w:jc w:val="left"/>
              <w:rPr>
                <w:rFonts w:ascii="楷体" w:eastAsia="楷体" w:hAnsi="楷体"/>
                <w:color w:val="000000"/>
                <w:sz w:val="16"/>
                <w:szCs w:val="16"/>
              </w:rPr>
            </w:pPr>
            <w:proofErr w:type="gramStart"/>
            <w:r w:rsidRPr="00B0146A">
              <w:rPr>
                <w:rFonts w:ascii="楷体" w:eastAsia="楷体" w:hAnsi="楷体" w:cs="Arial"/>
                <w:b/>
                <w:bCs/>
                <w:color w:val="000000"/>
                <w:kern w:val="0"/>
                <w:sz w:val="18"/>
                <w:szCs w:val="18"/>
              </w:rPr>
              <w:t>二级债基</w:t>
            </w:r>
            <w:proofErr w:type="gramEnd"/>
          </w:p>
        </w:tc>
        <w:tc>
          <w:tcPr>
            <w:tcW w:w="817" w:type="dxa"/>
            <w:tcBorders>
              <w:top w:val="nil"/>
              <w:left w:val="nil"/>
              <w:bottom w:val="nil"/>
              <w:right w:val="nil"/>
            </w:tcBorders>
            <w:shd w:val="clear" w:color="auto" w:fill="FFFFFF" w:themeFill="background1"/>
            <w:vAlign w:val="center"/>
            <w:hideMark/>
          </w:tcPr>
          <w:p w:rsidR="00B0146A" w:rsidRPr="00B0146A" w:rsidRDefault="00B0146A">
            <w:pPr>
              <w:rPr>
                <w:rFonts w:ascii="楷体" w:eastAsia="楷体" w:hAnsi="楷体"/>
                <w:color w:val="000000"/>
                <w:sz w:val="16"/>
                <w:szCs w:val="16"/>
              </w:rPr>
            </w:pPr>
            <w:r>
              <w:rPr>
                <w:rFonts w:ascii="楷体" w:eastAsia="楷体" w:hAnsi="楷体" w:hint="eastAsia"/>
                <w:color w:val="000000"/>
                <w:sz w:val="16"/>
                <w:szCs w:val="16"/>
              </w:rPr>
              <w:t>000473.</w:t>
            </w:r>
          </w:p>
        </w:tc>
        <w:tc>
          <w:tcPr>
            <w:tcW w:w="1701" w:type="dxa"/>
            <w:tcBorders>
              <w:top w:val="nil"/>
              <w:left w:val="nil"/>
              <w:bottom w:val="nil"/>
              <w:right w:val="nil"/>
            </w:tcBorders>
            <w:shd w:val="clear" w:color="auto" w:fill="FFFFFF" w:themeFill="background1"/>
            <w:vAlign w:val="center"/>
            <w:hideMark/>
          </w:tcPr>
          <w:p w:rsidR="00B0146A" w:rsidRPr="00B0146A" w:rsidRDefault="00B0146A">
            <w:pPr>
              <w:rPr>
                <w:rFonts w:ascii="楷体" w:eastAsia="楷体" w:hAnsi="楷体"/>
                <w:color w:val="000000"/>
                <w:sz w:val="16"/>
                <w:szCs w:val="16"/>
              </w:rPr>
            </w:pPr>
            <w:r w:rsidRPr="00B0146A">
              <w:rPr>
                <w:rFonts w:ascii="楷体" w:eastAsia="楷体" w:hAnsi="楷体" w:hint="eastAsia"/>
                <w:color w:val="000000"/>
                <w:sz w:val="16"/>
                <w:szCs w:val="16"/>
              </w:rPr>
              <w:t>广发集</w:t>
            </w:r>
            <w:proofErr w:type="gramStart"/>
            <w:r w:rsidRPr="00B0146A">
              <w:rPr>
                <w:rFonts w:ascii="楷体" w:eastAsia="楷体" w:hAnsi="楷体" w:hint="eastAsia"/>
                <w:color w:val="000000"/>
                <w:sz w:val="16"/>
                <w:szCs w:val="16"/>
              </w:rPr>
              <w:t>鑫</w:t>
            </w:r>
            <w:proofErr w:type="gramEnd"/>
            <w:r w:rsidRPr="00B0146A">
              <w:rPr>
                <w:rFonts w:ascii="楷体" w:eastAsia="楷体" w:hAnsi="楷体" w:hint="eastAsia"/>
                <w:color w:val="000000"/>
                <w:sz w:val="16"/>
                <w:szCs w:val="16"/>
              </w:rPr>
              <w:t>A</w:t>
            </w:r>
          </w:p>
        </w:tc>
        <w:tc>
          <w:tcPr>
            <w:tcW w:w="743" w:type="dxa"/>
            <w:tcBorders>
              <w:top w:val="nil"/>
              <w:left w:val="nil"/>
              <w:bottom w:val="nil"/>
              <w:right w:val="nil"/>
            </w:tcBorders>
            <w:shd w:val="clear" w:color="auto" w:fill="FFFFFF" w:themeFill="background1"/>
            <w:vAlign w:val="center"/>
            <w:hideMark/>
          </w:tcPr>
          <w:p w:rsidR="00B0146A" w:rsidRPr="00B0146A" w:rsidRDefault="00B0146A">
            <w:pPr>
              <w:jc w:val="right"/>
              <w:rPr>
                <w:rFonts w:ascii="楷体" w:eastAsia="楷体" w:hAnsi="楷体"/>
                <w:color w:val="000000"/>
                <w:sz w:val="16"/>
                <w:szCs w:val="16"/>
              </w:rPr>
            </w:pPr>
            <w:r w:rsidRPr="00B0146A">
              <w:rPr>
                <w:rFonts w:ascii="楷体" w:eastAsia="楷体" w:hAnsi="楷体" w:hint="eastAsia"/>
                <w:color w:val="000000"/>
                <w:sz w:val="16"/>
                <w:szCs w:val="16"/>
              </w:rPr>
              <w:t>0.93</w:t>
            </w:r>
          </w:p>
        </w:tc>
      </w:tr>
      <w:tr w:rsidR="00B0146A" w:rsidRPr="0032491D" w:rsidTr="00FC5199">
        <w:trPr>
          <w:trHeight w:val="284"/>
        </w:trPr>
        <w:tc>
          <w:tcPr>
            <w:tcW w:w="709" w:type="dxa"/>
            <w:vMerge/>
            <w:tcBorders>
              <w:left w:val="nil"/>
              <w:right w:val="single" w:sz="8" w:space="0" w:color="000000"/>
            </w:tcBorders>
            <w:shd w:val="clear" w:color="auto" w:fill="FFFFFF" w:themeFill="background1"/>
            <w:vAlign w:val="center"/>
            <w:hideMark/>
          </w:tcPr>
          <w:p w:rsidR="00B0146A" w:rsidRPr="00B0146A" w:rsidRDefault="00B0146A" w:rsidP="00FC5199">
            <w:pPr>
              <w:jc w:val="left"/>
              <w:rPr>
                <w:rFonts w:ascii="楷体" w:eastAsia="楷体" w:hAnsi="楷体"/>
                <w:color w:val="000000"/>
                <w:sz w:val="16"/>
                <w:szCs w:val="16"/>
              </w:rPr>
            </w:pPr>
          </w:p>
        </w:tc>
        <w:tc>
          <w:tcPr>
            <w:tcW w:w="817" w:type="dxa"/>
            <w:tcBorders>
              <w:top w:val="nil"/>
              <w:left w:val="nil"/>
              <w:bottom w:val="nil"/>
              <w:right w:val="nil"/>
            </w:tcBorders>
            <w:shd w:val="clear" w:color="auto" w:fill="FFFFFF" w:themeFill="background1"/>
            <w:vAlign w:val="center"/>
            <w:hideMark/>
          </w:tcPr>
          <w:p w:rsidR="00B0146A" w:rsidRPr="00B0146A" w:rsidRDefault="00B0146A">
            <w:pPr>
              <w:rPr>
                <w:rFonts w:ascii="楷体" w:eastAsia="楷体" w:hAnsi="楷体"/>
                <w:color w:val="000000"/>
                <w:sz w:val="16"/>
                <w:szCs w:val="16"/>
              </w:rPr>
            </w:pPr>
            <w:r>
              <w:rPr>
                <w:rFonts w:ascii="楷体" w:eastAsia="楷体" w:hAnsi="楷体" w:hint="eastAsia"/>
                <w:color w:val="000000"/>
                <w:sz w:val="16"/>
                <w:szCs w:val="16"/>
              </w:rPr>
              <w:t>519967.</w:t>
            </w:r>
          </w:p>
        </w:tc>
        <w:tc>
          <w:tcPr>
            <w:tcW w:w="1701" w:type="dxa"/>
            <w:tcBorders>
              <w:top w:val="nil"/>
              <w:left w:val="nil"/>
              <w:bottom w:val="nil"/>
              <w:right w:val="nil"/>
            </w:tcBorders>
            <w:shd w:val="clear" w:color="auto" w:fill="FFFFFF" w:themeFill="background1"/>
            <w:vAlign w:val="center"/>
            <w:hideMark/>
          </w:tcPr>
          <w:p w:rsidR="00B0146A" w:rsidRPr="00B0146A" w:rsidRDefault="00B0146A">
            <w:pPr>
              <w:rPr>
                <w:rFonts w:ascii="楷体" w:eastAsia="楷体" w:hAnsi="楷体"/>
                <w:color w:val="000000"/>
                <w:sz w:val="16"/>
                <w:szCs w:val="16"/>
              </w:rPr>
            </w:pPr>
            <w:r w:rsidRPr="00B0146A">
              <w:rPr>
                <w:rFonts w:ascii="楷体" w:eastAsia="楷体" w:hAnsi="楷体" w:hint="eastAsia"/>
                <w:color w:val="000000"/>
                <w:sz w:val="16"/>
                <w:szCs w:val="16"/>
              </w:rPr>
              <w:t>长信利富</w:t>
            </w:r>
          </w:p>
        </w:tc>
        <w:tc>
          <w:tcPr>
            <w:tcW w:w="743" w:type="dxa"/>
            <w:tcBorders>
              <w:top w:val="nil"/>
              <w:left w:val="nil"/>
              <w:bottom w:val="nil"/>
              <w:right w:val="nil"/>
            </w:tcBorders>
            <w:shd w:val="clear" w:color="auto" w:fill="FFFFFF" w:themeFill="background1"/>
            <w:vAlign w:val="center"/>
            <w:hideMark/>
          </w:tcPr>
          <w:p w:rsidR="00B0146A" w:rsidRPr="00B0146A" w:rsidRDefault="00B0146A">
            <w:pPr>
              <w:jc w:val="right"/>
              <w:rPr>
                <w:rFonts w:ascii="楷体" w:eastAsia="楷体" w:hAnsi="楷体"/>
                <w:color w:val="000000"/>
                <w:sz w:val="16"/>
                <w:szCs w:val="16"/>
              </w:rPr>
            </w:pPr>
            <w:r w:rsidRPr="00B0146A">
              <w:rPr>
                <w:rFonts w:ascii="楷体" w:eastAsia="楷体" w:hAnsi="楷体" w:hint="eastAsia"/>
                <w:color w:val="000000"/>
                <w:sz w:val="16"/>
                <w:szCs w:val="16"/>
              </w:rPr>
              <w:t>0.64</w:t>
            </w:r>
          </w:p>
        </w:tc>
      </w:tr>
      <w:tr w:rsidR="00B0146A" w:rsidRPr="0032491D" w:rsidTr="00FC5199">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B0146A" w:rsidRPr="00B0146A" w:rsidRDefault="00B0146A" w:rsidP="00FC5199">
            <w:pPr>
              <w:widowControl/>
              <w:jc w:val="left"/>
              <w:rPr>
                <w:rFonts w:ascii="楷体" w:eastAsia="楷体" w:hAnsi="楷体"/>
                <w:color w:val="000000"/>
                <w:sz w:val="16"/>
                <w:szCs w:val="16"/>
              </w:rPr>
            </w:pPr>
          </w:p>
        </w:tc>
        <w:tc>
          <w:tcPr>
            <w:tcW w:w="817" w:type="dxa"/>
            <w:tcBorders>
              <w:top w:val="nil"/>
              <w:left w:val="nil"/>
              <w:bottom w:val="single" w:sz="8" w:space="0" w:color="000000"/>
              <w:right w:val="nil"/>
            </w:tcBorders>
            <w:shd w:val="clear" w:color="auto" w:fill="FFFFFF" w:themeFill="background1"/>
            <w:vAlign w:val="center"/>
            <w:hideMark/>
          </w:tcPr>
          <w:p w:rsidR="00B0146A" w:rsidRPr="00B0146A" w:rsidRDefault="00B0146A">
            <w:pPr>
              <w:rPr>
                <w:rFonts w:ascii="楷体" w:eastAsia="楷体" w:hAnsi="楷体"/>
                <w:color w:val="000000"/>
                <w:sz w:val="16"/>
                <w:szCs w:val="16"/>
              </w:rPr>
            </w:pPr>
            <w:r>
              <w:rPr>
                <w:rFonts w:ascii="楷体" w:eastAsia="楷体" w:hAnsi="楷体" w:hint="eastAsia"/>
                <w:color w:val="000000"/>
                <w:sz w:val="16"/>
                <w:szCs w:val="16"/>
              </w:rPr>
              <w:t>690206.</w:t>
            </w:r>
          </w:p>
        </w:tc>
        <w:tc>
          <w:tcPr>
            <w:tcW w:w="1701" w:type="dxa"/>
            <w:tcBorders>
              <w:top w:val="nil"/>
              <w:left w:val="nil"/>
              <w:bottom w:val="single" w:sz="8" w:space="0" w:color="000000"/>
              <w:right w:val="nil"/>
            </w:tcBorders>
            <w:shd w:val="clear" w:color="auto" w:fill="FFFFFF" w:themeFill="background1"/>
            <w:vAlign w:val="center"/>
            <w:hideMark/>
          </w:tcPr>
          <w:p w:rsidR="00B0146A" w:rsidRPr="00B0146A" w:rsidRDefault="00B0146A">
            <w:pPr>
              <w:rPr>
                <w:rFonts w:ascii="楷体" w:eastAsia="楷体" w:hAnsi="楷体"/>
                <w:color w:val="000000"/>
                <w:sz w:val="16"/>
                <w:szCs w:val="16"/>
              </w:rPr>
            </w:pPr>
            <w:r w:rsidRPr="00B0146A">
              <w:rPr>
                <w:rFonts w:ascii="楷体" w:eastAsia="楷体" w:hAnsi="楷体" w:hint="eastAsia"/>
                <w:color w:val="000000"/>
                <w:sz w:val="16"/>
                <w:szCs w:val="16"/>
              </w:rPr>
              <w:t>民生加银</w:t>
            </w:r>
            <w:proofErr w:type="gramStart"/>
            <w:r w:rsidRPr="00B0146A">
              <w:rPr>
                <w:rFonts w:ascii="楷体" w:eastAsia="楷体" w:hAnsi="楷体" w:hint="eastAsia"/>
                <w:color w:val="000000"/>
                <w:sz w:val="16"/>
                <w:szCs w:val="16"/>
              </w:rPr>
              <w:t>信用双</w:t>
            </w:r>
            <w:proofErr w:type="gramEnd"/>
            <w:r w:rsidRPr="00B0146A">
              <w:rPr>
                <w:rFonts w:ascii="楷体" w:eastAsia="楷体" w:hAnsi="楷体" w:hint="eastAsia"/>
                <w:color w:val="000000"/>
                <w:sz w:val="16"/>
                <w:szCs w:val="16"/>
              </w:rPr>
              <w:t>利C</w:t>
            </w:r>
          </w:p>
        </w:tc>
        <w:tc>
          <w:tcPr>
            <w:tcW w:w="743" w:type="dxa"/>
            <w:tcBorders>
              <w:top w:val="nil"/>
              <w:left w:val="nil"/>
              <w:bottom w:val="single" w:sz="8" w:space="0" w:color="000000"/>
              <w:right w:val="nil"/>
            </w:tcBorders>
            <w:shd w:val="clear" w:color="auto" w:fill="FFFFFF" w:themeFill="background1"/>
            <w:vAlign w:val="center"/>
            <w:hideMark/>
          </w:tcPr>
          <w:p w:rsidR="00B0146A" w:rsidRPr="00B0146A" w:rsidRDefault="00B0146A">
            <w:pPr>
              <w:jc w:val="right"/>
              <w:rPr>
                <w:rFonts w:ascii="楷体" w:eastAsia="楷体" w:hAnsi="楷体"/>
                <w:color w:val="000000"/>
                <w:sz w:val="16"/>
                <w:szCs w:val="16"/>
              </w:rPr>
            </w:pPr>
            <w:r w:rsidRPr="00B0146A">
              <w:rPr>
                <w:rFonts w:ascii="楷体" w:eastAsia="楷体" w:hAnsi="楷体" w:hint="eastAsia"/>
                <w:color w:val="000000"/>
                <w:sz w:val="16"/>
                <w:szCs w:val="16"/>
              </w:rPr>
              <w:t>0.54</w:t>
            </w:r>
          </w:p>
        </w:tc>
      </w:tr>
      <w:tr w:rsidR="00675CA8" w:rsidRPr="0032491D" w:rsidTr="00FC5199">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675CA8" w:rsidRPr="0032491D" w:rsidRDefault="00675CA8" w:rsidP="00FC519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指数债基</w:t>
            </w:r>
            <w:proofErr w:type="gramEnd"/>
          </w:p>
        </w:tc>
        <w:tc>
          <w:tcPr>
            <w:tcW w:w="817" w:type="dxa"/>
            <w:tcBorders>
              <w:top w:val="nil"/>
              <w:left w:val="nil"/>
              <w:bottom w:val="nil"/>
              <w:right w:val="nil"/>
            </w:tcBorders>
            <w:shd w:val="clear" w:color="auto" w:fill="F2F2F2" w:themeFill="background1" w:themeFillShade="F2"/>
            <w:vAlign w:val="center"/>
            <w:hideMark/>
          </w:tcPr>
          <w:p w:rsidR="00675CA8" w:rsidRPr="00675CA8" w:rsidRDefault="00675CA8">
            <w:pPr>
              <w:rPr>
                <w:rFonts w:ascii="楷体" w:eastAsia="楷体" w:hAnsi="楷体"/>
                <w:color w:val="000000"/>
                <w:sz w:val="16"/>
                <w:szCs w:val="16"/>
              </w:rPr>
            </w:pPr>
            <w:r>
              <w:rPr>
                <w:rFonts w:ascii="楷体" w:eastAsia="楷体" w:hAnsi="楷体" w:hint="eastAsia"/>
                <w:color w:val="000000"/>
                <w:sz w:val="16"/>
                <w:szCs w:val="16"/>
              </w:rPr>
              <w:t>167701</w:t>
            </w:r>
          </w:p>
        </w:tc>
        <w:tc>
          <w:tcPr>
            <w:tcW w:w="1701" w:type="dxa"/>
            <w:tcBorders>
              <w:top w:val="nil"/>
              <w:left w:val="nil"/>
              <w:bottom w:val="nil"/>
              <w:right w:val="nil"/>
            </w:tcBorders>
            <w:shd w:val="clear" w:color="auto" w:fill="F2F2F2" w:themeFill="background1" w:themeFillShade="F2"/>
            <w:vAlign w:val="center"/>
            <w:hideMark/>
          </w:tcPr>
          <w:p w:rsidR="00675CA8" w:rsidRPr="00675CA8" w:rsidRDefault="00675CA8">
            <w:pPr>
              <w:rPr>
                <w:rFonts w:ascii="楷体" w:eastAsia="楷体" w:hAnsi="楷体"/>
                <w:color w:val="000000"/>
                <w:sz w:val="16"/>
                <w:szCs w:val="16"/>
              </w:rPr>
            </w:pPr>
            <w:r w:rsidRPr="00675CA8">
              <w:rPr>
                <w:rFonts w:ascii="楷体" w:eastAsia="楷体" w:hAnsi="楷体" w:hint="eastAsia"/>
                <w:color w:val="000000"/>
                <w:sz w:val="16"/>
                <w:szCs w:val="16"/>
              </w:rPr>
              <w:t>德</w:t>
            </w:r>
            <w:proofErr w:type="gramStart"/>
            <w:r w:rsidRPr="00675CA8">
              <w:rPr>
                <w:rFonts w:ascii="楷体" w:eastAsia="楷体" w:hAnsi="楷体" w:hint="eastAsia"/>
                <w:color w:val="000000"/>
                <w:sz w:val="16"/>
                <w:szCs w:val="16"/>
              </w:rPr>
              <w:t>邦</w:t>
            </w:r>
            <w:proofErr w:type="gramEnd"/>
            <w:r w:rsidRPr="00675CA8">
              <w:rPr>
                <w:rFonts w:ascii="楷体" w:eastAsia="楷体" w:hAnsi="楷体" w:hint="eastAsia"/>
                <w:color w:val="000000"/>
                <w:sz w:val="16"/>
                <w:szCs w:val="16"/>
              </w:rPr>
              <w:t>企债分级</w:t>
            </w:r>
          </w:p>
        </w:tc>
        <w:tc>
          <w:tcPr>
            <w:tcW w:w="743" w:type="dxa"/>
            <w:tcBorders>
              <w:top w:val="nil"/>
              <w:left w:val="nil"/>
              <w:bottom w:val="nil"/>
              <w:right w:val="nil"/>
            </w:tcBorders>
            <w:shd w:val="clear" w:color="auto" w:fill="F2F2F2" w:themeFill="background1" w:themeFillShade="F2"/>
            <w:vAlign w:val="center"/>
            <w:hideMark/>
          </w:tcPr>
          <w:p w:rsidR="00675CA8" w:rsidRPr="00675CA8" w:rsidRDefault="00675CA8">
            <w:pPr>
              <w:jc w:val="right"/>
              <w:rPr>
                <w:rFonts w:ascii="楷体" w:eastAsia="楷体" w:hAnsi="楷体"/>
                <w:color w:val="000000"/>
                <w:sz w:val="16"/>
                <w:szCs w:val="16"/>
              </w:rPr>
            </w:pPr>
            <w:r w:rsidRPr="00675CA8">
              <w:rPr>
                <w:rFonts w:ascii="楷体" w:eastAsia="楷体" w:hAnsi="楷体" w:hint="eastAsia"/>
                <w:color w:val="000000"/>
                <w:sz w:val="16"/>
                <w:szCs w:val="16"/>
              </w:rPr>
              <w:t>0.09</w:t>
            </w:r>
          </w:p>
        </w:tc>
      </w:tr>
      <w:tr w:rsidR="00675CA8" w:rsidRPr="0032491D" w:rsidTr="00FC5199">
        <w:trPr>
          <w:trHeight w:val="74"/>
        </w:trPr>
        <w:tc>
          <w:tcPr>
            <w:tcW w:w="709" w:type="dxa"/>
            <w:vMerge/>
            <w:tcBorders>
              <w:left w:val="nil"/>
              <w:right w:val="single" w:sz="8" w:space="0" w:color="000000"/>
            </w:tcBorders>
            <w:shd w:val="clear" w:color="auto" w:fill="F2F2F2" w:themeFill="background1" w:themeFillShade="F2"/>
            <w:vAlign w:val="center"/>
            <w:hideMark/>
          </w:tcPr>
          <w:p w:rsidR="00675CA8" w:rsidRPr="0032491D" w:rsidRDefault="00675CA8"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675CA8" w:rsidRPr="00675CA8" w:rsidRDefault="00675CA8">
            <w:pPr>
              <w:rPr>
                <w:rFonts w:ascii="楷体" w:eastAsia="楷体" w:hAnsi="楷体"/>
                <w:color w:val="000000"/>
                <w:sz w:val="16"/>
                <w:szCs w:val="16"/>
              </w:rPr>
            </w:pPr>
            <w:r>
              <w:rPr>
                <w:rFonts w:ascii="楷体" w:eastAsia="楷体" w:hAnsi="楷体" w:hint="eastAsia"/>
                <w:color w:val="000000"/>
                <w:sz w:val="16"/>
                <w:szCs w:val="16"/>
              </w:rPr>
              <w:t>510080.</w:t>
            </w:r>
          </w:p>
        </w:tc>
        <w:tc>
          <w:tcPr>
            <w:tcW w:w="1701" w:type="dxa"/>
            <w:tcBorders>
              <w:top w:val="nil"/>
              <w:left w:val="nil"/>
              <w:bottom w:val="nil"/>
              <w:right w:val="nil"/>
            </w:tcBorders>
            <w:shd w:val="clear" w:color="auto" w:fill="F2F2F2" w:themeFill="background1" w:themeFillShade="F2"/>
            <w:vAlign w:val="center"/>
            <w:hideMark/>
          </w:tcPr>
          <w:p w:rsidR="00675CA8" w:rsidRPr="00675CA8" w:rsidRDefault="00675CA8">
            <w:pPr>
              <w:rPr>
                <w:rFonts w:ascii="楷体" w:eastAsia="楷体" w:hAnsi="楷体"/>
                <w:color w:val="000000"/>
                <w:sz w:val="16"/>
                <w:szCs w:val="16"/>
              </w:rPr>
            </w:pPr>
            <w:r w:rsidRPr="00675CA8">
              <w:rPr>
                <w:rFonts w:ascii="楷体" w:eastAsia="楷体" w:hAnsi="楷体" w:hint="eastAsia"/>
                <w:color w:val="000000"/>
                <w:sz w:val="16"/>
                <w:szCs w:val="16"/>
              </w:rPr>
              <w:t>长盛中</w:t>
            </w:r>
            <w:proofErr w:type="gramStart"/>
            <w:r w:rsidRPr="00675CA8">
              <w:rPr>
                <w:rFonts w:ascii="楷体" w:eastAsia="楷体" w:hAnsi="楷体" w:hint="eastAsia"/>
                <w:color w:val="000000"/>
                <w:sz w:val="16"/>
                <w:szCs w:val="16"/>
              </w:rPr>
              <w:t>信全债</w:t>
            </w:r>
            <w:proofErr w:type="gramEnd"/>
          </w:p>
        </w:tc>
        <w:tc>
          <w:tcPr>
            <w:tcW w:w="743" w:type="dxa"/>
            <w:tcBorders>
              <w:top w:val="nil"/>
              <w:left w:val="nil"/>
              <w:bottom w:val="nil"/>
              <w:right w:val="nil"/>
            </w:tcBorders>
            <w:shd w:val="clear" w:color="auto" w:fill="F2F2F2" w:themeFill="background1" w:themeFillShade="F2"/>
            <w:vAlign w:val="center"/>
            <w:hideMark/>
          </w:tcPr>
          <w:p w:rsidR="00675CA8" w:rsidRPr="00675CA8" w:rsidRDefault="00675CA8">
            <w:pPr>
              <w:jc w:val="right"/>
              <w:rPr>
                <w:rFonts w:ascii="楷体" w:eastAsia="楷体" w:hAnsi="楷体"/>
                <w:color w:val="000000"/>
                <w:sz w:val="16"/>
                <w:szCs w:val="16"/>
              </w:rPr>
            </w:pPr>
            <w:r w:rsidRPr="00675CA8">
              <w:rPr>
                <w:rFonts w:ascii="楷体" w:eastAsia="楷体" w:hAnsi="楷体" w:hint="eastAsia"/>
                <w:color w:val="000000"/>
                <w:sz w:val="16"/>
                <w:szCs w:val="16"/>
              </w:rPr>
              <w:t>0.07</w:t>
            </w:r>
          </w:p>
        </w:tc>
      </w:tr>
      <w:tr w:rsidR="00675CA8" w:rsidRPr="0032491D" w:rsidTr="00FC5199">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675CA8" w:rsidRPr="0032491D" w:rsidRDefault="00675CA8"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675CA8" w:rsidRPr="00675CA8" w:rsidRDefault="00675CA8">
            <w:pPr>
              <w:rPr>
                <w:rFonts w:ascii="楷体" w:eastAsia="楷体" w:hAnsi="楷体"/>
                <w:color w:val="000000"/>
                <w:sz w:val="16"/>
                <w:szCs w:val="16"/>
              </w:rPr>
            </w:pPr>
            <w:r>
              <w:rPr>
                <w:rFonts w:ascii="楷体" w:eastAsia="楷体" w:hAnsi="楷体" w:hint="eastAsia"/>
                <w:color w:val="000000"/>
                <w:sz w:val="16"/>
                <w:szCs w:val="16"/>
              </w:rPr>
              <w:t>511220.</w:t>
            </w:r>
          </w:p>
        </w:tc>
        <w:tc>
          <w:tcPr>
            <w:tcW w:w="1701" w:type="dxa"/>
            <w:tcBorders>
              <w:top w:val="nil"/>
              <w:left w:val="nil"/>
              <w:bottom w:val="single" w:sz="8" w:space="0" w:color="000000"/>
              <w:right w:val="nil"/>
            </w:tcBorders>
            <w:shd w:val="clear" w:color="auto" w:fill="F2F2F2" w:themeFill="background1" w:themeFillShade="F2"/>
            <w:vAlign w:val="center"/>
            <w:hideMark/>
          </w:tcPr>
          <w:p w:rsidR="00675CA8" w:rsidRPr="00675CA8" w:rsidRDefault="00675CA8">
            <w:pPr>
              <w:rPr>
                <w:rFonts w:ascii="楷体" w:eastAsia="楷体" w:hAnsi="楷体"/>
                <w:color w:val="000000"/>
                <w:sz w:val="16"/>
                <w:szCs w:val="16"/>
              </w:rPr>
            </w:pPr>
            <w:r w:rsidRPr="00675CA8">
              <w:rPr>
                <w:rFonts w:ascii="楷体" w:eastAsia="楷体" w:hAnsi="楷体" w:hint="eastAsia"/>
                <w:color w:val="000000"/>
                <w:sz w:val="16"/>
                <w:szCs w:val="16"/>
              </w:rPr>
              <w:t>海富通上证可质押</w:t>
            </w:r>
            <w:proofErr w:type="gramStart"/>
            <w:r w:rsidRPr="00675CA8">
              <w:rPr>
                <w:rFonts w:ascii="楷体" w:eastAsia="楷体" w:hAnsi="楷体" w:hint="eastAsia"/>
                <w:color w:val="000000"/>
                <w:sz w:val="16"/>
                <w:szCs w:val="16"/>
              </w:rPr>
              <w:t>城投债</w:t>
            </w:r>
            <w:proofErr w:type="gramEnd"/>
            <w:r w:rsidRPr="00675CA8">
              <w:rPr>
                <w:rFonts w:ascii="楷体" w:eastAsia="楷体" w:hAnsi="楷体" w:hint="eastAsia"/>
                <w:color w:val="000000"/>
                <w:sz w:val="16"/>
                <w:szCs w:val="16"/>
              </w:rPr>
              <w:t>ETF</w:t>
            </w:r>
          </w:p>
        </w:tc>
        <w:tc>
          <w:tcPr>
            <w:tcW w:w="743" w:type="dxa"/>
            <w:tcBorders>
              <w:top w:val="nil"/>
              <w:left w:val="nil"/>
              <w:bottom w:val="single" w:sz="8" w:space="0" w:color="000000"/>
              <w:right w:val="nil"/>
            </w:tcBorders>
            <w:shd w:val="clear" w:color="auto" w:fill="F2F2F2" w:themeFill="background1" w:themeFillShade="F2"/>
            <w:vAlign w:val="center"/>
            <w:hideMark/>
          </w:tcPr>
          <w:p w:rsidR="00675CA8" w:rsidRPr="00675CA8" w:rsidRDefault="00675CA8">
            <w:pPr>
              <w:jc w:val="right"/>
              <w:rPr>
                <w:rFonts w:ascii="楷体" w:eastAsia="楷体" w:hAnsi="楷体"/>
                <w:color w:val="000000"/>
                <w:sz w:val="16"/>
                <w:szCs w:val="16"/>
              </w:rPr>
            </w:pPr>
            <w:r w:rsidRPr="00675CA8">
              <w:rPr>
                <w:rFonts w:ascii="楷体" w:eastAsia="楷体" w:hAnsi="楷体" w:hint="eastAsia"/>
                <w:color w:val="000000"/>
                <w:sz w:val="16"/>
                <w:szCs w:val="16"/>
              </w:rPr>
              <w:t>0.06</w:t>
            </w:r>
          </w:p>
        </w:tc>
      </w:tr>
      <w:tr w:rsidR="002851A0" w:rsidRPr="0032491D" w:rsidTr="00FC519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2851A0" w:rsidRPr="0032491D" w:rsidRDefault="002851A0" w:rsidP="00FC519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货币基金</w:t>
            </w:r>
            <w:r w:rsidRPr="0032491D">
              <w:rPr>
                <w:rFonts w:ascii="楷体" w:eastAsia="楷体" w:hAnsi="楷体" w:cs="Arial"/>
                <w:color w:val="000000"/>
                <w:kern w:val="0"/>
                <w:sz w:val="13"/>
                <w:szCs w:val="13"/>
              </w:rPr>
              <w:t>（七日年化）</w:t>
            </w:r>
          </w:p>
        </w:tc>
        <w:tc>
          <w:tcPr>
            <w:tcW w:w="817" w:type="dxa"/>
            <w:tcBorders>
              <w:top w:val="nil"/>
              <w:left w:val="nil"/>
              <w:bottom w:val="nil"/>
              <w:right w:val="nil"/>
            </w:tcBorders>
            <w:shd w:val="clear" w:color="auto" w:fill="FFFFFF" w:themeFill="background1"/>
            <w:vAlign w:val="center"/>
            <w:hideMark/>
          </w:tcPr>
          <w:p w:rsidR="002851A0" w:rsidRPr="002851A0" w:rsidRDefault="002851A0">
            <w:pPr>
              <w:rPr>
                <w:rFonts w:ascii="楷体" w:eastAsia="楷体" w:hAnsi="楷体"/>
                <w:color w:val="000000"/>
                <w:sz w:val="16"/>
                <w:szCs w:val="16"/>
              </w:rPr>
            </w:pPr>
            <w:r>
              <w:rPr>
                <w:rFonts w:ascii="楷体" w:eastAsia="楷体" w:hAnsi="楷体" w:hint="eastAsia"/>
                <w:color w:val="000000"/>
                <w:sz w:val="16"/>
                <w:szCs w:val="16"/>
              </w:rPr>
              <w:t>080011.</w:t>
            </w:r>
          </w:p>
        </w:tc>
        <w:tc>
          <w:tcPr>
            <w:tcW w:w="1701" w:type="dxa"/>
            <w:tcBorders>
              <w:top w:val="nil"/>
              <w:left w:val="nil"/>
              <w:bottom w:val="nil"/>
              <w:right w:val="nil"/>
            </w:tcBorders>
            <w:shd w:val="clear" w:color="auto" w:fill="FFFFFF" w:themeFill="background1"/>
            <w:vAlign w:val="center"/>
            <w:hideMark/>
          </w:tcPr>
          <w:p w:rsidR="002851A0" w:rsidRPr="002851A0" w:rsidRDefault="002851A0">
            <w:pPr>
              <w:rPr>
                <w:rFonts w:ascii="楷体" w:eastAsia="楷体" w:hAnsi="楷体"/>
                <w:color w:val="000000"/>
                <w:sz w:val="16"/>
                <w:szCs w:val="16"/>
              </w:rPr>
            </w:pPr>
            <w:r w:rsidRPr="002851A0">
              <w:rPr>
                <w:rFonts w:ascii="楷体" w:eastAsia="楷体" w:hAnsi="楷体" w:hint="eastAsia"/>
                <w:color w:val="000000"/>
                <w:sz w:val="16"/>
                <w:szCs w:val="16"/>
              </w:rPr>
              <w:t>长盛货币</w:t>
            </w:r>
          </w:p>
        </w:tc>
        <w:tc>
          <w:tcPr>
            <w:tcW w:w="743" w:type="dxa"/>
            <w:tcBorders>
              <w:top w:val="nil"/>
              <w:left w:val="nil"/>
              <w:bottom w:val="nil"/>
              <w:right w:val="nil"/>
            </w:tcBorders>
            <w:shd w:val="clear" w:color="auto" w:fill="FFFFFF" w:themeFill="background1"/>
            <w:vAlign w:val="center"/>
            <w:hideMark/>
          </w:tcPr>
          <w:p w:rsidR="002851A0" w:rsidRPr="002851A0" w:rsidRDefault="002851A0">
            <w:pPr>
              <w:jc w:val="right"/>
              <w:rPr>
                <w:rFonts w:ascii="楷体" w:eastAsia="楷体" w:hAnsi="楷体"/>
                <w:color w:val="000000"/>
                <w:sz w:val="16"/>
                <w:szCs w:val="16"/>
              </w:rPr>
            </w:pPr>
            <w:r w:rsidRPr="002851A0">
              <w:rPr>
                <w:rFonts w:ascii="楷体" w:eastAsia="楷体" w:hAnsi="楷体" w:hint="eastAsia"/>
                <w:color w:val="000000"/>
                <w:sz w:val="16"/>
                <w:szCs w:val="16"/>
              </w:rPr>
              <w:t>9.62</w:t>
            </w:r>
          </w:p>
        </w:tc>
      </w:tr>
      <w:tr w:rsidR="002851A0" w:rsidRPr="0032491D" w:rsidTr="00FC5199">
        <w:trPr>
          <w:trHeight w:val="284"/>
        </w:trPr>
        <w:tc>
          <w:tcPr>
            <w:tcW w:w="709" w:type="dxa"/>
            <w:vMerge/>
            <w:tcBorders>
              <w:left w:val="nil"/>
              <w:right w:val="single" w:sz="8" w:space="0" w:color="000000"/>
            </w:tcBorders>
            <w:shd w:val="clear" w:color="auto" w:fill="FFFFFF" w:themeFill="background1"/>
            <w:vAlign w:val="center"/>
            <w:hideMark/>
          </w:tcPr>
          <w:p w:rsidR="002851A0" w:rsidRPr="0032491D" w:rsidRDefault="002851A0"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2851A0" w:rsidRPr="002851A0" w:rsidRDefault="002851A0">
            <w:pPr>
              <w:rPr>
                <w:rFonts w:ascii="楷体" w:eastAsia="楷体" w:hAnsi="楷体"/>
                <w:color w:val="000000"/>
                <w:sz w:val="16"/>
                <w:szCs w:val="16"/>
              </w:rPr>
            </w:pPr>
            <w:r>
              <w:rPr>
                <w:rFonts w:ascii="楷体" w:eastAsia="楷体" w:hAnsi="楷体" w:hint="eastAsia"/>
                <w:color w:val="000000"/>
                <w:sz w:val="16"/>
                <w:szCs w:val="16"/>
              </w:rPr>
              <w:t>001931.</w:t>
            </w:r>
          </w:p>
        </w:tc>
        <w:tc>
          <w:tcPr>
            <w:tcW w:w="1701" w:type="dxa"/>
            <w:tcBorders>
              <w:top w:val="nil"/>
              <w:left w:val="nil"/>
              <w:bottom w:val="nil"/>
              <w:right w:val="nil"/>
            </w:tcBorders>
            <w:shd w:val="clear" w:color="auto" w:fill="FFFFFF" w:themeFill="background1"/>
            <w:vAlign w:val="center"/>
            <w:hideMark/>
          </w:tcPr>
          <w:p w:rsidR="002851A0" w:rsidRPr="002851A0" w:rsidRDefault="002851A0">
            <w:pPr>
              <w:rPr>
                <w:rFonts w:ascii="楷体" w:eastAsia="楷体" w:hAnsi="楷体"/>
                <w:color w:val="000000"/>
                <w:sz w:val="16"/>
                <w:szCs w:val="16"/>
              </w:rPr>
            </w:pPr>
            <w:r w:rsidRPr="002851A0">
              <w:rPr>
                <w:rFonts w:ascii="楷体" w:eastAsia="楷体" w:hAnsi="楷体" w:hint="eastAsia"/>
                <w:color w:val="000000"/>
                <w:sz w:val="16"/>
                <w:szCs w:val="16"/>
              </w:rPr>
              <w:t>国寿安保鑫钱包</w:t>
            </w:r>
          </w:p>
        </w:tc>
        <w:tc>
          <w:tcPr>
            <w:tcW w:w="743" w:type="dxa"/>
            <w:tcBorders>
              <w:top w:val="nil"/>
              <w:left w:val="nil"/>
              <w:bottom w:val="nil"/>
              <w:right w:val="nil"/>
            </w:tcBorders>
            <w:shd w:val="clear" w:color="auto" w:fill="FFFFFF" w:themeFill="background1"/>
            <w:vAlign w:val="center"/>
            <w:hideMark/>
          </w:tcPr>
          <w:p w:rsidR="002851A0" w:rsidRPr="002851A0" w:rsidRDefault="002851A0">
            <w:pPr>
              <w:jc w:val="right"/>
              <w:rPr>
                <w:rFonts w:ascii="楷体" w:eastAsia="楷体" w:hAnsi="楷体"/>
                <w:color w:val="000000"/>
                <w:sz w:val="16"/>
                <w:szCs w:val="16"/>
              </w:rPr>
            </w:pPr>
            <w:r w:rsidRPr="002851A0">
              <w:rPr>
                <w:rFonts w:ascii="楷体" w:eastAsia="楷体" w:hAnsi="楷体" w:hint="eastAsia"/>
                <w:color w:val="000000"/>
                <w:sz w:val="16"/>
                <w:szCs w:val="16"/>
              </w:rPr>
              <w:t>6.49</w:t>
            </w:r>
          </w:p>
        </w:tc>
      </w:tr>
      <w:tr w:rsidR="002851A0" w:rsidRPr="0032491D" w:rsidTr="00FC5199">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2851A0" w:rsidRPr="0032491D" w:rsidRDefault="002851A0"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2851A0" w:rsidRPr="002851A0" w:rsidRDefault="002851A0">
            <w:pPr>
              <w:rPr>
                <w:rFonts w:ascii="楷体" w:eastAsia="楷体" w:hAnsi="楷体"/>
                <w:color w:val="000000"/>
                <w:sz w:val="16"/>
                <w:szCs w:val="16"/>
              </w:rPr>
            </w:pPr>
            <w:r>
              <w:rPr>
                <w:rFonts w:ascii="楷体" w:eastAsia="楷体" w:hAnsi="楷体" w:hint="eastAsia"/>
                <w:color w:val="000000"/>
                <w:sz w:val="16"/>
                <w:szCs w:val="16"/>
              </w:rPr>
              <w:t>001698.</w:t>
            </w:r>
          </w:p>
        </w:tc>
        <w:tc>
          <w:tcPr>
            <w:tcW w:w="1701" w:type="dxa"/>
            <w:tcBorders>
              <w:top w:val="nil"/>
              <w:left w:val="nil"/>
              <w:bottom w:val="single" w:sz="8" w:space="0" w:color="000000"/>
              <w:right w:val="nil"/>
            </w:tcBorders>
            <w:shd w:val="clear" w:color="auto" w:fill="FFFFFF" w:themeFill="background1"/>
            <w:vAlign w:val="center"/>
            <w:hideMark/>
          </w:tcPr>
          <w:p w:rsidR="002851A0" w:rsidRPr="002851A0" w:rsidRDefault="002851A0">
            <w:pPr>
              <w:rPr>
                <w:rFonts w:ascii="楷体" w:eastAsia="楷体" w:hAnsi="楷体"/>
                <w:color w:val="000000"/>
                <w:sz w:val="16"/>
                <w:szCs w:val="16"/>
              </w:rPr>
            </w:pPr>
            <w:r w:rsidRPr="002851A0">
              <w:rPr>
                <w:rFonts w:ascii="楷体" w:eastAsia="楷体" w:hAnsi="楷体" w:hint="eastAsia"/>
                <w:color w:val="000000"/>
                <w:sz w:val="16"/>
                <w:szCs w:val="16"/>
              </w:rPr>
              <w:t>大成</w:t>
            </w:r>
            <w:proofErr w:type="gramStart"/>
            <w:r w:rsidRPr="002851A0">
              <w:rPr>
                <w:rFonts w:ascii="楷体" w:eastAsia="楷体" w:hAnsi="楷体" w:hint="eastAsia"/>
                <w:color w:val="000000"/>
                <w:sz w:val="16"/>
                <w:szCs w:val="16"/>
              </w:rPr>
              <w:t>恒丰宝</w:t>
            </w:r>
            <w:proofErr w:type="gramEnd"/>
            <w:r w:rsidRPr="002851A0">
              <w:rPr>
                <w:rFonts w:ascii="楷体" w:eastAsia="楷体" w:hAnsi="楷体" w:hint="eastAsia"/>
                <w:color w:val="000000"/>
                <w:sz w:val="16"/>
                <w:szCs w:val="16"/>
              </w:rPr>
              <w:t>B</w:t>
            </w:r>
          </w:p>
        </w:tc>
        <w:tc>
          <w:tcPr>
            <w:tcW w:w="743" w:type="dxa"/>
            <w:tcBorders>
              <w:top w:val="nil"/>
              <w:left w:val="nil"/>
              <w:bottom w:val="single" w:sz="8" w:space="0" w:color="000000"/>
              <w:right w:val="nil"/>
            </w:tcBorders>
            <w:shd w:val="clear" w:color="auto" w:fill="FFFFFF" w:themeFill="background1"/>
            <w:vAlign w:val="center"/>
            <w:hideMark/>
          </w:tcPr>
          <w:p w:rsidR="002851A0" w:rsidRPr="002851A0" w:rsidRDefault="002851A0">
            <w:pPr>
              <w:jc w:val="right"/>
              <w:rPr>
                <w:rFonts w:ascii="楷体" w:eastAsia="楷体" w:hAnsi="楷体"/>
                <w:color w:val="000000"/>
                <w:sz w:val="16"/>
                <w:szCs w:val="16"/>
              </w:rPr>
            </w:pPr>
            <w:r w:rsidRPr="002851A0">
              <w:rPr>
                <w:rFonts w:ascii="楷体" w:eastAsia="楷体" w:hAnsi="楷体" w:hint="eastAsia"/>
                <w:color w:val="000000"/>
                <w:sz w:val="16"/>
                <w:szCs w:val="16"/>
              </w:rPr>
              <w:t>6.44</w:t>
            </w:r>
          </w:p>
        </w:tc>
      </w:tr>
      <w:tr w:rsidR="007A39E5" w:rsidRPr="0032491D" w:rsidTr="00FC5199">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7A39E5" w:rsidRPr="0032491D" w:rsidRDefault="007A39E5" w:rsidP="00FC519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商品基金</w:t>
            </w:r>
          </w:p>
        </w:tc>
        <w:tc>
          <w:tcPr>
            <w:tcW w:w="817" w:type="dxa"/>
            <w:tcBorders>
              <w:top w:val="nil"/>
              <w:left w:val="nil"/>
              <w:bottom w:val="single" w:sz="8" w:space="0" w:color="000000"/>
              <w:right w:val="nil"/>
            </w:tcBorders>
            <w:shd w:val="clear" w:color="auto" w:fill="F2F2F2" w:themeFill="background1" w:themeFillShade="F2"/>
            <w:vAlign w:val="center"/>
            <w:hideMark/>
          </w:tcPr>
          <w:p w:rsidR="007A39E5" w:rsidRPr="007A39E5" w:rsidRDefault="007A39E5">
            <w:pPr>
              <w:rPr>
                <w:rFonts w:ascii="楷体" w:eastAsia="楷体" w:hAnsi="楷体"/>
                <w:color w:val="000000"/>
                <w:sz w:val="16"/>
                <w:szCs w:val="16"/>
              </w:rPr>
            </w:pPr>
            <w:r>
              <w:rPr>
                <w:rFonts w:ascii="楷体" w:eastAsia="楷体" w:hAnsi="楷体" w:hint="eastAsia"/>
                <w:color w:val="000000"/>
                <w:sz w:val="16"/>
                <w:szCs w:val="16"/>
              </w:rPr>
              <w:t>000218.</w:t>
            </w:r>
          </w:p>
        </w:tc>
        <w:tc>
          <w:tcPr>
            <w:tcW w:w="1701" w:type="dxa"/>
            <w:tcBorders>
              <w:top w:val="nil"/>
              <w:left w:val="nil"/>
              <w:bottom w:val="single" w:sz="8" w:space="0" w:color="000000"/>
              <w:right w:val="nil"/>
            </w:tcBorders>
            <w:shd w:val="clear" w:color="auto" w:fill="F2F2F2" w:themeFill="background1" w:themeFillShade="F2"/>
            <w:vAlign w:val="center"/>
            <w:hideMark/>
          </w:tcPr>
          <w:p w:rsidR="007A39E5" w:rsidRPr="007A39E5" w:rsidRDefault="007A39E5">
            <w:pPr>
              <w:rPr>
                <w:rFonts w:ascii="楷体" w:eastAsia="楷体" w:hAnsi="楷体"/>
                <w:color w:val="000000"/>
                <w:sz w:val="16"/>
                <w:szCs w:val="16"/>
              </w:rPr>
            </w:pPr>
            <w:r w:rsidRPr="007A39E5">
              <w:rPr>
                <w:rFonts w:ascii="楷体" w:eastAsia="楷体" w:hAnsi="楷体" w:hint="eastAsia"/>
                <w:color w:val="000000"/>
                <w:sz w:val="16"/>
                <w:szCs w:val="16"/>
              </w:rPr>
              <w:t>国泰黄金ETF联接</w:t>
            </w:r>
          </w:p>
        </w:tc>
        <w:tc>
          <w:tcPr>
            <w:tcW w:w="743" w:type="dxa"/>
            <w:tcBorders>
              <w:top w:val="nil"/>
              <w:left w:val="nil"/>
              <w:bottom w:val="single" w:sz="8" w:space="0" w:color="000000"/>
              <w:right w:val="nil"/>
            </w:tcBorders>
            <w:shd w:val="clear" w:color="auto" w:fill="F2F2F2" w:themeFill="background1" w:themeFillShade="F2"/>
            <w:vAlign w:val="center"/>
            <w:hideMark/>
          </w:tcPr>
          <w:p w:rsidR="007A39E5" w:rsidRPr="007A39E5" w:rsidRDefault="007A39E5">
            <w:pPr>
              <w:jc w:val="right"/>
              <w:rPr>
                <w:rFonts w:ascii="楷体" w:eastAsia="楷体" w:hAnsi="楷体"/>
                <w:color w:val="000000"/>
                <w:sz w:val="16"/>
                <w:szCs w:val="16"/>
              </w:rPr>
            </w:pPr>
            <w:r w:rsidRPr="007A39E5">
              <w:rPr>
                <w:rFonts w:ascii="楷体" w:eastAsia="楷体" w:hAnsi="楷体" w:hint="eastAsia"/>
                <w:color w:val="000000"/>
                <w:sz w:val="16"/>
                <w:szCs w:val="16"/>
              </w:rPr>
              <w:t>-0.18</w:t>
            </w:r>
          </w:p>
        </w:tc>
      </w:tr>
      <w:tr w:rsidR="007A39E5" w:rsidRPr="0032491D" w:rsidTr="00FC5199">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7A39E5" w:rsidRPr="0032491D" w:rsidRDefault="007A39E5" w:rsidP="00FC519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QDII</w:t>
            </w:r>
          </w:p>
        </w:tc>
        <w:tc>
          <w:tcPr>
            <w:tcW w:w="817" w:type="dxa"/>
            <w:tcBorders>
              <w:top w:val="nil"/>
              <w:left w:val="nil"/>
              <w:bottom w:val="nil"/>
              <w:right w:val="nil"/>
            </w:tcBorders>
            <w:shd w:val="clear" w:color="auto" w:fill="FFFFFF" w:themeFill="background1"/>
            <w:vAlign w:val="center"/>
            <w:hideMark/>
          </w:tcPr>
          <w:p w:rsidR="007A39E5" w:rsidRPr="007A39E5" w:rsidRDefault="007A39E5">
            <w:pPr>
              <w:rPr>
                <w:rFonts w:ascii="楷体" w:eastAsia="楷体" w:hAnsi="楷体"/>
                <w:color w:val="000000"/>
                <w:sz w:val="16"/>
                <w:szCs w:val="16"/>
              </w:rPr>
            </w:pPr>
            <w:r>
              <w:rPr>
                <w:rFonts w:ascii="楷体" w:eastAsia="楷体" w:hAnsi="楷体" w:hint="eastAsia"/>
                <w:color w:val="000000"/>
                <w:sz w:val="16"/>
                <w:szCs w:val="16"/>
              </w:rPr>
              <w:t>160216.</w:t>
            </w:r>
          </w:p>
        </w:tc>
        <w:tc>
          <w:tcPr>
            <w:tcW w:w="1701" w:type="dxa"/>
            <w:tcBorders>
              <w:top w:val="nil"/>
              <w:left w:val="nil"/>
              <w:bottom w:val="nil"/>
              <w:right w:val="nil"/>
            </w:tcBorders>
            <w:shd w:val="clear" w:color="auto" w:fill="FFFFFF" w:themeFill="background1"/>
            <w:vAlign w:val="center"/>
            <w:hideMark/>
          </w:tcPr>
          <w:p w:rsidR="007A39E5" w:rsidRPr="007A39E5" w:rsidRDefault="007A39E5">
            <w:pPr>
              <w:rPr>
                <w:rFonts w:ascii="楷体" w:eastAsia="楷体" w:hAnsi="楷体"/>
                <w:color w:val="000000"/>
                <w:sz w:val="16"/>
                <w:szCs w:val="16"/>
              </w:rPr>
            </w:pPr>
            <w:r w:rsidRPr="007A39E5">
              <w:rPr>
                <w:rFonts w:ascii="楷体" w:eastAsia="楷体" w:hAnsi="楷体" w:hint="eastAsia"/>
                <w:color w:val="000000"/>
                <w:sz w:val="16"/>
                <w:szCs w:val="16"/>
              </w:rPr>
              <w:t>国泰大宗商品</w:t>
            </w:r>
          </w:p>
        </w:tc>
        <w:tc>
          <w:tcPr>
            <w:tcW w:w="743" w:type="dxa"/>
            <w:tcBorders>
              <w:top w:val="nil"/>
              <w:left w:val="nil"/>
              <w:bottom w:val="nil"/>
              <w:right w:val="nil"/>
            </w:tcBorders>
            <w:shd w:val="clear" w:color="auto" w:fill="FFFFFF" w:themeFill="background1"/>
            <w:vAlign w:val="center"/>
            <w:hideMark/>
          </w:tcPr>
          <w:p w:rsidR="007A39E5" w:rsidRPr="007A39E5" w:rsidRDefault="007A39E5">
            <w:pPr>
              <w:jc w:val="right"/>
              <w:rPr>
                <w:rFonts w:ascii="楷体" w:eastAsia="楷体" w:hAnsi="楷体"/>
                <w:color w:val="000000"/>
                <w:sz w:val="16"/>
                <w:szCs w:val="16"/>
              </w:rPr>
            </w:pPr>
            <w:r w:rsidRPr="007A39E5">
              <w:rPr>
                <w:rFonts w:ascii="楷体" w:eastAsia="楷体" w:hAnsi="楷体" w:hint="eastAsia"/>
                <w:color w:val="000000"/>
                <w:sz w:val="16"/>
                <w:szCs w:val="16"/>
              </w:rPr>
              <w:t>5.13</w:t>
            </w:r>
          </w:p>
        </w:tc>
      </w:tr>
      <w:tr w:rsidR="007A39E5" w:rsidRPr="0032491D" w:rsidTr="00FC5199">
        <w:trPr>
          <w:trHeight w:val="284"/>
        </w:trPr>
        <w:tc>
          <w:tcPr>
            <w:tcW w:w="709" w:type="dxa"/>
            <w:vMerge/>
            <w:tcBorders>
              <w:left w:val="nil"/>
              <w:right w:val="single" w:sz="8" w:space="0" w:color="000000"/>
            </w:tcBorders>
            <w:shd w:val="clear" w:color="auto" w:fill="FFFFFF" w:themeFill="background1"/>
            <w:vAlign w:val="center"/>
            <w:hideMark/>
          </w:tcPr>
          <w:p w:rsidR="007A39E5" w:rsidRPr="0032491D" w:rsidRDefault="007A39E5" w:rsidP="00FC5199">
            <w:pPr>
              <w:jc w:val="left"/>
              <w:rPr>
                <w:rFonts w:ascii="楷体" w:eastAsia="楷体" w:hAnsi="楷体"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7A39E5" w:rsidRPr="007A39E5" w:rsidRDefault="007A39E5">
            <w:pPr>
              <w:rPr>
                <w:rFonts w:ascii="楷体" w:eastAsia="楷体" w:hAnsi="楷体"/>
                <w:color w:val="000000"/>
                <w:sz w:val="16"/>
                <w:szCs w:val="16"/>
              </w:rPr>
            </w:pPr>
            <w:r>
              <w:rPr>
                <w:rFonts w:ascii="楷体" w:eastAsia="楷体" w:hAnsi="楷体" w:hint="eastAsia"/>
                <w:color w:val="000000"/>
                <w:sz w:val="16"/>
                <w:szCs w:val="16"/>
              </w:rPr>
              <w:t>165513.</w:t>
            </w:r>
          </w:p>
        </w:tc>
        <w:tc>
          <w:tcPr>
            <w:tcW w:w="1701" w:type="dxa"/>
            <w:tcBorders>
              <w:top w:val="nil"/>
              <w:left w:val="nil"/>
              <w:bottom w:val="nil"/>
              <w:right w:val="nil"/>
            </w:tcBorders>
            <w:shd w:val="clear" w:color="auto" w:fill="FFFFFF" w:themeFill="background1"/>
            <w:vAlign w:val="center"/>
            <w:hideMark/>
          </w:tcPr>
          <w:p w:rsidR="007A39E5" w:rsidRPr="007A39E5" w:rsidRDefault="007A39E5">
            <w:pPr>
              <w:rPr>
                <w:rFonts w:ascii="楷体" w:eastAsia="楷体" w:hAnsi="楷体"/>
                <w:color w:val="000000"/>
                <w:sz w:val="16"/>
                <w:szCs w:val="16"/>
              </w:rPr>
            </w:pPr>
            <w:r w:rsidRPr="007A39E5">
              <w:rPr>
                <w:rFonts w:ascii="楷体" w:eastAsia="楷体" w:hAnsi="楷体" w:hint="eastAsia"/>
                <w:color w:val="000000"/>
                <w:sz w:val="16"/>
                <w:szCs w:val="16"/>
              </w:rPr>
              <w:t>信</w:t>
            </w:r>
            <w:proofErr w:type="gramStart"/>
            <w:r w:rsidRPr="007A39E5">
              <w:rPr>
                <w:rFonts w:ascii="楷体" w:eastAsia="楷体" w:hAnsi="楷体" w:hint="eastAsia"/>
                <w:color w:val="000000"/>
                <w:sz w:val="16"/>
                <w:szCs w:val="16"/>
              </w:rPr>
              <w:t>诚全球</w:t>
            </w:r>
            <w:proofErr w:type="gramEnd"/>
            <w:r w:rsidRPr="007A39E5">
              <w:rPr>
                <w:rFonts w:ascii="楷体" w:eastAsia="楷体" w:hAnsi="楷体" w:hint="eastAsia"/>
                <w:color w:val="000000"/>
                <w:sz w:val="16"/>
                <w:szCs w:val="16"/>
              </w:rPr>
              <w:t>商品主题</w:t>
            </w:r>
          </w:p>
        </w:tc>
        <w:tc>
          <w:tcPr>
            <w:tcW w:w="743" w:type="dxa"/>
            <w:tcBorders>
              <w:top w:val="nil"/>
              <w:left w:val="nil"/>
              <w:bottom w:val="nil"/>
              <w:right w:val="nil"/>
            </w:tcBorders>
            <w:shd w:val="clear" w:color="auto" w:fill="FFFFFF" w:themeFill="background1"/>
            <w:vAlign w:val="center"/>
            <w:hideMark/>
          </w:tcPr>
          <w:p w:rsidR="007A39E5" w:rsidRPr="007A39E5" w:rsidRDefault="007A39E5">
            <w:pPr>
              <w:jc w:val="right"/>
              <w:rPr>
                <w:rFonts w:ascii="楷体" w:eastAsia="楷体" w:hAnsi="楷体"/>
                <w:color w:val="000000"/>
                <w:sz w:val="16"/>
                <w:szCs w:val="16"/>
              </w:rPr>
            </w:pPr>
            <w:r w:rsidRPr="007A39E5">
              <w:rPr>
                <w:rFonts w:ascii="楷体" w:eastAsia="楷体" w:hAnsi="楷体" w:hint="eastAsia"/>
                <w:color w:val="000000"/>
                <w:sz w:val="16"/>
                <w:szCs w:val="16"/>
              </w:rPr>
              <w:t>2.40</w:t>
            </w:r>
          </w:p>
        </w:tc>
      </w:tr>
      <w:tr w:rsidR="007A39E5" w:rsidRPr="0032491D" w:rsidTr="00FC5199">
        <w:trPr>
          <w:trHeight w:val="284"/>
        </w:trPr>
        <w:tc>
          <w:tcPr>
            <w:tcW w:w="709" w:type="dxa"/>
            <w:vMerge/>
            <w:tcBorders>
              <w:left w:val="nil"/>
              <w:bottom w:val="single" w:sz="12" w:space="0" w:color="auto"/>
              <w:right w:val="single" w:sz="8" w:space="0" w:color="000000"/>
            </w:tcBorders>
            <w:shd w:val="clear" w:color="auto" w:fill="FFFFFF" w:themeFill="background1"/>
            <w:vAlign w:val="center"/>
            <w:hideMark/>
          </w:tcPr>
          <w:p w:rsidR="007A39E5" w:rsidRPr="0032491D" w:rsidRDefault="007A39E5" w:rsidP="00FC5199">
            <w:pPr>
              <w:widowControl/>
              <w:jc w:val="left"/>
              <w:rPr>
                <w:rFonts w:ascii="楷体" w:eastAsia="楷体" w:hAnsi="楷体" w:cs="Arial"/>
                <w:b/>
                <w:bCs/>
                <w:color w:val="000000"/>
                <w:kern w:val="0"/>
                <w:sz w:val="18"/>
                <w:szCs w:val="18"/>
              </w:rPr>
            </w:pPr>
          </w:p>
        </w:tc>
        <w:tc>
          <w:tcPr>
            <w:tcW w:w="817" w:type="dxa"/>
            <w:tcBorders>
              <w:top w:val="nil"/>
              <w:left w:val="nil"/>
              <w:bottom w:val="single" w:sz="12" w:space="0" w:color="auto"/>
              <w:right w:val="nil"/>
            </w:tcBorders>
            <w:shd w:val="clear" w:color="auto" w:fill="FFFFFF" w:themeFill="background1"/>
            <w:vAlign w:val="center"/>
            <w:hideMark/>
          </w:tcPr>
          <w:p w:rsidR="007A39E5" w:rsidRPr="007A39E5" w:rsidRDefault="007A39E5">
            <w:pPr>
              <w:rPr>
                <w:rFonts w:ascii="楷体" w:eastAsia="楷体" w:hAnsi="楷体"/>
                <w:color w:val="000000"/>
                <w:sz w:val="16"/>
                <w:szCs w:val="16"/>
              </w:rPr>
            </w:pPr>
            <w:r>
              <w:rPr>
                <w:rFonts w:ascii="楷体" w:eastAsia="楷体" w:hAnsi="楷体" w:hint="eastAsia"/>
                <w:color w:val="000000"/>
                <w:sz w:val="16"/>
                <w:szCs w:val="16"/>
              </w:rPr>
              <w:t>270027.</w:t>
            </w:r>
          </w:p>
        </w:tc>
        <w:tc>
          <w:tcPr>
            <w:tcW w:w="1701" w:type="dxa"/>
            <w:tcBorders>
              <w:top w:val="nil"/>
              <w:left w:val="nil"/>
              <w:bottom w:val="single" w:sz="12" w:space="0" w:color="auto"/>
              <w:right w:val="nil"/>
            </w:tcBorders>
            <w:shd w:val="clear" w:color="auto" w:fill="FFFFFF" w:themeFill="background1"/>
            <w:vAlign w:val="center"/>
            <w:hideMark/>
          </w:tcPr>
          <w:p w:rsidR="007A39E5" w:rsidRPr="007A39E5" w:rsidRDefault="007A39E5">
            <w:pPr>
              <w:rPr>
                <w:rFonts w:ascii="楷体" w:eastAsia="楷体" w:hAnsi="楷体"/>
                <w:color w:val="000000"/>
                <w:sz w:val="16"/>
                <w:szCs w:val="16"/>
              </w:rPr>
            </w:pPr>
            <w:r w:rsidRPr="007A39E5">
              <w:rPr>
                <w:rFonts w:ascii="楷体" w:eastAsia="楷体" w:hAnsi="楷体" w:hint="eastAsia"/>
                <w:color w:val="000000"/>
                <w:sz w:val="16"/>
                <w:szCs w:val="16"/>
              </w:rPr>
              <w:t>广发标</w:t>
            </w:r>
            <w:proofErr w:type="gramStart"/>
            <w:r w:rsidRPr="007A39E5">
              <w:rPr>
                <w:rFonts w:ascii="楷体" w:eastAsia="楷体" w:hAnsi="楷体" w:hint="eastAsia"/>
                <w:color w:val="000000"/>
                <w:sz w:val="16"/>
                <w:szCs w:val="16"/>
              </w:rPr>
              <w:t>普全球</w:t>
            </w:r>
            <w:proofErr w:type="gramEnd"/>
            <w:r w:rsidRPr="007A39E5">
              <w:rPr>
                <w:rFonts w:ascii="楷体" w:eastAsia="楷体" w:hAnsi="楷体" w:hint="eastAsia"/>
                <w:color w:val="000000"/>
                <w:sz w:val="16"/>
                <w:szCs w:val="16"/>
              </w:rPr>
              <w:t>农业人民币</w:t>
            </w:r>
          </w:p>
        </w:tc>
        <w:tc>
          <w:tcPr>
            <w:tcW w:w="743" w:type="dxa"/>
            <w:tcBorders>
              <w:top w:val="nil"/>
              <w:left w:val="nil"/>
              <w:bottom w:val="single" w:sz="12" w:space="0" w:color="auto"/>
              <w:right w:val="nil"/>
            </w:tcBorders>
            <w:shd w:val="clear" w:color="auto" w:fill="FFFFFF" w:themeFill="background1"/>
            <w:vAlign w:val="center"/>
            <w:hideMark/>
          </w:tcPr>
          <w:p w:rsidR="007A39E5" w:rsidRPr="007A39E5" w:rsidRDefault="007A39E5">
            <w:pPr>
              <w:jc w:val="right"/>
              <w:rPr>
                <w:rFonts w:ascii="楷体" w:eastAsia="楷体" w:hAnsi="楷体"/>
                <w:color w:val="000000"/>
                <w:sz w:val="16"/>
                <w:szCs w:val="16"/>
              </w:rPr>
            </w:pPr>
            <w:r w:rsidRPr="007A39E5">
              <w:rPr>
                <w:rFonts w:ascii="楷体" w:eastAsia="楷体" w:hAnsi="楷体" w:hint="eastAsia"/>
                <w:color w:val="000000"/>
                <w:sz w:val="16"/>
                <w:szCs w:val="16"/>
              </w:rPr>
              <w:t>1.37</w:t>
            </w:r>
          </w:p>
        </w:tc>
      </w:tr>
      <w:tr w:rsidR="0053273E" w:rsidRPr="0032491D" w:rsidTr="00FC5199">
        <w:trPr>
          <w:trHeight w:val="284"/>
        </w:trPr>
        <w:tc>
          <w:tcPr>
            <w:tcW w:w="3970" w:type="dxa"/>
            <w:gridSpan w:val="4"/>
            <w:tcBorders>
              <w:top w:val="single" w:sz="12" w:space="0" w:color="auto"/>
              <w:left w:val="nil"/>
            </w:tcBorders>
            <w:shd w:val="clear" w:color="auto" w:fill="FFFFFF" w:themeFill="background1"/>
            <w:vAlign w:val="center"/>
          </w:tcPr>
          <w:p w:rsidR="0053273E" w:rsidRPr="0032491D" w:rsidRDefault="0053273E" w:rsidP="00FC5199">
            <w:pPr>
              <w:rPr>
                <w:rFonts w:ascii="楷体" w:eastAsia="楷体" w:hAnsi="楷体" w:cs="宋体"/>
                <w:b/>
                <w:bCs/>
                <w:color w:val="000000"/>
                <w:kern w:val="0"/>
                <w:sz w:val="16"/>
                <w:szCs w:val="16"/>
                <w:lang w:val="en-GB"/>
              </w:rPr>
            </w:pPr>
            <w:r w:rsidRPr="0032491D">
              <w:rPr>
                <w:rFonts w:ascii="楷体" w:eastAsia="楷体" w:hAnsi="楷体" w:cs="宋体" w:hint="eastAsia"/>
                <w:b/>
                <w:bCs/>
                <w:color w:val="000000"/>
                <w:kern w:val="0"/>
                <w:sz w:val="16"/>
                <w:szCs w:val="16"/>
                <w:lang w:val="en-GB"/>
              </w:rPr>
              <w:t>数据来源：</w:t>
            </w:r>
            <w:proofErr w:type="gramStart"/>
            <w:r w:rsidRPr="0032491D">
              <w:rPr>
                <w:rFonts w:ascii="楷体" w:eastAsia="楷体" w:hAnsi="楷体" w:cs="宋体" w:hint="eastAsia"/>
                <w:b/>
                <w:bCs/>
                <w:color w:val="000000"/>
                <w:kern w:val="0"/>
                <w:sz w:val="16"/>
                <w:szCs w:val="16"/>
                <w:lang w:val="en-GB"/>
              </w:rPr>
              <w:t>凯</w:t>
            </w:r>
            <w:proofErr w:type="gramEnd"/>
            <w:r w:rsidRPr="0032491D">
              <w:rPr>
                <w:rFonts w:ascii="楷体" w:eastAsia="楷体" w:hAnsi="楷体" w:cs="宋体" w:hint="eastAsia"/>
                <w:b/>
                <w:bCs/>
                <w:color w:val="000000"/>
                <w:kern w:val="0"/>
                <w:sz w:val="16"/>
                <w:szCs w:val="16"/>
                <w:lang w:val="en-GB"/>
              </w:rPr>
              <w:t>石、WIND</w:t>
            </w:r>
          </w:p>
        </w:tc>
      </w:tr>
    </w:tbl>
    <w:p w:rsidR="0053273E" w:rsidRPr="0032491D" w:rsidRDefault="0053273E" w:rsidP="0053273E">
      <w:pPr>
        <w:pStyle w:val="a6"/>
        <w:numPr>
          <w:ilvl w:val="0"/>
          <w:numId w:val="1"/>
        </w:numPr>
        <w:ind w:left="643" w:hangingChars="200" w:hanging="643"/>
        <w:rPr>
          <w:rFonts w:ascii="楷体" w:eastAsia="楷体" w:hAnsi="楷体" w:cs="Arial"/>
          <w:b/>
          <w:color w:val="996600"/>
          <w:sz w:val="32"/>
          <w:szCs w:val="28"/>
        </w:rPr>
      </w:pPr>
      <w:r w:rsidRPr="0032491D">
        <w:rPr>
          <w:rFonts w:ascii="楷体" w:eastAsia="楷体" w:hAnsi="楷体" w:cs="Arial"/>
          <w:b/>
          <w:color w:val="996600"/>
          <w:sz w:val="32"/>
          <w:szCs w:val="28"/>
        </w:rPr>
        <w:t>未来基金投资策略</w:t>
      </w:r>
    </w:p>
    <w:p w:rsidR="0053273E" w:rsidRPr="0032491D" w:rsidRDefault="0053273E" w:rsidP="00CE3206">
      <w:pPr>
        <w:pStyle w:val="a5"/>
        <w:spacing w:beforeLines="100" w:before="240" w:afterLines="100" w:after="240" w:line="260" w:lineRule="exact"/>
        <w:ind w:leftChars="1822" w:left="3826" w:rightChars="-34" w:right="-71" w:firstLineChars="212" w:firstLine="426"/>
        <w:rPr>
          <w:rFonts w:ascii="楷体" w:eastAsia="楷体" w:hAnsi="楷体" w:cs="Arial"/>
          <w:color w:val="auto"/>
          <w:sz w:val="20"/>
          <w:szCs w:val="20"/>
        </w:rPr>
      </w:pPr>
      <w:proofErr w:type="gramStart"/>
      <w:r w:rsidRPr="00BE3229">
        <w:rPr>
          <w:rFonts w:ascii="楷体" w:eastAsia="楷体" w:hAnsi="楷体" w:cs="Arial"/>
          <w:b/>
          <w:color w:val="auto"/>
          <w:sz w:val="20"/>
          <w:szCs w:val="20"/>
        </w:rPr>
        <w:t>股混基金</w:t>
      </w:r>
      <w:proofErr w:type="gramEnd"/>
      <w:r w:rsidR="00F129A0">
        <w:rPr>
          <w:rFonts w:ascii="楷体" w:eastAsia="楷体" w:hAnsi="楷体" w:cs="Arial" w:hint="eastAsia"/>
          <w:b/>
          <w:color w:val="auto"/>
          <w:sz w:val="20"/>
          <w:szCs w:val="20"/>
        </w:rPr>
        <w:t>回归中性</w:t>
      </w:r>
      <w:proofErr w:type="gramStart"/>
      <w:r w:rsidR="00F129A0">
        <w:rPr>
          <w:rFonts w:ascii="楷体" w:eastAsia="楷体" w:hAnsi="楷体" w:cs="Arial" w:hint="eastAsia"/>
          <w:b/>
          <w:color w:val="auto"/>
          <w:sz w:val="20"/>
          <w:szCs w:val="20"/>
        </w:rPr>
        <w:t>仓位</w:t>
      </w:r>
      <w:proofErr w:type="gramEnd"/>
      <w:r w:rsidR="00F129A0">
        <w:rPr>
          <w:rFonts w:ascii="楷体" w:eastAsia="楷体" w:hAnsi="楷体" w:cs="Arial" w:hint="eastAsia"/>
          <w:b/>
          <w:color w:val="auto"/>
          <w:sz w:val="20"/>
          <w:szCs w:val="20"/>
        </w:rPr>
        <w:t>，结构均衡</w:t>
      </w:r>
      <w:r w:rsidRPr="00BE3229">
        <w:rPr>
          <w:rFonts w:ascii="楷体" w:eastAsia="楷体" w:hAnsi="楷体" w:cs="Arial" w:hint="eastAsia"/>
          <w:b/>
          <w:color w:val="auto"/>
          <w:sz w:val="20"/>
          <w:szCs w:val="20"/>
        </w:rPr>
        <w:t>。</w:t>
      </w:r>
      <w:r w:rsidRPr="00BE3229">
        <w:rPr>
          <w:rFonts w:ascii="楷体" w:eastAsia="楷体" w:hAnsi="楷体" w:cs="Arial" w:hint="eastAsia"/>
          <w:color w:val="auto"/>
          <w:sz w:val="20"/>
          <w:szCs w:val="20"/>
        </w:rPr>
        <w:t>从</w:t>
      </w:r>
      <w:proofErr w:type="gramStart"/>
      <w:r w:rsidRPr="00BE3229">
        <w:rPr>
          <w:rFonts w:ascii="楷体" w:eastAsia="楷体" w:hAnsi="楷体" w:cs="Arial" w:hint="eastAsia"/>
          <w:color w:val="auto"/>
          <w:sz w:val="20"/>
          <w:szCs w:val="20"/>
        </w:rPr>
        <w:t>凯</w:t>
      </w:r>
      <w:proofErr w:type="gramEnd"/>
      <w:r w:rsidRPr="00BE3229">
        <w:rPr>
          <w:rFonts w:ascii="楷体" w:eastAsia="楷体" w:hAnsi="楷体" w:cs="Arial" w:hint="eastAsia"/>
          <w:color w:val="auto"/>
          <w:sz w:val="20"/>
          <w:szCs w:val="20"/>
        </w:rPr>
        <w:t>石6+1的分析框架看，</w:t>
      </w:r>
      <w:r w:rsidR="00E162B2">
        <w:rPr>
          <w:rFonts w:ascii="Arial" w:eastAsia="楷体_GB2312" w:hAnsi="Arial" w:cs="Arial" w:hint="eastAsia"/>
          <w:color w:val="000000" w:themeColor="text1"/>
          <w:sz w:val="20"/>
          <w:szCs w:val="20"/>
        </w:rPr>
        <w:t>基本面方面，</w:t>
      </w:r>
      <w:r w:rsidR="008C7E82">
        <w:rPr>
          <w:rFonts w:ascii="Arial" w:eastAsia="楷体_GB2312" w:hAnsi="Arial" w:cs="Arial" w:hint="eastAsia"/>
          <w:color w:val="000000" w:themeColor="text1"/>
          <w:sz w:val="20"/>
          <w:szCs w:val="20"/>
        </w:rPr>
        <w:t>经济数据显示复苏乏力但前期市场已经消化预期</w:t>
      </w:r>
      <w:r w:rsidR="00406B49">
        <w:rPr>
          <w:rFonts w:ascii="Arial" w:eastAsia="楷体_GB2312" w:hAnsi="Arial" w:cs="Arial" w:hint="eastAsia"/>
          <w:color w:val="000000" w:themeColor="text1"/>
          <w:sz w:val="20"/>
          <w:szCs w:val="20"/>
        </w:rPr>
        <w:t>，因此</w:t>
      </w:r>
      <w:r w:rsidR="008C7E82">
        <w:rPr>
          <w:rFonts w:ascii="Arial" w:eastAsia="楷体_GB2312" w:hAnsi="Arial" w:cs="Arial" w:hint="eastAsia"/>
          <w:color w:val="000000" w:themeColor="text1"/>
          <w:sz w:val="20"/>
          <w:szCs w:val="20"/>
        </w:rPr>
        <w:t>对市场影响</w:t>
      </w:r>
      <w:r w:rsidR="00E162B2">
        <w:rPr>
          <w:rFonts w:ascii="Arial" w:eastAsia="楷体_GB2312" w:hAnsi="Arial" w:cs="Arial" w:hint="eastAsia"/>
          <w:color w:val="000000" w:themeColor="text1"/>
          <w:sz w:val="20"/>
          <w:szCs w:val="20"/>
        </w:rPr>
        <w:t>偏中性</w:t>
      </w:r>
      <w:r w:rsidR="00E162B2" w:rsidRPr="006F7D36">
        <w:rPr>
          <w:rFonts w:ascii="Arial" w:eastAsia="楷体_GB2312" w:hAnsi="Arial" w:cs="Arial" w:hint="eastAsia"/>
          <w:color w:val="000000" w:themeColor="text1"/>
          <w:sz w:val="20"/>
          <w:szCs w:val="20"/>
        </w:rPr>
        <w:t>；资金面</w:t>
      </w:r>
      <w:r w:rsidR="00F129A0">
        <w:rPr>
          <w:rFonts w:ascii="Arial" w:eastAsia="楷体_GB2312" w:hAnsi="Arial" w:cs="Arial" w:hint="eastAsia"/>
          <w:color w:val="000000" w:themeColor="text1"/>
          <w:sz w:val="20"/>
          <w:szCs w:val="20"/>
        </w:rPr>
        <w:t>，</w:t>
      </w:r>
      <w:r w:rsidR="008C7E82">
        <w:rPr>
          <w:rFonts w:ascii="Arial" w:eastAsia="楷体_GB2312" w:hAnsi="Arial" w:cs="Arial" w:hint="eastAsia"/>
          <w:color w:val="000000" w:themeColor="text1"/>
          <w:sz w:val="20"/>
          <w:szCs w:val="20"/>
        </w:rPr>
        <w:t>央行大量</w:t>
      </w:r>
      <w:r w:rsidR="008C7E82">
        <w:rPr>
          <w:rFonts w:ascii="Arial" w:eastAsia="楷体_GB2312" w:hAnsi="Arial" w:cs="Arial" w:hint="eastAsia"/>
          <w:color w:val="000000" w:themeColor="text1"/>
          <w:sz w:val="20"/>
          <w:szCs w:val="20"/>
        </w:rPr>
        <w:t>MLF</w:t>
      </w:r>
      <w:r w:rsidR="00406B49">
        <w:rPr>
          <w:rFonts w:ascii="Arial" w:eastAsia="楷体_GB2312" w:hAnsi="Arial" w:cs="Arial" w:hint="eastAsia"/>
          <w:color w:val="000000" w:themeColor="text1"/>
          <w:sz w:val="20"/>
          <w:szCs w:val="20"/>
        </w:rPr>
        <w:t>显示</w:t>
      </w:r>
      <w:r w:rsidR="008C7E82">
        <w:rPr>
          <w:rFonts w:ascii="Arial" w:eastAsia="楷体_GB2312" w:hAnsi="Arial" w:cs="Arial" w:hint="eastAsia"/>
          <w:color w:val="000000" w:themeColor="text1"/>
          <w:sz w:val="20"/>
          <w:szCs w:val="20"/>
        </w:rPr>
        <w:t>维稳态度坚决，</w:t>
      </w:r>
      <w:r w:rsidR="00E162B2">
        <w:rPr>
          <w:rFonts w:ascii="Arial" w:eastAsia="楷体_GB2312" w:hAnsi="Arial" w:cs="Arial" w:hint="eastAsia"/>
          <w:color w:val="000000" w:themeColor="text1"/>
          <w:sz w:val="20"/>
          <w:szCs w:val="20"/>
        </w:rPr>
        <w:t>中性</w:t>
      </w:r>
      <w:r w:rsidR="00406B49">
        <w:rPr>
          <w:rFonts w:ascii="Arial" w:eastAsia="楷体_GB2312" w:hAnsi="Arial" w:cs="Arial" w:hint="eastAsia"/>
          <w:color w:val="000000" w:themeColor="text1"/>
          <w:sz w:val="20"/>
          <w:szCs w:val="20"/>
        </w:rPr>
        <w:t>偏积极</w:t>
      </w:r>
      <w:r w:rsidR="00E162B2" w:rsidRPr="006F7D36">
        <w:rPr>
          <w:rFonts w:ascii="Arial" w:eastAsia="楷体_GB2312" w:hAnsi="Arial" w:cs="Arial" w:hint="eastAsia"/>
          <w:color w:val="000000" w:themeColor="text1"/>
          <w:sz w:val="20"/>
          <w:szCs w:val="20"/>
        </w:rPr>
        <w:t>；政策面</w:t>
      </w:r>
      <w:r w:rsidR="00FE427A">
        <w:rPr>
          <w:rFonts w:ascii="Arial" w:eastAsia="楷体_GB2312" w:hAnsi="Arial" w:cs="Arial" w:hint="eastAsia"/>
          <w:color w:val="000000" w:themeColor="text1"/>
          <w:sz w:val="20"/>
          <w:szCs w:val="20"/>
        </w:rPr>
        <w:t>，</w:t>
      </w:r>
      <w:r w:rsidR="008C7E82">
        <w:rPr>
          <w:rFonts w:ascii="Arial" w:eastAsia="楷体_GB2312" w:hAnsi="Arial" w:cs="Arial" w:hint="eastAsia"/>
          <w:color w:val="000000" w:themeColor="text1"/>
          <w:sz w:val="20"/>
          <w:szCs w:val="20"/>
        </w:rPr>
        <w:t>对基金子公司的监管显示金融</w:t>
      </w:r>
      <w:proofErr w:type="gramStart"/>
      <w:r w:rsidR="008C7E82">
        <w:rPr>
          <w:rFonts w:ascii="Arial" w:eastAsia="楷体_GB2312" w:hAnsi="Arial" w:cs="Arial" w:hint="eastAsia"/>
          <w:color w:val="000000" w:themeColor="text1"/>
          <w:sz w:val="20"/>
          <w:szCs w:val="20"/>
        </w:rPr>
        <w:t>控风险</w:t>
      </w:r>
      <w:proofErr w:type="gramEnd"/>
      <w:r w:rsidR="008C7E82">
        <w:rPr>
          <w:rFonts w:ascii="Arial" w:eastAsia="楷体_GB2312" w:hAnsi="Arial" w:cs="Arial" w:hint="eastAsia"/>
          <w:color w:val="000000" w:themeColor="text1"/>
          <w:sz w:val="20"/>
          <w:szCs w:val="20"/>
        </w:rPr>
        <w:t>去杠杆的决心，</w:t>
      </w:r>
      <w:r w:rsidR="00FE427A">
        <w:rPr>
          <w:rFonts w:ascii="Arial" w:eastAsia="楷体_GB2312" w:hAnsi="Arial" w:cs="Arial" w:hint="eastAsia"/>
          <w:color w:val="000000" w:themeColor="text1"/>
          <w:sz w:val="20"/>
          <w:szCs w:val="20"/>
        </w:rPr>
        <w:t>财政政策上近期也着力调结构去产能，政策有长多短空趋势</w:t>
      </w:r>
      <w:r w:rsidR="00E162B2" w:rsidRPr="006F7D36">
        <w:rPr>
          <w:rFonts w:ascii="Arial" w:eastAsia="楷体_GB2312" w:hAnsi="Arial" w:cs="Arial" w:hint="eastAsia"/>
          <w:color w:val="000000" w:themeColor="text1"/>
          <w:sz w:val="20"/>
          <w:szCs w:val="20"/>
        </w:rPr>
        <w:t>；国际面</w:t>
      </w:r>
      <w:r w:rsidR="00FE427A">
        <w:rPr>
          <w:rFonts w:ascii="Arial" w:eastAsia="楷体_GB2312" w:hAnsi="Arial" w:cs="Arial" w:hint="eastAsia"/>
          <w:color w:val="000000" w:themeColor="text1"/>
          <w:sz w:val="20"/>
          <w:szCs w:val="20"/>
        </w:rPr>
        <w:t>，</w:t>
      </w:r>
      <w:r w:rsidR="00E162B2">
        <w:rPr>
          <w:rFonts w:ascii="Arial" w:eastAsia="楷体_GB2312" w:hAnsi="Arial" w:cs="Arial" w:hint="eastAsia"/>
          <w:color w:val="000000" w:themeColor="text1"/>
          <w:sz w:val="20"/>
          <w:szCs w:val="20"/>
        </w:rPr>
        <w:t>美国</w:t>
      </w:r>
      <w:r w:rsidR="00E162B2">
        <w:rPr>
          <w:rFonts w:ascii="Arial" w:eastAsia="楷体_GB2312" w:hAnsi="Arial" w:cs="Arial" w:hint="eastAsia"/>
          <w:color w:val="000000" w:themeColor="text1"/>
          <w:sz w:val="20"/>
          <w:szCs w:val="20"/>
        </w:rPr>
        <w:t>6</w:t>
      </w:r>
      <w:r w:rsidR="00E162B2">
        <w:rPr>
          <w:rFonts w:ascii="Arial" w:eastAsia="楷体_GB2312" w:hAnsi="Arial" w:cs="Arial" w:hint="eastAsia"/>
          <w:color w:val="000000" w:themeColor="text1"/>
          <w:sz w:val="20"/>
          <w:szCs w:val="20"/>
        </w:rPr>
        <w:t>月加息</w:t>
      </w:r>
      <w:r w:rsidR="00FE427A">
        <w:rPr>
          <w:rFonts w:ascii="Arial" w:eastAsia="楷体_GB2312" w:hAnsi="Arial" w:cs="Arial" w:hint="eastAsia"/>
          <w:color w:val="000000" w:themeColor="text1"/>
          <w:sz w:val="20"/>
          <w:szCs w:val="20"/>
        </w:rPr>
        <w:t>预期升温，偏负面</w:t>
      </w:r>
      <w:r w:rsidR="00E162B2" w:rsidRPr="006F7D36">
        <w:rPr>
          <w:rFonts w:ascii="Arial" w:eastAsia="楷体_GB2312" w:hAnsi="Arial" w:cs="Arial" w:hint="eastAsia"/>
          <w:color w:val="000000" w:themeColor="text1"/>
          <w:sz w:val="20"/>
          <w:szCs w:val="20"/>
        </w:rPr>
        <w:t>；汇率</w:t>
      </w:r>
      <w:r w:rsidR="00E162B2">
        <w:rPr>
          <w:rFonts w:ascii="Arial" w:eastAsia="楷体_GB2312" w:hAnsi="Arial" w:cs="Arial" w:hint="eastAsia"/>
          <w:color w:val="000000" w:themeColor="text1"/>
          <w:sz w:val="20"/>
          <w:szCs w:val="20"/>
        </w:rPr>
        <w:t>方面，</w:t>
      </w:r>
      <w:r w:rsidR="00FE427A">
        <w:rPr>
          <w:rFonts w:ascii="Arial" w:eastAsia="楷体_GB2312" w:hAnsi="Arial" w:cs="Arial" w:hint="eastAsia"/>
          <w:color w:val="000000" w:themeColor="text1"/>
          <w:sz w:val="20"/>
          <w:szCs w:val="20"/>
        </w:rPr>
        <w:t>受美国加息预期影响</w:t>
      </w:r>
      <w:r w:rsidR="00406B49">
        <w:rPr>
          <w:rFonts w:ascii="Arial" w:eastAsia="楷体_GB2312" w:hAnsi="Arial" w:cs="Arial" w:hint="eastAsia"/>
          <w:color w:val="000000" w:themeColor="text1"/>
          <w:sz w:val="20"/>
          <w:szCs w:val="20"/>
        </w:rPr>
        <w:t>人民币</w:t>
      </w:r>
      <w:r w:rsidR="00FE427A">
        <w:rPr>
          <w:rFonts w:ascii="Arial" w:eastAsia="楷体_GB2312" w:hAnsi="Arial" w:cs="Arial" w:hint="eastAsia"/>
          <w:color w:val="000000" w:themeColor="text1"/>
          <w:sz w:val="20"/>
          <w:szCs w:val="20"/>
        </w:rPr>
        <w:t>贬值压力陡增，偏负</w:t>
      </w:r>
      <w:r w:rsidR="00E162B2">
        <w:rPr>
          <w:rFonts w:ascii="Arial" w:eastAsia="楷体_GB2312" w:hAnsi="Arial" w:cs="Arial" w:hint="eastAsia"/>
          <w:color w:val="000000" w:themeColor="text1"/>
          <w:sz w:val="20"/>
          <w:szCs w:val="20"/>
        </w:rPr>
        <w:t>性</w:t>
      </w:r>
      <w:r w:rsidR="00FE427A">
        <w:rPr>
          <w:rFonts w:ascii="Arial" w:eastAsia="楷体_GB2312" w:hAnsi="Arial" w:cs="Arial" w:hint="eastAsia"/>
          <w:color w:val="000000" w:themeColor="text1"/>
          <w:sz w:val="20"/>
          <w:szCs w:val="20"/>
        </w:rPr>
        <w:t>；市场面</w:t>
      </w:r>
      <w:r w:rsidR="00E162B2" w:rsidRPr="006F7D36">
        <w:rPr>
          <w:rFonts w:ascii="Arial" w:eastAsia="楷体_GB2312" w:hAnsi="Arial" w:cs="Arial" w:hint="eastAsia"/>
          <w:color w:val="000000" w:themeColor="text1"/>
          <w:sz w:val="20"/>
          <w:szCs w:val="20"/>
        </w:rPr>
        <w:t>，</w:t>
      </w:r>
      <w:r w:rsidR="00FE427A">
        <w:rPr>
          <w:rFonts w:ascii="Arial" w:eastAsia="楷体_GB2312" w:hAnsi="Arial" w:cs="Arial" w:hint="eastAsia"/>
          <w:color w:val="000000" w:themeColor="text1"/>
          <w:sz w:val="20"/>
          <w:szCs w:val="20"/>
        </w:rPr>
        <w:t>连续</w:t>
      </w:r>
      <w:r w:rsidR="00FE427A">
        <w:rPr>
          <w:rFonts w:ascii="Arial" w:eastAsia="楷体_GB2312" w:hAnsi="Arial" w:cs="Arial" w:hint="eastAsia"/>
          <w:color w:val="000000" w:themeColor="text1"/>
          <w:sz w:val="20"/>
          <w:szCs w:val="20"/>
        </w:rPr>
        <w:t>5</w:t>
      </w:r>
      <w:r w:rsidR="00F129A0">
        <w:rPr>
          <w:rFonts w:ascii="Arial" w:eastAsia="楷体_GB2312" w:hAnsi="Arial" w:cs="Arial" w:hint="eastAsia"/>
          <w:color w:val="000000" w:themeColor="text1"/>
          <w:sz w:val="20"/>
          <w:szCs w:val="20"/>
        </w:rPr>
        <w:t>周的缩量下跌使得市场情绪极度低迷，但空头动能逐步衰竭，</w:t>
      </w:r>
      <w:r w:rsidR="00406B49">
        <w:rPr>
          <w:rFonts w:ascii="Arial" w:eastAsia="楷体_GB2312" w:hAnsi="Arial" w:cs="Arial" w:hint="eastAsia"/>
          <w:color w:val="000000" w:themeColor="text1"/>
          <w:sz w:val="20"/>
          <w:szCs w:val="20"/>
        </w:rPr>
        <w:t>短期市场面恐慌</w:t>
      </w:r>
      <w:r w:rsidR="00F129A0">
        <w:rPr>
          <w:rFonts w:ascii="Arial" w:eastAsia="楷体_GB2312" w:hAnsi="Arial" w:cs="Arial" w:hint="eastAsia"/>
          <w:color w:val="000000" w:themeColor="text1"/>
          <w:sz w:val="20"/>
          <w:szCs w:val="20"/>
        </w:rPr>
        <w:t>性杀跌再现的概率不大</w:t>
      </w:r>
      <w:r w:rsidR="00406B49">
        <w:rPr>
          <w:rFonts w:ascii="Arial" w:eastAsia="楷体_GB2312" w:hAnsi="Arial" w:cs="Arial" w:hint="eastAsia"/>
          <w:color w:val="000000" w:themeColor="text1"/>
          <w:sz w:val="20"/>
          <w:szCs w:val="20"/>
        </w:rPr>
        <w:t>，市场面影响</w:t>
      </w:r>
      <w:r w:rsidR="00F129A0">
        <w:rPr>
          <w:rFonts w:ascii="Arial" w:eastAsia="楷体_GB2312" w:hAnsi="Arial" w:cs="Arial" w:hint="eastAsia"/>
          <w:color w:val="000000" w:themeColor="text1"/>
          <w:sz w:val="20"/>
          <w:szCs w:val="20"/>
        </w:rPr>
        <w:t>强度</w:t>
      </w:r>
      <w:r w:rsidR="00406B49">
        <w:rPr>
          <w:rFonts w:ascii="Arial" w:eastAsia="楷体_GB2312" w:hAnsi="Arial" w:cs="Arial" w:hint="eastAsia"/>
          <w:color w:val="000000" w:themeColor="text1"/>
          <w:sz w:val="20"/>
          <w:szCs w:val="20"/>
        </w:rPr>
        <w:t>弱化</w:t>
      </w:r>
      <w:r w:rsidR="00F129A0">
        <w:rPr>
          <w:rFonts w:ascii="Arial" w:eastAsia="楷体_GB2312" w:hAnsi="Arial" w:cs="Arial" w:hint="eastAsia"/>
          <w:color w:val="000000" w:themeColor="text1"/>
          <w:sz w:val="20"/>
          <w:szCs w:val="20"/>
        </w:rPr>
        <w:t>且</w:t>
      </w:r>
      <w:r w:rsidR="00406B49">
        <w:rPr>
          <w:rFonts w:ascii="Arial" w:eastAsia="楷体_GB2312" w:hAnsi="Arial" w:cs="Arial" w:hint="eastAsia"/>
          <w:color w:val="000000" w:themeColor="text1"/>
          <w:sz w:val="20"/>
          <w:szCs w:val="20"/>
        </w:rPr>
        <w:t>中性</w:t>
      </w:r>
      <w:r w:rsidR="00FE427A">
        <w:rPr>
          <w:rFonts w:ascii="Arial" w:eastAsia="楷体_GB2312" w:hAnsi="Arial" w:cs="Arial" w:hint="eastAsia"/>
          <w:color w:val="000000" w:themeColor="text1"/>
          <w:sz w:val="20"/>
          <w:szCs w:val="20"/>
        </w:rPr>
        <w:t>。整体来看，当期市场依然</w:t>
      </w:r>
      <w:r w:rsidR="00406B49">
        <w:rPr>
          <w:rFonts w:ascii="Arial" w:eastAsia="楷体_GB2312" w:hAnsi="Arial" w:cs="Arial" w:hint="eastAsia"/>
          <w:color w:val="000000" w:themeColor="text1"/>
          <w:sz w:val="20"/>
          <w:szCs w:val="20"/>
        </w:rPr>
        <w:t>处在情绪低迷之中，</w:t>
      </w:r>
      <w:r w:rsidR="00FE427A">
        <w:rPr>
          <w:rFonts w:ascii="Arial" w:eastAsia="楷体_GB2312" w:hAnsi="Arial" w:cs="Arial" w:hint="eastAsia"/>
          <w:color w:val="000000" w:themeColor="text1"/>
          <w:sz w:val="20"/>
          <w:szCs w:val="20"/>
        </w:rPr>
        <w:t>美加息预期升温带来汇率压力，进而带来流动性担忧成为近期新的负面因素。但上周央行资金</w:t>
      </w:r>
      <w:proofErr w:type="gramStart"/>
      <w:r w:rsidR="00FE427A">
        <w:rPr>
          <w:rFonts w:ascii="Arial" w:eastAsia="楷体_GB2312" w:hAnsi="Arial" w:cs="Arial" w:hint="eastAsia"/>
          <w:color w:val="000000" w:themeColor="text1"/>
          <w:sz w:val="20"/>
          <w:szCs w:val="20"/>
        </w:rPr>
        <w:t>面维稳</w:t>
      </w:r>
      <w:proofErr w:type="gramEnd"/>
      <w:r w:rsidR="00FE427A">
        <w:rPr>
          <w:rFonts w:ascii="Arial" w:eastAsia="楷体_GB2312" w:hAnsi="Arial" w:cs="Arial" w:hint="eastAsia"/>
          <w:color w:val="000000" w:themeColor="text1"/>
          <w:sz w:val="20"/>
          <w:szCs w:val="20"/>
        </w:rPr>
        <w:t>决心和市场面</w:t>
      </w:r>
      <w:r w:rsidR="00406B49">
        <w:rPr>
          <w:rFonts w:ascii="Arial" w:eastAsia="楷体_GB2312" w:hAnsi="Arial" w:cs="Arial" w:hint="eastAsia"/>
          <w:color w:val="000000" w:themeColor="text1"/>
          <w:sz w:val="20"/>
          <w:szCs w:val="20"/>
        </w:rPr>
        <w:t>后半周显示出的自发反弹需求也是我们需要关注的积极转变点。</w:t>
      </w:r>
      <w:r w:rsidR="00F129A0">
        <w:rPr>
          <w:rFonts w:ascii="Arial" w:eastAsia="楷体_GB2312" w:hAnsi="Arial" w:cs="Arial" w:hint="eastAsia"/>
          <w:color w:val="000000" w:themeColor="text1"/>
          <w:sz w:val="20"/>
          <w:szCs w:val="20"/>
        </w:rPr>
        <w:t>短期</w:t>
      </w:r>
      <w:r w:rsidR="00406B49">
        <w:rPr>
          <w:rFonts w:ascii="Arial" w:eastAsia="楷体_GB2312" w:hAnsi="Arial" w:cs="Arial" w:hint="eastAsia"/>
          <w:color w:val="000000" w:themeColor="text1"/>
          <w:sz w:val="20"/>
          <w:szCs w:val="20"/>
        </w:rPr>
        <w:t>影响</w:t>
      </w:r>
      <w:r w:rsidR="00406B49">
        <w:rPr>
          <w:rFonts w:ascii="Arial" w:eastAsia="楷体_GB2312" w:hAnsi="Arial" w:cs="Arial" w:hint="eastAsia"/>
          <w:color w:val="000000" w:themeColor="text1"/>
          <w:sz w:val="20"/>
          <w:szCs w:val="20"/>
        </w:rPr>
        <w:t>A</w:t>
      </w:r>
      <w:r w:rsidR="00406B49">
        <w:rPr>
          <w:rFonts w:ascii="Arial" w:eastAsia="楷体_GB2312" w:hAnsi="Arial" w:cs="Arial" w:hint="eastAsia"/>
          <w:color w:val="000000" w:themeColor="text1"/>
          <w:sz w:val="20"/>
          <w:szCs w:val="20"/>
        </w:rPr>
        <w:t>股的几大因素有所变化，</w:t>
      </w:r>
      <w:r w:rsidR="00F129A0">
        <w:rPr>
          <w:rFonts w:ascii="Arial" w:eastAsia="楷体_GB2312" w:hAnsi="Arial" w:cs="Arial" w:hint="eastAsia"/>
          <w:color w:val="000000" w:themeColor="text1"/>
          <w:sz w:val="20"/>
          <w:szCs w:val="20"/>
        </w:rPr>
        <w:t>因此</w:t>
      </w:r>
      <w:r w:rsidR="00406B49">
        <w:rPr>
          <w:rFonts w:ascii="Arial" w:eastAsia="楷体_GB2312" w:hAnsi="Arial" w:cs="Arial" w:hint="eastAsia"/>
          <w:color w:val="000000" w:themeColor="text1"/>
          <w:sz w:val="20"/>
          <w:szCs w:val="20"/>
        </w:rPr>
        <w:t>相对稳态的震荡阴跌局面可能被打破，市场短期波动</w:t>
      </w:r>
      <w:r w:rsidR="00F129A0">
        <w:rPr>
          <w:rFonts w:ascii="Arial" w:eastAsia="楷体_GB2312" w:hAnsi="Arial" w:cs="Arial" w:hint="eastAsia"/>
          <w:color w:val="000000" w:themeColor="text1"/>
          <w:sz w:val="20"/>
          <w:szCs w:val="20"/>
        </w:rPr>
        <w:t>或加剧</w:t>
      </w:r>
      <w:r w:rsidR="00406B49">
        <w:rPr>
          <w:rFonts w:ascii="Arial" w:eastAsia="楷体_GB2312" w:hAnsi="Arial" w:cs="Arial" w:hint="eastAsia"/>
          <w:color w:val="000000" w:themeColor="text1"/>
          <w:sz w:val="20"/>
          <w:szCs w:val="20"/>
        </w:rPr>
        <w:t>，</w:t>
      </w:r>
      <w:r w:rsidR="00F129A0">
        <w:rPr>
          <w:rFonts w:ascii="Arial" w:eastAsia="楷体_GB2312" w:hAnsi="Arial" w:cs="Arial" w:hint="eastAsia"/>
          <w:color w:val="000000" w:themeColor="text1"/>
          <w:sz w:val="20"/>
          <w:szCs w:val="20"/>
        </w:rPr>
        <w:t>但</w:t>
      </w:r>
      <w:r w:rsidR="00406B49">
        <w:rPr>
          <w:rFonts w:ascii="Arial" w:eastAsia="楷体_GB2312" w:hAnsi="Arial" w:cs="Arial" w:hint="eastAsia"/>
          <w:color w:val="000000" w:themeColor="text1"/>
          <w:sz w:val="20"/>
          <w:szCs w:val="20"/>
        </w:rPr>
        <w:t>我们建议投资者进行偏右侧跟随，因为短期市场虽然有内在反弹动力但</w:t>
      </w:r>
      <w:r w:rsidR="00406B49">
        <w:rPr>
          <w:rFonts w:ascii="Arial" w:eastAsia="楷体_GB2312" w:hAnsi="Arial" w:cs="Arial" w:hint="eastAsia"/>
          <w:color w:val="000000" w:themeColor="text1"/>
          <w:sz w:val="20"/>
          <w:szCs w:val="20"/>
        </w:rPr>
        <w:t>A</w:t>
      </w:r>
      <w:r w:rsidR="00406B49">
        <w:rPr>
          <w:rFonts w:ascii="Arial" w:eastAsia="楷体_GB2312" w:hAnsi="Arial" w:cs="Arial" w:hint="eastAsia"/>
          <w:color w:val="000000" w:themeColor="text1"/>
          <w:sz w:val="20"/>
          <w:szCs w:val="20"/>
        </w:rPr>
        <w:t>股跌过头的情形也时常发生</w:t>
      </w:r>
      <w:r w:rsidR="00E162B2">
        <w:rPr>
          <w:rFonts w:ascii="Arial" w:eastAsia="楷体_GB2312" w:hAnsi="Arial" w:cs="Arial" w:hint="eastAsia"/>
          <w:color w:val="000000" w:themeColor="text1"/>
          <w:sz w:val="20"/>
          <w:szCs w:val="20"/>
        </w:rPr>
        <w:t>。</w:t>
      </w:r>
      <w:proofErr w:type="gramStart"/>
      <w:r w:rsidR="00F129A0">
        <w:rPr>
          <w:rFonts w:ascii="楷体" w:eastAsia="楷体" w:hAnsi="楷体" w:cs="Arial" w:hint="eastAsia"/>
          <w:color w:val="000000" w:themeColor="text1"/>
          <w:sz w:val="20"/>
          <w:szCs w:val="20"/>
        </w:rPr>
        <w:t>股混基金</w:t>
      </w:r>
      <w:proofErr w:type="gramEnd"/>
      <w:r w:rsidR="00F129A0">
        <w:rPr>
          <w:rFonts w:ascii="楷体" w:eastAsia="楷体" w:hAnsi="楷体" w:cs="Arial" w:hint="eastAsia"/>
          <w:color w:val="000000" w:themeColor="text1"/>
          <w:sz w:val="20"/>
          <w:szCs w:val="20"/>
        </w:rPr>
        <w:t>投资上，短期</w:t>
      </w:r>
      <w:r w:rsidRPr="0032491D">
        <w:rPr>
          <w:rFonts w:ascii="楷体" w:eastAsia="楷体" w:hAnsi="楷体" w:cs="Arial" w:hint="eastAsia"/>
          <w:color w:val="000000" w:themeColor="text1"/>
          <w:sz w:val="20"/>
          <w:szCs w:val="20"/>
        </w:rPr>
        <w:t>建议投资者</w:t>
      </w:r>
      <w:r w:rsidR="00406B49">
        <w:rPr>
          <w:rFonts w:ascii="楷体" w:eastAsia="楷体" w:hAnsi="楷体" w:cs="Arial" w:hint="eastAsia"/>
          <w:color w:val="000000" w:themeColor="text1"/>
          <w:sz w:val="20"/>
          <w:szCs w:val="20"/>
        </w:rPr>
        <w:t>微幅上调</w:t>
      </w:r>
      <w:proofErr w:type="gramStart"/>
      <w:r w:rsidR="00406B49">
        <w:rPr>
          <w:rFonts w:ascii="楷体" w:eastAsia="楷体" w:hAnsi="楷体" w:cs="Arial" w:hint="eastAsia"/>
          <w:color w:val="000000" w:themeColor="text1"/>
          <w:sz w:val="20"/>
          <w:szCs w:val="20"/>
        </w:rPr>
        <w:t>仓位</w:t>
      </w:r>
      <w:proofErr w:type="gramEnd"/>
      <w:r w:rsidR="00406B49">
        <w:rPr>
          <w:rFonts w:ascii="楷体" w:eastAsia="楷体" w:hAnsi="楷体" w:cs="Arial" w:hint="eastAsia"/>
          <w:color w:val="000000" w:themeColor="text1"/>
          <w:sz w:val="20"/>
          <w:szCs w:val="20"/>
        </w:rPr>
        <w:t>水平回归到中性</w:t>
      </w:r>
      <w:proofErr w:type="gramStart"/>
      <w:r w:rsidR="00406B49">
        <w:rPr>
          <w:rFonts w:ascii="楷体" w:eastAsia="楷体" w:hAnsi="楷体" w:cs="Arial" w:hint="eastAsia"/>
          <w:color w:val="000000" w:themeColor="text1"/>
          <w:sz w:val="20"/>
          <w:szCs w:val="20"/>
        </w:rPr>
        <w:t>仓位</w:t>
      </w:r>
      <w:proofErr w:type="gramEnd"/>
      <w:r w:rsidR="00406B49">
        <w:rPr>
          <w:rFonts w:ascii="楷体" w:eastAsia="楷体" w:hAnsi="楷体" w:cs="Arial" w:hint="eastAsia"/>
          <w:color w:val="000000" w:themeColor="text1"/>
          <w:sz w:val="20"/>
          <w:szCs w:val="20"/>
        </w:rPr>
        <w:t>。</w:t>
      </w:r>
      <w:r w:rsidR="00F129A0">
        <w:rPr>
          <w:rFonts w:ascii="楷体" w:eastAsia="楷体" w:hAnsi="楷体" w:cs="Arial" w:hint="eastAsia"/>
          <w:color w:val="000000" w:themeColor="text1"/>
          <w:sz w:val="20"/>
          <w:szCs w:val="20"/>
        </w:rPr>
        <w:t>结构上，依然均衡配置为上。</w:t>
      </w:r>
      <w:r w:rsidRPr="0032491D">
        <w:rPr>
          <w:rFonts w:ascii="楷体" w:eastAsia="楷体" w:hAnsi="楷体" w:cs="Arial" w:hint="eastAsia"/>
          <w:color w:val="auto"/>
          <w:sz w:val="20"/>
          <w:szCs w:val="20"/>
        </w:rPr>
        <w:t>长期而言，我们维持A股处在底部区域的判断，</w:t>
      </w:r>
      <w:r w:rsidR="00F129A0">
        <w:rPr>
          <w:rFonts w:ascii="楷体" w:eastAsia="楷体" w:hAnsi="楷体" w:cs="Arial" w:hint="eastAsia"/>
          <w:color w:val="auto"/>
          <w:sz w:val="20"/>
          <w:szCs w:val="20"/>
        </w:rPr>
        <w:t>基本面上</w:t>
      </w:r>
      <w:r w:rsidRPr="0032491D">
        <w:rPr>
          <w:rFonts w:ascii="楷体" w:eastAsia="楷体" w:hAnsi="楷体" w:cs="Arial" w:hint="eastAsia"/>
          <w:color w:val="auto"/>
          <w:sz w:val="20"/>
          <w:szCs w:val="20"/>
        </w:rPr>
        <w:t>经济筑底回升的过程相当漫长，长周期看货币政策</w:t>
      </w:r>
      <w:r w:rsidR="00F129A0">
        <w:rPr>
          <w:rFonts w:ascii="楷体" w:eastAsia="楷体" w:hAnsi="楷体" w:cs="Arial" w:hint="eastAsia"/>
          <w:color w:val="auto"/>
          <w:sz w:val="20"/>
          <w:szCs w:val="20"/>
        </w:rPr>
        <w:t>依然处在宽松周期内，虽然A股估值并不十分便宜，但</w:t>
      </w:r>
      <w:r w:rsidRPr="0032491D">
        <w:rPr>
          <w:rFonts w:ascii="楷体" w:eastAsia="楷体" w:hAnsi="楷体" w:cs="Arial" w:hint="eastAsia"/>
          <w:color w:val="auto"/>
          <w:sz w:val="20"/>
          <w:szCs w:val="20"/>
        </w:rPr>
        <w:t>相比于债市、房地产、海外股市等，A</w:t>
      </w:r>
      <w:r w:rsidR="00F129A0">
        <w:rPr>
          <w:rFonts w:ascii="楷体" w:eastAsia="楷体" w:hAnsi="楷体" w:cs="Arial" w:hint="eastAsia"/>
          <w:color w:val="auto"/>
          <w:sz w:val="20"/>
          <w:szCs w:val="20"/>
        </w:rPr>
        <w:t>股依然是性价比较高的资产，</w:t>
      </w:r>
      <w:r w:rsidRPr="0032491D">
        <w:rPr>
          <w:rFonts w:ascii="楷体" w:eastAsia="楷体" w:hAnsi="楷体" w:cs="Arial" w:hint="eastAsia"/>
          <w:color w:val="auto"/>
          <w:sz w:val="20"/>
          <w:szCs w:val="20"/>
        </w:rPr>
        <w:t>长线投资者尤其</w:t>
      </w:r>
      <w:proofErr w:type="gramStart"/>
      <w:r w:rsidRPr="0032491D">
        <w:rPr>
          <w:rFonts w:ascii="楷体" w:eastAsia="楷体" w:hAnsi="楷体" w:cs="Arial" w:hint="eastAsia"/>
          <w:color w:val="auto"/>
          <w:sz w:val="20"/>
          <w:szCs w:val="20"/>
        </w:rPr>
        <w:t>是定投投资者</w:t>
      </w:r>
      <w:proofErr w:type="gramEnd"/>
      <w:r w:rsidRPr="0032491D">
        <w:rPr>
          <w:rFonts w:ascii="楷体" w:eastAsia="楷体" w:hAnsi="楷体" w:cs="Arial" w:hint="eastAsia"/>
          <w:color w:val="auto"/>
          <w:sz w:val="20"/>
          <w:szCs w:val="20"/>
        </w:rPr>
        <w:t>可以分批介入布局。</w:t>
      </w:r>
    </w:p>
    <w:p w:rsidR="0053273E" w:rsidRPr="0032491D" w:rsidRDefault="0053273E" w:rsidP="00541A7B">
      <w:pPr>
        <w:pStyle w:val="a5"/>
        <w:spacing w:beforeLines="100" w:before="240" w:afterLines="100" w:after="240" w:line="260" w:lineRule="exact"/>
        <w:ind w:leftChars="1957" w:left="4110" w:rightChars="-34" w:right="-71" w:firstLineChars="212" w:firstLine="426"/>
        <w:rPr>
          <w:rFonts w:ascii="楷体" w:eastAsia="楷体" w:hAnsi="楷体" w:cs="Arial"/>
          <w:b/>
          <w:color w:val="auto"/>
          <w:sz w:val="20"/>
          <w:szCs w:val="20"/>
        </w:rPr>
      </w:pPr>
      <w:r w:rsidRPr="001B0F9F">
        <w:rPr>
          <w:rFonts w:ascii="楷体" w:eastAsia="楷体" w:hAnsi="楷体" w:cs="Arial"/>
          <w:b/>
          <w:color w:val="000000" w:themeColor="text1"/>
          <w:sz w:val="20"/>
          <w:szCs w:val="20"/>
        </w:rPr>
        <w:t>固定收益基金</w:t>
      </w:r>
      <w:r w:rsidR="001B0F9F" w:rsidRPr="001B0F9F">
        <w:rPr>
          <w:rFonts w:ascii="楷体" w:eastAsia="楷体" w:hAnsi="楷体" w:cs="Arial"/>
          <w:b/>
          <w:color w:val="000000" w:themeColor="text1"/>
          <w:sz w:val="20"/>
          <w:szCs w:val="20"/>
        </w:rPr>
        <w:t>，</w:t>
      </w:r>
      <w:r w:rsidR="001B0F9F" w:rsidRPr="001B0F9F">
        <w:rPr>
          <w:rFonts w:ascii="楷体" w:eastAsia="楷体" w:hAnsi="楷体" w:cs="Arial" w:hint="eastAsia"/>
          <w:b/>
          <w:color w:val="000000" w:themeColor="text1"/>
          <w:sz w:val="20"/>
          <w:szCs w:val="20"/>
        </w:rPr>
        <w:t>仍需静待</w:t>
      </w:r>
      <w:r w:rsidRPr="001B0F9F">
        <w:rPr>
          <w:rFonts w:ascii="楷体" w:eastAsia="楷体" w:hAnsi="楷体" w:cs="Arial" w:hint="eastAsia"/>
          <w:b/>
          <w:color w:val="000000" w:themeColor="text1"/>
          <w:sz w:val="20"/>
          <w:szCs w:val="20"/>
        </w:rPr>
        <w:t>风险</w:t>
      </w:r>
      <w:r w:rsidR="00F354FD" w:rsidRPr="001B0F9F">
        <w:rPr>
          <w:rFonts w:ascii="楷体" w:eastAsia="楷体" w:hAnsi="楷体" w:cs="Arial"/>
          <w:b/>
          <w:color w:val="000000" w:themeColor="text1"/>
          <w:sz w:val="20"/>
          <w:szCs w:val="20"/>
        </w:rPr>
        <w:t>释放</w:t>
      </w:r>
      <w:r w:rsidRPr="001B0F9F">
        <w:rPr>
          <w:rFonts w:ascii="楷体" w:eastAsia="楷体" w:hAnsi="楷体" w:cs="Arial" w:hint="eastAsia"/>
          <w:b/>
          <w:color w:val="000000" w:themeColor="text1"/>
          <w:sz w:val="20"/>
          <w:szCs w:val="20"/>
        </w:rPr>
        <w:t>。</w:t>
      </w:r>
      <w:r w:rsidR="001B0F9F" w:rsidRPr="001B0F9F">
        <w:rPr>
          <w:rFonts w:ascii="楷体" w:eastAsia="楷体" w:hAnsi="楷体" w:cs="Arial" w:hint="eastAsia"/>
          <w:color w:val="000000" w:themeColor="text1"/>
          <w:sz w:val="20"/>
          <w:szCs w:val="20"/>
        </w:rPr>
        <w:t>虽然上周央行</w:t>
      </w:r>
      <w:r w:rsidR="001B0F9F">
        <w:rPr>
          <w:rFonts w:ascii="楷体" w:eastAsia="楷体" w:hAnsi="楷体" w:cs="Arial" w:hint="eastAsia"/>
          <w:color w:val="000000" w:themeColor="text1"/>
          <w:sz w:val="20"/>
          <w:szCs w:val="20"/>
        </w:rPr>
        <w:t>大量</w:t>
      </w:r>
      <w:r w:rsidR="00237A7E" w:rsidRPr="001B0F9F">
        <w:rPr>
          <w:rFonts w:ascii="楷体" w:eastAsia="楷体" w:hAnsi="楷体" w:cs="Arial" w:hint="eastAsia"/>
          <w:color w:val="000000" w:themeColor="text1"/>
          <w:sz w:val="20"/>
          <w:szCs w:val="20"/>
        </w:rPr>
        <w:t>MLF</w:t>
      </w:r>
      <w:r w:rsidR="001B0F9F">
        <w:rPr>
          <w:rFonts w:ascii="楷体" w:eastAsia="楷体" w:hAnsi="楷体" w:cs="Arial" w:hint="eastAsia"/>
          <w:color w:val="000000" w:themeColor="text1"/>
          <w:sz w:val="20"/>
          <w:szCs w:val="20"/>
        </w:rPr>
        <w:t>维持资金面稳定，但美国加息预期再起</w:t>
      </w:r>
      <w:r w:rsidR="00237A7E" w:rsidRPr="001B0F9F">
        <w:rPr>
          <w:rFonts w:ascii="楷体" w:eastAsia="楷体" w:hAnsi="楷体" w:cs="Arial" w:hint="eastAsia"/>
          <w:color w:val="000000" w:themeColor="text1"/>
          <w:sz w:val="20"/>
          <w:szCs w:val="20"/>
        </w:rPr>
        <w:t>令人民币汇率承压</w:t>
      </w:r>
      <w:r w:rsidR="001B0F9F">
        <w:rPr>
          <w:rFonts w:ascii="楷体" w:eastAsia="楷体" w:hAnsi="楷体" w:cs="Arial" w:hint="eastAsia"/>
          <w:color w:val="000000" w:themeColor="text1"/>
          <w:sz w:val="20"/>
          <w:szCs w:val="20"/>
        </w:rPr>
        <w:t>必然对</w:t>
      </w:r>
      <w:r w:rsidR="00237A7E" w:rsidRPr="001B0F9F">
        <w:rPr>
          <w:rFonts w:ascii="楷体" w:eastAsia="楷体" w:hAnsi="楷体" w:cs="Arial" w:hint="eastAsia"/>
          <w:color w:val="000000" w:themeColor="text1"/>
          <w:sz w:val="20"/>
          <w:szCs w:val="20"/>
        </w:rPr>
        <w:t>流动性造成</w:t>
      </w:r>
      <w:r w:rsidR="001B0F9F">
        <w:rPr>
          <w:rFonts w:ascii="楷体" w:eastAsia="楷体" w:hAnsi="楷体" w:cs="Arial" w:hint="eastAsia"/>
          <w:color w:val="000000" w:themeColor="text1"/>
          <w:sz w:val="20"/>
          <w:szCs w:val="20"/>
        </w:rPr>
        <w:t>负面预期，债市依然受到流动性制约短期难有大幅表现。</w:t>
      </w:r>
      <w:r w:rsidR="00541A7B" w:rsidRPr="001B0F9F">
        <w:rPr>
          <w:rFonts w:ascii="楷体" w:eastAsia="楷体" w:hAnsi="楷体" w:cs="Arial" w:hint="eastAsia"/>
          <w:color w:val="000000" w:themeColor="text1"/>
          <w:sz w:val="20"/>
          <w:szCs w:val="20"/>
        </w:rPr>
        <w:t>券种选择上，</w:t>
      </w:r>
      <w:r w:rsidR="00A867D5" w:rsidRPr="001B0F9F">
        <w:rPr>
          <w:rFonts w:ascii="楷体" w:eastAsia="楷体" w:hAnsi="楷体" w:cs="Arial" w:hint="eastAsia"/>
          <w:color w:val="000000" w:themeColor="text1"/>
          <w:sz w:val="20"/>
          <w:szCs w:val="20"/>
        </w:rPr>
        <w:t>利率债方面，</w:t>
      </w:r>
      <w:r w:rsidR="0006170E" w:rsidRPr="001B0F9F">
        <w:rPr>
          <w:rFonts w:ascii="楷体" w:eastAsia="楷体" w:hAnsi="楷体" w:cs="Arial" w:hint="eastAsia"/>
          <w:color w:val="000000" w:themeColor="text1"/>
          <w:sz w:val="20"/>
          <w:szCs w:val="20"/>
        </w:rPr>
        <w:t>当前供给压力</w:t>
      </w:r>
      <w:r w:rsidR="00237A7E" w:rsidRPr="001B0F9F">
        <w:rPr>
          <w:rFonts w:ascii="楷体" w:eastAsia="楷体" w:hAnsi="楷体" w:cs="Arial" w:hint="eastAsia"/>
          <w:color w:val="000000" w:themeColor="text1"/>
          <w:sz w:val="20"/>
          <w:szCs w:val="20"/>
        </w:rPr>
        <w:t>持续</w:t>
      </w:r>
      <w:r w:rsidR="0006170E" w:rsidRPr="001B0F9F">
        <w:rPr>
          <w:rFonts w:ascii="楷体" w:eastAsia="楷体" w:hAnsi="楷体" w:cs="Arial" w:hint="eastAsia"/>
          <w:color w:val="000000" w:themeColor="text1"/>
          <w:sz w:val="20"/>
          <w:szCs w:val="20"/>
        </w:rPr>
        <w:t>、</w:t>
      </w:r>
      <w:r w:rsidR="001B0F9F">
        <w:rPr>
          <w:rFonts w:ascii="楷体" w:eastAsia="楷体" w:hAnsi="楷体" w:cs="Arial" w:hint="eastAsia"/>
          <w:color w:val="000000" w:themeColor="text1"/>
          <w:sz w:val="20"/>
          <w:szCs w:val="20"/>
        </w:rPr>
        <w:t>流动性隐忧再起</w:t>
      </w:r>
      <w:r w:rsidR="00237A7E" w:rsidRPr="001B0F9F">
        <w:rPr>
          <w:rFonts w:ascii="楷体" w:eastAsia="楷体" w:hAnsi="楷体" w:cs="Arial" w:hint="eastAsia"/>
          <w:color w:val="000000" w:themeColor="text1"/>
          <w:sz w:val="20"/>
          <w:szCs w:val="20"/>
        </w:rPr>
        <w:t>、金融去杠杆升级</w:t>
      </w:r>
      <w:r w:rsidR="0006170E" w:rsidRPr="001B0F9F">
        <w:rPr>
          <w:rFonts w:ascii="楷体" w:eastAsia="楷体" w:hAnsi="楷体" w:cs="Arial" w:hint="eastAsia"/>
          <w:color w:val="000000" w:themeColor="text1"/>
          <w:sz w:val="20"/>
          <w:szCs w:val="20"/>
        </w:rPr>
        <w:t>等利空因素</w:t>
      </w:r>
      <w:proofErr w:type="gramStart"/>
      <w:r w:rsidR="0006170E" w:rsidRPr="001B0F9F">
        <w:rPr>
          <w:rFonts w:ascii="楷体" w:eastAsia="楷体" w:hAnsi="楷体" w:cs="Arial" w:hint="eastAsia"/>
          <w:color w:val="000000" w:themeColor="text1"/>
          <w:sz w:val="20"/>
          <w:szCs w:val="20"/>
        </w:rPr>
        <w:t>尚未的</w:t>
      </w:r>
      <w:proofErr w:type="gramEnd"/>
      <w:r w:rsidR="0006170E" w:rsidRPr="001B0F9F">
        <w:rPr>
          <w:rFonts w:ascii="楷体" w:eastAsia="楷体" w:hAnsi="楷体" w:cs="Arial" w:hint="eastAsia"/>
          <w:color w:val="000000" w:themeColor="text1"/>
          <w:sz w:val="20"/>
          <w:szCs w:val="20"/>
        </w:rPr>
        <w:t>到有效改善</w:t>
      </w:r>
      <w:r w:rsidR="00541A7B" w:rsidRPr="001B0F9F">
        <w:rPr>
          <w:rFonts w:ascii="楷体" w:eastAsia="楷体" w:hAnsi="楷体" w:cs="Arial" w:hint="eastAsia"/>
          <w:color w:val="000000" w:themeColor="text1"/>
          <w:sz w:val="20"/>
          <w:szCs w:val="20"/>
        </w:rPr>
        <w:t>，尤其是长</w:t>
      </w:r>
      <w:proofErr w:type="gramStart"/>
      <w:r w:rsidR="00541A7B" w:rsidRPr="001B0F9F">
        <w:rPr>
          <w:rFonts w:ascii="楷体" w:eastAsia="楷体" w:hAnsi="楷体" w:cs="Arial" w:hint="eastAsia"/>
          <w:color w:val="000000" w:themeColor="text1"/>
          <w:sz w:val="20"/>
          <w:szCs w:val="20"/>
        </w:rPr>
        <w:t>债压力</w:t>
      </w:r>
      <w:proofErr w:type="gramEnd"/>
      <w:r w:rsidR="00541A7B" w:rsidRPr="001B0F9F">
        <w:rPr>
          <w:rFonts w:ascii="楷体" w:eastAsia="楷体" w:hAnsi="楷体" w:cs="Arial" w:hint="eastAsia"/>
          <w:color w:val="000000" w:themeColor="text1"/>
          <w:sz w:val="20"/>
          <w:szCs w:val="20"/>
        </w:rPr>
        <w:t>较大，因此</w:t>
      </w:r>
      <w:proofErr w:type="gramStart"/>
      <w:r w:rsidR="00541A7B" w:rsidRPr="001B0F9F">
        <w:rPr>
          <w:rFonts w:ascii="楷体" w:eastAsia="楷体" w:hAnsi="楷体" w:cs="Arial" w:hint="eastAsia"/>
          <w:color w:val="000000" w:themeColor="text1"/>
          <w:sz w:val="20"/>
          <w:szCs w:val="20"/>
        </w:rPr>
        <w:t>控制久期和</w:t>
      </w:r>
      <w:proofErr w:type="gramEnd"/>
      <w:r w:rsidR="00541A7B" w:rsidRPr="001B0F9F">
        <w:rPr>
          <w:rFonts w:ascii="楷体" w:eastAsia="楷体" w:hAnsi="楷体" w:cs="Arial" w:hint="eastAsia"/>
          <w:color w:val="000000" w:themeColor="text1"/>
          <w:sz w:val="20"/>
          <w:szCs w:val="20"/>
        </w:rPr>
        <w:t>杠杆防守为上。</w:t>
      </w:r>
      <w:r w:rsidR="00A867D5" w:rsidRPr="001B0F9F">
        <w:rPr>
          <w:rFonts w:ascii="楷体" w:eastAsia="楷体" w:hAnsi="楷体" w:cs="Arial" w:hint="eastAsia"/>
          <w:color w:val="000000" w:themeColor="text1"/>
          <w:sz w:val="20"/>
          <w:szCs w:val="20"/>
        </w:rPr>
        <w:t>信用债方面，</w:t>
      </w:r>
      <w:proofErr w:type="gramStart"/>
      <w:r w:rsidR="00237A7E" w:rsidRPr="001B0F9F">
        <w:rPr>
          <w:rFonts w:ascii="楷体" w:eastAsia="楷体" w:hAnsi="楷体" w:cs="Arial" w:hint="eastAsia"/>
          <w:color w:val="000000" w:themeColor="text1"/>
          <w:sz w:val="20"/>
          <w:szCs w:val="20"/>
        </w:rPr>
        <w:t>资管监管趋严对债券</w:t>
      </w:r>
      <w:proofErr w:type="gramEnd"/>
      <w:r w:rsidR="00237A7E" w:rsidRPr="001B0F9F">
        <w:rPr>
          <w:rFonts w:ascii="楷体" w:eastAsia="楷体" w:hAnsi="楷体" w:cs="Arial" w:hint="eastAsia"/>
          <w:color w:val="000000" w:themeColor="text1"/>
          <w:sz w:val="20"/>
          <w:szCs w:val="20"/>
        </w:rPr>
        <w:t>形成抛压，再加上</w:t>
      </w:r>
      <w:r w:rsidR="00A867D5" w:rsidRPr="001B0F9F">
        <w:rPr>
          <w:rFonts w:ascii="楷体" w:eastAsia="楷体" w:hAnsi="楷体" w:cs="Arial" w:hint="eastAsia"/>
          <w:color w:val="000000" w:themeColor="text1"/>
          <w:sz w:val="20"/>
          <w:szCs w:val="20"/>
        </w:rPr>
        <w:t>5</w:t>
      </w:r>
      <w:r w:rsidR="00237A7E" w:rsidRPr="001B0F9F">
        <w:rPr>
          <w:rFonts w:ascii="楷体" w:eastAsia="楷体" w:hAnsi="楷体" w:cs="Arial" w:hint="eastAsia"/>
          <w:color w:val="000000" w:themeColor="text1"/>
          <w:sz w:val="20"/>
          <w:szCs w:val="20"/>
        </w:rPr>
        <w:t>月份将迎来债券市场</w:t>
      </w:r>
      <w:r w:rsidR="001B0F9F">
        <w:rPr>
          <w:rFonts w:ascii="楷体" w:eastAsia="楷体" w:hAnsi="楷体" w:cs="Arial" w:hint="eastAsia"/>
          <w:color w:val="000000" w:themeColor="text1"/>
          <w:sz w:val="20"/>
          <w:szCs w:val="20"/>
        </w:rPr>
        <w:t>偿还潮，</w:t>
      </w:r>
      <w:r w:rsidR="00A867D5" w:rsidRPr="001B0F9F">
        <w:rPr>
          <w:rFonts w:ascii="楷体" w:eastAsia="楷体" w:hAnsi="楷体" w:cs="Arial" w:hint="eastAsia"/>
          <w:color w:val="000000" w:themeColor="text1"/>
          <w:sz w:val="20"/>
          <w:szCs w:val="20"/>
        </w:rPr>
        <w:t>预计会有更多违约事件浮出水面，违约将呈常态化。</w:t>
      </w:r>
      <w:r w:rsidRPr="00BE3229">
        <w:rPr>
          <w:rFonts w:ascii="楷体" w:eastAsia="楷体" w:hAnsi="楷体" w:cs="Arial" w:hint="eastAsia"/>
          <w:color w:val="auto"/>
          <w:sz w:val="20"/>
          <w:szCs w:val="20"/>
        </w:rPr>
        <w:t>因此当前谨慎选择投中高信用等级、经营业绩良好的公司债券作为配置对象，避免“踩雷”为上。</w:t>
      </w:r>
      <w:r w:rsidR="001B0F9F">
        <w:rPr>
          <w:rFonts w:ascii="楷体" w:eastAsia="楷体" w:hAnsi="楷体" w:cs="Arial" w:hint="eastAsia"/>
          <w:color w:val="auto"/>
          <w:sz w:val="20"/>
          <w:szCs w:val="20"/>
        </w:rPr>
        <w:t>对于普通投资者，仍建议等待债市风险释放，</w:t>
      </w:r>
      <w:r w:rsidRPr="0032491D">
        <w:rPr>
          <w:rFonts w:ascii="楷体" w:eastAsia="楷体" w:hAnsi="楷体" w:cs="Arial" w:hint="eastAsia"/>
          <w:color w:val="auto"/>
          <w:sz w:val="20"/>
          <w:szCs w:val="20"/>
        </w:rPr>
        <w:t>对于有债券基金刚性配置需求的投资者，当前在</w:t>
      </w:r>
      <w:proofErr w:type="gramStart"/>
      <w:r w:rsidRPr="0032491D">
        <w:rPr>
          <w:rFonts w:ascii="楷体" w:eastAsia="楷体" w:hAnsi="楷体" w:cs="Arial" w:hint="eastAsia"/>
          <w:color w:val="auto"/>
          <w:sz w:val="20"/>
          <w:szCs w:val="20"/>
        </w:rPr>
        <w:t>债基产品</w:t>
      </w:r>
      <w:proofErr w:type="gramEnd"/>
      <w:r w:rsidRPr="0032491D">
        <w:rPr>
          <w:rFonts w:ascii="楷体" w:eastAsia="楷体" w:hAnsi="楷体" w:cs="Arial" w:hint="eastAsia"/>
          <w:color w:val="auto"/>
          <w:sz w:val="20"/>
          <w:szCs w:val="20"/>
        </w:rPr>
        <w:t>上要强调风险控制，建议</w:t>
      </w:r>
      <w:proofErr w:type="gramStart"/>
      <w:r w:rsidRPr="0032491D">
        <w:rPr>
          <w:rFonts w:ascii="楷体" w:eastAsia="楷体" w:hAnsi="楷体" w:cs="Arial" w:hint="eastAsia"/>
          <w:color w:val="auto"/>
          <w:sz w:val="20"/>
          <w:szCs w:val="20"/>
        </w:rPr>
        <w:t>精选久期短</w:t>
      </w:r>
      <w:proofErr w:type="gramEnd"/>
      <w:r w:rsidRPr="0032491D">
        <w:rPr>
          <w:rFonts w:ascii="楷体" w:eastAsia="楷体" w:hAnsi="楷体" w:cs="Arial" w:hint="eastAsia"/>
          <w:color w:val="auto"/>
          <w:sz w:val="20"/>
          <w:szCs w:val="20"/>
        </w:rPr>
        <w:t>、杠杆较低和持券信用等级较高的基金，例如以短融为主要投资标的</w:t>
      </w:r>
      <w:proofErr w:type="gramStart"/>
      <w:r w:rsidRPr="0032491D">
        <w:rPr>
          <w:rFonts w:ascii="楷体" w:eastAsia="楷体" w:hAnsi="楷体" w:cs="Arial" w:hint="eastAsia"/>
          <w:color w:val="auto"/>
          <w:sz w:val="20"/>
          <w:szCs w:val="20"/>
        </w:rPr>
        <w:t>的短融基金</w:t>
      </w:r>
      <w:proofErr w:type="gramEnd"/>
      <w:r w:rsidRPr="0032491D">
        <w:rPr>
          <w:rFonts w:ascii="楷体" w:eastAsia="楷体" w:hAnsi="楷体" w:cs="Arial" w:hint="eastAsia"/>
          <w:color w:val="auto"/>
          <w:sz w:val="20"/>
          <w:szCs w:val="20"/>
        </w:rPr>
        <w:t>是当前防守较好的品种</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此外，参与股市和转债</w:t>
      </w:r>
      <w:proofErr w:type="gramStart"/>
      <w:r w:rsidRPr="0032491D">
        <w:rPr>
          <w:rFonts w:ascii="楷体" w:eastAsia="楷体" w:hAnsi="楷体" w:cs="Arial" w:hint="eastAsia"/>
          <w:color w:val="auto"/>
          <w:sz w:val="20"/>
          <w:szCs w:val="20"/>
        </w:rPr>
        <w:t>的债基也</w:t>
      </w:r>
      <w:proofErr w:type="gramEnd"/>
      <w:r w:rsidRPr="0032491D">
        <w:rPr>
          <w:rFonts w:ascii="楷体" w:eastAsia="楷体" w:hAnsi="楷体" w:cs="Arial" w:hint="eastAsia"/>
          <w:color w:val="auto"/>
          <w:sz w:val="20"/>
          <w:szCs w:val="20"/>
        </w:rPr>
        <w:t>可以适当关注，尤其是基金经理大类资产配置能力较强的，在股</w:t>
      </w:r>
      <w:proofErr w:type="gramStart"/>
      <w:r w:rsidRPr="0032491D">
        <w:rPr>
          <w:rFonts w:ascii="楷体" w:eastAsia="楷体" w:hAnsi="楷体" w:cs="Arial" w:hint="eastAsia"/>
          <w:color w:val="auto"/>
          <w:sz w:val="20"/>
          <w:szCs w:val="20"/>
        </w:rPr>
        <w:t>债之间</w:t>
      </w:r>
      <w:proofErr w:type="gramEnd"/>
      <w:r w:rsidRPr="0032491D">
        <w:rPr>
          <w:rFonts w:ascii="楷体" w:eastAsia="楷体" w:hAnsi="楷体" w:cs="Arial" w:hint="eastAsia"/>
          <w:color w:val="auto"/>
          <w:sz w:val="20"/>
          <w:szCs w:val="20"/>
        </w:rPr>
        <w:t>进行切换可以适当降低单一债市风险。</w:t>
      </w:r>
    </w:p>
    <w:p w:rsidR="0053273E" w:rsidRPr="0032491D" w:rsidRDefault="0053273E" w:rsidP="0053273E">
      <w:pPr>
        <w:pStyle w:val="a5"/>
        <w:spacing w:beforeLines="100" w:before="240" w:afterLines="100" w:after="240" w:line="260" w:lineRule="exact"/>
        <w:ind w:leftChars="1957" w:left="4110" w:rightChars="-34" w:right="-71" w:firstLineChars="169" w:firstLine="339"/>
        <w:rPr>
          <w:rFonts w:ascii="楷体" w:eastAsia="楷体" w:hAnsi="楷体" w:cs="Arial"/>
          <w:sz w:val="36"/>
          <w:szCs w:val="34"/>
        </w:rPr>
      </w:pPr>
      <w:r w:rsidRPr="0032491D">
        <w:rPr>
          <w:rFonts w:ascii="楷体" w:eastAsia="楷体" w:hAnsi="楷体" w:cs="Arial" w:hint="eastAsia"/>
          <w:b/>
          <w:color w:val="auto"/>
          <w:sz w:val="20"/>
          <w:szCs w:val="20"/>
        </w:rPr>
        <w:t xml:space="preserve"> </w:t>
      </w:r>
      <w:r w:rsidRPr="0032491D">
        <w:rPr>
          <w:rFonts w:ascii="楷体" w:eastAsia="楷体" w:hAnsi="楷体" w:cs="Arial"/>
          <w:b/>
          <w:color w:val="auto"/>
          <w:sz w:val="20"/>
          <w:szCs w:val="20"/>
        </w:rPr>
        <w:t>建</w:t>
      </w:r>
      <w:r w:rsidRPr="0032491D">
        <w:rPr>
          <w:rFonts w:ascii="楷体" w:eastAsia="楷体" w:hAnsi="楷体" w:cs="Arial" w:hint="eastAsia"/>
          <w:b/>
          <w:color w:val="auto"/>
          <w:sz w:val="20"/>
          <w:szCs w:val="20"/>
        </w:rPr>
        <w:t>议关注黄金和大宗商品类QDII</w:t>
      </w:r>
      <w:r w:rsidR="00CE3206">
        <w:rPr>
          <w:rFonts w:ascii="楷体" w:eastAsia="楷体" w:hAnsi="楷体" w:cs="Arial" w:hint="eastAsia"/>
          <w:b/>
          <w:color w:val="auto"/>
          <w:sz w:val="20"/>
          <w:szCs w:val="20"/>
        </w:rPr>
        <w:t>，</w:t>
      </w:r>
      <w:r w:rsidR="00CE3206" w:rsidRPr="00CE3206">
        <w:rPr>
          <w:rFonts w:ascii="楷体" w:eastAsia="楷体" w:hAnsi="楷体" w:cs="Arial" w:hint="eastAsia"/>
          <w:b/>
          <w:color w:val="auto"/>
          <w:sz w:val="20"/>
          <w:szCs w:val="20"/>
        </w:rPr>
        <w:t>近期或受美加息预期冲击</w:t>
      </w:r>
      <w:r w:rsidRPr="0032491D">
        <w:rPr>
          <w:rFonts w:ascii="楷体" w:eastAsia="楷体" w:hAnsi="楷体" w:cs="Arial" w:hint="eastAsia"/>
          <w:b/>
          <w:color w:val="auto"/>
          <w:sz w:val="20"/>
          <w:szCs w:val="20"/>
        </w:rPr>
        <w:t>。</w:t>
      </w:r>
      <w:r w:rsidRPr="0032491D">
        <w:rPr>
          <w:rFonts w:ascii="楷体" w:eastAsia="楷体" w:hAnsi="楷体" w:cs="Arial" w:hint="eastAsia"/>
          <w:color w:val="auto"/>
          <w:sz w:val="20"/>
          <w:szCs w:val="20"/>
        </w:rPr>
        <w:t>QDII中投资大宗商品和商品基金的</w:t>
      </w:r>
      <w:r>
        <w:rPr>
          <w:rFonts w:ascii="楷体" w:eastAsia="楷体" w:hAnsi="楷体" w:cs="Arial" w:hint="eastAsia"/>
          <w:color w:val="auto"/>
          <w:sz w:val="20"/>
          <w:szCs w:val="20"/>
        </w:rPr>
        <w:t>投资</w:t>
      </w:r>
      <w:r w:rsidRPr="0032491D">
        <w:rPr>
          <w:rFonts w:ascii="楷体" w:eastAsia="楷体" w:hAnsi="楷体" w:cs="Arial" w:hint="eastAsia"/>
          <w:color w:val="auto"/>
          <w:sz w:val="20"/>
          <w:szCs w:val="20"/>
        </w:rPr>
        <w:t>逻辑在5月有望延续。2016年以来虽然黄金已经经历了大幅上涨，但在全球经济低迷和货币超发的大背景下，黄金的保值和抗通胀价值显现。油气能源等大宗商品主题基金方面，全球货币超发带来的</w:t>
      </w:r>
      <w:proofErr w:type="gramStart"/>
      <w:r w:rsidRPr="0032491D">
        <w:rPr>
          <w:rFonts w:ascii="楷体" w:eastAsia="楷体" w:hAnsi="楷体" w:cs="Arial" w:hint="eastAsia"/>
          <w:color w:val="auto"/>
          <w:sz w:val="20"/>
          <w:szCs w:val="20"/>
        </w:rPr>
        <w:t>通胀担忧</w:t>
      </w:r>
      <w:proofErr w:type="gramEnd"/>
      <w:r w:rsidRPr="0032491D">
        <w:rPr>
          <w:rFonts w:ascii="楷体" w:eastAsia="楷体" w:hAnsi="楷体" w:cs="Arial" w:hint="eastAsia"/>
          <w:color w:val="auto"/>
          <w:sz w:val="20"/>
          <w:szCs w:val="20"/>
        </w:rPr>
        <w:t>和中国经济回暖带来的需求</w:t>
      </w:r>
      <w:proofErr w:type="gramStart"/>
      <w:r w:rsidRPr="0032491D">
        <w:rPr>
          <w:rFonts w:ascii="楷体" w:eastAsia="楷体" w:hAnsi="楷体" w:cs="Arial" w:hint="eastAsia"/>
          <w:color w:val="auto"/>
          <w:sz w:val="20"/>
          <w:szCs w:val="20"/>
        </w:rPr>
        <w:t>端改善</w:t>
      </w:r>
      <w:proofErr w:type="gramEnd"/>
      <w:r w:rsidRPr="0032491D">
        <w:rPr>
          <w:rFonts w:ascii="楷体" w:eastAsia="楷体" w:hAnsi="楷体" w:cs="Arial" w:hint="eastAsia"/>
          <w:color w:val="auto"/>
          <w:sz w:val="20"/>
          <w:szCs w:val="20"/>
        </w:rPr>
        <w:t>等都有利于推升大宗商品价格。</w:t>
      </w:r>
      <w:r w:rsidR="00CE3206">
        <w:rPr>
          <w:rFonts w:ascii="楷体" w:eastAsia="楷体" w:hAnsi="楷体" w:cs="Arial" w:hint="eastAsia"/>
          <w:color w:val="auto"/>
          <w:sz w:val="20"/>
          <w:szCs w:val="20"/>
        </w:rPr>
        <w:t>但近期黄金和大宗商品均可能受到美加息预期升温带来美元走强的冲击。</w:t>
      </w:r>
      <w:r w:rsidRPr="0032491D">
        <w:rPr>
          <w:rFonts w:ascii="楷体" w:eastAsia="楷体" w:hAnsi="楷体" w:cs="Arial"/>
          <w:sz w:val="36"/>
          <w:szCs w:val="34"/>
        </w:rPr>
        <w:br w:type="page"/>
      </w:r>
    </w:p>
    <w:p w:rsidR="0053273E" w:rsidRPr="0032491D" w:rsidRDefault="0053273E" w:rsidP="0053273E">
      <w:pPr>
        <w:widowControl/>
        <w:jc w:val="left"/>
        <w:rPr>
          <w:rFonts w:ascii="楷体" w:eastAsia="楷体" w:hAnsi="楷体" w:cs="Arial"/>
          <w:b/>
          <w:color w:val="000080"/>
          <w:kern w:val="0"/>
          <w:sz w:val="32"/>
          <w:szCs w:val="20"/>
        </w:rPr>
      </w:pPr>
      <w:r w:rsidRPr="0032491D">
        <w:rPr>
          <w:rFonts w:ascii="楷体" w:eastAsia="楷体" w:hAnsi="楷体" w:cs="Arial"/>
          <w:b/>
          <w:color w:val="000080"/>
          <w:kern w:val="0"/>
          <w:sz w:val="32"/>
          <w:szCs w:val="20"/>
        </w:rPr>
        <w:lastRenderedPageBreak/>
        <w:t>免责声明</w:t>
      </w:r>
    </w:p>
    <w:p w:rsidR="0053273E" w:rsidRPr="0032491D" w:rsidRDefault="0053273E" w:rsidP="0053273E">
      <w:pPr>
        <w:rPr>
          <w:rFonts w:ascii="楷体" w:eastAsia="楷体" w:hAnsi="楷体" w:cs="Arial"/>
          <w:b/>
          <w:color w:val="000080"/>
          <w:kern w:val="0"/>
          <w:sz w:val="20"/>
          <w:szCs w:val="20"/>
        </w:rPr>
      </w:pPr>
    </w:p>
    <w:p w:rsidR="0053273E" w:rsidRPr="0032491D" w:rsidRDefault="0053273E" w:rsidP="0053273E">
      <w:pPr>
        <w:rPr>
          <w:rFonts w:ascii="楷体" w:eastAsia="楷体" w:hAnsi="楷体" w:cs="Arial"/>
          <w:sz w:val="20"/>
          <w:szCs w:val="20"/>
        </w:rPr>
      </w:pPr>
      <w:r w:rsidRPr="0032491D">
        <w:rPr>
          <w:rFonts w:ascii="楷体" w:eastAsia="楷体" w:hAnsi="楷体" w:cs="Arial"/>
          <w:sz w:val="20"/>
          <w:szCs w:val="20"/>
        </w:rPr>
        <w:t>本报告中的所有内容版权均属上海</w:t>
      </w:r>
      <w:proofErr w:type="gramStart"/>
      <w:r w:rsidRPr="0032491D">
        <w:rPr>
          <w:rFonts w:ascii="楷体" w:eastAsia="楷体" w:hAnsi="楷体" w:cs="Arial"/>
          <w:sz w:val="20"/>
          <w:szCs w:val="20"/>
        </w:rPr>
        <w:t>凯</w:t>
      </w:r>
      <w:proofErr w:type="gramEnd"/>
      <w:r w:rsidRPr="0032491D">
        <w:rPr>
          <w:rFonts w:ascii="楷体" w:eastAsia="楷体" w:hAnsi="楷体" w:cs="Arial"/>
          <w:sz w:val="20"/>
          <w:szCs w:val="20"/>
        </w:rPr>
        <w:t>石财富基金销售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32491D">
        <w:rPr>
          <w:rFonts w:ascii="楷体" w:eastAsia="楷体" w:hAnsi="楷体" w:cs="Arial"/>
          <w:sz w:val="20"/>
          <w:szCs w:val="20"/>
        </w:rPr>
        <w:t>凯</w:t>
      </w:r>
      <w:proofErr w:type="gramEnd"/>
      <w:r w:rsidRPr="0032491D">
        <w:rPr>
          <w:rFonts w:ascii="楷体" w:eastAsia="楷体" w:hAnsi="楷体" w:cs="Arial"/>
          <w:sz w:val="20"/>
          <w:szCs w:val="20"/>
        </w:rPr>
        <w:t>石财富基金销售有限公司研究中心，且不得对本文进行任何有悖原意的引用和删改。</w:t>
      </w:r>
    </w:p>
    <w:p w:rsidR="0053273E" w:rsidRPr="0032491D" w:rsidRDefault="0053273E" w:rsidP="0053273E">
      <w:pPr>
        <w:rPr>
          <w:rFonts w:ascii="楷体" w:eastAsia="楷体" w:hAnsi="楷体" w:cs="Arial"/>
          <w:sz w:val="20"/>
          <w:szCs w:val="20"/>
        </w:rPr>
      </w:pPr>
    </w:p>
    <w:p w:rsidR="0053273E" w:rsidRPr="0032491D" w:rsidRDefault="0053273E" w:rsidP="0053273E">
      <w:pPr>
        <w:rPr>
          <w:rFonts w:ascii="楷体" w:eastAsia="楷体" w:hAnsi="楷体" w:cs="Arial"/>
          <w:sz w:val="20"/>
          <w:szCs w:val="20"/>
        </w:rPr>
      </w:pPr>
      <w:r w:rsidRPr="0032491D">
        <w:rPr>
          <w:rFonts w:ascii="楷体" w:eastAsia="楷体" w:hAnsi="楷体"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53273E" w:rsidRPr="0032491D" w:rsidRDefault="0053273E" w:rsidP="0053273E">
      <w:pPr>
        <w:rPr>
          <w:rFonts w:ascii="楷体" w:eastAsia="楷体" w:hAnsi="楷体" w:cs="Arial"/>
          <w:sz w:val="20"/>
          <w:szCs w:val="20"/>
        </w:rPr>
      </w:pPr>
    </w:p>
    <w:p w:rsidR="0053273E" w:rsidRPr="0032491D" w:rsidRDefault="0053273E" w:rsidP="0053273E">
      <w:pPr>
        <w:rPr>
          <w:rFonts w:ascii="楷体" w:eastAsia="楷体" w:hAnsi="楷体" w:cs="Arial"/>
          <w:sz w:val="20"/>
          <w:szCs w:val="20"/>
        </w:rPr>
      </w:pPr>
      <w:r w:rsidRPr="0032491D">
        <w:rPr>
          <w:rFonts w:ascii="楷体" w:eastAsia="楷体" w:hAnsi="楷体"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53273E" w:rsidRPr="0032491D" w:rsidRDefault="0053273E" w:rsidP="0053273E">
      <w:pPr>
        <w:ind w:rightChars="26" w:right="55"/>
        <w:rPr>
          <w:rFonts w:ascii="楷体" w:eastAsia="楷体" w:hAnsi="楷体" w:cs="Arial"/>
          <w:sz w:val="13"/>
        </w:rPr>
      </w:pPr>
    </w:p>
    <w:p w:rsidR="0053273E" w:rsidRPr="0032491D" w:rsidRDefault="0053273E" w:rsidP="0053273E">
      <w:pPr>
        <w:rPr>
          <w:rFonts w:ascii="楷体" w:eastAsia="楷体" w:hAnsi="楷体"/>
        </w:rPr>
      </w:pPr>
    </w:p>
    <w:p w:rsidR="0053273E" w:rsidRPr="0032491D" w:rsidRDefault="0053273E" w:rsidP="0053273E">
      <w:pPr>
        <w:rPr>
          <w:rFonts w:ascii="楷体" w:eastAsia="楷体" w:hAnsi="楷体"/>
        </w:rPr>
      </w:pPr>
    </w:p>
    <w:p w:rsidR="0053273E" w:rsidRPr="0032491D" w:rsidRDefault="0053273E" w:rsidP="0053273E">
      <w:pPr>
        <w:rPr>
          <w:rFonts w:ascii="楷体" w:eastAsia="楷体" w:hAnsi="楷体"/>
        </w:rPr>
      </w:pPr>
    </w:p>
    <w:p w:rsidR="0053273E" w:rsidRPr="0032491D" w:rsidRDefault="0053273E" w:rsidP="0053273E">
      <w:pPr>
        <w:rPr>
          <w:rFonts w:ascii="楷体" w:eastAsia="楷体" w:hAnsi="楷体"/>
        </w:rPr>
      </w:pPr>
    </w:p>
    <w:p w:rsidR="005A4D12" w:rsidRPr="0053273E" w:rsidRDefault="005A4D12"/>
    <w:sectPr w:rsidR="005A4D12" w:rsidRPr="0053273E" w:rsidSect="00FC5199">
      <w:headerReference w:type="default" r:id="rId11"/>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214" w:rsidRDefault="009F1214">
      <w:r>
        <w:separator/>
      </w:r>
    </w:p>
  </w:endnote>
  <w:endnote w:type="continuationSeparator" w:id="0">
    <w:p w:rsidR="009F1214" w:rsidRDefault="009F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大黑简">
    <w:altName w:val="宋体"/>
    <w:charset w:val="86"/>
    <w:family w:val="modern"/>
    <w:pitch w:val="fixed"/>
    <w:sig w:usb0="00000001" w:usb1="080E0800" w:usb2="00000012"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7A" w:rsidRPr="00D52111" w:rsidRDefault="00FE427A" w:rsidP="00FC5199">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56192" behindDoc="0" locked="0" layoutInCell="1" allowOverlap="1" wp14:anchorId="0CC9E4B7" wp14:editId="38580ABC">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58240" behindDoc="0" locked="0" layoutInCell="1" allowOverlap="1" wp14:anchorId="24A0A85D" wp14:editId="4267B800">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245E40" w:rsidRPr="00245E40">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245E40" w:rsidRPr="00245E40">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FE427A" w:rsidRDefault="00FE427A">
    <w:pPr>
      <w:pStyle w:val="a4"/>
      <w:rPr>
        <w:sz w:val="4"/>
        <w:szCs w:val="4"/>
      </w:rPr>
    </w:pPr>
  </w:p>
  <w:p w:rsidR="00FE427A" w:rsidRDefault="00FE427A">
    <w:pPr>
      <w:pStyle w:val="a4"/>
      <w:rPr>
        <w:rFonts w:ascii="楷体_GB2312"/>
        <w:sz w:val="4"/>
        <w:szCs w:val="4"/>
      </w:rPr>
    </w:pPr>
  </w:p>
  <w:p w:rsidR="00FE427A" w:rsidRPr="00F957FD" w:rsidRDefault="00FE427A" w:rsidP="00FC5199">
    <w:pPr>
      <w:pStyle w:val="a4"/>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214" w:rsidRDefault="009F1214">
      <w:r>
        <w:separator/>
      </w:r>
    </w:p>
  </w:footnote>
  <w:footnote w:type="continuationSeparator" w:id="0">
    <w:p w:rsidR="009F1214" w:rsidRDefault="009F1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7A" w:rsidRDefault="00FE427A">
    <w:pPr>
      <w:pStyle w:val="a3"/>
      <w:pBdr>
        <w:bottom w:val="none" w:sz="0" w:space="0" w:color="auto"/>
      </w:pBdr>
    </w:pPr>
    <w:r>
      <w:rPr>
        <w:rFonts w:ascii="Arial" w:hAnsi="Arial" w:cs="Arial"/>
        <w:noProof/>
      </w:rPr>
      <w:drawing>
        <wp:anchor distT="0" distB="0" distL="114300" distR="114300" simplePos="0" relativeHeight="251654144" behindDoc="0" locked="0" layoutInCell="1" allowOverlap="1" wp14:anchorId="05D6B48F" wp14:editId="18D99251">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427A" w:rsidRDefault="00FE427A">
    <w:r>
      <w:rPr>
        <w:noProof/>
      </w:rPr>
      <mc:AlternateContent>
        <mc:Choice Requires="wps">
          <w:drawing>
            <wp:anchor distT="0" distB="0" distL="114300" distR="114300" simplePos="0" relativeHeight="251661312" behindDoc="0" locked="0" layoutInCell="1" allowOverlap="1" wp14:anchorId="6DCEE206" wp14:editId="34C1EDA7">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27A" w:rsidRPr="00880D7C" w:rsidRDefault="00FE427A" w:rsidP="00FC5199">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06.4pt;margin-top:6.15pt;width:217.1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FE427A" w:rsidRPr="00880D7C" w:rsidRDefault="00FE427A" w:rsidP="00FC5199">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EC6E1AF" wp14:editId="7ECCAB05">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7A" w:rsidRDefault="00FE427A">
    <w:pPr>
      <w:pStyle w:val="a3"/>
      <w:pBdr>
        <w:bottom w:val="none" w:sz="0" w:space="0" w:color="auto"/>
      </w:pBdr>
      <w:jc w:val="both"/>
    </w:pPr>
    <w:r>
      <w:rPr>
        <w:noProof/>
      </w:rPr>
      <mc:AlternateContent>
        <mc:Choice Requires="wps">
          <w:drawing>
            <wp:anchor distT="0" distB="0" distL="114300" distR="114300" simplePos="0" relativeHeight="251655168" behindDoc="0" locked="0" layoutInCell="1" allowOverlap="1" wp14:anchorId="748460AA" wp14:editId="157D5039">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27A" w:rsidRPr="00880D7C" w:rsidRDefault="00FE427A" w:rsidP="00FC5199">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294.2pt;margin-top:4.35pt;width:217.25pt;height: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FE427A" w:rsidRPr="00880D7C" w:rsidRDefault="00FE427A" w:rsidP="00FC5199">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59264" behindDoc="0" locked="0" layoutInCell="1" allowOverlap="1" wp14:anchorId="037B54EE" wp14:editId="2D75E71C">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FE427A" w:rsidRDefault="00FE427A">
    <w:pPr>
      <w:pStyle w:val="a3"/>
      <w:pBdr>
        <w:bottom w:val="none" w:sz="0" w:space="0" w:color="auto"/>
      </w:pBdr>
      <w:spacing w:line="120" w:lineRule="exact"/>
      <w:jc w:val="both"/>
    </w:pPr>
    <w:r>
      <w:rPr>
        <w:noProof/>
      </w:rPr>
      <mc:AlternateContent>
        <mc:Choice Requires="wps">
          <w:drawing>
            <wp:anchor distT="0" distB="0" distL="114300" distR="114300" simplePos="0" relativeHeight="251657216" behindDoc="0" locked="0" layoutInCell="1" allowOverlap="1" wp14:anchorId="1F2FDCF0" wp14:editId="0A3BACC5">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5pt;height:11.15pt" o:bullet="t">
        <v:imagedata r:id="rId1" o:title="msoDF97"/>
      </v:shape>
    </w:pict>
  </w:numPicBullet>
  <w:numPicBullet w:numPicBulletId="1">
    <w:pict>
      <v:shape id="_x0000_i1029" type="#_x0000_t75" style="width:11.15pt;height:11.15pt" o:bullet="t">
        <v:imagedata r:id="rId2" o:title="msoA66A"/>
      </v:shape>
    </w:pict>
  </w:numPicBullet>
  <w:abstractNum w:abstractNumId="0">
    <w:nsid w:val="0AB744F3"/>
    <w:multiLevelType w:val="hybridMultilevel"/>
    <w:tmpl w:val="B2A6FCCA"/>
    <w:lvl w:ilvl="0" w:tplc="04090007">
      <w:start w:val="1"/>
      <w:numFmt w:val="bullet"/>
      <w:lvlText w:val=""/>
      <w:lvlPicBulletId w:val="1"/>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05A4E40E"/>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E7240534"/>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73E"/>
    <w:rsid w:val="0006170E"/>
    <w:rsid w:val="00081ECE"/>
    <w:rsid w:val="000A5EFA"/>
    <w:rsid w:val="000E78A4"/>
    <w:rsid w:val="00135F9A"/>
    <w:rsid w:val="00144D4C"/>
    <w:rsid w:val="001A072D"/>
    <w:rsid w:val="001B0F9F"/>
    <w:rsid w:val="001B3834"/>
    <w:rsid w:val="001C26A9"/>
    <w:rsid w:val="002252D6"/>
    <w:rsid w:val="00237A7E"/>
    <w:rsid w:val="00245E40"/>
    <w:rsid w:val="00270D6D"/>
    <w:rsid w:val="002851A0"/>
    <w:rsid w:val="002E0C50"/>
    <w:rsid w:val="00325556"/>
    <w:rsid w:val="0034316B"/>
    <w:rsid w:val="003629DD"/>
    <w:rsid w:val="00365A9F"/>
    <w:rsid w:val="00376B3A"/>
    <w:rsid w:val="003A2B41"/>
    <w:rsid w:val="003E5A0D"/>
    <w:rsid w:val="00406B49"/>
    <w:rsid w:val="00427FAE"/>
    <w:rsid w:val="00483D0F"/>
    <w:rsid w:val="004C32E7"/>
    <w:rsid w:val="004D6BF2"/>
    <w:rsid w:val="00507E75"/>
    <w:rsid w:val="0053273E"/>
    <w:rsid w:val="00541A7B"/>
    <w:rsid w:val="005642AF"/>
    <w:rsid w:val="0058228E"/>
    <w:rsid w:val="005A2F60"/>
    <w:rsid w:val="005A3B05"/>
    <w:rsid w:val="005A4D12"/>
    <w:rsid w:val="006200FC"/>
    <w:rsid w:val="00654571"/>
    <w:rsid w:val="00675CA8"/>
    <w:rsid w:val="00680F64"/>
    <w:rsid w:val="00691457"/>
    <w:rsid w:val="006C29BB"/>
    <w:rsid w:val="00703A13"/>
    <w:rsid w:val="00730476"/>
    <w:rsid w:val="00735FF7"/>
    <w:rsid w:val="007650E2"/>
    <w:rsid w:val="00786BE3"/>
    <w:rsid w:val="007A39E5"/>
    <w:rsid w:val="007C2515"/>
    <w:rsid w:val="007E17CD"/>
    <w:rsid w:val="007F3DC2"/>
    <w:rsid w:val="00855D61"/>
    <w:rsid w:val="00863229"/>
    <w:rsid w:val="0087236E"/>
    <w:rsid w:val="008C7E82"/>
    <w:rsid w:val="008E0B99"/>
    <w:rsid w:val="0092221A"/>
    <w:rsid w:val="0095464C"/>
    <w:rsid w:val="009736C2"/>
    <w:rsid w:val="00975D77"/>
    <w:rsid w:val="009C2C92"/>
    <w:rsid w:val="009F1214"/>
    <w:rsid w:val="00A11FCB"/>
    <w:rsid w:val="00A1271C"/>
    <w:rsid w:val="00A1331C"/>
    <w:rsid w:val="00A36CC5"/>
    <w:rsid w:val="00A86504"/>
    <w:rsid w:val="00A867D5"/>
    <w:rsid w:val="00AB718A"/>
    <w:rsid w:val="00B0146A"/>
    <w:rsid w:val="00B214B7"/>
    <w:rsid w:val="00B36BE6"/>
    <w:rsid w:val="00B62338"/>
    <w:rsid w:val="00B76564"/>
    <w:rsid w:val="00C148B3"/>
    <w:rsid w:val="00C32C72"/>
    <w:rsid w:val="00C90E8C"/>
    <w:rsid w:val="00C95FB3"/>
    <w:rsid w:val="00CE3206"/>
    <w:rsid w:val="00D1090A"/>
    <w:rsid w:val="00D401CE"/>
    <w:rsid w:val="00D94F5B"/>
    <w:rsid w:val="00DB405D"/>
    <w:rsid w:val="00DB5F50"/>
    <w:rsid w:val="00E162B2"/>
    <w:rsid w:val="00E30A33"/>
    <w:rsid w:val="00E54722"/>
    <w:rsid w:val="00E54B26"/>
    <w:rsid w:val="00E917C3"/>
    <w:rsid w:val="00F129A0"/>
    <w:rsid w:val="00F354FD"/>
    <w:rsid w:val="00F357E3"/>
    <w:rsid w:val="00F40C8A"/>
    <w:rsid w:val="00F63767"/>
    <w:rsid w:val="00FA0990"/>
    <w:rsid w:val="00FC2361"/>
    <w:rsid w:val="00FC5199"/>
    <w:rsid w:val="00FE4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7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3273E"/>
    <w:pPr>
      <w:pBdr>
        <w:bottom w:val="single" w:sz="6" w:space="1" w:color="auto"/>
      </w:pBdr>
      <w:tabs>
        <w:tab w:val="center" w:pos="4153"/>
        <w:tab w:val="right" w:pos="8306"/>
      </w:tabs>
      <w:snapToGrid w:val="0"/>
      <w:jc w:val="center"/>
    </w:pPr>
    <w:rPr>
      <w:rFonts w:ascii="Times New Roman" w:eastAsia="楷体_GB2312" w:hAnsi="Times New Roman" w:cs="Times New Roman"/>
      <w:sz w:val="18"/>
      <w:szCs w:val="18"/>
    </w:rPr>
  </w:style>
  <w:style w:type="character" w:customStyle="1" w:styleId="Char">
    <w:name w:val="页眉 Char"/>
    <w:basedOn w:val="a0"/>
    <w:link w:val="a3"/>
    <w:rsid w:val="0053273E"/>
    <w:rPr>
      <w:rFonts w:ascii="Times New Roman" w:eastAsia="楷体_GB2312" w:hAnsi="Times New Roman" w:cs="Times New Roman"/>
      <w:sz w:val="18"/>
      <w:szCs w:val="18"/>
    </w:rPr>
  </w:style>
  <w:style w:type="paragraph" w:styleId="a4">
    <w:name w:val="footer"/>
    <w:basedOn w:val="a"/>
    <w:link w:val="Char0"/>
    <w:rsid w:val="0053273E"/>
    <w:pPr>
      <w:tabs>
        <w:tab w:val="center" w:pos="4153"/>
        <w:tab w:val="right" w:pos="8306"/>
      </w:tabs>
      <w:snapToGrid w:val="0"/>
      <w:jc w:val="left"/>
    </w:pPr>
    <w:rPr>
      <w:rFonts w:ascii="Times New Roman" w:eastAsia="楷体_GB2312" w:hAnsi="Times New Roman" w:cs="Times New Roman"/>
      <w:sz w:val="18"/>
      <w:szCs w:val="18"/>
    </w:rPr>
  </w:style>
  <w:style w:type="character" w:customStyle="1" w:styleId="Char0">
    <w:name w:val="页脚 Char"/>
    <w:basedOn w:val="a0"/>
    <w:link w:val="a4"/>
    <w:rsid w:val="0053273E"/>
    <w:rPr>
      <w:rFonts w:ascii="Times New Roman" w:eastAsia="楷体_GB2312" w:hAnsi="Times New Roman" w:cs="Times New Roman"/>
      <w:sz w:val="18"/>
      <w:szCs w:val="18"/>
    </w:rPr>
  </w:style>
  <w:style w:type="paragraph" w:styleId="a5">
    <w:name w:val="Block Text"/>
    <w:basedOn w:val="a"/>
    <w:rsid w:val="0053273E"/>
    <w:pPr>
      <w:ind w:leftChars="1553" w:left="3261" w:rightChars="26" w:right="55" w:firstLine="1"/>
      <w:jc w:val="left"/>
    </w:pPr>
    <w:rPr>
      <w:rFonts w:ascii="Times New Roman" w:eastAsia="汉仪大黑简" w:hAnsi="Times New Roman" w:cs="Times New Roman"/>
      <w:color w:val="000000"/>
      <w:sz w:val="18"/>
      <w:szCs w:val="24"/>
    </w:rPr>
  </w:style>
  <w:style w:type="paragraph" w:styleId="a6">
    <w:name w:val="List Paragraph"/>
    <w:basedOn w:val="a"/>
    <w:uiPriority w:val="99"/>
    <w:qFormat/>
    <w:rsid w:val="0053273E"/>
    <w:pPr>
      <w:ind w:firstLineChars="200" w:firstLine="420"/>
    </w:pPr>
    <w:rPr>
      <w:rFonts w:ascii="Times New Roman" w:eastAsia="楷体_GB2312" w:hAnsi="Times New Roman" w:cs="Times New Roman"/>
      <w:szCs w:val="24"/>
    </w:rPr>
  </w:style>
  <w:style w:type="character" w:customStyle="1" w:styleId="textsmall2">
    <w:name w:val="text_small2"/>
    <w:basedOn w:val="a0"/>
    <w:rsid w:val="0053273E"/>
  </w:style>
  <w:style w:type="paragraph" w:styleId="a7">
    <w:name w:val="Balloon Text"/>
    <w:basedOn w:val="a"/>
    <w:link w:val="Char1"/>
    <w:uiPriority w:val="99"/>
    <w:semiHidden/>
    <w:unhideWhenUsed/>
    <w:rsid w:val="0053273E"/>
    <w:rPr>
      <w:sz w:val="18"/>
      <w:szCs w:val="18"/>
    </w:rPr>
  </w:style>
  <w:style w:type="character" w:customStyle="1" w:styleId="Char1">
    <w:name w:val="批注框文本 Char"/>
    <w:basedOn w:val="a0"/>
    <w:link w:val="a7"/>
    <w:uiPriority w:val="99"/>
    <w:semiHidden/>
    <w:rsid w:val="0053273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7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3273E"/>
    <w:pPr>
      <w:pBdr>
        <w:bottom w:val="single" w:sz="6" w:space="1" w:color="auto"/>
      </w:pBdr>
      <w:tabs>
        <w:tab w:val="center" w:pos="4153"/>
        <w:tab w:val="right" w:pos="8306"/>
      </w:tabs>
      <w:snapToGrid w:val="0"/>
      <w:jc w:val="center"/>
    </w:pPr>
    <w:rPr>
      <w:rFonts w:ascii="Times New Roman" w:eastAsia="楷体_GB2312" w:hAnsi="Times New Roman" w:cs="Times New Roman"/>
      <w:sz w:val="18"/>
      <w:szCs w:val="18"/>
    </w:rPr>
  </w:style>
  <w:style w:type="character" w:customStyle="1" w:styleId="Char">
    <w:name w:val="页眉 Char"/>
    <w:basedOn w:val="a0"/>
    <w:link w:val="a3"/>
    <w:rsid w:val="0053273E"/>
    <w:rPr>
      <w:rFonts w:ascii="Times New Roman" w:eastAsia="楷体_GB2312" w:hAnsi="Times New Roman" w:cs="Times New Roman"/>
      <w:sz w:val="18"/>
      <w:szCs w:val="18"/>
    </w:rPr>
  </w:style>
  <w:style w:type="paragraph" w:styleId="a4">
    <w:name w:val="footer"/>
    <w:basedOn w:val="a"/>
    <w:link w:val="Char0"/>
    <w:rsid w:val="0053273E"/>
    <w:pPr>
      <w:tabs>
        <w:tab w:val="center" w:pos="4153"/>
        <w:tab w:val="right" w:pos="8306"/>
      </w:tabs>
      <w:snapToGrid w:val="0"/>
      <w:jc w:val="left"/>
    </w:pPr>
    <w:rPr>
      <w:rFonts w:ascii="Times New Roman" w:eastAsia="楷体_GB2312" w:hAnsi="Times New Roman" w:cs="Times New Roman"/>
      <w:sz w:val="18"/>
      <w:szCs w:val="18"/>
    </w:rPr>
  </w:style>
  <w:style w:type="character" w:customStyle="1" w:styleId="Char0">
    <w:name w:val="页脚 Char"/>
    <w:basedOn w:val="a0"/>
    <w:link w:val="a4"/>
    <w:rsid w:val="0053273E"/>
    <w:rPr>
      <w:rFonts w:ascii="Times New Roman" w:eastAsia="楷体_GB2312" w:hAnsi="Times New Roman" w:cs="Times New Roman"/>
      <w:sz w:val="18"/>
      <w:szCs w:val="18"/>
    </w:rPr>
  </w:style>
  <w:style w:type="paragraph" w:styleId="a5">
    <w:name w:val="Block Text"/>
    <w:basedOn w:val="a"/>
    <w:rsid w:val="0053273E"/>
    <w:pPr>
      <w:ind w:leftChars="1553" w:left="3261" w:rightChars="26" w:right="55" w:firstLine="1"/>
      <w:jc w:val="left"/>
    </w:pPr>
    <w:rPr>
      <w:rFonts w:ascii="Times New Roman" w:eastAsia="汉仪大黑简" w:hAnsi="Times New Roman" w:cs="Times New Roman"/>
      <w:color w:val="000000"/>
      <w:sz w:val="18"/>
      <w:szCs w:val="24"/>
    </w:rPr>
  </w:style>
  <w:style w:type="paragraph" w:styleId="a6">
    <w:name w:val="List Paragraph"/>
    <w:basedOn w:val="a"/>
    <w:uiPriority w:val="99"/>
    <w:qFormat/>
    <w:rsid w:val="0053273E"/>
    <w:pPr>
      <w:ind w:firstLineChars="200" w:firstLine="420"/>
    </w:pPr>
    <w:rPr>
      <w:rFonts w:ascii="Times New Roman" w:eastAsia="楷体_GB2312" w:hAnsi="Times New Roman" w:cs="Times New Roman"/>
      <w:szCs w:val="24"/>
    </w:rPr>
  </w:style>
  <w:style w:type="character" w:customStyle="1" w:styleId="textsmall2">
    <w:name w:val="text_small2"/>
    <w:basedOn w:val="a0"/>
    <w:rsid w:val="0053273E"/>
  </w:style>
  <w:style w:type="paragraph" w:styleId="a7">
    <w:name w:val="Balloon Text"/>
    <w:basedOn w:val="a"/>
    <w:link w:val="Char1"/>
    <w:uiPriority w:val="99"/>
    <w:semiHidden/>
    <w:unhideWhenUsed/>
    <w:rsid w:val="0053273E"/>
    <w:rPr>
      <w:sz w:val="18"/>
      <w:szCs w:val="18"/>
    </w:rPr>
  </w:style>
  <w:style w:type="character" w:customStyle="1" w:styleId="Char1">
    <w:name w:val="批注框文本 Char"/>
    <w:basedOn w:val="a0"/>
    <w:link w:val="a7"/>
    <w:uiPriority w:val="99"/>
    <w:semiHidden/>
    <w:rsid w:val="00532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报告图表!$B$29</c:f>
              <c:strCache>
                <c:ptCount val="1"/>
                <c:pt idx="0">
                  <c:v>涨跌</c:v>
                </c:pt>
              </c:strCache>
            </c:strRef>
          </c:tx>
          <c:invertIfNegative val="0"/>
          <c:cat>
            <c:strRef>
              <c:f>报告图表!$A$30:$A$58</c:f>
              <c:strCache>
                <c:ptCount val="29"/>
                <c:pt idx="0">
                  <c:v>商贸零售</c:v>
                </c:pt>
                <c:pt idx="1">
                  <c:v>餐饮旅游</c:v>
                </c:pt>
                <c:pt idx="2">
                  <c:v>交通运输</c:v>
                </c:pt>
                <c:pt idx="3">
                  <c:v>家电</c:v>
                </c:pt>
                <c:pt idx="4">
                  <c:v>建筑</c:v>
                </c:pt>
                <c:pt idx="5">
                  <c:v>煤炭</c:v>
                </c:pt>
                <c:pt idx="6">
                  <c:v>电力及公用事业</c:v>
                </c:pt>
                <c:pt idx="7">
                  <c:v>食品饮料</c:v>
                </c:pt>
                <c:pt idx="8">
                  <c:v>轻工制造</c:v>
                </c:pt>
                <c:pt idx="9">
                  <c:v>农林牧渔</c:v>
                </c:pt>
                <c:pt idx="10">
                  <c:v>电力设备</c:v>
                </c:pt>
                <c:pt idx="11">
                  <c:v>纺织服装</c:v>
                </c:pt>
                <c:pt idx="12">
                  <c:v>房地产</c:v>
                </c:pt>
                <c:pt idx="13">
                  <c:v>综合</c:v>
                </c:pt>
                <c:pt idx="14">
                  <c:v>医药</c:v>
                </c:pt>
                <c:pt idx="15">
                  <c:v>基础化工</c:v>
                </c:pt>
                <c:pt idx="16">
                  <c:v>银行</c:v>
                </c:pt>
                <c:pt idx="17">
                  <c:v>汽车</c:v>
                </c:pt>
                <c:pt idx="18">
                  <c:v>通信</c:v>
                </c:pt>
                <c:pt idx="19">
                  <c:v>建材</c:v>
                </c:pt>
                <c:pt idx="20">
                  <c:v>钢铁</c:v>
                </c:pt>
                <c:pt idx="21">
                  <c:v>石油石化</c:v>
                </c:pt>
                <c:pt idx="22">
                  <c:v>机械</c:v>
                </c:pt>
                <c:pt idx="23">
                  <c:v>非银行金融</c:v>
                </c:pt>
                <c:pt idx="24">
                  <c:v>国防军工</c:v>
                </c:pt>
                <c:pt idx="25">
                  <c:v>传媒</c:v>
                </c:pt>
                <c:pt idx="26">
                  <c:v>有色金属</c:v>
                </c:pt>
                <c:pt idx="27">
                  <c:v>电子元器件</c:v>
                </c:pt>
                <c:pt idx="28">
                  <c:v>计算机</c:v>
                </c:pt>
              </c:strCache>
            </c:strRef>
          </c:cat>
          <c:val>
            <c:numRef>
              <c:f>报告图表!$B$30:$B$58</c:f>
              <c:numCache>
                <c:formatCode>0.00%</c:formatCode>
                <c:ptCount val="29"/>
                <c:pt idx="0">
                  <c:v>-1.8423889888236955E-2</c:v>
                </c:pt>
                <c:pt idx="1">
                  <c:v>-1.5431014117343711E-2</c:v>
                </c:pt>
                <c:pt idx="2">
                  <c:v>-1.4738880243205132E-2</c:v>
                </c:pt>
                <c:pt idx="3">
                  <c:v>-1.4135718640684414E-2</c:v>
                </c:pt>
                <c:pt idx="4">
                  <c:v>-1.3111298712942587E-2</c:v>
                </c:pt>
                <c:pt idx="5">
                  <c:v>-9.2588899196739405E-3</c:v>
                </c:pt>
                <c:pt idx="6">
                  <c:v>-9.1374346788818395E-3</c:v>
                </c:pt>
                <c:pt idx="7">
                  <c:v>-8.9333156279602921E-3</c:v>
                </c:pt>
                <c:pt idx="8">
                  <c:v>-8.6919916737662195E-3</c:v>
                </c:pt>
                <c:pt idx="9">
                  <c:v>-7.6000106647965415E-3</c:v>
                </c:pt>
                <c:pt idx="10">
                  <c:v>-6.4677562025544644E-3</c:v>
                </c:pt>
                <c:pt idx="11">
                  <c:v>-6.0808499243709679E-3</c:v>
                </c:pt>
                <c:pt idx="12">
                  <c:v>-4.1334731578812622E-3</c:v>
                </c:pt>
                <c:pt idx="13">
                  <c:v>-2.3947701317812431E-3</c:v>
                </c:pt>
                <c:pt idx="14">
                  <c:v>7.8237789890245324E-5</c:v>
                </c:pt>
                <c:pt idx="15">
                  <c:v>2.0178234634116166E-4</c:v>
                </c:pt>
                <c:pt idx="16">
                  <c:v>2.5352428937708282E-3</c:v>
                </c:pt>
                <c:pt idx="17">
                  <c:v>3.1179799974907496E-3</c:v>
                </c:pt>
                <c:pt idx="18">
                  <c:v>3.3034073302184996E-3</c:v>
                </c:pt>
                <c:pt idx="19">
                  <c:v>3.3099170066384076E-3</c:v>
                </c:pt>
                <c:pt idx="20">
                  <c:v>5.5712137899424086E-3</c:v>
                </c:pt>
                <c:pt idx="21">
                  <c:v>7.2086916911855425E-3</c:v>
                </c:pt>
                <c:pt idx="22">
                  <c:v>1.0318899087037758E-2</c:v>
                </c:pt>
                <c:pt idx="23">
                  <c:v>1.504176976848548E-2</c:v>
                </c:pt>
                <c:pt idx="24">
                  <c:v>1.5267396409913925E-2</c:v>
                </c:pt>
                <c:pt idx="25">
                  <c:v>2.1069805665979935E-2</c:v>
                </c:pt>
                <c:pt idx="26">
                  <c:v>2.1934303902617414E-2</c:v>
                </c:pt>
                <c:pt idx="27">
                  <c:v>2.7127192344917672E-2</c:v>
                </c:pt>
                <c:pt idx="28">
                  <c:v>3.6399033587636076E-2</c:v>
                </c:pt>
              </c:numCache>
            </c:numRef>
          </c:val>
        </c:ser>
        <c:dLbls>
          <c:showLegendKey val="0"/>
          <c:showVal val="0"/>
          <c:showCatName val="0"/>
          <c:showSerName val="0"/>
          <c:showPercent val="0"/>
          <c:showBubbleSize val="0"/>
        </c:dLbls>
        <c:gapWidth val="150"/>
        <c:axId val="245160448"/>
        <c:axId val="239016128"/>
      </c:barChart>
      <c:catAx>
        <c:axId val="245160448"/>
        <c:scaling>
          <c:orientation val="minMax"/>
        </c:scaling>
        <c:delete val="0"/>
        <c:axPos val="l"/>
        <c:majorTickMark val="out"/>
        <c:minorTickMark val="none"/>
        <c:tickLblPos val="low"/>
        <c:txPr>
          <a:bodyPr/>
          <a:lstStyle/>
          <a:p>
            <a:pPr>
              <a:defRPr sz="600"/>
            </a:pPr>
            <a:endParaRPr lang="zh-CN"/>
          </a:p>
        </c:txPr>
        <c:crossAx val="239016128"/>
        <c:crosses val="autoZero"/>
        <c:auto val="1"/>
        <c:lblAlgn val="ctr"/>
        <c:lblOffset val="100"/>
        <c:noMultiLvlLbl val="0"/>
      </c:catAx>
      <c:valAx>
        <c:axId val="239016128"/>
        <c:scaling>
          <c:orientation val="minMax"/>
        </c:scaling>
        <c:delete val="0"/>
        <c:axPos val="b"/>
        <c:majorGridlines/>
        <c:numFmt formatCode="0%" sourceLinked="0"/>
        <c:majorTickMark val="out"/>
        <c:minorTickMark val="none"/>
        <c:tickLblPos val="nextTo"/>
        <c:txPr>
          <a:bodyPr/>
          <a:lstStyle/>
          <a:p>
            <a:pPr>
              <a:defRPr sz="700"/>
            </a:pPr>
            <a:endParaRPr lang="zh-CN"/>
          </a:p>
        </c:txPr>
        <c:crossAx val="24516044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1196</TotalTime>
  <Pages>1</Pages>
  <Words>1148</Words>
  <Characters>6550</Characters>
  <Application>Microsoft Office Word</Application>
  <DocSecurity>0</DocSecurity>
  <Lines>54</Lines>
  <Paragraphs>15</Paragraphs>
  <ScaleCrop>false</ScaleCrop>
  <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俞辰瑶</dc:creator>
  <cp:lastModifiedBy>sangliuyu@hotmail.com</cp:lastModifiedBy>
  <cp:revision>32</cp:revision>
  <dcterms:created xsi:type="dcterms:W3CDTF">2016-05-16T13:16:00Z</dcterms:created>
  <dcterms:modified xsi:type="dcterms:W3CDTF">2016-05-22T16:35:00Z</dcterms:modified>
</cp:coreProperties>
</file>