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page" w:tblpX="35" w:tblpY="1"/>
        <w:tblW w:w="11992" w:type="dxa"/>
        <w:shd w:val="clear" w:color="auto" w:fill="E0E0E0"/>
        <w:tblLayout w:type="fixed"/>
        <w:tblLook w:val="01E0"/>
      </w:tblPr>
      <w:tblGrid>
        <w:gridCol w:w="388"/>
        <w:gridCol w:w="1802"/>
        <w:gridCol w:w="1486"/>
        <w:gridCol w:w="13"/>
        <w:gridCol w:w="533"/>
        <w:gridCol w:w="7770"/>
      </w:tblGrid>
      <w:tr w:rsidR="00055C3A" w:rsidRPr="00CB0A5A" w:rsidTr="00701A91">
        <w:trPr>
          <w:trHeight w:hRule="exact" w:val="23"/>
        </w:trPr>
        <w:tc>
          <w:tcPr>
            <w:tcW w:w="3676" w:type="dxa"/>
            <w:gridSpan w:val="3"/>
            <w:shd w:val="clear" w:color="auto" w:fill="auto"/>
          </w:tcPr>
          <w:p w:rsidR="00055C3A" w:rsidRPr="00474C0D" w:rsidRDefault="00055C3A" w:rsidP="00055C3A">
            <w:pPr>
              <w:rPr>
                <w:sz w:val="18"/>
                <w:szCs w:val="18"/>
              </w:rPr>
            </w:pPr>
            <w:r w:rsidRPr="00474C0D">
              <w:rPr>
                <w:rFonts w:hint="eastAsia"/>
                <w:sz w:val="18"/>
                <w:szCs w:val="18"/>
              </w:rPr>
              <w:t>[Table_MainInfo]</w:t>
            </w:r>
          </w:p>
        </w:tc>
        <w:tc>
          <w:tcPr>
            <w:tcW w:w="8316" w:type="dxa"/>
            <w:gridSpan w:val="3"/>
            <w:shd w:val="clear" w:color="auto" w:fill="00326E"/>
          </w:tcPr>
          <w:p w:rsidR="00055C3A" w:rsidRPr="00474C0D" w:rsidRDefault="00055C3A" w:rsidP="00055C3A">
            <w:pPr>
              <w:rPr>
                <w:sz w:val="18"/>
                <w:szCs w:val="18"/>
              </w:rPr>
            </w:pPr>
          </w:p>
        </w:tc>
      </w:tr>
      <w:tr w:rsidR="00055C3A" w:rsidRPr="00CB0A5A" w:rsidTr="00755DED">
        <w:trPr>
          <w:trHeight w:hRule="exact" w:val="398"/>
        </w:trPr>
        <w:tc>
          <w:tcPr>
            <w:tcW w:w="3676" w:type="dxa"/>
            <w:gridSpan w:val="3"/>
            <w:shd w:val="clear" w:color="auto" w:fill="auto"/>
          </w:tcPr>
          <w:p w:rsidR="00055C3A" w:rsidRPr="00474C0D" w:rsidRDefault="00055C3A" w:rsidP="00055C3A">
            <w:pPr>
              <w:rPr>
                <w:sz w:val="18"/>
                <w:szCs w:val="18"/>
              </w:rPr>
            </w:pPr>
          </w:p>
        </w:tc>
        <w:tc>
          <w:tcPr>
            <w:tcW w:w="8316" w:type="dxa"/>
            <w:gridSpan w:val="3"/>
            <w:shd w:val="clear" w:color="auto" w:fill="00326E"/>
          </w:tcPr>
          <w:p w:rsidR="00055C3A" w:rsidRPr="00474C0D" w:rsidRDefault="00055C3A" w:rsidP="00055C3A">
            <w:pPr>
              <w:rPr>
                <w:sz w:val="18"/>
                <w:szCs w:val="18"/>
              </w:rPr>
            </w:pPr>
          </w:p>
        </w:tc>
      </w:tr>
      <w:tr w:rsidR="00413E1F" w:rsidRPr="00CB0A5A" w:rsidTr="00755DED">
        <w:trPr>
          <w:trHeight w:hRule="exact" w:val="567"/>
        </w:trPr>
        <w:tc>
          <w:tcPr>
            <w:tcW w:w="388" w:type="dxa"/>
            <w:shd w:val="clear" w:color="auto" w:fill="FFFFFF"/>
          </w:tcPr>
          <w:p w:rsidR="00413E1F" w:rsidRPr="00CB0A5A" w:rsidRDefault="00413E1F" w:rsidP="00413E1F">
            <w:pPr>
              <w:rPr>
                <w:rFonts w:eastAsia="KaiTi_GB2312"/>
                <w:b/>
                <w:color w:val="003366"/>
              </w:rPr>
            </w:pPr>
          </w:p>
        </w:tc>
        <w:tc>
          <w:tcPr>
            <w:tcW w:w="1802" w:type="dxa"/>
            <w:shd w:val="clear" w:color="auto" w:fill="FFFFFF"/>
          </w:tcPr>
          <w:p w:rsidR="00413E1F" w:rsidRPr="00CB0A5A" w:rsidRDefault="00413E1F" w:rsidP="00413E1F">
            <w:pPr>
              <w:rPr>
                <w:rFonts w:eastAsia="KaiTi_GB2312"/>
                <w:b/>
                <w:color w:val="003366"/>
                <w:sz w:val="36"/>
                <w:szCs w:val="36"/>
              </w:rPr>
            </w:pPr>
          </w:p>
        </w:tc>
        <w:tc>
          <w:tcPr>
            <w:tcW w:w="1486" w:type="dxa"/>
            <w:shd w:val="clear" w:color="auto" w:fill="FFFFFF"/>
            <w:vAlign w:val="bottom"/>
          </w:tcPr>
          <w:p w:rsidR="00413E1F" w:rsidRPr="00CB0A5A" w:rsidRDefault="00413E1F" w:rsidP="00413E1F">
            <w:pPr>
              <w:rPr>
                <w:rFonts w:eastAsia="KaiTi_GB2312"/>
                <w:b/>
                <w:color w:val="003366"/>
                <w:sz w:val="24"/>
              </w:rPr>
            </w:pPr>
          </w:p>
        </w:tc>
        <w:tc>
          <w:tcPr>
            <w:tcW w:w="8316" w:type="dxa"/>
            <w:gridSpan w:val="3"/>
            <w:shd w:val="clear" w:color="auto" w:fill="F00000"/>
            <w:vAlign w:val="center"/>
          </w:tcPr>
          <w:p w:rsidR="00413E1F" w:rsidRPr="008817E7" w:rsidRDefault="00A56132" w:rsidP="00413E1F">
            <w:pPr>
              <w:adjustRightInd w:val="0"/>
              <w:snapToGrid w:val="0"/>
              <w:ind w:rightChars="150" w:right="315"/>
              <w:jc w:val="right"/>
              <w:rPr>
                <w:rFonts w:ascii="楷体" w:eastAsia="楷体" w:hAnsi="楷体" w:cs="宋体-18030"/>
                <w:b/>
                <w:color w:val="FFFFFF"/>
                <w:sz w:val="28"/>
                <w:szCs w:val="28"/>
              </w:rPr>
            </w:pPr>
            <w:r w:rsidRPr="008817E7">
              <w:rPr>
                <w:rFonts w:ascii="楷体" w:eastAsia="楷体" w:hAnsi="楷体" w:cs="宋体-18030" w:hint="eastAsia"/>
                <w:b/>
                <w:color w:val="FFFFFF"/>
                <w:sz w:val="28"/>
                <w:szCs w:val="28"/>
              </w:rPr>
              <w:t>证券投资基金研究报告 / 基金周报</w:t>
            </w:r>
          </w:p>
        </w:tc>
      </w:tr>
      <w:tr w:rsidR="00F27A65" w:rsidRPr="00CB0A5A" w:rsidTr="00701A91">
        <w:trPr>
          <w:trHeight w:val="284"/>
        </w:trPr>
        <w:tc>
          <w:tcPr>
            <w:tcW w:w="388" w:type="dxa"/>
            <w:shd w:val="clear" w:color="auto" w:fill="CDD7FA"/>
          </w:tcPr>
          <w:p w:rsidR="00F27A65" w:rsidRPr="00CB0A5A" w:rsidRDefault="00F27A65" w:rsidP="00055C3A">
            <w:pPr>
              <w:rPr>
                <w:rFonts w:eastAsia="KaiTi_GB2312"/>
                <w:b/>
                <w:color w:val="003366"/>
              </w:rPr>
            </w:pPr>
          </w:p>
        </w:tc>
        <w:tc>
          <w:tcPr>
            <w:tcW w:w="3288" w:type="dxa"/>
            <w:gridSpan w:val="2"/>
            <w:shd w:val="clear" w:color="auto" w:fill="CDD7FA"/>
            <w:vAlign w:val="center"/>
          </w:tcPr>
          <w:p w:rsidR="00F27A65" w:rsidRPr="00FC1827" w:rsidRDefault="00F27A65" w:rsidP="003222CD">
            <w:pPr>
              <w:rPr>
                <w:rFonts w:eastAsia="KaiTi_GB2312"/>
                <w:b/>
                <w:color w:val="003366"/>
              </w:rPr>
            </w:pPr>
          </w:p>
        </w:tc>
        <w:tc>
          <w:tcPr>
            <w:tcW w:w="8316" w:type="dxa"/>
            <w:gridSpan w:val="3"/>
            <w:vMerge w:val="restart"/>
            <w:shd w:val="clear" w:color="auto" w:fill="00326E"/>
          </w:tcPr>
          <w:p w:rsidR="00F37404" w:rsidRDefault="00B27B6F" w:rsidP="00F37404">
            <w:pPr>
              <w:tabs>
                <w:tab w:val="left" w:pos="3254"/>
              </w:tabs>
              <w:autoSpaceDE w:val="0"/>
              <w:autoSpaceDN w:val="0"/>
              <w:adjustRightInd w:val="0"/>
              <w:ind w:firstLineChars="250" w:firstLine="753"/>
              <w:rPr>
                <w:rFonts w:ascii="SimHei" w:hAnsi="SimHei" w:cs="SimHei" w:hint="eastAsia"/>
                <w:b/>
                <w:color w:val="FFFFFF"/>
                <w:kern w:val="0"/>
                <w:sz w:val="30"/>
                <w:szCs w:val="30"/>
              </w:rPr>
            </w:pPr>
            <w:r>
              <w:rPr>
                <w:rFonts w:ascii="SimHei" w:hAnsi="SimHei" w:cs="SimHei" w:hint="eastAsia"/>
                <w:b/>
                <w:color w:val="FFFFFF"/>
                <w:kern w:val="0"/>
                <w:sz w:val="30"/>
                <w:szCs w:val="30"/>
              </w:rPr>
              <w:t xml:space="preserve"> </w:t>
            </w:r>
          </w:p>
          <w:p w:rsidR="0013506B" w:rsidRPr="003C6EC0" w:rsidRDefault="005A0545" w:rsidP="008817E7">
            <w:pPr>
              <w:tabs>
                <w:tab w:val="left" w:pos="3254"/>
              </w:tabs>
              <w:autoSpaceDE w:val="0"/>
              <w:autoSpaceDN w:val="0"/>
              <w:adjustRightInd w:val="0"/>
              <w:ind w:firstLineChars="247" w:firstLine="744"/>
              <w:rPr>
                <w:rFonts w:ascii="SimHei" w:hAnsi="SimHei" w:cs="SimHei" w:hint="eastAsia"/>
                <w:b/>
                <w:color w:val="FFFFFF"/>
                <w:kern w:val="0"/>
                <w:sz w:val="30"/>
                <w:szCs w:val="30"/>
              </w:rPr>
            </w:pPr>
            <w:r w:rsidRPr="005A0545">
              <w:rPr>
                <w:rFonts w:ascii="SimHei" w:hAnsi="SimHei" w:cs="SimHei" w:hint="eastAsia"/>
                <w:b/>
                <w:color w:val="FFFFFF"/>
                <w:kern w:val="0"/>
                <w:sz w:val="30"/>
                <w:szCs w:val="30"/>
              </w:rPr>
              <w:t>沪深股市继续回调</w:t>
            </w:r>
            <w:bookmarkStart w:id="0" w:name="_GoBack"/>
            <w:bookmarkEnd w:id="0"/>
            <w:r w:rsidR="00D671F3">
              <w:rPr>
                <w:rFonts w:ascii="SimHei" w:hAnsi="SimHei" w:cs="SimHei"/>
                <w:b/>
                <w:color w:val="FFFFFF"/>
                <w:kern w:val="0"/>
                <w:sz w:val="30"/>
                <w:szCs w:val="30"/>
              </w:rPr>
              <w:t xml:space="preserve">  </w:t>
            </w:r>
            <w:r w:rsidR="00B91021">
              <w:rPr>
                <w:rFonts w:ascii="SimHei" w:hAnsi="SimHei" w:cs="SimHei"/>
                <w:b/>
                <w:color w:val="FFFFFF"/>
                <w:kern w:val="0"/>
                <w:sz w:val="30"/>
                <w:szCs w:val="30"/>
              </w:rPr>
              <w:t xml:space="preserve"> </w:t>
            </w:r>
            <w:r w:rsidR="008817E7">
              <w:rPr>
                <w:rFonts w:ascii="SimHei" w:hAnsi="SimHei" w:cs="SimHei" w:hint="eastAsia"/>
                <w:b/>
                <w:color w:val="FFFFFF"/>
                <w:kern w:val="0"/>
                <w:sz w:val="30"/>
                <w:szCs w:val="30"/>
              </w:rPr>
              <w:t xml:space="preserve"> </w:t>
            </w:r>
            <w:r w:rsidR="00D671F3">
              <w:rPr>
                <w:rFonts w:ascii="SimHei" w:hAnsi="SimHei" w:cs="SimHei" w:hint="eastAsia"/>
                <w:b/>
                <w:color w:val="FFFFFF"/>
                <w:kern w:val="0"/>
                <w:sz w:val="30"/>
                <w:szCs w:val="30"/>
              </w:rPr>
              <w:t>食品</w:t>
            </w:r>
            <w:r w:rsidR="008817E7">
              <w:rPr>
                <w:rFonts w:ascii="SimHei" w:hAnsi="SimHei" w:cs="SimHei" w:hint="eastAsia"/>
                <w:b/>
                <w:color w:val="FFFFFF"/>
                <w:kern w:val="0"/>
                <w:sz w:val="30"/>
                <w:szCs w:val="30"/>
              </w:rPr>
              <w:t>等防御行业基金业绩活跃</w:t>
            </w:r>
            <w:r w:rsidR="00BE7359">
              <w:rPr>
                <w:rFonts w:ascii="SimHei" w:hAnsi="SimHei" w:cs="SimHei" w:hint="eastAsia"/>
                <w:b/>
                <w:color w:val="FFFFFF"/>
                <w:kern w:val="0"/>
                <w:sz w:val="30"/>
                <w:szCs w:val="30"/>
              </w:rPr>
              <w:t xml:space="preserve">  </w:t>
            </w:r>
          </w:p>
          <w:p w:rsidR="0013506B" w:rsidRPr="00BE7359" w:rsidRDefault="0013506B" w:rsidP="0013506B">
            <w:pPr>
              <w:autoSpaceDE w:val="0"/>
              <w:autoSpaceDN w:val="0"/>
              <w:adjustRightInd w:val="0"/>
              <w:ind w:firstLine="480"/>
              <w:jc w:val="left"/>
              <w:rPr>
                <w:rFonts w:ascii="SimHei" w:hAnsi="SimHei" w:cs="SimHei" w:hint="eastAsia"/>
                <w:b/>
                <w:color w:val="FFFFFF"/>
                <w:kern w:val="0"/>
                <w:sz w:val="23"/>
                <w:szCs w:val="23"/>
              </w:rPr>
            </w:pPr>
          </w:p>
          <w:p w:rsidR="00F72FA4" w:rsidRPr="00D1330E" w:rsidRDefault="0013506B" w:rsidP="003C2D32">
            <w:pPr>
              <w:spacing w:line="360" w:lineRule="auto"/>
              <w:ind w:leftChars="200" w:left="2018" w:hangingChars="692" w:hanging="1598"/>
              <w:jc w:val="right"/>
              <w:rPr>
                <w:rFonts w:eastAsia="SimHei"/>
                <w:b/>
                <w:color w:val="FFFFFF"/>
                <w:sz w:val="30"/>
                <w:szCs w:val="30"/>
              </w:rPr>
            </w:pPr>
            <w:bookmarkStart w:id="1" w:name="OLE_LINK34"/>
            <w:bookmarkStart w:id="2" w:name="OLE_LINK35"/>
            <w:r w:rsidRPr="0013506B">
              <w:rPr>
                <w:rFonts w:ascii="SimHei" w:hAnsi="SimHei" w:cs="SimHei"/>
                <w:b/>
                <w:color w:val="FFFFFF"/>
                <w:kern w:val="0"/>
                <w:sz w:val="23"/>
                <w:szCs w:val="23"/>
              </w:rPr>
              <w:t>基金市场周报（</w:t>
            </w:r>
            <w:r w:rsidR="008A6B3B">
              <w:rPr>
                <w:rFonts w:ascii="SimHei" w:hAnsi="SimHei" w:cs="SimHei"/>
                <w:b/>
                <w:color w:val="FFFFFF"/>
                <w:kern w:val="0"/>
                <w:sz w:val="23"/>
                <w:szCs w:val="23"/>
              </w:rPr>
              <w:t>201</w:t>
            </w:r>
            <w:r w:rsidR="00176089">
              <w:rPr>
                <w:rFonts w:ascii="SimHei" w:hAnsi="SimHei" w:cs="SimHei" w:hint="eastAsia"/>
                <w:b/>
                <w:color w:val="FFFFFF"/>
                <w:kern w:val="0"/>
                <w:sz w:val="23"/>
                <w:szCs w:val="23"/>
              </w:rPr>
              <w:t>6</w:t>
            </w:r>
            <w:r w:rsidRPr="0013506B">
              <w:rPr>
                <w:rFonts w:ascii="SimHei" w:hAnsi="SimHei" w:cs="SimHei"/>
                <w:b/>
                <w:color w:val="FFFFFF"/>
                <w:kern w:val="0"/>
                <w:sz w:val="23"/>
                <w:szCs w:val="23"/>
              </w:rPr>
              <w:t>.</w:t>
            </w:r>
            <w:r w:rsidR="00835EAC">
              <w:rPr>
                <w:rFonts w:ascii="SimHei" w:hAnsi="SimHei" w:cs="SimHei"/>
                <w:b/>
                <w:color w:val="FFFFFF"/>
                <w:kern w:val="0"/>
                <w:sz w:val="23"/>
                <w:szCs w:val="23"/>
              </w:rPr>
              <w:t>5.</w:t>
            </w:r>
            <w:r w:rsidR="003C2D32">
              <w:rPr>
                <w:rFonts w:ascii="SimHei" w:hAnsi="SimHei" w:cs="SimHei"/>
                <w:b/>
                <w:color w:val="FFFFFF"/>
                <w:kern w:val="0"/>
                <w:sz w:val="23"/>
                <w:szCs w:val="23"/>
              </w:rPr>
              <w:t>9</w:t>
            </w:r>
            <w:r w:rsidR="007E3B74">
              <w:rPr>
                <w:rFonts w:ascii="SimHei" w:hAnsi="SimHei" w:cs="SimHei"/>
                <w:b/>
                <w:color w:val="FFFFFF"/>
                <w:kern w:val="0"/>
                <w:sz w:val="23"/>
                <w:szCs w:val="23"/>
              </w:rPr>
              <w:t>—</w:t>
            </w:r>
            <w:r w:rsidR="00835EAC">
              <w:rPr>
                <w:rFonts w:ascii="SimHei" w:hAnsi="SimHei" w:cs="SimHei" w:hint="eastAsia"/>
                <w:b/>
                <w:color w:val="FFFFFF"/>
                <w:kern w:val="0"/>
                <w:sz w:val="23"/>
                <w:szCs w:val="23"/>
              </w:rPr>
              <w:t>5.</w:t>
            </w:r>
            <w:r w:rsidR="003C2D32">
              <w:rPr>
                <w:rFonts w:ascii="SimHei" w:hAnsi="SimHei" w:cs="SimHei"/>
                <w:b/>
                <w:color w:val="FFFFFF"/>
                <w:kern w:val="0"/>
                <w:sz w:val="23"/>
                <w:szCs w:val="23"/>
              </w:rPr>
              <w:t>13</w:t>
            </w:r>
            <w:r w:rsidRPr="0013506B">
              <w:rPr>
                <w:rFonts w:ascii="SimHei" w:hAnsi="SimHei" w:cs="SimHei"/>
                <w:b/>
                <w:color w:val="FFFFFF"/>
                <w:kern w:val="0"/>
                <w:sz w:val="23"/>
                <w:szCs w:val="23"/>
              </w:rPr>
              <w:t>）</w:t>
            </w:r>
            <w:bookmarkEnd w:id="1"/>
            <w:bookmarkEnd w:id="2"/>
          </w:p>
        </w:tc>
      </w:tr>
      <w:tr w:rsidR="00F27A65" w:rsidRPr="00CB0A5A" w:rsidTr="00701A91">
        <w:trPr>
          <w:trHeight w:val="284"/>
        </w:trPr>
        <w:tc>
          <w:tcPr>
            <w:tcW w:w="388" w:type="dxa"/>
            <w:shd w:val="clear" w:color="auto" w:fill="CDD7FA"/>
          </w:tcPr>
          <w:p w:rsidR="00F27A65" w:rsidRPr="00CB0A5A" w:rsidRDefault="00F27A65" w:rsidP="00055C3A">
            <w:pPr>
              <w:rPr>
                <w:rFonts w:eastAsia="KaiTi_GB2312"/>
                <w:b/>
                <w:color w:val="003366"/>
              </w:rPr>
            </w:pPr>
          </w:p>
        </w:tc>
        <w:tc>
          <w:tcPr>
            <w:tcW w:w="3288" w:type="dxa"/>
            <w:gridSpan w:val="2"/>
            <w:shd w:val="clear" w:color="auto" w:fill="CDD7FA"/>
          </w:tcPr>
          <w:p w:rsidR="00F27A65" w:rsidRPr="00FC1827" w:rsidRDefault="00D24534" w:rsidP="00055C3A">
            <w:pPr>
              <w:rPr>
                <w:rFonts w:eastAsia="KaiTi_GB2312"/>
                <w:b/>
                <w:color w:val="003366"/>
              </w:rPr>
            </w:pPr>
            <w:r>
              <w:rPr>
                <w:rFonts w:eastAsia="KaiTi_GB2312"/>
                <w:b/>
                <w:noProof/>
                <w:color w:val="003366"/>
              </w:rPr>
              <w:drawing>
                <wp:anchor distT="0" distB="0" distL="114300" distR="114300" simplePos="0" relativeHeight="251657728" behindDoc="0" locked="0" layoutInCell="1" allowOverlap="1">
                  <wp:simplePos x="0" y="0"/>
                  <wp:positionH relativeFrom="column">
                    <wp:posOffset>36830</wp:posOffset>
                  </wp:positionH>
                  <wp:positionV relativeFrom="paragraph">
                    <wp:posOffset>184150</wp:posOffset>
                  </wp:positionV>
                  <wp:extent cx="1828800" cy="869950"/>
                  <wp:effectExtent l="0" t="0" r="0" b="0"/>
                  <wp:wrapNone/>
                  <wp:docPr id="5" name="图片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1"/>
                          <pic:cNvPicPr>
                            <a:picLocks noChangeAspect="1" noChangeArrowheads="1"/>
                          </pic:cNvPicPr>
                        </pic:nvPicPr>
                        <pic:blipFill>
                          <a:blip r:embed="rId8" cstate="print">
                            <a:clrChange>
                              <a:clrFrom>
                                <a:srgbClr val="D2D2FF"/>
                              </a:clrFrom>
                              <a:clrTo>
                                <a:srgbClr val="D2D2FF">
                                  <a:alpha val="0"/>
                                </a:srgbClr>
                              </a:clrTo>
                            </a:clrChange>
                          </a:blip>
                          <a:srcRect/>
                          <a:stretch>
                            <a:fillRect/>
                          </a:stretch>
                        </pic:blipFill>
                        <pic:spPr bwMode="auto">
                          <a:xfrm>
                            <a:off x="0" y="0"/>
                            <a:ext cx="1828800" cy="869950"/>
                          </a:xfrm>
                          <a:prstGeom prst="rect">
                            <a:avLst/>
                          </a:prstGeom>
                          <a:noFill/>
                          <a:ln w="9525">
                            <a:noFill/>
                            <a:miter lim="800000"/>
                            <a:headEnd/>
                            <a:tailEnd/>
                          </a:ln>
                        </pic:spPr>
                      </pic:pic>
                    </a:graphicData>
                  </a:graphic>
                </wp:anchor>
              </w:drawing>
            </w:r>
          </w:p>
        </w:tc>
        <w:tc>
          <w:tcPr>
            <w:tcW w:w="8316" w:type="dxa"/>
            <w:gridSpan w:val="3"/>
            <w:vMerge/>
            <w:shd w:val="clear" w:color="auto" w:fill="00326E"/>
          </w:tcPr>
          <w:p w:rsidR="00F27A65" w:rsidRPr="00FC1827" w:rsidRDefault="00F27A65" w:rsidP="00055C3A">
            <w:pPr>
              <w:rPr>
                <w:rFonts w:eastAsia="KaiTi_GB2312"/>
                <w:b/>
                <w:color w:val="003366"/>
              </w:rPr>
            </w:pPr>
          </w:p>
        </w:tc>
      </w:tr>
      <w:tr w:rsidR="00F27A65" w:rsidRPr="00CB0A5A" w:rsidTr="00701A91">
        <w:trPr>
          <w:trHeight w:val="1224"/>
        </w:trPr>
        <w:tc>
          <w:tcPr>
            <w:tcW w:w="388" w:type="dxa"/>
            <w:shd w:val="clear" w:color="auto" w:fill="CDD7FA"/>
          </w:tcPr>
          <w:p w:rsidR="00F27A65" w:rsidRPr="00CB0A5A" w:rsidRDefault="00F27A65" w:rsidP="00055C3A">
            <w:pPr>
              <w:rPr>
                <w:rFonts w:eastAsia="KaiTi_GB2312"/>
                <w:b/>
                <w:color w:val="003366"/>
              </w:rPr>
            </w:pPr>
          </w:p>
        </w:tc>
        <w:tc>
          <w:tcPr>
            <w:tcW w:w="3288" w:type="dxa"/>
            <w:gridSpan w:val="2"/>
            <w:shd w:val="clear" w:color="auto" w:fill="CDD7FA"/>
          </w:tcPr>
          <w:p w:rsidR="00F27A65" w:rsidRPr="00CB0A5A" w:rsidRDefault="00F27A65" w:rsidP="00055C3A">
            <w:pPr>
              <w:spacing w:line="360" w:lineRule="auto"/>
              <w:rPr>
                <w:rFonts w:eastAsia="KaiTi_GB2312"/>
                <w:noProof/>
              </w:rPr>
            </w:pPr>
          </w:p>
        </w:tc>
        <w:tc>
          <w:tcPr>
            <w:tcW w:w="8316" w:type="dxa"/>
            <w:gridSpan w:val="3"/>
            <w:vMerge/>
            <w:shd w:val="clear" w:color="auto" w:fill="00326E"/>
          </w:tcPr>
          <w:p w:rsidR="00F27A65" w:rsidRPr="00CB0A5A" w:rsidRDefault="00F27A65" w:rsidP="00055C3A">
            <w:pPr>
              <w:spacing w:line="360" w:lineRule="auto"/>
              <w:rPr>
                <w:rFonts w:eastAsia="KaiTi_GB2312"/>
                <w:noProof/>
              </w:rPr>
            </w:pPr>
          </w:p>
        </w:tc>
      </w:tr>
      <w:tr w:rsidR="00D20D7A" w:rsidRPr="00CB0A5A" w:rsidTr="00814A63">
        <w:trPr>
          <w:trHeight w:val="1159"/>
        </w:trPr>
        <w:tc>
          <w:tcPr>
            <w:tcW w:w="3689" w:type="dxa"/>
            <w:gridSpan w:val="4"/>
            <w:tcBorders>
              <w:bottom w:val="nil"/>
            </w:tcBorders>
            <w:shd w:val="clear" w:color="auto" w:fill="CDD7FA"/>
            <w:tcMar>
              <w:right w:w="0" w:type="dxa"/>
            </w:tcMar>
          </w:tcPr>
          <w:p w:rsidR="00D20D7A" w:rsidRPr="00EF75E3" w:rsidRDefault="00D20D7A" w:rsidP="00055C3A"/>
        </w:tc>
        <w:tc>
          <w:tcPr>
            <w:tcW w:w="533" w:type="dxa"/>
            <w:tcBorders>
              <w:bottom w:val="nil"/>
            </w:tcBorders>
            <w:shd w:val="clear" w:color="auto" w:fill="CDD7FA"/>
          </w:tcPr>
          <w:p w:rsidR="00D20D7A" w:rsidRPr="007D078F" w:rsidRDefault="00D20D7A" w:rsidP="00055C3A">
            <w:pPr>
              <w:rPr>
                <w:rFonts w:eastAsia="KaiTi_GB2312"/>
                <w:b/>
                <w:color w:val="003366"/>
              </w:rPr>
            </w:pPr>
          </w:p>
        </w:tc>
        <w:tc>
          <w:tcPr>
            <w:tcW w:w="7770" w:type="dxa"/>
            <w:vMerge w:val="restart"/>
            <w:tcBorders>
              <w:bottom w:val="nil"/>
            </w:tcBorders>
            <w:shd w:val="clear" w:color="auto" w:fill="auto"/>
          </w:tcPr>
          <w:tbl>
            <w:tblPr>
              <w:tblW w:w="6521" w:type="dxa"/>
              <w:tblInd w:w="227" w:type="dxa"/>
              <w:tblLayout w:type="fixed"/>
              <w:tblLook w:val="04A0"/>
            </w:tblPr>
            <w:tblGrid>
              <w:gridCol w:w="6521"/>
            </w:tblGrid>
            <w:tr w:rsidR="00D20D7A" w:rsidRPr="000C6C1F" w:rsidTr="00814A63">
              <w:trPr>
                <w:trHeight w:hRule="exact" w:val="23"/>
              </w:trPr>
              <w:tc>
                <w:tcPr>
                  <w:tcW w:w="7539" w:type="dxa"/>
                </w:tcPr>
                <w:p w:rsidR="00D20D7A" w:rsidRPr="000C6C1F" w:rsidRDefault="00D20D7A" w:rsidP="001565B6">
                  <w:pPr>
                    <w:framePr w:hSpace="181" w:wrap="around" w:vAnchor="page" w:hAnchor="page" w:x="35" w:y="1"/>
                    <w:rPr>
                      <w:rFonts w:eastAsia="KaiTi_GB2312"/>
                      <w:color w:val="003366"/>
                      <w:sz w:val="18"/>
                      <w:szCs w:val="18"/>
                    </w:rPr>
                  </w:pPr>
                  <w:r w:rsidRPr="000C6C1F">
                    <w:rPr>
                      <w:rFonts w:eastAsia="KaiTi_GB2312" w:hint="eastAsia"/>
                      <w:color w:val="003366"/>
                      <w:sz w:val="18"/>
                      <w:szCs w:val="18"/>
                    </w:rPr>
                    <w:t>[Table_Summary]</w:t>
                  </w:r>
                </w:p>
              </w:tc>
            </w:tr>
            <w:tr w:rsidR="00D20D7A" w:rsidRPr="000C6C1F" w:rsidTr="00B27B6F">
              <w:trPr>
                <w:trHeight w:val="9591"/>
              </w:trPr>
              <w:tc>
                <w:tcPr>
                  <w:tcW w:w="7539" w:type="dxa"/>
                </w:tcPr>
                <w:p w:rsidR="0058462A" w:rsidRPr="00DA1341" w:rsidRDefault="0058462A" w:rsidP="001565B6">
                  <w:pPr>
                    <w:pStyle w:val="Default"/>
                    <w:framePr w:hSpace="181" w:wrap="around" w:vAnchor="page" w:hAnchor="page" w:x="35" w:y="1"/>
                    <w:rPr>
                      <w:rFonts w:ascii="Times New Roman" w:eastAsia="楷体_GB2312" w:hAnsi="Times New Roman" w:cs="Times New Roman" w:hint="eastAsia"/>
                      <w:kern w:val="2"/>
                      <w:sz w:val="21"/>
                      <w:szCs w:val="21"/>
                    </w:rPr>
                  </w:pPr>
                </w:p>
                <w:p w:rsidR="006471AD" w:rsidRPr="00DA1341" w:rsidRDefault="00605973" w:rsidP="001565B6">
                  <w:pPr>
                    <w:framePr w:hSpace="181" w:wrap="around" w:vAnchor="page" w:hAnchor="page" w:x="35" w:y="1"/>
                    <w:spacing w:line="14" w:lineRule="auto"/>
                    <w:ind w:firstLine="420"/>
                    <w:rPr>
                      <w:rFonts w:eastAsia="楷体_GB2312"/>
                      <w:color w:val="000000"/>
                      <w:szCs w:val="21"/>
                    </w:rPr>
                  </w:pPr>
                  <w:bookmarkStart w:id="3" w:name="OLE_LINK7"/>
                  <w:bookmarkStart w:id="4" w:name="OLE_LINK8"/>
                  <w:bookmarkStart w:id="5" w:name="OLE_LINK18"/>
                  <w:bookmarkStart w:id="6" w:name="OLE_LINK19"/>
                  <w:bookmarkStart w:id="7" w:name="OLE_LINK24"/>
                  <w:bookmarkStart w:id="8" w:name="OLE_LINK21"/>
                  <w:bookmarkStart w:id="9" w:name="OLE_LINK36"/>
                  <w:bookmarkStart w:id="10" w:name="OLE_LINK37"/>
                  <w:bookmarkStart w:id="11" w:name="OLE_LINK44"/>
                  <w:bookmarkStart w:id="12" w:name="OLE_LINK45"/>
                  <w:r w:rsidRPr="00DA1341">
                    <w:rPr>
                      <w:rFonts w:eastAsia="楷体_GB2312" w:hint="eastAsia"/>
                      <w:color w:val="000000"/>
                      <w:szCs w:val="21"/>
                    </w:rPr>
                    <w:t>股票市场方面，沪深两市收益率分别为</w:t>
                  </w:r>
                  <w:r w:rsidRPr="00DA1341">
                    <w:rPr>
                      <w:rFonts w:eastAsia="楷体_GB2312" w:hint="eastAsia"/>
                      <w:color w:val="000000"/>
                      <w:szCs w:val="21"/>
                    </w:rPr>
                    <w:t>-2.96%</w:t>
                  </w:r>
                  <w:r w:rsidRPr="00DA1341">
                    <w:rPr>
                      <w:rFonts w:eastAsia="楷体_GB2312" w:hint="eastAsia"/>
                      <w:color w:val="000000"/>
                      <w:szCs w:val="21"/>
                    </w:rPr>
                    <w:t>和</w:t>
                  </w:r>
                  <w:r w:rsidRPr="00DA1341">
                    <w:rPr>
                      <w:rFonts w:eastAsia="楷体_GB2312" w:hint="eastAsia"/>
                      <w:color w:val="000000"/>
                      <w:szCs w:val="21"/>
                    </w:rPr>
                    <w:t>-3.38%</w:t>
                  </w:r>
                  <w:r w:rsidRPr="00DA1341">
                    <w:rPr>
                      <w:rFonts w:eastAsia="楷体_GB2312" w:hint="eastAsia"/>
                      <w:color w:val="000000"/>
                      <w:szCs w:val="21"/>
                    </w:rPr>
                    <w:t>，同期中小板和创业板指数收益率为</w:t>
                  </w:r>
                  <w:r w:rsidRPr="00DA1341">
                    <w:rPr>
                      <w:rFonts w:eastAsia="楷体_GB2312" w:hint="eastAsia"/>
                      <w:color w:val="000000"/>
                      <w:szCs w:val="21"/>
                    </w:rPr>
                    <w:t>-2.52%</w:t>
                  </w:r>
                  <w:r w:rsidRPr="00DA1341">
                    <w:rPr>
                      <w:rFonts w:eastAsia="楷体_GB2312" w:hint="eastAsia"/>
                      <w:color w:val="000000"/>
                      <w:szCs w:val="21"/>
                    </w:rPr>
                    <w:t>和</w:t>
                  </w:r>
                  <w:r w:rsidR="00591BB0" w:rsidRPr="00DA1341">
                    <w:rPr>
                      <w:rFonts w:eastAsia="楷体_GB2312" w:hint="eastAsia"/>
                      <w:color w:val="000000"/>
                      <w:szCs w:val="21"/>
                    </w:rPr>
                    <w:t>-</w:t>
                  </w:r>
                  <w:r w:rsidRPr="00DA1341">
                    <w:rPr>
                      <w:rFonts w:eastAsia="楷体_GB2312" w:hint="eastAsia"/>
                      <w:color w:val="000000"/>
                      <w:szCs w:val="21"/>
                    </w:rPr>
                    <w:t>5.87%</w:t>
                  </w:r>
                  <w:r w:rsidRPr="00DA1341">
                    <w:rPr>
                      <w:rFonts w:eastAsia="楷体_GB2312" w:hint="eastAsia"/>
                      <w:color w:val="000000"/>
                      <w:szCs w:val="21"/>
                    </w:rPr>
                    <w:t>。</w:t>
                  </w:r>
                  <w:r w:rsidR="001565B6" w:rsidRPr="00DA1341">
                    <w:rPr>
                      <w:rFonts w:eastAsia="楷体_GB2312" w:hint="eastAsia"/>
                      <w:color w:val="000000"/>
                      <w:szCs w:val="21"/>
                    </w:rPr>
                    <w:t>上周沪深股市继续回调，上证综指已退至</w:t>
                  </w:r>
                  <w:r w:rsidR="001565B6" w:rsidRPr="00DA1341">
                    <w:rPr>
                      <w:rFonts w:eastAsia="楷体_GB2312" w:hint="eastAsia"/>
                      <w:color w:val="000000"/>
                      <w:szCs w:val="21"/>
                    </w:rPr>
                    <w:t>2800</w:t>
                  </w:r>
                  <w:r w:rsidR="002312E9" w:rsidRPr="00DA1341">
                    <w:rPr>
                      <w:rFonts w:eastAsia="楷体_GB2312" w:hint="eastAsia"/>
                      <w:color w:val="000000"/>
                      <w:szCs w:val="21"/>
                    </w:rPr>
                    <w:t>点附近</w:t>
                  </w:r>
                  <w:r w:rsidRPr="00DA1341">
                    <w:rPr>
                      <w:rFonts w:eastAsia="楷体_GB2312" w:hint="eastAsia"/>
                      <w:color w:val="000000"/>
                      <w:szCs w:val="21"/>
                    </w:rPr>
                    <w:t>。从行业层面来看，除食品饮料行业外，其他所有行业收益为负，食品饮料行业收益率涨幅最大，为</w:t>
                  </w:r>
                  <w:r w:rsidRPr="00DA1341">
                    <w:rPr>
                      <w:rFonts w:eastAsia="楷体_GB2312" w:hint="eastAsia"/>
                      <w:color w:val="000000"/>
                      <w:szCs w:val="21"/>
                    </w:rPr>
                    <w:t>0.13%</w:t>
                  </w:r>
                  <w:r w:rsidRPr="00DA1341">
                    <w:rPr>
                      <w:rFonts w:eastAsia="楷体_GB2312" w:hint="eastAsia"/>
                      <w:color w:val="000000"/>
                      <w:szCs w:val="21"/>
                    </w:rPr>
                    <w:t>，而计算机、建筑材料和综合行业在上周跌幅惨重。债券市场方面，中证全债指数上涨</w:t>
                  </w:r>
                  <w:r w:rsidRPr="00DA1341">
                    <w:rPr>
                      <w:rFonts w:eastAsia="楷体_GB2312" w:hint="eastAsia"/>
                      <w:color w:val="000000"/>
                      <w:szCs w:val="21"/>
                    </w:rPr>
                    <w:t>0.32%</w:t>
                  </w:r>
                  <w:r w:rsidRPr="00DA1341">
                    <w:rPr>
                      <w:rFonts w:eastAsia="楷体_GB2312" w:hint="eastAsia"/>
                      <w:color w:val="000000"/>
                      <w:szCs w:val="21"/>
                    </w:rPr>
                    <w:t>。上周中证企业债、国债收益率分别为</w:t>
                  </w:r>
                  <w:r w:rsidRPr="00DA1341">
                    <w:rPr>
                      <w:rFonts w:eastAsia="楷体_GB2312" w:hint="eastAsia"/>
                      <w:color w:val="000000"/>
                      <w:szCs w:val="21"/>
                    </w:rPr>
                    <w:t>0.28%</w:t>
                  </w:r>
                  <w:r w:rsidRPr="00DA1341">
                    <w:rPr>
                      <w:rFonts w:eastAsia="楷体_GB2312" w:hint="eastAsia"/>
                      <w:color w:val="000000"/>
                      <w:szCs w:val="21"/>
                    </w:rPr>
                    <w:t>和</w:t>
                  </w:r>
                  <w:r w:rsidRPr="00DA1341">
                    <w:rPr>
                      <w:rFonts w:eastAsia="楷体_GB2312" w:hint="eastAsia"/>
                      <w:color w:val="000000"/>
                      <w:szCs w:val="21"/>
                    </w:rPr>
                    <w:t>0.15%</w:t>
                  </w:r>
                  <w:r w:rsidRPr="00DA1341">
                    <w:rPr>
                      <w:rFonts w:eastAsia="楷体_GB2312" w:hint="eastAsia"/>
                      <w:color w:val="000000"/>
                      <w:szCs w:val="21"/>
                    </w:rPr>
                    <w:t>，转债指数收益率为</w:t>
                  </w:r>
                  <w:r w:rsidRPr="00DA1341">
                    <w:rPr>
                      <w:rFonts w:eastAsia="楷体_GB2312" w:hint="eastAsia"/>
                      <w:color w:val="000000"/>
                      <w:szCs w:val="21"/>
                    </w:rPr>
                    <w:t>-0.64%</w:t>
                  </w:r>
                  <w:r w:rsidRPr="00DA1341">
                    <w:rPr>
                      <w:rFonts w:eastAsia="楷体_GB2312" w:hint="eastAsia"/>
                      <w:color w:val="000000"/>
                      <w:szCs w:val="21"/>
                    </w:rPr>
                    <w:t>。货币市场资金价格相对平稳，周内仅出现小幅波动。截止上周五美元兑人民币中间价为</w:t>
                  </w:r>
                  <w:r w:rsidRPr="00DA1341">
                    <w:rPr>
                      <w:rFonts w:eastAsia="楷体_GB2312" w:hint="eastAsia"/>
                      <w:color w:val="000000"/>
                      <w:szCs w:val="21"/>
                    </w:rPr>
                    <w:t>6.52</w:t>
                  </w:r>
                  <w:r w:rsidRPr="00DA1341">
                    <w:rPr>
                      <w:rFonts w:eastAsia="楷体_GB2312" w:hint="eastAsia"/>
                      <w:color w:val="000000"/>
                      <w:szCs w:val="21"/>
                    </w:rPr>
                    <w:t>元</w:t>
                  </w:r>
                  <w:r w:rsidR="00CA10C4" w:rsidRPr="00DA1341">
                    <w:rPr>
                      <w:rFonts w:eastAsia="楷体_GB2312" w:hint="eastAsia"/>
                      <w:color w:val="000000"/>
                      <w:szCs w:val="21"/>
                    </w:rPr>
                    <w:t>。</w:t>
                  </w:r>
                  <w:r w:rsidR="006E570A" w:rsidRPr="00DA1341">
                    <w:rPr>
                      <w:rFonts w:eastAsia="楷体_GB2312" w:hint="eastAsia"/>
                      <w:color w:val="000000"/>
                      <w:szCs w:val="21"/>
                    </w:rPr>
                    <w:t xml:space="preserve"> </w:t>
                  </w:r>
                </w:p>
                <w:p w:rsidR="008A6B3B" w:rsidRPr="00DA1341" w:rsidRDefault="00405C50" w:rsidP="001565B6">
                  <w:pPr>
                    <w:framePr w:hSpace="181" w:wrap="around" w:vAnchor="page" w:hAnchor="page" w:x="35" w:y="1"/>
                    <w:ind w:firstLine="435"/>
                    <w:rPr>
                      <w:rFonts w:eastAsia="楷体_GB2312"/>
                      <w:b/>
                      <w:color w:val="17365D" w:themeColor="text2" w:themeShade="BF"/>
                      <w:szCs w:val="21"/>
                    </w:rPr>
                  </w:pPr>
                  <w:r w:rsidRPr="00DA1341">
                    <w:rPr>
                      <w:rFonts w:eastAsia="楷体_GB2312" w:hint="eastAsia"/>
                      <w:b/>
                      <w:color w:val="17365D" w:themeColor="text2" w:themeShade="BF"/>
                      <w:szCs w:val="21"/>
                    </w:rPr>
                    <w:t>权益类基金</w:t>
                  </w:r>
                  <w:r w:rsidR="008A6B3B" w:rsidRPr="00DA1341">
                    <w:rPr>
                      <w:rFonts w:eastAsia="楷体_GB2312" w:hint="eastAsia"/>
                      <w:b/>
                      <w:color w:val="17365D" w:themeColor="text2" w:themeShade="BF"/>
                      <w:szCs w:val="21"/>
                    </w:rPr>
                    <w:t>：</w:t>
                  </w:r>
                </w:p>
                <w:p w:rsidR="007A7CA3" w:rsidRPr="00DA1341" w:rsidRDefault="003D1BB5" w:rsidP="001565B6">
                  <w:pPr>
                    <w:framePr w:hSpace="181" w:wrap="around" w:vAnchor="page" w:hAnchor="page" w:x="35" w:y="1"/>
                    <w:spacing w:line="14" w:lineRule="auto"/>
                    <w:ind w:firstLineChars="196" w:firstLine="412"/>
                    <w:rPr>
                      <w:rFonts w:eastAsia="楷体_GB2312"/>
                      <w:color w:val="000000"/>
                      <w:szCs w:val="21"/>
                    </w:rPr>
                  </w:pPr>
                  <w:r w:rsidRPr="00DA1341">
                    <w:rPr>
                      <w:rFonts w:eastAsia="楷体_GB2312" w:hint="eastAsia"/>
                      <w:color w:val="000000"/>
                      <w:szCs w:val="21"/>
                    </w:rPr>
                    <w:t>本期采取主动操作策略的股票基金和混合基金，平均收益率分别为</w:t>
                  </w:r>
                  <w:r w:rsidRPr="00DA1341">
                    <w:rPr>
                      <w:rFonts w:eastAsia="楷体_GB2312" w:hint="eastAsia"/>
                      <w:color w:val="000000"/>
                      <w:szCs w:val="21"/>
                    </w:rPr>
                    <w:t>-</w:t>
                  </w:r>
                  <w:r w:rsidRPr="00DA1341">
                    <w:rPr>
                      <w:rFonts w:eastAsia="楷体_GB2312"/>
                      <w:color w:val="000000"/>
                      <w:szCs w:val="21"/>
                    </w:rPr>
                    <w:t>3.75</w:t>
                  </w:r>
                  <w:r w:rsidRPr="00DA1341">
                    <w:rPr>
                      <w:rFonts w:eastAsia="楷体_GB2312" w:hint="eastAsia"/>
                      <w:color w:val="000000"/>
                      <w:szCs w:val="21"/>
                    </w:rPr>
                    <w:t>%</w:t>
                  </w:r>
                  <w:r w:rsidRPr="00DA1341">
                    <w:rPr>
                      <w:rFonts w:eastAsia="楷体_GB2312" w:hint="eastAsia"/>
                      <w:color w:val="000000"/>
                      <w:szCs w:val="21"/>
                    </w:rPr>
                    <w:t>和</w:t>
                  </w:r>
                  <w:r w:rsidRPr="00DA1341">
                    <w:rPr>
                      <w:rFonts w:eastAsia="楷体_GB2312" w:hint="eastAsia"/>
                      <w:color w:val="000000"/>
                      <w:szCs w:val="21"/>
                    </w:rPr>
                    <w:t>-</w:t>
                  </w:r>
                  <w:r w:rsidRPr="00DA1341">
                    <w:rPr>
                      <w:rFonts w:eastAsia="楷体_GB2312"/>
                      <w:color w:val="000000"/>
                      <w:szCs w:val="21"/>
                    </w:rPr>
                    <w:t>2.31</w:t>
                  </w:r>
                  <w:r w:rsidRPr="00DA1341">
                    <w:rPr>
                      <w:rFonts w:eastAsia="楷体_GB2312" w:hint="eastAsia"/>
                      <w:color w:val="000000"/>
                      <w:szCs w:val="21"/>
                    </w:rPr>
                    <w:t>%</w:t>
                  </w:r>
                  <w:r w:rsidRPr="00DA1341">
                    <w:rPr>
                      <w:rFonts w:eastAsia="楷体_GB2312" w:hint="eastAsia"/>
                      <w:color w:val="000000"/>
                      <w:szCs w:val="21"/>
                    </w:rPr>
                    <w:t>，同期沪深</w:t>
                  </w:r>
                  <w:r w:rsidRPr="00DA1341">
                    <w:rPr>
                      <w:rFonts w:eastAsia="楷体_GB2312" w:hint="eastAsia"/>
                      <w:color w:val="000000"/>
                      <w:szCs w:val="21"/>
                    </w:rPr>
                    <w:t>300</w:t>
                  </w:r>
                  <w:r w:rsidRPr="00DA1341">
                    <w:rPr>
                      <w:rFonts w:eastAsia="楷体_GB2312" w:hint="eastAsia"/>
                      <w:color w:val="000000"/>
                      <w:szCs w:val="21"/>
                    </w:rPr>
                    <w:t>指数收益率为</w:t>
                  </w:r>
                  <w:r w:rsidRPr="00DA1341">
                    <w:rPr>
                      <w:rFonts w:eastAsia="楷体_GB2312" w:hint="eastAsia"/>
                      <w:color w:val="000000"/>
                      <w:szCs w:val="21"/>
                    </w:rPr>
                    <w:t>-</w:t>
                  </w:r>
                  <w:r w:rsidRPr="00DA1341">
                    <w:rPr>
                      <w:rFonts w:eastAsia="楷体_GB2312"/>
                      <w:color w:val="000000"/>
                      <w:szCs w:val="21"/>
                    </w:rPr>
                    <w:t>1.77</w:t>
                  </w:r>
                  <w:r w:rsidRPr="00DA1341">
                    <w:rPr>
                      <w:rFonts w:eastAsia="楷体_GB2312" w:hint="eastAsia"/>
                      <w:color w:val="000000"/>
                      <w:szCs w:val="21"/>
                    </w:rPr>
                    <w:t>%</w:t>
                  </w:r>
                  <w:r w:rsidRPr="00DA1341">
                    <w:rPr>
                      <w:rFonts w:eastAsia="楷体_GB2312" w:hint="eastAsia"/>
                      <w:color w:val="000000"/>
                      <w:szCs w:val="21"/>
                    </w:rPr>
                    <w:t>。</w:t>
                  </w:r>
                  <w:r w:rsidRPr="00DA1341">
                    <w:rPr>
                      <w:rFonts w:eastAsia="楷体_GB2312" w:hint="eastAsia"/>
                      <w:color w:val="000000"/>
                      <w:szCs w:val="21"/>
                    </w:rPr>
                    <w:t>2016</w:t>
                  </w:r>
                  <w:r w:rsidRPr="00DA1341">
                    <w:rPr>
                      <w:rFonts w:eastAsia="楷体_GB2312" w:hint="eastAsia"/>
                      <w:color w:val="000000"/>
                      <w:szCs w:val="21"/>
                    </w:rPr>
                    <w:t>年以来，股票基金和混合基金损失较为惨重，累计收益率分别为</w:t>
                  </w:r>
                  <w:r w:rsidRPr="00DA1341">
                    <w:rPr>
                      <w:rFonts w:eastAsia="楷体_GB2312" w:hint="eastAsia"/>
                      <w:color w:val="000000"/>
                      <w:szCs w:val="21"/>
                    </w:rPr>
                    <w:t>-</w:t>
                  </w:r>
                  <w:r w:rsidRPr="00DA1341">
                    <w:rPr>
                      <w:rFonts w:eastAsia="楷体_GB2312"/>
                      <w:color w:val="000000"/>
                      <w:szCs w:val="21"/>
                    </w:rPr>
                    <w:t>22.78</w:t>
                  </w:r>
                  <w:r w:rsidRPr="00DA1341">
                    <w:rPr>
                      <w:rFonts w:eastAsia="楷体_GB2312" w:hint="eastAsia"/>
                      <w:color w:val="000000"/>
                      <w:szCs w:val="21"/>
                    </w:rPr>
                    <w:t>%</w:t>
                  </w:r>
                  <w:r w:rsidRPr="00DA1341">
                    <w:rPr>
                      <w:rFonts w:eastAsia="楷体_GB2312" w:hint="eastAsia"/>
                      <w:color w:val="000000"/>
                      <w:szCs w:val="21"/>
                    </w:rPr>
                    <w:t>和</w:t>
                  </w:r>
                  <w:r w:rsidRPr="00DA1341">
                    <w:rPr>
                      <w:rFonts w:eastAsia="楷体_GB2312" w:hint="eastAsia"/>
                      <w:color w:val="000000"/>
                      <w:szCs w:val="21"/>
                    </w:rPr>
                    <w:t>-</w:t>
                  </w:r>
                  <w:r w:rsidRPr="00DA1341">
                    <w:rPr>
                      <w:rFonts w:eastAsia="楷体_GB2312"/>
                      <w:color w:val="000000"/>
                      <w:szCs w:val="21"/>
                    </w:rPr>
                    <w:t>13.84</w:t>
                  </w:r>
                  <w:r w:rsidRPr="00DA1341">
                    <w:rPr>
                      <w:rFonts w:eastAsia="楷体_GB2312" w:hint="eastAsia"/>
                      <w:color w:val="000000"/>
                      <w:szCs w:val="21"/>
                    </w:rPr>
                    <w:t>%</w:t>
                  </w:r>
                  <w:r w:rsidRPr="00DA1341">
                    <w:rPr>
                      <w:rFonts w:eastAsia="楷体_GB2312" w:hint="eastAsia"/>
                      <w:color w:val="000000"/>
                      <w:szCs w:val="21"/>
                    </w:rPr>
                    <w:t>。指数基金本期平均收益率为</w:t>
                  </w:r>
                  <w:r w:rsidRPr="00DA1341">
                    <w:rPr>
                      <w:rFonts w:eastAsia="楷体_GB2312" w:hint="eastAsia"/>
                      <w:color w:val="000000"/>
                      <w:szCs w:val="21"/>
                    </w:rPr>
                    <w:t>-</w:t>
                  </w:r>
                  <w:r w:rsidRPr="00DA1341">
                    <w:rPr>
                      <w:rFonts w:eastAsia="楷体_GB2312"/>
                      <w:color w:val="000000"/>
                      <w:szCs w:val="21"/>
                    </w:rPr>
                    <w:t>2.75</w:t>
                  </w:r>
                  <w:r w:rsidRPr="00DA1341">
                    <w:rPr>
                      <w:rFonts w:eastAsia="楷体_GB2312" w:hint="eastAsia"/>
                      <w:color w:val="000000"/>
                      <w:szCs w:val="21"/>
                    </w:rPr>
                    <w:t>%</w:t>
                  </w:r>
                  <w:r w:rsidRPr="00DA1341">
                    <w:rPr>
                      <w:rFonts w:eastAsia="楷体_GB2312" w:hint="eastAsia"/>
                      <w:color w:val="000000"/>
                      <w:szCs w:val="21"/>
                    </w:rPr>
                    <w:t>，</w:t>
                  </w:r>
                  <w:r w:rsidRPr="00DA1341">
                    <w:rPr>
                      <w:rFonts w:eastAsia="楷体_GB2312" w:hint="eastAsia"/>
                      <w:color w:val="000000"/>
                      <w:szCs w:val="21"/>
                    </w:rPr>
                    <w:t>2016</w:t>
                  </w:r>
                  <w:r w:rsidRPr="00DA1341">
                    <w:rPr>
                      <w:rFonts w:eastAsia="楷体_GB2312" w:hint="eastAsia"/>
                      <w:color w:val="000000"/>
                      <w:szCs w:val="21"/>
                    </w:rPr>
                    <w:t>年以来累计收益率为</w:t>
                  </w:r>
                  <w:r w:rsidRPr="00DA1341">
                    <w:rPr>
                      <w:rFonts w:eastAsia="楷体_GB2312" w:hint="eastAsia"/>
                      <w:color w:val="000000"/>
                      <w:szCs w:val="21"/>
                    </w:rPr>
                    <w:t>-1</w:t>
                  </w:r>
                  <w:r w:rsidRPr="00DA1341">
                    <w:rPr>
                      <w:rFonts w:eastAsia="楷体_GB2312"/>
                      <w:color w:val="000000"/>
                      <w:szCs w:val="21"/>
                    </w:rPr>
                    <w:t>9.05</w:t>
                  </w:r>
                  <w:r w:rsidRPr="00DA1341">
                    <w:rPr>
                      <w:rFonts w:eastAsia="楷体_GB2312" w:hint="eastAsia"/>
                      <w:color w:val="000000"/>
                      <w:szCs w:val="21"/>
                    </w:rPr>
                    <w:t>%</w:t>
                  </w:r>
                  <w:r w:rsidR="00435C80" w:rsidRPr="00DA1341">
                    <w:rPr>
                      <w:rFonts w:eastAsia="楷体_GB2312" w:hint="eastAsia"/>
                      <w:color w:val="000000"/>
                      <w:szCs w:val="21"/>
                    </w:rPr>
                    <w:t>。</w:t>
                  </w:r>
                </w:p>
                <w:p w:rsidR="008A6B3B" w:rsidRPr="00DA1341" w:rsidRDefault="006B33F9" w:rsidP="00DA1341">
                  <w:pPr>
                    <w:framePr w:hSpace="181" w:wrap="around" w:vAnchor="page" w:hAnchor="page" w:x="35" w:y="1"/>
                    <w:ind w:firstLine="435"/>
                    <w:rPr>
                      <w:rFonts w:eastAsia="楷体_GB2312"/>
                      <w:b/>
                      <w:color w:val="17365D" w:themeColor="text2" w:themeShade="BF"/>
                      <w:szCs w:val="21"/>
                    </w:rPr>
                  </w:pPr>
                  <w:r w:rsidRPr="00DA1341">
                    <w:rPr>
                      <w:rFonts w:eastAsia="楷体_GB2312" w:hint="eastAsia"/>
                      <w:b/>
                      <w:color w:val="17365D" w:themeColor="text2" w:themeShade="BF"/>
                      <w:szCs w:val="21"/>
                    </w:rPr>
                    <w:t>固定收益类</w:t>
                  </w:r>
                  <w:r w:rsidR="008A6B3B" w:rsidRPr="00DA1341">
                    <w:rPr>
                      <w:rFonts w:eastAsia="楷体_GB2312" w:hint="eastAsia"/>
                      <w:b/>
                      <w:color w:val="17365D" w:themeColor="text2" w:themeShade="BF"/>
                      <w:szCs w:val="21"/>
                    </w:rPr>
                    <w:t>基金：</w:t>
                  </w:r>
                </w:p>
                <w:p w:rsidR="00186271" w:rsidRPr="00DA1341" w:rsidRDefault="006B6D0D" w:rsidP="001565B6">
                  <w:pPr>
                    <w:framePr w:hSpace="181" w:wrap="around" w:vAnchor="page" w:hAnchor="page" w:x="35" w:y="1"/>
                    <w:spacing w:line="14" w:lineRule="auto"/>
                    <w:ind w:firstLine="420"/>
                    <w:rPr>
                      <w:rFonts w:eastAsia="楷体_GB2312"/>
                      <w:color w:val="000000"/>
                      <w:szCs w:val="21"/>
                    </w:rPr>
                  </w:pPr>
                  <w:r w:rsidRPr="00DA1341">
                    <w:rPr>
                      <w:rFonts w:eastAsia="楷体_GB2312" w:hint="eastAsia"/>
                      <w:color w:val="000000"/>
                      <w:szCs w:val="21"/>
                    </w:rPr>
                    <w:t>债券基金平均收益率为</w:t>
                  </w:r>
                  <w:r w:rsidRPr="00DA1341">
                    <w:rPr>
                      <w:rFonts w:eastAsia="楷体_GB2312"/>
                      <w:color w:val="000000"/>
                      <w:szCs w:val="21"/>
                    </w:rPr>
                    <w:t>0.17</w:t>
                  </w:r>
                  <w:r w:rsidRPr="00DA1341">
                    <w:rPr>
                      <w:rFonts w:eastAsia="楷体_GB2312" w:hint="eastAsia"/>
                      <w:color w:val="000000"/>
                      <w:szCs w:val="21"/>
                    </w:rPr>
                    <w:t>%</w:t>
                  </w:r>
                  <w:r w:rsidRPr="00DA1341">
                    <w:rPr>
                      <w:rFonts w:eastAsia="楷体_GB2312" w:hint="eastAsia"/>
                      <w:color w:val="000000"/>
                      <w:szCs w:val="21"/>
                    </w:rPr>
                    <w:t>，近八成基金收益为正。其中，新华信用增益</w:t>
                  </w:r>
                  <w:r w:rsidRPr="00DA1341">
                    <w:rPr>
                      <w:rFonts w:eastAsia="楷体_GB2312" w:hint="eastAsia"/>
                      <w:color w:val="000000"/>
                      <w:szCs w:val="21"/>
                    </w:rPr>
                    <w:t>C</w:t>
                  </w:r>
                  <w:r w:rsidRPr="00DA1341">
                    <w:rPr>
                      <w:rFonts w:eastAsia="楷体_GB2312" w:hint="eastAsia"/>
                      <w:color w:val="000000"/>
                      <w:szCs w:val="21"/>
                    </w:rPr>
                    <w:t>、工银瑞信信用添利</w:t>
                  </w:r>
                  <w:r w:rsidRPr="00DA1341">
                    <w:rPr>
                      <w:rFonts w:eastAsia="楷体_GB2312" w:hint="eastAsia"/>
                      <w:color w:val="000000"/>
                      <w:szCs w:val="21"/>
                    </w:rPr>
                    <w:t>A</w:t>
                  </w:r>
                  <w:r w:rsidRPr="00DA1341">
                    <w:rPr>
                      <w:rFonts w:eastAsia="楷体_GB2312"/>
                      <w:color w:val="000000"/>
                      <w:szCs w:val="21"/>
                    </w:rPr>
                    <w:t>\B</w:t>
                  </w:r>
                  <w:r w:rsidRPr="00DA1341">
                    <w:rPr>
                      <w:rFonts w:eastAsia="楷体_GB2312" w:hint="eastAsia"/>
                      <w:color w:val="000000"/>
                      <w:szCs w:val="21"/>
                    </w:rPr>
                    <w:t>、博时稳健回报</w:t>
                  </w:r>
                  <w:r w:rsidRPr="00DA1341">
                    <w:rPr>
                      <w:rFonts w:eastAsia="楷体_GB2312" w:hint="eastAsia"/>
                      <w:color w:val="000000"/>
                      <w:szCs w:val="21"/>
                    </w:rPr>
                    <w:t>A\C</w:t>
                  </w:r>
                  <w:r w:rsidRPr="00DA1341">
                    <w:rPr>
                      <w:rFonts w:eastAsia="楷体_GB2312" w:hint="eastAsia"/>
                      <w:color w:val="000000"/>
                      <w:szCs w:val="21"/>
                    </w:rPr>
                    <w:t>收益率领先，上周收益率分别为</w:t>
                  </w:r>
                  <w:r w:rsidRPr="00DA1341">
                    <w:rPr>
                      <w:rFonts w:eastAsia="楷体_GB2312"/>
                      <w:color w:val="000000"/>
                      <w:szCs w:val="21"/>
                    </w:rPr>
                    <w:t>2.98%</w:t>
                  </w:r>
                  <w:r w:rsidRPr="00DA1341">
                    <w:rPr>
                      <w:rFonts w:eastAsia="楷体_GB2312" w:hint="eastAsia"/>
                      <w:color w:val="000000"/>
                      <w:szCs w:val="21"/>
                    </w:rPr>
                    <w:t>、</w:t>
                  </w:r>
                  <w:r w:rsidRPr="00DA1341">
                    <w:rPr>
                      <w:rFonts w:eastAsia="楷体_GB2312"/>
                      <w:color w:val="000000"/>
                      <w:szCs w:val="21"/>
                    </w:rPr>
                    <w:t>1.19</w:t>
                  </w:r>
                  <w:r w:rsidRPr="00DA1341">
                    <w:rPr>
                      <w:rFonts w:eastAsia="楷体_GB2312" w:hint="eastAsia"/>
                      <w:color w:val="000000"/>
                      <w:szCs w:val="21"/>
                    </w:rPr>
                    <w:t>%\</w:t>
                  </w:r>
                  <w:r w:rsidRPr="00DA1341">
                    <w:rPr>
                      <w:rFonts w:eastAsia="楷体_GB2312"/>
                      <w:color w:val="000000"/>
                      <w:szCs w:val="21"/>
                    </w:rPr>
                    <w:t>1.19</w:t>
                  </w:r>
                  <w:r w:rsidRPr="00DA1341">
                    <w:rPr>
                      <w:rFonts w:eastAsia="楷体_GB2312" w:hint="eastAsia"/>
                      <w:color w:val="000000"/>
                      <w:szCs w:val="21"/>
                    </w:rPr>
                    <w:t>%</w:t>
                  </w:r>
                  <w:r w:rsidRPr="00DA1341">
                    <w:rPr>
                      <w:rFonts w:eastAsia="楷体_GB2312" w:hint="eastAsia"/>
                      <w:color w:val="000000"/>
                      <w:szCs w:val="21"/>
                    </w:rPr>
                    <w:t>和</w:t>
                  </w:r>
                  <w:r w:rsidRPr="00DA1341">
                    <w:rPr>
                      <w:rFonts w:eastAsia="楷体_GB2312"/>
                      <w:color w:val="000000"/>
                      <w:szCs w:val="21"/>
                    </w:rPr>
                    <w:t>1.13%\1.12%</w:t>
                  </w:r>
                  <w:r w:rsidRPr="00DA1341">
                    <w:rPr>
                      <w:rFonts w:eastAsia="楷体_GB2312" w:hint="eastAsia"/>
                      <w:color w:val="000000"/>
                      <w:szCs w:val="21"/>
                    </w:rPr>
                    <w:t>。</w:t>
                  </w:r>
                  <w:r w:rsidRPr="00DA1341">
                    <w:rPr>
                      <w:rFonts w:eastAsia="楷体_GB2312" w:hint="eastAsia"/>
                      <w:color w:val="000000"/>
                      <w:szCs w:val="21"/>
                    </w:rPr>
                    <w:t>2016</w:t>
                  </w:r>
                  <w:r w:rsidRPr="00DA1341">
                    <w:rPr>
                      <w:rFonts w:eastAsia="楷体_GB2312" w:hint="eastAsia"/>
                      <w:color w:val="000000"/>
                      <w:szCs w:val="21"/>
                    </w:rPr>
                    <w:t>年以来的债券型基金平均收益率为</w:t>
                  </w:r>
                  <w:r w:rsidRPr="00DA1341">
                    <w:rPr>
                      <w:rFonts w:eastAsia="楷体_GB2312" w:hint="eastAsia"/>
                      <w:color w:val="000000"/>
                      <w:szCs w:val="21"/>
                    </w:rPr>
                    <w:t>-0.</w:t>
                  </w:r>
                  <w:r w:rsidRPr="00DA1341">
                    <w:rPr>
                      <w:rFonts w:eastAsia="楷体_GB2312"/>
                      <w:color w:val="000000"/>
                      <w:szCs w:val="21"/>
                    </w:rPr>
                    <w:t>37</w:t>
                  </w:r>
                  <w:r w:rsidRPr="00DA1341">
                    <w:rPr>
                      <w:rFonts w:eastAsia="楷体_GB2312" w:hint="eastAsia"/>
                      <w:color w:val="000000"/>
                      <w:szCs w:val="21"/>
                    </w:rPr>
                    <w:t>%</w:t>
                  </w:r>
                  <w:r w:rsidRPr="00DA1341">
                    <w:rPr>
                      <w:rFonts w:eastAsia="楷体_GB2312" w:hint="eastAsia"/>
                      <w:color w:val="000000"/>
                      <w:szCs w:val="21"/>
                    </w:rPr>
                    <w:t>。业绩居前的基金为新华安享惠金</w:t>
                  </w:r>
                  <w:r w:rsidRPr="00DA1341">
                    <w:rPr>
                      <w:rFonts w:eastAsia="楷体_GB2312" w:hint="eastAsia"/>
                      <w:color w:val="000000"/>
                      <w:szCs w:val="21"/>
                    </w:rPr>
                    <w:t>A\C</w:t>
                  </w:r>
                  <w:r w:rsidRPr="00DA1341">
                    <w:rPr>
                      <w:rFonts w:eastAsia="楷体_GB2312" w:hint="eastAsia"/>
                      <w:color w:val="000000"/>
                      <w:szCs w:val="21"/>
                    </w:rPr>
                    <w:t>、英大纯债</w:t>
                  </w:r>
                  <w:r w:rsidRPr="00DA1341">
                    <w:rPr>
                      <w:rFonts w:eastAsia="楷体_GB2312" w:hint="eastAsia"/>
                      <w:color w:val="000000"/>
                      <w:szCs w:val="21"/>
                    </w:rPr>
                    <w:t>A</w:t>
                  </w:r>
                  <w:r w:rsidRPr="00DA1341">
                    <w:rPr>
                      <w:rFonts w:eastAsia="楷体_GB2312" w:hint="eastAsia"/>
                      <w:color w:val="000000"/>
                      <w:szCs w:val="21"/>
                    </w:rPr>
                    <w:t>、新华惠鑫分级，收益率分别为</w:t>
                  </w:r>
                  <w:r w:rsidRPr="00DA1341">
                    <w:rPr>
                      <w:rFonts w:eastAsia="楷体_GB2312"/>
                      <w:color w:val="000000"/>
                      <w:szCs w:val="21"/>
                    </w:rPr>
                    <w:t>3.87</w:t>
                  </w:r>
                  <w:r w:rsidRPr="00DA1341">
                    <w:rPr>
                      <w:rFonts w:eastAsia="楷体_GB2312" w:hint="eastAsia"/>
                      <w:color w:val="000000"/>
                      <w:szCs w:val="21"/>
                    </w:rPr>
                    <w:t>%\</w:t>
                  </w:r>
                  <w:r w:rsidRPr="00DA1341">
                    <w:rPr>
                      <w:rFonts w:eastAsia="楷体_GB2312"/>
                      <w:color w:val="000000"/>
                      <w:szCs w:val="21"/>
                    </w:rPr>
                    <w:t xml:space="preserve"> 3.73</w:t>
                  </w:r>
                  <w:r w:rsidRPr="00DA1341">
                    <w:rPr>
                      <w:rFonts w:eastAsia="楷体_GB2312" w:hint="eastAsia"/>
                      <w:color w:val="000000"/>
                      <w:szCs w:val="21"/>
                    </w:rPr>
                    <w:t>%</w:t>
                  </w:r>
                  <w:r w:rsidRPr="00DA1341">
                    <w:rPr>
                      <w:rFonts w:eastAsia="楷体_GB2312" w:hint="eastAsia"/>
                      <w:color w:val="000000"/>
                      <w:szCs w:val="21"/>
                    </w:rPr>
                    <w:t>、</w:t>
                  </w:r>
                  <w:r w:rsidRPr="00DA1341">
                    <w:rPr>
                      <w:rFonts w:eastAsia="楷体_GB2312"/>
                      <w:color w:val="000000"/>
                      <w:szCs w:val="21"/>
                    </w:rPr>
                    <w:t>3.58</w:t>
                  </w:r>
                  <w:r w:rsidRPr="00DA1341">
                    <w:rPr>
                      <w:rFonts w:eastAsia="楷体_GB2312" w:hint="eastAsia"/>
                      <w:color w:val="000000"/>
                      <w:szCs w:val="21"/>
                    </w:rPr>
                    <w:t>%</w:t>
                  </w:r>
                  <w:r w:rsidRPr="00DA1341">
                    <w:rPr>
                      <w:rFonts w:eastAsia="楷体_GB2312" w:hint="eastAsia"/>
                      <w:color w:val="000000"/>
                      <w:szCs w:val="21"/>
                    </w:rPr>
                    <w:t>、</w:t>
                  </w:r>
                  <w:r w:rsidRPr="00DA1341">
                    <w:rPr>
                      <w:rFonts w:eastAsia="楷体_GB2312"/>
                      <w:color w:val="000000"/>
                      <w:szCs w:val="21"/>
                    </w:rPr>
                    <w:t>3.53</w:t>
                  </w:r>
                  <w:r w:rsidRPr="00DA1341">
                    <w:rPr>
                      <w:rFonts w:eastAsia="楷体_GB2312" w:hint="eastAsia"/>
                      <w:color w:val="000000"/>
                      <w:szCs w:val="21"/>
                    </w:rPr>
                    <w:t>%</w:t>
                  </w:r>
                  <w:r w:rsidRPr="00DA1341">
                    <w:rPr>
                      <w:rFonts w:eastAsia="楷体_GB2312" w:hint="eastAsia"/>
                      <w:color w:val="000000"/>
                      <w:szCs w:val="21"/>
                    </w:rPr>
                    <w:t>。货币市场基金期间平均</w:t>
                  </w:r>
                  <w:r w:rsidRPr="00DA1341">
                    <w:rPr>
                      <w:rFonts w:eastAsia="楷体_GB2312" w:hint="eastAsia"/>
                      <w:color w:val="000000"/>
                      <w:szCs w:val="21"/>
                    </w:rPr>
                    <w:t>7</w:t>
                  </w:r>
                  <w:r w:rsidRPr="00DA1341">
                    <w:rPr>
                      <w:rFonts w:eastAsia="楷体_GB2312" w:hint="eastAsia"/>
                      <w:color w:val="000000"/>
                      <w:szCs w:val="21"/>
                    </w:rPr>
                    <w:t>天年化收益率为</w:t>
                  </w:r>
                  <w:r w:rsidRPr="00DA1341">
                    <w:rPr>
                      <w:rFonts w:eastAsia="楷体_GB2312" w:hint="eastAsia"/>
                      <w:color w:val="000000"/>
                      <w:szCs w:val="21"/>
                    </w:rPr>
                    <w:t>2.</w:t>
                  </w:r>
                  <w:r w:rsidRPr="00DA1341">
                    <w:rPr>
                      <w:rFonts w:eastAsia="楷体_GB2312"/>
                      <w:color w:val="000000"/>
                      <w:szCs w:val="21"/>
                    </w:rPr>
                    <w:t>56</w:t>
                  </w:r>
                  <w:r w:rsidRPr="00DA1341">
                    <w:rPr>
                      <w:rFonts w:eastAsia="楷体_GB2312" w:hint="eastAsia"/>
                      <w:color w:val="000000"/>
                      <w:szCs w:val="21"/>
                    </w:rPr>
                    <w:t>%</w:t>
                  </w:r>
                  <w:r w:rsidRPr="00DA1341">
                    <w:rPr>
                      <w:rFonts w:eastAsia="楷体_GB2312" w:hint="eastAsia"/>
                      <w:color w:val="000000"/>
                      <w:szCs w:val="21"/>
                    </w:rPr>
                    <w:t>，上周货币市场基金</w:t>
                  </w:r>
                  <w:r w:rsidRPr="00DA1341">
                    <w:rPr>
                      <w:rFonts w:eastAsia="楷体_GB2312" w:hint="eastAsia"/>
                      <w:color w:val="000000"/>
                      <w:szCs w:val="21"/>
                    </w:rPr>
                    <w:t>7</w:t>
                  </w:r>
                  <w:r w:rsidRPr="00DA1341">
                    <w:rPr>
                      <w:rFonts w:eastAsia="楷体_GB2312" w:hint="eastAsia"/>
                      <w:color w:val="000000"/>
                      <w:szCs w:val="21"/>
                    </w:rPr>
                    <w:t>天年化收益率较前期波动上升</w:t>
                  </w:r>
                  <w:r w:rsidR="00B6660A" w:rsidRPr="00DA1341">
                    <w:rPr>
                      <w:rFonts w:eastAsia="楷体_GB2312" w:hint="eastAsia"/>
                      <w:color w:val="000000"/>
                      <w:szCs w:val="21"/>
                    </w:rPr>
                    <w:t>。</w:t>
                  </w:r>
                </w:p>
                <w:p w:rsidR="006B33F9" w:rsidRPr="00DA1341" w:rsidRDefault="003E004D" w:rsidP="00DA1341">
                  <w:pPr>
                    <w:framePr w:hSpace="181" w:wrap="around" w:vAnchor="page" w:hAnchor="page" w:x="35" w:y="1"/>
                    <w:ind w:firstLine="435"/>
                    <w:rPr>
                      <w:rFonts w:eastAsia="楷体_GB2312"/>
                      <w:color w:val="000000"/>
                      <w:szCs w:val="21"/>
                    </w:rPr>
                  </w:pPr>
                  <w:r w:rsidRPr="00DA1341">
                    <w:rPr>
                      <w:rFonts w:eastAsia="楷体_GB2312" w:hint="eastAsia"/>
                      <w:b/>
                      <w:color w:val="17365D" w:themeColor="text2" w:themeShade="BF"/>
                      <w:szCs w:val="21"/>
                    </w:rPr>
                    <w:t>QDII</w:t>
                  </w:r>
                  <w:r w:rsidRPr="00DA1341">
                    <w:rPr>
                      <w:rFonts w:eastAsia="楷体_GB2312" w:hint="eastAsia"/>
                      <w:b/>
                      <w:color w:val="17365D" w:themeColor="text2" w:themeShade="BF"/>
                      <w:szCs w:val="21"/>
                    </w:rPr>
                    <w:t>及另类投资产品</w:t>
                  </w:r>
                  <w:r w:rsidRPr="00DA1341">
                    <w:rPr>
                      <w:rFonts w:eastAsia="楷体_GB2312" w:hint="eastAsia"/>
                      <w:b/>
                      <w:color w:val="17365D" w:themeColor="text2" w:themeShade="BF"/>
                      <w:szCs w:val="21"/>
                    </w:rPr>
                    <w:t>:</w:t>
                  </w:r>
                  <w:r w:rsidRPr="00DA1341">
                    <w:rPr>
                      <w:rFonts w:eastAsia="楷体_GB2312" w:hint="eastAsia"/>
                      <w:color w:val="000000"/>
                      <w:szCs w:val="21"/>
                    </w:rPr>
                    <w:t xml:space="preserve"> </w:t>
                  </w:r>
                </w:p>
                <w:bookmarkEnd w:id="3"/>
                <w:bookmarkEnd w:id="4"/>
                <w:bookmarkEnd w:id="5"/>
                <w:bookmarkEnd w:id="6"/>
                <w:bookmarkEnd w:id="7"/>
                <w:bookmarkEnd w:id="8"/>
                <w:p w:rsidR="007E3B74" w:rsidRPr="00DA1341" w:rsidRDefault="00605973" w:rsidP="001565B6">
                  <w:pPr>
                    <w:framePr w:hSpace="181" w:wrap="around" w:vAnchor="page" w:hAnchor="page" w:x="35" w:y="1"/>
                    <w:spacing w:line="14" w:lineRule="auto"/>
                    <w:ind w:firstLine="420"/>
                    <w:rPr>
                      <w:rFonts w:eastAsia="楷体_GB2312"/>
                      <w:color w:val="000000"/>
                      <w:szCs w:val="21"/>
                    </w:rPr>
                  </w:pPr>
                  <w:r w:rsidRPr="00DA1341">
                    <w:rPr>
                      <w:rFonts w:eastAsia="楷体_GB2312" w:hint="eastAsia"/>
                      <w:color w:val="000000"/>
                      <w:szCs w:val="21"/>
                    </w:rPr>
                    <w:t>QDII</w:t>
                  </w:r>
                  <w:r w:rsidRPr="00DA1341">
                    <w:rPr>
                      <w:rFonts w:eastAsia="楷体_GB2312" w:hint="eastAsia"/>
                      <w:color w:val="000000"/>
                      <w:szCs w:val="21"/>
                    </w:rPr>
                    <w:t>及另类投资基金期间平均收益率为</w:t>
                  </w:r>
                  <w:r w:rsidRPr="00DA1341">
                    <w:rPr>
                      <w:rFonts w:eastAsia="楷体_GB2312"/>
                      <w:color w:val="000000"/>
                      <w:szCs w:val="21"/>
                    </w:rPr>
                    <w:t>-0.74</w:t>
                  </w:r>
                  <w:r w:rsidRPr="00DA1341">
                    <w:rPr>
                      <w:rFonts w:eastAsia="楷体_GB2312" w:hint="eastAsia"/>
                      <w:color w:val="000000"/>
                      <w:szCs w:val="21"/>
                    </w:rPr>
                    <w:t>%</w:t>
                  </w:r>
                  <w:r w:rsidRPr="00DA1341">
                    <w:rPr>
                      <w:rFonts w:eastAsia="楷体_GB2312" w:hint="eastAsia"/>
                      <w:color w:val="000000"/>
                      <w:szCs w:val="21"/>
                    </w:rPr>
                    <w:t>。业绩收益居前的基金分别是国泰大宗商品、华宝兴业标普油气美元、华宝兴业标普油气人民币，上期收益率分别为</w:t>
                  </w:r>
                  <w:r w:rsidRPr="00DA1341">
                    <w:rPr>
                      <w:rFonts w:eastAsia="楷体_GB2312"/>
                      <w:color w:val="000000"/>
                      <w:szCs w:val="21"/>
                    </w:rPr>
                    <w:t>4.37</w:t>
                  </w:r>
                  <w:r w:rsidRPr="00DA1341">
                    <w:rPr>
                      <w:rFonts w:eastAsia="楷体_GB2312" w:hint="eastAsia"/>
                      <w:color w:val="000000"/>
                      <w:szCs w:val="21"/>
                    </w:rPr>
                    <w:t>%</w:t>
                  </w:r>
                  <w:r w:rsidRPr="00DA1341">
                    <w:rPr>
                      <w:rFonts w:eastAsia="楷体_GB2312" w:hint="eastAsia"/>
                      <w:color w:val="000000"/>
                      <w:szCs w:val="21"/>
                    </w:rPr>
                    <w:t>、</w:t>
                  </w:r>
                  <w:r w:rsidRPr="00DA1341">
                    <w:rPr>
                      <w:rFonts w:eastAsia="楷体_GB2312"/>
                      <w:color w:val="000000"/>
                      <w:szCs w:val="21"/>
                    </w:rPr>
                    <w:t>2.39</w:t>
                  </w:r>
                  <w:r w:rsidRPr="00DA1341">
                    <w:rPr>
                      <w:rFonts w:eastAsia="楷体_GB2312" w:hint="eastAsia"/>
                      <w:color w:val="000000"/>
                      <w:szCs w:val="21"/>
                    </w:rPr>
                    <w:t>%</w:t>
                  </w:r>
                  <w:r w:rsidRPr="00DA1341">
                    <w:rPr>
                      <w:rFonts w:eastAsia="楷体_GB2312" w:hint="eastAsia"/>
                      <w:color w:val="000000"/>
                      <w:szCs w:val="21"/>
                    </w:rPr>
                    <w:t>、</w:t>
                  </w:r>
                  <w:r w:rsidRPr="00DA1341">
                    <w:rPr>
                      <w:rFonts w:eastAsia="楷体_GB2312"/>
                      <w:color w:val="000000"/>
                      <w:szCs w:val="21"/>
                    </w:rPr>
                    <w:t>2.01</w:t>
                  </w:r>
                  <w:r w:rsidRPr="00DA1341">
                    <w:rPr>
                      <w:rFonts w:eastAsia="楷体_GB2312" w:hint="eastAsia"/>
                      <w:color w:val="000000"/>
                      <w:szCs w:val="21"/>
                    </w:rPr>
                    <w:t>%</w:t>
                  </w:r>
                  <w:r w:rsidRPr="00DA1341">
                    <w:rPr>
                      <w:rFonts w:eastAsia="楷体_GB2312" w:hint="eastAsia"/>
                      <w:color w:val="000000"/>
                      <w:szCs w:val="21"/>
                    </w:rPr>
                    <w:t>。上周收益率不佳的</w:t>
                  </w:r>
                  <w:r w:rsidRPr="00DA1341">
                    <w:rPr>
                      <w:rFonts w:eastAsia="楷体_GB2312" w:hint="eastAsia"/>
                      <w:color w:val="000000"/>
                      <w:szCs w:val="21"/>
                    </w:rPr>
                    <w:t>QDII</w:t>
                  </w:r>
                  <w:r w:rsidRPr="00DA1341">
                    <w:rPr>
                      <w:rFonts w:eastAsia="楷体_GB2312" w:hint="eastAsia"/>
                      <w:color w:val="000000"/>
                      <w:szCs w:val="21"/>
                    </w:rPr>
                    <w:t>基金为：嘉实全球互联网人民币、华宝兴业中国互联网人民币、交银中证海外中国互联网</w:t>
                  </w:r>
                  <w:r w:rsidR="00435C80" w:rsidRPr="00DA1341">
                    <w:rPr>
                      <w:rFonts w:eastAsia="楷体_GB2312" w:hint="eastAsia"/>
                      <w:color w:val="000000"/>
                      <w:szCs w:val="21"/>
                    </w:rPr>
                    <w:t>。</w:t>
                  </w:r>
                  <w:bookmarkEnd w:id="9"/>
                  <w:bookmarkEnd w:id="10"/>
                  <w:bookmarkEnd w:id="11"/>
                  <w:bookmarkEnd w:id="12"/>
                </w:p>
              </w:tc>
            </w:tr>
          </w:tbl>
          <w:p w:rsidR="00D20D7A" w:rsidRPr="00D20D7A" w:rsidRDefault="00D20D7A" w:rsidP="00055C3A">
            <w:pPr>
              <w:rPr>
                <w:rFonts w:eastAsia="KaiTi_GB2312"/>
                <w:b/>
                <w:color w:val="003366"/>
              </w:rPr>
            </w:pPr>
          </w:p>
        </w:tc>
      </w:tr>
      <w:tr w:rsidR="00D20D7A" w:rsidRPr="00CB0A5A" w:rsidTr="00814A63">
        <w:trPr>
          <w:trHeight w:val="2880"/>
        </w:trPr>
        <w:tc>
          <w:tcPr>
            <w:tcW w:w="4222" w:type="dxa"/>
            <w:gridSpan w:val="5"/>
            <w:shd w:val="clear" w:color="auto" w:fill="auto"/>
            <w:tcMar>
              <w:right w:w="0" w:type="dxa"/>
            </w:tcMar>
          </w:tcPr>
          <w:p w:rsidR="003222CD" w:rsidRDefault="003222CD" w:rsidP="003222CD">
            <w:pPr>
              <w:ind w:right="420" w:firstLine="420"/>
              <w:rPr>
                <w:rFonts w:eastAsia="KaiTi_GB2312"/>
                <w:b/>
                <w:color w:val="003366"/>
              </w:rPr>
            </w:pPr>
          </w:p>
          <w:tbl>
            <w:tblPr>
              <w:tblW w:w="0" w:type="auto"/>
              <w:jc w:val="right"/>
              <w:shd w:val="clear" w:color="auto" w:fill="E0E0E0"/>
              <w:tblLayout w:type="fixed"/>
              <w:tblLook w:val="01E0"/>
            </w:tblPr>
            <w:tblGrid>
              <w:gridCol w:w="3751"/>
            </w:tblGrid>
            <w:tr w:rsidR="00A56132" w:rsidRPr="00CB0A5A" w:rsidTr="00871461">
              <w:trPr>
                <w:trHeight w:val="284"/>
                <w:jc w:val="right"/>
              </w:trPr>
              <w:tc>
                <w:tcPr>
                  <w:tcW w:w="3751" w:type="dxa"/>
                  <w:shd w:val="clear" w:color="auto" w:fill="auto"/>
                </w:tcPr>
                <w:p w:rsidR="00A56132" w:rsidRDefault="00A56132" w:rsidP="001565B6">
                  <w:pPr>
                    <w:framePr w:hSpace="181" w:wrap="around" w:vAnchor="page" w:hAnchor="page" w:x="35" w:y="1"/>
                    <w:rPr>
                      <w:rFonts w:eastAsia="KaiTi_GB2312"/>
                      <w:b/>
                      <w:color w:val="003366"/>
                      <w:sz w:val="24"/>
                    </w:rPr>
                  </w:pPr>
                </w:p>
                <w:p w:rsidR="00A56132" w:rsidRDefault="00A56132" w:rsidP="001565B6">
                  <w:pPr>
                    <w:framePr w:hSpace="181" w:wrap="around" w:vAnchor="page" w:hAnchor="page" w:x="35" w:y="1"/>
                    <w:rPr>
                      <w:rFonts w:eastAsia="KaiTi_GB2312"/>
                      <w:b/>
                      <w:color w:val="003366"/>
                      <w:sz w:val="24"/>
                    </w:rPr>
                  </w:pPr>
                </w:p>
                <w:p w:rsidR="00225042" w:rsidRDefault="00225042" w:rsidP="001565B6">
                  <w:pPr>
                    <w:framePr w:hSpace="181" w:wrap="around" w:vAnchor="page" w:hAnchor="page" w:x="35" w:y="1"/>
                    <w:rPr>
                      <w:rFonts w:eastAsia="KaiTi_GB2312"/>
                      <w:b/>
                      <w:color w:val="003366"/>
                      <w:sz w:val="24"/>
                    </w:rPr>
                  </w:pPr>
                </w:p>
                <w:p w:rsidR="00225042" w:rsidRDefault="00225042" w:rsidP="001565B6">
                  <w:pPr>
                    <w:framePr w:hSpace="181" w:wrap="around" w:vAnchor="page" w:hAnchor="page" w:x="35" w:y="1"/>
                    <w:rPr>
                      <w:rFonts w:eastAsia="KaiTi_GB2312"/>
                      <w:b/>
                      <w:color w:val="003366"/>
                      <w:sz w:val="24"/>
                    </w:rPr>
                  </w:pPr>
                </w:p>
                <w:p w:rsidR="00225042" w:rsidRDefault="00225042" w:rsidP="001565B6">
                  <w:pPr>
                    <w:framePr w:hSpace="181" w:wrap="around" w:vAnchor="page" w:hAnchor="page" w:x="35" w:y="1"/>
                    <w:rPr>
                      <w:rFonts w:eastAsia="KaiTi_GB2312"/>
                      <w:b/>
                      <w:color w:val="003366"/>
                      <w:sz w:val="24"/>
                    </w:rPr>
                  </w:pPr>
                </w:p>
                <w:p w:rsidR="00225042" w:rsidRDefault="00225042" w:rsidP="001565B6">
                  <w:pPr>
                    <w:framePr w:hSpace="181" w:wrap="around" w:vAnchor="page" w:hAnchor="page" w:x="35" w:y="1"/>
                    <w:rPr>
                      <w:rFonts w:eastAsia="KaiTi_GB2312"/>
                      <w:b/>
                      <w:color w:val="003366"/>
                      <w:sz w:val="24"/>
                    </w:rPr>
                  </w:pPr>
                </w:p>
                <w:p w:rsidR="00225042" w:rsidRDefault="00225042" w:rsidP="001565B6">
                  <w:pPr>
                    <w:framePr w:hSpace="181" w:wrap="around" w:vAnchor="page" w:hAnchor="page" w:x="35" w:y="1"/>
                    <w:rPr>
                      <w:rFonts w:eastAsia="KaiTi_GB2312"/>
                      <w:b/>
                      <w:color w:val="003366"/>
                      <w:sz w:val="24"/>
                    </w:rPr>
                  </w:pPr>
                </w:p>
                <w:p w:rsidR="00225042" w:rsidRPr="00500DDF" w:rsidRDefault="00225042" w:rsidP="001565B6">
                  <w:pPr>
                    <w:framePr w:hSpace="181" w:wrap="around" w:vAnchor="page" w:hAnchor="page" w:x="35" w:y="1"/>
                    <w:rPr>
                      <w:rFonts w:eastAsia="KaiTi_GB2312"/>
                      <w:b/>
                      <w:color w:val="003366"/>
                      <w:sz w:val="24"/>
                    </w:rPr>
                  </w:pPr>
                  <w:r w:rsidRPr="00500DDF">
                    <w:rPr>
                      <w:rFonts w:eastAsia="KaiTi_GB2312"/>
                      <w:b/>
                      <w:color w:val="003366"/>
                      <w:sz w:val="24"/>
                    </w:rPr>
                    <w:t>高琛</w:t>
                  </w:r>
                </w:p>
                <w:p w:rsidR="00225042" w:rsidRPr="00500DDF" w:rsidRDefault="00225042" w:rsidP="001565B6">
                  <w:pPr>
                    <w:framePr w:hSpace="181" w:wrap="around" w:vAnchor="page" w:hAnchor="page" w:x="35" w:y="1"/>
                    <w:rPr>
                      <w:rFonts w:eastAsia="KaiTi_GB2312"/>
                      <w:b/>
                      <w:color w:val="003366"/>
                      <w:sz w:val="24"/>
                    </w:rPr>
                  </w:pPr>
                  <w:r w:rsidRPr="00500DDF">
                    <w:rPr>
                      <w:rFonts w:eastAsia="KaiTi_GB2312"/>
                      <w:b/>
                      <w:color w:val="003366"/>
                      <w:sz w:val="24"/>
                    </w:rPr>
                    <w:t>执业证书编号：</w:t>
                  </w:r>
                  <w:bookmarkStart w:id="13" w:name="OLE_LINK1"/>
                  <w:bookmarkStart w:id="14" w:name="OLE_LINK2"/>
                  <w:r w:rsidRPr="00500DDF">
                    <w:rPr>
                      <w:rFonts w:eastAsia="KaiTi_GB2312"/>
                      <w:b/>
                      <w:color w:val="003366"/>
                      <w:sz w:val="24"/>
                    </w:rPr>
                    <w:t xml:space="preserve"> S0870512010001</w:t>
                  </w:r>
                  <w:bookmarkEnd w:id="13"/>
                  <w:bookmarkEnd w:id="14"/>
                </w:p>
                <w:p w:rsidR="00225042" w:rsidRPr="00500DDF" w:rsidRDefault="00225042" w:rsidP="001565B6">
                  <w:pPr>
                    <w:framePr w:hSpace="181" w:wrap="around" w:vAnchor="page" w:hAnchor="page" w:x="35" w:y="1"/>
                    <w:rPr>
                      <w:rFonts w:eastAsia="KaiTi_GB2312"/>
                      <w:b/>
                      <w:color w:val="003366"/>
                      <w:sz w:val="24"/>
                    </w:rPr>
                  </w:pPr>
                  <w:r w:rsidRPr="00500DDF">
                    <w:rPr>
                      <w:rFonts w:eastAsia="KaiTi_GB2312"/>
                      <w:b/>
                      <w:color w:val="003366"/>
                      <w:sz w:val="24"/>
                    </w:rPr>
                    <w:t>021-</w:t>
                  </w:r>
                  <w:r w:rsidR="00D35848">
                    <w:rPr>
                      <w:rFonts w:eastAsia="KaiTi_GB2312" w:hint="eastAsia"/>
                      <w:b/>
                      <w:color w:val="003366"/>
                      <w:sz w:val="24"/>
                    </w:rPr>
                    <w:t>53686107</w:t>
                  </w:r>
                </w:p>
                <w:p w:rsidR="00225042" w:rsidRPr="00500DDF" w:rsidRDefault="00902478" w:rsidP="001565B6">
                  <w:pPr>
                    <w:framePr w:hSpace="181" w:wrap="around" w:vAnchor="page" w:hAnchor="page" w:x="35" w:y="1"/>
                    <w:rPr>
                      <w:rFonts w:eastAsia="KaiTi_GB2312"/>
                      <w:b/>
                      <w:color w:val="003366"/>
                      <w:sz w:val="24"/>
                    </w:rPr>
                  </w:pPr>
                  <w:hyperlink r:id="rId9" w:history="1">
                    <w:r w:rsidR="00E4656C" w:rsidRPr="005D4F74">
                      <w:rPr>
                        <w:rStyle w:val="aa"/>
                        <w:rFonts w:eastAsia="KaiTi_GB2312"/>
                        <w:b/>
                        <w:sz w:val="24"/>
                      </w:rPr>
                      <w:t>gaochen@s</w:t>
                    </w:r>
                    <w:r w:rsidR="00E4656C" w:rsidRPr="005D4F74">
                      <w:rPr>
                        <w:rStyle w:val="aa"/>
                        <w:rFonts w:eastAsia="KaiTi_GB2312" w:hint="eastAsia"/>
                        <w:b/>
                        <w:sz w:val="24"/>
                      </w:rPr>
                      <w:t>hzq</w:t>
                    </w:r>
                    <w:r w:rsidR="00E4656C" w:rsidRPr="005D4F74">
                      <w:rPr>
                        <w:rStyle w:val="aa"/>
                        <w:rFonts w:eastAsia="KaiTi_GB2312"/>
                        <w:b/>
                        <w:sz w:val="24"/>
                      </w:rPr>
                      <w:t>.com</w:t>
                    </w:r>
                  </w:hyperlink>
                </w:p>
                <w:p w:rsidR="00A56132" w:rsidRDefault="00A56132" w:rsidP="001565B6">
                  <w:pPr>
                    <w:framePr w:hSpace="181" w:wrap="around" w:vAnchor="page" w:hAnchor="page" w:x="35" w:y="1"/>
                    <w:rPr>
                      <w:rFonts w:eastAsia="KaiTi_GB2312"/>
                      <w:b/>
                      <w:color w:val="003366"/>
                      <w:sz w:val="24"/>
                    </w:rPr>
                  </w:pPr>
                </w:p>
                <w:p w:rsidR="00A56132" w:rsidRPr="00500DDF" w:rsidRDefault="00A56132" w:rsidP="001565B6">
                  <w:pPr>
                    <w:framePr w:hSpace="181" w:wrap="around" w:vAnchor="page" w:hAnchor="page" w:x="35" w:y="1"/>
                    <w:rPr>
                      <w:rFonts w:eastAsia="KaiTi_GB2312"/>
                      <w:b/>
                      <w:color w:val="003366"/>
                      <w:sz w:val="24"/>
                    </w:rPr>
                  </w:pPr>
                  <w:r w:rsidRPr="00500DDF">
                    <w:rPr>
                      <w:rFonts w:eastAsia="KaiTi_GB2312"/>
                      <w:b/>
                      <w:color w:val="003366"/>
                      <w:sz w:val="24"/>
                    </w:rPr>
                    <w:t> </w:t>
                  </w:r>
                </w:p>
              </w:tc>
            </w:tr>
            <w:tr w:rsidR="00A56132" w:rsidRPr="00CB0A5A" w:rsidTr="00871461">
              <w:trPr>
                <w:trHeight w:val="284"/>
                <w:jc w:val="right"/>
              </w:trPr>
              <w:tc>
                <w:tcPr>
                  <w:tcW w:w="3751" w:type="dxa"/>
                  <w:shd w:val="clear" w:color="auto" w:fill="auto"/>
                </w:tcPr>
                <w:p w:rsidR="00A56132" w:rsidRDefault="00A56132" w:rsidP="001565B6">
                  <w:pPr>
                    <w:framePr w:hSpace="181" w:wrap="around" w:vAnchor="page" w:hAnchor="page" w:x="35" w:y="1"/>
                    <w:rPr>
                      <w:rFonts w:eastAsia="KaiTi_GB2312"/>
                      <w:b/>
                      <w:color w:val="003366"/>
                      <w:sz w:val="24"/>
                    </w:rPr>
                  </w:pPr>
                </w:p>
                <w:p w:rsidR="00A56132" w:rsidRDefault="00A56132" w:rsidP="001565B6">
                  <w:pPr>
                    <w:framePr w:hSpace="181" w:wrap="around" w:vAnchor="page" w:hAnchor="page" w:x="35" w:y="1"/>
                    <w:rPr>
                      <w:rFonts w:eastAsia="KaiTi_GB2312"/>
                      <w:b/>
                      <w:color w:val="003366"/>
                      <w:sz w:val="24"/>
                    </w:rPr>
                  </w:pPr>
                </w:p>
                <w:p w:rsidR="00A56132" w:rsidRPr="00754A1D" w:rsidRDefault="00A56132" w:rsidP="001565B6">
                  <w:pPr>
                    <w:framePr w:hSpace="181" w:wrap="around" w:vAnchor="page" w:hAnchor="page" w:x="35" w:y="1"/>
                    <w:rPr>
                      <w:rFonts w:eastAsia="KaiTi_GB2312"/>
                      <w:b/>
                      <w:color w:val="003366"/>
                    </w:rPr>
                  </w:pPr>
                  <w:r w:rsidRPr="00FC1827">
                    <w:rPr>
                      <w:rFonts w:eastAsia="KaiTi_GB2312"/>
                      <w:b/>
                      <w:color w:val="003366"/>
                    </w:rPr>
                    <w:t>日期：</w:t>
                  </w:r>
                  <w:fldSimple w:instr=" DOCPROPERTY  date  \* MERGEFORMAT ">
                    <w:r w:rsidR="00D9659C">
                      <w:rPr>
                        <w:rFonts w:eastAsia="KaiTi_GB2312" w:hint="eastAsia"/>
                        <w:b/>
                        <w:color w:val="003366"/>
                      </w:rPr>
                      <w:t>201</w:t>
                    </w:r>
                    <w:r w:rsidR="001A7150">
                      <w:rPr>
                        <w:rFonts w:eastAsia="KaiTi_GB2312" w:hint="eastAsia"/>
                        <w:b/>
                        <w:color w:val="003366"/>
                      </w:rPr>
                      <w:t>6</w:t>
                    </w:r>
                    <w:r>
                      <w:rPr>
                        <w:rFonts w:eastAsia="KaiTi_GB2312" w:hint="eastAsia"/>
                        <w:b/>
                        <w:color w:val="003366"/>
                      </w:rPr>
                      <w:t>年</w:t>
                    </w:r>
                    <w:r w:rsidR="00DF74B4">
                      <w:rPr>
                        <w:rFonts w:eastAsia="KaiTi_GB2312"/>
                        <w:b/>
                        <w:color w:val="003366"/>
                      </w:rPr>
                      <w:t>5</w:t>
                    </w:r>
                    <w:r>
                      <w:rPr>
                        <w:rFonts w:eastAsia="KaiTi_GB2312" w:hint="eastAsia"/>
                        <w:b/>
                        <w:color w:val="003366"/>
                      </w:rPr>
                      <w:t>月</w:t>
                    </w:r>
                    <w:r w:rsidR="003C2D32">
                      <w:rPr>
                        <w:rFonts w:eastAsia="KaiTi_GB2312"/>
                        <w:b/>
                        <w:color w:val="003366"/>
                      </w:rPr>
                      <w:t>16</w:t>
                    </w:r>
                    <w:r>
                      <w:rPr>
                        <w:rFonts w:eastAsia="KaiTi_GB2312" w:hint="eastAsia"/>
                        <w:b/>
                        <w:color w:val="003366"/>
                      </w:rPr>
                      <w:t>日</w:t>
                    </w:r>
                  </w:fldSimple>
                </w:p>
                <w:p w:rsidR="00A56132" w:rsidRDefault="00A56132" w:rsidP="001565B6">
                  <w:pPr>
                    <w:framePr w:hSpace="181" w:wrap="around" w:vAnchor="page" w:hAnchor="page" w:x="35" w:y="1"/>
                    <w:rPr>
                      <w:rFonts w:eastAsia="KaiTi_GB2312"/>
                      <w:b/>
                      <w:color w:val="003366"/>
                      <w:sz w:val="24"/>
                    </w:rPr>
                  </w:pPr>
                </w:p>
                <w:p w:rsidR="00A56132" w:rsidRDefault="00A56132" w:rsidP="001565B6">
                  <w:pPr>
                    <w:framePr w:hSpace="181" w:wrap="around" w:vAnchor="page" w:hAnchor="page" w:x="35" w:y="1"/>
                    <w:rPr>
                      <w:rFonts w:eastAsia="KaiTi_GB2312"/>
                      <w:b/>
                      <w:color w:val="003366"/>
                      <w:sz w:val="24"/>
                    </w:rPr>
                  </w:pPr>
                </w:p>
                <w:p w:rsidR="00A56132" w:rsidRDefault="00A56132" w:rsidP="001565B6">
                  <w:pPr>
                    <w:framePr w:hSpace="181" w:wrap="around" w:vAnchor="page" w:hAnchor="page" w:x="35" w:y="1"/>
                    <w:rPr>
                      <w:rFonts w:eastAsia="KaiTi_GB2312"/>
                      <w:b/>
                      <w:color w:val="003366"/>
                      <w:sz w:val="24"/>
                    </w:rPr>
                  </w:pPr>
                </w:p>
                <w:p w:rsidR="00A56132" w:rsidRPr="00500DDF" w:rsidRDefault="00A56132" w:rsidP="001565B6">
                  <w:pPr>
                    <w:framePr w:hSpace="181" w:wrap="around" w:vAnchor="page" w:hAnchor="page" w:x="35" w:y="1"/>
                    <w:rPr>
                      <w:rFonts w:eastAsia="KaiTi_GB2312"/>
                      <w:b/>
                      <w:color w:val="003366"/>
                      <w:sz w:val="24"/>
                    </w:rPr>
                  </w:pPr>
                </w:p>
              </w:tc>
            </w:tr>
            <w:tr w:rsidR="00A56132" w:rsidRPr="00CB0A5A" w:rsidTr="00871461">
              <w:trPr>
                <w:trHeight w:val="284"/>
                <w:jc w:val="right"/>
              </w:trPr>
              <w:tc>
                <w:tcPr>
                  <w:tcW w:w="3751" w:type="dxa"/>
                  <w:shd w:val="clear" w:color="auto" w:fill="auto"/>
                </w:tcPr>
                <w:p w:rsidR="00A56132" w:rsidRPr="00500DDF" w:rsidRDefault="00A56132" w:rsidP="001565B6">
                  <w:pPr>
                    <w:framePr w:hSpace="181" w:wrap="around" w:vAnchor="page" w:hAnchor="page" w:x="35" w:y="1"/>
                    <w:rPr>
                      <w:rFonts w:eastAsia="KaiTi_GB2312"/>
                      <w:b/>
                      <w:color w:val="003366"/>
                      <w:sz w:val="24"/>
                    </w:rPr>
                  </w:pPr>
                  <w:r w:rsidRPr="00500DDF">
                    <w:rPr>
                      <w:rFonts w:eastAsia="KaiTi_GB2312"/>
                      <w:b/>
                      <w:color w:val="003366"/>
                      <w:sz w:val="24"/>
                    </w:rPr>
                    <w:t>报告编号：</w:t>
                  </w:r>
                </w:p>
              </w:tc>
            </w:tr>
            <w:tr w:rsidR="00A56132" w:rsidRPr="00CB0A5A" w:rsidTr="00871461">
              <w:trPr>
                <w:trHeight w:val="284"/>
                <w:jc w:val="right"/>
              </w:trPr>
              <w:tc>
                <w:tcPr>
                  <w:tcW w:w="3751" w:type="dxa"/>
                  <w:shd w:val="clear" w:color="auto" w:fill="auto"/>
                </w:tcPr>
                <w:p w:rsidR="00A56132" w:rsidRPr="00500DDF" w:rsidRDefault="00A56132" w:rsidP="001565B6">
                  <w:pPr>
                    <w:framePr w:hSpace="181" w:wrap="around" w:vAnchor="page" w:hAnchor="page" w:x="35" w:y="1"/>
                    <w:rPr>
                      <w:rFonts w:eastAsia="KaiTi_GB2312"/>
                      <w:b/>
                      <w:color w:val="003366"/>
                      <w:sz w:val="24"/>
                    </w:rPr>
                  </w:pPr>
                </w:p>
              </w:tc>
            </w:tr>
            <w:tr w:rsidR="00A56132" w:rsidRPr="00CB0A5A" w:rsidTr="00871461">
              <w:trPr>
                <w:trHeight w:val="284"/>
                <w:jc w:val="right"/>
              </w:trPr>
              <w:tc>
                <w:tcPr>
                  <w:tcW w:w="3751" w:type="dxa"/>
                  <w:shd w:val="clear" w:color="auto" w:fill="auto"/>
                </w:tcPr>
                <w:p w:rsidR="00A56132" w:rsidRPr="00500DDF" w:rsidRDefault="00A56132" w:rsidP="001565B6">
                  <w:pPr>
                    <w:framePr w:hSpace="181" w:wrap="around" w:vAnchor="page" w:hAnchor="page" w:x="35" w:y="1"/>
                    <w:rPr>
                      <w:rFonts w:eastAsia="KaiTi_GB2312"/>
                      <w:sz w:val="24"/>
                    </w:rPr>
                  </w:pPr>
                </w:p>
              </w:tc>
            </w:tr>
            <w:tr w:rsidR="00A56132" w:rsidRPr="00CB0A5A" w:rsidTr="00871461">
              <w:trPr>
                <w:trHeight w:val="284"/>
                <w:jc w:val="right"/>
              </w:trPr>
              <w:tc>
                <w:tcPr>
                  <w:tcW w:w="3751" w:type="dxa"/>
                  <w:shd w:val="clear" w:color="auto" w:fill="auto"/>
                </w:tcPr>
                <w:p w:rsidR="00A56132" w:rsidRPr="00500DDF" w:rsidRDefault="00A56132" w:rsidP="001565B6">
                  <w:pPr>
                    <w:framePr w:hSpace="181" w:wrap="around" w:vAnchor="page" w:hAnchor="page" w:x="35" w:y="1"/>
                    <w:rPr>
                      <w:rFonts w:eastAsia="KaiTi_GB2312"/>
                      <w:b/>
                      <w:color w:val="003366"/>
                      <w:sz w:val="24"/>
                    </w:rPr>
                  </w:pPr>
                  <w:r w:rsidRPr="00500DDF">
                    <w:rPr>
                      <w:rFonts w:eastAsia="KaiTi_GB2312"/>
                      <w:b/>
                      <w:color w:val="003366"/>
                      <w:sz w:val="24"/>
                    </w:rPr>
                    <w:t>相关报告：</w:t>
                  </w:r>
                </w:p>
              </w:tc>
            </w:tr>
          </w:tbl>
          <w:p w:rsidR="00D20D7A" w:rsidRPr="004A0353" w:rsidRDefault="00D20D7A" w:rsidP="004A0353">
            <w:pPr>
              <w:spacing w:line="120" w:lineRule="exact"/>
              <w:ind w:right="420"/>
              <w:rPr>
                <w:rFonts w:eastAsia="KaiTi_GB2312"/>
                <w:color w:val="003366"/>
              </w:rPr>
            </w:pPr>
          </w:p>
        </w:tc>
        <w:tc>
          <w:tcPr>
            <w:tcW w:w="7770" w:type="dxa"/>
            <w:vMerge/>
            <w:tcBorders>
              <w:bottom w:val="nil"/>
            </w:tcBorders>
          </w:tcPr>
          <w:p w:rsidR="00D20D7A" w:rsidRPr="00CB0A5A" w:rsidRDefault="00D20D7A" w:rsidP="00055C3A">
            <w:pPr>
              <w:rPr>
                <w:rFonts w:eastAsia="KaiTi_GB2312"/>
                <w:color w:val="003366"/>
              </w:rPr>
            </w:pPr>
          </w:p>
        </w:tc>
      </w:tr>
    </w:tbl>
    <w:p w:rsidR="00B74732" w:rsidRDefault="00B74732" w:rsidP="00B74732">
      <w:pPr>
        <w:spacing w:line="360" w:lineRule="auto"/>
        <w:jc w:val="center"/>
        <w:rPr>
          <w:rFonts w:ascii="宋体" w:hAnsi="宋体" w:cs="宋体-18030"/>
          <w:b/>
          <w:color w:val="244061"/>
          <w:sz w:val="28"/>
        </w:rPr>
        <w:sectPr w:rsidR="00B74732" w:rsidSect="00F1517C">
          <w:headerReference w:type="default" r:id="rId10"/>
          <w:footerReference w:type="default" r:id="rId11"/>
          <w:pgSz w:w="11906" w:h="16838"/>
          <w:pgMar w:top="1418" w:right="851" w:bottom="567" w:left="1418" w:header="851" w:footer="992" w:gutter="0"/>
          <w:cols w:space="425"/>
          <w:docGrid w:type="lines" w:linePitch="312"/>
        </w:sectPr>
      </w:pPr>
      <w:bookmarkStart w:id="15" w:name="_Toc197171495"/>
    </w:p>
    <w:p w:rsidR="00A56132" w:rsidRPr="00DA1341" w:rsidRDefault="00A56132" w:rsidP="00A56132">
      <w:pPr>
        <w:spacing w:line="360" w:lineRule="auto"/>
        <w:jc w:val="left"/>
        <w:rPr>
          <w:rFonts w:ascii="楷体" w:eastAsia="楷体" w:hAnsi="楷体"/>
          <w:b/>
          <w:color w:val="000000"/>
          <w:sz w:val="28"/>
          <w:szCs w:val="28"/>
        </w:rPr>
      </w:pPr>
      <w:bookmarkStart w:id="16" w:name="_Toc352253598"/>
      <w:bookmarkStart w:id="17" w:name="_Toc352253597"/>
      <w:bookmarkStart w:id="18" w:name="_Toc354493899"/>
      <w:bookmarkStart w:id="19" w:name="_Toc353282069"/>
      <w:bookmarkStart w:id="20" w:name="_Toc353282066"/>
      <w:r w:rsidRPr="00DA1341">
        <w:rPr>
          <w:rFonts w:ascii="楷体" w:eastAsia="楷体" w:hAnsi="楷体"/>
          <w:b/>
          <w:color w:val="000000"/>
          <w:sz w:val="28"/>
          <w:szCs w:val="28"/>
        </w:rPr>
        <w:lastRenderedPageBreak/>
        <w:t>市场概况</w:t>
      </w:r>
      <w:r w:rsidR="006B1F0E" w:rsidRPr="00DA1341">
        <w:rPr>
          <w:rFonts w:ascii="楷体" w:eastAsia="楷体" w:hAnsi="楷体" w:hint="eastAsia"/>
          <w:b/>
          <w:color w:val="000000"/>
          <w:sz w:val="28"/>
          <w:szCs w:val="28"/>
        </w:rPr>
        <w:t>：</w:t>
      </w:r>
    </w:p>
    <w:p w:rsidR="00013B4E" w:rsidRPr="007E44CE" w:rsidRDefault="003E6073" w:rsidP="00F02938">
      <w:pPr>
        <w:spacing w:line="360" w:lineRule="auto"/>
        <w:ind w:firstLine="420"/>
        <w:jc w:val="left"/>
        <w:rPr>
          <w:rFonts w:eastAsia="楷体_GB2312"/>
          <w:color w:val="000000"/>
          <w:szCs w:val="21"/>
        </w:rPr>
      </w:pPr>
      <w:r w:rsidRPr="007E44CE">
        <w:rPr>
          <w:rFonts w:eastAsia="楷体_GB2312" w:hint="eastAsia"/>
          <w:color w:val="000000"/>
          <w:szCs w:val="21"/>
        </w:rPr>
        <w:t>股票市场</w:t>
      </w:r>
      <w:r w:rsidR="003F5969" w:rsidRPr="007E44CE">
        <w:rPr>
          <w:rFonts w:eastAsia="楷体_GB2312" w:hint="eastAsia"/>
          <w:color w:val="000000"/>
          <w:szCs w:val="21"/>
        </w:rPr>
        <w:t>方面，</w:t>
      </w:r>
      <w:r w:rsidR="00D32FE9" w:rsidRPr="007E44CE">
        <w:rPr>
          <w:rFonts w:eastAsia="楷体_GB2312" w:hint="eastAsia"/>
          <w:color w:val="000000"/>
          <w:szCs w:val="21"/>
        </w:rPr>
        <w:t>沪深两市收益率分别为</w:t>
      </w:r>
      <w:r w:rsidR="001603B9" w:rsidRPr="007E44CE">
        <w:rPr>
          <w:rFonts w:eastAsia="楷体_GB2312" w:hint="eastAsia"/>
          <w:color w:val="000000"/>
          <w:szCs w:val="21"/>
        </w:rPr>
        <w:t>-</w:t>
      </w:r>
      <w:r w:rsidR="00A05B98" w:rsidRPr="007E44CE">
        <w:rPr>
          <w:rFonts w:eastAsia="楷体_GB2312"/>
          <w:color w:val="000000"/>
          <w:szCs w:val="21"/>
        </w:rPr>
        <w:t>2.96</w:t>
      </w:r>
      <w:r w:rsidR="00D32FE9" w:rsidRPr="007E44CE">
        <w:rPr>
          <w:rFonts w:eastAsia="楷体_GB2312" w:hint="eastAsia"/>
          <w:color w:val="000000"/>
          <w:szCs w:val="21"/>
        </w:rPr>
        <w:t>%</w:t>
      </w:r>
      <w:r w:rsidR="00D32FE9" w:rsidRPr="007E44CE">
        <w:rPr>
          <w:rFonts w:eastAsia="楷体_GB2312" w:hint="eastAsia"/>
          <w:color w:val="000000"/>
          <w:szCs w:val="21"/>
        </w:rPr>
        <w:t>和</w:t>
      </w:r>
      <w:r w:rsidR="001603B9" w:rsidRPr="007E44CE">
        <w:rPr>
          <w:rFonts w:eastAsia="楷体_GB2312" w:hint="eastAsia"/>
          <w:color w:val="000000"/>
          <w:szCs w:val="21"/>
        </w:rPr>
        <w:t>-</w:t>
      </w:r>
      <w:r w:rsidR="00A05B98" w:rsidRPr="007E44CE">
        <w:rPr>
          <w:rFonts w:eastAsia="楷体_GB2312"/>
          <w:color w:val="000000"/>
          <w:szCs w:val="21"/>
        </w:rPr>
        <w:t>3.38</w:t>
      </w:r>
      <w:r w:rsidR="00D32FE9" w:rsidRPr="007E44CE">
        <w:rPr>
          <w:rFonts w:eastAsia="楷体_GB2312" w:hint="eastAsia"/>
          <w:color w:val="000000"/>
          <w:szCs w:val="21"/>
        </w:rPr>
        <w:t>%</w:t>
      </w:r>
      <w:r w:rsidR="00D32FE9" w:rsidRPr="007E44CE">
        <w:rPr>
          <w:rFonts w:eastAsia="楷体_GB2312" w:hint="eastAsia"/>
          <w:color w:val="000000"/>
          <w:szCs w:val="21"/>
        </w:rPr>
        <w:t>，同期</w:t>
      </w:r>
      <w:r w:rsidR="007C50A5" w:rsidRPr="007E44CE">
        <w:rPr>
          <w:rFonts w:eastAsia="楷体_GB2312" w:hint="eastAsia"/>
          <w:color w:val="000000"/>
          <w:szCs w:val="21"/>
        </w:rPr>
        <w:t>中小板和</w:t>
      </w:r>
      <w:r w:rsidR="00D32FE9" w:rsidRPr="007E44CE">
        <w:rPr>
          <w:rFonts w:eastAsia="楷体_GB2312" w:hint="eastAsia"/>
          <w:color w:val="000000"/>
          <w:szCs w:val="21"/>
        </w:rPr>
        <w:t>创业板指数</w:t>
      </w:r>
      <w:r w:rsidR="007C50A5" w:rsidRPr="007E44CE">
        <w:rPr>
          <w:rFonts w:eastAsia="楷体_GB2312" w:hint="eastAsia"/>
          <w:color w:val="000000"/>
          <w:szCs w:val="21"/>
        </w:rPr>
        <w:t>收益率</w:t>
      </w:r>
      <w:r w:rsidR="00D32FE9" w:rsidRPr="007E44CE">
        <w:rPr>
          <w:rFonts w:eastAsia="楷体_GB2312" w:hint="eastAsia"/>
          <w:color w:val="000000"/>
          <w:szCs w:val="21"/>
        </w:rPr>
        <w:t>为</w:t>
      </w:r>
      <w:r w:rsidR="00AD2851" w:rsidRPr="007E44CE">
        <w:rPr>
          <w:rFonts w:eastAsia="楷体_GB2312" w:hint="eastAsia"/>
          <w:color w:val="000000"/>
          <w:szCs w:val="21"/>
        </w:rPr>
        <w:t>-</w:t>
      </w:r>
      <w:r w:rsidR="002907C1" w:rsidRPr="007E44CE">
        <w:rPr>
          <w:rFonts w:eastAsia="楷体_GB2312"/>
          <w:color w:val="000000"/>
          <w:szCs w:val="21"/>
        </w:rPr>
        <w:t>2.52</w:t>
      </w:r>
      <w:r w:rsidR="007C50A5" w:rsidRPr="007E44CE">
        <w:rPr>
          <w:rFonts w:eastAsia="楷体_GB2312" w:hint="eastAsia"/>
          <w:color w:val="000000"/>
          <w:szCs w:val="21"/>
        </w:rPr>
        <w:t>%</w:t>
      </w:r>
      <w:r w:rsidR="007C50A5" w:rsidRPr="007E44CE">
        <w:rPr>
          <w:rFonts w:eastAsia="楷体_GB2312" w:hint="eastAsia"/>
          <w:color w:val="000000"/>
          <w:szCs w:val="21"/>
        </w:rPr>
        <w:t>和</w:t>
      </w:r>
      <w:r w:rsidR="00BD03CF" w:rsidRPr="007E44CE">
        <w:rPr>
          <w:rFonts w:eastAsia="楷体_GB2312" w:hint="eastAsia"/>
          <w:color w:val="000000"/>
          <w:szCs w:val="21"/>
        </w:rPr>
        <w:t>-</w:t>
      </w:r>
      <w:r w:rsidR="002907C1" w:rsidRPr="007E44CE">
        <w:rPr>
          <w:rFonts w:eastAsia="楷体_GB2312"/>
          <w:color w:val="000000"/>
          <w:szCs w:val="21"/>
        </w:rPr>
        <w:t>5.87</w:t>
      </w:r>
      <w:r w:rsidR="007C50A5" w:rsidRPr="007E44CE">
        <w:rPr>
          <w:rFonts w:eastAsia="楷体_GB2312" w:hint="eastAsia"/>
          <w:color w:val="000000"/>
          <w:szCs w:val="21"/>
        </w:rPr>
        <w:t>%</w:t>
      </w:r>
      <w:r w:rsidR="00D32FE9" w:rsidRPr="007E44CE">
        <w:rPr>
          <w:rFonts w:eastAsia="楷体_GB2312" w:hint="eastAsia"/>
          <w:color w:val="000000"/>
          <w:szCs w:val="21"/>
        </w:rPr>
        <w:t>。</w:t>
      </w:r>
      <w:r w:rsidR="00254BF0">
        <w:rPr>
          <w:rFonts w:eastAsia="楷体_GB2312" w:hint="eastAsia"/>
          <w:color w:val="000000"/>
          <w:szCs w:val="21"/>
        </w:rPr>
        <w:t>上周沪深股市继续回调，上证综指跌</w:t>
      </w:r>
      <w:r w:rsidR="00BD03CF" w:rsidRPr="007E44CE">
        <w:rPr>
          <w:rFonts w:eastAsia="楷体_GB2312" w:hint="eastAsia"/>
          <w:color w:val="000000"/>
          <w:szCs w:val="21"/>
        </w:rPr>
        <w:t>至</w:t>
      </w:r>
      <w:r w:rsidR="00BD03CF" w:rsidRPr="007E44CE">
        <w:rPr>
          <w:rFonts w:eastAsia="楷体_GB2312" w:hint="eastAsia"/>
          <w:color w:val="000000"/>
          <w:szCs w:val="21"/>
        </w:rPr>
        <w:t>2800</w:t>
      </w:r>
      <w:r w:rsidR="00BD03CF" w:rsidRPr="007E44CE">
        <w:rPr>
          <w:rFonts w:eastAsia="楷体_GB2312" w:hint="eastAsia"/>
          <w:color w:val="000000"/>
          <w:szCs w:val="21"/>
        </w:rPr>
        <w:t>点附近</w:t>
      </w:r>
      <w:r w:rsidR="001604BF" w:rsidRPr="007E44CE">
        <w:rPr>
          <w:rFonts w:eastAsia="楷体_GB2312" w:hint="eastAsia"/>
          <w:color w:val="000000"/>
          <w:szCs w:val="21"/>
        </w:rPr>
        <w:t>。</w:t>
      </w:r>
      <w:r w:rsidR="00D14DAA" w:rsidRPr="007E44CE">
        <w:rPr>
          <w:rFonts w:eastAsia="楷体_GB2312" w:hint="eastAsia"/>
          <w:color w:val="000000"/>
          <w:szCs w:val="21"/>
        </w:rPr>
        <w:t>从行业层面来看，</w:t>
      </w:r>
      <w:r w:rsidR="009B2480" w:rsidRPr="007E44CE">
        <w:rPr>
          <w:rFonts w:eastAsia="楷体_GB2312" w:hint="eastAsia"/>
          <w:color w:val="000000"/>
          <w:szCs w:val="21"/>
        </w:rPr>
        <w:t>除食品饮料行业外，其他所有行业收益为负</w:t>
      </w:r>
      <w:r w:rsidR="00F17748" w:rsidRPr="007E44CE">
        <w:rPr>
          <w:rFonts w:eastAsia="楷体_GB2312" w:hint="eastAsia"/>
          <w:color w:val="000000"/>
          <w:szCs w:val="21"/>
        </w:rPr>
        <w:t>，</w:t>
      </w:r>
      <w:r w:rsidR="009B2480" w:rsidRPr="007E44CE">
        <w:rPr>
          <w:rFonts w:eastAsia="楷体_GB2312" w:hint="eastAsia"/>
          <w:color w:val="000000"/>
          <w:szCs w:val="21"/>
        </w:rPr>
        <w:t>食品饮料行业</w:t>
      </w:r>
      <w:r w:rsidR="006D1AED" w:rsidRPr="007E44CE">
        <w:rPr>
          <w:rFonts w:eastAsia="楷体_GB2312" w:hint="eastAsia"/>
          <w:color w:val="000000"/>
          <w:szCs w:val="21"/>
        </w:rPr>
        <w:t>收益率涨幅</w:t>
      </w:r>
      <w:r w:rsidR="00B900DB" w:rsidRPr="007E44CE">
        <w:rPr>
          <w:rFonts w:eastAsia="楷体_GB2312" w:hint="eastAsia"/>
          <w:color w:val="000000"/>
          <w:szCs w:val="21"/>
        </w:rPr>
        <w:t>最</w:t>
      </w:r>
      <w:r w:rsidR="006D1AED" w:rsidRPr="007E44CE">
        <w:rPr>
          <w:rFonts w:eastAsia="楷体_GB2312" w:hint="eastAsia"/>
          <w:color w:val="000000"/>
          <w:szCs w:val="21"/>
        </w:rPr>
        <w:t>大，为</w:t>
      </w:r>
      <w:r w:rsidR="009B2480" w:rsidRPr="007E44CE">
        <w:rPr>
          <w:rFonts w:eastAsia="楷体_GB2312"/>
          <w:color w:val="000000"/>
          <w:szCs w:val="21"/>
        </w:rPr>
        <w:t>0.13</w:t>
      </w:r>
      <w:r w:rsidR="006D1AED" w:rsidRPr="007E44CE">
        <w:rPr>
          <w:rFonts w:eastAsia="楷体_GB2312" w:hint="eastAsia"/>
          <w:color w:val="000000"/>
          <w:szCs w:val="21"/>
        </w:rPr>
        <w:t>%</w:t>
      </w:r>
      <w:r w:rsidR="00881CB7" w:rsidRPr="007E44CE">
        <w:rPr>
          <w:rFonts w:eastAsia="楷体_GB2312" w:hint="eastAsia"/>
          <w:color w:val="000000"/>
          <w:szCs w:val="21"/>
        </w:rPr>
        <w:t>，而</w:t>
      </w:r>
      <w:r w:rsidR="009B2480" w:rsidRPr="007E44CE">
        <w:rPr>
          <w:rFonts w:eastAsia="楷体_GB2312" w:hint="eastAsia"/>
          <w:color w:val="000000"/>
          <w:szCs w:val="21"/>
        </w:rPr>
        <w:t>计算机、建筑材料和综合</w:t>
      </w:r>
      <w:r w:rsidR="00D75EDE" w:rsidRPr="007E44CE">
        <w:rPr>
          <w:rFonts w:eastAsia="楷体_GB2312" w:hint="eastAsia"/>
          <w:color w:val="000000"/>
          <w:szCs w:val="21"/>
        </w:rPr>
        <w:t>行业</w:t>
      </w:r>
      <w:r w:rsidR="0057306C" w:rsidRPr="007E44CE">
        <w:rPr>
          <w:rFonts w:eastAsia="楷体_GB2312" w:hint="eastAsia"/>
          <w:color w:val="000000"/>
          <w:szCs w:val="21"/>
        </w:rPr>
        <w:t>在上周跌幅惨重。</w:t>
      </w:r>
    </w:p>
    <w:p w:rsidR="000B05E0" w:rsidRPr="007E44CE" w:rsidRDefault="00AA6509" w:rsidP="007E44CE">
      <w:pPr>
        <w:spacing w:line="360" w:lineRule="auto"/>
        <w:ind w:firstLine="420"/>
        <w:jc w:val="left"/>
        <w:rPr>
          <w:rFonts w:eastAsia="楷体_GB2312"/>
          <w:color w:val="000000"/>
          <w:szCs w:val="21"/>
        </w:rPr>
      </w:pPr>
      <w:r w:rsidRPr="007E44CE">
        <w:rPr>
          <w:rFonts w:eastAsia="楷体_GB2312" w:hint="eastAsia"/>
          <w:color w:val="000000"/>
          <w:szCs w:val="21"/>
        </w:rPr>
        <w:t>债券市场方面，中证全债指数</w:t>
      </w:r>
      <w:r w:rsidR="004F4E59" w:rsidRPr="007E44CE">
        <w:rPr>
          <w:rFonts w:eastAsia="楷体_GB2312" w:hint="eastAsia"/>
          <w:color w:val="000000"/>
          <w:szCs w:val="21"/>
        </w:rPr>
        <w:t>上涨</w:t>
      </w:r>
      <w:r w:rsidR="004F4E59" w:rsidRPr="007E44CE">
        <w:rPr>
          <w:rFonts w:eastAsia="楷体_GB2312" w:hint="eastAsia"/>
          <w:color w:val="000000"/>
          <w:szCs w:val="21"/>
        </w:rPr>
        <w:t>0.</w:t>
      </w:r>
      <w:r w:rsidR="00C01A7F" w:rsidRPr="007E44CE">
        <w:rPr>
          <w:rFonts w:eastAsia="楷体_GB2312"/>
          <w:color w:val="000000"/>
          <w:szCs w:val="21"/>
        </w:rPr>
        <w:t>32</w:t>
      </w:r>
      <w:r w:rsidR="003F5969" w:rsidRPr="007E44CE">
        <w:rPr>
          <w:rFonts w:eastAsia="楷体_GB2312" w:hint="eastAsia"/>
          <w:color w:val="000000"/>
          <w:szCs w:val="21"/>
        </w:rPr>
        <w:t>%</w:t>
      </w:r>
      <w:r w:rsidR="00913EA3" w:rsidRPr="007E44CE">
        <w:rPr>
          <w:rFonts w:eastAsia="楷体_GB2312" w:hint="eastAsia"/>
          <w:color w:val="000000"/>
          <w:szCs w:val="21"/>
        </w:rPr>
        <w:t>。</w:t>
      </w:r>
      <w:r w:rsidR="0057306C" w:rsidRPr="007E44CE">
        <w:rPr>
          <w:rFonts w:eastAsia="楷体_GB2312" w:hint="eastAsia"/>
          <w:color w:val="000000"/>
          <w:szCs w:val="21"/>
        </w:rPr>
        <w:t>上周</w:t>
      </w:r>
      <w:r w:rsidRPr="007E44CE">
        <w:rPr>
          <w:rFonts w:eastAsia="楷体_GB2312" w:hint="eastAsia"/>
          <w:color w:val="000000"/>
          <w:szCs w:val="21"/>
        </w:rPr>
        <w:t>中证企业债、</w:t>
      </w:r>
      <w:r w:rsidR="00285F23" w:rsidRPr="007E44CE">
        <w:rPr>
          <w:rFonts w:eastAsia="楷体_GB2312" w:hint="eastAsia"/>
          <w:color w:val="000000"/>
          <w:szCs w:val="21"/>
        </w:rPr>
        <w:t>国债</w:t>
      </w:r>
      <w:r w:rsidR="00A02702" w:rsidRPr="007E44CE">
        <w:rPr>
          <w:rFonts w:eastAsia="楷体_GB2312" w:hint="eastAsia"/>
          <w:color w:val="000000"/>
          <w:szCs w:val="21"/>
        </w:rPr>
        <w:t>收益率</w:t>
      </w:r>
      <w:r w:rsidR="005C554C" w:rsidRPr="007E44CE">
        <w:rPr>
          <w:rFonts w:eastAsia="楷体_GB2312" w:hint="eastAsia"/>
          <w:color w:val="000000"/>
          <w:szCs w:val="21"/>
        </w:rPr>
        <w:t>分别为</w:t>
      </w:r>
      <w:r w:rsidR="004F4E59" w:rsidRPr="007E44CE">
        <w:rPr>
          <w:rFonts w:eastAsia="楷体_GB2312"/>
          <w:color w:val="000000"/>
          <w:szCs w:val="21"/>
        </w:rPr>
        <w:t>0</w:t>
      </w:r>
      <w:r w:rsidR="004F4E59" w:rsidRPr="007E44CE">
        <w:rPr>
          <w:rFonts w:eastAsia="楷体_GB2312" w:hint="eastAsia"/>
          <w:color w:val="000000"/>
          <w:szCs w:val="21"/>
        </w:rPr>
        <w:t>.</w:t>
      </w:r>
      <w:r w:rsidR="00C01A7F" w:rsidRPr="007E44CE">
        <w:rPr>
          <w:rFonts w:eastAsia="楷体_GB2312"/>
          <w:color w:val="000000"/>
          <w:szCs w:val="21"/>
        </w:rPr>
        <w:t>28</w:t>
      </w:r>
      <w:r w:rsidR="005C554C" w:rsidRPr="007E44CE">
        <w:rPr>
          <w:rFonts w:eastAsia="楷体_GB2312" w:hint="eastAsia"/>
          <w:color w:val="000000"/>
          <w:szCs w:val="21"/>
        </w:rPr>
        <w:t>%</w:t>
      </w:r>
      <w:r w:rsidR="00285F23" w:rsidRPr="007E44CE">
        <w:rPr>
          <w:rFonts w:eastAsia="楷体_GB2312" w:hint="eastAsia"/>
          <w:color w:val="000000"/>
          <w:szCs w:val="21"/>
        </w:rPr>
        <w:t>和</w:t>
      </w:r>
      <w:r w:rsidR="00C01A7F" w:rsidRPr="007E44CE">
        <w:rPr>
          <w:rFonts w:eastAsia="楷体_GB2312"/>
          <w:color w:val="000000"/>
          <w:szCs w:val="21"/>
        </w:rPr>
        <w:t>0.15</w:t>
      </w:r>
      <w:r w:rsidR="00285F23" w:rsidRPr="007E44CE">
        <w:rPr>
          <w:rFonts w:eastAsia="楷体_GB2312" w:hint="eastAsia"/>
          <w:color w:val="000000"/>
          <w:szCs w:val="21"/>
        </w:rPr>
        <w:t>%</w:t>
      </w:r>
      <w:r w:rsidR="00D26AEB" w:rsidRPr="007E44CE">
        <w:rPr>
          <w:rFonts w:eastAsia="楷体_GB2312" w:hint="eastAsia"/>
          <w:color w:val="000000"/>
          <w:szCs w:val="21"/>
        </w:rPr>
        <w:t>，</w:t>
      </w:r>
      <w:r w:rsidR="005C554C" w:rsidRPr="007E44CE">
        <w:rPr>
          <w:rFonts w:eastAsia="楷体_GB2312" w:hint="eastAsia"/>
          <w:color w:val="000000"/>
          <w:szCs w:val="21"/>
        </w:rPr>
        <w:t>转债指数</w:t>
      </w:r>
      <w:r w:rsidR="00A02702" w:rsidRPr="007E44CE">
        <w:rPr>
          <w:rFonts w:eastAsia="楷体_GB2312" w:hint="eastAsia"/>
          <w:color w:val="000000"/>
          <w:szCs w:val="21"/>
        </w:rPr>
        <w:t>收益率为</w:t>
      </w:r>
      <w:r w:rsidR="00EE4E58" w:rsidRPr="007E44CE">
        <w:rPr>
          <w:rFonts w:eastAsia="楷体_GB2312" w:hint="eastAsia"/>
          <w:color w:val="000000"/>
          <w:szCs w:val="21"/>
        </w:rPr>
        <w:t>-</w:t>
      </w:r>
      <w:r w:rsidR="00EE4E58" w:rsidRPr="007E44CE">
        <w:rPr>
          <w:rFonts w:eastAsia="楷体_GB2312"/>
          <w:color w:val="000000"/>
          <w:szCs w:val="21"/>
        </w:rPr>
        <w:t>0.64</w:t>
      </w:r>
      <w:r w:rsidR="00A02702" w:rsidRPr="007E44CE">
        <w:rPr>
          <w:rFonts w:eastAsia="楷体_GB2312" w:hint="eastAsia"/>
          <w:color w:val="000000"/>
          <w:szCs w:val="21"/>
        </w:rPr>
        <w:t>%</w:t>
      </w:r>
      <w:r w:rsidR="00106C68" w:rsidRPr="007E44CE">
        <w:rPr>
          <w:rFonts w:eastAsia="楷体_GB2312" w:hint="eastAsia"/>
          <w:color w:val="000000"/>
          <w:szCs w:val="21"/>
        </w:rPr>
        <w:t>。</w:t>
      </w:r>
      <w:r w:rsidR="000B05E0" w:rsidRPr="007E44CE">
        <w:rPr>
          <w:rFonts w:eastAsia="楷体_GB2312" w:hint="eastAsia"/>
          <w:color w:val="000000"/>
          <w:szCs w:val="21"/>
        </w:rPr>
        <w:t>货币市场资金</w:t>
      </w:r>
      <w:r w:rsidR="001B00EF" w:rsidRPr="007E44CE">
        <w:rPr>
          <w:rFonts w:eastAsia="楷体_GB2312" w:hint="eastAsia"/>
          <w:color w:val="000000"/>
          <w:szCs w:val="21"/>
        </w:rPr>
        <w:t>价格相对平稳</w:t>
      </w:r>
      <w:r w:rsidR="000B05E0" w:rsidRPr="007E44CE">
        <w:rPr>
          <w:rFonts w:eastAsia="楷体_GB2312" w:hint="eastAsia"/>
          <w:color w:val="000000"/>
          <w:szCs w:val="21"/>
        </w:rPr>
        <w:t>，</w:t>
      </w:r>
      <w:r w:rsidR="00DB716C" w:rsidRPr="007E44CE">
        <w:rPr>
          <w:rFonts w:eastAsia="楷体_GB2312" w:hint="eastAsia"/>
          <w:color w:val="000000"/>
          <w:szCs w:val="21"/>
        </w:rPr>
        <w:t>周内</w:t>
      </w:r>
      <w:r w:rsidR="004148FD" w:rsidRPr="007E44CE">
        <w:rPr>
          <w:rFonts w:eastAsia="楷体_GB2312" w:hint="eastAsia"/>
          <w:color w:val="000000"/>
          <w:szCs w:val="21"/>
        </w:rPr>
        <w:t>仅出现小幅</w:t>
      </w:r>
      <w:r w:rsidR="00DB716C" w:rsidRPr="007E44CE">
        <w:rPr>
          <w:rFonts w:eastAsia="楷体_GB2312" w:hint="eastAsia"/>
          <w:color w:val="000000"/>
          <w:szCs w:val="21"/>
        </w:rPr>
        <w:t>波动</w:t>
      </w:r>
      <w:r w:rsidR="00F67291" w:rsidRPr="007E44CE">
        <w:rPr>
          <w:rFonts w:eastAsia="楷体_GB2312" w:hint="eastAsia"/>
          <w:color w:val="000000"/>
          <w:szCs w:val="21"/>
        </w:rPr>
        <w:t>。</w:t>
      </w:r>
      <w:r w:rsidR="00DE3FEA" w:rsidRPr="007E44CE">
        <w:rPr>
          <w:rFonts w:eastAsia="楷体_GB2312" w:hint="eastAsia"/>
          <w:color w:val="000000"/>
          <w:szCs w:val="21"/>
        </w:rPr>
        <w:t>截止上周五</w:t>
      </w:r>
      <w:r w:rsidR="00BC0B0A" w:rsidRPr="007E44CE">
        <w:rPr>
          <w:rFonts w:eastAsia="楷体_GB2312" w:hint="eastAsia"/>
          <w:color w:val="000000"/>
          <w:szCs w:val="21"/>
        </w:rPr>
        <w:t>美元兑人民币中间价为</w:t>
      </w:r>
      <w:r w:rsidR="00BC0B0A" w:rsidRPr="007E44CE">
        <w:rPr>
          <w:rFonts w:eastAsia="楷体_GB2312" w:hint="eastAsia"/>
          <w:color w:val="000000"/>
          <w:szCs w:val="21"/>
        </w:rPr>
        <w:t>6.</w:t>
      </w:r>
      <w:r w:rsidR="00274D28" w:rsidRPr="007E44CE">
        <w:rPr>
          <w:rFonts w:eastAsia="楷体_GB2312"/>
          <w:color w:val="000000"/>
          <w:szCs w:val="21"/>
        </w:rPr>
        <w:t>52</w:t>
      </w:r>
      <w:r w:rsidR="00BC0B0A" w:rsidRPr="007E44CE">
        <w:rPr>
          <w:rFonts w:eastAsia="楷体_GB2312" w:hint="eastAsia"/>
          <w:color w:val="000000"/>
          <w:szCs w:val="21"/>
        </w:rPr>
        <w:t>元。</w:t>
      </w:r>
    </w:p>
    <w:tbl>
      <w:tblPr>
        <w:tblW w:w="10666" w:type="dxa"/>
        <w:tblInd w:w="-4003" w:type="dxa"/>
        <w:tblLayout w:type="fixed"/>
        <w:tblLook w:val="04A0"/>
      </w:tblPr>
      <w:tblGrid>
        <w:gridCol w:w="5245"/>
        <w:gridCol w:w="5421"/>
      </w:tblGrid>
      <w:tr w:rsidR="00355BA6" w:rsidRPr="00A56132" w:rsidTr="003A31FD">
        <w:tc>
          <w:tcPr>
            <w:tcW w:w="5245" w:type="dxa"/>
            <w:tcBorders>
              <w:bottom w:val="single" w:sz="4" w:space="0" w:color="FF0000"/>
            </w:tcBorders>
          </w:tcPr>
          <w:bookmarkEnd w:id="16"/>
          <w:bookmarkEnd w:id="17"/>
          <w:bookmarkEnd w:id="18"/>
          <w:bookmarkEnd w:id="19"/>
          <w:bookmarkEnd w:id="20"/>
          <w:p w:rsidR="00355BA6" w:rsidRPr="007E44CE" w:rsidRDefault="00355BA6" w:rsidP="003A31FD">
            <w:pPr>
              <w:spacing w:line="360" w:lineRule="auto"/>
              <w:jc w:val="left"/>
              <w:rPr>
                <w:rFonts w:eastAsia="楷体_GB2312"/>
                <w:color w:val="000000"/>
                <w:szCs w:val="21"/>
              </w:rPr>
            </w:pPr>
            <w:r w:rsidRPr="007E44CE">
              <w:rPr>
                <w:rFonts w:eastAsia="楷体_GB2312"/>
                <w:color w:val="000000"/>
                <w:szCs w:val="21"/>
              </w:rPr>
              <w:t>图</w:t>
            </w:r>
            <w:r w:rsidRPr="007E44CE">
              <w:rPr>
                <w:rFonts w:eastAsia="楷体_GB2312"/>
                <w:color w:val="000000"/>
                <w:szCs w:val="21"/>
              </w:rPr>
              <w:t>1</w:t>
            </w:r>
            <w:r w:rsidRPr="007E44CE">
              <w:rPr>
                <w:rFonts w:eastAsia="楷体_GB2312"/>
                <w:color w:val="000000"/>
                <w:szCs w:val="21"/>
              </w:rPr>
              <w:t>、</w:t>
            </w:r>
            <w:r w:rsidRPr="007E44CE">
              <w:rPr>
                <w:rFonts w:eastAsia="楷体_GB2312" w:hint="eastAsia"/>
                <w:color w:val="000000"/>
                <w:szCs w:val="21"/>
              </w:rPr>
              <w:t>基金指数近一年收益率走势</w:t>
            </w:r>
          </w:p>
        </w:tc>
        <w:tc>
          <w:tcPr>
            <w:tcW w:w="5421" w:type="dxa"/>
            <w:tcBorders>
              <w:bottom w:val="single" w:sz="4" w:space="0" w:color="FF0000"/>
            </w:tcBorders>
          </w:tcPr>
          <w:p w:rsidR="00355BA6" w:rsidRPr="007E44CE" w:rsidRDefault="00355BA6" w:rsidP="003A31FD">
            <w:pPr>
              <w:spacing w:line="360" w:lineRule="auto"/>
              <w:jc w:val="left"/>
              <w:rPr>
                <w:rFonts w:eastAsia="楷体_GB2312"/>
                <w:color w:val="000000"/>
                <w:szCs w:val="21"/>
              </w:rPr>
            </w:pPr>
            <w:r w:rsidRPr="007E44CE">
              <w:rPr>
                <w:rFonts w:eastAsia="楷体_GB2312"/>
                <w:color w:val="000000"/>
                <w:szCs w:val="21"/>
              </w:rPr>
              <w:t>图</w:t>
            </w:r>
            <w:r w:rsidRPr="007E44CE">
              <w:rPr>
                <w:rFonts w:eastAsia="楷体_GB2312"/>
                <w:color w:val="000000"/>
                <w:szCs w:val="21"/>
              </w:rPr>
              <w:t>2</w:t>
            </w:r>
            <w:r w:rsidRPr="007E44CE">
              <w:rPr>
                <w:rFonts w:eastAsia="楷体_GB2312"/>
                <w:color w:val="000000"/>
                <w:szCs w:val="21"/>
              </w:rPr>
              <w:t>、</w:t>
            </w:r>
            <w:r w:rsidRPr="007E44CE">
              <w:rPr>
                <w:rFonts w:eastAsia="楷体_GB2312" w:hint="eastAsia"/>
                <w:color w:val="000000"/>
                <w:szCs w:val="21"/>
              </w:rPr>
              <w:t>各类基金收益率</w:t>
            </w:r>
          </w:p>
        </w:tc>
      </w:tr>
      <w:tr w:rsidR="00355BA6" w:rsidRPr="00A56132" w:rsidTr="008F7AD4">
        <w:trPr>
          <w:trHeight w:val="3333"/>
        </w:trPr>
        <w:tc>
          <w:tcPr>
            <w:tcW w:w="5245" w:type="dxa"/>
            <w:tcBorders>
              <w:top w:val="single" w:sz="4" w:space="0" w:color="FF0000"/>
              <w:bottom w:val="single" w:sz="4" w:space="0" w:color="FF0000"/>
            </w:tcBorders>
          </w:tcPr>
          <w:p w:rsidR="00355BA6" w:rsidRPr="00A56132" w:rsidRDefault="00933F92" w:rsidP="00283716">
            <w:pPr>
              <w:spacing w:line="360" w:lineRule="auto"/>
              <w:ind w:leftChars="-120" w:left="-252" w:firstLineChars="140" w:firstLine="252"/>
              <w:jc w:val="center"/>
              <w:rPr>
                <w:rFonts w:eastAsia="KaiTi_GB2312"/>
                <w:color w:val="000000"/>
                <w:sz w:val="18"/>
                <w:szCs w:val="18"/>
              </w:rPr>
            </w:pPr>
            <w:r>
              <w:rPr>
                <w:rFonts w:eastAsia="KaiTi_GB2312"/>
                <w:noProof/>
                <w:color w:val="000000"/>
                <w:sz w:val="18"/>
                <w:szCs w:val="18"/>
              </w:rPr>
              <w:drawing>
                <wp:inline distT="0" distB="0" distL="0" distR="0">
                  <wp:extent cx="3238500" cy="21031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38500" cy="2103120"/>
                          </a:xfrm>
                          <a:prstGeom prst="rect">
                            <a:avLst/>
                          </a:prstGeom>
                        </pic:spPr>
                      </pic:pic>
                    </a:graphicData>
                  </a:graphic>
                </wp:inline>
              </w:drawing>
            </w:r>
          </w:p>
        </w:tc>
        <w:tc>
          <w:tcPr>
            <w:tcW w:w="5421" w:type="dxa"/>
            <w:tcBorders>
              <w:top w:val="single" w:sz="4" w:space="0" w:color="FF0000"/>
              <w:bottom w:val="single" w:sz="4" w:space="0" w:color="FF0000"/>
            </w:tcBorders>
          </w:tcPr>
          <w:p w:rsidR="00355BA6" w:rsidRPr="00A56132" w:rsidRDefault="00F71BDB" w:rsidP="00283716">
            <w:pPr>
              <w:spacing w:line="360" w:lineRule="auto"/>
              <w:ind w:leftChars="-10" w:left="-21" w:firstLineChars="10" w:firstLine="18"/>
              <w:jc w:val="center"/>
              <w:rPr>
                <w:rFonts w:eastAsia="KaiTi_GB2312"/>
                <w:color w:val="000000"/>
                <w:sz w:val="18"/>
                <w:szCs w:val="18"/>
              </w:rPr>
            </w:pPr>
            <w:r>
              <w:rPr>
                <w:rFonts w:eastAsia="KaiTi_GB2312"/>
                <w:noProof/>
                <w:color w:val="000000"/>
                <w:sz w:val="18"/>
                <w:szCs w:val="18"/>
              </w:rPr>
              <w:drawing>
                <wp:inline distT="0" distB="0" distL="0" distR="0">
                  <wp:extent cx="3305175" cy="21367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05175" cy="2136775"/>
                          </a:xfrm>
                          <a:prstGeom prst="rect">
                            <a:avLst/>
                          </a:prstGeom>
                        </pic:spPr>
                      </pic:pic>
                    </a:graphicData>
                  </a:graphic>
                </wp:inline>
              </w:drawing>
            </w:r>
          </w:p>
        </w:tc>
      </w:tr>
      <w:tr w:rsidR="00355BA6" w:rsidRPr="00A56132" w:rsidTr="003A31FD">
        <w:trPr>
          <w:trHeight w:val="60"/>
        </w:trPr>
        <w:tc>
          <w:tcPr>
            <w:tcW w:w="10666" w:type="dxa"/>
            <w:gridSpan w:val="2"/>
            <w:tcBorders>
              <w:top w:val="single" w:sz="4" w:space="0" w:color="FF0000"/>
            </w:tcBorders>
          </w:tcPr>
          <w:p w:rsidR="00355BA6" w:rsidRPr="00A56132" w:rsidRDefault="00355BA6" w:rsidP="00933F92">
            <w:pPr>
              <w:spacing w:line="360" w:lineRule="auto"/>
              <w:jc w:val="left"/>
              <w:rPr>
                <w:rFonts w:eastAsia="KaiTi_GB2312"/>
                <w:i/>
                <w:color w:val="000000"/>
                <w:sz w:val="18"/>
                <w:szCs w:val="18"/>
              </w:rPr>
            </w:pPr>
            <w:r w:rsidRPr="007E44CE">
              <w:rPr>
                <w:rFonts w:eastAsia="楷体_GB2312"/>
                <w:color w:val="000000"/>
                <w:szCs w:val="21"/>
              </w:rPr>
              <w:t>数据来源：</w:t>
            </w:r>
            <w:r w:rsidRPr="007E44CE">
              <w:rPr>
                <w:rFonts w:eastAsia="楷体_GB2312"/>
                <w:color w:val="000000"/>
                <w:szCs w:val="21"/>
              </w:rPr>
              <w:t>wind</w:t>
            </w:r>
            <w:r w:rsidRPr="007E44CE">
              <w:rPr>
                <w:rFonts w:eastAsia="楷体_GB2312"/>
                <w:color w:val="000000"/>
                <w:szCs w:val="21"/>
              </w:rPr>
              <w:t>，上海证券基金评价研究中心（</w:t>
            </w:r>
            <w:r w:rsidRPr="007E44CE">
              <w:rPr>
                <w:rFonts w:eastAsia="楷体_GB2312" w:hint="eastAsia"/>
                <w:color w:val="000000"/>
                <w:szCs w:val="21"/>
              </w:rPr>
              <w:t>起</w:t>
            </w:r>
            <w:r w:rsidRPr="007E44CE">
              <w:rPr>
                <w:rFonts w:eastAsia="楷体_GB2312"/>
                <w:color w:val="000000"/>
                <w:szCs w:val="21"/>
              </w:rPr>
              <w:t>止时间：</w:t>
            </w:r>
            <w:r w:rsidRPr="007E44CE">
              <w:rPr>
                <w:rFonts w:eastAsia="楷体_GB2312"/>
                <w:color w:val="000000"/>
                <w:szCs w:val="21"/>
              </w:rPr>
              <w:t>201</w:t>
            </w:r>
            <w:r w:rsidR="006E753F" w:rsidRPr="007E44CE">
              <w:rPr>
                <w:rFonts w:eastAsia="楷体_GB2312" w:hint="eastAsia"/>
                <w:color w:val="000000"/>
                <w:szCs w:val="21"/>
              </w:rPr>
              <w:t>6</w:t>
            </w:r>
            <w:r w:rsidRPr="007E44CE">
              <w:rPr>
                <w:rFonts w:eastAsia="楷体_GB2312"/>
                <w:color w:val="000000"/>
                <w:szCs w:val="21"/>
              </w:rPr>
              <w:t>年</w:t>
            </w:r>
            <w:r w:rsidR="00BB36E0" w:rsidRPr="007E44CE">
              <w:rPr>
                <w:rFonts w:eastAsia="楷体_GB2312"/>
                <w:color w:val="000000"/>
                <w:szCs w:val="21"/>
              </w:rPr>
              <w:t>5</w:t>
            </w:r>
            <w:r w:rsidRPr="007E44CE">
              <w:rPr>
                <w:rFonts w:eastAsia="楷体_GB2312"/>
                <w:color w:val="000000"/>
                <w:szCs w:val="21"/>
              </w:rPr>
              <w:t>月</w:t>
            </w:r>
            <w:r w:rsidR="00933F92" w:rsidRPr="007E44CE">
              <w:rPr>
                <w:rFonts w:eastAsia="楷体_GB2312"/>
                <w:color w:val="000000"/>
                <w:szCs w:val="21"/>
              </w:rPr>
              <w:t>9</w:t>
            </w:r>
            <w:r w:rsidRPr="007E44CE">
              <w:rPr>
                <w:rFonts w:eastAsia="楷体_GB2312"/>
                <w:color w:val="000000"/>
                <w:szCs w:val="21"/>
              </w:rPr>
              <w:t>日</w:t>
            </w:r>
            <w:r w:rsidRPr="007E44CE">
              <w:rPr>
                <w:rFonts w:eastAsia="楷体_GB2312" w:hint="eastAsia"/>
                <w:color w:val="000000"/>
                <w:szCs w:val="21"/>
              </w:rPr>
              <w:t>——</w:t>
            </w:r>
            <w:r w:rsidR="00BB36E0" w:rsidRPr="007E44CE">
              <w:rPr>
                <w:rFonts w:eastAsia="楷体_GB2312" w:hint="eastAsia"/>
                <w:color w:val="000000"/>
                <w:szCs w:val="21"/>
              </w:rPr>
              <w:t>5</w:t>
            </w:r>
            <w:r w:rsidRPr="007E44CE">
              <w:rPr>
                <w:rFonts w:eastAsia="楷体_GB2312" w:hint="eastAsia"/>
                <w:color w:val="000000"/>
                <w:szCs w:val="21"/>
              </w:rPr>
              <w:t>月</w:t>
            </w:r>
            <w:r w:rsidR="00933F92" w:rsidRPr="007E44CE">
              <w:rPr>
                <w:rFonts w:eastAsia="楷体_GB2312"/>
                <w:color w:val="000000"/>
                <w:szCs w:val="21"/>
              </w:rPr>
              <w:t>13</w:t>
            </w:r>
            <w:r w:rsidRPr="007E44CE">
              <w:rPr>
                <w:rFonts w:eastAsia="楷体_GB2312" w:hint="eastAsia"/>
                <w:color w:val="000000"/>
                <w:szCs w:val="21"/>
              </w:rPr>
              <w:t>日</w:t>
            </w:r>
            <w:r w:rsidRPr="007E44CE">
              <w:rPr>
                <w:rFonts w:eastAsia="楷体_GB2312"/>
                <w:color w:val="000000"/>
                <w:szCs w:val="21"/>
              </w:rPr>
              <w:t>）</w:t>
            </w:r>
          </w:p>
        </w:tc>
      </w:tr>
    </w:tbl>
    <w:p w:rsidR="007C43F9" w:rsidRPr="00DA1341" w:rsidRDefault="001F6686" w:rsidP="00DA1341">
      <w:pPr>
        <w:spacing w:line="360" w:lineRule="auto"/>
        <w:jc w:val="left"/>
        <w:rPr>
          <w:rFonts w:ascii="楷体" w:eastAsia="楷体" w:hAnsi="楷体"/>
          <w:b/>
          <w:color w:val="000000"/>
          <w:sz w:val="28"/>
          <w:szCs w:val="28"/>
        </w:rPr>
      </w:pPr>
      <w:r w:rsidRPr="00DA1341">
        <w:rPr>
          <w:rFonts w:ascii="楷体" w:eastAsia="楷体" w:hAnsi="楷体" w:hint="eastAsia"/>
          <w:b/>
          <w:color w:val="000000"/>
          <w:sz w:val="28"/>
          <w:szCs w:val="28"/>
        </w:rPr>
        <w:t>权益类基金</w:t>
      </w:r>
      <w:r w:rsidR="007C43F9" w:rsidRPr="00DA1341">
        <w:rPr>
          <w:rFonts w:ascii="楷体" w:eastAsia="楷体" w:hAnsi="楷体" w:hint="eastAsia"/>
          <w:b/>
          <w:color w:val="000000"/>
          <w:sz w:val="28"/>
          <w:szCs w:val="28"/>
        </w:rPr>
        <w:t>：</w:t>
      </w:r>
    </w:p>
    <w:p w:rsidR="00CF01D0" w:rsidRPr="004A1FFA" w:rsidRDefault="002817B4" w:rsidP="00CF01D0">
      <w:pPr>
        <w:spacing w:line="360" w:lineRule="auto"/>
        <w:ind w:firstLineChars="150" w:firstLine="315"/>
        <w:jc w:val="left"/>
        <w:rPr>
          <w:rFonts w:eastAsia="楷体_GB2312"/>
          <w:color w:val="000000"/>
          <w:szCs w:val="21"/>
        </w:rPr>
      </w:pPr>
      <w:r w:rsidRPr="004A1FFA">
        <w:rPr>
          <w:rFonts w:eastAsia="楷体_GB2312" w:hint="eastAsia"/>
          <w:color w:val="000000"/>
          <w:szCs w:val="21"/>
        </w:rPr>
        <w:t>本期采取主动操作策略的股票基金和混合基金，平均收益率分别为</w:t>
      </w:r>
      <w:r w:rsidRPr="004A1FFA">
        <w:rPr>
          <w:rFonts w:eastAsia="楷体_GB2312" w:hint="eastAsia"/>
          <w:color w:val="000000"/>
          <w:szCs w:val="21"/>
        </w:rPr>
        <w:t>-</w:t>
      </w:r>
      <w:r w:rsidR="00855DCB" w:rsidRPr="004A1FFA">
        <w:rPr>
          <w:rFonts w:eastAsia="楷体_GB2312"/>
          <w:color w:val="000000"/>
          <w:szCs w:val="21"/>
        </w:rPr>
        <w:t>3.</w:t>
      </w:r>
      <w:r w:rsidR="002E31FA" w:rsidRPr="004A1FFA">
        <w:rPr>
          <w:rFonts w:eastAsia="楷体_GB2312"/>
          <w:color w:val="000000"/>
          <w:szCs w:val="21"/>
        </w:rPr>
        <w:t>75</w:t>
      </w:r>
      <w:r w:rsidRPr="004A1FFA">
        <w:rPr>
          <w:rFonts w:eastAsia="楷体_GB2312" w:hint="eastAsia"/>
          <w:color w:val="000000"/>
          <w:szCs w:val="21"/>
        </w:rPr>
        <w:t>%</w:t>
      </w:r>
      <w:r w:rsidRPr="004A1FFA">
        <w:rPr>
          <w:rFonts w:eastAsia="楷体_GB2312" w:hint="eastAsia"/>
          <w:color w:val="000000"/>
          <w:szCs w:val="21"/>
        </w:rPr>
        <w:t>和</w:t>
      </w:r>
      <w:r w:rsidRPr="004A1FFA">
        <w:rPr>
          <w:rFonts w:eastAsia="楷体_GB2312" w:hint="eastAsia"/>
          <w:color w:val="000000"/>
          <w:szCs w:val="21"/>
        </w:rPr>
        <w:t>-</w:t>
      </w:r>
      <w:r w:rsidR="00855DCB" w:rsidRPr="004A1FFA">
        <w:rPr>
          <w:rFonts w:eastAsia="楷体_GB2312"/>
          <w:color w:val="000000"/>
          <w:szCs w:val="21"/>
        </w:rPr>
        <w:t>2.</w:t>
      </w:r>
      <w:r w:rsidR="00D02976" w:rsidRPr="004A1FFA">
        <w:rPr>
          <w:rFonts w:eastAsia="楷体_GB2312"/>
          <w:color w:val="000000"/>
          <w:szCs w:val="21"/>
        </w:rPr>
        <w:t>31</w:t>
      </w:r>
      <w:r w:rsidRPr="004A1FFA">
        <w:rPr>
          <w:rFonts w:eastAsia="楷体_GB2312" w:hint="eastAsia"/>
          <w:color w:val="000000"/>
          <w:szCs w:val="21"/>
        </w:rPr>
        <w:t>%</w:t>
      </w:r>
      <w:r w:rsidRPr="004A1FFA">
        <w:rPr>
          <w:rFonts w:eastAsia="楷体_GB2312" w:hint="eastAsia"/>
          <w:color w:val="000000"/>
          <w:szCs w:val="21"/>
        </w:rPr>
        <w:t>，同期沪深</w:t>
      </w:r>
      <w:r w:rsidRPr="004A1FFA">
        <w:rPr>
          <w:rFonts w:eastAsia="楷体_GB2312" w:hint="eastAsia"/>
          <w:color w:val="000000"/>
          <w:szCs w:val="21"/>
        </w:rPr>
        <w:t>300</w:t>
      </w:r>
      <w:r w:rsidRPr="004A1FFA">
        <w:rPr>
          <w:rFonts w:eastAsia="楷体_GB2312" w:hint="eastAsia"/>
          <w:color w:val="000000"/>
          <w:szCs w:val="21"/>
        </w:rPr>
        <w:t>指数收益率为</w:t>
      </w:r>
      <w:r w:rsidRPr="004A1FFA">
        <w:rPr>
          <w:rFonts w:eastAsia="楷体_GB2312" w:hint="eastAsia"/>
          <w:color w:val="000000"/>
          <w:szCs w:val="21"/>
        </w:rPr>
        <w:t>-</w:t>
      </w:r>
      <w:r w:rsidR="00EA1254" w:rsidRPr="004A1FFA">
        <w:rPr>
          <w:rFonts w:eastAsia="楷体_GB2312"/>
          <w:color w:val="000000"/>
          <w:szCs w:val="21"/>
        </w:rPr>
        <w:t>1.77</w:t>
      </w:r>
      <w:r w:rsidRPr="004A1FFA">
        <w:rPr>
          <w:rFonts w:eastAsia="楷体_GB2312" w:hint="eastAsia"/>
          <w:color w:val="000000"/>
          <w:szCs w:val="21"/>
        </w:rPr>
        <w:t>%</w:t>
      </w:r>
      <w:r w:rsidRPr="004A1FFA">
        <w:rPr>
          <w:rFonts w:eastAsia="楷体_GB2312" w:hint="eastAsia"/>
          <w:color w:val="000000"/>
          <w:szCs w:val="21"/>
        </w:rPr>
        <w:t>。</w:t>
      </w:r>
      <w:r w:rsidRPr="004A1FFA">
        <w:rPr>
          <w:rFonts w:eastAsia="楷体_GB2312" w:hint="eastAsia"/>
          <w:color w:val="000000"/>
          <w:szCs w:val="21"/>
        </w:rPr>
        <w:t>2016</w:t>
      </w:r>
      <w:r w:rsidRPr="004A1FFA">
        <w:rPr>
          <w:rFonts w:eastAsia="楷体_GB2312" w:hint="eastAsia"/>
          <w:color w:val="000000"/>
          <w:szCs w:val="21"/>
        </w:rPr>
        <w:t>年以来，股票基金和混合基金损失较为惨重，累计收益率分别为</w:t>
      </w:r>
      <w:r w:rsidRPr="004A1FFA">
        <w:rPr>
          <w:rFonts w:eastAsia="楷体_GB2312" w:hint="eastAsia"/>
          <w:color w:val="000000"/>
          <w:szCs w:val="21"/>
        </w:rPr>
        <w:t>-</w:t>
      </w:r>
      <w:r w:rsidR="00EA1254" w:rsidRPr="004A1FFA">
        <w:rPr>
          <w:rFonts w:eastAsia="楷体_GB2312"/>
          <w:color w:val="000000"/>
          <w:szCs w:val="21"/>
        </w:rPr>
        <w:t>22.</w:t>
      </w:r>
      <w:r w:rsidR="00F1122D" w:rsidRPr="004A1FFA">
        <w:rPr>
          <w:rFonts w:eastAsia="楷体_GB2312"/>
          <w:color w:val="000000"/>
          <w:szCs w:val="21"/>
        </w:rPr>
        <w:t>78</w:t>
      </w:r>
      <w:r w:rsidRPr="004A1FFA">
        <w:rPr>
          <w:rFonts w:eastAsia="楷体_GB2312" w:hint="eastAsia"/>
          <w:color w:val="000000"/>
          <w:szCs w:val="21"/>
        </w:rPr>
        <w:t>%</w:t>
      </w:r>
      <w:r w:rsidRPr="004A1FFA">
        <w:rPr>
          <w:rFonts w:eastAsia="楷体_GB2312" w:hint="eastAsia"/>
          <w:color w:val="000000"/>
          <w:szCs w:val="21"/>
        </w:rPr>
        <w:t>和</w:t>
      </w:r>
      <w:r w:rsidRPr="004A1FFA">
        <w:rPr>
          <w:rFonts w:eastAsia="楷体_GB2312" w:hint="eastAsia"/>
          <w:color w:val="000000"/>
          <w:szCs w:val="21"/>
        </w:rPr>
        <w:t>-</w:t>
      </w:r>
      <w:r w:rsidRPr="004A1FFA">
        <w:rPr>
          <w:rFonts w:eastAsia="楷体_GB2312"/>
          <w:color w:val="000000"/>
          <w:szCs w:val="21"/>
        </w:rPr>
        <w:t>1</w:t>
      </w:r>
      <w:r w:rsidR="00EA1254" w:rsidRPr="004A1FFA">
        <w:rPr>
          <w:rFonts w:eastAsia="楷体_GB2312"/>
          <w:color w:val="000000"/>
          <w:szCs w:val="21"/>
        </w:rPr>
        <w:t>3.</w:t>
      </w:r>
      <w:r w:rsidR="00F65806" w:rsidRPr="004A1FFA">
        <w:rPr>
          <w:rFonts w:eastAsia="楷体_GB2312"/>
          <w:color w:val="000000"/>
          <w:szCs w:val="21"/>
        </w:rPr>
        <w:t>84</w:t>
      </w:r>
      <w:r w:rsidRPr="004A1FFA">
        <w:rPr>
          <w:rFonts w:eastAsia="楷体_GB2312" w:hint="eastAsia"/>
          <w:color w:val="000000"/>
          <w:szCs w:val="21"/>
        </w:rPr>
        <w:t>%</w:t>
      </w:r>
      <w:r w:rsidRPr="004A1FFA">
        <w:rPr>
          <w:rFonts w:eastAsia="楷体_GB2312" w:hint="eastAsia"/>
          <w:color w:val="000000"/>
          <w:szCs w:val="21"/>
        </w:rPr>
        <w:t>。指数基金本期平均收益率为</w:t>
      </w:r>
      <w:r w:rsidRPr="004A1FFA">
        <w:rPr>
          <w:rFonts w:eastAsia="楷体_GB2312" w:hint="eastAsia"/>
          <w:color w:val="000000"/>
          <w:szCs w:val="21"/>
        </w:rPr>
        <w:t>-</w:t>
      </w:r>
      <w:r w:rsidR="005C2B60" w:rsidRPr="004A1FFA">
        <w:rPr>
          <w:rFonts w:eastAsia="楷体_GB2312"/>
          <w:color w:val="000000"/>
          <w:szCs w:val="21"/>
        </w:rPr>
        <w:t>2.75</w:t>
      </w:r>
      <w:r w:rsidRPr="004A1FFA">
        <w:rPr>
          <w:rFonts w:eastAsia="楷体_GB2312" w:hint="eastAsia"/>
          <w:color w:val="000000"/>
          <w:szCs w:val="21"/>
        </w:rPr>
        <w:t>%</w:t>
      </w:r>
      <w:r w:rsidRPr="004A1FFA">
        <w:rPr>
          <w:rFonts w:eastAsia="楷体_GB2312" w:hint="eastAsia"/>
          <w:color w:val="000000"/>
          <w:szCs w:val="21"/>
        </w:rPr>
        <w:t>，</w:t>
      </w:r>
      <w:r w:rsidRPr="004A1FFA">
        <w:rPr>
          <w:rFonts w:eastAsia="楷体_GB2312" w:hint="eastAsia"/>
          <w:color w:val="000000"/>
          <w:szCs w:val="21"/>
        </w:rPr>
        <w:t>2016</w:t>
      </w:r>
      <w:r w:rsidRPr="004A1FFA">
        <w:rPr>
          <w:rFonts w:eastAsia="楷体_GB2312" w:hint="eastAsia"/>
          <w:color w:val="000000"/>
          <w:szCs w:val="21"/>
        </w:rPr>
        <w:t>年以来累计收益率为</w:t>
      </w:r>
      <w:r w:rsidRPr="004A1FFA">
        <w:rPr>
          <w:rFonts w:eastAsia="楷体_GB2312" w:hint="eastAsia"/>
          <w:color w:val="000000"/>
          <w:szCs w:val="21"/>
        </w:rPr>
        <w:t>-1</w:t>
      </w:r>
      <w:r w:rsidR="005C2B60" w:rsidRPr="004A1FFA">
        <w:rPr>
          <w:rFonts w:eastAsia="楷体_GB2312"/>
          <w:color w:val="000000"/>
          <w:szCs w:val="21"/>
        </w:rPr>
        <w:t>9.05</w:t>
      </w:r>
      <w:r w:rsidRPr="004A1FFA">
        <w:rPr>
          <w:rFonts w:eastAsia="楷体_GB2312" w:hint="eastAsia"/>
          <w:color w:val="000000"/>
          <w:szCs w:val="21"/>
        </w:rPr>
        <w:t>%</w:t>
      </w:r>
      <w:r w:rsidR="001F6686" w:rsidRPr="004A1FFA">
        <w:rPr>
          <w:rFonts w:eastAsia="楷体_GB2312" w:hint="eastAsia"/>
          <w:color w:val="000000"/>
          <w:szCs w:val="21"/>
        </w:rPr>
        <w:t>。</w:t>
      </w:r>
    </w:p>
    <w:p w:rsidR="00F44DDB" w:rsidRPr="00DA1341" w:rsidRDefault="00B914B7" w:rsidP="00DA1341">
      <w:pPr>
        <w:spacing w:line="360" w:lineRule="auto"/>
        <w:ind w:firstLineChars="150" w:firstLine="315"/>
        <w:jc w:val="left"/>
        <w:rPr>
          <w:rFonts w:eastAsia="楷体_GB2312"/>
          <w:color w:val="000000"/>
          <w:szCs w:val="21"/>
        </w:rPr>
      </w:pPr>
      <w:r w:rsidRPr="00DA1341">
        <w:rPr>
          <w:rFonts w:eastAsia="楷体_GB2312" w:hint="eastAsia"/>
          <w:color w:val="000000"/>
          <w:szCs w:val="21"/>
        </w:rPr>
        <w:t>股票</w:t>
      </w:r>
      <w:r w:rsidR="00CD73BC" w:rsidRPr="00DA1341">
        <w:rPr>
          <w:rFonts w:eastAsia="楷体_GB2312" w:hint="eastAsia"/>
          <w:color w:val="000000"/>
          <w:szCs w:val="21"/>
        </w:rPr>
        <w:t>基金</w:t>
      </w:r>
      <w:r w:rsidR="003F38B1" w:rsidRPr="00DA1341">
        <w:rPr>
          <w:rFonts w:eastAsia="楷体_GB2312" w:hint="eastAsia"/>
          <w:color w:val="000000"/>
          <w:szCs w:val="21"/>
        </w:rPr>
        <w:t>，</w:t>
      </w:r>
      <w:r w:rsidR="001F654E" w:rsidRPr="00DA1341">
        <w:rPr>
          <w:rFonts w:eastAsia="楷体_GB2312" w:hint="eastAsia"/>
          <w:color w:val="000000"/>
          <w:szCs w:val="21"/>
        </w:rPr>
        <w:t>平均收益率为</w:t>
      </w:r>
      <w:r w:rsidR="00627EAB" w:rsidRPr="00DA1341">
        <w:rPr>
          <w:rFonts w:eastAsia="楷体_GB2312" w:hint="eastAsia"/>
          <w:color w:val="000000"/>
          <w:szCs w:val="21"/>
        </w:rPr>
        <w:t>-</w:t>
      </w:r>
      <w:r w:rsidR="00B05E80" w:rsidRPr="00DA1341">
        <w:rPr>
          <w:rFonts w:eastAsia="楷体_GB2312"/>
          <w:color w:val="000000"/>
          <w:szCs w:val="21"/>
        </w:rPr>
        <w:t>3.75</w:t>
      </w:r>
      <w:r w:rsidR="00D60EE0" w:rsidRPr="00DA1341">
        <w:rPr>
          <w:rFonts w:eastAsia="楷体_GB2312" w:hint="eastAsia"/>
          <w:color w:val="000000"/>
          <w:szCs w:val="21"/>
        </w:rPr>
        <w:t>%</w:t>
      </w:r>
      <w:r w:rsidR="001F654E" w:rsidRPr="00DA1341">
        <w:rPr>
          <w:rFonts w:eastAsia="楷体_GB2312" w:hint="eastAsia"/>
          <w:color w:val="000000"/>
          <w:szCs w:val="21"/>
        </w:rPr>
        <w:t>，</w:t>
      </w:r>
      <w:r w:rsidR="00BC6231" w:rsidRPr="00DA1341">
        <w:rPr>
          <w:rFonts w:eastAsia="楷体_GB2312" w:hint="eastAsia"/>
          <w:color w:val="000000"/>
          <w:szCs w:val="21"/>
        </w:rPr>
        <w:t>九成以上</w:t>
      </w:r>
      <w:r w:rsidR="00D60EE0" w:rsidRPr="00DA1341">
        <w:rPr>
          <w:rFonts w:eastAsia="楷体_GB2312" w:hint="eastAsia"/>
          <w:color w:val="000000"/>
          <w:szCs w:val="21"/>
        </w:rPr>
        <w:t>基金</w:t>
      </w:r>
      <w:r w:rsidR="00D14DAA" w:rsidRPr="00DA1341">
        <w:rPr>
          <w:rFonts w:eastAsia="楷体_GB2312" w:hint="eastAsia"/>
          <w:color w:val="000000"/>
          <w:szCs w:val="21"/>
        </w:rPr>
        <w:t>本期</w:t>
      </w:r>
      <w:r w:rsidR="00476890" w:rsidRPr="00DA1341">
        <w:rPr>
          <w:rFonts w:eastAsia="楷体_GB2312" w:hint="eastAsia"/>
          <w:color w:val="000000"/>
          <w:szCs w:val="21"/>
        </w:rPr>
        <w:t>收益</w:t>
      </w:r>
      <w:r w:rsidR="002364BE" w:rsidRPr="00DA1341">
        <w:rPr>
          <w:rFonts w:eastAsia="楷体_GB2312" w:hint="eastAsia"/>
          <w:color w:val="000000"/>
          <w:szCs w:val="21"/>
        </w:rPr>
        <w:t>为</w:t>
      </w:r>
      <w:r w:rsidR="00BC6231" w:rsidRPr="00DA1341">
        <w:rPr>
          <w:rFonts w:eastAsia="楷体_GB2312" w:hint="eastAsia"/>
          <w:color w:val="000000"/>
          <w:szCs w:val="21"/>
        </w:rPr>
        <w:t>负</w:t>
      </w:r>
      <w:r w:rsidRPr="00DA1341">
        <w:rPr>
          <w:rFonts w:eastAsia="楷体_GB2312" w:hint="eastAsia"/>
          <w:color w:val="000000"/>
          <w:szCs w:val="21"/>
        </w:rPr>
        <w:t>。股票</w:t>
      </w:r>
      <w:r w:rsidR="00600809" w:rsidRPr="00DA1341">
        <w:rPr>
          <w:rFonts w:eastAsia="楷体_GB2312" w:hint="eastAsia"/>
          <w:color w:val="000000"/>
          <w:szCs w:val="21"/>
        </w:rPr>
        <w:t>基金</w:t>
      </w:r>
      <w:r w:rsidR="00CB0A45" w:rsidRPr="00DA1341">
        <w:rPr>
          <w:rFonts w:eastAsia="楷体_GB2312" w:hint="eastAsia"/>
          <w:color w:val="000000"/>
          <w:szCs w:val="21"/>
        </w:rPr>
        <w:t>本期</w:t>
      </w:r>
      <w:r w:rsidR="001F654E" w:rsidRPr="00DA1341">
        <w:rPr>
          <w:rFonts w:eastAsia="楷体_GB2312" w:hint="eastAsia"/>
          <w:color w:val="000000"/>
          <w:szCs w:val="21"/>
        </w:rPr>
        <w:t>收益率分布区间为</w:t>
      </w:r>
      <w:r w:rsidR="00D14DAA" w:rsidRPr="00DA1341">
        <w:rPr>
          <w:rFonts w:eastAsia="楷体_GB2312" w:hint="eastAsia"/>
          <w:color w:val="000000"/>
          <w:szCs w:val="21"/>
        </w:rPr>
        <w:t>-</w:t>
      </w:r>
      <w:r w:rsidR="00BC6231" w:rsidRPr="00DA1341">
        <w:rPr>
          <w:rFonts w:eastAsia="楷体_GB2312"/>
          <w:color w:val="000000"/>
          <w:szCs w:val="21"/>
        </w:rPr>
        <w:t>8.82</w:t>
      </w:r>
      <w:r w:rsidR="00A922B1" w:rsidRPr="00DA1341">
        <w:rPr>
          <w:rFonts w:eastAsia="楷体_GB2312" w:hint="eastAsia"/>
          <w:color w:val="000000"/>
          <w:szCs w:val="21"/>
        </w:rPr>
        <w:t>%</w:t>
      </w:r>
      <w:r w:rsidR="00D14DAA" w:rsidRPr="00DA1341">
        <w:rPr>
          <w:rFonts w:eastAsia="楷体_GB2312" w:hint="eastAsia"/>
          <w:color w:val="000000"/>
          <w:szCs w:val="21"/>
        </w:rPr>
        <w:t>—</w:t>
      </w:r>
      <w:r w:rsidR="00D14DAA" w:rsidRPr="00DA1341">
        <w:rPr>
          <w:rFonts w:eastAsia="楷体_GB2312" w:hint="eastAsia"/>
          <w:color w:val="000000"/>
          <w:szCs w:val="21"/>
        </w:rPr>
        <w:t xml:space="preserve"> </w:t>
      </w:r>
      <w:r w:rsidR="00C76BA6" w:rsidRPr="00DA1341">
        <w:rPr>
          <w:rFonts w:eastAsia="楷体_GB2312"/>
          <w:color w:val="000000"/>
          <w:szCs w:val="21"/>
        </w:rPr>
        <w:t>2.</w:t>
      </w:r>
      <w:r w:rsidR="00BC6231" w:rsidRPr="00DA1341">
        <w:rPr>
          <w:rFonts w:eastAsia="楷体_GB2312"/>
          <w:color w:val="000000"/>
          <w:szCs w:val="21"/>
        </w:rPr>
        <w:t>96</w:t>
      </w:r>
      <w:r w:rsidR="00600809" w:rsidRPr="00DA1341">
        <w:rPr>
          <w:rFonts w:eastAsia="楷体_GB2312" w:hint="eastAsia"/>
          <w:color w:val="000000"/>
          <w:szCs w:val="21"/>
        </w:rPr>
        <w:t>%</w:t>
      </w:r>
      <w:r w:rsidR="00653D19" w:rsidRPr="00DA1341">
        <w:rPr>
          <w:rFonts w:eastAsia="楷体_GB2312" w:hint="eastAsia"/>
          <w:color w:val="000000"/>
          <w:szCs w:val="21"/>
        </w:rPr>
        <w:t>，</w:t>
      </w:r>
      <w:r w:rsidR="002E2EFA" w:rsidRPr="00DA1341">
        <w:rPr>
          <w:rFonts w:eastAsia="楷体_GB2312" w:hint="eastAsia"/>
          <w:color w:val="000000"/>
          <w:szCs w:val="21"/>
        </w:rPr>
        <w:t>基金净值差异化</w:t>
      </w:r>
      <w:r w:rsidR="00691C18" w:rsidRPr="00DA1341">
        <w:rPr>
          <w:rFonts w:eastAsia="楷体_GB2312" w:hint="eastAsia"/>
          <w:color w:val="000000"/>
          <w:szCs w:val="21"/>
        </w:rPr>
        <w:t>较</w:t>
      </w:r>
      <w:r w:rsidR="00D14DAA" w:rsidRPr="00DA1341">
        <w:rPr>
          <w:rFonts w:eastAsia="楷体_GB2312" w:hint="eastAsia"/>
          <w:color w:val="000000"/>
          <w:szCs w:val="21"/>
        </w:rPr>
        <w:t>前期有所</w:t>
      </w:r>
      <w:r w:rsidR="00C76BA6" w:rsidRPr="00DA1341">
        <w:rPr>
          <w:rFonts w:eastAsia="楷体_GB2312" w:hint="eastAsia"/>
          <w:color w:val="000000"/>
          <w:szCs w:val="21"/>
        </w:rPr>
        <w:t>增大</w:t>
      </w:r>
      <w:r w:rsidRPr="00DA1341">
        <w:rPr>
          <w:rFonts w:eastAsia="楷体_GB2312" w:hint="eastAsia"/>
          <w:color w:val="000000"/>
          <w:szCs w:val="21"/>
        </w:rPr>
        <w:t>。</w:t>
      </w:r>
      <w:r w:rsidR="002E2EFA" w:rsidRPr="00DA1341">
        <w:rPr>
          <w:rFonts w:eastAsia="楷体_GB2312" w:hint="eastAsia"/>
          <w:color w:val="000000"/>
          <w:szCs w:val="21"/>
        </w:rPr>
        <w:t>其中，</w:t>
      </w:r>
      <w:r w:rsidR="00057B37" w:rsidRPr="00DA1341">
        <w:rPr>
          <w:rFonts w:eastAsia="楷体_GB2312" w:hint="eastAsia"/>
          <w:color w:val="000000"/>
          <w:szCs w:val="21"/>
        </w:rPr>
        <w:t>国泰互联网</w:t>
      </w:r>
      <w:r w:rsidR="00057B37" w:rsidRPr="00DA1341">
        <w:rPr>
          <w:rFonts w:eastAsia="楷体_GB2312" w:hint="eastAsia"/>
          <w:color w:val="000000"/>
          <w:szCs w:val="21"/>
        </w:rPr>
        <w:t>+</w:t>
      </w:r>
      <w:r w:rsidR="002E2EFA" w:rsidRPr="00DA1341">
        <w:rPr>
          <w:rFonts w:eastAsia="楷体_GB2312" w:hint="eastAsia"/>
          <w:color w:val="000000"/>
          <w:szCs w:val="21"/>
        </w:rPr>
        <w:t>、</w:t>
      </w:r>
      <w:r w:rsidR="00057B37" w:rsidRPr="00DA1341">
        <w:rPr>
          <w:rFonts w:eastAsia="楷体_GB2312" w:hint="eastAsia"/>
          <w:color w:val="000000"/>
          <w:szCs w:val="21"/>
        </w:rPr>
        <w:t>工银瑞信农业产业</w:t>
      </w:r>
      <w:r w:rsidR="002E2EFA" w:rsidRPr="00DA1341">
        <w:rPr>
          <w:rFonts w:eastAsia="楷体_GB2312" w:hint="eastAsia"/>
          <w:color w:val="000000"/>
          <w:szCs w:val="21"/>
        </w:rPr>
        <w:t>、</w:t>
      </w:r>
      <w:r w:rsidR="00057B37" w:rsidRPr="00DA1341">
        <w:rPr>
          <w:rFonts w:eastAsia="楷体_GB2312" w:hint="eastAsia"/>
          <w:color w:val="000000"/>
          <w:szCs w:val="21"/>
        </w:rPr>
        <w:t>富国新兴产业</w:t>
      </w:r>
      <w:r w:rsidR="003170A0" w:rsidRPr="00DA1341">
        <w:rPr>
          <w:rFonts w:eastAsia="楷体_GB2312" w:hint="eastAsia"/>
          <w:color w:val="000000"/>
          <w:szCs w:val="21"/>
        </w:rPr>
        <w:t>收益率居前</w:t>
      </w:r>
      <w:r w:rsidR="002E2EFA" w:rsidRPr="00DA1341">
        <w:rPr>
          <w:rFonts w:eastAsia="楷体_GB2312" w:hint="eastAsia"/>
          <w:color w:val="000000"/>
          <w:szCs w:val="21"/>
        </w:rPr>
        <w:t>，上周净值收益率分别为</w:t>
      </w:r>
      <w:r w:rsidR="00057B37" w:rsidRPr="00DA1341">
        <w:rPr>
          <w:rFonts w:eastAsia="楷体_GB2312"/>
          <w:color w:val="000000"/>
          <w:szCs w:val="21"/>
        </w:rPr>
        <w:t>2.96</w:t>
      </w:r>
      <w:r w:rsidR="00D14DAA" w:rsidRPr="00DA1341">
        <w:rPr>
          <w:rFonts w:eastAsia="楷体_GB2312"/>
          <w:color w:val="000000"/>
          <w:szCs w:val="21"/>
        </w:rPr>
        <w:t>%</w:t>
      </w:r>
      <w:r w:rsidR="002E2EFA" w:rsidRPr="00DA1341">
        <w:rPr>
          <w:rFonts w:eastAsia="楷体_GB2312" w:hint="eastAsia"/>
          <w:color w:val="000000"/>
          <w:szCs w:val="21"/>
        </w:rPr>
        <w:t>、</w:t>
      </w:r>
      <w:r w:rsidR="00057B37" w:rsidRPr="00DA1341">
        <w:rPr>
          <w:rFonts w:eastAsia="楷体_GB2312"/>
          <w:color w:val="000000"/>
          <w:szCs w:val="21"/>
        </w:rPr>
        <w:t>1.74</w:t>
      </w:r>
      <w:r w:rsidR="002E2EFA" w:rsidRPr="00DA1341">
        <w:rPr>
          <w:rFonts w:eastAsia="楷体_GB2312" w:hint="eastAsia"/>
          <w:color w:val="000000"/>
          <w:szCs w:val="21"/>
        </w:rPr>
        <w:t>%</w:t>
      </w:r>
      <w:r w:rsidR="002E2EFA" w:rsidRPr="00DA1341">
        <w:rPr>
          <w:rFonts w:eastAsia="楷体_GB2312" w:hint="eastAsia"/>
          <w:color w:val="000000"/>
          <w:szCs w:val="21"/>
        </w:rPr>
        <w:t>和</w:t>
      </w:r>
      <w:r w:rsidR="00057B37" w:rsidRPr="00DA1341">
        <w:rPr>
          <w:rFonts w:eastAsia="楷体_GB2312"/>
          <w:color w:val="000000"/>
          <w:szCs w:val="21"/>
        </w:rPr>
        <w:lastRenderedPageBreak/>
        <w:t>0.84</w:t>
      </w:r>
      <w:r w:rsidR="002E2EFA" w:rsidRPr="00DA1341">
        <w:rPr>
          <w:rFonts w:eastAsia="楷体_GB2312" w:hint="eastAsia"/>
          <w:color w:val="000000"/>
          <w:szCs w:val="21"/>
        </w:rPr>
        <w:t>%</w:t>
      </w:r>
      <w:r w:rsidR="002E2EFA" w:rsidRPr="00DA1341">
        <w:rPr>
          <w:rFonts w:eastAsia="楷体_GB2312" w:hint="eastAsia"/>
          <w:color w:val="000000"/>
          <w:szCs w:val="21"/>
        </w:rPr>
        <w:t>。</w:t>
      </w:r>
      <w:r w:rsidRPr="00DA1341">
        <w:rPr>
          <w:rFonts w:eastAsia="楷体_GB2312" w:hint="eastAsia"/>
          <w:color w:val="000000"/>
          <w:szCs w:val="21"/>
        </w:rPr>
        <w:t>从今年以来股票基金收益情况来看，多数产品损失严重，平均收益率为</w:t>
      </w:r>
      <w:r w:rsidR="0022009D" w:rsidRPr="00DA1341">
        <w:rPr>
          <w:rFonts w:eastAsia="楷体_GB2312" w:hint="eastAsia"/>
          <w:color w:val="000000"/>
          <w:szCs w:val="21"/>
        </w:rPr>
        <w:t>-</w:t>
      </w:r>
      <w:r w:rsidR="00A92DBC" w:rsidRPr="00DA1341">
        <w:rPr>
          <w:rFonts w:eastAsia="楷体_GB2312"/>
          <w:color w:val="000000"/>
          <w:szCs w:val="21"/>
        </w:rPr>
        <w:t>22.</w:t>
      </w:r>
      <w:r w:rsidR="00B05E80" w:rsidRPr="00DA1341">
        <w:rPr>
          <w:rFonts w:eastAsia="楷体_GB2312"/>
          <w:color w:val="000000"/>
          <w:szCs w:val="21"/>
        </w:rPr>
        <w:t>78</w:t>
      </w:r>
      <w:r w:rsidR="008B3BB9" w:rsidRPr="00DA1341">
        <w:rPr>
          <w:rFonts w:eastAsia="楷体_GB2312" w:hint="eastAsia"/>
          <w:color w:val="000000"/>
          <w:szCs w:val="21"/>
        </w:rPr>
        <w:t>%</w:t>
      </w:r>
      <w:r w:rsidR="00285C69" w:rsidRPr="00DA1341">
        <w:rPr>
          <w:rFonts w:eastAsia="楷体_GB2312" w:hint="eastAsia"/>
          <w:color w:val="000000"/>
          <w:szCs w:val="21"/>
        </w:rPr>
        <w:t>，</w:t>
      </w:r>
      <w:r w:rsidR="00F61427" w:rsidRPr="00DA1341">
        <w:rPr>
          <w:rFonts w:eastAsia="楷体_GB2312" w:hint="eastAsia"/>
          <w:color w:val="000000"/>
          <w:szCs w:val="21"/>
        </w:rPr>
        <w:t>超过</w:t>
      </w:r>
      <w:r w:rsidR="005B2DC5" w:rsidRPr="00DA1341">
        <w:rPr>
          <w:rFonts w:eastAsia="楷体_GB2312" w:hint="eastAsia"/>
          <w:color w:val="000000"/>
          <w:szCs w:val="21"/>
        </w:rPr>
        <w:t>九</w:t>
      </w:r>
      <w:r w:rsidR="00F61427" w:rsidRPr="00DA1341">
        <w:rPr>
          <w:rFonts w:eastAsia="楷体_GB2312" w:hint="eastAsia"/>
          <w:color w:val="000000"/>
          <w:szCs w:val="21"/>
        </w:rPr>
        <w:t>成</w:t>
      </w:r>
      <w:r w:rsidRPr="00DA1341">
        <w:rPr>
          <w:rFonts w:eastAsia="楷体_GB2312" w:hint="eastAsia"/>
          <w:color w:val="000000"/>
          <w:szCs w:val="21"/>
        </w:rPr>
        <w:t>的股票基金</w:t>
      </w:r>
      <w:r w:rsidRPr="00DA1341">
        <w:rPr>
          <w:rFonts w:eastAsia="楷体_GB2312" w:hint="eastAsia"/>
          <w:color w:val="000000"/>
          <w:szCs w:val="21"/>
        </w:rPr>
        <w:t>2016</w:t>
      </w:r>
      <w:r w:rsidRPr="00DA1341">
        <w:rPr>
          <w:rFonts w:eastAsia="楷体_GB2312" w:hint="eastAsia"/>
          <w:color w:val="000000"/>
          <w:szCs w:val="21"/>
        </w:rPr>
        <w:t>年以来跌幅超过</w:t>
      </w:r>
      <w:r w:rsidRPr="00DA1341">
        <w:rPr>
          <w:rFonts w:eastAsia="楷体_GB2312" w:hint="eastAsia"/>
          <w:color w:val="000000"/>
          <w:szCs w:val="21"/>
        </w:rPr>
        <w:t>10%</w:t>
      </w:r>
      <w:r w:rsidR="00630624" w:rsidRPr="00DA1341">
        <w:rPr>
          <w:rFonts w:eastAsia="楷体_GB2312" w:hint="eastAsia"/>
          <w:color w:val="000000"/>
          <w:szCs w:val="21"/>
        </w:rPr>
        <w:t>，新兴产业类基金损失相对较重</w:t>
      </w:r>
      <w:r w:rsidRPr="00DA1341">
        <w:rPr>
          <w:rFonts w:eastAsia="楷体_GB2312" w:hint="eastAsia"/>
          <w:color w:val="000000"/>
          <w:szCs w:val="21"/>
        </w:rPr>
        <w:t>。</w:t>
      </w:r>
    </w:p>
    <w:p w:rsidR="0030206B" w:rsidRPr="00DA1341" w:rsidRDefault="00B914B7" w:rsidP="00DA1341">
      <w:pPr>
        <w:spacing w:line="360" w:lineRule="auto"/>
        <w:ind w:firstLineChars="150" w:firstLine="315"/>
        <w:jc w:val="left"/>
        <w:rPr>
          <w:rFonts w:eastAsia="楷体_GB2312"/>
          <w:color w:val="000000"/>
          <w:szCs w:val="21"/>
        </w:rPr>
      </w:pPr>
      <w:r w:rsidRPr="00DA1341">
        <w:rPr>
          <w:rFonts w:eastAsia="楷体_GB2312" w:hint="eastAsia"/>
          <w:color w:val="000000"/>
          <w:szCs w:val="21"/>
        </w:rPr>
        <w:t>混合</w:t>
      </w:r>
      <w:r w:rsidR="00FE13B7" w:rsidRPr="00DA1341">
        <w:rPr>
          <w:rFonts w:eastAsia="楷体_GB2312" w:hint="eastAsia"/>
          <w:color w:val="000000"/>
          <w:szCs w:val="21"/>
        </w:rPr>
        <w:t>基金</w:t>
      </w:r>
      <w:r w:rsidR="001C0C52" w:rsidRPr="00DA1341">
        <w:rPr>
          <w:rFonts w:eastAsia="楷体_GB2312" w:hint="eastAsia"/>
          <w:color w:val="000000"/>
          <w:szCs w:val="21"/>
        </w:rPr>
        <w:t>，平均收益率为</w:t>
      </w:r>
      <w:r w:rsidR="0022009D" w:rsidRPr="00DA1341">
        <w:rPr>
          <w:rFonts w:eastAsia="楷体_GB2312" w:hint="eastAsia"/>
          <w:color w:val="000000"/>
          <w:szCs w:val="21"/>
        </w:rPr>
        <w:t>-</w:t>
      </w:r>
      <w:r w:rsidR="00C967D8" w:rsidRPr="00DA1341">
        <w:rPr>
          <w:rFonts w:eastAsia="楷体_GB2312"/>
          <w:color w:val="000000"/>
          <w:szCs w:val="21"/>
        </w:rPr>
        <w:t>2.</w:t>
      </w:r>
      <w:r w:rsidR="0043064F" w:rsidRPr="00DA1341">
        <w:rPr>
          <w:rFonts w:eastAsia="楷体_GB2312"/>
          <w:color w:val="000000"/>
          <w:szCs w:val="21"/>
        </w:rPr>
        <w:t>31</w:t>
      </w:r>
      <w:r w:rsidR="00A939D7" w:rsidRPr="00DA1341">
        <w:rPr>
          <w:rFonts w:eastAsia="楷体_GB2312" w:hint="eastAsia"/>
          <w:color w:val="000000"/>
          <w:szCs w:val="21"/>
        </w:rPr>
        <w:t>%</w:t>
      </w:r>
      <w:r w:rsidR="001C0C52" w:rsidRPr="00DA1341">
        <w:rPr>
          <w:rFonts w:eastAsia="楷体_GB2312" w:hint="eastAsia"/>
          <w:color w:val="000000"/>
          <w:szCs w:val="21"/>
        </w:rPr>
        <w:t>，</w:t>
      </w:r>
      <w:r w:rsidR="00A21FBB" w:rsidRPr="00DA1341">
        <w:rPr>
          <w:rFonts w:eastAsia="楷体_GB2312" w:hint="eastAsia"/>
          <w:color w:val="000000"/>
          <w:szCs w:val="21"/>
        </w:rPr>
        <w:t>收益率分布区间自</w:t>
      </w:r>
      <w:r w:rsidR="001F291F" w:rsidRPr="00DA1341">
        <w:rPr>
          <w:rFonts w:eastAsia="楷体_GB2312" w:hint="eastAsia"/>
          <w:color w:val="000000"/>
          <w:szCs w:val="21"/>
        </w:rPr>
        <w:t>-</w:t>
      </w:r>
      <w:r w:rsidR="00AA2014" w:rsidRPr="00DA1341">
        <w:rPr>
          <w:rFonts w:eastAsia="楷体_GB2312"/>
          <w:color w:val="000000"/>
          <w:szCs w:val="21"/>
        </w:rPr>
        <w:t>10.48</w:t>
      </w:r>
      <w:r w:rsidR="00A21FBB" w:rsidRPr="00DA1341">
        <w:rPr>
          <w:rFonts w:eastAsia="楷体_GB2312" w:hint="eastAsia"/>
          <w:color w:val="000000"/>
          <w:szCs w:val="21"/>
        </w:rPr>
        <w:t>%</w:t>
      </w:r>
      <w:r w:rsidR="00DC67EC" w:rsidRPr="00DA1341">
        <w:rPr>
          <w:rFonts w:eastAsia="楷体_GB2312" w:hint="eastAsia"/>
          <w:color w:val="000000"/>
          <w:szCs w:val="21"/>
        </w:rPr>
        <w:t>—</w:t>
      </w:r>
      <w:r w:rsidR="00954558" w:rsidRPr="00DA1341">
        <w:rPr>
          <w:rFonts w:eastAsia="楷体_GB2312"/>
          <w:color w:val="000000"/>
          <w:szCs w:val="21"/>
        </w:rPr>
        <w:t>6.71</w:t>
      </w:r>
      <w:r w:rsidR="00A06240" w:rsidRPr="00DA1341">
        <w:rPr>
          <w:rFonts w:eastAsia="楷体_GB2312" w:hint="eastAsia"/>
          <w:color w:val="000000"/>
          <w:szCs w:val="21"/>
        </w:rPr>
        <w:t>%</w:t>
      </w:r>
      <w:r w:rsidR="001F291F" w:rsidRPr="00DA1341">
        <w:rPr>
          <w:rFonts w:eastAsia="楷体_GB2312" w:hint="eastAsia"/>
          <w:color w:val="000000"/>
          <w:szCs w:val="21"/>
        </w:rPr>
        <w:t>，</w:t>
      </w:r>
      <w:r w:rsidR="00ED266A" w:rsidRPr="00DA1341">
        <w:rPr>
          <w:rFonts w:eastAsia="楷体_GB2312" w:hint="eastAsia"/>
          <w:color w:val="000000"/>
          <w:szCs w:val="21"/>
        </w:rPr>
        <w:t>七成以上</w:t>
      </w:r>
      <w:r w:rsidR="00F77C8D" w:rsidRPr="00DA1341">
        <w:rPr>
          <w:rFonts w:eastAsia="楷体_GB2312" w:hint="eastAsia"/>
          <w:color w:val="000000"/>
          <w:szCs w:val="21"/>
        </w:rPr>
        <w:t>基金收益率为</w:t>
      </w:r>
      <w:r w:rsidR="00ED266A" w:rsidRPr="00DA1341">
        <w:rPr>
          <w:rFonts w:eastAsia="楷体_GB2312" w:hint="eastAsia"/>
          <w:color w:val="000000"/>
          <w:szCs w:val="21"/>
        </w:rPr>
        <w:t>负</w:t>
      </w:r>
      <w:r w:rsidR="007D73F5" w:rsidRPr="00DA1341">
        <w:rPr>
          <w:rFonts w:eastAsia="楷体_GB2312" w:hint="eastAsia"/>
          <w:color w:val="000000"/>
          <w:szCs w:val="21"/>
        </w:rPr>
        <w:t>。</w:t>
      </w:r>
      <w:r w:rsidR="00054F13" w:rsidRPr="00DA1341">
        <w:rPr>
          <w:rFonts w:eastAsia="楷体_GB2312" w:hint="eastAsia"/>
          <w:color w:val="000000"/>
          <w:szCs w:val="21"/>
        </w:rPr>
        <w:t>其中，</w:t>
      </w:r>
      <w:r w:rsidR="00ED266A" w:rsidRPr="00DA1341">
        <w:rPr>
          <w:rFonts w:eastAsia="楷体_GB2312" w:hint="eastAsia"/>
          <w:color w:val="000000"/>
          <w:szCs w:val="21"/>
        </w:rPr>
        <w:t>国泰金泰平衡</w:t>
      </w:r>
      <w:r w:rsidR="00ED266A" w:rsidRPr="00DA1341">
        <w:rPr>
          <w:rFonts w:eastAsia="楷体_GB2312" w:hint="eastAsia"/>
          <w:color w:val="000000"/>
          <w:szCs w:val="21"/>
        </w:rPr>
        <w:t>C</w:t>
      </w:r>
      <w:r w:rsidR="00C5319E" w:rsidRPr="00DA1341">
        <w:rPr>
          <w:rFonts w:eastAsia="楷体_GB2312" w:hint="eastAsia"/>
          <w:color w:val="000000"/>
          <w:szCs w:val="21"/>
        </w:rPr>
        <w:t>、</w:t>
      </w:r>
      <w:r w:rsidR="00ED266A" w:rsidRPr="00DA1341">
        <w:rPr>
          <w:rFonts w:eastAsia="楷体_GB2312" w:hint="eastAsia"/>
          <w:color w:val="000000"/>
          <w:szCs w:val="21"/>
        </w:rPr>
        <w:t>长信利盈</w:t>
      </w:r>
      <w:r w:rsidR="00ED266A" w:rsidRPr="00DA1341">
        <w:rPr>
          <w:rFonts w:eastAsia="楷体_GB2312" w:hint="eastAsia"/>
          <w:color w:val="000000"/>
          <w:szCs w:val="21"/>
        </w:rPr>
        <w:t>A</w:t>
      </w:r>
      <w:r w:rsidR="00EA31AE" w:rsidRPr="00DA1341">
        <w:rPr>
          <w:rFonts w:eastAsia="楷体_GB2312" w:hint="eastAsia"/>
          <w:color w:val="000000"/>
          <w:szCs w:val="21"/>
        </w:rPr>
        <w:t>、</w:t>
      </w:r>
      <w:r w:rsidR="00ED266A" w:rsidRPr="00DA1341">
        <w:rPr>
          <w:rFonts w:eastAsia="楷体_GB2312" w:hint="eastAsia"/>
          <w:color w:val="000000"/>
          <w:szCs w:val="21"/>
        </w:rPr>
        <w:t>德邦新添利</w:t>
      </w:r>
      <w:r w:rsidR="00ED266A" w:rsidRPr="00DA1341">
        <w:rPr>
          <w:rFonts w:eastAsia="楷体_GB2312" w:hint="eastAsia"/>
          <w:color w:val="000000"/>
          <w:szCs w:val="21"/>
        </w:rPr>
        <w:t>A</w:t>
      </w:r>
      <w:r w:rsidR="004A48D3" w:rsidRPr="00DA1341">
        <w:rPr>
          <w:rFonts w:eastAsia="楷体_GB2312" w:hint="eastAsia"/>
          <w:color w:val="000000"/>
          <w:szCs w:val="21"/>
        </w:rPr>
        <w:t>增长</w:t>
      </w:r>
      <w:r w:rsidR="00C5319E" w:rsidRPr="00DA1341">
        <w:rPr>
          <w:rFonts w:eastAsia="楷体_GB2312" w:hint="eastAsia"/>
          <w:color w:val="000000"/>
          <w:szCs w:val="21"/>
        </w:rPr>
        <w:t>收益率</w:t>
      </w:r>
      <w:r w:rsidR="00583AEA" w:rsidRPr="00DA1341">
        <w:rPr>
          <w:rFonts w:eastAsia="楷体_GB2312" w:hint="eastAsia"/>
          <w:color w:val="000000"/>
          <w:szCs w:val="21"/>
        </w:rPr>
        <w:t>居前</w:t>
      </w:r>
      <w:r w:rsidR="00C5319E" w:rsidRPr="00DA1341">
        <w:rPr>
          <w:rFonts w:eastAsia="楷体_GB2312" w:hint="eastAsia"/>
          <w:color w:val="000000"/>
          <w:szCs w:val="21"/>
        </w:rPr>
        <w:t>，分别为</w:t>
      </w:r>
      <w:r w:rsidR="00BA54F6" w:rsidRPr="00DA1341">
        <w:rPr>
          <w:rFonts w:eastAsia="楷体_GB2312"/>
          <w:color w:val="000000"/>
          <w:szCs w:val="21"/>
        </w:rPr>
        <w:t>6.71</w:t>
      </w:r>
      <w:r w:rsidR="00C5319E" w:rsidRPr="00DA1341">
        <w:rPr>
          <w:rFonts w:eastAsia="楷体_GB2312" w:hint="eastAsia"/>
          <w:color w:val="000000"/>
          <w:szCs w:val="21"/>
        </w:rPr>
        <w:t>%</w:t>
      </w:r>
      <w:r w:rsidR="00C5319E" w:rsidRPr="00DA1341">
        <w:rPr>
          <w:rFonts w:eastAsia="楷体_GB2312" w:hint="eastAsia"/>
          <w:color w:val="000000"/>
          <w:szCs w:val="21"/>
        </w:rPr>
        <w:t>、</w:t>
      </w:r>
      <w:r w:rsidR="00BA54F6" w:rsidRPr="00DA1341">
        <w:rPr>
          <w:rFonts w:eastAsia="楷体_GB2312"/>
          <w:color w:val="000000"/>
          <w:szCs w:val="21"/>
        </w:rPr>
        <w:t>5.20</w:t>
      </w:r>
      <w:r w:rsidR="00C5319E" w:rsidRPr="00DA1341">
        <w:rPr>
          <w:rFonts w:eastAsia="楷体_GB2312" w:hint="eastAsia"/>
          <w:color w:val="000000"/>
          <w:szCs w:val="21"/>
        </w:rPr>
        <w:t>%</w:t>
      </w:r>
      <w:r w:rsidR="00C5319E" w:rsidRPr="00DA1341">
        <w:rPr>
          <w:rFonts w:eastAsia="楷体_GB2312" w:hint="eastAsia"/>
          <w:color w:val="000000"/>
          <w:szCs w:val="21"/>
        </w:rPr>
        <w:t>和</w:t>
      </w:r>
      <w:r w:rsidR="00BA54F6" w:rsidRPr="00DA1341">
        <w:rPr>
          <w:rFonts w:eastAsia="楷体_GB2312"/>
          <w:color w:val="000000"/>
          <w:szCs w:val="21"/>
        </w:rPr>
        <w:t>5.04</w:t>
      </w:r>
      <w:r w:rsidR="00DF104F" w:rsidRPr="00DA1341">
        <w:rPr>
          <w:rFonts w:eastAsia="楷体_GB2312"/>
          <w:color w:val="000000"/>
          <w:szCs w:val="21"/>
        </w:rPr>
        <w:t>%</w:t>
      </w:r>
      <w:r w:rsidR="00763C28" w:rsidRPr="00DA1341">
        <w:rPr>
          <w:rFonts w:eastAsia="楷体_GB2312" w:hint="eastAsia"/>
          <w:color w:val="000000"/>
          <w:szCs w:val="21"/>
        </w:rPr>
        <w:t>。</w:t>
      </w:r>
      <w:r w:rsidR="0014042D" w:rsidRPr="00DA1341">
        <w:rPr>
          <w:rFonts w:eastAsia="楷体_GB2312" w:hint="eastAsia"/>
          <w:color w:val="000000"/>
          <w:szCs w:val="21"/>
        </w:rPr>
        <w:t>从今年以来混合基金收益情况来看，</w:t>
      </w:r>
      <w:r w:rsidR="00151833" w:rsidRPr="00DA1341">
        <w:rPr>
          <w:rFonts w:eastAsia="楷体_GB2312" w:hint="eastAsia"/>
          <w:color w:val="000000"/>
          <w:szCs w:val="21"/>
        </w:rPr>
        <w:t>七成以上</w:t>
      </w:r>
      <w:r w:rsidR="0014042D" w:rsidRPr="00DA1341">
        <w:rPr>
          <w:rFonts w:eastAsia="楷体_GB2312" w:hint="eastAsia"/>
          <w:color w:val="000000"/>
          <w:szCs w:val="21"/>
        </w:rPr>
        <w:t>基金收益率为负值，平均收益率为</w:t>
      </w:r>
      <w:r w:rsidR="0022009D" w:rsidRPr="00DA1341">
        <w:rPr>
          <w:rFonts w:eastAsia="楷体_GB2312" w:hint="eastAsia"/>
          <w:color w:val="000000"/>
          <w:szCs w:val="21"/>
        </w:rPr>
        <w:t>-</w:t>
      </w:r>
      <w:r w:rsidR="00120BC0" w:rsidRPr="00DA1341">
        <w:rPr>
          <w:rFonts w:eastAsia="楷体_GB2312"/>
          <w:color w:val="000000"/>
          <w:szCs w:val="21"/>
        </w:rPr>
        <w:t>13.</w:t>
      </w:r>
      <w:r w:rsidR="000C4375" w:rsidRPr="00DA1341">
        <w:rPr>
          <w:rFonts w:eastAsia="楷体_GB2312"/>
          <w:color w:val="000000"/>
          <w:szCs w:val="21"/>
        </w:rPr>
        <w:t>84</w:t>
      </w:r>
      <w:r w:rsidR="00151833" w:rsidRPr="00DA1341">
        <w:rPr>
          <w:rFonts w:eastAsia="楷体_GB2312" w:hint="eastAsia"/>
          <w:color w:val="000000"/>
          <w:szCs w:val="21"/>
        </w:rPr>
        <w:t>%</w:t>
      </w:r>
      <w:r w:rsidR="00C3761C" w:rsidRPr="00DA1341">
        <w:rPr>
          <w:rFonts w:eastAsia="楷体_GB2312" w:hint="eastAsia"/>
          <w:color w:val="000000"/>
          <w:szCs w:val="21"/>
        </w:rPr>
        <w:t>。</w:t>
      </w:r>
      <w:r w:rsidR="0014042D" w:rsidRPr="00DA1341">
        <w:rPr>
          <w:rFonts w:eastAsia="楷体_GB2312" w:hint="eastAsia"/>
          <w:color w:val="000000"/>
          <w:szCs w:val="21"/>
        </w:rPr>
        <w:t xml:space="preserve"> </w:t>
      </w:r>
    </w:p>
    <w:p w:rsidR="00F64FF8" w:rsidRPr="00DA1341" w:rsidRDefault="0030206B" w:rsidP="00DA1341">
      <w:pPr>
        <w:spacing w:line="360" w:lineRule="auto"/>
        <w:ind w:firstLineChars="150" w:firstLine="315"/>
        <w:jc w:val="left"/>
        <w:rPr>
          <w:rFonts w:eastAsia="楷体_GB2312"/>
          <w:color w:val="000000"/>
          <w:szCs w:val="21"/>
        </w:rPr>
      </w:pPr>
      <w:r w:rsidRPr="00DA1341">
        <w:rPr>
          <w:rFonts w:eastAsia="楷体_GB2312" w:hint="eastAsia"/>
          <w:color w:val="000000"/>
          <w:szCs w:val="21"/>
        </w:rPr>
        <w:t>指数</w:t>
      </w:r>
      <w:r w:rsidR="001F6686" w:rsidRPr="00DA1341">
        <w:rPr>
          <w:rFonts w:eastAsia="楷体_GB2312" w:hint="eastAsia"/>
          <w:color w:val="000000"/>
          <w:szCs w:val="21"/>
        </w:rPr>
        <w:t>基金，</w:t>
      </w:r>
      <w:r w:rsidR="00912EC4" w:rsidRPr="00DA1341">
        <w:rPr>
          <w:rFonts w:eastAsia="楷体_GB2312" w:hint="eastAsia"/>
          <w:color w:val="000000"/>
          <w:szCs w:val="21"/>
        </w:rPr>
        <w:t>上周</w:t>
      </w:r>
      <w:r w:rsidR="001F6686" w:rsidRPr="00DA1341">
        <w:rPr>
          <w:rFonts w:eastAsia="楷体_GB2312" w:hint="eastAsia"/>
          <w:color w:val="000000"/>
          <w:szCs w:val="21"/>
        </w:rPr>
        <w:t>平均收益率为</w:t>
      </w:r>
      <w:r w:rsidR="00183EEF" w:rsidRPr="00DA1341">
        <w:rPr>
          <w:rFonts w:eastAsia="楷体_GB2312" w:hint="eastAsia"/>
          <w:color w:val="000000"/>
          <w:szCs w:val="21"/>
        </w:rPr>
        <w:t>-</w:t>
      </w:r>
      <w:r w:rsidR="00183EEF" w:rsidRPr="00DA1341">
        <w:rPr>
          <w:rFonts w:eastAsia="楷体_GB2312"/>
          <w:color w:val="000000"/>
          <w:szCs w:val="21"/>
        </w:rPr>
        <w:t>2.75</w:t>
      </w:r>
      <w:r w:rsidR="00285FBB" w:rsidRPr="00DA1341">
        <w:rPr>
          <w:rFonts w:eastAsia="楷体_GB2312" w:hint="eastAsia"/>
          <w:color w:val="000000"/>
          <w:szCs w:val="21"/>
        </w:rPr>
        <w:t>%</w:t>
      </w:r>
      <w:r w:rsidR="009C4B88" w:rsidRPr="00DA1341">
        <w:rPr>
          <w:rFonts w:eastAsia="楷体_GB2312" w:hint="eastAsia"/>
          <w:color w:val="000000"/>
          <w:szCs w:val="21"/>
        </w:rPr>
        <w:t>，</w:t>
      </w:r>
      <w:r w:rsidR="0030458F" w:rsidRPr="00DA1341">
        <w:rPr>
          <w:rFonts w:eastAsia="楷体_GB2312" w:hint="eastAsia"/>
          <w:color w:val="000000"/>
          <w:szCs w:val="21"/>
        </w:rPr>
        <w:t>九</w:t>
      </w:r>
      <w:r w:rsidR="00285FBB" w:rsidRPr="00DA1341">
        <w:rPr>
          <w:rFonts w:eastAsia="楷体_GB2312" w:hint="eastAsia"/>
          <w:color w:val="000000"/>
          <w:szCs w:val="21"/>
        </w:rPr>
        <w:t>成以上</w:t>
      </w:r>
      <w:r w:rsidR="00DD2FC2" w:rsidRPr="00DA1341">
        <w:rPr>
          <w:rFonts w:eastAsia="楷体_GB2312" w:hint="eastAsia"/>
          <w:color w:val="000000"/>
          <w:szCs w:val="21"/>
        </w:rPr>
        <w:t>基金收益为负</w:t>
      </w:r>
      <w:r w:rsidR="009C4B88" w:rsidRPr="00DA1341">
        <w:rPr>
          <w:rFonts w:eastAsia="楷体_GB2312" w:hint="eastAsia"/>
          <w:color w:val="000000"/>
          <w:szCs w:val="21"/>
        </w:rPr>
        <w:t>。</w:t>
      </w:r>
      <w:r w:rsidR="006074AC" w:rsidRPr="00DA1341">
        <w:rPr>
          <w:rFonts w:eastAsia="楷体_GB2312" w:hint="eastAsia"/>
          <w:color w:val="000000"/>
          <w:szCs w:val="21"/>
        </w:rPr>
        <w:t>其中，</w:t>
      </w:r>
      <w:r w:rsidR="00B6063F" w:rsidRPr="00DA1341">
        <w:rPr>
          <w:rFonts w:eastAsia="楷体_GB2312" w:hint="eastAsia"/>
          <w:color w:val="000000"/>
          <w:szCs w:val="21"/>
        </w:rPr>
        <w:t>食品饮料</w:t>
      </w:r>
      <w:r w:rsidR="00B67759" w:rsidRPr="00DA1341">
        <w:rPr>
          <w:rFonts w:eastAsia="楷体_GB2312" w:hint="eastAsia"/>
          <w:color w:val="000000"/>
          <w:szCs w:val="21"/>
        </w:rPr>
        <w:t>行业</w:t>
      </w:r>
      <w:r w:rsidR="00285FBB" w:rsidRPr="00DA1341">
        <w:rPr>
          <w:rFonts w:eastAsia="楷体_GB2312" w:hint="eastAsia"/>
          <w:color w:val="000000"/>
          <w:szCs w:val="21"/>
        </w:rPr>
        <w:t>基金</w:t>
      </w:r>
      <w:r w:rsidR="00BC3CBC" w:rsidRPr="00DA1341">
        <w:rPr>
          <w:rFonts w:eastAsia="楷体_GB2312" w:hint="eastAsia"/>
          <w:color w:val="000000"/>
          <w:szCs w:val="21"/>
        </w:rPr>
        <w:t>涨幅较大</w:t>
      </w:r>
      <w:r w:rsidR="00285FBB" w:rsidRPr="00DA1341">
        <w:rPr>
          <w:rFonts w:eastAsia="楷体_GB2312" w:hint="eastAsia"/>
          <w:color w:val="000000"/>
          <w:szCs w:val="21"/>
        </w:rPr>
        <w:t>，如：</w:t>
      </w:r>
      <w:r w:rsidR="00774D2B" w:rsidRPr="00DA1341">
        <w:rPr>
          <w:rFonts w:eastAsia="楷体_GB2312" w:hint="eastAsia"/>
          <w:color w:val="000000"/>
          <w:szCs w:val="21"/>
        </w:rPr>
        <w:t>景顺长城中证</w:t>
      </w:r>
      <w:r w:rsidR="00774D2B" w:rsidRPr="00DA1341">
        <w:rPr>
          <w:rFonts w:eastAsia="楷体_GB2312" w:hint="eastAsia"/>
          <w:color w:val="000000"/>
          <w:szCs w:val="21"/>
        </w:rPr>
        <w:t>800</w:t>
      </w:r>
      <w:r w:rsidR="00774D2B" w:rsidRPr="00DA1341">
        <w:rPr>
          <w:rFonts w:eastAsia="楷体_GB2312" w:hint="eastAsia"/>
          <w:color w:val="000000"/>
          <w:szCs w:val="21"/>
        </w:rPr>
        <w:t>食品饮料</w:t>
      </w:r>
      <w:r w:rsidR="00774D2B" w:rsidRPr="00DA1341">
        <w:rPr>
          <w:rFonts w:eastAsia="楷体_GB2312" w:hint="eastAsia"/>
          <w:color w:val="000000"/>
          <w:szCs w:val="21"/>
        </w:rPr>
        <w:t>ETF</w:t>
      </w:r>
      <w:r w:rsidR="005546C9" w:rsidRPr="00DA1341">
        <w:rPr>
          <w:rFonts w:eastAsia="楷体_GB2312" w:hint="eastAsia"/>
          <w:color w:val="000000"/>
          <w:szCs w:val="21"/>
        </w:rPr>
        <w:t>和</w:t>
      </w:r>
      <w:r w:rsidR="00774D2B" w:rsidRPr="00DA1341">
        <w:rPr>
          <w:rFonts w:eastAsia="楷体_GB2312" w:hint="eastAsia"/>
          <w:color w:val="000000"/>
          <w:szCs w:val="21"/>
        </w:rPr>
        <w:t>招商中证白酒</w:t>
      </w:r>
      <w:r w:rsidR="00285FBB" w:rsidRPr="00DA1341">
        <w:rPr>
          <w:rFonts w:eastAsia="楷体_GB2312" w:hint="eastAsia"/>
          <w:color w:val="000000"/>
          <w:szCs w:val="21"/>
        </w:rPr>
        <w:t>，收益率分别为</w:t>
      </w:r>
      <w:r w:rsidR="00774D2B" w:rsidRPr="00DA1341">
        <w:rPr>
          <w:rFonts w:eastAsia="楷体_GB2312"/>
          <w:color w:val="000000"/>
          <w:szCs w:val="21"/>
        </w:rPr>
        <w:t>1.98</w:t>
      </w:r>
      <w:r w:rsidR="00630624" w:rsidRPr="00DA1341">
        <w:rPr>
          <w:rFonts w:eastAsia="楷体_GB2312" w:hint="eastAsia"/>
          <w:color w:val="000000"/>
          <w:szCs w:val="21"/>
        </w:rPr>
        <w:t>%</w:t>
      </w:r>
      <w:r w:rsidR="005546C9" w:rsidRPr="00DA1341">
        <w:rPr>
          <w:rFonts w:eastAsia="楷体_GB2312" w:hint="eastAsia"/>
          <w:color w:val="000000"/>
          <w:szCs w:val="21"/>
        </w:rPr>
        <w:t>和</w:t>
      </w:r>
      <w:r w:rsidR="00774D2B" w:rsidRPr="00DA1341">
        <w:rPr>
          <w:rFonts w:eastAsia="楷体_GB2312"/>
          <w:color w:val="000000"/>
          <w:szCs w:val="21"/>
        </w:rPr>
        <w:t>1.63</w:t>
      </w:r>
      <w:r w:rsidR="00285FBB" w:rsidRPr="00DA1341">
        <w:rPr>
          <w:rFonts w:eastAsia="楷体_GB2312" w:hint="eastAsia"/>
          <w:color w:val="000000"/>
          <w:szCs w:val="21"/>
        </w:rPr>
        <w:t>%</w:t>
      </w:r>
      <w:r w:rsidR="00285FBB" w:rsidRPr="00DA1341">
        <w:rPr>
          <w:rFonts w:eastAsia="楷体_GB2312" w:hint="eastAsia"/>
          <w:color w:val="000000"/>
          <w:szCs w:val="21"/>
        </w:rPr>
        <w:t>。</w:t>
      </w:r>
      <w:r w:rsidR="007F5ECF" w:rsidRPr="00DA1341">
        <w:rPr>
          <w:rFonts w:eastAsia="楷体_GB2312" w:hint="eastAsia"/>
          <w:color w:val="000000"/>
          <w:szCs w:val="21"/>
        </w:rPr>
        <w:t>2016</w:t>
      </w:r>
      <w:r w:rsidR="007F5ECF" w:rsidRPr="00DA1341">
        <w:rPr>
          <w:rFonts w:eastAsia="楷体_GB2312" w:hint="eastAsia"/>
          <w:color w:val="000000"/>
          <w:szCs w:val="21"/>
        </w:rPr>
        <w:t>年</w:t>
      </w:r>
      <w:r w:rsidR="00912EC4" w:rsidRPr="00DA1341">
        <w:rPr>
          <w:rFonts w:eastAsia="楷体_GB2312" w:hint="eastAsia"/>
          <w:color w:val="000000"/>
          <w:szCs w:val="21"/>
        </w:rPr>
        <w:t>以来，</w:t>
      </w:r>
      <w:r w:rsidRPr="00DA1341">
        <w:rPr>
          <w:rFonts w:eastAsia="楷体_GB2312" w:hint="eastAsia"/>
          <w:color w:val="000000"/>
          <w:szCs w:val="21"/>
        </w:rPr>
        <w:t>指数</w:t>
      </w:r>
      <w:r w:rsidR="00CE33B2" w:rsidRPr="00DA1341">
        <w:rPr>
          <w:rFonts w:eastAsia="楷体_GB2312" w:hint="eastAsia"/>
          <w:color w:val="000000"/>
          <w:szCs w:val="21"/>
        </w:rPr>
        <w:t>基金平均收益率为</w:t>
      </w:r>
      <w:r w:rsidR="00183EEF" w:rsidRPr="00DA1341">
        <w:rPr>
          <w:rFonts w:eastAsia="楷体_GB2312" w:hint="eastAsia"/>
          <w:color w:val="000000"/>
          <w:szCs w:val="21"/>
        </w:rPr>
        <w:t>-1</w:t>
      </w:r>
      <w:r w:rsidR="00183EEF" w:rsidRPr="00DA1341">
        <w:rPr>
          <w:rFonts w:eastAsia="楷体_GB2312"/>
          <w:color w:val="000000"/>
          <w:szCs w:val="21"/>
        </w:rPr>
        <w:t>9.05</w:t>
      </w:r>
      <w:r w:rsidR="00912EC4" w:rsidRPr="00DA1341">
        <w:rPr>
          <w:rFonts w:eastAsia="楷体_GB2312" w:hint="eastAsia"/>
          <w:color w:val="000000"/>
          <w:szCs w:val="21"/>
        </w:rPr>
        <w:t>%</w:t>
      </w:r>
      <w:r w:rsidR="00CE33B2" w:rsidRPr="00DA1341">
        <w:rPr>
          <w:rFonts w:eastAsia="楷体_GB2312" w:hint="eastAsia"/>
          <w:color w:val="000000"/>
          <w:szCs w:val="21"/>
        </w:rPr>
        <w:t>，</w:t>
      </w:r>
      <w:bookmarkStart w:id="21" w:name="OLE_LINK38"/>
      <w:bookmarkStart w:id="22" w:name="OLE_LINK39"/>
      <w:r w:rsidR="003D7ABC" w:rsidRPr="00DA1341">
        <w:rPr>
          <w:rFonts w:eastAsia="楷体_GB2312" w:hint="eastAsia"/>
          <w:color w:val="000000"/>
          <w:szCs w:val="21"/>
        </w:rPr>
        <w:t>互联网</w:t>
      </w:r>
      <w:r w:rsidR="00FF6FC4" w:rsidRPr="00DA1341">
        <w:rPr>
          <w:rFonts w:eastAsia="楷体_GB2312" w:hint="eastAsia"/>
          <w:color w:val="000000"/>
          <w:szCs w:val="21"/>
        </w:rPr>
        <w:t>类</w:t>
      </w:r>
      <w:r w:rsidR="006074AC" w:rsidRPr="00DA1341">
        <w:rPr>
          <w:rFonts w:eastAsia="楷体_GB2312" w:hint="eastAsia"/>
          <w:color w:val="000000"/>
          <w:szCs w:val="21"/>
        </w:rPr>
        <w:t>指数</w:t>
      </w:r>
      <w:r w:rsidR="007D432E" w:rsidRPr="00DA1341">
        <w:rPr>
          <w:rFonts w:eastAsia="楷体_GB2312" w:hint="eastAsia"/>
          <w:color w:val="000000"/>
          <w:szCs w:val="21"/>
        </w:rPr>
        <w:t>基金</w:t>
      </w:r>
      <w:bookmarkEnd w:id="21"/>
      <w:bookmarkEnd w:id="22"/>
      <w:r w:rsidR="007D432E" w:rsidRPr="00DA1341">
        <w:rPr>
          <w:rFonts w:eastAsia="楷体_GB2312" w:hint="eastAsia"/>
          <w:color w:val="000000"/>
          <w:szCs w:val="21"/>
        </w:rPr>
        <w:t>跌幅惨重。</w:t>
      </w:r>
    </w:p>
    <w:p w:rsidR="007C43F9" w:rsidRPr="00DA1341" w:rsidRDefault="007C43F9" w:rsidP="00DA1341">
      <w:pPr>
        <w:spacing w:line="360" w:lineRule="auto"/>
        <w:jc w:val="left"/>
        <w:rPr>
          <w:rFonts w:ascii="楷体" w:eastAsia="楷体" w:hAnsi="楷体"/>
          <w:b/>
          <w:color w:val="000000"/>
          <w:sz w:val="28"/>
          <w:szCs w:val="28"/>
        </w:rPr>
      </w:pPr>
      <w:r w:rsidRPr="00DA1341">
        <w:rPr>
          <w:rFonts w:ascii="楷体" w:eastAsia="楷体" w:hAnsi="楷体" w:hint="eastAsia"/>
          <w:b/>
          <w:color w:val="000000"/>
          <w:sz w:val="28"/>
          <w:szCs w:val="28"/>
        </w:rPr>
        <w:t>固定收益类基金</w:t>
      </w:r>
    </w:p>
    <w:p w:rsidR="001329D8" w:rsidRPr="00DA1341" w:rsidRDefault="004B2240" w:rsidP="00626173">
      <w:pPr>
        <w:spacing w:line="360" w:lineRule="auto"/>
        <w:ind w:firstLineChars="200" w:firstLine="420"/>
        <w:jc w:val="left"/>
        <w:rPr>
          <w:rFonts w:eastAsia="楷体_GB2312"/>
          <w:color w:val="000000"/>
          <w:szCs w:val="21"/>
        </w:rPr>
      </w:pPr>
      <w:bookmarkStart w:id="23" w:name="OLE_LINK3"/>
      <w:bookmarkStart w:id="24" w:name="OLE_LINK4"/>
      <w:bookmarkStart w:id="25" w:name="OLE_LINK10"/>
      <w:r w:rsidRPr="00DA1341">
        <w:rPr>
          <w:rFonts w:eastAsia="楷体_GB2312" w:hint="eastAsia"/>
          <w:color w:val="000000"/>
          <w:szCs w:val="21"/>
        </w:rPr>
        <w:t>债券基金平均收益率为</w:t>
      </w:r>
      <w:r w:rsidR="00FA3515" w:rsidRPr="00DA1341">
        <w:rPr>
          <w:rFonts w:eastAsia="楷体_GB2312"/>
          <w:color w:val="000000"/>
          <w:szCs w:val="21"/>
        </w:rPr>
        <w:t>0.</w:t>
      </w:r>
      <w:r w:rsidR="00BB6AD4" w:rsidRPr="00DA1341">
        <w:rPr>
          <w:rFonts w:eastAsia="楷体_GB2312"/>
          <w:color w:val="000000"/>
          <w:szCs w:val="21"/>
        </w:rPr>
        <w:t>1</w:t>
      </w:r>
      <w:r w:rsidR="004A44B9" w:rsidRPr="00DA1341">
        <w:rPr>
          <w:rFonts w:eastAsia="楷体_GB2312"/>
          <w:color w:val="000000"/>
          <w:szCs w:val="21"/>
        </w:rPr>
        <w:t>7</w:t>
      </w:r>
      <w:r w:rsidRPr="00DA1341">
        <w:rPr>
          <w:rFonts w:eastAsia="楷体_GB2312" w:hint="eastAsia"/>
          <w:color w:val="000000"/>
          <w:szCs w:val="21"/>
        </w:rPr>
        <w:t>%</w:t>
      </w:r>
      <w:r w:rsidRPr="00DA1341">
        <w:rPr>
          <w:rFonts w:eastAsia="楷体_GB2312" w:hint="eastAsia"/>
          <w:color w:val="000000"/>
          <w:szCs w:val="21"/>
        </w:rPr>
        <w:t>，</w:t>
      </w:r>
      <w:r w:rsidR="00B75FAB" w:rsidRPr="00DA1341">
        <w:rPr>
          <w:rFonts w:eastAsia="楷体_GB2312" w:hint="eastAsia"/>
          <w:color w:val="000000"/>
          <w:szCs w:val="21"/>
        </w:rPr>
        <w:t>近八</w:t>
      </w:r>
      <w:r w:rsidRPr="00DA1341">
        <w:rPr>
          <w:rFonts w:eastAsia="楷体_GB2312" w:hint="eastAsia"/>
          <w:color w:val="000000"/>
          <w:szCs w:val="21"/>
        </w:rPr>
        <w:t>成基金收益为</w:t>
      </w:r>
      <w:r w:rsidR="00BE4532" w:rsidRPr="00DA1341">
        <w:rPr>
          <w:rFonts w:eastAsia="楷体_GB2312" w:hint="eastAsia"/>
          <w:color w:val="000000"/>
          <w:szCs w:val="21"/>
        </w:rPr>
        <w:t>正</w:t>
      </w:r>
      <w:r w:rsidRPr="00DA1341">
        <w:rPr>
          <w:rFonts w:eastAsia="楷体_GB2312" w:hint="eastAsia"/>
          <w:color w:val="000000"/>
          <w:szCs w:val="21"/>
        </w:rPr>
        <w:t>。其中，</w:t>
      </w:r>
      <w:r w:rsidR="00922432" w:rsidRPr="00DA1341">
        <w:rPr>
          <w:rFonts w:eastAsia="楷体_GB2312" w:hint="eastAsia"/>
          <w:color w:val="000000"/>
          <w:szCs w:val="21"/>
        </w:rPr>
        <w:t>新华信用增益</w:t>
      </w:r>
      <w:r w:rsidR="00922432" w:rsidRPr="00DA1341">
        <w:rPr>
          <w:rFonts w:eastAsia="楷体_GB2312" w:hint="eastAsia"/>
          <w:color w:val="000000"/>
          <w:szCs w:val="21"/>
        </w:rPr>
        <w:t>C</w:t>
      </w:r>
      <w:r w:rsidRPr="00DA1341">
        <w:rPr>
          <w:rFonts w:eastAsia="楷体_GB2312" w:hint="eastAsia"/>
          <w:color w:val="000000"/>
          <w:szCs w:val="21"/>
        </w:rPr>
        <w:t>、</w:t>
      </w:r>
      <w:r w:rsidR="00922432" w:rsidRPr="00DA1341">
        <w:rPr>
          <w:rFonts w:eastAsia="楷体_GB2312" w:hint="eastAsia"/>
          <w:color w:val="000000"/>
          <w:szCs w:val="21"/>
        </w:rPr>
        <w:t>工银瑞信信用添利</w:t>
      </w:r>
      <w:r w:rsidR="00922432" w:rsidRPr="00DA1341">
        <w:rPr>
          <w:rFonts w:eastAsia="楷体_GB2312" w:hint="eastAsia"/>
          <w:color w:val="000000"/>
          <w:szCs w:val="21"/>
        </w:rPr>
        <w:t>A</w:t>
      </w:r>
      <w:r w:rsidR="00922432" w:rsidRPr="00DA1341">
        <w:rPr>
          <w:rFonts w:eastAsia="楷体_GB2312"/>
          <w:color w:val="000000"/>
          <w:szCs w:val="21"/>
        </w:rPr>
        <w:t>\B</w:t>
      </w:r>
      <w:r w:rsidRPr="00DA1341">
        <w:rPr>
          <w:rFonts w:eastAsia="楷体_GB2312" w:hint="eastAsia"/>
          <w:color w:val="000000"/>
          <w:szCs w:val="21"/>
        </w:rPr>
        <w:t>、</w:t>
      </w:r>
      <w:r w:rsidR="0009105F" w:rsidRPr="00DA1341">
        <w:rPr>
          <w:rFonts w:eastAsia="楷体_GB2312" w:hint="eastAsia"/>
          <w:color w:val="000000"/>
          <w:szCs w:val="21"/>
        </w:rPr>
        <w:t>博时稳健回报</w:t>
      </w:r>
      <w:r w:rsidR="0009105F" w:rsidRPr="00DA1341">
        <w:rPr>
          <w:rFonts w:eastAsia="楷体_GB2312" w:hint="eastAsia"/>
          <w:color w:val="000000"/>
          <w:szCs w:val="21"/>
        </w:rPr>
        <w:t>A</w:t>
      </w:r>
      <w:r w:rsidR="00922432" w:rsidRPr="00DA1341">
        <w:rPr>
          <w:rFonts w:eastAsia="楷体_GB2312" w:hint="eastAsia"/>
          <w:color w:val="000000"/>
          <w:szCs w:val="21"/>
        </w:rPr>
        <w:t>\C</w:t>
      </w:r>
      <w:r w:rsidRPr="00DA1341">
        <w:rPr>
          <w:rFonts w:eastAsia="楷体_GB2312" w:hint="eastAsia"/>
          <w:color w:val="000000"/>
          <w:szCs w:val="21"/>
        </w:rPr>
        <w:t>收益率领先，上周收益率分别为</w:t>
      </w:r>
      <w:r w:rsidR="00922432" w:rsidRPr="00DA1341">
        <w:rPr>
          <w:rFonts w:eastAsia="楷体_GB2312"/>
          <w:color w:val="000000"/>
          <w:szCs w:val="21"/>
        </w:rPr>
        <w:t>2.98</w:t>
      </w:r>
      <w:r w:rsidRPr="00DA1341">
        <w:rPr>
          <w:rFonts w:eastAsia="楷体_GB2312"/>
          <w:color w:val="000000"/>
          <w:szCs w:val="21"/>
        </w:rPr>
        <w:t>%</w:t>
      </w:r>
      <w:r w:rsidRPr="00DA1341">
        <w:rPr>
          <w:rFonts w:eastAsia="楷体_GB2312" w:hint="eastAsia"/>
          <w:color w:val="000000"/>
          <w:szCs w:val="21"/>
        </w:rPr>
        <w:t>、</w:t>
      </w:r>
      <w:r w:rsidR="00922432" w:rsidRPr="00DA1341">
        <w:rPr>
          <w:rFonts w:eastAsia="楷体_GB2312"/>
          <w:color w:val="000000"/>
          <w:szCs w:val="21"/>
        </w:rPr>
        <w:t>1.19</w:t>
      </w:r>
      <w:r w:rsidRPr="00DA1341">
        <w:rPr>
          <w:rFonts w:eastAsia="楷体_GB2312" w:hint="eastAsia"/>
          <w:color w:val="000000"/>
          <w:szCs w:val="21"/>
        </w:rPr>
        <w:t>%\</w:t>
      </w:r>
      <w:r w:rsidR="00922432" w:rsidRPr="00DA1341">
        <w:rPr>
          <w:rFonts w:eastAsia="楷体_GB2312"/>
          <w:color w:val="000000"/>
          <w:szCs w:val="21"/>
        </w:rPr>
        <w:t>1.19</w:t>
      </w:r>
      <w:r w:rsidRPr="00DA1341">
        <w:rPr>
          <w:rFonts w:eastAsia="楷体_GB2312" w:hint="eastAsia"/>
          <w:color w:val="000000"/>
          <w:szCs w:val="21"/>
        </w:rPr>
        <w:t>%</w:t>
      </w:r>
      <w:r w:rsidRPr="00DA1341">
        <w:rPr>
          <w:rFonts w:eastAsia="楷体_GB2312" w:hint="eastAsia"/>
          <w:color w:val="000000"/>
          <w:szCs w:val="21"/>
        </w:rPr>
        <w:t>和</w:t>
      </w:r>
      <w:r w:rsidR="00922432" w:rsidRPr="00DA1341">
        <w:rPr>
          <w:rFonts w:eastAsia="楷体_GB2312"/>
          <w:color w:val="000000"/>
          <w:szCs w:val="21"/>
        </w:rPr>
        <w:t>1.13</w:t>
      </w:r>
      <w:r w:rsidRPr="00DA1341">
        <w:rPr>
          <w:rFonts w:eastAsia="楷体_GB2312"/>
          <w:color w:val="000000"/>
          <w:szCs w:val="21"/>
        </w:rPr>
        <w:t>%</w:t>
      </w:r>
      <w:r w:rsidR="00922432" w:rsidRPr="00DA1341">
        <w:rPr>
          <w:rFonts w:eastAsia="楷体_GB2312"/>
          <w:color w:val="000000"/>
          <w:szCs w:val="21"/>
        </w:rPr>
        <w:t>\1.12%</w:t>
      </w:r>
      <w:r w:rsidRPr="00DA1341">
        <w:rPr>
          <w:rFonts w:eastAsia="楷体_GB2312" w:hint="eastAsia"/>
          <w:color w:val="000000"/>
          <w:szCs w:val="21"/>
        </w:rPr>
        <w:t>。</w:t>
      </w:r>
      <w:r w:rsidRPr="00DA1341">
        <w:rPr>
          <w:rFonts w:eastAsia="楷体_GB2312" w:hint="eastAsia"/>
          <w:color w:val="000000"/>
          <w:szCs w:val="21"/>
        </w:rPr>
        <w:t>2016</w:t>
      </w:r>
      <w:r w:rsidRPr="00DA1341">
        <w:rPr>
          <w:rFonts w:eastAsia="楷体_GB2312" w:hint="eastAsia"/>
          <w:color w:val="000000"/>
          <w:szCs w:val="21"/>
        </w:rPr>
        <w:t>年以来的债券型基金平均收益率为</w:t>
      </w:r>
      <w:r w:rsidRPr="00DA1341">
        <w:rPr>
          <w:rFonts w:eastAsia="楷体_GB2312" w:hint="eastAsia"/>
          <w:color w:val="000000"/>
          <w:szCs w:val="21"/>
        </w:rPr>
        <w:t>-0.</w:t>
      </w:r>
      <w:r w:rsidR="000C2852" w:rsidRPr="00DA1341">
        <w:rPr>
          <w:rFonts w:eastAsia="楷体_GB2312"/>
          <w:color w:val="000000"/>
          <w:szCs w:val="21"/>
        </w:rPr>
        <w:t>37</w:t>
      </w:r>
      <w:r w:rsidRPr="00DA1341">
        <w:rPr>
          <w:rFonts w:eastAsia="楷体_GB2312" w:hint="eastAsia"/>
          <w:color w:val="000000"/>
          <w:szCs w:val="21"/>
        </w:rPr>
        <w:t>%</w:t>
      </w:r>
      <w:r w:rsidRPr="00DA1341">
        <w:rPr>
          <w:rFonts w:eastAsia="楷体_GB2312" w:hint="eastAsia"/>
          <w:color w:val="000000"/>
          <w:szCs w:val="21"/>
        </w:rPr>
        <w:t>。业绩居前的基金为新华安享惠金</w:t>
      </w:r>
      <w:r w:rsidRPr="00DA1341">
        <w:rPr>
          <w:rFonts w:eastAsia="楷体_GB2312" w:hint="eastAsia"/>
          <w:color w:val="000000"/>
          <w:szCs w:val="21"/>
        </w:rPr>
        <w:t>A\C</w:t>
      </w:r>
      <w:r w:rsidRPr="00DA1341">
        <w:rPr>
          <w:rFonts w:eastAsia="楷体_GB2312" w:hint="eastAsia"/>
          <w:color w:val="000000"/>
          <w:szCs w:val="21"/>
        </w:rPr>
        <w:t>、英大纯债</w:t>
      </w:r>
      <w:r w:rsidRPr="00DA1341">
        <w:rPr>
          <w:rFonts w:eastAsia="楷体_GB2312" w:hint="eastAsia"/>
          <w:color w:val="000000"/>
          <w:szCs w:val="21"/>
        </w:rPr>
        <w:t>A</w:t>
      </w:r>
      <w:r w:rsidR="00DD07CE" w:rsidRPr="00DA1341">
        <w:rPr>
          <w:rFonts w:eastAsia="楷体_GB2312" w:hint="eastAsia"/>
          <w:color w:val="000000"/>
          <w:szCs w:val="21"/>
        </w:rPr>
        <w:t>、新华惠鑫分级</w:t>
      </w:r>
      <w:r w:rsidRPr="00DA1341">
        <w:rPr>
          <w:rFonts w:eastAsia="楷体_GB2312" w:hint="eastAsia"/>
          <w:color w:val="000000"/>
          <w:szCs w:val="21"/>
        </w:rPr>
        <w:t>，收益率分别为</w:t>
      </w:r>
      <w:r w:rsidR="00DD07CE" w:rsidRPr="00DA1341">
        <w:rPr>
          <w:rFonts w:eastAsia="楷体_GB2312"/>
          <w:color w:val="000000"/>
          <w:szCs w:val="21"/>
        </w:rPr>
        <w:t>3.87</w:t>
      </w:r>
      <w:r w:rsidR="00626173" w:rsidRPr="00DA1341">
        <w:rPr>
          <w:rFonts w:eastAsia="楷体_GB2312" w:hint="eastAsia"/>
          <w:color w:val="000000"/>
          <w:szCs w:val="21"/>
        </w:rPr>
        <w:t>%\</w:t>
      </w:r>
      <w:r w:rsidR="00DD07CE" w:rsidRPr="00DA1341">
        <w:rPr>
          <w:rFonts w:eastAsia="楷体_GB2312"/>
          <w:color w:val="000000"/>
          <w:szCs w:val="21"/>
        </w:rPr>
        <w:t xml:space="preserve"> 3.73</w:t>
      </w:r>
      <w:r w:rsidRPr="00DA1341">
        <w:rPr>
          <w:rFonts w:eastAsia="楷体_GB2312" w:hint="eastAsia"/>
          <w:color w:val="000000"/>
          <w:szCs w:val="21"/>
        </w:rPr>
        <w:t>%</w:t>
      </w:r>
      <w:r w:rsidRPr="00DA1341">
        <w:rPr>
          <w:rFonts w:eastAsia="楷体_GB2312" w:hint="eastAsia"/>
          <w:color w:val="000000"/>
          <w:szCs w:val="21"/>
        </w:rPr>
        <w:t>、</w:t>
      </w:r>
      <w:r w:rsidR="00DD07CE" w:rsidRPr="00DA1341">
        <w:rPr>
          <w:rFonts w:eastAsia="楷体_GB2312"/>
          <w:color w:val="000000"/>
          <w:szCs w:val="21"/>
        </w:rPr>
        <w:t>3.58</w:t>
      </w:r>
      <w:r w:rsidRPr="00DA1341">
        <w:rPr>
          <w:rFonts w:eastAsia="楷体_GB2312" w:hint="eastAsia"/>
          <w:color w:val="000000"/>
          <w:szCs w:val="21"/>
        </w:rPr>
        <w:t>%</w:t>
      </w:r>
      <w:r w:rsidRPr="00DA1341">
        <w:rPr>
          <w:rFonts w:eastAsia="楷体_GB2312" w:hint="eastAsia"/>
          <w:color w:val="000000"/>
          <w:szCs w:val="21"/>
        </w:rPr>
        <w:t>、</w:t>
      </w:r>
      <w:r w:rsidR="00DD07CE" w:rsidRPr="00DA1341">
        <w:rPr>
          <w:rFonts w:eastAsia="楷体_GB2312"/>
          <w:color w:val="000000"/>
          <w:szCs w:val="21"/>
        </w:rPr>
        <w:t>3.53</w:t>
      </w:r>
      <w:r w:rsidRPr="00DA1341">
        <w:rPr>
          <w:rFonts w:eastAsia="楷体_GB2312" w:hint="eastAsia"/>
          <w:color w:val="000000"/>
          <w:szCs w:val="21"/>
        </w:rPr>
        <w:t>%</w:t>
      </w:r>
      <w:r w:rsidRPr="00DA1341">
        <w:rPr>
          <w:rFonts w:eastAsia="楷体_GB2312" w:hint="eastAsia"/>
          <w:color w:val="000000"/>
          <w:szCs w:val="21"/>
        </w:rPr>
        <w:t>。货币市场基金期间平均</w:t>
      </w:r>
      <w:r w:rsidRPr="00DA1341">
        <w:rPr>
          <w:rFonts w:eastAsia="楷体_GB2312" w:hint="eastAsia"/>
          <w:color w:val="000000"/>
          <w:szCs w:val="21"/>
        </w:rPr>
        <w:t>7</w:t>
      </w:r>
      <w:r w:rsidRPr="00DA1341">
        <w:rPr>
          <w:rFonts w:eastAsia="楷体_GB2312" w:hint="eastAsia"/>
          <w:color w:val="000000"/>
          <w:szCs w:val="21"/>
        </w:rPr>
        <w:t>天年化收益率为</w:t>
      </w:r>
      <w:r w:rsidRPr="00DA1341">
        <w:rPr>
          <w:rFonts w:eastAsia="楷体_GB2312" w:hint="eastAsia"/>
          <w:color w:val="000000"/>
          <w:szCs w:val="21"/>
        </w:rPr>
        <w:t>2.</w:t>
      </w:r>
      <w:r w:rsidR="00B13EFD" w:rsidRPr="00DA1341">
        <w:rPr>
          <w:rFonts w:eastAsia="楷体_GB2312"/>
          <w:color w:val="000000"/>
          <w:szCs w:val="21"/>
        </w:rPr>
        <w:t>5</w:t>
      </w:r>
      <w:r w:rsidR="00F66ECF" w:rsidRPr="00DA1341">
        <w:rPr>
          <w:rFonts w:eastAsia="楷体_GB2312"/>
          <w:color w:val="000000"/>
          <w:szCs w:val="21"/>
        </w:rPr>
        <w:t>6</w:t>
      </w:r>
      <w:r w:rsidRPr="00DA1341">
        <w:rPr>
          <w:rFonts w:eastAsia="楷体_GB2312" w:hint="eastAsia"/>
          <w:color w:val="000000"/>
          <w:szCs w:val="21"/>
        </w:rPr>
        <w:t>%</w:t>
      </w:r>
      <w:r w:rsidRPr="00DA1341">
        <w:rPr>
          <w:rFonts w:eastAsia="楷体_GB2312" w:hint="eastAsia"/>
          <w:color w:val="000000"/>
          <w:szCs w:val="21"/>
        </w:rPr>
        <w:t>，上周货币市场基金</w:t>
      </w:r>
      <w:r w:rsidRPr="00DA1341">
        <w:rPr>
          <w:rFonts w:eastAsia="楷体_GB2312" w:hint="eastAsia"/>
          <w:color w:val="000000"/>
          <w:szCs w:val="21"/>
        </w:rPr>
        <w:t>7</w:t>
      </w:r>
      <w:r w:rsidR="00F0657F" w:rsidRPr="00DA1341">
        <w:rPr>
          <w:rFonts w:eastAsia="楷体_GB2312" w:hint="eastAsia"/>
          <w:color w:val="000000"/>
          <w:szCs w:val="21"/>
        </w:rPr>
        <w:t>天年化收益率较前期波动</w:t>
      </w:r>
      <w:r w:rsidR="003847EB" w:rsidRPr="00DA1341">
        <w:rPr>
          <w:rFonts w:eastAsia="楷体_GB2312" w:hint="eastAsia"/>
          <w:color w:val="000000"/>
          <w:szCs w:val="21"/>
        </w:rPr>
        <w:t>上升</w:t>
      </w:r>
      <w:r w:rsidR="00D33564" w:rsidRPr="00DA1341">
        <w:rPr>
          <w:rFonts w:eastAsia="楷体_GB2312" w:hint="eastAsia"/>
          <w:color w:val="000000"/>
          <w:szCs w:val="21"/>
        </w:rPr>
        <w:t>。</w:t>
      </w:r>
      <w:bookmarkEnd w:id="23"/>
      <w:bookmarkEnd w:id="24"/>
      <w:bookmarkEnd w:id="25"/>
    </w:p>
    <w:p w:rsidR="007C43F9" w:rsidRPr="00DA1341" w:rsidRDefault="007C43F9" w:rsidP="007C43F9">
      <w:pPr>
        <w:rPr>
          <w:rFonts w:ascii="楷体" w:eastAsia="楷体" w:hAnsi="楷体"/>
          <w:b/>
          <w:color w:val="000000"/>
          <w:sz w:val="28"/>
          <w:szCs w:val="28"/>
        </w:rPr>
      </w:pPr>
      <w:r w:rsidRPr="00DA1341">
        <w:rPr>
          <w:rFonts w:ascii="楷体" w:eastAsia="楷体" w:hAnsi="楷体" w:hint="eastAsia"/>
          <w:b/>
          <w:color w:val="000000"/>
          <w:sz w:val="28"/>
          <w:szCs w:val="28"/>
        </w:rPr>
        <w:t>QDII及另类投资产品</w:t>
      </w:r>
    </w:p>
    <w:p w:rsidR="0071040A" w:rsidRPr="00DA1341" w:rsidRDefault="004A46B5" w:rsidP="00DA1341">
      <w:pPr>
        <w:spacing w:line="360" w:lineRule="auto"/>
        <w:ind w:firstLineChars="200" w:firstLine="420"/>
        <w:jc w:val="left"/>
        <w:rPr>
          <w:rFonts w:eastAsia="楷体_GB2312"/>
          <w:color w:val="000000"/>
          <w:szCs w:val="21"/>
        </w:rPr>
      </w:pPr>
      <w:bookmarkStart w:id="26" w:name="OLE_LINK42"/>
      <w:bookmarkStart w:id="27" w:name="OLE_LINK43"/>
      <w:r w:rsidRPr="00DA1341">
        <w:rPr>
          <w:rFonts w:eastAsia="楷体_GB2312" w:hint="eastAsia"/>
          <w:color w:val="000000"/>
          <w:szCs w:val="21"/>
        </w:rPr>
        <w:t>QDII</w:t>
      </w:r>
      <w:r w:rsidRPr="00DA1341">
        <w:rPr>
          <w:rFonts w:eastAsia="楷体_GB2312" w:hint="eastAsia"/>
          <w:color w:val="000000"/>
          <w:szCs w:val="21"/>
        </w:rPr>
        <w:t>及另类投资基金期间平均收益率为</w:t>
      </w:r>
      <w:r w:rsidRPr="00DA1341">
        <w:rPr>
          <w:rFonts w:eastAsia="楷体_GB2312"/>
          <w:color w:val="000000"/>
          <w:szCs w:val="21"/>
        </w:rPr>
        <w:t>-0.</w:t>
      </w:r>
      <w:r w:rsidR="00085D59" w:rsidRPr="00DA1341">
        <w:rPr>
          <w:rFonts w:eastAsia="楷体_GB2312"/>
          <w:color w:val="000000"/>
          <w:szCs w:val="21"/>
        </w:rPr>
        <w:t>74</w:t>
      </w:r>
      <w:r w:rsidRPr="00DA1341">
        <w:rPr>
          <w:rFonts w:eastAsia="楷体_GB2312" w:hint="eastAsia"/>
          <w:color w:val="000000"/>
          <w:szCs w:val="21"/>
        </w:rPr>
        <w:t>%</w:t>
      </w:r>
      <w:r w:rsidR="00A97E58" w:rsidRPr="00DA1341">
        <w:rPr>
          <w:rFonts w:eastAsia="楷体_GB2312" w:hint="eastAsia"/>
          <w:color w:val="000000"/>
          <w:szCs w:val="21"/>
        </w:rPr>
        <w:t>。</w:t>
      </w:r>
      <w:r w:rsidRPr="00DA1341">
        <w:rPr>
          <w:rFonts w:eastAsia="楷体_GB2312" w:hint="eastAsia"/>
          <w:color w:val="000000"/>
          <w:szCs w:val="21"/>
        </w:rPr>
        <w:t>业绩收益居前的基金</w:t>
      </w:r>
      <w:r w:rsidR="00A97E58" w:rsidRPr="00DA1341">
        <w:rPr>
          <w:rFonts w:eastAsia="楷体_GB2312" w:hint="eastAsia"/>
          <w:color w:val="000000"/>
          <w:szCs w:val="21"/>
        </w:rPr>
        <w:t>分别是</w:t>
      </w:r>
      <w:r w:rsidR="00AC7536" w:rsidRPr="00DA1341">
        <w:rPr>
          <w:rFonts w:eastAsia="楷体_GB2312" w:hint="eastAsia"/>
          <w:color w:val="000000"/>
          <w:szCs w:val="21"/>
        </w:rPr>
        <w:t>国泰大宗商品</w:t>
      </w:r>
      <w:r w:rsidRPr="00DA1341">
        <w:rPr>
          <w:rFonts w:eastAsia="楷体_GB2312" w:hint="eastAsia"/>
          <w:color w:val="000000"/>
          <w:szCs w:val="21"/>
        </w:rPr>
        <w:t>、</w:t>
      </w:r>
      <w:r w:rsidR="00AC7536" w:rsidRPr="00DA1341">
        <w:rPr>
          <w:rFonts w:eastAsia="楷体_GB2312" w:hint="eastAsia"/>
          <w:color w:val="000000"/>
          <w:szCs w:val="21"/>
        </w:rPr>
        <w:t>华宝兴业标普油气美元</w:t>
      </w:r>
      <w:r w:rsidRPr="00DA1341">
        <w:rPr>
          <w:rFonts w:eastAsia="楷体_GB2312" w:hint="eastAsia"/>
          <w:color w:val="000000"/>
          <w:szCs w:val="21"/>
        </w:rPr>
        <w:t>、</w:t>
      </w:r>
      <w:r w:rsidR="00AC7536" w:rsidRPr="00DA1341">
        <w:rPr>
          <w:rFonts w:eastAsia="楷体_GB2312" w:hint="eastAsia"/>
          <w:color w:val="000000"/>
          <w:szCs w:val="21"/>
        </w:rPr>
        <w:t>华宝兴业标普油气人民币</w:t>
      </w:r>
      <w:r w:rsidRPr="00DA1341">
        <w:rPr>
          <w:rFonts w:eastAsia="楷体_GB2312" w:hint="eastAsia"/>
          <w:color w:val="000000"/>
          <w:szCs w:val="21"/>
        </w:rPr>
        <w:t>，上期收益率分别为</w:t>
      </w:r>
      <w:r w:rsidR="00AC7536" w:rsidRPr="00DA1341">
        <w:rPr>
          <w:rFonts w:eastAsia="楷体_GB2312"/>
          <w:color w:val="000000"/>
          <w:szCs w:val="21"/>
        </w:rPr>
        <w:t>4.37</w:t>
      </w:r>
      <w:r w:rsidRPr="00DA1341">
        <w:rPr>
          <w:rFonts w:eastAsia="楷体_GB2312" w:hint="eastAsia"/>
          <w:color w:val="000000"/>
          <w:szCs w:val="21"/>
        </w:rPr>
        <w:t>%</w:t>
      </w:r>
      <w:r w:rsidRPr="00DA1341">
        <w:rPr>
          <w:rFonts w:eastAsia="楷体_GB2312" w:hint="eastAsia"/>
          <w:color w:val="000000"/>
          <w:szCs w:val="21"/>
        </w:rPr>
        <w:t>、</w:t>
      </w:r>
      <w:r w:rsidR="00AC7536" w:rsidRPr="00DA1341">
        <w:rPr>
          <w:rFonts w:eastAsia="楷体_GB2312"/>
          <w:color w:val="000000"/>
          <w:szCs w:val="21"/>
        </w:rPr>
        <w:t>2.39</w:t>
      </w:r>
      <w:r w:rsidRPr="00DA1341">
        <w:rPr>
          <w:rFonts w:eastAsia="楷体_GB2312" w:hint="eastAsia"/>
          <w:color w:val="000000"/>
          <w:szCs w:val="21"/>
        </w:rPr>
        <w:t>%</w:t>
      </w:r>
      <w:r w:rsidRPr="00DA1341">
        <w:rPr>
          <w:rFonts w:eastAsia="楷体_GB2312" w:hint="eastAsia"/>
          <w:color w:val="000000"/>
          <w:szCs w:val="21"/>
        </w:rPr>
        <w:t>、</w:t>
      </w:r>
      <w:r w:rsidR="00AC7536" w:rsidRPr="00DA1341">
        <w:rPr>
          <w:rFonts w:eastAsia="楷体_GB2312"/>
          <w:color w:val="000000"/>
          <w:szCs w:val="21"/>
        </w:rPr>
        <w:t>2.01</w:t>
      </w:r>
      <w:r w:rsidRPr="00DA1341">
        <w:rPr>
          <w:rFonts w:eastAsia="楷体_GB2312" w:hint="eastAsia"/>
          <w:color w:val="000000"/>
          <w:szCs w:val="21"/>
        </w:rPr>
        <w:t>%</w:t>
      </w:r>
      <w:r w:rsidRPr="00DA1341">
        <w:rPr>
          <w:rFonts w:eastAsia="楷体_GB2312" w:hint="eastAsia"/>
          <w:color w:val="000000"/>
          <w:szCs w:val="21"/>
        </w:rPr>
        <w:t>。上周收益率不佳的</w:t>
      </w:r>
      <w:r w:rsidRPr="00DA1341">
        <w:rPr>
          <w:rFonts w:eastAsia="楷体_GB2312" w:hint="eastAsia"/>
          <w:color w:val="000000"/>
          <w:szCs w:val="21"/>
        </w:rPr>
        <w:t>QDII</w:t>
      </w:r>
      <w:r w:rsidRPr="00DA1341">
        <w:rPr>
          <w:rFonts w:eastAsia="楷体_GB2312" w:hint="eastAsia"/>
          <w:color w:val="000000"/>
          <w:szCs w:val="21"/>
        </w:rPr>
        <w:t>基金为：</w:t>
      </w:r>
      <w:r w:rsidR="00697693" w:rsidRPr="00DA1341">
        <w:rPr>
          <w:rFonts w:eastAsia="楷体_GB2312" w:hint="eastAsia"/>
          <w:color w:val="000000"/>
          <w:szCs w:val="21"/>
        </w:rPr>
        <w:t>嘉实全球互联网人民币</w:t>
      </w:r>
      <w:r w:rsidR="000228D5" w:rsidRPr="00DA1341">
        <w:rPr>
          <w:rFonts w:eastAsia="楷体_GB2312" w:hint="eastAsia"/>
          <w:color w:val="000000"/>
          <w:szCs w:val="21"/>
        </w:rPr>
        <w:t>、</w:t>
      </w:r>
      <w:r w:rsidR="00697693" w:rsidRPr="00DA1341">
        <w:rPr>
          <w:rFonts w:eastAsia="楷体_GB2312" w:hint="eastAsia"/>
          <w:color w:val="000000"/>
          <w:szCs w:val="21"/>
        </w:rPr>
        <w:t>华宝兴业中国互联网人民币、交银中证海外中国互联网</w:t>
      </w:r>
      <w:r w:rsidR="0085079B" w:rsidRPr="00DA1341">
        <w:rPr>
          <w:rFonts w:eastAsia="楷体_GB2312" w:hint="eastAsia"/>
          <w:color w:val="000000"/>
          <w:szCs w:val="21"/>
        </w:rPr>
        <w:t>。</w:t>
      </w:r>
      <w:bookmarkEnd w:id="26"/>
      <w:bookmarkEnd w:id="27"/>
    </w:p>
    <w:p w:rsidR="0089305D" w:rsidRPr="0089305D" w:rsidRDefault="0089305D" w:rsidP="0089305D">
      <w:pPr>
        <w:spacing w:line="360" w:lineRule="auto"/>
        <w:ind w:firstLineChars="200" w:firstLine="420"/>
        <w:jc w:val="left"/>
        <w:rPr>
          <w:rFonts w:eastAsia="KaiTi_GB2312"/>
          <w:color w:val="000000"/>
          <w:szCs w:val="21"/>
        </w:rPr>
      </w:pPr>
    </w:p>
    <w:p w:rsidR="00496188" w:rsidRPr="001F24F3" w:rsidRDefault="00496188" w:rsidP="00AC1958">
      <w:pPr>
        <w:spacing w:line="360" w:lineRule="auto"/>
        <w:ind w:firstLineChars="200" w:firstLine="420"/>
        <w:jc w:val="left"/>
        <w:rPr>
          <w:rFonts w:eastAsia="KaiTi_GB2312"/>
          <w:color w:val="000000"/>
          <w:szCs w:val="21"/>
        </w:rPr>
        <w:sectPr w:rsidR="00496188" w:rsidRPr="001F24F3" w:rsidSect="00B74732">
          <w:headerReference w:type="default" r:id="rId14"/>
          <w:footerReference w:type="default" r:id="rId15"/>
          <w:pgSz w:w="11906" w:h="16838"/>
          <w:pgMar w:top="1418" w:right="1287" w:bottom="1418" w:left="4536" w:header="851" w:footer="992" w:gutter="0"/>
          <w:cols w:space="425"/>
          <w:docGrid w:type="lines" w:linePitch="312"/>
        </w:sectPr>
      </w:pPr>
    </w:p>
    <w:p w:rsidR="00843251" w:rsidRDefault="00843251" w:rsidP="00843251">
      <w:pPr>
        <w:pageBreakBefore/>
        <w:spacing w:line="400" w:lineRule="exact"/>
        <w:jc w:val="left"/>
        <w:rPr>
          <w:rFonts w:ascii="KaiTi_GB2312" w:eastAsia="KaiTi_GB2312" w:hAnsi="Arial"/>
          <w:b/>
          <w:color w:val="003366"/>
        </w:rPr>
      </w:pPr>
      <w:r>
        <w:rPr>
          <w:rFonts w:ascii="KaiTi_GB2312" w:eastAsia="KaiTi_GB2312" w:hAnsi="Arial" w:hint="eastAsia"/>
          <w:b/>
          <w:color w:val="003366"/>
        </w:rPr>
        <w:lastRenderedPageBreak/>
        <w:t>分析师承诺</w:t>
      </w:r>
    </w:p>
    <w:bookmarkEnd w:id="15"/>
    <w:p w:rsidR="00E86F01" w:rsidRPr="00D67E93" w:rsidRDefault="00E86F01" w:rsidP="007E44CE">
      <w:pPr>
        <w:spacing w:beforeLines="50"/>
        <w:rPr>
          <w:rFonts w:eastAsia="KaiTi_GB2312"/>
          <w:sz w:val="18"/>
        </w:rPr>
      </w:pPr>
      <w:r w:rsidRPr="00D67E93">
        <w:rPr>
          <w:rFonts w:eastAsia="KaiTi_GB2312"/>
          <w:sz w:val="18"/>
        </w:rPr>
        <w:t>分析师</w:t>
      </w:r>
      <w:r w:rsidRPr="00D67E93">
        <w:rPr>
          <w:rFonts w:eastAsia="KaiTi_GB2312"/>
          <w:sz w:val="18"/>
        </w:rPr>
        <w:t xml:space="preserve">  </w:t>
      </w:r>
      <w:fldSimple w:instr=" DOCPROPERTY  allname  \* MERGEFORMAT ">
        <w:r w:rsidRPr="00D67E93">
          <w:rPr>
            <w:rFonts w:eastAsia="KaiTi_GB2312"/>
            <w:sz w:val="18"/>
          </w:rPr>
          <w:t>高琛</w:t>
        </w:r>
      </w:fldSimple>
      <w:r w:rsidRPr="00D67E93">
        <w:rPr>
          <w:rFonts w:eastAsia="KaiTi_GB2312"/>
          <w:sz w:val="18"/>
        </w:rPr>
        <w:t xml:space="preserve"> </w:t>
      </w:r>
    </w:p>
    <w:p w:rsidR="00E86F01" w:rsidRPr="00D67E93" w:rsidRDefault="00E86F01" w:rsidP="00E86F01">
      <w:pPr>
        <w:spacing w:line="300" w:lineRule="exact"/>
        <w:rPr>
          <w:rFonts w:eastAsia="KaiTi_GB2312"/>
          <w:color w:val="000000"/>
          <w:sz w:val="18"/>
          <w:szCs w:val="18"/>
        </w:rPr>
      </w:pPr>
      <w:r w:rsidRPr="00D67E93">
        <w:rPr>
          <w:rFonts w:eastAsia="KaiTi_GB2312"/>
          <w:color w:val="000000"/>
          <w:sz w:val="18"/>
          <w:szCs w:val="18"/>
        </w:rPr>
        <w:t>本人以勤勉尽责的职业态度，独立、客观地出具本报告。本报告依据公开的信息来源，力求清晰、准确地反映分析师的研究观点。此外，本人薪酬的任何部分过去不曾与、现在不与、未来也将不会与本报告中的具体推荐意见或观点直接或间接相关。</w:t>
      </w:r>
    </w:p>
    <w:p w:rsidR="00E86F01" w:rsidRPr="00D67E93" w:rsidRDefault="00E86F01" w:rsidP="00E86F01">
      <w:pPr>
        <w:spacing w:line="400" w:lineRule="exact"/>
        <w:jc w:val="left"/>
        <w:rPr>
          <w:rFonts w:eastAsia="KaiTi_GB2312"/>
          <w:b/>
          <w:bCs/>
          <w:color w:val="FF6600"/>
          <w:szCs w:val="21"/>
        </w:rPr>
      </w:pPr>
    </w:p>
    <w:p w:rsidR="00E86F01" w:rsidRPr="00D67E93" w:rsidRDefault="00E86F01" w:rsidP="00E86F01">
      <w:pPr>
        <w:spacing w:line="400" w:lineRule="exact"/>
        <w:jc w:val="left"/>
        <w:rPr>
          <w:rFonts w:eastAsia="KaiTi_GB2312"/>
          <w:b/>
          <w:bCs/>
          <w:color w:val="003366"/>
          <w:szCs w:val="21"/>
        </w:rPr>
      </w:pPr>
      <w:r w:rsidRPr="00D67E93">
        <w:rPr>
          <w:rFonts w:eastAsia="KaiTi_GB2312"/>
          <w:b/>
          <w:bCs/>
          <w:color w:val="003366"/>
          <w:szCs w:val="21"/>
        </w:rPr>
        <w:t>公司业务资格说明</w:t>
      </w:r>
    </w:p>
    <w:p w:rsidR="00E86F01" w:rsidRPr="00D67E93" w:rsidRDefault="00E86F01" w:rsidP="00E86F01">
      <w:pPr>
        <w:spacing w:line="400" w:lineRule="exact"/>
        <w:jc w:val="left"/>
        <w:rPr>
          <w:rFonts w:eastAsia="KaiTi_GB2312"/>
          <w:color w:val="000000"/>
          <w:sz w:val="18"/>
          <w:szCs w:val="18"/>
        </w:rPr>
      </w:pPr>
      <w:r w:rsidRPr="00D67E93">
        <w:rPr>
          <w:rFonts w:eastAsia="KaiTi_GB2312"/>
          <w:color w:val="000000"/>
          <w:sz w:val="18"/>
          <w:szCs w:val="18"/>
        </w:rPr>
        <w:t>本公司具备证券投资咨询业务资格，是具备协会会员资格的基金评价机构。</w:t>
      </w:r>
    </w:p>
    <w:p w:rsidR="00E86F01" w:rsidRPr="00D67E93" w:rsidRDefault="00E86F01" w:rsidP="00E86F01">
      <w:pPr>
        <w:spacing w:line="400" w:lineRule="exact"/>
        <w:jc w:val="left"/>
        <w:rPr>
          <w:rFonts w:eastAsia="KaiTi_GB2312"/>
          <w:b/>
          <w:bCs/>
          <w:color w:val="003366"/>
          <w:szCs w:val="21"/>
        </w:rPr>
      </w:pPr>
    </w:p>
    <w:p w:rsidR="00E86F01" w:rsidRPr="00D67E93" w:rsidRDefault="00E86F01" w:rsidP="00E86F01">
      <w:pPr>
        <w:spacing w:line="400" w:lineRule="exact"/>
        <w:jc w:val="left"/>
        <w:rPr>
          <w:rFonts w:eastAsia="KaiTi_GB2312"/>
          <w:b/>
          <w:bCs/>
          <w:color w:val="003366"/>
          <w:szCs w:val="21"/>
        </w:rPr>
      </w:pPr>
      <w:r w:rsidRPr="00D67E93">
        <w:rPr>
          <w:rFonts w:eastAsia="KaiTi_GB2312"/>
          <w:b/>
          <w:bCs/>
          <w:color w:val="003366"/>
          <w:szCs w:val="21"/>
        </w:rPr>
        <w:t>重要声明</w:t>
      </w:r>
    </w:p>
    <w:p w:rsidR="00E86F01" w:rsidRPr="00D67E93" w:rsidRDefault="00E86F01" w:rsidP="00E86F01">
      <w:pPr>
        <w:spacing w:line="300" w:lineRule="exact"/>
        <w:rPr>
          <w:rFonts w:eastAsia="KaiTi_GB2312"/>
          <w:color w:val="000000"/>
          <w:sz w:val="18"/>
          <w:szCs w:val="18"/>
        </w:rPr>
      </w:pPr>
      <w:r w:rsidRPr="00D67E93">
        <w:rPr>
          <w:rFonts w:eastAsia="KaiTi_GB2312"/>
          <w:color w:val="000000"/>
          <w:sz w:val="18"/>
          <w:szCs w:val="18"/>
        </w:rPr>
        <w:t>本报告中的信息均来源于已公开的资料，我公司对这些信息的准确性及完整性不作任何保证，不保证该信息未经任何更新，也不保证本公司作出的任何建议不会发生任何变更。在任何情况下，报告中的信息或所表达的意见并不构成所述证券买卖的出价或询价。在任何情况下，我公司不就本报告中的任何内容对任何投资作出任何形式的担保。我公司及其关联机构可能会持有报告中提到的公司所发行的证券并进行交易，还可能为这些公司提供或争取提供投资银行或财务顾问服务。业绩表现数据仅代表过去的表现，不保证未来结果。投资收益和本金将随市场波动，当出售证券资产时可能发生损益。当前的表现可能会高于或低于那时引用的数据。</w:t>
      </w:r>
    </w:p>
    <w:p w:rsidR="00E86F01" w:rsidRPr="00D67E93" w:rsidRDefault="00E86F01" w:rsidP="00E86F01">
      <w:pPr>
        <w:spacing w:line="300" w:lineRule="exact"/>
        <w:rPr>
          <w:rFonts w:eastAsia="KaiTi_GB2312"/>
          <w:sz w:val="18"/>
          <w:szCs w:val="18"/>
        </w:rPr>
      </w:pPr>
      <w:r w:rsidRPr="00D67E93">
        <w:rPr>
          <w:rFonts w:eastAsia="KaiTi_GB2312"/>
          <w:color w:val="000000"/>
          <w:sz w:val="18"/>
          <w:szCs w:val="18"/>
        </w:rPr>
        <w:t>本报告版权归上海证券有限责任公司所有。未获得上海证券有限责任公司事先书面授权，任何人不得对本报告进行任何形式的发布、复制。如遵循原文本意地引用、刊发，需注明出处为</w:t>
      </w:r>
      <w:r w:rsidRPr="00D67E93">
        <w:rPr>
          <w:rFonts w:eastAsia="KaiTi_GB2312"/>
          <w:color w:val="000000"/>
          <w:sz w:val="18"/>
          <w:szCs w:val="18"/>
        </w:rPr>
        <w:t>“</w:t>
      </w:r>
      <w:r w:rsidRPr="00D67E93">
        <w:rPr>
          <w:rFonts w:eastAsia="KaiTi_GB2312"/>
          <w:color w:val="000000"/>
          <w:sz w:val="18"/>
          <w:szCs w:val="18"/>
        </w:rPr>
        <w:t>上海证券基金评价研究中心</w:t>
      </w:r>
      <w:r w:rsidRPr="00D67E93">
        <w:rPr>
          <w:rFonts w:eastAsia="KaiTi_GB2312"/>
          <w:color w:val="000000"/>
          <w:sz w:val="18"/>
          <w:szCs w:val="18"/>
        </w:rPr>
        <w:t>”</w:t>
      </w:r>
      <w:r w:rsidRPr="00D67E93">
        <w:rPr>
          <w:rFonts w:eastAsia="KaiTi_GB2312"/>
          <w:color w:val="000000"/>
          <w:sz w:val="18"/>
          <w:szCs w:val="18"/>
        </w:rPr>
        <w:t>。</w:t>
      </w:r>
    </w:p>
    <w:p w:rsidR="00B74732" w:rsidRPr="00E86F01" w:rsidRDefault="00B74732" w:rsidP="00902478">
      <w:pPr>
        <w:autoSpaceDE w:val="0"/>
        <w:autoSpaceDN w:val="0"/>
        <w:adjustRightInd w:val="0"/>
        <w:spacing w:beforeLines="30" w:afterLines="30" w:line="300" w:lineRule="exact"/>
        <w:jc w:val="left"/>
      </w:pPr>
    </w:p>
    <w:sectPr w:rsidR="00B74732" w:rsidRPr="00E86F01" w:rsidSect="00984D25">
      <w:headerReference w:type="default" r:id="rId16"/>
      <w:footerReference w:type="default" r:id="rId17"/>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E38" w:rsidRDefault="00AF5E38">
      <w:r>
        <w:separator/>
      </w:r>
    </w:p>
  </w:endnote>
  <w:endnote w:type="continuationSeparator" w:id="0">
    <w:p w:rsidR="00AF5E38" w:rsidRDefault="00AF5E3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Times New Roman"/>
    <w:panose1 w:val="00000000000000000000"/>
    <w:charset w:val="00"/>
    <w:family w:val="roman"/>
    <w:notTrueType/>
    <w:pitch w:val="default"/>
    <w:sig w:usb0="00000000" w:usb1="00000000" w:usb2="00000000" w:usb3="00000000" w:csb0="00000000" w:csb1="00000000"/>
  </w:font>
  <w:font w:name="KaiTi_GB2312">
    <w:panose1 w:val="02010609060101010101"/>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汉仪楷体简">
    <w:altName w:val="KaiTi_GB2312"/>
    <w:charset w:val="86"/>
    <w:family w:val="modern"/>
    <w:pitch w:val="fixed"/>
    <w:sig w:usb0="00000001" w:usb1="080E0800" w:usb2="00000012" w:usb3="00000000" w:csb0="00040000" w:csb1="00000000"/>
  </w:font>
  <w:font w:name="汉仪中等线简">
    <w:altName w:val="宋体"/>
    <w:charset w:val="86"/>
    <w:family w:val="modern"/>
    <w:pitch w:val="fixed"/>
    <w:sig w:usb0="00000001" w:usb1="080E0800" w:usb2="00000012"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宋体-18030">
    <w:altName w:val="宋体"/>
    <w:charset w:val="86"/>
    <w:family w:val="modern"/>
    <w:pitch w:val="fixed"/>
    <w:sig w:usb0="800022A7" w:usb1="880F3C78" w:usb2="000A005E"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C4" w:rsidRDefault="00902478">
    <w:pPr>
      <w:pStyle w:val="a6"/>
    </w:pPr>
    <w:r>
      <w:rPr>
        <w:noProof/>
      </w:rPr>
      <w:pict>
        <v:shapetype id="_x0000_t202" coordsize="21600,21600" o:spt="202" path="m,l,21600r21600,l21600,xe">
          <v:stroke joinstyle="miter"/>
          <v:path gradientshapeok="t" o:connecttype="rect"/>
        </v:shapetype>
        <v:shape id="_x0000_s2107" type="#_x0000_t202" style="position:absolute;margin-left:40.9pt;margin-top:784.65pt;width:513.45pt;height:18.05pt;z-index:251657216;mso-position-horizontal-relative:page;mso-position-vertical-relative:page" filled="f" stroked="f">
          <v:textbox style="mso-next-textbox:#_x0000_s2107" inset="0,0,0,0">
            <w:txbxContent>
              <w:p w:rsidR="00FF6FC4" w:rsidRDefault="00FF6FC4" w:rsidP="00DE095A">
                <w:pPr>
                  <w:pBdr>
                    <w:top w:val="single" w:sz="4" w:space="2" w:color="auto"/>
                  </w:pBdr>
                  <w:topLinePunct/>
                  <w:spacing w:line="200" w:lineRule="exact"/>
                  <w:rPr>
                    <w:rFonts w:ascii="KaiTi_GB2312" w:eastAsia="KaiTi_GB2312" w:hAnsi="Calibri"/>
                    <w:color w:val="003366"/>
                    <w:szCs w:val="21"/>
                  </w:rPr>
                </w:pPr>
                <w:r>
                  <w:rPr>
                    <w:rFonts w:ascii="KaiTi_GB2312" w:eastAsia="KaiTi_GB2312" w:hAnsi="Calibri" w:hint="eastAsia"/>
                    <w:b/>
                    <w:color w:val="003366"/>
                    <w:szCs w:val="21"/>
                  </w:rPr>
                  <w:t>重要提示：请务必阅读尾页分析师承诺和重要声明</w:t>
                </w:r>
                <w:r>
                  <w:rPr>
                    <w:rFonts w:ascii="KaiTi_GB2312" w:eastAsia="KaiTi_GB2312" w:hAnsi="Calibri" w:hint="eastAsia"/>
                    <w:color w:val="003366"/>
                    <w:szCs w:val="21"/>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C4" w:rsidRPr="007D0CA8" w:rsidRDefault="00FF6FC4">
    <w:pPr>
      <w:pStyle w:val="a6"/>
      <w:rPr>
        <w:rFonts w:eastAsia="KaiTi_GB2312"/>
        <w:b/>
        <w:color w:val="003366"/>
        <w:sz w:val="15"/>
        <w:szCs w:val="15"/>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C4" w:rsidRPr="00050225" w:rsidRDefault="00FF6FC4" w:rsidP="0005022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E38" w:rsidRDefault="00AF5E38">
      <w:r>
        <w:separator/>
      </w:r>
    </w:p>
  </w:footnote>
  <w:footnote w:type="continuationSeparator" w:id="0">
    <w:p w:rsidR="00AF5E38" w:rsidRDefault="00AF5E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C4" w:rsidRPr="00650CE8" w:rsidRDefault="00FF6FC4" w:rsidP="00755DED">
    <w:pPr>
      <w:pStyle w:val="a5"/>
      <w:ind w:right="120"/>
      <w:jc w:val="right"/>
      <w:rPr>
        <w:rFonts w:ascii="KaiTi_GB2312" w:eastAsia="KaiTi_GB2312"/>
        <w:b/>
        <w:color w:val="003366"/>
        <w:sz w:val="24"/>
        <w:szCs w:val="24"/>
      </w:rPr>
    </w:pPr>
    <w:r>
      <w:rPr>
        <w:rFonts w:ascii="KaiTi_GB2312" w:eastAsia="KaiTi_GB2312" w:hint="eastAsia"/>
        <w:b/>
        <w:color w:val="003366"/>
        <w:sz w:val="24"/>
        <w:szCs w:val="24"/>
      </w:rPr>
      <w:t>宏观数据点评</w:t>
    </w:r>
    <w:r w:rsidR="00902478">
      <w:rPr>
        <w:rFonts w:ascii="KaiTi_GB2312" w:eastAsia="KaiTi_GB2312"/>
        <w:b/>
        <w:noProof/>
        <w:color w:val="003366"/>
        <w:sz w:val="24"/>
        <w:szCs w:val="24"/>
      </w:rPr>
      <w:pict>
        <v:shapetype id="_x0000_t202" coordsize="21600,21600" o:spt="202" path="m,l,21600r21600,l21600,xe">
          <v:stroke joinstyle="miter"/>
          <v:path gradientshapeok="t" o:connecttype="rect"/>
        </v:shapetype>
        <v:shape id="_x0000_s2109" type="#_x0000_t202" style="position:absolute;left:0;text-align:left;margin-left:-21.1pt;margin-top:-1.35pt;width:89.25pt;height:30.15pt;z-index:251658240;mso-wrap-style:none;mso-position-horizontal-relative:text;mso-position-vertical-relative:text" stroked="f">
          <v:textbox style="mso-next-textbox:#_x0000_s2109;mso-fit-shape-to-text:t">
            <w:txbxContent>
              <w:p w:rsidR="00FF6FC4" w:rsidRDefault="00D24534" w:rsidP="00755DED">
                <w:r>
                  <w:rPr>
                    <w:noProof/>
                  </w:rPr>
                  <w:drawing>
                    <wp:inline distT="0" distB="0" distL="0" distR="0">
                      <wp:extent cx="952500" cy="295275"/>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srcRect/>
                              <a:stretch>
                                <a:fillRect/>
                              </a:stretch>
                            </pic:blipFill>
                            <pic:spPr bwMode="auto">
                              <a:xfrm>
                                <a:off x="0" y="0"/>
                                <a:ext cx="952500" cy="295275"/>
                              </a:xfrm>
                              <a:prstGeom prst="rect">
                                <a:avLst/>
                              </a:prstGeom>
                              <a:noFill/>
                              <a:ln w="9525">
                                <a:noFill/>
                                <a:miter lim="800000"/>
                                <a:headEnd/>
                                <a:tailEnd/>
                              </a:ln>
                            </pic:spPr>
                          </pic:pic>
                        </a:graphicData>
                      </a:graphic>
                    </wp:inline>
                  </w:drawing>
                </w:r>
              </w:p>
            </w:txbxContent>
          </v:textbox>
        </v:shape>
      </w:pict>
    </w:r>
    <w:r w:rsidR="00902478">
      <w:rPr>
        <w:rFonts w:ascii="KaiTi_GB2312" w:eastAsia="KaiTi_GB2312"/>
        <w:b/>
        <w:noProof/>
        <w:color w:val="003366"/>
        <w:sz w:val="24"/>
        <w:szCs w:val="24"/>
      </w:rPr>
      <w:pict>
        <v:line id="_x0000_s2110" style="position:absolute;left:0;text-align:left;z-index:251659264;mso-position-horizontal-relative:text;mso-position-vertical-relative:text" from="63pt,21.9pt" to="477pt,21.9pt" strokecolor="#036" strokeweight="1.5pt"/>
      </w:pict>
    </w:r>
    <w:r w:rsidRPr="00650CE8">
      <w:rPr>
        <w:rFonts w:ascii="KaiTi_GB2312" w:eastAsia="KaiTi_GB2312" w:hint="eastAsia"/>
        <w:b/>
        <w:color w:val="003366"/>
        <w:sz w:val="24"/>
        <w:szCs w:val="24"/>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C4" w:rsidRPr="00650CE8" w:rsidRDefault="00D24534" w:rsidP="00935FC9">
    <w:pPr>
      <w:pStyle w:val="a5"/>
      <w:jc w:val="right"/>
      <w:rPr>
        <w:rFonts w:ascii="KaiTi_GB2312" w:eastAsia="KaiTi_GB2312"/>
        <w:b/>
        <w:color w:val="003366"/>
        <w:sz w:val="24"/>
        <w:szCs w:val="24"/>
      </w:rPr>
    </w:pPr>
    <w:r>
      <w:rPr>
        <w:noProof/>
      </w:rPr>
      <w:drawing>
        <wp:anchor distT="0" distB="0" distL="114300" distR="114300" simplePos="0" relativeHeight="251660288" behindDoc="0" locked="0" layoutInCell="1" allowOverlap="1">
          <wp:simplePos x="0" y="0"/>
          <wp:positionH relativeFrom="column">
            <wp:posOffset>-2326640</wp:posOffset>
          </wp:positionH>
          <wp:positionV relativeFrom="paragraph">
            <wp:posOffset>20955</wp:posOffset>
          </wp:positionV>
          <wp:extent cx="904875" cy="238125"/>
          <wp:effectExtent l="19050" t="0" r="9525" b="0"/>
          <wp:wrapSquare wrapText="bothSides"/>
          <wp:docPr id="67" name="图片 12"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yemei"/>
                  <pic:cNvPicPr>
                    <a:picLocks noChangeAspect="1" noChangeArrowheads="1"/>
                  </pic:cNvPicPr>
                </pic:nvPicPr>
                <pic:blipFill>
                  <a:blip r:embed="rId1"/>
                  <a:srcRect/>
                  <a:stretch>
                    <a:fillRect/>
                  </a:stretch>
                </pic:blipFill>
                <pic:spPr bwMode="auto">
                  <a:xfrm>
                    <a:off x="0" y="0"/>
                    <a:ext cx="904875" cy="238125"/>
                  </a:xfrm>
                  <a:prstGeom prst="rect">
                    <a:avLst/>
                  </a:prstGeom>
                  <a:noFill/>
                  <a:ln w="9525">
                    <a:noFill/>
                    <a:miter lim="800000"/>
                    <a:headEnd/>
                    <a:tailEnd/>
                  </a:ln>
                </pic:spPr>
              </pic:pic>
            </a:graphicData>
          </a:graphic>
        </wp:anchor>
      </w:drawing>
    </w:r>
    <w:r w:rsidR="00902478">
      <w:rPr>
        <w:rFonts w:ascii="KaiTi_GB2312" w:eastAsia="KaiTi_GB2312"/>
        <w:b/>
        <w:noProof/>
        <w:color w:val="003366"/>
        <w:sz w:val="24"/>
        <w:szCs w:val="24"/>
      </w:rPr>
      <w:pict>
        <v:line id="_x0000_s2102" style="position:absolute;left:0;text-align:left;z-index:251654144;mso-position-horizontal-relative:text;mso-position-vertical-relative:text" from="-104.9pt,20.4pt" to="309.1pt,20.4pt" strokecolor="#036" strokeweight="1.5pt"/>
      </w:pict>
    </w:r>
    <w:r w:rsidR="00FF6FC4">
      <w:rPr>
        <w:rFonts w:ascii="KaiTi_GB2312" w:eastAsia="KaiTi_GB2312" w:hint="eastAsia"/>
        <w:b/>
        <w:color w:val="003366"/>
        <w:sz w:val="24"/>
        <w:szCs w:val="24"/>
      </w:rPr>
      <w:t xml:space="preserve">   基金周报</w:t>
    </w:r>
    <w:r w:rsidR="00FF6FC4" w:rsidRPr="00650CE8">
      <w:rPr>
        <w:rFonts w:ascii="KaiTi_GB2312" w:eastAsia="KaiTi_GB2312" w:hint="eastAsia"/>
        <w:b/>
        <w:color w:val="003366"/>
        <w:sz w:val="24"/>
        <w:szCs w:val="24"/>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FC4" w:rsidRPr="00650CE8" w:rsidRDefault="00D24534" w:rsidP="00935FC9">
    <w:pPr>
      <w:pStyle w:val="a5"/>
      <w:jc w:val="right"/>
      <w:rPr>
        <w:rFonts w:ascii="KaiTi_GB2312" w:eastAsia="KaiTi_GB2312"/>
        <w:b/>
        <w:color w:val="003366"/>
        <w:sz w:val="24"/>
        <w:szCs w:val="24"/>
      </w:rPr>
    </w:pPr>
    <w:r>
      <w:rPr>
        <w:noProof/>
      </w:rPr>
      <w:drawing>
        <wp:anchor distT="0" distB="0" distL="114300" distR="114300" simplePos="0" relativeHeight="251661312" behindDoc="0" locked="0" layoutInCell="1" allowOverlap="1">
          <wp:simplePos x="0" y="0"/>
          <wp:positionH relativeFrom="column">
            <wp:posOffset>-321310</wp:posOffset>
          </wp:positionH>
          <wp:positionV relativeFrom="paragraph">
            <wp:posOffset>11430</wp:posOffset>
          </wp:positionV>
          <wp:extent cx="933450" cy="247650"/>
          <wp:effectExtent l="19050" t="0" r="0" b="0"/>
          <wp:wrapSquare wrapText="bothSides"/>
          <wp:docPr id="66"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pic:cNvPicPr>
                    <a:picLocks noChangeAspect="1" noChangeArrowheads="1"/>
                  </pic:cNvPicPr>
                </pic:nvPicPr>
                <pic:blipFill>
                  <a:blip r:embed="rId1"/>
                  <a:srcRect/>
                  <a:stretch>
                    <a:fillRect/>
                  </a:stretch>
                </pic:blipFill>
                <pic:spPr bwMode="auto">
                  <a:xfrm>
                    <a:off x="0" y="0"/>
                    <a:ext cx="933450" cy="247650"/>
                  </a:xfrm>
                  <a:prstGeom prst="rect">
                    <a:avLst/>
                  </a:prstGeom>
                  <a:noFill/>
                  <a:ln w="9525">
                    <a:noFill/>
                    <a:miter lim="800000"/>
                    <a:headEnd/>
                    <a:tailEnd/>
                  </a:ln>
                </pic:spPr>
              </pic:pic>
            </a:graphicData>
          </a:graphic>
        </wp:anchor>
      </w:drawing>
    </w:r>
    <w:r w:rsidR="00902478">
      <w:rPr>
        <w:rFonts w:ascii="KaiTi_GB2312" w:eastAsia="KaiTi_GB2312"/>
        <w:b/>
        <w:noProof/>
        <w:color w:val="003366"/>
        <w:sz w:val="24"/>
        <w:szCs w:val="24"/>
      </w:rPr>
      <w:pict>
        <v:line id="_x0000_s2105" style="position:absolute;left:0;text-align:left;z-index:251656192;mso-position-horizontal-relative:text;mso-position-vertical-relative:text" from="48.2pt,20.4pt" to="462.2pt,20.4pt" strokecolor="#036" strokeweight="1.5pt"/>
      </w:pict>
    </w:r>
    <w:r w:rsidR="00902478">
      <w:rPr>
        <w:rFonts w:ascii="KaiTi_GB2312" w:eastAsia="KaiTi_GB2312"/>
        <w:b/>
        <w:noProof/>
        <w:color w:val="003366"/>
        <w:sz w:val="24"/>
        <w:szCs w:val="24"/>
      </w:rPr>
      <w:pict>
        <v:shapetype id="_x0000_t202" coordsize="21600,21600" o:spt="202" path="m,l,21600r21600,l21600,xe">
          <v:stroke joinstyle="miter"/>
          <v:path gradientshapeok="t" o:connecttype="rect"/>
        </v:shapetype>
        <v:shape id="_x0000_s2104" type="#_x0000_t202" style="position:absolute;left:0;text-align:left;margin-left:-189pt;margin-top:-2.85pt;width:89.25pt;height:30.15pt;z-index:251655168;mso-wrap-style:none;mso-position-horizontal-relative:text;mso-position-vertical-relative:text" stroked="f">
          <v:textbox style="mso-next-textbox:#_x0000_s2104;mso-fit-shape-to-text:t">
            <w:txbxContent>
              <w:p w:rsidR="00FF6FC4" w:rsidRDefault="00D24534">
                <w:r>
                  <w:rPr>
                    <w:noProof/>
                  </w:rPr>
                  <w:drawing>
                    <wp:inline distT="0" distB="0" distL="0" distR="0">
                      <wp:extent cx="952500" cy="29527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
                              <a:srcRect/>
                              <a:stretch>
                                <a:fillRect/>
                              </a:stretch>
                            </pic:blipFill>
                            <pic:spPr bwMode="auto">
                              <a:xfrm>
                                <a:off x="0" y="0"/>
                                <a:ext cx="952500" cy="295275"/>
                              </a:xfrm>
                              <a:prstGeom prst="rect">
                                <a:avLst/>
                              </a:prstGeom>
                              <a:noFill/>
                              <a:ln w="9525">
                                <a:noFill/>
                                <a:miter lim="800000"/>
                                <a:headEnd/>
                                <a:tailEnd/>
                              </a:ln>
                            </pic:spPr>
                          </pic:pic>
                        </a:graphicData>
                      </a:graphic>
                    </wp:inline>
                  </w:drawing>
                </w:r>
              </w:p>
            </w:txbxContent>
          </v:textbox>
        </v:shape>
      </w:pict>
    </w:r>
    <w:r w:rsidR="00FF6FC4">
      <w:rPr>
        <w:rFonts w:ascii="KaiTi_GB2312" w:eastAsia="KaiTi_GB2312" w:hint="eastAsia"/>
        <w:b/>
        <w:color w:val="003366"/>
        <w:sz w:val="24"/>
        <w:szCs w:val="24"/>
      </w:rPr>
      <w:t xml:space="preserve">基金周报  </w:t>
    </w:r>
    <w:r w:rsidR="00FF6FC4" w:rsidRPr="00650CE8">
      <w:rPr>
        <w:rFonts w:ascii="KaiTi_GB2312" w:eastAsia="KaiTi_GB2312" w:hint="eastAsia"/>
        <w:b/>
        <w:color w:val="003366"/>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2726528"/>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408C980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5F444C40"/>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6B6C6BFE"/>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8376B0E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A6663FF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38C06AE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9262262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73662E2"/>
    <w:lvl w:ilvl="0">
      <w:start w:val="1"/>
      <w:numFmt w:val="decimal"/>
      <w:lvlText w:val="%1."/>
      <w:lvlJc w:val="left"/>
      <w:pPr>
        <w:tabs>
          <w:tab w:val="num" w:pos="360"/>
        </w:tabs>
        <w:ind w:left="360" w:hangingChars="200" w:hanging="360"/>
      </w:pPr>
    </w:lvl>
  </w:abstractNum>
  <w:abstractNum w:abstractNumId="9">
    <w:nsid w:val="FFFFFF89"/>
    <w:multiLevelType w:val="singleLevel"/>
    <w:tmpl w:val="26B6966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8E56AB1"/>
    <w:multiLevelType w:val="hybridMultilevel"/>
    <w:tmpl w:val="30B4BD86"/>
    <w:lvl w:ilvl="0" w:tplc="1C7E6138">
      <w:start w:val="1"/>
      <w:numFmt w:val="decimal"/>
      <w:lvlText w:val="%1."/>
      <w:lvlJc w:val="left"/>
      <w:pPr>
        <w:tabs>
          <w:tab w:val="num" w:pos="3174"/>
        </w:tabs>
        <w:ind w:left="3174" w:hanging="36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11">
    <w:nsid w:val="137409DC"/>
    <w:multiLevelType w:val="hybridMultilevel"/>
    <w:tmpl w:val="FBE629DC"/>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1A862B7E"/>
    <w:multiLevelType w:val="hybridMultilevel"/>
    <w:tmpl w:val="7026FDE4"/>
    <w:lvl w:ilvl="0" w:tplc="AE6AAA20">
      <w:start w:val="1"/>
      <w:numFmt w:val="bullet"/>
      <w:lvlText w:val=""/>
      <w:lvlJc w:val="left"/>
      <w:pPr>
        <w:tabs>
          <w:tab w:val="num" w:pos="420"/>
        </w:tabs>
        <w:ind w:left="420" w:hanging="420"/>
      </w:pPr>
      <w:rPr>
        <w:rFonts w:ascii="Wingdings" w:hAnsi="Wingdings" w:hint="default"/>
        <w:color w:val="FF00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1DC36F7F"/>
    <w:multiLevelType w:val="hybridMultilevel"/>
    <w:tmpl w:val="5D38A926"/>
    <w:lvl w:ilvl="0" w:tplc="E850DD02">
      <w:start w:val="1"/>
      <w:numFmt w:val="bullet"/>
      <w:lvlText w:val=""/>
      <w:lvlJc w:val="left"/>
      <w:pPr>
        <w:tabs>
          <w:tab w:val="num" w:pos="1143"/>
        </w:tabs>
        <w:ind w:left="1143" w:hanging="420"/>
      </w:pPr>
      <w:rPr>
        <w:rFonts w:ascii="Wingdings" w:hAnsi="Wingdings" w:hint="default"/>
        <w:color w:val="003366"/>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248402F7"/>
    <w:multiLevelType w:val="multilevel"/>
    <w:tmpl w:val="A90A8370"/>
    <w:lvl w:ilvl="0">
      <w:start w:val="1"/>
      <w:numFmt w:val="bullet"/>
      <w:lvlText w:val=""/>
      <w:lvlJc w:val="left"/>
      <w:pPr>
        <w:tabs>
          <w:tab w:val="num" w:pos="420"/>
        </w:tabs>
        <w:ind w:left="420" w:hanging="420"/>
      </w:pPr>
      <w:rPr>
        <w:rFonts w:ascii="Wingdings" w:hAnsi="Wingdings" w:hint="default"/>
        <w:color w:val="00336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nsid w:val="31E25EFD"/>
    <w:multiLevelType w:val="hybridMultilevel"/>
    <w:tmpl w:val="A90A8370"/>
    <w:lvl w:ilvl="0" w:tplc="7B6A1B30">
      <w:start w:val="1"/>
      <w:numFmt w:val="bullet"/>
      <w:lvlText w:val=""/>
      <w:lvlJc w:val="left"/>
      <w:pPr>
        <w:tabs>
          <w:tab w:val="num" w:pos="420"/>
        </w:tabs>
        <w:ind w:left="420" w:hanging="420"/>
      </w:pPr>
      <w:rPr>
        <w:rFonts w:ascii="Wingdings" w:hAnsi="Wingdings" w:hint="default"/>
        <w:color w:val="00336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38F960CC"/>
    <w:multiLevelType w:val="hybridMultilevel"/>
    <w:tmpl w:val="DEF05CDA"/>
    <w:lvl w:ilvl="0" w:tplc="0F046B88">
      <w:start w:val="1"/>
      <w:numFmt w:val="decimal"/>
      <w:lvlText w:val="（%1）"/>
      <w:lvlJc w:val="left"/>
      <w:pPr>
        <w:ind w:left="3958" w:hanging="720"/>
      </w:pPr>
      <w:rPr>
        <w:rFonts w:hint="default"/>
      </w:rPr>
    </w:lvl>
    <w:lvl w:ilvl="1" w:tplc="04090019" w:tentative="1">
      <w:start w:val="1"/>
      <w:numFmt w:val="lowerLetter"/>
      <w:lvlText w:val="%2)"/>
      <w:lvlJc w:val="left"/>
      <w:pPr>
        <w:ind w:left="4078" w:hanging="420"/>
      </w:pPr>
    </w:lvl>
    <w:lvl w:ilvl="2" w:tplc="0409001B" w:tentative="1">
      <w:start w:val="1"/>
      <w:numFmt w:val="lowerRoman"/>
      <w:lvlText w:val="%3."/>
      <w:lvlJc w:val="right"/>
      <w:pPr>
        <w:ind w:left="4498" w:hanging="420"/>
      </w:pPr>
    </w:lvl>
    <w:lvl w:ilvl="3" w:tplc="0409000F" w:tentative="1">
      <w:start w:val="1"/>
      <w:numFmt w:val="decimal"/>
      <w:lvlText w:val="%4."/>
      <w:lvlJc w:val="left"/>
      <w:pPr>
        <w:ind w:left="4918" w:hanging="420"/>
      </w:pPr>
    </w:lvl>
    <w:lvl w:ilvl="4" w:tplc="04090019" w:tentative="1">
      <w:start w:val="1"/>
      <w:numFmt w:val="lowerLetter"/>
      <w:lvlText w:val="%5)"/>
      <w:lvlJc w:val="left"/>
      <w:pPr>
        <w:ind w:left="5338" w:hanging="420"/>
      </w:pPr>
    </w:lvl>
    <w:lvl w:ilvl="5" w:tplc="0409001B" w:tentative="1">
      <w:start w:val="1"/>
      <w:numFmt w:val="lowerRoman"/>
      <w:lvlText w:val="%6."/>
      <w:lvlJc w:val="right"/>
      <w:pPr>
        <w:ind w:left="5758" w:hanging="420"/>
      </w:pPr>
    </w:lvl>
    <w:lvl w:ilvl="6" w:tplc="0409000F" w:tentative="1">
      <w:start w:val="1"/>
      <w:numFmt w:val="decimal"/>
      <w:lvlText w:val="%7."/>
      <w:lvlJc w:val="left"/>
      <w:pPr>
        <w:ind w:left="6178" w:hanging="420"/>
      </w:pPr>
    </w:lvl>
    <w:lvl w:ilvl="7" w:tplc="04090019" w:tentative="1">
      <w:start w:val="1"/>
      <w:numFmt w:val="lowerLetter"/>
      <w:lvlText w:val="%8)"/>
      <w:lvlJc w:val="left"/>
      <w:pPr>
        <w:ind w:left="6598" w:hanging="420"/>
      </w:pPr>
    </w:lvl>
    <w:lvl w:ilvl="8" w:tplc="0409001B" w:tentative="1">
      <w:start w:val="1"/>
      <w:numFmt w:val="lowerRoman"/>
      <w:lvlText w:val="%9."/>
      <w:lvlJc w:val="right"/>
      <w:pPr>
        <w:ind w:left="7018" w:hanging="420"/>
      </w:pPr>
    </w:lvl>
  </w:abstractNum>
  <w:abstractNum w:abstractNumId="17">
    <w:nsid w:val="4BB770C8"/>
    <w:multiLevelType w:val="hybridMultilevel"/>
    <w:tmpl w:val="07D4980C"/>
    <w:lvl w:ilvl="0" w:tplc="75B87A74">
      <w:start w:val="1"/>
      <w:numFmt w:val="bullet"/>
      <w:lvlText w:val=""/>
      <w:lvlJc w:val="left"/>
      <w:pPr>
        <w:tabs>
          <w:tab w:val="num" w:pos="3738"/>
        </w:tabs>
        <w:ind w:left="3738" w:hanging="420"/>
      </w:pPr>
      <w:rPr>
        <w:rFonts w:ascii="Wingdings" w:hAnsi="Wingdings" w:hint="default"/>
        <w:color w:val="FF66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nsid w:val="5B115D26"/>
    <w:multiLevelType w:val="hybridMultilevel"/>
    <w:tmpl w:val="A7A4AECC"/>
    <w:lvl w:ilvl="0" w:tplc="D3D647B2">
      <w:start w:val="1"/>
      <w:numFmt w:val="bullet"/>
      <w:lvlText w:val=""/>
      <w:lvlJc w:val="left"/>
      <w:pPr>
        <w:tabs>
          <w:tab w:val="num" w:pos="420"/>
        </w:tabs>
        <w:ind w:left="420" w:hanging="420"/>
      </w:pPr>
      <w:rPr>
        <w:rFonts w:ascii="Wingdings" w:hAnsi="Wingdings" w:hint="default"/>
        <w:color w:val="333399"/>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5C20061D"/>
    <w:multiLevelType w:val="multilevel"/>
    <w:tmpl w:val="B7364AA2"/>
    <w:lvl w:ilvl="0">
      <w:start w:val="1"/>
      <w:numFmt w:val="decimal"/>
      <w:lvlText w:val="%1"/>
      <w:lvlJc w:val="left"/>
      <w:pPr>
        <w:tabs>
          <w:tab w:val="num" w:pos="425"/>
        </w:tabs>
        <w:ind w:left="425" w:hanging="425"/>
      </w:pPr>
      <w:rPr>
        <w:rFonts w:hint="eastAsia"/>
      </w:rPr>
    </w:lvl>
    <w:lvl w:ilvl="1">
      <w:start w:val="1"/>
      <w:numFmt w:val="decimal"/>
      <w:lvlRestart w:val="0"/>
      <w:lvlText w:val="1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20">
    <w:nsid w:val="62A759D9"/>
    <w:multiLevelType w:val="multilevel"/>
    <w:tmpl w:val="33A219AA"/>
    <w:lvl w:ilvl="0">
      <w:start w:val="1"/>
      <w:numFmt w:val="bullet"/>
      <w:lvlText w:val=""/>
      <w:lvlJc w:val="left"/>
      <w:pPr>
        <w:tabs>
          <w:tab w:val="num" w:pos="425"/>
        </w:tabs>
        <w:ind w:left="425" w:hanging="425"/>
      </w:pPr>
      <w:rPr>
        <w:rFonts w:ascii="Wingdings" w:hAnsi="Wingdings" w:hint="default"/>
        <w:color w:val="00336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nsid w:val="660D458A"/>
    <w:multiLevelType w:val="hybridMultilevel"/>
    <w:tmpl w:val="E31EA03C"/>
    <w:lvl w:ilvl="0" w:tplc="7646CE24">
      <w:start w:val="1"/>
      <w:numFmt w:val="decimal"/>
      <w:lvlText w:val="%1)"/>
      <w:lvlJc w:val="left"/>
      <w:pPr>
        <w:tabs>
          <w:tab w:val="num" w:pos="420"/>
        </w:tabs>
        <w:ind w:left="420" w:hanging="420"/>
      </w:p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22">
    <w:nsid w:val="6A8D5F31"/>
    <w:multiLevelType w:val="hybridMultilevel"/>
    <w:tmpl w:val="24E27412"/>
    <w:lvl w:ilvl="0" w:tplc="D3D647B2">
      <w:start w:val="1"/>
      <w:numFmt w:val="bullet"/>
      <w:lvlText w:val=""/>
      <w:lvlJc w:val="left"/>
      <w:pPr>
        <w:tabs>
          <w:tab w:val="num" w:pos="420"/>
        </w:tabs>
        <w:ind w:left="420" w:hanging="420"/>
      </w:pPr>
      <w:rPr>
        <w:rFonts w:ascii="Wingdings" w:hAnsi="Wingdings" w:hint="default"/>
        <w:color w:val="333399"/>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nsid w:val="73D80113"/>
    <w:multiLevelType w:val="hybridMultilevel"/>
    <w:tmpl w:val="7FC2D596"/>
    <w:lvl w:ilvl="0" w:tplc="B67A1E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7A5E3680"/>
    <w:multiLevelType w:val="hybridMultilevel"/>
    <w:tmpl w:val="026E9D02"/>
    <w:lvl w:ilvl="0" w:tplc="7B6A1B30">
      <w:start w:val="1"/>
      <w:numFmt w:val="bullet"/>
      <w:pStyle w:val="a"/>
      <w:lvlText w:val=""/>
      <w:lvlJc w:val="left"/>
      <w:pPr>
        <w:tabs>
          <w:tab w:val="num" w:pos="630"/>
        </w:tabs>
        <w:ind w:left="630" w:hanging="420"/>
      </w:pPr>
      <w:rPr>
        <w:rFonts w:ascii="Wingdings" w:hAnsi="Wingdings" w:hint="default"/>
        <w:color w:val="00336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nsid w:val="7E1A10C2"/>
    <w:multiLevelType w:val="hybridMultilevel"/>
    <w:tmpl w:val="F3689EAE"/>
    <w:lvl w:ilvl="0" w:tplc="33A6F226">
      <w:start w:val="1"/>
      <w:numFmt w:val="bullet"/>
      <w:lvlText w:val=""/>
      <w:lvlJc w:val="left"/>
      <w:pPr>
        <w:tabs>
          <w:tab w:val="num" w:pos="425"/>
        </w:tabs>
        <w:ind w:left="425" w:hanging="425"/>
      </w:pPr>
      <w:rPr>
        <w:rFonts w:ascii="Wingdings" w:hAnsi="Wingdings" w:hint="default"/>
        <w:color w:val="00336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7"/>
  </w:num>
  <w:num w:numId="2">
    <w:abstractNumId w:val="22"/>
  </w:num>
  <w:num w:numId="3">
    <w:abstractNumId w:val="24"/>
  </w:num>
  <w:num w:numId="4">
    <w:abstractNumId w:val="24"/>
  </w:num>
  <w:num w:numId="5">
    <w:abstractNumId w:val="18"/>
  </w:num>
  <w:num w:numId="6">
    <w:abstractNumId w:val="10"/>
  </w:num>
  <w:num w:numId="7">
    <w:abstractNumId w:val="12"/>
  </w:num>
  <w:num w:numId="8">
    <w:abstractNumId w:val="15"/>
  </w:num>
  <w:num w:numId="9">
    <w:abstractNumId w:val="14"/>
  </w:num>
  <w:num w:numId="10">
    <w:abstractNumId w:val="25"/>
  </w:num>
  <w:num w:numId="11">
    <w:abstractNumId w:val="20"/>
  </w:num>
  <w:num w:numId="12">
    <w:abstractNumId w:val="13"/>
  </w:num>
  <w:num w:numId="13">
    <w:abstractNumId w:val="11"/>
  </w:num>
  <w:num w:numId="14">
    <w:abstractNumId w:val="19"/>
  </w:num>
  <w:num w:numId="15">
    <w:abstractNumId w:val="21"/>
  </w:num>
  <w:num w:numId="16">
    <w:abstractNumId w:val="23"/>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stylePaneFormatFilter w:val="3F04"/>
  <w:defaultTabStop w:val="420"/>
  <w:drawingGridVerticalSpacing w:val="156"/>
  <w:displayHorizontalDrawingGridEvery w:val="0"/>
  <w:displayVerticalDrawingGridEvery w:val="2"/>
  <w:characterSpacingControl w:val="compressPunctuation"/>
  <w:hdrShapeDefaults>
    <o:shapedefaults v:ext="edit" spidmax="4098" fill="f" fillcolor="white" stroke="f">
      <v:fill color="white" on="f"/>
      <v:stroke on="f"/>
      <o:colormru v:ext="edit" colors="#99f,#9ecdf8,#f00000,#00326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672A"/>
    <w:rsid w:val="00000A8B"/>
    <w:rsid w:val="00000C1C"/>
    <w:rsid w:val="000010C0"/>
    <w:rsid w:val="000029C2"/>
    <w:rsid w:val="000060BC"/>
    <w:rsid w:val="00006C4F"/>
    <w:rsid w:val="000075A3"/>
    <w:rsid w:val="0001084E"/>
    <w:rsid w:val="00010F30"/>
    <w:rsid w:val="00011136"/>
    <w:rsid w:val="00011E15"/>
    <w:rsid w:val="00012A69"/>
    <w:rsid w:val="00013B4E"/>
    <w:rsid w:val="00014218"/>
    <w:rsid w:val="000149A7"/>
    <w:rsid w:val="00016E92"/>
    <w:rsid w:val="00021182"/>
    <w:rsid w:val="00021EF5"/>
    <w:rsid w:val="000228D5"/>
    <w:rsid w:val="0002443B"/>
    <w:rsid w:val="00024951"/>
    <w:rsid w:val="000258E6"/>
    <w:rsid w:val="00026271"/>
    <w:rsid w:val="00026C9A"/>
    <w:rsid w:val="00026FBB"/>
    <w:rsid w:val="0003099C"/>
    <w:rsid w:val="00030C7A"/>
    <w:rsid w:val="00031FC4"/>
    <w:rsid w:val="00033526"/>
    <w:rsid w:val="000352F7"/>
    <w:rsid w:val="000357D5"/>
    <w:rsid w:val="00037A81"/>
    <w:rsid w:val="000404EB"/>
    <w:rsid w:val="00040600"/>
    <w:rsid w:val="0004259B"/>
    <w:rsid w:val="00044077"/>
    <w:rsid w:val="00044EFF"/>
    <w:rsid w:val="000476AD"/>
    <w:rsid w:val="00050225"/>
    <w:rsid w:val="00050BDB"/>
    <w:rsid w:val="000526FD"/>
    <w:rsid w:val="00052A51"/>
    <w:rsid w:val="00052D23"/>
    <w:rsid w:val="00054F13"/>
    <w:rsid w:val="000555FF"/>
    <w:rsid w:val="00055C3A"/>
    <w:rsid w:val="00055C6B"/>
    <w:rsid w:val="000566B1"/>
    <w:rsid w:val="00056F53"/>
    <w:rsid w:val="00057A95"/>
    <w:rsid w:val="00057B37"/>
    <w:rsid w:val="00057B49"/>
    <w:rsid w:val="000603B9"/>
    <w:rsid w:val="000614C1"/>
    <w:rsid w:val="00061D7A"/>
    <w:rsid w:val="0006274D"/>
    <w:rsid w:val="000635F0"/>
    <w:rsid w:val="00063A2B"/>
    <w:rsid w:val="00063E76"/>
    <w:rsid w:val="00066030"/>
    <w:rsid w:val="00067164"/>
    <w:rsid w:val="000724AC"/>
    <w:rsid w:val="00073F80"/>
    <w:rsid w:val="00075610"/>
    <w:rsid w:val="00076929"/>
    <w:rsid w:val="00076AAF"/>
    <w:rsid w:val="0007720C"/>
    <w:rsid w:val="0007767C"/>
    <w:rsid w:val="00080306"/>
    <w:rsid w:val="0008064D"/>
    <w:rsid w:val="00081D6C"/>
    <w:rsid w:val="0008227A"/>
    <w:rsid w:val="000841BF"/>
    <w:rsid w:val="000843BB"/>
    <w:rsid w:val="000858B7"/>
    <w:rsid w:val="00085D59"/>
    <w:rsid w:val="0008664C"/>
    <w:rsid w:val="00087072"/>
    <w:rsid w:val="0009105F"/>
    <w:rsid w:val="00094C8A"/>
    <w:rsid w:val="00097DEB"/>
    <w:rsid w:val="000A1CF1"/>
    <w:rsid w:val="000A2214"/>
    <w:rsid w:val="000A3199"/>
    <w:rsid w:val="000A36DA"/>
    <w:rsid w:val="000A53A4"/>
    <w:rsid w:val="000A6131"/>
    <w:rsid w:val="000A7308"/>
    <w:rsid w:val="000B05E0"/>
    <w:rsid w:val="000B19DC"/>
    <w:rsid w:val="000B29EE"/>
    <w:rsid w:val="000B4C93"/>
    <w:rsid w:val="000B6D83"/>
    <w:rsid w:val="000B7A77"/>
    <w:rsid w:val="000C0D08"/>
    <w:rsid w:val="000C2852"/>
    <w:rsid w:val="000C3632"/>
    <w:rsid w:val="000C3807"/>
    <w:rsid w:val="000C4375"/>
    <w:rsid w:val="000C63F6"/>
    <w:rsid w:val="000C6939"/>
    <w:rsid w:val="000D0A4C"/>
    <w:rsid w:val="000D0C30"/>
    <w:rsid w:val="000D0F08"/>
    <w:rsid w:val="000D22F2"/>
    <w:rsid w:val="000D253F"/>
    <w:rsid w:val="000D33B0"/>
    <w:rsid w:val="000D46A0"/>
    <w:rsid w:val="000D4855"/>
    <w:rsid w:val="000E113B"/>
    <w:rsid w:val="000E15BC"/>
    <w:rsid w:val="000E1A85"/>
    <w:rsid w:val="000E1EA6"/>
    <w:rsid w:val="000E2053"/>
    <w:rsid w:val="000E214A"/>
    <w:rsid w:val="000E25C6"/>
    <w:rsid w:val="000E3CA4"/>
    <w:rsid w:val="000E3E48"/>
    <w:rsid w:val="000E65C7"/>
    <w:rsid w:val="000E6A07"/>
    <w:rsid w:val="000F00A4"/>
    <w:rsid w:val="000F0F26"/>
    <w:rsid w:val="000F223C"/>
    <w:rsid w:val="000F6921"/>
    <w:rsid w:val="000F7C8B"/>
    <w:rsid w:val="0010121A"/>
    <w:rsid w:val="00102353"/>
    <w:rsid w:val="001037FE"/>
    <w:rsid w:val="0010652E"/>
    <w:rsid w:val="00106C68"/>
    <w:rsid w:val="00111A28"/>
    <w:rsid w:val="00111CD8"/>
    <w:rsid w:val="0011208F"/>
    <w:rsid w:val="00113299"/>
    <w:rsid w:val="0011474C"/>
    <w:rsid w:val="00117F4F"/>
    <w:rsid w:val="00120BC0"/>
    <w:rsid w:val="001219C8"/>
    <w:rsid w:val="0012228B"/>
    <w:rsid w:val="00123674"/>
    <w:rsid w:val="00123BE6"/>
    <w:rsid w:val="00124AD4"/>
    <w:rsid w:val="00126FCE"/>
    <w:rsid w:val="0012751F"/>
    <w:rsid w:val="00127AC7"/>
    <w:rsid w:val="001300AC"/>
    <w:rsid w:val="001301AA"/>
    <w:rsid w:val="001329D8"/>
    <w:rsid w:val="00132E04"/>
    <w:rsid w:val="0013506B"/>
    <w:rsid w:val="0013621B"/>
    <w:rsid w:val="00136D41"/>
    <w:rsid w:val="0014042D"/>
    <w:rsid w:val="0014056C"/>
    <w:rsid w:val="00140F4D"/>
    <w:rsid w:val="00142868"/>
    <w:rsid w:val="00142AC7"/>
    <w:rsid w:val="0014446A"/>
    <w:rsid w:val="001461E7"/>
    <w:rsid w:val="00147AB3"/>
    <w:rsid w:val="00151833"/>
    <w:rsid w:val="00152105"/>
    <w:rsid w:val="001528C6"/>
    <w:rsid w:val="00153924"/>
    <w:rsid w:val="001547F8"/>
    <w:rsid w:val="001565B6"/>
    <w:rsid w:val="00156678"/>
    <w:rsid w:val="0015775B"/>
    <w:rsid w:val="001603B9"/>
    <w:rsid w:val="001604BF"/>
    <w:rsid w:val="001616B7"/>
    <w:rsid w:val="00162E32"/>
    <w:rsid w:val="001632A8"/>
    <w:rsid w:val="001642C5"/>
    <w:rsid w:val="00164349"/>
    <w:rsid w:val="001653BC"/>
    <w:rsid w:val="0016594C"/>
    <w:rsid w:val="00166C6A"/>
    <w:rsid w:val="00167BF8"/>
    <w:rsid w:val="0017090D"/>
    <w:rsid w:val="00170F3B"/>
    <w:rsid w:val="00176089"/>
    <w:rsid w:val="001762E4"/>
    <w:rsid w:val="001765FE"/>
    <w:rsid w:val="00176906"/>
    <w:rsid w:val="00176B4C"/>
    <w:rsid w:val="00177536"/>
    <w:rsid w:val="0018053B"/>
    <w:rsid w:val="001818ED"/>
    <w:rsid w:val="00181CE2"/>
    <w:rsid w:val="00183EEF"/>
    <w:rsid w:val="00184AB3"/>
    <w:rsid w:val="0018557F"/>
    <w:rsid w:val="001856CB"/>
    <w:rsid w:val="0018592E"/>
    <w:rsid w:val="00186271"/>
    <w:rsid w:val="0018775C"/>
    <w:rsid w:val="00190686"/>
    <w:rsid w:val="00190BE8"/>
    <w:rsid w:val="001915A4"/>
    <w:rsid w:val="00193049"/>
    <w:rsid w:val="001944DB"/>
    <w:rsid w:val="0019524C"/>
    <w:rsid w:val="00195E66"/>
    <w:rsid w:val="00196E05"/>
    <w:rsid w:val="001A285A"/>
    <w:rsid w:val="001A29DA"/>
    <w:rsid w:val="001A34D8"/>
    <w:rsid w:val="001A3AF7"/>
    <w:rsid w:val="001A3D58"/>
    <w:rsid w:val="001A3F88"/>
    <w:rsid w:val="001A6984"/>
    <w:rsid w:val="001A6B46"/>
    <w:rsid w:val="001A7150"/>
    <w:rsid w:val="001A7CA4"/>
    <w:rsid w:val="001B00EF"/>
    <w:rsid w:val="001B125C"/>
    <w:rsid w:val="001B14B0"/>
    <w:rsid w:val="001B20CC"/>
    <w:rsid w:val="001B2AFB"/>
    <w:rsid w:val="001B3F3D"/>
    <w:rsid w:val="001B3FDA"/>
    <w:rsid w:val="001B4FF6"/>
    <w:rsid w:val="001B7277"/>
    <w:rsid w:val="001C07D6"/>
    <w:rsid w:val="001C085B"/>
    <w:rsid w:val="001C0C52"/>
    <w:rsid w:val="001C14C7"/>
    <w:rsid w:val="001C2326"/>
    <w:rsid w:val="001C27A2"/>
    <w:rsid w:val="001C5171"/>
    <w:rsid w:val="001D2958"/>
    <w:rsid w:val="001D3A7D"/>
    <w:rsid w:val="001D3E99"/>
    <w:rsid w:val="001D41B7"/>
    <w:rsid w:val="001D5F56"/>
    <w:rsid w:val="001E18A5"/>
    <w:rsid w:val="001E1E30"/>
    <w:rsid w:val="001E47B7"/>
    <w:rsid w:val="001E76B1"/>
    <w:rsid w:val="001F0187"/>
    <w:rsid w:val="001F13EA"/>
    <w:rsid w:val="001F19FF"/>
    <w:rsid w:val="001F24F3"/>
    <w:rsid w:val="001F291F"/>
    <w:rsid w:val="001F506C"/>
    <w:rsid w:val="001F654E"/>
    <w:rsid w:val="001F6686"/>
    <w:rsid w:val="0020219B"/>
    <w:rsid w:val="00204C97"/>
    <w:rsid w:val="00210CB7"/>
    <w:rsid w:val="00211C13"/>
    <w:rsid w:val="00212146"/>
    <w:rsid w:val="00213851"/>
    <w:rsid w:val="00214A9C"/>
    <w:rsid w:val="00215E78"/>
    <w:rsid w:val="00216320"/>
    <w:rsid w:val="00217ACA"/>
    <w:rsid w:val="0022009D"/>
    <w:rsid w:val="0022104F"/>
    <w:rsid w:val="00221548"/>
    <w:rsid w:val="002217BB"/>
    <w:rsid w:val="00221CCC"/>
    <w:rsid w:val="00225042"/>
    <w:rsid w:val="00225581"/>
    <w:rsid w:val="00226333"/>
    <w:rsid w:val="002263D7"/>
    <w:rsid w:val="002267BC"/>
    <w:rsid w:val="002268C0"/>
    <w:rsid w:val="00226DDB"/>
    <w:rsid w:val="00227EBA"/>
    <w:rsid w:val="002312E9"/>
    <w:rsid w:val="00232EFD"/>
    <w:rsid w:val="002334BB"/>
    <w:rsid w:val="00234204"/>
    <w:rsid w:val="0023448E"/>
    <w:rsid w:val="00235A10"/>
    <w:rsid w:val="002360D9"/>
    <w:rsid w:val="00236454"/>
    <w:rsid w:val="002364BE"/>
    <w:rsid w:val="00236A11"/>
    <w:rsid w:val="002406C4"/>
    <w:rsid w:val="00240F9C"/>
    <w:rsid w:val="002431D2"/>
    <w:rsid w:val="00243B60"/>
    <w:rsid w:val="002455E5"/>
    <w:rsid w:val="00245E5C"/>
    <w:rsid w:val="00246CC4"/>
    <w:rsid w:val="0025043F"/>
    <w:rsid w:val="00250DF9"/>
    <w:rsid w:val="00251707"/>
    <w:rsid w:val="002537C8"/>
    <w:rsid w:val="002537D7"/>
    <w:rsid w:val="002537F4"/>
    <w:rsid w:val="00254BF0"/>
    <w:rsid w:val="00261D58"/>
    <w:rsid w:val="00262722"/>
    <w:rsid w:val="00264220"/>
    <w:rsid w:val="0026436C"/>
    <w:rsid w:val="00265014"/>
    <w:rsid w:val="002708B7"/>
    <w:rsid w:val="00273E53"/>
    <w:rsid w:val="00274A13"/>
    <w:rsid w:val="00274D28"/>
    <w:rsid w:val="00275622"/>
    <w:rsid w:val="00275952"/>
    <w:rsid w:val="00276FA0"/>
    <w:rsid w:val="00277726"/>
    <w:rsid w:val="002817B4"/>
    <w:rsid w:val="002820A9"/>
    <w:rsid w:val="00283716"/>
    <w:rsid w:val="00283D91"/>
    <w:rsid w:val="00284B0E"/>
    <w:rsid w:val="00285C69"/>
    <w:rsid w:val="00285F23"/>
    <w:rsid w:val="00285FBB"/>
    <w:rsid w:val="00286A6C"/>
    <w:rsid w:val="00286F2A"/>
    <w:rsid w:val="00290216"/>
    <w:rsid w:val="0029059A"/>
    <w:rsid w:val="002907C1"/>
    <w:rsid w:val="00291D1B"/>
    <w:rsid w:val="0029394D"/>
    <w:rsid w:val="0029438D"/>
    <w:rsid w:val="002963A5"/>
    <w:rsid w:val="00297C84"/>
    <w:rsid w:val="002A1E05"/>
    <w:rsid w:val="002A25BC"/>
    <w:rsid w:val="002A2F19"/>
    <w:rsid w:val="002A3822"/>
    <w:rsid w:val="002A581D"/>
    <w:rsid w:val="002B0743"/>
    <w:rsid w:val="002B0D85"/>
    <w:rsid w:val="002B13F7"/>
    <w:rsid w:val="002B1A6C"/>
    <w:rsid w:val="002B25E6"/>
    <w:rsid w:val="002B2DBB"/>
    <w:rsid w:val="002B4D8D"/>
    <w:rsid w:val="002B4F76"/>
    <w:rsid w:val="002B53EE"/>
    <w:rsid w:val="002B65D0"/>
    <w:rsid w:val="002B6F52"/>
    <w:rsid w:val="002B723F"/>
    <w:rsid w:val="002C019D"/>
    <w:rsid w:val="002C0F0D"/>
    <w:rsid w:val="002C17F7"/>
    <w:rsid w:val="002C29F0"/>
    <w:rsid w:val="002C3532"/>
    <w:rsid w:val="002C42B2"/>
    <w:rsid w:val="002C4910"/>
    <w:rsid w:val="002C4A1A"/>
    <w:rsid w:val="002C5C0A"/>
    <w:rsid w:val="002C7359"/>
    <w:rsid w:val="002D1256"/>
    <w:rsid w:val="002D1E19"/>
    <w:rsid w:val="002D4169"/>
    <w:rsid w:val="002D5550"/>
    <w:rsid w:val="002D59E9"/>
    <w:rsid w:val="002D60D7"/>
    <w:rsid w:val="002D69DE"/>
    <w:rsid w:val="002E0A3F"/>
    <w:rsid w:val="002E17BF"/>
    <w:rsid w:val="002E1B58"/>
    <w:rsid w:val="002E2EFA"/>
    <w:rsid w:val="002E31FA"/>
    <w:rsid w:val="002E3FFF"/>
    <w:rsid w:val="002E649A"/>
    <w:rsid w:val="002F16F1"/>
    <w:rsid w:val="002F198B"/>
    <w:rsid w:val="002F7316"/>
    <w:rsid w:val="002F79DB"/>
    <w:rsid w:val="002F7FD6"/>
    <w:rsid w:val="00300070"/>
    <w:rsid w:val="0030039C"/>
    <w:rsid w:val="00301680"/>
    <w:rsid w:val="00301E7E"/>
    <w:rsid w:val="0030206B"/>
    <w:rsid w:val="00302A43"/>
    <w:rsid w:val="00303062"/>
    <w:rsid w:val="00303441"/>
    <w:rsid w:val="00303754"/>
    <w:rsid w:val="0030458F"/>
    <w:rsid w:val="00305019"/>
    <w:rsid w:val="00305A74"/>
    <w:rsid w:val="0030655A"/>
    <w:rsid w:val="003077C9"/>
    <w:rsid w:val="00312322"/>
    <w:rsid w:val="003149E1"/>
    <w:rsid w:val="00314E44"/>
    <w:rsid w:val="0031595E"/>
    <w:rsid w:val="00316CD0"/>
    <w:rsid w:val="0031700A"/>
    <w:rsid w:val="003170A0"/>
    <w:rsid w:val="003179D0"/>
    <w:rsid w:val="00321606"/>
    <w:rsid w:val="003216E2"/>
    <w:rsid w:val="003222CD"/>
    <w:rsid w:val="00326E14"/>
    <w:rsid w:val="003273C3"/>
    <w:rsid w:val="003276CA"/>
    <w:rsid w:val="003302B7"/>
    <w:rsid w:val="00330715"/>
    <w:rsid w:val="00331C4B"/>
    <w:rsid w:val="00331D19"/>
    <w:rsid w:val="00332B84"/>
    <w:rsid w:val="003351E0"/>
    <w:rsid w:val="003362A9"/>
    <w:rsid w:val="003408AE"/>
    <w:rsid w:val="00340903"/>
    <w:rsid w:val="00340ADD"/>
    <w:rsid w:val="0034206B"/>
    <w:rsid w:val="00343141"/>
    <w:rsid w:val="003446E9"/>
    <w:rsid w:val="0034525A"/>
    <w:rsid w:val="0034614C"/>
    <w:rsid w:val="00347355"/>
    <w:rsid w:val="0034736A"/>
    <w:rsid w:val="0035027A"/>
    <w:rsid w:val="003520D1"/>
    <w:rsid w:val="003523B4"/>
    <w:rsid w:val="00352C4E"/>
    <w:rsid w:val="00352DDF"/>
    <w:rsid w:val="003544D8"/>
    <w:rsid w:val="00354A3A"/>
    <w:rsid w:val="00354AD8"/>
    <w:rsid w:val="00355BA6"/>
    <w:rsid w:val="00360958"/>
    <w:rsid w:val="00360BBB"/>
    <w:rsid w:val="00361092"/>
    <w:rsid w:val="003621AC"/>
    <w:rsid w:val="00362266"/>
    <w:rsid w:val="00363CAC"/>
    <w:rsid w:val="00363E42"/>
    <w:rsid w:val="00365AFE"/>
    <w:rsid w:val="00366500"/>
    <w:rsid w:val="003707A7"/>
    <w:rsid w:val="00371BA2"/>
    <w:rsid w:val="00372B5C"/>
    <w:rsid w:val="00373500"/>
    <w:rsid w:val="003751CE"/>
    <w:rsid w:val="00382433"/>
    <w:rsid w:val="0038370F"/>
    <w:rsid w:val="00383D81"/>
    <w:rsid w:val="003847EB"/>
    <w:rsid w:val="00384EFA"/>
    <w:rsid w:val="003851F0"/>
    <w:rsid w:val="00387802"/>
    <w:rsid w:val="0039027D"/>
    <w:rsid w:val="00391A5F"/>
    <w:rsid w:val="00393CB5"/>
    <w:rsid w:val="00393E7F"/>
    <w:rsid w:val="003940B0"/>
    <w:rsid w:val="00397900"/>
    <w:rsid w:val="003A165F"/>
    <w:rsid w:val="003A31FD"/>
    <w:rsid w:val="003A4B29"/>
    <w:rsid w:val="003A4B94"/>
    <w:rsid w:val="003A4E64"/>
    <w:rsid w:val="003A508C"/>
    <w:rsid w:val="003A543D"/>
    <w:rsid w:val="003A6004"/>
    <w:rsid w:val="003A69E2"/>
    <w:rsid w:val="003A71B0"/>
    <w:rsid w:val="003A7347"/>
    <w:rsid w:val="003A7815"/>
    <w:rsid w:val="003B1346"/>
    <w:rsid w:val="003B503A"/>
    <w:rsid w:val="003B5A6C"/>
    <w:rsid w:val="003B6FCB"/>
    <w:rsid w:val="003C0112"/>
    <w:rsid w:val="003C07AD"/>
    <w:rsid w:val="003C1531"/>
    <w:rsid w:val="003C1599"/>
    <w:rsid w:val="003C1AA7"/>
    <w:rsid w:val="003C1B28"/>
    <w:rsid w:val="003C2D32"/>
    <w:rsid w:val="003C49F3"/>
    <w:rsid w:val="003C6C6C"/>
    <w:rsid w:val="003C6EC0"/>
    <w:rsid w:val="003C7B45"/>
    <w:rsid w:val="003C7F1E"/>
    <w:rsid w:val="003D0168"/>
    <w:rsid w:val="003D11CF"/>
    <w:rsid w:val="003D132D"/>
    <w:rsid w:val="003D1BB5"/>
    <w:rsid w:val="003D254B"/>
    <w:rsid w:val="003D478A"/>
    <w:rsid w:val="003D5449"/>
    <w:rsid w:val="003D586B"/>
    <w:rsid w:val="003D6C45"/>
    <w:rsid w:val="003D7104"/>
    <w:rsid w:val="003D7ABC"/>
    <w:rsid w:val="003E004D"/>
    <w:rsid w:val="003E1824"/>
    <w:rsid w:val="003E2B32"/>
    <w:rsid w:val="003E34CC"/>
    <w:rsid w:val="003E4DE1"/>
    <w:rsid w:val="003E4DE2"/>
    <w:rsid w:val="003E6073"/>
    <w:rsid w:val="003F107D"/>
    <w:rsid w:val="003F24FF"/>
    <w:rsid w:val="003F38B1"/>
    <w:rsid w:val="003F3D9C"/>
    <w:rsid w:val="003F3F52"/>
    <w:rsid w:val="003F445F"/>
    <w:rsid w:val="003F4669"/>
    <w:rsid w:val="003F5969"/>
    <w:rsid w:val="00401122"/>
    <w:rsid w:val="004025A4"/>
    <w:rsid w:val="00403814"/>
    <w:rsid w:val="00404C53"/>
    <w:rsid w:val="0040543A"/>
    <w:rsid w:val="00405992"/>
    <w:rsid w:val="00405C50"/>
    <w:rsid w:val="00405ED6"/>
    <w:rsid w:val="0041092B"/>
    <w:rsid w:val="0041144D"/>
    <w:rsid w:val="00413E1F"/>
    <w:rsid w:val="004148FD"/>
    <w:rsid w:val="00414CB2"/>
    <w:rsid w:val="0041510C"/>
    <w:rsid w:val="00417611"/>
    <w:rsid w:val="00420043"/>
    <w:rsid w:val="004200DF"/>
    <w:rsid w:val="00420675"/>
    <w:rsid w:val="004213F3"/>
    <w:rsid w:val="00421529"/>
    <w:rsid w:val="0042504C"/>
    <w:rsid w:val="00425768"/>
    <w:rsid w:val="00425DF8"/>
    <w:rsid w:val="00426434"/>
    <w:rsid w:val="0042737E"/>
    <w:rsid w:val="004276FD"/>
    <w:rsid w:val="004303FC"/>
    <w:rsid w:val="0043064F"/>
    <w:rsid w:val="0043104A"/>
    <w:rsid w:val="00431C7E"/>
    <w:rsid w:val="004322A1"/>
    <w:rsid w:val="004328F4"/>
    <w:rsid w:val="004331DE"/>
    <w:rsid w:val="00435C80"/>
    <w:rsid w:val="004367DC"/>
    <w:rsid w:val="004376A2"/>
    <w:rsid w:val="00440720"/>
    <w:rsid w:val="0044096A"/>
    <w:rsid w:val="004421C8"/>
    <w:rsid w:val="0044376C"/>
    <w:rsid w:val="0044446B"/>
    <w:rsid w:val="0044790E"/>
    <w:rsid w:val="0045095F"/>
    <w:rsid w:val="00453424"/>
    <w:rsid w:val="0045353A"/>
    <w:rsid w:val="00454D6D"/>
    <w:rsid w:val="00455607"/>
    <w:rsid w:val="00455623"/>
    <w:rsid w:val="00455ADA"/>
    <w:rsid w:val="00456FC4"/>
    <w:rsid w:val="004571B4"/>
    <w:rsid w:val="0045777B"/>
    <w:rsid w:val="00462676"/>
    <w:rsid w:val="0046359A"/>
    <w:rsid w:val="00466522"/>
    <w:rsid w:val="004669EC"/>
    <w:rsid w:val="0046775A"/>
    <w:rsid w:val="00467989"/>
    <w:rsid w:val="00467A92"/>
    <w:rsid w:val="00472548"/>
    <w:rsid w:val="00473EC2"/>
    <w:rsid w:val="00474C0D"/>
    <w:rsid w:val="004754AD"/>
    <w:rsid w:val="004755CC"/>
    <w:rsid w:val="00475AC4"/>
    <w:rsid w:val="00476890"/>
    <w:rsid w:val="00477E7A"/>
    <w:rsid w:val="00481CF4"/>
    <w:rsid w:val="00482B62"/>
    <w:rsid w:val="00483878"/>
    <w:rsid w:val="0048537F"/>
    <w:rsid w:val="00485D17"/>
    <w:rsid w:val="00490804"/>
    <w:rsid w:val="00490B4C"/>
    <w:rsid w:val="00492F51"/>
    <w:rsid w:val="00493087"/>
    <w:rsid w:val="004954ED"/>
    <w:rsid w:val="00495C50"/>
    <w:rsid w:val="00495DFC"/>
    <w:rsid w:val="00496110"/>
    <w:rsid w:val="00496188"/>
    <w:rsid w:val="00497050"/>
    <w:rsid w:val="004A0353"/>
    <w:rsid w:val="004A0C84"/>
    <w:rsid w:val="004A0DE2"/>
    <w:rsid w:val="004A1FFA"/>
    <w:rsid w:val="004A2684"/>
    <w:rsid w:val="004A28BB"/>
    <w:rsid w:val="004A2A24"/>
    <w:rsid w:val="004A2BDC"/>
    <w:rsid w:val="004A2F5F"/>
    <w:rsid w:val="004A3993"/>
    <w:rsid w:val="004A4249"/>
    <w:rsid w:val="004A44B9"/>
    <w:rsid w:val="004A45AA"/>
    <w:rsid w:val="004A45D7"/>
    <w:rsid w:val="004A46B5"/>
    <w:rsid w:val="004A48D1"/>
    <w:rsid w:val="004A48D3"/>
    <w:rsid w:val="004B05E9"/>
    <w:rsid w:val="004B08A9"/>
    <w:rsid w:val="004B0E9C"/>
    <w:rsid w:val="004B2240"/>
    <w:rsid w:val="004B43F8"/>
    <w:rsid w:val="004B5D2A"/>
    <w:rsid w:val="004B61CE"/>
    <w:rsid w:val="004B6D4D"/>
    <w:rsid w:val="004B784A"/>
    <w:rsid w:val="004C22A0"/>
    <w:rsid w:val="004C24E5"/>
    <w:rsid w:val="004C25E7"/>
    <w:rsid w:val="004C342B"/>
    <w:rsid w:val="004C3508"/>
    <w:rsid w:val="004C79A4"/>
    <w:rsid w:val="004D0342"/>
    <w:rsid w:val="004D0EC1"/>
    <w:rsid w:val="004D4C99"/>
    <w:rsid w:val="004D4E18"/>
    <w:rsid w:val="004D5144"/>
    <w:rsid w:val="004D6351"/>
    <w:rsid w:val="004E0099"/>
    <w:rsid w:val="004E0F46"/>
    <w:rsid w:val="004E16DC"/>
    <w:rsid w:val="004E2435"/>
    <w:rsid w:val="004E58F6"/>
    <w:rsid w:val="004E6135"/>
    <w:rsid w:val="004E666A"/>
    <w:rsid w:val="004F06D1"/>
    <w:rsid w:val="004F14D9"/>
    <w:rsid w:val="004F35F2"/>
    <w:rsid w:val="004F4BAF"/>
    <w:rsid w:val="004F4CC3"/>
    <w:rsid w:val="004F4E59"/>
    <w:rsid w:val="004F4EC5"/>
    <w:rsid w:val="004F526F"/>
    <w:rsid w:val="004F55E0"/>
    <w:rsid w:val="004F778B"/>
    <w:rsid w:val="004F7C17"/>
    <w:rsid w:val="0050075C"/>
    <w:rsid w:val="00500D0B"/>
    <w:rsid w:val="0050425B"/>
    <w:rsid w:val="005059CB"/>
    <w:rsid w:val="00506702"/>
    <w:rsid w:val="0051149B"/>
    <w:rsid w:val="00511FD7"/>
    <w:rsid w:val="0051562E"/>
    <w:rsid w:val="00516CD8"/>
    <w:rsid w:val="00516FD2"/>
    <w:rsid w:val="00521314"/>
    <w:rsid w:val="00521439"/>
    <w:rsid w:val="00521A97"/>
    <w:rsid w:val="00525238"/>
    <w:rsid w:val="005257ED"/>
    <w:rsid w:val="005261F2"/>
    <w:rsid w:val="00527AA4"/>
    <w:rsid w:val="005304BA"/>
    <w:rsid w:val="00530CBB"/>
    <w:rsid w:val="00533BF2"/>
    <w:rsid w:val="0053434D"/>
    <w:rsid w:val="00535A31"/>
    <w:rsid w:val="005366A6"/>
    <w:rsid w:val="00537266"/>
    <w:rsid w:val="00537723"/>
    <w:rsid w:val="00537C32"/>
    <w:rsid w:val="00540621"/>
    <w:rsid w:val="005408EC"/>
    <w:rsid w:val="00541A70"/>
    <w:rsid w:val="00543D20"/>
    <w:rsid w:val="00544A9E"/>
    <w:rsid w:val="00546C78"/>
    <w:rsid w:val="005501DF"/>
    <w:rsid w:val="00550708"/>
    <w:rsid w:val="00550BAD"/>
    <w:rsid w:val="0055197E"/>
    <w:rsid w:val="005546C9"/>
    <w:rsid w:val="00554BDC"/>
    <w:rsid w:val="00555251"/>
    <w:rsid w:val="005552BB"/>
    <w:rsid w:val="00556D88"/>
    <w:rsid w:val="00557EEB"/>
    <w:rsid w:val="00560835"/>
    <w:rsid w:val="0056281F"/>
    <w:rsid w:val="005646AB"/>
    <w:rsid w:val="00566A4B"/>
    <w:rsid w:val="00566F23"/>
    <w:rsid w:val="00570056"/>
    <w:rsid w:val="00570435"/>
    <w:rsid w:val="00571027"/>
    <w:rsid w:val="0057127A"/>
    <w:rsid w:val="00572231"/>
    <w:rsid w:val="00572EE6"/>
    <w:rsid w:val="0057306C"/>
    <w:rsid w:val="00573390"/>
    <w:rsid w:val="005745FF"/>
    <w:rsid w:val="005755B8"/>
    <w:rsid w:val="00575A04"/>
    <w:rsid w:val="00576A32"/>
    <w:rsid w:val="005813DD"/>
    <w:rsid w:val="00582C7C"/>
    <w:rsid w:val="005833DC"/>
    <w:rsid w:val="00583AEA"/>
    <w:rsid w:val="0058462A"/>
    <w:rsid w:val="005849CC"/>
    <w:rsid w:val="00584CCC"/>
    <w:rsid w:val="00584D02"/>
    <w:rsid w:val="00586A7E"/>
    <w:rsid w:val="00587C3B"/>
    <w:rsid w:val="00591914"/>
    <w:rsid w:val="00591BB0"/>
    <w:rsid w:val="00591D7C"/>
    <w:rsid w:val="00593955"/>
    <w:rsid w:val="0059417C"/>
    <w:rsid w:val="00594FDC"/>
    <w:rsid w:val="00596A4C"/>
    <w:rsid w:val="005971F5"/>
    <w:rsid w:val="005A037E"/>
    <w:rsid w:val="005A0545"/>
    <w:rsid w:val="005A08D8"/>
    <w:rsid w:val="005A1B44"/>
    <w:rsid w:val="005A474C"/>
    <w:rsid w:val="005A540A"/>
    <w:rsid w:val="005A6627"/>
    <w:rsid w:val="005A78AD"/>
    <w:rsid w:val="005B12C3"/>
    <w:rsid w:val="005B18EA"/>
    <w:rsid w:val="005B2DC5"/>
    <w:rsid w:val="005B3418"/>
    <w:rsid w:val="005B56B3"/>
    <w:rsid w:val="005B57E4"/>
    <w:rsid w:val="005B5F7E"/>
    <w:rsid w:val="005B674A"/>
    <w:rsid w:val="005B691C"/>
    <w:rsid w:val="005B693A"/>
    <w:rsid w:val="005B696D"/>
    <w:rsid w:val="005B751D"/>
    <w:rsid w:val="005C0753"/>
    <w:rsid w:val="005C1586"/>
    <w:rsid w:val="005C1C51"/>
    <w:rsid w:val="005C2470"/>
    <w:rsid w:val="005C2B60"/>
    <w:rsid w:val="005C32F3"/>
    <w:rsid w:val="005C490A"/>
    <w:rsid w:val="005C554C"/>
    <w:rsid w:val="005C5697"/>
    <w:rsid w:val="005C788A"/>
    <w:rsid w:val="005D11DC"/>
    <w:rsid w:val="005D1330"/>
    <w:rsid w:val="005D1CC0"/>
    <w:rsid w:val="005D1F08"/>
    <w:rsid w:val="005D53F7"/>
    <w:rsid w:val="005D6279"/>
    <w:rsid w:val="005D6C1D"/>
    <w:rsid w:val="005D71C3"/>
    <w:rsid w:val="005E2AC7"/>
    <w:rsid w:val="005E2DC8"/>
    <w:rsid w:val="005E5CC9"/>
    <w:rsid w:val="005E705A"/>
    <w:rsid w:val="005E717C"/>
    <w:rsid w:val="005E7D6C"/>
    <w:rsid w:val="005F3325"/>
    <w:rsid w:val="005F3E27"/>
    <w:rsid w:val="005F4C6A"/>
    <w:rsid w:val="005F57A1"/>
    <w:rsid w:val="005F58D9"/>
    <w:rsid w:val="005F5987"/>
    <w:rsid w:val="005F630C"/>
    <w:rsid w:val="00600809"/>
    <w:rsid w:val="00601486"/>
    <w:rsid w:val="0060193A"/>
    <w:rsid w:val="006028B6"/>
    <w:rsid w:val="006028C8"/>
    <w:rsid w:val="0060379F"/>
    <w:rsid w:val="00603E88"/>
    <w:rsid w:val="0060549D"/>
    <w:rsid w:val="00605973"/>
    <w:rsid w:val="00605AEA"/>
    <w:rsid w:val="006074AC"/>
    <w:rsid w:val="0060758B"/>
    <w:rsid w:val="0061089A"/>
    <w:rsid w:val="00612108"/>
    <w:rsid w:val="00612F63"/>
    <w:rsid w:val="006140B1"/>
    <w:rsid w:val="0061563B"/>
    <w:rsid w:val="0061672E"/>
    <w:rsid w:val="00616A85"/>
    <w:rsid w:val="00616F3A"/>
    <w:rsid w:val="00617911"/>
    <w:rsid w:val="00621E4F"/>
    <w:rsid w:val="00622D2B"/>
    <w:rsid w:val="0062462B"/>
    <w:rsid w:val="00626173"/>
    <w:rsid w:val="00627EAB"/>
    <w:rsid w:val="00630624"/>
    <w:rsid w:val="0063063D"/>
    <w:rsid w:val="00630E6F"/>
    <w:rsid w:val="00631F49"/>
    <w:rsid w:val="00632A38"/>
    <w:rsid w:val="006338BD"/>
    <w:rsid w:val="006339CB"/>
    <w:rsid w:val="00637C61"/>
    <w:rsid w:val="00641499"/>
    <w:rsid w:val="0064175E"/>
    <w:rsid w:val="006417ED"/>
    <w:rsid w:val="006429AF"/>
    <w:rsid w:val="006439B2"/>
    <w:rsid w:val="006455F7"/>
    <w:rsid w:val="00645E7B"/>
    <w:rsid w:val="006471AD"/>
    <w:rsid w:val="0065085E"/>
    <w:rsid w:val="00650CE8"/>
    <w:rsid w:val="00650FFE"/>
    <w:rsid w:val="006517EF"/>
    <w:rsid w:val="006518CD"/>
    <w:rsid w:val="00651CBB"/>
    <w:rsid w:val="00653D19"/>
    <w:rsid w:val="0065422F"/>
    <w:rsid w:val="00660D80"/>
    <w:rsid w:val="00662727"/>
    <w:rsid w:val="0066351B"/>
    <w:rsid w:val="00663A74"/>
    <w:rsid w:val="006660CC"/>
    <w:rsid w:val="0067089D"/>
    <w:rsid w:val="00671BD1"/>
    <w:rsid w:val="00671D46"/>
    <w:rsid w:val="00672C87"/>
    <w:rsid w:val="00673182"/>
    <w:rsid w:val="00674B4A"/>
    <w:rsid w:val="00677189"/>
    <w:rsid w:val="006779FA"/>
    <w:rsid w:val="00680D10"/>
    <w:rsid w:val="006811E7"/>
    <w:rsid w:val="00682616"/>
    <w:rsid w:val="006852F3"/>
    <w:rsid w:val="00686999"/>
    <w:rsid w:val="00687A40"/>
    <w:rsid w:val="00691135"/>
    <w:rsid w:val="00691BDD"/>
    <w:rsid w:val="00691C18"/>
    <w:rsid w:val="006938C3"/>
    <w:rsid w:val="00693B47"/>
    <w:rsid w:val="00695C5E"/>
    <w:rsid w:val="00696942"/>
    <w:rsid w:val="00696E46"/>
    <w:rsid w:val="00697693"/>
    <w:rsid w:val="006A0243"/>
    <w:rsid w:val="006A1952"/>
    <w:rsid w:val="006A2FB0"/>
    <w:rsid w:val="006A3A77"/>
    <w:rsid w:val="006A5811"/>
    <w:rsid w:val="006A6B1A"/>
    <w:rsid w:val="006B1263"/>
    <w:rsid w:val="006B1F0E"/>
    <w:rsid w:val="006B33F9"/>
    <w:rsid w:val="006B36FF"/>
    <w:rsid w:val="006B5C74"/>
    <w:rsid w:val="006B5E41"/>
    <w:rsid w:val="006B6626"/>
    <w:rsid w:val="006B6D0D"/>
    <w:rsid w:val="006B7F33"/>
    <w:rsid w:val="006C32F4"/>
    <w:rsid w:val="006C358B"/>
    <w:rsid w:val="006C40FC"/>
    <w:rsid w:val="006C4168"/>
    <w:rsid w:val="006C4E22"/>
    <w:rsid w:val="006C51BC"/>
    <w:rsid w:val="006C5D56"/>
    <w:rsid w:val="006C7A07"/>
    <w:rsid w:val="006C7B78"/>
    <w:rsid w:val="006D0007"/>
    <w:rsid w:val="006D1AED"/>
    <w:rsid w:val="006D1E9C"/>
    <w:rsid w:val="006D5263"/>
    <w:rsid w:val="006D57DD"/>
    <w:rsid w:val="006D5818"/>
    <w:rsid w:val="006D774E"/>
    <w:rsid w:val="006E05DF"/>
    <w:rsid w:val="006E05E3"/>
    <w:rsid w:val="006E0B51"/>
    <w:rsid w:val="006E26C4"/>
    <w:rsid w:val="006E3591"/>
    <w:rsid w:val="006E3A97"/>
    <w:rsid w:val="006E40EA"/>
    <w:rsid w:val="006E570A"/>
    <w:rsid w:val="006E6944"/>
    <w:rsid w:val="006E753F"/>
    <w:rsid w:val="006E78A5"/>
    <w:rsid w:val="006F1046"/>
    <w:rsid w:val="006F1F9E"/>
    <w:rsid w:val="006F2DA2"/>
    <w:rsid w:val="006F37D5"/>
    <w:rsid w:val="006F38A2"/>
    <w:rsid w:val="006F440C"/>
    <w:rsid w:val="006F486D"/>
    <w:rsid w:val="006F5147"/>
    <w:rsid w:val="006F568F"/>
    <w:rsid w:val="006F704E"/>
    <w:rsid w:val="00701A91"/>
    <w:rsid w:val="007039E9"/>
    <w:rsid w:val="00704B70"/>
    <w:rsid w:val="0070665A"/>
    <w:rsid w:val="007077C8"/>
    <w:rsid w:val="00707828"/>
    <w:rsid w:val="00707831"/>
    <w:rsid w:val="00707DD5"/>
    <w:rsid w:val="0071040A"/>
    <w:rsid w:val="00711348"/>
    <w:rsid w:val="007123E3"/>
    <w:rsid w:val="00716725"/>
    <w:rsid w:val="00720BA7"/>
    <w:rsid w:val="00720D57"/>
    <w:rsid w:val="00722551"/>
    <w:rsid w:val="00723A69"/>
    <w:rsid w:val="00725065"/>
    <w:rsid w:val="007253D4"/>
    <w:rsid w:val="00727A30"/>
    <w:rsid w:val="00727BE3"/>
    <w:rsid w:val="00727CE9"/>
    <w:rsid w:val="0073089C"/>
    <w:rsid w:val="007312C7"/>
    <w:rsid w:val="00731EF3"/>
    <w:rsid w:val="00732859"/>
    <w:rsid w:val="00733C61"/>
    <w:rsid w:val="00733FCE"/>
    <w:rsid w:val="00735F80"/>
    <w:rsid w:val="00736445"/>
    <w:rsid w:val="00736E63"/>
    <w:rsid w:val="007405DC"/>
    <w:rsid w:val="0074338E"/>
    <w:rsid w:val="00745F2C"/>
    <w:rsid w:val="00747C04"/>
    <w:rsid w:val="007504CD"/>
    <w:rsid w:val="0075119E"/>
    <w:rsid w:val="0075193C"/>
    <w:rsid w:val="00752904"/>
    <w:rsid w:val="00752FA2"/>
    <w:rsid w:val="00754A1D"/>
    <w:rsid w:val="00755881"/>
    <w:rsid w:val="00755905"/>
    <w:rsid w:val="00755A7F"/>
    <w:rsid w:val="00755DED"/>
    <w:rsid w:val="00755F39"/>
    <w:rsid w:val="007615CE"/>
    <w:rsid w:val="00763B3A"/>
    <w:rsid w:val="00763C28"/>
    <w:rsid w:val="007657C1"/>
    <w:rsid w:val="00766443"/>
    <w:rsid w:val="007668F3"/>
    <w:rsid w:val="007676C0"/>
    <w:rsid w:val="007703E9"/>
    <w:rsid w:val="00770E59"/>
    <w:rsid w:val="00773964"/>
    <w:rsid w:val="00773E34"/>
    <w:rsid w:val="00774D2B"/>
    <w:rsid w:val="007756FF"/>
    <w:rsid w:val="007801E8"/>
    <w:rsid w:val="007830E0"/>
    <w:rsid w:val="00783B68"/>
    <w:rsid w:val="00783D42"/>
    <w:rsid w:val="0078520A"/>
    <w:rsid w:val="00785952"/>
    <w:rsid w:val="00786880"/>
    <w:rsid w:val="0079103B"/>
    <w:rsid w:val="00791CEE"/>
    <w:rsid w:val="007928EF"/>
    <w:rsid w:val="0079297B"/>
    <w:rsid w:val="00793CB6"/>
    <w:rsid w:val="0079558E"/>
    <w:rsid w:val="00795B9B"/>
    <w:rsid w:val="007A01FC"/>
    <w:rsid w:val="007A1DA9"/>
    <w:rsid w:val="007A1FDD"/>
    <w:rsid w:val="007A342D"/>
    <w:rsid w:val="007A4F6A"/>
    <w:rsid w:val="007A5283"/>
    <w:rsid w:val="007A5496"/>
    <w:rsid w:val="007A6613"/>
    <w:rsid w:val="007A66EC"/>
    <w:rsid w:val="007A7A20"/>
    <w:rsid w:val="007A7CA3"/>
    <w:rsid w:val="007B21EE"/>
    <w:rsid w:val="007B3FBC"/>
    <w:rsid w:val="007B4406"/>
    <w:rsid w:val="007B59EF"/>
    <w:rsid w:val="007B7602"/>
    <w:rsid w:val="007B7D93"/>
    <w:rsid w:val="007C0E04"/>
    <w:rsid w:val="007C175C"/>
    <w:rsid w:val="007C1B7C"/>
    <w:rsid w:val="007C211C"/>
    <w:rsid w:val="007C43F9"/>
    <w:rsid w:val="007C501B"/>
    <w:rsid w:val="007C50A5"/>
    <w:rsid w:val="007C5CBD"/>
    <w:rsid w:val="007C6CA6"/>
    <w:rsid w:val="007C78A7"/>
    <w:rsid w:val="007D0CA8"/>
    <w:rsid w:val="007D177A"/>
    <w:rsid w:val="007D2734"/>
    <w:rsid w:val="007D432E"/>
    <w:rsid w:val="007D5C1B"/>
    <w:rsid w:val="007D7271"/>
    <w:rsid w:val="007D72F1"/>
    <w:rsid w:val="007D7353"/>
    <w:rsid w:val="007D73F5"/>
    <w:rsid w:val="007D75F2"/>
    <w:rsid w:val="007D7D81"/>
    <w:rsid w:val="007E0DF0"/>
    <w:rsid w:val="007E2B39"/>
    <w:rsid w:val="007E3B74"/>
    <w:rsid w:val="007E4313"/>
    <w:rsid w:val="007E44CE"/>
    <w:rsid w:val="007E5265"/>
    <w:rsid w:val="007E56A6"/>
    <w:rsid w:val="007E5768"/>
    <w:rsid w:val="007E722A"/>
    <w:rsid w:val="007E7382"/>
    <w:rsid w:val="007F11C9"/>
    <w:rsid w:val="007F2C94"/>
    <w:rsid w:val="007F2FB2"/>
    <w:rsid w:val="007F3B9F"/>
    <w:rsid w:val="007F3C40"/>
    <w:rsid w:val="007F3EC5"/>
    <w:rsid w:val="007F4940"/>
    <w:rsid w:val="007F5ECF"/>
    <w:rsid w:val="007F7C17"/>
    <w:rsid w:val="008006B1"/>
    <w:rsid w:val="0080178C"/>
    <w:rsid w:val="00804502"/>
    <w:rsid w:val="00806A89"/>
    <w:rsid w:val="00807F3B"/>
    <w:rsid w:val="0081032A"/>
    <w:rsid w:val="00811354"/>
    <w:rsid w:val="00814076"/>
    <w:rsid w:val="00814A63"/>
    <w:rsid w:val="0081572F"/>
    <w:rsid w:val="008157A2"/>
    <w:rsid w:val="00815804"/>
    <w:rsid w:val="00815F56"/>
    <w:rsid w:val="00816AA2"/>
    <w:rsid w:val="00817FE8"/>
    <w:rsid w:val="008204E1"/>
    <w:rsid w:val="00820D31"/>
    <w:rsid w:val="00821B13"/>
    <w:rsid w:val="00822CFA"/>
    <w:rsid w:val="00822F58"/>
    <w:rsid w:val="008230DA"/>
    <w:rsid w:val="00823B24"/>
    <w:rsid w:val="00825C9A"/>
    <w:rsid w:val="0083039B"/>
    <w:rsid w:val="00833918"/>
    <w:rsid w:val="00833A46"/>
    <w:rsid w:val="00833BD1"/>
    <w:rsid w:val="008354EA"/>
    <w:rsid w:val="008355AE"/>
    <w:rsid w:val="00835EAC"/>
    <w:rsid w:val="0083748C"/>
    <w:rsid w:val="00840D93"/>
    <w:rsid w:val="00841574"/>
    <w:rsid w:val="00843251"/>
    <w:rsid w:val="00844D30"/>
    <w:rsid w:val="00844F33"/>
    <w:rsid w:val="00845602"/>
    <w:rsid w:val="008475DB"/>
    <w:rsid w:val="00847711"/>
    <w:rsid w:val="0085079B"/>
    <w:rsid w:val="00850951"/>
    <w:rsid w:val="00850B69"/>
    <w:rsid w:val="00854302"/>
    <w:rsid w:val="00855DCB"/>
    <w:rsid w:val="0085687A"/>
    <w:rsid w:val="00856F68"/>
    <w:rsid w:val="00857F10"/>
    <w:rsid w:val="008613FE"/>
    <w:rsid w:val="008640B1"/>
    <w:rsid w:val="00864E09"/>
    <w:rsid w:val="008651A7"/>
    <w:rsid w:val="00865751"/>
    <w:rsid w:val="00866E32"/>
    <w:rsid w:val="00867554"/>
    <w:rsid w:val="00867C0E"/>
    <w:rsid w:val="00871461"/>
    <w:rsid w:val="008723D7"/>
    <w:rsid w:val="00872B0F"/>
    <w:rsid w:val="00872D54"/>
    <w:rsid w:val="00874149"/>
    <w:rsid w:val="00874649"/>
    <w:rsid w:val="00874B9B"/>
    <w:rsid w:val="008762D9"/>
    <w:rsid w:val="008802F2"/>
    <w:rsid w:val="00881014"/>
    <w:rsid w:val="0088155A"/>
    <w:rsid w:val="008817E7"/>
    <w:rsid w:val="00881CB7"/>
    <w:rsid w:val="008865B7"/>
    <w:rsid w:val="00890D19"/>
    <w:rsid w:val="00892572"/>
    <w:rsid w:val="0089305D"/>
    <w:rsid w:val="008957D4"/>
    <w:rsid w:val="00895C57"/>
    <w:rsid w:val="00896C52"/>
    <w:rsid w:val="008A1AB0"/>
    <w:rsid w:val="008A307B"/>
    <w:rsid w:val="008A33C5"/>
    <w:rsid w:val="008A3787"/>
    <w:rsid w:val="008A4F40"/>
    <w:rsid w:val="008A56C6"/>
    <w:rsid w:val="008A62E3"/>
    <w:rsid w:val="008A6B3B"/>
    <w:rsid w:val="008A71DA"/>
    <w:rsid w:val="008B2967"/>
    <w:rsid w:val="008B2DD9"/>
    <w:rsid w:val="008B31D0"/>
    <w:rsid w:val="008B3BB9"/>
    <w:rsid w:val="008B517A"/>
    <w:rsid w:val="008B54DB"/>
    <w:rsid w:val="008B5536"/>
    <w:rsid w:val="008B58F8"/>
    <w:rsid w:val="008B5E9A"/>
    <w:rsid w:val="008B625A"/>
    <w:rsid w:val="008B7B5A"/>
    <w:rsid w:val="008C0582"/>
    <w:rsid w:val="008C2D35"/>
    <w:rsid w:val="008C2F49"/>
    <w:rsid w:val="008C3A87"/>
    <w:rsid w:val="008C4FB6"/>
    <w:rsid w:val="008C6312"/>
    <w:rsid w:val="008C6F99"/>
    <w:rsid w:val="008D1059"/>
    <w:rsid w:val="008D3627"/>
    <w:rsid w:val="008D4C7C"/>
    <w:rsid w:val="008D5A48"/>
    <w:rsid w:val="008D7011"/>
    <w:rsid w:val="008D79E7"/>
    <w:rsid w:val="008D7DC0"/>
    <w:rsid w:val="008E1EC8"/>
    <w:rsid w:val="008E290B"/>
    <w:rsid w:val="008E2A29"/>
    <w:rsid w:val="008E392C"/>
    <w:rsid w:val="008E3BC6"/>
    <w:rsid w:val="008E6C33"/>
    <w:rsid w:val="008E77A6"/>
    <w:rsid w:val="008F04AD"/>
    <w:rsid w:val="008F0BFC"/>
    <w:rsid w:val="008F16AD"/>
    <w:rsid w:val="008F1732"/>
    <w:rsid w:val="008F1970"/>
    <w:rsid w:val="008F36CC"/>
    <w:rsid w:val="008F7266"/>
    <w:rsid w:val="008F732C"/>
    <w:rsid w:val="008F7AD4"/>
    <w:rsid w:val="009013DF"/>
    <w:rsid w:val="009020C1"/>
    <w:rsid w:val="00902478"/>
    <w:rsid w:val="00903F3A"/>
    <w:rsid w:val="00904E1A"/>
    <w:rsid w:val="00906CC2"/>
    <w:rsid w:val="00910DCB"/>
    <w:rsid w:val="00912EC4"/>
    <w:rsid w:val="00913255"/>
    <w:rsid w:val="00913839"/>
    <w:rsid w:val="00913EA3"/>
    <w:rsid w:val="0091639C"/>
    <w:rsid w:val="00920AD8"/>
    <w:rsid w:val="00921B27"/>
    <w:rsid w:val="00922432"/>
    <w:rsid w:val="009227C3"/>
    <w:rsid w:val="00925C21"/>
    <w:rsid w:val="0093359C"/>
    <w:rsid w:val="0093398A"/>
    <w:rsid w:val="00933F92"/>
    <w:rsid w:val="00934374"/>
    <w:rsid w:val="0093504D"/>
    <w:rsid w:val="00935077"/>
    <w:rsid w:val="00935FC9"/>
    <w:rsid w:val="00936D57"/>
    <w:rsid w:val="009371F9"/>
    <w:rsid w:val="009373D5"/>
    <w:rsid w:val="00937675"/>
    <w:rsid w:val="00937B6E"/>
    <w:rsid w:val="00937BD7"/>
    <w:rsid w:val="0094172E"/>
    <w:rsid w:val="00942210"/>
    <w:rsid w:val="00942B0B"/>
    <w:rsid w:val="00943198"/>
    <w:rsid w:val="009448C2"/>
    <w:rsid w:val="00944953"/>
    <w:rsid w:val="00944A8F"/>
    <w:rsid w:val="00945278"/>
    <w:rsid w:val="009513A0"/>
    <w:rsid w:val="00951725"/>
    <w:rsid w:val="00952799"/>
    <w:rsid w:val="00954558"/>
    <w:rsid w:val="0095755A"/>
    <w:rsid w:val="00960417"/>
    <w:rsid w:val="0096202C"/>
    <w:rsid w:val="00964FE7"/>
    <w:rsid w:val="00965FD4"/>
    <w:rsid w:val="009661E0"/>
    <w:rsid w:val="00970E4E"/>
    <w:rsid w:val="009715E0"/>
    <w:rsid w:val="0097392E"/>
    <w:rsid w:val="009745B5"/>
    <w:rsid w:val="0097688D"/>
    <w:rsid w:val="00983B83"/>
    <w:rsid w:val="00984B15"/>
    <w:rsid w:val="00984D25"/>
    <w:rsid w:val="0098503B"/>
    <w:rsid w:val="00986B77"/>
    <w:rsid w:val="00990417"/>
    <w:rsid w:val="00991B9C"/>
    <w:rsid w:val="009948F7"/>
    <w:rsid w:val="0099494E"/>
    <w:rsid w:val="00994C56"/>
    <w:rsid w:val="00994FE9"/>
    <w:rsid w:val="00996322"/>
    <w:rsid w:val="009975D5"/>
    <w:rsid w:val="009A0969"/>
    <w:rsid w:val="009A1399"/>
    <w:rsid w:val="009A18E2"/>
    <w:rsid w:val="009A1D9E"/>
    <w:rsid w:val="009A3077"/>
    <w:rsid w:val="009A6086"/>
    <w:rsid w:val="009A6695"/>
    <w:rsid w:val="009B0013"/>
    <w:rsid w:val="009B2480"/>
    <w:rsid w:val="009B3FA9"/>
    <w:rsid w:val="009B4486"/>
    <w:rsid w:val="009B52DF"/>
    <w:rsid w:val="009B6DC2"/>
    <w:rsid w:val="009B7EC1"/>
    <w:rsid w:val="009B7F93"/>
    <w:rsid w:val="009C0BD8"/>
    <w:rsid w:val="009C1A44"/>
    <w:rsid w:val="009C1A77"/>
    <w:rsid w:val="009C2743"/>
    <w:rsid w:val="009C3687"/>
    <w:rsid w:val="009C452B"/>
    <w:rsid w:val="009C4703"/>
    <w:rsid w:val="009C4B88"/>
    <w:rsid w:val="009C4E98"/>
    <w:rsid w:val="009C6019"/>
    <w:rsid w:val="009C6260"/>
    <w:rsid w:val="009C655D"/>
    <w:rsid w:val="009C6759"/>
    <w:rsid w:val="009C7040"/>
    <w:rsid w:val="009C773E"/>
    <w:rsid w:val="009D0E18"/>
    <w:rsid w:val="009D176F"/>
    <w:rsid w:val="009D2D45"/>
    <w:rsid w:val="009D354F"/>
    <w:rsid w:val="009D3B82"/>
    <w:rsid w:val="009D3DA7"/>
    <w:rsid w:val="009D3E76"/>
    <w:rsid w:val="009D6D0B"/>
    <w:rsid w:val="009D7428"/>
    <w:rsid w:val="009E1E6D"/>
    <w:rsid w:val="009E5729"/>
    <w:rsid w:val="009E5AD4"/>
    <w:rsid w:val="009E64B6"/>
    <w:rsid w:val="009F14BC"/>
    <w:rsid w:val="009F17E1"/>
    <w:rsid w:val="009F300D"/>
    <w:rsid w:val="009F4963"/>
    <w:rsid w:val="009F6324"/>
    <w:rsid w:val="009F7B0E"/>
    <w:rsid w:val="00A02702"/>
    <w:rsid w:val="00A054FE"/>
    <w:rsid w:val="00A05B98"/>
    <w:rsid w:val="00A06240"/>
    <w:rsid w:val="00A06F33"/>
    <w:rsid w:val="00A10987"/>
    <w:rsid w:val="00A16A06"/>
    <w:rsid w:val="00A16C79"/>
    <w:rsid w:val="00A16C9A"/>
    <w:rsid w:val="00A17C85"/>
    <w:rsid w:val="00A20CBA"/>
    <w:rsid w:val="00A21FBB"/>
    <w:rsid w:val="00A272F3"/>
    <w:rsid w:val="00A30B51"/>
    <w:rsid w:val="00A31705"/>
    <w:rsid w:val="00A32629"/>
    <w:rsid w:val="00A35968"/>
    <w:rsid w:val="00A40528"/>
    <w:rsid w:val="00A460CD"/>
    <w:rsid w:val="00A46EE6"/>
    <w:rsid w:val="00A47A27"/>
    <w:rsid w:val="00A50543"/>
    <w:rsid w:val="00A5192B"/>
    <w:rsid w:val="00A521D0"/>
    <w:rsid w:val="00A5396B"/>
    <w:rsid w:val="00A5539D"/>
    <w:rsid w:val="00A553CA"/>
    <w:rsid w:val="00A56132"/>
    <w:rsid w:val="00A56897"/>
    <w:rsid w:val="00A56E6D"/>
    <w:rsid w:val="00A61044"/>
    <w:rsid w:val="00A61274"/>
    <w:rsid w:val="00A61C13"/>
    <w:rsid w:val="00A61F91"/>
    <w:rsid w:val="00A63955"/>
    <w:rsid w:val="00A64D93"/>
    <w:rsid w:val="00A64FED"/>
    <w:rsid w:val="00A678C9"/>
    <w:rsid w:val="00A70402"/>
    <w:rsid w:val="00A706E3"/>
    <w:rsid w:val="00A74017"/>
    <w:rsid w:val="00A762A4"/>
    <w:rsid w:val="00A80E38"/>
    <w:rsid w:val="00A84051"/>
    <w:rsid w:val="00A8485D"/>
    <w:rsid w:val="00A85EA7"/>
    <w:rsid w:val="00A90E42"/>
    <w:rsid w:val="00A90FF6"/>
    <w:rsid w:val="00A91FBD"/>
    <w:rsid w:val="00A922B1"/>
    <w:rsid w:val="00A92DBC"/>
    <w:rsid w:val="00A93127"/>
    <w:rsid w:val="00A939BD"/>
    <w:rsid w:val="00A939D7"/>
    <w:rsid w:val="00A947E4"/>
    <w:rsid w:val="00A96554"/>
    <w:rsid w:val="00A971D2"/>
    <w:rsid w:val="00A97E58"/>
    <w:rsid w:val="00AA0CCB"/>
    <w:rsid w:val="00AA190F"/>
    <w:rsid w:val="00AA2014"/>
    <w:rsid w:val="00AA262B"/>
    <w:rsid w:val="00AA265C"/>
    <w:rsid w:val="00AA284F"/>
    <w:rsid w:val="00AA2949"/>
    <w:rsid w:val="00AA2BC4"/>
    <w:rsid w:val="00AA30FD"/>
    <w:rsid w:val="00AA3AD2"/>
    <w:rsid w:val="00AA3B31"/>
    <w:rsid w:val="00AA6509"/>
    <w:rsid w:val="00AA673C"/>
    <w:rsid w:val="00AA7133"/>
    <w:rsid w:val="00AB0DB9"/>
    <w:rsid w:val="00AB206D"/>
    <w:rsid w:val="00AB2E73"/>
    <w:rsid w:val="00AB453B"/>
    <w:rsid w:val="00AB69EE"/>
    <w:rsid w:val="00AC1958"/>
    <w:rsid w:val="00AC3615"/>
    <w:rsid w:val="00AC39B2"/>
    <w:rsid w:val="00AC50F5"/>
    <w:rsid w:val="00AC7181"/>
    <w:rsid w:val="00AC7536"/>
    <w:rsid w:val="00AC7A91"/>
    <w:rsid w:val="00AD03E0"/>
    <w:rsid w:val="00AD1772"/>
    <w:rsid w:val="00AD2851"/>
    <w:rsid w:val="00AD2B28"/>
    <w:rsid w:val="00AD35C2"/>
    <w:rsid w:val="00AD377D"/>
    <w:rsid w:val="00AD3F58"/>
    <w:rsid w:val="00AD7EAF"/>
    <w:rsid w:val="00AD7FD8"/>
    <w:rsid w:val="00AE0567"/>
    <w:rsid w:val="00AE08F6"/>
    <w:rsid w:val="00AE2BD3"/>
    <w:rsid w:val="00AE4617"/>
    <w:rsid w:val="00AE53D7"/>
    <w:rsid w:val="00AE6F11"/>
    <w:rsid w:val="00AE7049"/>
    <w:rsid w:val="00AF0A0F"/>
    <w:rsid w:val="00AF19E5"/>
    <w:rsid w:val="00AF2099"/>
    <w:rsid w:val="00AF31BB"/>
    <w:rsid w:val="00AF4AA0"/>
    <w:rsid w:val="00AF5E38"/>
    <w:rsid w:val="00AF7A84"/>
    <w:rsid w:val="00B00E20"/>
    <w:rsid w:val="00B01A26"/>
    <w:rsid w:val="00B01FBC"/>
    <w:rsid w:val="00B02889"/>
    <w:rsid w:val="00B04EE1"/>
    <w:rsid w:val="00B05E80"/>
    <w:rsid w:val="00B06002"/>
    <w:rsid w:val="00B07EC6"/>
    <w:rsid w:val="00B100BC"/>
    <w:rsid w:val="00B11C14"/>
    <w:rsid w:val="00B12851"/>
    <w:rsid w:val="00B1300C"/>
    <w:rsid w:val="00B13EFD"/>
    <w:rsid w:val="00B14444"/>
    <w:rsid w:val="00B1454D"/>
    <w:rsid w:val="00B14924"/>
    <w:rsid w:val="00B14FAC"/>
    <w:rsid w:val="00B161FF"/>
    <w:rsid w:val="00B219B8"/>
    <w:rsid w:val="00B23495"/>
    <w:rsid w:val="00B23DEF"/>
    <w:rsid w:val="00B27B6F"/>
    <w:rsid w:val="00B27E97"/>
    <w:rsid w:val="00B301CD"/>
    <w:rsid w:val="00B333CF"/>
    <w:rsid w:val="00B337E9"/>
    <w:rsid w:val="00B340DA"/>
    <w:rsid w:val="00B3504B"/>
    <w:rsid w:val="00B35FB7"/>
    <w:rsid w:val="00B36977"/>
    <w:rsid w:val="00B3709A"/>
    <w:rsid w:val="00B4029A"/>
    <w:rsid w:val="00B406BA"/>
    <w:rsid w:val="00B4409E"/>
    <w:rsid w:val="00B4529A"/>
    <w:rsid w:val="00B4638B"/>
    <w:rsid w:val="00B5247B"/>
    <w:rsid w:val="00B529DA"/>
    <w:rsid w:val="00B53857"/>
    <w:rsid w:val="00B54E93"/>
    <w:rsid w:val="00B550D0"/>
    <w:rsid w:val="00B572F8"/>
    <w:rsid w:val="00B6063F"/>
    <w:rsid w:val="00B607A4"/>
    <w:rsid w:val="00B62F91"/>
    <w:rsid w:val="00B631E2"/>
    <w:rsid w:val="00B645D8"/>
    <w:rsid w:val="00B65BC6"/>
    <w:rsid w:val="00B65D86"/>
    <w:rsid w:val="00B6660A"/>
    <w:rsid w:val="00B66A3C"/>
    <w:rsid w:val="00B67759"/>
    <w:rsid w:val="00B72A30"/>
    <w:rsid w:val="00B72FB1"/>
    <w:rsid w:val="00B74732"/>
    <w:rsid w:val="00B7503C"/>
    <w:rsid w:val="00B7564D"/>
    <w:rsid w:val="00B75DD0"/>
    <w:rsid w:val="00B75FAB"/>
    <w:rsid w:val="00B801F3"/>
    <w:rsid w:val="00B8028B"/>
    <w:rsid w:val="00B805E0"/>
    <w:rsid w:val="00B80CCB"/>
    <w:rsid w:val="00B8149E"/>
    <w:rsid w:val="00B827A1"/>
    <w:rsid w:val="00B8294D"/>
    <w:rsid w:val="00B8384F"/>
    <w:rsid w:val="00B8498D"/>
    <w:rsid w:val="00B857E1"/>
    <w:rsid w:val="00B860E3"/>
    <w:rsid w:val="00B87614"/>
    <w:rsid w:val="00B87E00"/>
    <w:rsid w:val="00B900DB"/>
    <w:rsid w:val="00B91021"/>
    <w:rsid w:val="00B914B7"/>
    <w:rsid w:val="00B95690"/>
    <w:rsid w:val="00B95A46"/>
    <w:rsid w:val="00B96A69"/>
    <w:rsid w:val="00BA1036"/>
    <w:rsid w:val="00BA1DD9"/>
    <w:rsid w:val="00BA2123"/>
    <w:rsid w:val="00BA3197"/>
    <w:rsid w:val="00BA3285"/>
    <w:rsid w:val="00BA3496"/>
    <w:rsid w:val="00BA4162"/>
    <w:rsid w:val="00BA51FD"/>
    <w:rsid w:val="00BA54F6"/>
    <w:rsid w:val="00BB1CF4"/>
    <w:rsid w:val="00BB36E0"/>
    <w:rsid w:val="00BB3B39"/>
    <w:rsid w:val="00BB4C20"/>
    <w:rsid w:val="00BB50F2"/>
    <w:rsid w:val="00BB6AD4"/>
    <w:rsid w:val="00BB6E62"/>
    <w:rsid w:val="00BB7190"/>
    <w:rsid w:val="00BB780B"/>
    <w:rsid w:val="00BC0B0A"/>
    <w:rsid w:val="00BC21F7"/>
    <w:rsid w:val="00BC2CAA"/>
    <w:rsid w:val="00BC3CBC"/>
    <w:rsid w:val="00BC4D81"/>
    <w:rsid w:val="00BC6231"/>
    <w:rsid w:val="00BC651B"/>
    <w:rsid w:val="00BC7686"/>
    <w:rsid w:val="00BD03CF"/>
    <w:rsid w:val="00BD0EEC"/>
    <w:rsid w:val="00BD1363"/>
    <w:rsid w:val="00BD3894"/>
    <w:rsid w:val="00BD3FB6"/>
    <w:rsid w:val="00BD49E0"/>
    <w:rsid w:val="00BD63D0"/>
    <w:rsid w:val="00BD6FD4"/>
    <w:rsid w:val="00BD7A75"/>
    <w:rsid w:val="00BE0683"/>
    <w:rsid w:val="00BE37F6"/>
    <w:rsid w:val="00BE4532"/>
    <w:rsid w:val="00BE7359"/>
    <w:rsid w:val="00BF0221"/>
    <w:rsid w:val="00BF15BF"/>
    <w:rsid w:val="00BF19D4"/>
    <w:rsid w:val="00BF2187"/>
    <w:rsid w:val="00BF5CA4"/>
    <w:rsid w:val="00BF5D4F"/>
    <w:rsid w:val="00BF68A6"/>
    <w:rsid w:val="00BF72AB"/>
    <w:rsid w:val="00C011AB"/>
    <w:rsid w:val="00C01A7F"/>
    <w:rsid w:val="00C02C90"/>
    <w:rsid w:val="00C05823"/>
    <w:rsid w:val="00C05D69"/>
    <w:rsid w:val="00C07600"/>
    <w:rsid w:val="00C10BE1"/>
    <w:rsid w:val="00C10E97"/>
    <w:rsid w:val="00C12F5F"/>
    <w:rsid w:val="00C13377"/>
    <w:rsid w:val="00C1768B"/>
    <w:rsid w:val="00C17793"/>
    <w:rsid w:val="00C20D02"/>
    <w:rsid w:val="00C21919"/>
    <w:rsid w:val="00C22D30"/>
    <w:rsid w:val="00C22F28"/>
    <w:rsid w:val="00C2401C"/>
    <w:rsid w:val="00C27078"/>
    <w:rsid w:val="00C27FDC"/>
    <w:rsid w:val="00C31BFA"/>
    <w:rsid w:val="00C35D25"/>
    <w:rsid w:val="00C36E3D"/>
    <w:rsid w:val="00C3761C"/>
    <w:rsid w:val="00C37FC5"/>
    <w:rsid w:val="00C40202"/>
    <w:rsid w:val="00C4116E"/>
    <w:rsid w:val="00C45477"/>
    <w:rsid w:val="00C45B52"/>
    <w:rsid w:val="00C4786E"/>
    <w:rsid w:val="00C47CAA"/>
    <w:rsid w:val="00C51643"/>
    <w:rsid w:val="00C517C3"/>
    <w:rsid w:val="00C52A63"/>
    <w:rsid w:val="00C5319E"/>
    <w:rsid w:val="00C53A0F"/>
    <w:rsid w:val="00C549D5"/>
    <w:rsid w:val="00C5503E"/>
    <w:rsid w:val="00C565D6"/>
    <w:rsid w:val="00C56F30"/>
    <w:rsid w:val="00C62C3F"/>
    <w:rsid w:val="00C62DA1"/>
    <w:rsid w:val="00C62DF1"/>
    <w:rsid w:val="00C6366F"/>
    <w:rsid w:val="00C63C07"/>
    <w:rsid w:val="00C648D1"/>
    <w:rsid w:val="00C65D52"/>
    <w:rsid w:val="00C67D00"/>
    <w:rsid w:val="00C701FE"/>
    <w:rsid w:val="00C711CE"/>
    <w:rsid w:val="00C7151A"/>
    <w:rsid w:val="00C71712"/>
    <w:rsid w:val="00C7195B"/>
    <w:rsid w:val="00C74E50"/>
    <w:rsid w:val="00C76BA6"/>
    <w:rsid w:val="00C77911"/>
    <w:rsid w:val="00C80B2B"/>
    <w:rsid w:val="00C80EA9"/>
    <w:rsid w:val="00C80FF4"/>
    <w:rsid w:val="00C8127F"/>
    <w:rsid w:val="00C81D6F"/>
    <w:rsid w:val="00C82604"/>
    <w:rsid w:val="00C838C9"/>
    <w:rsid w:val="00C84620"/>
    <w:rsid w:val="00C86824"/>
    <w:rsid w:val="00C9018A"/>
    <w:rsid w:val="00C91BC6"/>
    <w:rsid w:val="00C940A3"/>
    <w:rsid w:val="00C954E7"/>
    <w:rsid w:val="00C956B1"/>
    <w:rsid w:val="00C95E77"/>
    <w:rsid w:val="00C967D8"/>
    <w:rsid w:val="00C96ABF"/>
    <w:rsid w:val="00CA009A"/>
    <w:rsid w:val="00CA10C4"/>
    <w:rsid w:val="00CA19FF"/>
    <w:rsid w:val="00CA4D9C"/>
    <w:rsid w:val="00CA5292"/>
    <w:rsid w:val="00CA598E"/>
    <w:rsid w:val="00CA5C41"/>
    <w:rsid w:val="00CA60D5"/>
    <w:rsid w:val="00CB0375"/>
    <w:rsid w:val="00CB0A45"/>
    <w:rsid w:val="00CB0A5A"/>
    <w:rsid w:val="00CB2DBE"/>
    <w:rsid w:val="00CB3C92"/>
    <w:rsid w:val="00CB76FF"/>
    <w:rsid w:val="00CC0065"/>
    <w:rsid w:val="00CC21B1"/>
    <w:rsid w:val="00CC5777"/>
    <w:rsid w:val="00CC7156"/>
    <w:rsid w:val="00CD040B"/>
    <w:rsid w:val="00CD0DA1"/>
    <w:rsid w:val="00CD12D1"/>
    <w:rsid w:val="00CD253B"/>
    <w:rsid w:val="00CD2E61"/>
    <w:rsid w:val="00CD3725"/>
    <w:rsid w:val="00CD3F60"/>
    <w:rsid w:val="00CD3F8E"/>
    <w:rsid w:val="00CD4D7B"/>
    <w:rsid w:val="00CD4DE5"/>
    <w:rsid w:val="00CD51A4"/>
    <w:rsid w:val="00CD6206"/>
    <w:rsid w:val="00CD672A"/>
    <w:rsid w:val="00CD73BC"/>
    <w:rsid w:val="00CD7E0B"/>
    <w:rsid w:val="00CE045F"/>
    <w:rsid w:val="00CE0790"/>
    <w:rsid w:val="00CE33B2"/>
    <w:rsid w:val="00CE403E"/>
    <w:rsid w:val="00CE4912"/>
    <w:rsid w:val="00CE54B9"/>
    <w:rsid w:val="00CE5ECC"/>
    <w:rsid w:val="00CE77EE"/>
    <w:rsid w:val="00CF01D0"/>
    <w:rsid w:val="00CF0C42"/>
    <w:rsid w:val="00CF273A"/>
    <w:rsid w:val="00CF2D15"/>
    <w:rsid w:val="00CF2F55"/>
    <w:rsid w:val="00CF399E"/>
    <w:rsid w:val="00CF51E1"/>
    <w:rsid w:val="00CF6142"/>
    <w:rsid w:val="00CF614E"/>
    <w:rsid w:val="00CF6FB7"/>
    <w:rsid w:val="00CF7681"/>
    <w:rsid w:val="00CF7E78"/>
    <w:rsid w:val="00D001BE"/>
    <w:rsid w:val="00D00A28"/>
    <w:rsid w:val="00D0217A"/>
    <w:rsid w:val="00D02976"/>
    <w:rsid w:val="00D04E4D"/>
    <w:rsid w:val="00D04FEC"/>
    <w:rsid w:val="00D05675"/>
    <w:rsid w:val="00D065BE"/>
    <w:rsid w:val="00D06964"/>
    <w:rsid w:val="00D07351"/>
    <w:rsid w:val="00D07BBB"/>
    <w:rsid w:val="00D11BFC"/>
    <w:rsid w:val="00D1330E"/>
    <w:rsid w:val="00D14DAA"/>
    <w:rsid w:val="00D1663E"/>
    <w:rsid w:val="00D16CE3"/>
    <w:rsid w:val="00D174B7"/>
    <w:rsid w:val="00D2057B"/>
    <w:rsid w:val="00D20D7A"/>
    <w:rsid w:val="00D214A8"/>
    <w:rsid w:val="00D2157F"/>
    <w:rsid w:val="00D21AF8"/>
    <w:rsid w:val="00D22079"/>
    <w:rsid w:val="00D2219A"/>
    <w:rsid w:val="00D225CF"/>
    <w:rsid w:val="00D226DD"/>
    <w:rsid w:val="00D24534"/>
    <w:rsid w:val="00D24C91"/>
    <w:rsid w:val="00D24CC6"/>
    <w:rsid w:val="00D2507D"/>
    <w:rsid w:val="00D25F53"/>
    <w:rsid w:val="00D2649C"/>
    <w:rsid w:val="00D26AEB"/>
    <w:rsid w:val="00D272DD"/>
    <w:rsid w:val="00D27F25"/>
    <w:rsid w:val="00D32028"/>
    <w:rsid w:val="00D32FE9"/>
    <w:rsid w:val="00D33564"/>
    <w:rsid w:val="00D34BB5"/>
    <w:rsid w:val="00D35848"/>
    <w:rsid w:val="00D35992"/>
    <w:rsid w:val="00D36116"/>
    <w:rsid w:val="00D37361"/>
    <w:rsid w:val="00D42D7B"/>
    <w:rsid w:val="00D431A9"/>
    <w:rsid w:val="00D433BA"/>
    <w:rsid w:val="00D434D8"/>
    <w:rsid w:val="00D44B68"/>
    <w:rsid w:val="00D44D40"/>
    <w:rsid w:val="00D45FB6"/>
    <w:rsid w:val="00D5125B"/>
    <w:rsid w:val="00D57D23"/>
    <w:rsid w:val="00D60EE0"/>
    <w:rsid w:val="00D63F9F"/>
    <w:rsid w:val="00D64822"/>
    <w:rsid w:val="00D64BF5"/>
    <w:rsid w:val="00D651C3"/>
    <w:rsid w:val="00D65993"/>
    <w:rsid w:val="00D65F5B"/>
    <w:rsid w:val="00D671F3"/>
    <w:rsid w:val="00D67BEB"/>
    <w:rsid w:val="00D70C1D"/>
    <w:rsid w:val="00D71960"/>
    <w:rsid w:val="00D73B08"/>
    <w:rsid w:val="00D7431B"/>
    <w:rsid w:val="00D7479E"/>
    <w:rsid w:val="00D74E39"/>
    <w:rsid w:val="00D75EDE"/>
    <w:rsid w:val="00D766F1"/>
    <w:rsid w:val="00D77423"/>
    <w:rsid w:val="00D807E4"/>
    <w:rsid w:val="00D81F32"/>
    <w:rsid w:val="00D82BF8"/>
    <w:rsid w:val="00D9095B"/>
    <w:rsid w:val="00D90B63"/>
    <w:rsid w:val="00D9254F"/>
    <w:rsid w:val="00D93231"/>
    <w:rsid w:val="00D937A6"/>
    <w:rsid w:val="00D945C0"/>
    <w:rsid w:val="00D94F51"/>
    <w:rsid w:val="00D957B5"/>
    <w:rsid w:val="00D9659C"/>
    <w:rsid w:val="00D971EA"/>
    <w:rsid w:val="00D97759"/>
    <w:rsid w:val="00DA0971"/>
    <w:rsid w:val="00DA0DB2"/>
    <w:rsid w:val="00DA1341"/>
    <w:rsid w:val="00DA2392"/>
    <w:rsid w:val="00DA41B4"/>
    <w:rsid w:val="00DA41FA"/>
    <w:rsid w:val="00DA4EFA"/>
    <w:rsid w:val="00DA4F72"/>
    <w:rsid w:val="00DA53B8"/>
    <w:rsid w:val="00DA6F60"/>
    <w:rsid w:val="00DB0764"/>
    <w:rsid w:val="00DB1AB0"/>
    <w:rsid w:val="00DB1F12"/>
    <w:rsid w:val="00DB458F"/>
    <w:rsid w:val="00DB555B"/>
    <w:rsid w:val="00DB583C"/>
    <w:rsid w:val="00DB6BD2"/>
    <w:rsid w:val="00DB6F48"/>
    <w:rsid w:val="00DB716C"/>
    <w:rsid w:val="00DB7213"/>
    <w:rsid w:val="00DB7D6D"/>
    <w:rsid w:val="00DC03E9"/>
    <w:rsid w:val="00DC0508"/>
    <w:rsid w:val="00DC2B48"/>
    <w:rsid w:val="00DC2F2C"/>
    <w:rsid w:val="00DC368B"/>
    <w:rsid w:val="00DC3B17"/>
    <w:rsid w:val="00DC4365"/>
    <w:rsid w:val="00DC4988"/>
    <w:rsid w:val="00DC4BA9"/>
    <w:rsid w:val="00DC4D53"/>
    <w:rsid w:val="00DC5BC3"/>
    <w:rsid w:val="00DC67EC"/>
    <w:rsid w:val="00DC6AD6"/>
    <w:rsid w:val="00DC6BF1"/>
    <w:rsid w:val="00DC6ED0"/>
    <w:rsid w:val="00DC71D1"/>
    <w:rsid w:val="00DC7A22"/>
    <w:rsid w:val="00DC7C05"/>
    <w:rsid w:val="00DD030F"/>
    <w:rsid w:val="00DD07CE"/>
    <w:rsid w:val="00DD21F0"/>
    <w:rsid w:val="00DD2450"/>
    <w:rsid w:val="00DD2FC2"/>
    <w:rsid w:val="00DD6D7E"/>
    <w:rsid w:val="00DD72E6"/>
    <w:rsid w:val="00DE095A"/>
    <w:rsid w:val="00DE314F"/>
    <w:rsid w:val="00DE3FEA"/>
    <w:rsid w:val="00DE4539"/>
    <w:rsid w:val="00DE5547"/>
    <w:rsid w:val="00DF104F"/>
    <w:rsid w:val="00DF39B2"/>
    <w:rsid w:val="00DF4587"/>
    <w:rsid w:val="00DF49D1"/>
    <w:rsid w:val="00DF4BB7"/>
    <w:rsid w:val="00DF4FBE"/>
    <w:rsid w:val="00DF676A"/>
    <w:rsid w:val="00DF74B4"/>
    <w:rsid w:val="00DF76E4"/>
    <w:rsid w:val="00E00A33"/>
    <w:rsid w:val="00E02D7F"/>
    <w:rsid w:val="00E03D98"/>
    <w:rsid w:val="00E03FF5"/>
    <w:rsid w:val="00E060D6"/>
    <w:rsid w:val="00E066A6"/>
    <w:rsid w:val="00E06BCB"/>
    <w:rsid w:val="00E10BA3"/>
    <w:rsid w:val="00E11CF0"/>
    <w:rsid w:val="00E13556"/>
    <w:rsid w:val="00E1497A"/>
    <w:rsid w:val="00E15662"/>
    <w:rsid w:val="00E15AA8"/>
    <w:rsid w:val="00E220E2"/>
    <w:rsid w:val="00E2334E"/>
    <w:rsid w:val="00E24230"/>
    <w:rsid w:val="00E24864"/>
    <w:rsid w:val="00E24BBB"/>
    <w:rsid w:val="00E25103"/>
    <w:rsid w:val="00E25BC0"/>
    <w:rsid w:val="00E25E55"/>
    <w:rsid w:val="00E26636"/>
    <w:rsid w:val="00E274C6"/>
    <w:rsid w:val="00E3158E"/>
    <w:rsid w:val="00E318CD"/>
    <w:rsid w:val="00E32CB9"/>
    <w:rsid w:val="00E34A56"/>
    <w:rsid w:val="00E35052"/>
    <w:rsid w:val="00E3524B"/>
    <w:rsid w:val="00E35574"/>
    <w:rsid w:val="00E3592A"/>
    <w:rsid w:val="00E37AC2"/>
    <w:rsid w:val="00E37CE0"/>
    <w:rsid w:val="00E37D8E"/>
    <w:rsid w:val="00E41220"/>
    <w:rsid w:val="00E4206D"/>
    <w:rsid w:val="00E42B50"/>
    <w:rsid w:val="00E44BD1"/>
    <w:rsid w:val="00E46082"/>
    <w:rsid w:val="00E4656C"/>
    <w:rsid w:val="00E50511"/>
    <w:rsid w:val="00E50A8F"/>
    <w:rsid w:val="00E5137E"/>
    <w:rsid w:val="00E52BBE"/>
    <w:rsid w:val="00E537CC"/>
    <w:rsid w:val="00E54BA0"/>
    <w:rsid w:val="00E55BDC"/>
    <w:rsid w:val="00E56542"/>
    <w:rsid w:val="00E56D9B"/>
    <w:rsid w:val="00E57139"/>
    <w:rsid w:val="00E609C1"/>
    <w:rsid w:val="00E60CE0"/>
    <w:rsid w:val="00E60FAF"/>
    <w:rsid w:val="00E61654"/>
    <w:rsid w:val="00E61671"/>
    <w:rsid w:val="00E622B0"/>
    <w:rsid w:val="00E62914"/>
    <w:rsid w:val="00E635B4"/>
    <w:rsid w:val="00E64367"/>
    <w:rsid w:val="00E6461D"/>
    <w:rsid w:val="00E64C1D"/>
    <w:rsid w:val="00E660F9"/>
    <w:rsid w:val="00E677C5"/>
    <w:rsid w:val="00E70196"/>
    <w:rsid w:val="00E70BFD"/>
    <w:rsid w:val="00E7108C"/>
    <w:rsid w:val="00E742A5"/>
    <w:rsid w:val="00E743CB"/>
    <w:rsid w:val="00E74614"/>
    <w:rsid w:val="00E752B3"/>
    <w:rsid w:val="00E75695"/>
    <w:rsid w:val="00E7633E"/>
    <w:rsid w:val="00E76939"/>
    <w:rsid w:val="00E77751"/>
    <w:rsid w:val="00E81140"/>
    <w:rsid w:val="00E82286"/>
    <w:rsid w:val="00E8259C"/>
    <w:rsid w:val="00E85939"/>
    <w:rsid w:val="00E86CB8"/>
    <w:rsid w:val="00E86F01"/>
    <w:rsid w:val="00E87D6F"/>
    <w:rsid w:val="00E92FCC"/>
    <w:rsid w:val="00E93433"/>
    <w:rsid w:val="00E945B3"/>
    <w:rsid w:val="00E950C2"/>
    <w:rsid w:val="00E961A8"/>
    <w:rsid w:val="00E97FED"/>
    <w:rsid w:val="00EA0A0E"/>
    <w:rsid w:val="00EA0DDB"/>
    <w:rsid w:val="00EA1254"/>
    <w:rsid w:val="00EA1F3F"/>
    <w:rsid w:val="00EA31AE"/>
    <w:rsid w:val="00EA39FD"/>
    <w:rsid w:val="00EA3B22"/>
    <w:rsid w:val="00EA3D08"/>
    <w:rsid w:val="00EA3DFE"/>
    <w:rsid w:val="00EA6391"/>
    <w:rsid w:val="00EA6D0C"/>
    <w:rsid w:val="00EA6EA9"/>
    <w:rsid w:val="00EB0D3D"/>
    <w:rsid w:val="00EB10DD"/>
    <w:rsid w:val="00EB1F2A"/>
    <w:rsid w:val="00EB29F7"/>
    <w:rsid w:val="00EB2CA1"/>
    <w:rsid w:val="00EB339B"/>
    <w:rsid w:val="00EB3568"/>
    <w:rsid w:val="00EB4D03"/>
    <w:rsid w:val="00EB5C99"/>
    <w:rsid w:val="00EB6A8C"/>
    <w:rsid w:val="00EC07BA"/>
    <w:rsid w:val="00EC10B8"/>
    <w:rsid w:val="00EC1D39"/>
    <w:rsid w:val="00EC1D61"/>
    <w:rsid w:val="00EC270B"/>
    <w:rsid w:val="00EC2C25"/>
    <w:rsid w:val="00EC432B"/>
    <w:rsid w:val="00ED1933"/>
    <w:rsid w:val="00ED214E"/>
    <w:rsid w:val="00ED2390"/>
    <w:rsid w:val="00ED266A"/>
    <w:rsid w:val="00ED48E6"/>
    <w:rsid w:val="00ED56AF"/>
    <w:rsid w:val="00ED59FF"/>
    <w:rsid w:val="00ED71C7"/>
    <w:rsid w:val="00ED79D9"/>
    <w:rsid w:val="00EE0EBD"/>
    <w:rsid w:val="00EE3986"/>
    <w:rsid w:val="00EE3C58"/>
    <w:rsid w:val="00EE4E58"/>
    <w:rsid w:val="00EE4F89"/>
    <w:rsid w:val="00EE56E8"/>
    <w:rsid w:val="00EF0B51"/>
    <w:rsid w:val="00EF0D09"/>
    <w:rsid w:val="00EF1368"/>
    <w:rsid w:val="00EF1599"/>
    <w:rsid w:val="00EF224D"/>
    <w:rsid w:val="00EF410A"/>
    <w:rsid w:val="00EF437E"/>
    <w:rsid w:val="00EF5893"/>
    <w:rsid w:val="00EF75E3"/>
    <w:rsid w:val="00EF77E9"/>
    <w:rsid w:val="00F01F1F"/>
    <w:rsid w:val="00F02938"/>
    <w:rsid w:val="00F02942"/>
    <w:rsid w:val="00F0308F"/>
    <w:rsid w:val="00F03CD0"/>
    <w:rsid w:val="00F03EAF"/>
    <w:rsid w:val="00F0657F"/>
    <w:rsid w:val="00F06653"/>
    <w:rsid w:val="00F06F84"/>
    <w:rsid w:val="00F07FD6"/>
    <w:rsid w:val="00F10D91"/>
    <w:rsid w:val="00F1122D"/>
    <w:rsid w:val="00F11570"/>
    <w:rsid w:val="00F141EF"/>
    <w:rsid w:val="00F14E6F"/>
    <w:rsid w:val="00F1517C"/>
    <w:rsid w:val="00F1576D"/>
    <w:rsid w:val="00F16D19"/>
    <w:rsid w:val="00F17748"/>
    <w:rsid w:val="00F17C6B"/>
    <w:rsid w:val="00F17E12"/>
    <w:rsid w:val="00F21338"/>
    <w:rsid w:val="00F2150E"/>
    <w:rsid w:val="00F2165D"/>
    <w:rsid w:val="00F22237"/>
    <w:rsid w:val="00F22CC5"/>
    <w:rsid w:val="00F23417"/>
    <w:rsid w:val="00F258A6"/>
    <w:rsid w:val="00F268FE"/>
    <w:rsid w:val="00F26AD0"/>
    <w:rsid w:val="00F271EE"/>
    <w:rsid w:val="00F2720B"/>
    <w:rsid w:val="00F27A65"/>
    <w:rsid w:val="00F30196"/>
    <w:rsid w:val="00F30898"/>
    <w:rsid w:val="00F318F5"/>
    <w:rsid w:val="00F3379D"/>
    <w:rsid w:val="00F3500F"/>
    <w:rsid w:val="00F37362"/>
    <w:rsid w:val="00F37404"/>
    <w:rsid w:val="00F407D1"/>
    <w:rsid w:val="00F41465"/>
    <w:rsid w:val="00F42ED3"/>
    <w:rsid w:val="00F43509"/>
    <w:rsid w:val="00F43FB2"/>
    <w:rsid w:val="00F44586"/>
    <w:rsid w:val="00F44DDB"/>
    <w:rsid w:val="00F4624D"/>
    <w:rsid w:val="00F4754D"/>
    <w:rsid w:val="00F50596"/>
    <w:rsid w:val="00F508E6"/>
    <w:rsid w:val="00F514B7"/>
    <w:rsid w:val="00F53202"/>
    <w:rsid w:val="00F537C0"/>
    <w:rsid w:val="00F53B97"/>
    <w:rsid w:val="00F54114"/>
    <w:rsid w:val="00F558D5"/>
    <w:rsid w:val="00F572F1"/>
    <w:rsid w:val="00F613FB"/>
    <w:rsid w:val="00F61427"/>
    <w:rsid w:val="00F624CD"/>
    <w:rsid w:val="00F62FCD"/>
    <w:rsid w:val="00F63415"/>
    <w:rsid w:val="00F63EA5"/>
    <w:rsid w:val="00F647C2"/>
    <w:rsid w:val="00F64A6F"/>
    <w:rsid w:val="00F64AE4"/>
    <w:rsid w:val="00F64FF8"/>
    <w:rsid w:val="00F65806"/>
    <w:rsid w:val="00F66528"/>
    <w:rsid w:val="00F66ECF"/>
    <w:rsid w:val="00F67291"/>
    <w:rsid w:val="00F677C3"/>
    <w:rsid w:val="00F677FF"/>
    <w:rsid w:val="00F67B42"/>
    <w:rsid w:val="00F71ADE"/>
    <w:rsid w:val="00F71BDB"/>
    <w:rsid w:val="00F71CC5"/>
    <w:rsid w:val="00F71FAF"/>
    <w:rsid w:val="00F72FA4"/>
    <w:rsid w:val="00F73179"/>
    <w:rsid w:val="00F74CF4"/>
    <w:rsid w:val="00F74D1E"/>
    <w:rsid w:val="00F755C2"/>
    <w:rsid w:val="00F773AD"/>
    <w:rsid w:val="00F77A5B"/>
    <w:rsid w:val="00F77C8D"/>
    <w:rsid w:val="00F82068"/>
    <w:rsid w:val="00F831F9"/>
    <w:rsid w:val="00F83E17"/>
    <w:rsid w:val="00F854CC"/>
    <w:rsid w:val="00F8760C"/>
    <w:rsid w:val="00F906A5"/>
    <w:rsid w:val="00F91B31"/>
    <w:rsid w:val="00F92514"/>
    <w:rsid w:val="00F92E75"/>
    <w:rsid w:val="00F95391"/>
    <w:rsid w:val="00F95DC3"/>
    <w:rsid w:val="00F965C0"/>
    <w:rsid w:val="00FA009A"/>
    <w:rsid w:val="00FA3515"/>
    <w:rsid w:val="00FA4BBE"/>
    <w:rsid w:val="00FA52C6"/>
    <w:rsid w:val="00FA7214"/>
    <w:rsid w:val="00FA75C5"/>
    <w:rsid w:val="00FA7BB3"/>
    <w:rsid w:val="00FB139B"/>
    <w:rsid w:val="00FB3A58"/>
    <w:rsid w:val="00FB46EB"/>
    <w:rsid w:val="00FB656D"/>
    <w:rsid w:val="00FC290F"/>
    <w:rsid w:val="00FC3422"/>
    <w:rsid w:val="00FC41FD"/>
    <w:rsid w:val="00FC45DC"/>
    <w:rsid w:val="00FC603F"/>
    <w:rsid w:val="00FC6F3F"/>
    <w:rsid w:val="00FC7800"/>
    <w:rsid w:val="00FC78F4"/>
    <w:rsid w:val="00FC7F06"/>
    <w:rsid w:val="00FD03D2"/>
    <w:rsid w:val="00FD10CE"/>
    <w:rsid w:val="00FD21AA"/>
    <w:rsid w:val="00FD2D8E"/>
    <w:rsid w:val="00FD49C2"/>
    <w:rsid w:val="00FD62D2"/>
    <w:rsid w:val="00FD6DBF"/>
    <w:rsid w:val="00FD7F44"/>
    <w:rsid w:val="00FE03A8"/>
    <w:rsid w:val="00FE0D89"/>
    <w:rsid w:val="00FE0F1D"/>
    <w:rsid w:val="00FE13B7"/>
    <w:rsid w:val="00FE1808"/>
    <w:rsid w:val="00FE3DD6"/>
    <w:rsid w:val="00FE4893"/>
    <w:rsid w:val="00FF0B2D"/>
    <w:rsid w:val="00FF0C9A"/>
    <w:rsid w:val="00FF0E95"/>
    <w:rsid w:val="00FF0FFA"/>
    <w:rsid w:val="00FF1715"/>
    <w:rsid w:val="00FF4C75"/>
    <w:rsid w:val="00FF6F1C"/>
    <w:rsid w:val="00FF6FC4"/>
    <w:rsid w:val="00FF6FFE"/>
    <w:rsid w:val="00FF7063"/>
    <w:rsid w:val="00FF78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f" fillcolor="white" stroke="f">
      <v:fill color="white" on="f"/>
      <v:stroke on="f"/>
      <o:colormru v:ext="edit" colors="#99f,#9ecdf8,#f00000,#00326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HTML Typewriter"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307B"/>
    <w:pPr>
      <w:widowControl w:val="0"/>
      <w:jc w:val="both"/>
    </w:pPr>
    <w:rPr>
      <w:kern w:val="2"/>
      <w:sz w:val="21"/>
      <w:szCs w:val="24"/>
    </w:rPr>
  </w:style>
  <w:style w:type="paragraph" w:styleId="1">
    <w:name w:val="heading 1"/>
    <w:basedOn w:val="a0"/>
    <w:next w:val="a0"/>
    <w:link w:val="1Char"/>
    <w:qFormat/>
    <w:rsid w:val="00E00A33"/>
    <w:pPr>
      <w:keepNext/>
      <w:keepLines/>
      <w:spacing w:before="340" w:after="330" w:line="578" w:lineRule="auto"/>
      <w:outlineLvl w:val="0"/>
    </w:pPr>
    <w:rPr>
      <w:b/>
      <w:bCs/>
      <w:kern w:val="44"/>
      <w:sz w:val="44"/>
      <w:szCs w:val="44"/>
    </w:rPr>
  </w:style>
  <w:style w:type="paragraph" w:styleId="2">
    <w:name w:val="heading 2"/>
    <w:basedOn w:val="a0"/>
    <w:next w:val="a0"/>
    <w:link w:val="2Char"/>
    <w:qFormat/>
    <w:rsid w:val="00E00A33"/>
    <w:pPr>
      <w:keepNext/>
      <w:keepLines/>
      <w:spacing w:before="260" w:after="260" w:line="416" w:lineRule="auto"/>
      <w:outlineLvl w:val="1"/>
    </w:pPr>
    <w:rPr>
      <w:rFonts w:ascii="Arial" w:eastAsia="SimHei" w:hAnsi="Arial"/>
      <w:b/>
      <w:bCs/>
      <w:sz w:val="32"/>
      <w:szCs w:val="32"/>
    </w:rPr>
  </w:style>
  <w:style w:type="paragraph" w:styleId="5">
    <w:name w:val="heading 5"/>
    <w:basedOn w:val="a0"/>
    <w:next w:val="a0"/>
    <w:qFormat/>
    <w:rsid w:val="00B75DD0"/>
    <w:pPr>
      <w:keepNext/>
      <w:jc w:val="center"/>
      <w:outlineLvl w:val="4"/>
    </w:pPr>
    <w:rPr>
      <w:rFonts w:ascii="Arial" w:eastAsia="SimHei" w:hAnsi="Arial" w:cs="Arial"/>
      <w:b/>
      <w:bCs/>
      <w:kern w:val="0"/>
      <w:sz w:val="18"/>
      <w:szCs w:val="1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A460CD"/>
    <w:rPr>
      <w:b/>
      <w:bCs/>
      <w:kern w:val="44"/>
      <w:sz w:val="44"/>
      <w:szCs w:val="44"/>
    </w:rPr>
  </w:style>
  <w:style w:type="character" w:customStyle="1" w:styleId="2Char">
    <w:name w:val="标题 2 Char"/>
    <w:link w:val="2"/>
    <w:rsid w:val="00A56132"/>
    <w:rPr>
      <w:rFonts w:ascii="Arial" w:eastAsia="SimHei" w:hAnsi="Arial"/>
      <w:b/>
      <w:bCs/>
      <w:kern w:val="2"/>
      <w:sz w:val="32"/>
      <w:szCs w:val="32"/>
    </w:rPr>
  </w:style>
  <w:style w:type="table" w:styleId="a4">
    <w:name w:val="Table Grid"/>
    <w:basedOn w:val="a2"/>
    <w:rsid w:val="00F1576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Char"/>
    <w:uiPriority w:val="99"/>
    <w:rsid w:val="00021EF5"/>
    <w:pPr>
      <w:tabs>
        <w:tab w:val="center" w:pos="4153"/>
        <w:tab w:val="right" w:pos="8306"/>
      </w:tabs>
      <w:snapToGrid w:val="0"/>
      <w:jc w:val="center"/>
    </w:pPr>
    <w:rPr>
      <w:sz w:val="18"/>
      <w:szCs w:val="18"/>
    </w:rPr>
  </w:style>
  <w:style w:type="character" w:customStyle="1" w:styleId="Char">
    <w:name w:val="页眉 Char"/>
    <w:link w:val="a5"/>
    <w:uiPriority w:val="99"/>
    <w:rsid w:val="00A56132"/>
    <w:rPr>
      <w:kern w:val="2"/>
      <w:sz w:val="18"/>
      <w:szCs w:val="18"/>
    </w:rPr>
  </w:style>
  <w:style w:type="paragraph" w:styleId="a6">
    <w:name w:val="footer"/>
    <w:basedOn w:val="a0"/>
    <w:link w:val="Char0"/>
    <w:uiPriority w:val="99"/>
    <w:rsid w:val="00021EF5"/>
    <w:pPr>
      <w:tabs>
        <w:tab w:val="center" w:pos="4153"/>
        <w:tab w:val="right" w:pos="8306"/>
      </w:tabs>
      <w:snapToGrid w:val="0"/>
      <w:jc w:val="left"/>
    </w:pPr>
    <w:rPr>
      <w:sz w:val="18"/>
      <w:szCs w:val="18"/>
    </w:rPr>
  </w:style>
  <w:style w:type="character" w:customStyle="1" w:styleId="Char0">
    <w:name w:val="页脚 Char"/>
    <w:link w:val="a6"/>
    <w:uiPriority w:val="99"/>
    <w:rsid w:val="00DE095A"/>
    <w:rPr>
      <w:kern w:val="2"/>
      <w:sz w:val="18"/>
      <w:szCs w:val="18"/>
    </w:rPr>
  </w:style>
  <w:style w:type="paragraph" w:customStyle="1" w:styleId="a">
    <w:name w:val="封面正文"/>
    <w:basedOn w:val="a0"/>
    <w:rsid w:val="00401122"/>
    <w:pPr>
      <w:numPr>
        <w:numId w:val="3"/>
      </w:numPr>
      <w:spacing w:afterLines="50" w:line="300" w:lineRule="exact"/>
    </w:pPr>
    <w:rPr>
      <w:rFonts w:ascii="Arial" w:eastAsia="SimHei" w:hAnsi="Arial"/>
      <w:b/>
      <w:sz w:val="18"/>
      <w:szCs w:val="21"/>
    </w:rPr>
  </w:style>
  <w:style w:type="paragraph" w:customStyle="1" w:styleId="a7">
    <w:name w:val="封边字"/>
    <w:basedOn w:val="a0"/>
    <w:link w:val="Char1"/>
    <w:rsid w:val="00AD3F58"/>
    <w:pPr>
      <w:tabs>
        <w:tab w:val="right" w:pos="3119"/>
      </w:tabs>
      <w:spacing w:line="240" w:lineRule="exact"/>
    </w:pPr>
    <w:rPr>
      <w:rFonts w:ascii="Arial" w:eastAsia="KaiTi_GB2312" w:hAnsi="Arial" w:cs="Arial"/>
      <w:color w:val="000000"/>
      <w:sz w:val="18"/>
      <w:szCs w:val="16"/>
    </w:rPr>
  </w:style>
  <w:style w:type="character" w:customStyle="1" w:styleId="Char1">
    <w:name w:val="封边字 Char"/>
    <w:link w:val="a7"/>
    <w:rsid w:val="00AD3F58"/>
    <w:rPr>
      <w:rFonts w:ascii="Arial" w:eastAsia="KaiTi_GB2312" w:hAnsi="Arial" w:cs="Arial"/>
      <w:color w:val="000000"/>
      <w:kern w:val="2"/>
      <w:sz w:val="18"/>
      <w:szCs w:val="16"/>
      <w:lang w:val="en-US" w:eastAsia="zh-CN" w:bidi="ar-SA"/>
    </w:rPr>
  </w:style>
  <w:style w:type="paragraph" w:customStyle="1" w:styleId="a8">
    <w:name w:val="内正文"/>
    <w:basedOn w:val="a0"/>
    <w:link w:val="CharChar"/>
    <w:rsid w:val="00153924"/>
    <w:pPr>
      <w:spacing w:afterLines="50" w:line="360" w:lineRule="exact"/>
      <w:ind w:leftChars="1350" w:left="2835"/>
    </w:pPr>
    <w:rPr>
      <w:rFonts w:ascii="宋体" w:hAnsi="宋体"/>
      <w:szCs w:val="21"/>
    </w:rPr>
  </w:style>
  <w:style w:type="character" w:customStyle="1" w:styleId="CharChar">
    <w:name w:val="内正文 Char Char"/>
    <w:link w:val="a8"/>
    <w:rsid w:val="00994FE9"/>
    <w:rPr>
      <w:rFonts w:ascii="宋体" w:eastAsia="宋体" w:hAnsi="宋体"/>
      <w:kern w:val="2"/>
      <w:sz w:val="21"/>
      <w:szCs w:val="21"/>
      <w:lang w:val="en-US" w:eastAsia="zh-CN" w:bidi="ar-SA"/>
    </w:rPr>
  </w:style>
  <w:style w:type="paragraph" w:styleId="a9">
    <w:name w:val="Balloon Text"/>
    <w:basedOn w:val="a0"/>
    <w:link w:val="Char2"/>
    <w:uiPriority w:val="99"/>
    <w:rsid w:val="00B75DD0"/>
    <w:rPr>
      <w:rFonts w:ascii="Arial" w:eastAsia="SimHei" w:hAnsi="Arial"/>
      <w:sz w:val="18"/>
      <w:szCs w:val="18"/>
    </w:rPr>
  </w:style>
  <w:style w:type="character" w:customStyle="1" w:styleId="Char2">
    <w:name w:val="批注框文本 Char"/>
    <w:link w:val="a9"/>
    <w:uiPriority w:val="99"/>
    <w:rsid w:val="00A56132"/>
    <w:rPr>
      <w:rFonts w:ascii="Arial" w:eastAsia="SimHei" w:hAnsi="Arial"/>
      <w:kern w:val="2"/>
      <w:sz w:val="18"/>
      <w:szCs w:val="18"/>
    </w:rPr>
  </w:style>
  <w:style w:type="paragraph" w:customStyle="1" w:styleId="xl32">
    <w:name w:val="xl32"/>
    <w:basedOn w:val="a0"/>
    <w:semiHidden/>
    <w:rsid w:val="00B75DD0"/>
    <w:pPr>
      <w:widowControl/>
      <w:spacing w:before="100" w:beforeAutospacing="1" w:after="100" w:afterAutospacing="1"/>
      <w:jc w:val="center"/>
    </w:pPr>
    <w:rPr>
      <w:rFonts w:ascii="SimHei" w:eastAsia="SimHei" w:hAnsi="Arial Unicode MS" w:cs="Arial Unicode MS" w:hint="eastAsia"/>
      <w:kern w:val="0"/>
      <w:sz w:val="18"/>
      <w:szCs w:val="18"/>
    </w:rPr>
  </w:style>
  <w:style w:type="character" w:styleId="aa">
    <w:name w:val="Hyperlink"/>
    <w:rsid w:val="00B75DD0"/>
    <w:rPr>
      <w:color w:val="0000FF"/>
      <w:u w:val="single"/>
    </w:rPr>
  </w:style>
  <w:style w:type="character" w:styleId="ab">
    <w:name w:val="page number"/>
    <w:basedOn w:val="a1"/>
    <w:rsid w:val="008F1970"/>
  </w:style>
  <w:style w:type="paragraph" w:customStyle="1" w:styleId="ac">
    <w:name w:val="三级标题"/>
    <w:basedOn w:val="a0"/>
    <w:autoRedefine/>
    <w:rsid w:val="005B12C3"/>
    <w:pPr>
      <w:spacing w:after="72"/>
    </w:pPr>
    <w:rPr>
      <w:rFonts w:ascii="Arial" w:eastAsia="汉仪楷体简" w:hAnsi="Arial" w:cs="宋体"/>
      <w:b/>
      <w:color w:val="000080"/>
      <w:sz w:val="24"/>
    </w:rPr>
  </w:style>
  <w:style w:type="paragraph" w:customStyle="1" w:styleId="ad">
    <w:name w:val="表格内题"/>
    <w:basedOn w:val="a0"/>
    <w:autoRedefine/>
    <w:rsid w:val="005B12C3"/>
    <w:pPr>
      <w:ind w:left="113"/>
    </w:pPr>
    <w:rPr>
      <w:rFonts w:ascii="Arial" w:eastAsia="SimHei" w:hAnsi="Arial" w:cs="宋体"/>
      <w:b/>
      <w:sz w:val="18"/>
      <w:szCs w:val="20"/>
    </w:rPr>
  </w:style>
  <w:style w:type="paragraph" w:customStyle="1" w:styleId="ae">
    <w:name w:val="表格内正文"/>
    <w:basedOn w:val="a0"/>
    <w:autoRedefine/>
    <w:rsid w:val="005B12C3"/>
    <w:pPr>
      <w:ind w:left="113"/>
    </w:pPr>
    <w:rPr>
      <w:rFonts w:ascii="Arial" w:eastAsia="SimHei" w:hAnsi="Arial" w:cs="Arial"/>
      <w:sz w:val="18"/>
      <w:szCs w:val="20"/>
    </w:rPr>
  </w:style>
  <w:style w:type="paragraph" w:styleId="af">
    <w:name w:val="caption"/>
    <w:basedOn w:val="a0"/>
    <w:next w:val="a0"/>
    <w:link w:val="Char3"/>
    <w:qFormat/>
    <w:rsid w:val="007676C0"/>
    <w:rPr>
      <w:rFonts w:ascii="Arial" w:eastAsia="SimHei" w:hAnsi="Arial"/>
      <w:sz w:val="20"/>
      <w:szCs w:val="20"/>
    </w:rPr>
  </w:style>
  <w:style w:type="character" w:customStyle="1" w:styleId="Char3">
    <w:name w:val="题注 Char"/>
    <w:link w:val="af"/>
    <w:rsid w:val="005F4C6A"/>
    <w:rPr>
      <w:rFonts w:ascii="Arial" w:eastAsia="SimHei" w:hAnsi="Arial" w:cs="Arial"/>
      <w:kern w:val="2"/>
    </w:rPr>
  </w:style>
  <w:style w:type="paragraph" w:styleId="10">
    <w:name w:val="toc 1"/>
    <w:basedOn w:val="a0"/>
    <w:next w:val="a0"/>
    <w:autoRedefine/>
    <w:uiPriority w:val="39"/>
    <w:rsid w:val="00E81140"/>
    <w:pPr>
      <w:tabs>
        <w:tab w:val="right" w:leader="dot" w:pos="6226"/>
      </w:tabs>
    </w:pPr>
    <w:rPr>
      <w:rFonts w:eastAsia="SimHei"/>
      <w:b/>
      <w:noProof/>
    </w:rPr>
  </w:style>
  <w:style w:type="paragraph" w:styleId="20">
    <w:name w:val="toc 2"/>
    <w:basedOn w:val="a0"/>
    <w:next w:val="a0"/>
    <w:autoRedefine/>
    <w:semiHidden/>
    <w:rsid w:val="00E00A33"/>
    <w:pPr>
      <w:ind w:leftChars="200" w:left="420"/>
    </w:pPr>
  </w:style>
  <w:style w:type="paragraph" w:styleId="af0">
    <w:name w:val="table of figures"/>
    <w:basedOn w:val="a0"/>
    <w:next w:val="a0"/>
    <w:uiPriority w:val="99"/>
    <w:rsid w:val="0044376C"/>
    <w:pPr>
      <w:ind w:leftChars="200" w:left="200" w:hangingChars="200" w:hanging="200"/>
    </w:pPr>
  </w:style>
  <w:style w:type="paragraph" w:customStyle="1" w:styleId="af1">
    <w:name w:val="大表题"/>
    <w:basedOn w:val="a0"/>
    <w:rsid w:val="008B5536"/>
    <w:pPr>
      <w:pBdr>
        <w:top w:val="single" w:sz="8" w:space="1" w:color="FF6600"/>
      </w:pBdr>
      <w:spacing w:beforeLines="100" w:line="320" w:lineRule="exact"/>
      <w:textAlignment w:val="center"/>
    </w:pPr>
    <w:rPr>
      <w:rFonts w:ascii="SimHei" w:eastAsia="SimHei" w:hAnsi="Arial" w:cs="Arial"/>
      <w:b/>
      <w:color w:val="FF6600"/>
      <w:sz w:val="18"/>
      <w:szCs w:val="18"/>
    </w:rPr>
  </w:style>
  <w:style w:type="paragraph" w:customStyle="1" w:styleId="af2">
    <w:name w:val="大表字"/>
    <w:basedOn w:val="a0"/>
    <w:rsid w:val="008B5536"/>
    <w:pPr>
      <w:pBdr>
        <w:top w:val="single" w:sz="4" w:space="2" w:color="FF6600"/>
        <w:bottom w:val="single" w:sz="4" w:space="0" w:color="FF6600"/>
      </w:pBdr>
      <w:shd w:val="clear" w:color="auto" w:fill="E6E6E6"/>
      <w:spacing w:line="300" w:lineRule="exact"/>
      <w:jc w:val="left"/>
      <w:textAlignment w:val="center"/>
    </w:pPr>
    <w:rPr>
      <w:rFonts w:ascii="Arial" w:eastAsia="SimHei" w:hAnsi="Arial" w:cs="宋体"/>
      <w:b/>
      <w:bCs/>
      <w:sz w:val="18"/>
      <w:szCs w:val="18"/>
    </w:rPr>
  </w:style>
  <w:style w:type="paragraph" w:customStyle="1" w:styleId="af3">
    <w:name w:val="大表格字"/>
    <w:basedOn w:val="a0"/>
    <w:rsid w:val="008B5536"/>
    <w:pPr>
      <w:spacing w:line="300" w:lineRule="exact"/>
      <w:jc w:val="left"/>
      <w:textAlignment w:val="center"/>
    </w:pPr>
    <w:rPr>
      <w:rFonts w:ascii="Arial" w:eastAsia="汉仪中等线简" w:hAnsi="Arial" w:cs="Arial"/>
      <w:color w:val="000000"/>
      <w:sz w:val="18"/>
      <w:szCs w:val="18"/>
    </w:rPr>
  </w:style>
  <w:style w:type="paragraph" w:customStyle="1" w:styleId="af4">
    <w:name w:val="资料字"/>
    <w:basedOn w:val="a0"/>
    <w:rsid w:val="008B5536"/>
    <w:pPr>
      <w:pBdr>
        <w:top w:val="single" w:sz="8" w:space="1" w:color="FF6600"/>
      </w:pBdr>
      <w:spacing w:afterLines="50" w:line="240" w:lineRule="exact"/>
      <w:ind w:leftChars="1350" w:left="2835"/>
    </w:pPr>
    <w:rPr>
      <w:rFonts w:ascii="Arial" w:eastAsia="KaiTi_GB2312" w:hAnsi="Arial" w:cs="Arial"/>
      <w:i/>
      <w:iCs/>
      <w:color w:val="000000"/>
      <w:sz w:val="16"/>
      <w:szCs w:val="16"/>
    </w:rPr>
  </w:style>
  <w:style w:type="character" w:styleId="af5">
    <w:name w:val="annotation reference"/>
    <w:semiHidden/>
    <w:rsid w:val="00033526"/>
    <w:rPr>
      <w:sz w:val="21"/>
      <w:szCs w:val="21"/>
    </w:rPr>
  </w:style>
  <w:style w:type="paragraph" w:styleId="af6">
    <w:name w:val="annotation text"/>
    <w:basedOn w:val="a0"/>
    <w:semiHidden/>
    <w:rsid w:val="00033526"/>
    <w:pPr>
      <w:jc w:val="left"/>
    </w:pPr>
  </w:style>
  <w:style w:type="paragraph" w:styleId="af7">
    <w:name w:val="annotation subject"/>
    <w:basedOn w:val="af6"/>
    <w:next w:val="af6"/>
    <w:semiHidden/>
    <w:rsid w:val="00033526"/>
    <w:rPr>
      <w:b/>
      <w:bCs/>
    </w:rPr>
  </w:style>
  <w:style w:type="paragraph" w:customStyle="1" w:styleId="af8">
    <w:name w:val="投资要点"/>
    <w:basedOn w:val="a0"/>
    <w:rsid w:val="00372B5C"/>
    <w:pPr>
      <w:spacing w:line="240" w:lineRule="exact"/>
      <w:ind w:leftChars="200" w:left="420" w:rightChars="-103" w:right="-216"/>
    </w:pPr>
    <w:rPr>
      <w:rFonts w:ascii="Arial" w:eastAsia="KaiTi_GB2312" w:hAnsi="Arial"/>
      <w:b/>
      <w:color w:val="000080"/>
      <w:szCs w:val="21"/>
    </w:rPr>
  </w:style>
  <w:style w:type="paragraph" w:customStyle="1" w:styleId="af9">
    <w:name w:val="封面大标题"/>
    <w:basedOn w:val="a0"/>
    <w:rsid w:val="00DB458F"/>
    <w:pPr>
      <w:jc w:val="center"/>
    </w:pPr>
    <w:rPr>
      <w:rFonts w:ascii="SimHei" w:eastAsia="SimHei" w:hAnsi="Arial"/>
      <w:b/>
      <w:bCs/>
      <w:color w:val="FF6600"/>
      <w:kern w:val="44"/>
      <w:sz w:val="36"/>
      <w:szCs w:val="36"/>
    </w:rPr>
  </w:style>
  <w:style w:type="paragraph" w:customStyle="1" w:styleId="afa">
    <w:name w:val="封面表字"/>
    <w:basedOn w:val="a0"/>
    <w:rsid w:val="007756FF"/>
    <w:pPr>
      <w:pBdr>
        <w:top w:val="single" w:sz="8" w:space="1" w:color="FF6600"/>
        <w:bottom w:val="single" w:sz="4" w:space="1" w:color="FF6600"/>
      </w:pBdr>
      <w:shd w:val="clear" w:color="auto" w:fill="E6E6E6"/>
      <w:tabs>
        <w:tab w:val="right" w:pos="3916"/>
        <w:tab w:val="right" w:pos="5520"/>
        <w:tab w:val="right" w:pos="7080"/>
      </w:tabs>
      <w:spacing w:line="240" w:lineRule="exact"/>
      <w:ind w:leftChars="207" w:left="207" w:right="-68"/>
      <w:textAlignment w:val="center"/>
    </w:pPr>
    <w:rPr>
      <w:rFonts w:ascii="Arial" w:eastAsia="KaiTi_GB2312" w:hAnsi="Arial" w:cs="Arial"/>
      <w:color w:val="000000"/>
      <w:sz w:val="18"/>
      <w:szCs w:val="18"/>
    </w:rPr>
  </w:style>
  <w:style w:type="paragraph" w:customStyle="1" w:styleId="afb">
    <w:name w:val="封面说明文字"/>
    <w:basedOn w:val="a0"/>
    <w:semiHidden/>
    <w:rsid w:val="007756FF"/>
    <w:pPr>
      <w:pBdr>
        <w:top w:val="single" w:sz="8" w:space="1" w:color="FF6600"/>
      </w:pBdr>
      <w:spacing w:line="260" w:lineRule="exact"/>
      <w:ind w:leftChars="207" w:left="207"/>
      <w:textAlignment w:val="center"/>
    </w:pPr>
    <w:rPr>
      <w:rFonts w:ascii="Arial" w:eastAsia="KaiTi_GB2312" w:hAnsi="Arial" w:cs="Arial"/>
      <w:i/>
      <w:iCs/>
      <w:color w:val="000000"/>
      <w:sz w:val="16"/>
      <w:szCs w:val="16"/>
    </w:rPr>
  </w:style>
  <w:style w:type="paragraph" w:styleId="afc">
    <w:name w:val="Normal (Web)"/>
    <w:basedOn w:val="a0"/>
    <w:uiPriority w:val="99"/>
    <w:rsid w:val="00D25F53"/>
    <w:pPr>
      <w:widowControl/>
      <w:spacing w:before="100" w:beforeAutospacing="1" w:after="100" w:afterAutospacing="1"/>
      <w:jc w:val="left"/>
    </w:pPr>
    <w:rPr>
      <w:rFonts w:ascii="宋体" w:hAnsi="宋体" w:cs="宋体"/>
      <w:color w:val="000000"/>
      <w:kern w:val="0"/>
      <w:sz w:val="24"/>
    </w:rPr>
  </w:style>
  <w:style w:type="character" w:styleId="afd">
    <w:name w:val="Strong"/>
    <w:uiPriority w:val="22"/>
    <w:qFormat/>
    <w:rsid w:val="00D25F53"/>
    <w:rPr>
      <w:b/>
      <w:bCs/>
    </w:rPr>
  </w:style>
  <w:style w:type="paragraph" w:customStyle="1" w:styleId="afe">
    <w:basedOn w:val="a0"/>
    <w:autoRedefine/>
    <w:rsid w:val="009E64B6"/>
    <w:pPr>
      <w:widowControl/>
      <w:spacing w:after="160" w:line="240" w:lineRule="exact"/>
      <w:jc w:val="left"/>
    </w:pPr>
    <w:rPr>
      <w:rFonts w:ascii="Verdana" w:eastAsia="仿宋_GB2312" w:hAnsi="Verdana"/>
      <w:kern w:val="0"/>
      <w:sz w:val="24"/>
      <w:szCs w:val="20"/>
      <w:lang w:eastAsia="en-US"/>
    </w:rPr>
  </w:style>
  <w:style w:type="character" w:customStyle="1" w:styleId="11pt">
    <w:name w:val="11pt"/>
    <w:basedOn w:val="a1"/>
    <w:rsid w:val="005366A6"/>
  </w:style>
  <w:style w:type="paragraph" w:customStyle="1" w:styleId="ParaCharCharCharCharCharCharChar">
    <w:name w:val="默认段落字体 Para Char Char Char Char Char Char Char"/>
    <w:basedOn w:val="a0"/>
    <w:rsid w:val="00994FE9"/>
    <w:rPr>
      <w:rFonts w:ascii="Arial" w:hAnsi="Arial" w:cs="Arial"/>
      <w:sz w:val="20"/>
      <w:szCs w:val="20"/>
    </w:rPr>
  </w:style>
  <w:style w:type="paragraph" w:styleId="HTML">
    <w:name w:val="HTML Preformatted"/>
    <w:basedOn w:val="a0"/>
    <w:rsid w:val="00994F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1"/>
    </w:rPr>
  </w:style>
  <w:style w:type="paragraph" w:styleId="aff">
    <w:name w:val="Document Map"/>
    <w:basedOn w:val="a0"/>
    <w:semiHidden/>
    <w:rsid w:val="00236454"/>
    <w:pPr>
      <w:shd w:val="clear" w:color="auto" w:fill="000080"/>
    </w:pPr>
  </w:style>
  <w:style w:type="paragraph" w:customStyle="1" w:styleId="aff0">
    <w:name w:val="封边题"/>
    <w:basedOn w:val="a0"/>
    <w:rsid w:val="00F2720B"/>
    <w:pPr>
      <w:pBdr>
        <w:top w:val="single" w:sz="8" w:space="1" w:color="FF6600"/>
      </w:pBdr>
      <w:tabs>
        <w:tab w:val="right" w:pos="2940"/>
      </w:tabs>
      <w:spacing w:after="156" w:line="240" w:lineRule="exact"/>
      <w:ind w:rightChars="35" w:right="73"/>
    </w:pPr>
    <w:rPr>
      <w:rFonts w:ascii="Arial" w:eastAsia="KaiTi_GB2312" w:hAnsi="Arial" w:cs="Arial"/>
      <w:b/>
      <w:color w:val="000080"/>
      <w:szCs w:val="21"/>
    </w:rPr>
  </w:style>
  <w:style w:type="paragraph" w:customStyle="1" w:styleId="aff1">
    <w:name w:val="边字"/>
    <w:rsid w:val="00052D23"/>
    <w:rPr>
      <w:rFonts w:ascii="Arial" w:eastAsia="SimHei" w:hAnsi="Arial"/>
      <w:color w:val="333399"/>
      <w:kern w:val="2"/>
      <w:sz w:val="18"/>
      <w:szCs w:val="18"/>
    </w:rPr>
  </w:style>
  <w:style w:type="paragraph" w:customStyle="1" w:styleId="aff2">
    <w:name w:val="内页图题"/>
    <w:basedOn w:val="a0"/>
    <w:semiHidden/>
    <w:rsid w:val="00052D23"/>
    <w:pPr>
      <w:pBdr>
        <w:bottom w:val="single" w:sz="8" w:space="1" w:color="FF6600"/>
      </w:pBdr>
      <w:spacing w:beforeLines="50" w:line="360" w:lineRule="exact"/>
      <w:ind w:left="1911"/>
      <w:textAlignment w:val="center"/>
    </w:pPr>
    <w:rPr>
      <w:rFonts w:ascii="SimHei" w:eastAsia="SimHei" w:hAnsi="Arial"/>
      <w:sz w:val="18"/>
      <w:szCs w:val="21"/>
    </w:rPr>
  </w:style>
  <w:style w:type="character" w:customStyle="1" w:styleId="apple-style-span">
    <w:name w:val="apple-style-span"/>
    <w:basedOn w:val="a1"/>
    <w:rsid w:val="002537C8"/>
  </w:style>
  <w:style w:type="paragraph" w:customStyle="1" w:styleId="top-read-1">
    <w:name w:val="top-read-1"/>
    <w:basedOn w:val="a0"/>
    <w:rsid w:val="006E05E3"/>
    <w:pPr>
      <w:widowControl/>
      <w:spacing w:before="100" w:beforeAutospacing="1" w:after="100" w:afterAutospacing="1"/>
      <w:jc w:val="left"/>
    </w:pPr>
    <w:rPr>
      <w:rFonts w:ascii="宋体" w:hAnsi="宋体" w:cs="宋体"/>
      <w:kern w:val="0"/>
      <w:sz w:val="24"/>
    </w:rPr>
  </w:style>
  <w:style w:type="paragraph" w:customStyle="1" w:styleId="aff3">
    <w:name w:val="国信投资摘要内容标题"/>
    <w:basedOn w:val="a0"/>
    <w:link w:val="Char4"/>
    <w:rsid w:val="00755F39"/>
    <w:pPr>
      <w:spacing w:beforeLines="20" w:line="280" w:lineRule="exact"/>
      <w:outlineLvl w:val="0"/>
    </w:pPr>
    <w:rPr>
      <w:rFonts w:ascii="Arial" w:eastAsia="KaiTi_GB2312" w:hAnsi="Arial"/>
      <w:b/>
      <w:color w:val="000000"/>
      <w:sz w:val="20"/>
    </w:rPr>
  </w:style>
  <w:style w:type="character" w:customStyle="1" w:styleId="Char4">
    <w:name w:val="国信投资摘要内容标题 Char"/>
    <w:link w:val="aff3"/>
    <w:rsid w:val="00755F39"/>
    <w:rPr>
      <w:rFonts w:ascii="Arial" w:eastAsia="KaiTi_GB2312" w:hAnsi="Arial" w:cs="Arial"/>
      <w:b/>
      <w:color w:val="000000"/>
      <w:kern w:val="2"/>
      <w:szCs w:val="24"/>
    </w:rPr>
  </w:style>
  <w:style w:type="table" w:customStyle="1" w:styleId="-11">
    <w:name w:val="浅色底纹 - 强调文字颜色 11"/>
    <w:basedOn w:val="a2"/>
    <w:uiPriority w:val="60"/>
    <w:rsid w:val="005F4C6A"/>
    <w:rPr>
      <w:rFonts w:ascii="Calibri" w:hAnsi="Calibri"/>
      <w:color w:val="365F91"/>
      <w:kern w:val="2"/>
      <w:sz w:val="21"/>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4">
    <w:name w:val="国信投资摘要内容"/>
    <w:basedOn w:val="a0"/>
    <w:link w:val="Char5"/>
    <w:rsid w:val="00571027"/>
    <w:pPr>
      <w:spacing w:beforeLines="20" w:line="280" w:lineRule="exact"/>
    </w:pPr>
    <w:rPr>
      <w:rFonts w:ascii="Arial" w:eastAsia="KaiTi_GB2312" w:hAnsi="Arial"/>
      <w:color w:val="000000"/>
      <w:sz w:val="20"/>
      <w:szCs w:val="20"/>
    </w:rPr>
  </w:style>
  <w:style w:type="character" w:customStyle="1" w:styleId="Char5">
    <w:name w:val="国信投资摘要内容 Char"/>
    <w:link w:val="aff4"/>
    <w:rsid w:val="00571027"/>
    <w:rPr>
      <w:rFonts w:ascii="Arial" w:eastAsia="KaiTi_GB2312" w:hAnsi="Arial" w:cs="Arial"/>
      <w:color w:val="000000"/>
      <w:kern w:val="2"/>
    </w:rPr>
  </w:style>
  <w:style w:type="character" w:customStyle="1" w:styleId="Char6">
    <w:name w:val="内正文 Char"/>
    <w:rsid w:val="00B529DA"/>
    <w:rPr>
      <w:rFonts w:ascii="宋体" w:eastAsia="宋体" w:hAnsi="宋体"/>
      <w:kern w:val="2"/>
      <w:sz w:val="21"/>
      <w:szCs w:val="21"/>
      <w:lang w:val="en-US" w:eastAsia="zh-CN" w:bidi="ar-SA"/>
    </w:rPr>
  </w:style>
  <w:style w:type="paragraph" w:styleId="aff5">
    <w:name w:val="Plain Text"/>
    <w:basedOn w:val="a0"/>
    <w:link w:val="Char7"/>
    <w:uiPriority w:val="99"/>
    <w:unhideWhenUsed/>
    <w:rsid w:val="00A56132"/>
    <w:rPr>
      <w:rFonts w:ascii="宋体" w:hAnsi="Courier New"/>
      <w:szCs w:val="21"/>
    </w:rPr>
  </w:style>
  <w:style w:type="character" w:customStyle="1" w:styleId="Char7">
    <w:name w:val="纯文本 Char"/>
    <w:link w:val="aff5"/>
    <w:uiPriority w:val="99"/>
    <w:rsid w:val="00A56132"/>
    <w:rPr>
      <w:rFonts w:ascii="宋体" w:hAnsi="Courier New" w:cs="Courier New"/>
      <w:kern w:val="2"/>
      <w:sz w:val="21"/>
      <w:szCs w:val="21"/>
    </w:rPr>
  </w:style>
  <w:style w:type="paragraph" w:styleId="aff6">
    <w:name w:val="List Paragraph"/>
    <w:basedOn w:val="a0"/>
    <w:uiPriority w:val="34"/>
    <w:qFormat/>
    <w:rsid w:val="00A56132"/>
    <w:pPr>
      <w:ind w:firstLineChars="200" w:firstLine="420"/>
    </w:pPr>
    <w:rPr>
      <w:rFonts w:ascii="Calibri" w:hAnsi="Calibri"/>
      <w:szCs w:val="22"/>
    </w:rPr>
  </w:style>
  <w:style w:type="character" w:styleId="HTML0">
    <w:name w:val="HTML Typewriter"/>
    <w:uiPriority w:val="99"/>
    <w:unhideWhenUsed/>
    <w:rsid w:val="00A56132"/>
    <w:rPr>
      <w:rFonts w:ascii="宋体" w:eastAsia="宋体" w:hAnsi="宋体" w:cs="宋体"/>
      <w:sz w:val="24"/>
      <w:szCs w:val="24"/>
    </w:rPr>
  </w:style>
  <w:style w:type="paragraph" w:styleId="z-">
    <w:name w:val="HTML Top of Form"/>
    <w:basedOn w:val="a0"/>
    <w:next w:val="a0"/>
    <w:link w:val="z-Char"/>
    <w:hidden/>
    <w:uiPriority w:val="99"/>
    <w:unhideWhenUsed/>
    <w:rsid w:val="00A56132"/>
    <w:pPr>
      <w:pBdr>
        <w:bottom w:val="single" w:sz="6" w:space="1" w:color="auto"/>
      </w:pBdr>
      <w:jc w:val="center"/>
    </w:pPr>
    <w:rPr>
      <w:rFonts w:ascii="Arial" w:hAnsi="Arial"/>
      <w:vanish/>
      <w:sz w:val="16"/>
      <w:szCs w:val="16"/>
    </w:rPr>
  </w:style>
  <w:style w:type="character" w:customStyle="1" w:styleId="z-Char">
    <w:name w:val="z-窗体顶端 Char"/>
    <w:link w:val="z-"/>
    <w:uiPriority w:val="99"/>
    <w:rsid w:val="00A56132"/>
    <w:rPr>
      <w:rFonts w:ascii="Arial" w:hAnsi="Arial"/>
      <w:vanish/>
      <w:kern w:val="2"/>
      <w:sz w:val="16"/>
      <w:szCs w:val="16"/>
    </w:rPr>
  </w:style>
  <w:style w:type="paragraph" w:styleId="z-0">
    <w:name w:val="HTML Bottom of Form"/>
    <w:basedOn w:val="a0"/>
    <w:next w:val="a0"/>
    <w:link w:val="z-Char0"/>
    <w:hidden/>
    <w:uiPriority w:val="99"/>
    <w:unhideWhenUsed/>
    <w:rsid w:val="00A56132"/>
    <w:pPr>
      <w:pBdr>
        <w:top w:val="single" w:sz="6" w:space="1" w:color="auto"/>
      </w:pBdr>
      <w:jc w:val="center"/>
    </w:pPr>
    <w:rPr>
      <w:rFonts w:ascii="Arial" w:hAnsi="Arial"/>
      <w:vanish/>
      <w:sz w:val="16"/>
      <w:szCs w:val="16"/>
    </w:rPr>
  </w:style>
  <w:style w:type="character" w:customStyle="1" w:styleId="z-Char0">
    <w:name w:val="z-窗体底端 Char"/>
    <w:link w:val="z-0"/>
    <w:uiPriority w:val="99"/>
    <w:rsid w:val="00A56132"/>
    <w:rPr>
      <w:rFonts w:ascii="Arial" w:hAnsi="Arial"/>
      <w:vanish/>
      <w:kern w:val="2"/>
      <w:sz w:val="16"/>
      <w:szCs w:val="16"/>
    </w:rPr>
  </w:style>
  <w:style w:type="paragraph" w:styleId="aff7">
    <w:name w:val="Date"/>
    <w:basedOn w:val="a0"/>
    <w:next w:val="a0"/>
    <w:link w:val="Char8"/>
    <w:rsid w:val="00A56132"/>
    <w:pPr>
      <w:ind w:leftChars="2500" w:left="100"/>
    </w:pPr>
  </w:style>
  <w:style w:type="character" w:customStyle="1" w:styleId="Char8">
    <w:name w:val="日期 Char"/>
    <w:link w:val="aff7"/>
    <w:rsid w:val="00A56132"/>
    <w:rPr>
      <w:kern w:val="2"/>
      <w:sz w:val="21"/>
      <w:szCs w:val="24"/>
    </w:rPr>
  </w:style>
  <w:style w:type="character" w:customStyle="1" w:styleId="rwrr">
    <w:name w:val="rwrr"/>
    <w:rsid w:val="00A56132"/>
    <w:rPr>
      <w:color w:val="408CD9"/>
      <w:u w:val="single"/>
      <w:shd w:val="clear" w:color="auto" w:fill="FFFFFF"/>
    </w:rPr>
  </w:style>
  <w:style w:type="paragraph" w:styleId="aff8">
    <w:name w:val="footnote text"/>
    <w:basedOn w:val="a0"/>
    <w:link w:val="Char9"/>
    <w:rsid w:val="00A56132"/>
    <w:pPr>
      <w:snapToGrid w:val="0"/>
      <w:jc w:val="left"/>
    </w:pPr>
    <w:rPr>
      <w:sz w:val="18"/>
      <w:szCs w:val="18"/>
    </w:rPr>
  </w:style>
  <w:style w:type="character" w:customStyle="1" w:styleId="Char9">
    <w:name w:val="脚注文本 Char"/>
    <w:link w:val="aff8"/>
    <w:rsid w:val="00A56132"/>
    <w:rPr>
      <w:kern w:val="2"/>
      <w:sz w:val="18"/>
      <w:szCs w:val="18"/>
    </w:rPr>
  </w:style>
  <w:style w:type="character" w:styleId="aff9">
    <w:name w:val="footnote reference"/>
    <w:rsid w:val="00A56132"/>
    <w:rPr>
      <w:vertAlign w:val="superscript"/>
    </w:rPr>
  </w:style>
  <w:style w:type="paragraph" w:customStyle="1" w:styleId="Default">
    <w:name w:val="Default"/>
    <w:rsid w:val="0013506B"/>
    <w:pPr>
      <w:widowControl w:val="0"/>
      <w:autoSpaceDE w:val="0"/>
      <w:autoSpaceDN w:val="0"/>
      <w:adjustRightInd w:val="0"/>
    </w:pPr>
    <w:rPr>
      <w:rFonts w:ascii="KaiTi_GB2312" w:hAnsi="KaiTi_GB2312" w:cs="KaiTi_GB2312"/>
      <w:color w:val="000000"/>
      <w:sz w:val="24"/>
      <w:szCs w:val="24"/>
    </w:rPr>
  </w:style>
</w:styles>
</file>

<file path=word/webSettings.xml><?xml version="1.0" encoding="utf-8"?>
<w:webSettings xmlns:r="http://schemas.openxmlformats.org/officeDocument/2006/relationships" xmlns:w="http://schemas.openxmlformats.org/wordprocessingml/2006/main">
  <w:divs>
    <w:div w:id="8146236">
      <w:bodyDiv w:val="1"/>
      <w:marLeft w:val="0"/>
      <w:marRight w:val="0"/>
      <w:marTop w:val="0"/>
      <w:marBottom w:val="0"/>
      <w:divBdr>
        <w:top w:val="none" w:sz="0" w:space="0" w:color="auto"/>
        <w:left w:val="none" w:sz="0" w:space="0" w:color="auto"/>
        <w:bottom w:val="none" w:sz="0" w:space="0" w:color="auto"/>
        <w:right w:val="none" w:sz="0" w:space="0" w:color="auto"/>
      </w:divBdr>
    </w:div>
    <w:div w:id="16153467">
      <w:bodyDiv w:val="1"/>
      <w:marLeft w:val="0"/>
      <w:marRight w:val="0"/>
      <w:marTop w:val="0"/>
      <w:marBottom w:val="0"/>
      <w:divBdr>
        <w:top w:val="none" w:sz="0" w:space="0" w:color="auto"/>
        <w:left w:val="none" w:sz="0" w:space="0" w:color="auto"/>
        <w:bottom w:val="none" w:sz="0" w:space="0" w:color="auto"/>
        <w:right w:val="none" w:sz="0" w:space="0" w:color="auto"/>
      </w:divBdr>
      <w:divsChild>
        <w:div w:id="1430421006">
          <w:marLeft w:val="0"/>
          <w:marRight w:val="0"/>
          <w:marTop w:val="0"/>
          <w:marBottom w:val="0"/>
          <w:divBdr>
            <w:top w:val="none" w:sz="0" w:space="0" w:color="auto"/>
            <w:left w:val="none" w:sz="0" w:space="0" w:color="auto"/>
            <w:bottom w:val="none" w:sz="0" w:space="0" w:color="auto"/>
            <w:right w:val="none" w:sz="0" w:space="0" w:color="auto"/>
          </w:divBdr>
        </w:div>
      </w:divsChild>
    </w:div>
    <w:div w:id="24599928">
      <w:bodyDiv w:val="1"/>
      <w:marLeft w:val="0"/>
      <w:marRight w:val="0"/>
      <w:marTop w:val="0"/>
      <w:marBottom w:val="0"/>
      <w:divBdr>
        <w:top w:val="none" w:sz="0" w:space="0" w:color="auto"/>
        <w:left w:val="none" w:sz="0" w:space="0" w:color="auto"/>
        <w:bottom w:val="none" w:sz="0" w:space="0" w:color="auto"/>
        <w:right w:val="none" w:sz="0" w:space="0" w:color="auto"/>
      </w:divBdr>
    </w:div>
    <w:div w:id="60566829">
      <w:bodyDiv w:val="1"/>
      <w:marLeft w:val="0"/>
      <w:marRight w:val="0"/>
      <w:marTop w:val="0"/>
      <w:marBottom w:val="0"/>
      <w:divBdr>
        <w:top w:val="none" w:sz="0" w:space="0" w:color="auto"/>
        <w:left w:val="none" w:sz="0" w:space="0" w:color="auto"/>
        <w:bottom w:val="none" w:sz="0" w:space="0" w:color="auto"/>
        <w:right w:val="none" w:sz="0" w:space="0" w:color="auto"/>
      </w:divBdr>
    </w:div>
    <w:div w:id="133257971">
      <w:bodyDiv w:val="1"/>
      <w:marLeft w:val="0"/>
      <w:marRight w:val="0"/>
      <w:marTop w:val="0"/>
      <w:marBottom w:val="0"/>
      <w:divBdr>
        <w:top w:val="none" w:sz="0" w:space="0" w:color="auto"/>
        <w:left w:val="none" w:sz="0" w:space="0" w:color="auto"/>
        <w:bottom w:val="none" w:sz="0" w:space="0" w:color="auto"/>
        <w:right w:val="none" w:sz="0" w:space="0" w:color="auto"/>
      </w:divBdr>
    </w:div>
    <w:div w:id="168445951">
      <w:bodyDiv w:val="1"/>
      <w:marLeft w:val="0"/>
      <w:marRight w:val="0"/>
      <w:marTop w:val="0"/>
      <w:marBottom w:val="0"/>
      <w:divBdr>
        <w:top w:val="none" w:sz="0" w:space="0" w:color="auto"/>
        <w:left w:val="none" w:sz="0" w:space="0" w:color="auto"/>
        <w:bottom w:val="none" w:sz="0" w:space="0" w:color="auto"/>
        <w:right w:val="none" w:sz="0" w:space="0" w:color="auto"/>
      </w:divBdr>
    </w:div>
    <w:div w:id="210384363">
      <w:bodyDiv w:val="1"/>
      <w:marLeft w:val="0"/>
      <w:marRight w:val="0"/>
      <w:marTop w:val="0"/>
      <w:marBottom w:val="0"/>
      <w:divBdr>
        <w:top w:val="none" w:sz="0" w:space="0" w:color="auto"/>
        <w:left w:val="none" w:sz="0" w:space="0" w:color="auto"/>
        <w:bottom w:val="none" w:sz="0" w:space="0" w:color="auto"/>
        <w:right w:val="none" w:sz="0" w:space="0" w:color="auto"/>
      </w:divBdr>
    </w:div>
    <w:div w:id="242371890">
      <w:bodyDiv w:val="1"/>
      <w:marLeft w:val="0"/>
      <w:marRight w:val="0"/>
      <w:marTop w:val="0"/>
      <w:marBottom w:val="0"/>
      <w:divBdr>
        <w:top w:val="none" w:sz="0" w:space="0" w:color="auto"/>
        <w:left w:val="none" w:sz="0" w:space="0" w:color="auto"/>
        <w:bottom w:val="none" w:sz="0" w:space="0" w:color="auto"/>
        <w:right w:val="none" w:sz="0" w:space="0" w:color="auto"/>
      </w:divBdr>
      <w:divsChild>
        <w:div w:id="813369899">
          <w:marLeft w:val="0"/>
          <w:marRight w:val="0"/>
          <w:marTop w:val="0"/>
          <w:marBottom w:val="0"/>
          <w:divBdr>
            <w:top w:val="none" w:sz="0" w:space="0" w:color="auto"/>
            <w:left w:val="none" w:sz="0" w:space="0" w:color="auto"/>
            <w:bottom w:val="none" w:sz="0" w:space="0" w:color="auto"/>
            <w:right w:val="single" w:sz="6" w:space="5" w:color="CCCCCC"/>
          </w:divBdr>
          <w:divsChild>
            <w:div w:id="2606453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78894831">
      <w:bodyDiv w:val="1"/>
      <w:marLeft w:val="0"/>
      <w:marRight w:val="0"/>
      <w:marTop w:val="0"/>
      <w:marBottom w:val="0"/>
      <w:divBdr>
        <w:top w:val="none" w:sz="0" w:space="0" w:color="auto"/>
        <w:left w:val="none" w:sz="0" w:space="0" w:color="auto"/>
        <w:bottom w:val="none" w:sz="0" w:space="0" w:color="auto"/>
        <w:right w:val="none" w:sz="0" w:space="0" w:color="auto"/>
      </w:divBdr>
    </w:div>
    <w:div w:id="405490761">
      <w:bodyDiv w:val="1"/>
      <w:marLeft w:val="0"/>
      <w:marRight w:val="0"/>
      <w:marTop w:val="0"/>
      <w:marBottom w:val="0"/>
      <w:divBdr>
        <w:top w:val="none" w:sz="0" w:space="0" w:color="auto"/>
        <w:left w:val="none" w:sz="0" w:space="0" w:color="auto"/>
        <w:bottom w:val="none" w:sz="0" w:space="0" w:color="auto"/>
        <w:right w:val="none" w:sz="0" w:space="0" w:color="auto"/>
      </w:divBdr>
      <w:divsChild>
        <w:div w:id="138697359">
          <w:marLeft w:val="0"/>
          <w:marRight w:val="0"/>
          <w:marTop w:val="0"/>
          <w:marBottom w:val="0"/>
          <w:divBdr>
            <w:top w:val="none" w:sz="0" w:space="0" w:color="auto"/>
            <w:left w:val="none" w:sz="0" w:space="0" w:color="auto"/>
            <w:bottom w:val="none" w:sz="0" w:space="0" w:color="auto"/>
            <w:right w:val="none" w:sz="0" w:space="0" w:color="auto"/>
          </w:divBdr>
        </w:div>
        <w:div w:id="1327517732">
          <w:marLeft w:val="0"/>
          <w:marRight w:val="0"/>
          <w:marTop w:val="0"/>
          <w:marBottom w:val="0"/>
          <w:divBdr>
            <w:top w:val="none" w:sz="0" w:space="0" w:color="auto"/>
            <w:left w:val="none" w:sz="0" w:space="0" w:color="auto"/>
            <w:bottom w:val="none" w:sz="0" w:space="0" w:color="auto"/>
            <w:right w:val="none" w:sz="0" w:space="0" w:color="auto"/>
          </w:divBdr>
        </w:div>
      </w:divsChild>
    </w:div>
    <w:div w:id="479077387">
      <w:bodyDiv w:val="1"/>
      <w:marLeft w:val="0"/>
      <w:marRight w:val="0"/>
      <w:marTop w:val="0"/>
      <w:marBottom w:val="0"/>
      <w:divBdr>
        <w:top w:val="none" w:sz="0" w:space="0" w:color="auto"/>
        <w:left w:val="none" w:sz="0" w:space="0" w:color="auto"/>
        <w:bottom w:val="none" w:sz="0" w:space="0" w:color="auto"/>
        <w:right w:val="none" w:sz="0" w:space="0" w:color="auto"/>
      </w:divBdr>
    </w:div>
    <w:div w:id="485126798">
      <w:bodyDiv w:val="1"/>
      <w:marLeft w:val="0"/>
      <w:marRight w:val="0"/>
      <w:marTop w:val="0"/>
      <w:marBottom w:val="0"/>
      <w:divBdr>
        <w:top w:val="none" w:sz="0" w:space="0" w:color="auto"/>
        <w:left w:val="none" w:sz="0" w:space="0" w:color="auto"/>
        <w:bottom w:val="none" w:sz="0" w:space="0" w:color="auto"/>
        <w:right w:val="none" w:sz="0" w:space="0" w:color="auto"/>
      </w:divBdr>
    </w:div>
    <w:div w:id="615794021">
      <w:bodyDiv w:val="1"/>
      <w:marLeft w:val="0"/>
      <w:marRight w:val="0"/>
      <w:marTop w:val="0"/>
      <w:marBottom w:val="0"/>
      <w:divBdr>
        <w:top w:val="none" w:sz="0" w:space="0" w:color="auto"/>
        <w:left w:val="none" w:sz="0" w:space="0" w:color="auto"/>
        <w:bottom w:val="none" w:sz="0" w:space="0" w:color="auto"/>
        <w:right w:val="none" w:sz="0" w:space="0" w:color="auto"/>
      </w:divBdr>
    </w:div>
    <w:div w:id="681861957">
      <w:bodyDiv w:val="1"/>
      <w:marLeft w:val="0"/>
      <w:marRight w:val="0"/>
      <w:marTop w:val="0"/>
      <w:marBottom w:val="0"/>
      <w:divBdr>
        <w:top w:val="none" w:sz="0" w:space="0" w:color="auto"/>
        <w:left w:val="none" w:sz="0" w:space="0" w:color="auto"/>
        <w:bottom w:val="none" w:sz="0" w:space="0" w:color="auto"/>
        <w:right w:val="none" w:sz="0" w:space="0" w:color="auto"/>
      </w:divBdr>
      <w:divsChild>
        <w:div w:id="169758540">
          <w:marLeft w:val="0"/>
          <w:marRight w:val="0"/>
          <w:marTop w:val="0"/>
          <w:marBottom w:val="0"/>
          <w:divBdr>
            <w:top w:val="none" w:sz="0" w:space="0" w:color="auto"/>
            <w:left w:val="none" w:sz="0" w:space="0" w:color="auto"/>
            <w:bottom w:val="none" w:sz="0" w:space="0" w:color="auto"/>
            <w:right w:val="none" w:sz="0" w:space="0" w:color="auto"/>
          </w:divBdr>
          <w:divsChild>
            <w:div w:id="1503085449">
              <w:marLeft w:val="0"/>
              <w:marRight w:val="0"/>
              <w:marTop w:val="0"/>
              <w:marBottom w:val="0"/>
              <w:divBdr>
                <w:top w:val="none" w:sz="0" w:space="0" w:color="auto"/>
                <w:left w:val="none" w:sz="0" w:space="0" w:color="auto"/>
                <w:bottom w:val="none" w:sz="0" w:space="0" w:color="auto"/>
                <w:right w:val="none" w:sz="0" w:space="0" w:color="auto"/>
              </w:divBdr>
              <w:divsChild>
                <w:div w:id="1774398703">
                  <w:marLeft w:val="0"/>
                  <w:marRight w:val="0"/>
                  <w:marTop w:val="0"/>
                  <w:marBottom w:val="0"/>
                  <w:divBdr>
                    <w:top w:val="none" w:sz="0" w:space="0" w:color="auto"/>
                    <w:left w:val="none" w:sz="0" w:space="0" w:color="auto"/>
                    <w:bottom w:val="none" w:sz="0" w:space="0" w:color="auto"/>
                    <w:right w:val="none" w:sz="0" w:space="0" w:color="auto"/>
                  </w:divBdr>
                  <w:divsChild>
                    <w:div w:id="1943763302">
                      <w:marLeft w:val="0"/>
                      <w:marRight w:val="0"/>
                      <w:marTop w:val="0"/>
                      <w:marBottom w:val="0"/>
                      <w:divBdr>
                        <w:top w:val="none" w:sz="0" w:space="0" w:color="auto"/>
                        <w:left w:val="none" w:sz="0" w:space="0" w:color="auto"/>
                        <w:bottom w:val="none" w:sz="0" w:space="0" w:color="auto"/>
                        <w:right w:val="none" w:sz="0" w:space="0" w:color="auto"/>
                      </w:divBdr>
                      <w:divsChild>
                        <w:div w:id="1395735719">
                          <w:marLeft w:val="0"/>
                          <w:marRight w:val="0"/>
                          <w:marTop w:val="0"/>
                          <w:marBottom w:val="84"/>
                          <w:divBdr>
                            <w:top w:val="none" w:sz="0" w:space="0" w:color="auto"/>
                            <w:left w:val="none" w:sz="0" w:space="0" w:color="auto"/>
                            <w:bottom w:val="none" w:sz="0" w:space="0" w:color="auto"/>
                            <w:right w:val="none" w:sz="0" w:space="0" w:color="auto"/>
                          </w:divBdr>
                          <w:divsChild>
                            <w:div w:id="1234387711">
                              <w:marLeft w:val="0"/>
                              <w:marRight w:val="0"/>
                              <w:marTop w:val="0"/>
                              <w:marBottom w:val="0"/>
                              <w:divBdr>
                                <w:top w:val="none" w:sz="0" w:space="0" w:color="auto"/>
                                <w:left w:val="none" w:sz="0" w:space="0" w:color="auto"/>
                                <w:bottom w:val="none" w:sz="0" w:space="0" w:color="auto"/>
                                <w:right w:val="none" w:sz="0" w:space="0" w:color="auto"/>
                              </w:divBdr>
                              <w:divsChild>
                                <w:div w:id="18797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043829">
      <w:bodyDiv w:val="1"/>
      <w:marLeft w:val="0"/>
      <w:marRight w:val="0"/>
      <w:marTop w:val="0"/>
      <w:marBottom w:val="0"/>
      <w:divBdr>
        <w:top w:val="none" w:sz="0" w:space="0" w:color="auto"/>
        <w:left w:val="none" w:sz="0" w:space="0" w:color="auto"/>
        <w:bottom w:val="none" w:sz="0" w:space="0" w:color="auto"/>
        <w:right w:val="none" w:sz="0" w:space="0" w:color="auto"/>
      </w:divBdr>
    </w:div>
    <w:div w:id="837844578">
      <w:bodyDiv w:val="1"/>
      <w:marLeft w:val="0"/>
      <w:marRight w:val="0"/>
      <w:marTop w:val="0"/>
      <w:marBottom w:val="0"/>
      <w:divBdr>
        <w:top w:val="none" w:sz="0" w:space="0" w:color="auto"/>
        <w:left w:val="none" w:sz="0" w:space="0" w:color="auto"/>
        <w:bottom w:val="none" w:sz="0" w:space="0" w:color="auto"/>
        <w:right w:val="none" w:sz="0" w:space="0" w:color="auto"/>
      </w:divBdr>
    </w:div>
    <w:div w:id="845166723">
      <w:bodyDiv w:val="1"/>
      <w:marLeft w:val="0"/>
      <w:marRight w:val="0"/>
      <w:marTop w:val="0"/>
      <w:marBottom w:val="0"/>
      <w:divBdr>
        <w:top w:val="none" w:sz="0" w:space="0" w:color="auto"/>
        <w:left w:val="none" w:sz="0" w:space="0" w:color="auto"/>
        <w:bottom w:val="none" w:sz="0" w:space="0" w:color="auto"/>
        <w:right w:val="none" w:sz="0" w:space="0" w:color="auto"/>
      </w:divBdr>
    </w:div>
    <w:div w:id="921063663">
      <w:bodyDiv w:val="1"/>
      <w:marLeft w:val="0"/>
      <w:marRight w:val="0"/>
      <w:marTop w:val="0"/>
      <w:marBottom w:val="0"/>
      <w:divBdr>
        <w:top w:val="none" w:sz="0" w:space="0" w:color="auto"/>
        <w:left w:val="none" w:sz="0" w:space="0" w:color="auto"/>
        <w:bottom w:val="none" w:sz="0" w:space="0" w:color="auto"/>
        <w:right w:val="none" w:sz="0" w:space="0" w:color="auto"/>
      </w:divBdr>
    </w:div>
    <w:div w:id="1133477726">
      <w:bodyDiv w:val="1"/>
      <w:marLeft w:val="0"/>
      <w:marRight w:val="0"/>
      <w:marTop w:val="0"/>
      <w:marBottom w:val="0"/>
      <w:divBdr>
        <w:top w:val="none" w:sz="0" w:space="0" w:color="auto"/>
        <w:left w:val="none" w:sz="0" w:space="0" w:color="auto"/>
        <w:bottom w:val="none" w:sz="0" w:space="0" w:color="auto"/>
        <w:right w:val="none" w:sz="0" w:space="0" w:color="auto"/>
      </w:divBdr>
    </w:div>
    <w:div w:id="1200894051">
      <w:bodyDiv w:val="1"/>
      <w:marLeft w:val="0"/>
      <w:marRight w:val="0"/>
      <w:marTop w:val="0"/>
      <w:marBottom w:val="0"/>
      <w:divBdr>
        <w:top w:val="none" w:sz="0" w:space="0" w:color="auto"/>
        <w:left w:val="none" w:sz="0" w:space="0" w:color="auto"/>
        <w:bottom w:val="none" w:sz="0" w:space="0" w:color="auto"/>
        <w:right w:val="none" w:sz="0" w:space="0" w:color="auto"/>
      </w:divBdr>
    </w:div>
    <w:div w:id="1217857071">
      <w:bodyDiv w:val="1"/>
      <w:marLeft w:val="0"/>
      <w:marRight w:val="0"/>
      <w:marTop w:val="0"/>
      <w:marBottom w:val="0"/>
      <w:divBdr>
        <w:top w:val="none" w:sz="0" w:space="0" w:color="auto"/>
        <w:left w:val="none" w:sz="0" w:space="0" w:color="auto"/>
        <w:bottom w:val="none" w:sz="0" w:space="0" w:color="auto"/>
        <w:right w:val="none" w:sz="0" w:space="0" w:color="auto"/>
      </w:divBdr>
    </w:div>
    <w:div w:id="1280261363">
      <w:bodyDiv w:val="1"/>
      <w:marLeft w:val="0"/>
      <w:marRight w:val="0"/>
      <w:marTop w:val="0"/>
      <w:marBottom w:val="0"/>
      <w:divBdr>
        <w:top w:val="none" w:sz="0" w:space="0" w:color="auto"/>
        <w:left w:val="none" w:sz="0" w:space="0" w:color="auto"/>
        <w:bottom w:val="none" w:sz="0" w:space="0" w:color="auto"/>
        <w:right w:val="none" w:sz="0" w:space="0" w:color="auto"/>
      </w:divBdr>
    </w:div>
    <w:div w:id="1289776411">
      <w:bodyDiv w:val="1"/>
      <w:marLeft w:val="0"/>
      <w:marRight w:val="0"/>
      <w:marTop w:val="0"/>
      <w:marBottom w:val="0"/>
      <w:divBdr>
        <w:top w:val="none" w:sz="0" w:space="0" w:color="auto"/>
        <w:left w:val="none" w:sz="0" w:space="0" w:color="auto"/>
        <w:bottom w:val="none" w:sz="0" w:space="0" w:color="auto"/>
        <w:right w:val="none" w:sz="0" w:space="0" w:color="auto"/>
      </w:divBdr>
      <w:divsChild>
        <w:div w:id="692149887">
          <w:marLeft w:val="0"/>
          <w:marRight w:val="0"/>
          <w:marTop w:val="0"/>
          <w:marBottom w:val="0"/>
          <w:divBdr>
            <w:top w:val="none" w:sz="0" w:space="0" w:color="auto"/>
            <w:left w:val="none" w:sz="0" w:space="0" w:color="auto"/>
            <w:bottom w:val="none" w:sz="0" w:space="0" w:color="auto"/>
            <w:right w:val="none" w:sz="0" w:space="0" w:color="auto"/>
          </w:divBdr>
          <w:divsChild>
            <w:div w:id="1216433986">
              <w:marLeft w:val="0"/>
              <w:marRight w:val="0"/>
              <w:marTop w:val="0"/>
              <w:marBottom w:val="0"/>
              <w:divBdr>
                <w:top w:val="single" w:sz="4" w:space="0" w:color="C8D8F2"/>
                <w:left w:val="none" w:sz="0" w:space="0" w:color="auto"/>
                <w:bottom w:val="none" w:sz="0" w:space="0" w:color="auto"/>
                <w:right w:val="none" w:sz="0" w:space="0" w:color="auto"/>
              </w:divBdr>
              <w:divsChild>
                <w:div w:id="1552619006">
                  <w:marLeft w:val="0"/>
                  <w:marRight w:val="0"/>
                  <w:marTop w:val="0"/>
                  <w:marBottom w:val="0"/>
                  <w:divBdr>
                    <w:top w:val="none" w:sz="0" w:space="0" w:color="auto"/>
                    <w:left w:val="none" w:sz="0" w:space="0" w:color="auto"/>
                    <w:bottom w:val="none" w:sz="0" w:space="0" w:color="auto"/>
                    <w:right w:val="none" w:sz="0" w:space="0" w:color="auto"/>
                  </w:divBdr>
                  <w:divsChild>
                    <w:div w:id="598677962">
                      <w:marLeft w:val="0"/>
                      <w:marRight w:val="0"/>
                      <w:marTop w:val="0"/>
                      <w:marBottom w:val="0"/>
                      <w:divBdr>
                        <w:top w:val="none" w:sz="0" w:space="0" w:color="auto"/>
                        <w:left w:val="none" w:sz="0" w:space="0" w:color="auto"/>
                        <w:bottom w:val="none" w:sz="0" w:space="0" w:color="auto"/>
                        <w:right w:val="none" w:sz="0" w:space="0" w:color="auto"/>
                      </w:divBdr>
                      <w:divsChild>
                        <w:div w:id="1720081869">
                          <w:marLeft w:val="0"/>
                          <w:marRight w:val="0"/>
                          <w:marTop w:val="0"/>
                          <w:marBottom w:val="0"/>
                          <w:divBdr>
                            <w:top w:val="none" w:sz="0" w:space="0" w:color="auto"/>
                            <w:left w:val="none" w:sz="0" w:space="0" w:color="auto"/>
                            <w:bottom w:val="none" w:sz="0" w:space="0" w:color="auto"/>
                            <w:right w:val="none" w:sz="0" w:space="0" w:color="auto"/>
                          </w:divBdr>
                          <w:divsChild>
                            <w:div w:id="98139794">
                              <w:marLeft w:val="0"/>
                              <w:marRight w:val="0"/>
                              <w:marTop w:val="153"/>
                              <w:marBottom w:val="0"/>
                              <w:divBdr>
                                <w:top w:val="none" w:sz="0" w:space="0" w:color="auto"/>
                                <w:left w:val="none" w:sz="0" w:space="0" w:color="auto"/>
                                <w:bottom w:val="none" w:sz="0" w:space="0" w:color="auto"/>
                                <w:right w:val="none" w:sz="0" w:space="0" w:color="auto"/>
                              </w:divBdr>
                            </w:div>
                            <w:div w:id="111163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146278">
      <w:bodyDiv w:val="1"/>
      <w:marLeft w:val="0"/>
      <w:marRight w:val="0"/>
      <w:marTop w:val="0"/>
      <w:marBottom w:val="0"/>
      <w:divBdr>
        <w:top w:val="none" w:sz="0" w:space="0" w:color="auto"/>
        <w:left w:val="none" w:sz="0" w:space="0" w:color="auto"/>
        <w:bottom w:val="none" w:sz="0" w:space="0" w:color="auto"/>
        <w:right w:val="none" w:sz="0" w:space="0" w:color="auto"/>
      </w:divBdr>
      <w:divsChild>
        <w:div w:id="877551808">
          <w:marLeft w:val="0"/>
          <w:marRight w:val="0"/>
          <w:marTop w:val="0"/>
          <w:marBottom w:val="0"/>
          <w:divBdr>
            <w:top w:val="none" w:sz="0" w:space="0" w:color="auto"/>
            <w:left w:val="none" w:sz="0" w:space="0" w:color="auto"/>
            <w:bottom w:val="none" w:sz="0" w:space="0" w:color="auto"/>
            <w:right w:val="none" w:sz="0" w:space="0" w:color="auto"/>
          </w:divBdr>
          <w:divsChild>
            <w:div w:id="1034503858">
              <w:marLeft w:val="0"/>
              <w:marRight w:val="0"/>
              <w:marTop w:val="0"/>
              <w:marBottom w:val="0"/>
              <w:divBdr>
                <w:top w:val="single" w:sz="6" w:space="0" w:color="C8D8F2"/>
                <w:left w:val="none" w:sz="0" w:space="0" w:color="auto"/>
                <w:bottom w:val="none" w:sz="0" w:space="0" w:color="auto"/>
                <w:right w:val="none" w:sz="0" w:space="0" w:color="auto"/>
              </w:divBdr>
              <w:divsChild>
                <w:div w:id="1359350179">
                  <w:marLeft w:val="0"/>
                  <w:marRight w:val="0"/>
                  <w:marTop w:val="0"/>
                  <w:marBottom w:val="0"/>
                  <w:divBdr>
                    <w:top w:val="none" w:sz="0" w:space="0" w:color="auto"/>
                    <w:left w:val="none" w:sz="0" w:space="0" w:color="auto"/>
                    <w:bottom w:val="none" w:sz="0" w:space="0" w:color="auto"/>
                    <w:right w:val="none" w:sz="0" w:space="0" w:color="auto"/>
                  </w:divBdr>
                  <w:divsChild>
                    <w:div w:id="770470098">
                      <w:marLeft w:val="0"/>
                      <w:marRight w:val="0"/>
                      <w:marTop w:val="0"/>
                      <w:marBottom w:val="0"/>
                      <w:divBdr>
                        <w:top w:val="none" w:sz="0" w:space="0" w:color="auto"/>
                        <w:left w:val="none" w:sz="0" w:space="0" w:color="auto"/>
                        <w:bottom w:val="none" w:sz="0" w:space="0" w:color="auto"/>
                        <w:right w:val="none" w:sz="0" w:space="0" w:color="auto"/>
                      </w:divBdr>
                      <w:divsChild>
                        <w:div w:id="635649153">
                          <w:marLeft w:val="0"/>
                          <w:marRight w:val="0"/>
                          <w:marTop w:val="0"/>
                          <w:marBottom w:val="0"/>
                          <w:divBdr>
                            <w:top w:val="none" w:sz="0" w:space="0" w:color="auto"/>
                            <w:left w:val="none" w:sz="0" w:space="0" w:color="auto"/>
                            <w:bottom w:val="none" w:sz="0" w:space="0" w:color="auto"/>
                            <w:right w:val="none" w:sz="0" w:space="0" w:color="auto"/>
                          </w:divBdr>
                          <w:divsChild>
                            <w:div w:id="167202248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771604">
      <w:bodyDiv w:val="1"/>
      <w:marLeft w:val="0"/>
      <w:marRight w:val="0"/>
      <w:marTop w:val="0"/>
      <w:marBottom w:val="0"/>
      <w:divBdr>
        <w:top w:val="none" w:sz="0" w:space="0" w:color="auto"/>
        <w:left w:val="none" w:sz="0" w:space="0" w:color="auto"/>
        <w:bottom w:val="none" w:sz="0" w:space="0" w:color="auto"/>
        <w:right w:val="none" w:sz="0" w:space="0" w:color="auto"/>
      </w:divBdr>
      <w:divsChild>
        <w:div w:id="1168397483">
          <w:marLeft w:val="0"/>
          <w:marRight w:val="0"/>
          <w:marTop w:val="0"/>
          <w:marBottom w:val="0"/>
          <w:divBdr>
            <w:top w:val="none" w:sz="0" w:space="0" w:color="auto"/>
            <w:left w:val="none" w:sz="0" w:space="0" w:color="auto"/>
            <w:bottom w:val="none" w:sz="0" w:space="0" w:color="auto"/>
            <w:right w:val="none" w:sz="0" w:space="0" w:color="auto"/>
          </w:divBdr>
          <w:divsChild>
            <w:div w:id="1631394666">
              <w:marLeft w:val="0"/>
              <w:marRight w:val="0"/>
              <w:marTop w:val="0"/>
              <w:marBottom w:val="0"/>
              <w:divBdr>
                <w:top w:val="none" w:sz="0" w:space="0" w:color="auto"/>
                <w:left w:val="none" w:sz="0" w:space="0" w:color="auto"/>
                <w:bottom w:val="none" w:sz="0" w:space="0" w:color="auto"/>
                <w:right w:val="none" w:sz="0" w:space="0" w:color="auto"/>
              </w:divBdr>
              <w:divsChild>
                <w:div w:id="488252337">
                  <w:marLeft w:val="0"/>
                  <w:marRight w:val="0"/>
                  <w:marTop w:val="0"/>
                  <w:marBottom w:val="0"/>
                  <w:divBdr>
                    <w:top w:val="single" w:sz="6" w:space="0" w:color="E8E8E8"/>
                    <w:left w:val="none" w:sz="0" w:space="0" w:color="auto"/>
                    <w:bottom w:val="single" w:sz="6" w:space="0" w:color="CCCCCC"/>
                    <w:right w:val="none" w:sz="0" w:space="0" w:color="auto"/>
                  </w:divBdr>
                </w:div>
              </w:divsChild>
            </w:div>
          </w:divsChild>
        </w:div>
      </w:divsChild>
    </w:div>
    <w:div w:id="1352414278">
      <w:bodyDiv w:val="1"/>
      <w:marLeft w:val="0"/>
      <w:marRight w:val="0"/>
      <w:marTop w:val="0"/>
      <w:marBottom w:val="0"/>
      <w:divBdr>
        <w:top w:val="none" w:sz="0" w:space="0" w:color="auto"/>
        <w:left w:val="none" w:sz="0" w:space="0" w:color="auto"/>
        <w:bottom w:val="none" w:sz="0" w:space="0" w:color="auto"/>
        <w:right w:val="none" w:sz="0" w:space="0" w:color="auto"/>
      </w:divBdr>
    </w:div>
    <w:div w:id="1418089692">
      <w:bodyDiv w:val="1"/>
      <w:marLeft w:val="0"/>
      <w:marRight w:val="0"/>
      <w:marTop w:val="0"/>
      <w:marBottom w:val="0"/>
      <w:divBdr>
        <w:top w:val="none" w:sz="0" w:space="0" w:color="auto"/>
        <w:left w:val="none" w:sz="0" w:space="0" w:color="auto"/>
        <w:bottom w:val="none" w:sz="0" w:space="0" w:color="auto"/>
        <w:right w:val="none" w:sz="0" w:space="0" w:color="auto"/>
      </w:divBdr>
    </w:div>
    <w:div w:id="1538660148">
      <w:bodyDiv w:val="1"/>
      <w:marLeft w:val="0"/>
      <w:marRight w:val="0"/>
      <w:marTop w:val="0"/>
      <w:marBottom w:val="0"/>
      <w:divBdr>
        <w:top w:val="none" w:sz="0" w:space="0" w:color="auto"/>
        <w:left w:val="none" w:sz="0" w:space="0" w:color="auto"/>
        <w:bottom w:val="none" w:sz="0" w:space="0" w:color="auto"/>
        <w:right w:val="none" w:sz="0" w:space="0" w:color="auto"/>
      </w:divBdr>
    </w:div>
    <w:div w:id="159134864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28">
          <w:marLeft w:val="0"/>
          <w:marRight w:val="0"/>
          <w:marTop w:val="300"/>
          <w:marBottom w:val="300"/>
          <w:divBdr>
            <w:top w:val="none" w:sz="0" w:space="0" w:color="auto"/>
            <w:left w:val="none" w:sz="0" w:space="0" w:color="auto"/>
            <w:bottom w:val="none" w:sz="0" w:space="0" w:color="auto"/>
            <w:right w:val="none" w:sz="0" w:space="0" w:color="auto"/>
          </w:divBdr>
          <w:divsChild>
            <w:div w:id="528958781">
              <w:marLeft w:val="0"/>
              <w:marRight w:val="0"/>
              <w:marTop w:val="150"/>
              <w:marBottom w:val="150"/>
              <w:divBdr>
                <w:top w:val="none" w:sz="0" w:space="0" w:color="auto"/>
                <w:left w:val="none" w:sz="0" w:space="0" w:color="auto"/>
                <w:bottom w:val="none" w:sz="0" w:space="0" w:color="auto"/>
                <w:right w:val="none" w:sz="0" w:space="0" w:color="auto"/>
              </w:divBdr>
              <w:divsChild>
                <w:div w:id="10132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44278">
      <w:bodyDiv w:val="1"/>
      <w:marLeft w:val="0"/>
      <w:marRight w:val="0"/>
      <w:marTop w:val="0"/>
      <w:marBottom w:val="0"/>
      <w:divBdr>
        <w:top w:val="none" w:sz="0" w:space="0" w:color="auto"/>
        <w:left w:val="none" w:sz="0" w:space="0" w:color="auto"/>
        <w:bottom w:val="none" w:sz="0" w:space="0" w:color="auto"/>
        <w:right w:val="none" w:sz="0" w:space="0" w:color="auto"/>
      </w:divBdr>
    </w:div>
    <w:div w:id="1617367892">
      <w:bodyDiv w:val="1"/>
      <w:marLeft w:val="0"/>
      <w:marRight w:val="0"/>
      <w:marTop w:val="0"/>
      <w:marBottom w:val="0"/>
      <w:divBdr>
        <w:top w:val="none" w:sz="0" w:space="0" w:color="auto"/>
        <w:left w:val="none" w:sz="0" w:space="0" w:color="auto"/>
        <w:bottom w:val="none" w:sz="0" w:space="0" w:color="auto"/>
        <w:right w:val="none" w:sz="0" w:space="0" w:color="auto"/>
      </w:divBdr>
    </w:div>
    <w:div w:id="1647858737">
      <w:bodyDiv w:val="1"/>
      <w:marLeft w:val="0"/>
      <w:marRight w:val="0"/>
      <w:marTop w:val="0"/>
      <w:marBottom w:val="0"/>
      <w:divBdr>
        <w:top w:val="none" w:sz="0" w:space="0" w:color="auto"/>
        <w:left w:val="none" w:sz="0" w:space="0" w:color="auto"/>
        <w:bottom w:val="none" w:sz="0" w:space="0" w:color="auto"/>
        <w:right w:val="none" w:sz="0" w:space="0" w:color="auto"/>
      </w:divBdr>
      <w:divsChild>
        <w:div w:id="23214710">
          <w:marLeft w:val="378"/>
          <w:marRight w:val="0"/>
          <w:marTop w:val="0"/>
          <w:marBottom w:val="0"/>
          <w:divBdr>
            <w:top w:val="none" w:sz="0" w:space="0" w:color="auto"/>
            <w:left w:val="none" w:sz="0" w:space="0" w:color="auto"/>
            <w:bottom w:val="none" w:sz="0" w:space="0" w:color="auto"/>
            <w:right w:val="none" w:sz="0" w:space="0" w:color="auto"/>
          </w:divBdr>
        </w:div>
        <w:div w:id="1214849936">
          <w:marLeft w:val="378"/>
          <w:marRight w:val="0"/>
          <w:marTop w:val="0"/>
          <w:marBottom w:val="0"/>
          <w:divBdr>
            <w:top w:val="none" w:sz="0" w:space="0" w:color="auto"/>
            <w:left w:val="none" w:sz="0" w:space="0" w:color="auto"/>
            <w:bottom w:val="none" w:sz="0" w:space="0" w:color="auto"/>
            <w:right w:val="none" w:sz="0" w:space="0" w:color="auto"/>
          </w:divBdr>
        </w:div>
      </w:divsChild>
    </w:div>
    <w:div w:id="1805613167">
      <w:bodyDiv w:val="1"/>
      <w:marLeft w:val="0"/>
      <w:marRight w:val="0"/>
      <w:marTop w:val="0"/>
      <w:marBottom w:val="0"/>
      <w:divBdr>
        <w:top w:val="none" w:sz="0" w:space="0" w:color="auto"/>
        <w:left w:val="none" w:sz="0" w:space="0" w:color="auto"/>
        <w:bottom w:val="none" w:sz="0" w:space="0" w:color="auto"/>
        <w:right w:val="none" w:sz="0" w:space="0" w:color="auto"/>
      </w:divBdr>
    </w:div>
    <w:div w:id="1844585142">
      <w:bodyDiv w:val="1"/>
      <w:marLeft w:val="0"/>
      <w:marRight w:val="0"/>
      <w:marTop w:val="0"/>
      <w:marBottom w:val="0"/>
      <w:divBdr>
        <w:top w:val="none" w:sz="0" w:space="0" w:color="auto"/>
        <w:left w:val="none" w:sz="0" w:space="0" w:color="auto"/>
        <w:bottom w:val="none" w:sz="0" w:space="0" w:color="auto"/>
        <w:right w:val="none" w:sz="0" w:space="0" w:color="auto"/>
      </w:divBdr>
    </w:div>
    <w:div w:id="1911885492">
      <w:bodyDiv w:val="1"/>
      <w:marLeft w:val="0"/>
      <w:marRight w:val="0"/>
      <w:marTop w:val="0"/>
      <w:marBottom w:val="0"/>
      <w:divBdr>
        <w:top w:val="none" w:sz="0" w:space="0" w:color="auto"/>
        <w:left w:val="none" w:sz="0" w:space="0" w:color="auto"/>
        <w:bottom w:val="none" w:sz="0" w:space="0" w:color="auto"/>
        <w:right w:val="none" w:sz="0" w:space="0" w:color="auto"/>
      </w:divBdr>
    </w:div>
    <w:div w:id="1936550755">
      <w:bodyDiv w:val="1"/>
      <w:marLeft w:val="0"/>
      <w:marRight w:val="0"/>
      <w:marTop w:val="0"/>
      <w:marBottom w:val="0"/>
      <w:divBdr>
        <w:top w:val="none" w:sz="0" w:space="0" w:color="auto"/>
        <w:left w:val="none" w:sz="0" w:space="0" w:color="auto"/>
        <w:bottom w:val="none" w:sz="0" w:space="0" w:color="auto"/>
        <w:right w:val="none" w:sz="0" w:space="0" w:color="auto"/>
      </w:divBdr>
    </w:div>
    <w:div w:id="1985506865">
      <w:bodyDiv w:val="1"/>
      <w:marLeft w:val="0"/>
      <w:marRight w:val="0"/>
      <w:marTop w:val="0"/>
      <w:marBottom w:val="0"/>
      <w:divBdr>
        <w:top w:val="none" w:sz="0" w:space="0" w:color="auto"/>
        <w:left w:val="none" w:sz="0" w:space="0" w:color="auto"/>
        <w:bottom w:val="none" w:sz="0" w:space="0" w:color="auto"/>
        <w:right w:val="none" w:sz="0" w:space="0" w:color="auto"/>
      </w:divBdr>
      <w:divsChild>
        <w:div w:id="650410349">
          <w:marLeft w:val="0"/>
          <w:marRight w:val="0"/>
          <w:marTop w:val="0"/>
          <w:marBottom w:val="0"/>
          <w:divBdr>
            <w:top w:val="none" w:sz="0" w:space="0" w:color="auto"/>
            <w:left w:val="none" w:sz="0" w:space="0" w:color="auto"/>
            <w:bottom w:val="none" w:sz="0" w:space="0" w:color="auto"/>
            <w:right w:val="none" w:sz="0" w:space="0" w:color="auto"/>
          </w:divBdr>
        </w:div>
        <w:div w:id="1941254851">
          <w:marLeft w:val="0"/>
          <w:marRight w:val="0"/>
          <w:marTop w:val="0"/>
          <w:marBottom w:val="0"/>
          <w:divBdr>
            <w:top w:val="none" w:sz="0" w:space="0" w:color="auto"/>
            <w:left w:val="none" w:sz="0" w:space="0" w:color="auto"/>
            <w:bottom w:val="none" w:sz="0" w:space="0" w:color="auto"/>
            <w:right w:val="none" w:sz="0" w:space="0" w:color="auto"/>
          </w:divBdr>
        </w:div>
      </w:divsChild>
    </w:div>
    <w:div w:id="2046907404">
      <w:bodyDiv w:val="1"/>
      <w:marLeft w:val="0"/>
      <w:marRight w:val="0"/>
      <w:marTop w:val="0"/>
      <w:marBottom w:val="0"/>
      <w:divBdr>
        <w:top w:val="none" w:sz="0" w:space="0" w:color="auto"/>
        <w:left w:val="none" w:sz="0" w:space="0" w:color="auto"/>
        <w:bottom w:val="none" w:sz="0" w:space="0" w:color="auto"/>
        <w:right w:val="none" w:sz="0" w:space="0" w:color="auto"/>
      </w:divBdr>
      <w:divsChild>
        <w:div w:id="1927297945">
          <w:marLeft w:val="0"/>
          <w:marRight w:val="0"/>
          <w:marTop w:val="0"/>
          <w:marBottom w:val="0"/>
          <w:divBdr>
            <w:top w:val="none" w:sz="0" w:space="0" w:color="auto"/>
            <w:left w:val="none" w:sz="0" w:space="0" w:color="auto"/>
            <w:bottom w:val="none" w:sz="0" w:space="0" w:color="auto"/>
            <w:right w:val="none" w:sz="0" w:space="0" w:color="auto"/>
          </w:divBdr>
          <w:divsChild>
            <w:div w:id="1615403289">
              <w:marLeft w:val="15"/>
              <w:marRight w:val="0"/>
              <w:marTop w:val="0"/>
              <w:marBottom w:val="0"/>
              <w:divBdr>
                <w:top w:val="single" w:sz="6" w:space="4" w:color="666666"/>
                <w:left w:val="single" w:sz="6" w:space="4" w:color="666666"/>
                <w:bottom w:val="single" w:sz="6" w:space="4" w:color="666666"/>
                <w:right w:val="single" w:sz="6" w:space="4" w:color="666666"/>
              </w:divBdr>
              <w:divsChild>
                <w:div w:id="1270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6621">
      <w:bodyDiv w:val="1"/>
      <w:marLeft w:val="0"/>
      <w:marRight w:val="0"/>
      <w:marTop w:val="0"/>
      <w:marBottom w:val="0"/>
      <w:divBdr>
        <w:top w:val="none" w:sz="0" w:space="0" w:color="auto"/>
        <w:left w:val="none" w:sz="0" w:space="0" w:color="auto"/>
        <w:bottom w:val="none" w:sz="0" w:space="0" w:color="auto"/>
        <w:right w:val="none" w:sz="0" w:space="0" w:color="auto"/>
      </w:divBdr>
    </w:div>
    <w:div w:id="21302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aochen@shzq.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C7C26-54B1-4347-89E1-B0F89A106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1527</Words>
  <Characters>1634</Characters>
  <Application>Microsoft Office Word</Application>
  <DocSecurity>0</DocSecurity>
  <Lines>125</Lines>
  <Paragraphs>126</Paragraphs>
  <ScaleCrop>false</ScaleCrop>
  <Company/>
  <LinksUpToDate>false</LinksUpToDate>
  <CharactersWithSpaces>3035</CharactersWithSpaces>
  <SharedDoc>false</SharedDoc>
  <HLinks>
    <vt:vector size="6" baseType="variant">
      <vt:variant>
        <vt:i4>2359319</vt:i4>
      </vt:variant>
      <vt:variant>
        <vt:i4>0</vt:i4>
      </vt:variant>
      <vt:variant>
        <vt:i4>0</vt:i4>
      </vt:variant>
      <vt:variant>
        <vt:i4>5</vt:i4>
      </vt:variant>
      <vt:variant>
        <vt:lpwstr>mailto:gaochen@shzq.com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主要观点：</dc:title>
  <dc:creator>高琛</dc:creator>
  <cp:lastModifiedBy>高琛:</cp:lastModifiedBy>
  <cp:revision>3</cp:revision>
  <cp:lastPrinted>2015-11-30T07:18:00Z</cp:lastPrinted>
  <dcterms:created xsi:type="dcterms:W3CDTF">2016-05-16T07:04:00Z</dcterms:created>
  <dcterms:modified xsi:type="dcterms:W3CDTF">2016-05-16T07:45:00Z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2013年10月10日</vt:lpwstr>
  </property>
  <property fmtid="{D5CDD505-2E9C-101B-9397-08002B2CF9AE}" pid="3" name="repoertnumber">
    <vt:lpwstr> </vt:lpwstr>
  </property>
  <property fmtid="{D5CDD505-2E9C-101B-9397-08002B2CF9AE}" pid="4" name="abbreviation">
    <vt:lpwstr>MR</vt:lpwstr>
  </property>
  <property fmtid="{D5CDD505-2E9C-101B-9397-08002B2CF9AE}" pid="5" name="allname">
    <vt:lpwstr>某某</vt:lpwstr>
  </property>
</Properties>
</file>