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3273E" w:rsidRPr="0032491D" w:rsidTr="00FC5199">
        <w:trPr>
          <w:trHeight w:val="532"/>
        </w:trPr>
        <w:tc>
          <w:tcPr>
            <w:tcW w:w="7621" w:type="dxa"/>
            <w:tcBorders>
              <w:top w:val="single" w:sz="4" w:space="0" w:color="auto"/>
            </w:tcBorders>
            <w:shd w:val="clear" w:color="auto" w:fill="F0EAC6"/>
          </w:tcPr>
          <w:p w:rsidR="0053273E" w:rsidRPr="0032491D" w:rsidRDefault="0053273E" w:rsidP="00FC5199">
            <w:pPr>
              <w:rPr>
                <w:rFonts w:ascii="楷体" w:eastAsia="楷体" w:hAnsi="楷体" w:cs="Arial"/>
                <w:b/>
                <w:sz w:val="32"/>
              </w:rPr>
            </w:pPr>
            <w:proofErr w:type="gramStart"/>
            <w:r w:rsidRPr="0032491D">
              <w:rPr>
                <w:rFonts w:ascii="楷体" w:eastAsia="楷体" w:hAnsi="楷体" w:cs="Arial"/>
                <w:b/>
                <w:sz w:val="32"/>
              </w:rPr>
              <w:t>凯</w:t>
            </w:r>
            <w:proofErr w:type="gramEnd"/>
            <w:r w:rsidRPr="0032491D">
              <w:rPr>
                <w:rFonts w:ascii="楷体" w:eastAsia="楷体" w:hAnsi="楷体" w:cs="Arial"/>
                <w:b/>
                <w:sz w:val="32"/>
              </w:rPr>
              <w:t>石公</w:t>
            </w:r>
            <w:proofErr w:type="gramStart"/>
            <w:r w:rsidRPr="0032491D">
              <w:rPr>
                <w:rFonts w:ascii="楷体" w:eastAsia="楷体" w:hAnsi="楷体" w:cs="Arial"/>
                <w:b/>
                <w:sz w:val="32"/>
              </w:rPr>
              <w:t>募基金</w:t>
            </w:r>
            <w:proofErr w:type="gramEnd"/>
            <w:r w:rsidRPr="0032491D">
              <w:rPr>
                <w:rFonts w:ascii="楷体" w:eastAsia="楷体" w:hAnsi="楷体" w:cs="Arial" w:hint="eastAsia"/>
                <w:b/>
                <w:sz w:val="32"/>
              </w:rPr>
              <w:t>周</w:t>
            </w:r>
            <w:r w:rsidRPr="0032491D">
              <w:rPr>
                <w:rFonts w:ascii="楷体" w:eastAsia="楷体" w:hAnsi="楷体" w:cs="Arial"/>
                <w:b/>
                <w:sz w:val="32"/>
              </w:rPr>
              <w:t>报</w:t>
            </w:r>
          </w:p>
          <w:p w:rsidR="0053273E" w:rsidRPr="0032491D" w:rsidRDefault="0053273E" w:rsidP="00E54B26">
            <w:pPr>
              <w:rPr>
                <w:rFonts w:ascii="楷体" w:eastAsia="楷体" w:hAnsi="楷体" w:cs="Arial"/>
                <w:b/>
                <w:sz w:val="32"/>
              </w:rPr>
            </w:pPr>
            <w:r w:rsidRPr="0032491D">
              <w:rPr>
                <w:rFonts w:ascii="楷体" w:eastAsia="楷体" w:hAnsi="楷体" w:cs="Arial"/>
                <w:b/>
                <w:sz w:val="32"/>
              </w:rPr>
              <w:softHyphen/>
            </w:r>
            <w:r w:rsidRPr="0032491D">
              <w:rPr>
                <w:rFonts w:ascii="楷体" w:eastAsia="楷体" w:hAnsi="楷体" w:cs="Arial"/>
                <w:b/>
                <w:sz w:val="32"/>
              </w:rPr>
              <w:softHyphen/>
              <w:t>——</w:t>
            </w:r>
            <w:r w:rsidR="00E54B26">
              <w:rPr>
                <w:rFonts w:ascii="楷体" w:eastAsia="楷体" w:hAnsi="楷体" w:cs="Arial"/>
                <w:b/>
                <w:sz w:val="32"/>
              </w:rPr>
              <w:t>股混基金表现低迷</w:t>
            </w:r>
            <w:r w:rsidR="00E54B26">
              <w:rPr>
                <w:rFonts w:ascii="楷体" w:eastAsia="楷体" w:hAnsi="楷体" w:cs="Arial" w:hint="eastAsia"/>
                <w:b/>
                <w:sz w:val="32"/>
              </w:rPr>
              <w:t>，</w:t>
            </w:r>
            <w:r w:rsidR="00E54B26">
              <w:rPr>
                <w:rFonts w:ascii="楷体" w:eastAsia="楷体" w:hAnsi="楷体" w:cs="Arial"/>
                <w:b/>
                <w:sz w:val="32"/>
              </w:rPr>
              <w:t>债市风险尚存</w:t>
            </w:r>
            <w:bookmarkStart w:id="0" w:name="_GoBack"/>
            <w:bookmarkEnd w:id="0"/>
          </w:p>
        </w:tc>
      </w:tr>
      <w:tr w:rsidR="0053273E" w:rsidRPr="0032491D" w:rsidTr="00FC5199">
        <w:trPr>
          <w:trHeight w:val="11778"/>
        </w:trPr>
        <w:tc>
          <w:tcPr>
            <w:tcW w:w="7621" w:type="dxa"/>
          </w:tcPr>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 w:val="22"/>
                <w:szCs w:val="22"/>
              </w:rPr>
            </w:pPr>
            <w:r w:rsidRPr="0032491D">
              <w:rPr>
                <w:rStyle w:val="textsmall2"/>
                <w:rFonts w:ascii="楷体" w:eastAsia="楷体" w:hAnsi="楷体" w:cs="Arial" w:hint="eastAsia"/>
                <w:b/>
                <w:color w:val="000000"/>
                <w:sz w:val="22"/>
                <w:szCs w:val="22"/>
              </w:rPr>
              <w:t>一周资本市场回顾</w:t>
            </w:r>
          </w:p>
          <w:p w:rsidR="0053273E" w:rsidRPr="00863229" w:rsidRDefault="0053273E" w:rsidP="00FC5199">
            <w:pPr>
              <w:rPr>
                <w:rStyle w:val="textsmall2"/>
                <w:rFonts w:ascii="楷体" w:eastAsia="楷体" w:hAnsi="楷体" w:cs="Arial"/>
                <w:sz w:val="18"/>
                <w:szCs w:val="20"/>
              </w:rPr>
            </w:pPr>
            <w:r w:rsidRPr="0032491D">
              <w:rPr>
                <w:rStyle w:val="textsmall2"/>
                <w:rFonts w:ascii="楷体" w:eastAsia="楷体" w:hAnsi="楷体" w:cs="Arial"/>
                <w:b/>
                <w:sz w:val="18"/>
                <w:szCs w:val="20"/>
              </w:rPr>
              <w:t>A</w:t>
            </w:r>
            <w:r w:rsidRPr="0032491D">
              <w:rPr>
                <w:rStyle w:val="textsmall2"/>
                <w:rFonts w:ascii="楷体" w:eastAsia="楷体" w:hAnsi="楷体" w:cs="Arial" w:hint="eastAsia"/>
                <w:b/>
                <w:sz w:val="18"/>
                <w:szCs w:val="20"/>
              </w:rPr>
              <w:t>股市场：</w:t>
            </w:r>
            <w:r w:rsidR="00A36CC5" w:rsidRPr="00A36CC5">
              <w:rPr>
                <w:rFonts w:ascii="楷体" w:eastAsia="楷体" w:hAnsi="楷体" w:cs="Arial" w:hint="eastAsia"/>
                <w:b/>
                <w:color w:val="000000" w:themeColor="text1"/>
                <w:sz w:val="18"/>
                <w:szCs w:val="20"/>
              </w:rPr>
              <w:t>沪指险守2800点，市场人气十分低迷。</w:t>
            </w:r>
            <w:r w:rsidR="00A36CC5" w:rsidRPr="00863229">
              <w:rPr>
                <w:rFonts w:ascii="楷体" w:eastAsia="楷体" w:hAnsi="楷体" w:cs="Arial" w:hint="eastAsia"/>
                <w:color w:val="000000" w:themeColor="text1"/>
                <w:sz w:val="18"/>
                <w:szCs w:val="20"/>
              </w:rPr>
              <w:t>沪指已经连续第四周下跌，A股一直处于存量博弈的状态，投资者的情绪对于市场上的消息尤其是利空消息尤其敏感。上周自收紧</w:t>
            </w:r>
            <w:proofErr w:type="gramStart"/>
            <w:r w:rsidR="00A36CC5" w:rsidRPr="00863229">
              <w:rPr>
                <w:rFonts w:ascii="楷体" w:eastAsia="楷体" w:hAnsi="楷体" w:cs="Arial" w:hint="eastAsia"/>
                <w:color w:val="000000" w:themeColor="text1"/>
                <w:sz w:val="18"/>
                <w:szCs w:val="20"/>
              </w:rPr>
              <w:t>中概股</w:t>
            </w:r>
            <w:proofErr w:type="gramEnd"/>
            <w:r w:rsidR="00A36CC5" w:rsidRPr="00863229">
              <w:rPr>
                <w:rFonts w:ascii="楷体" w:eastAsia="楷体" w:hAnsi="楷体" w:cs="Arial" w:hint="eastAsia"/>
                <w:color w:val="000000" w:themeColor="text1"/>
                <w:sz w:val="18"/>
                <w:szCs w:val="20"/>
              </w:rPr>
              <w:t>回归后，市场传出“四行业跨界并购被叫停”的消息，再加上私募严加监管、限售股解禁、中小</w:t>
            </w:r>
            <w:proofErr w:type="gramStart"/>
            <w:r w:rsidR="00A36CC5" w:rsidRPr="00863229">
              <w:rPr>
                <w:rFonts w:ascii="楷体" w:eastAsia="楷体" w:hAnsi="楷体" w:cs="Arial" w:hint="eastAsia"/>
                <w:color w:val="000000" w:themeColor="text1"/>
                <w:sz w:val="18"/>
                <w:szCs w:val="20"/>
              </w:rPr>
              <w:t>创板块</w:t>
            </w:r>
            <w:proofErr w:type="gramEnd"/>
            <w:r w:rsidR="00A36CC5" w:rsidRPr="00863229">
              <w:rPr>
                <w:rFonts w:ascii="楷体" w:eastAsia="楷体" w:hAnsi="楷体" w:cs="Arial" w:hint="eastAsia"/>
                <w:color w:val="000000" w:themeColor="text1"/>
                <w:sz w:val="18"/>
                <w:szCs w:val="20"/>
              </w:rPr>
              <w:t>大股东的</w:t>
            </w:r>
            <w:proofErr w:type="gramStart"/>
            <w:r w:rsidR="00A36CC5" w:rsidRPr="00863229">
              <w:rPr>
                <w:rFonts w:ascii="楷体" w:eastAsia="楷体" w:hAnsi="楷体" w:cs="Arial" w:hint="eastAsia"/>
                <w:color w:val="000000" w:themeColor="text1"/>
                <w:sz w:val="18"/>
                <w:szCs w:val="20"/>
              </w:rPr>
              <w:t>减持等一系列</w:t>
            </w:r>
            <w:proofErr w:type="gramEnd"/>
            <w:r w:rsidR="00A36CC5" w:rsidRPr="00863229">
              <w:rPr>
                <w:rFonts w:ascii="楷体" w:eastAsia="楷体" w:hAnsi="楷体" w:cs="Arial" w:hint="eastAsia"/>
                <w:color w:val="000000" w:themeColor="text1"/>
                <w:sz w:val="18"/>
                <w:szCs w:val="20"/>
              </w:rPr>
              <w:t>消息，使得市场人气十分低迷。截至5月12日，沪深两市融资融券余额报8405.33亿元，连跌5日。全周万得全A日均成交额为3928.27亿元，较上周减少28.78%。全周来看，上证综指跌2.96%，沪深300跌1.77%，中小板指跌2.52%、创业板指跌4.88%。29个中信</w:t>
            </w:r>
            <w:proofErr w:type="gramStart"/>
            <w:r w:rsidR="00A36CC5" w:rsidRPr="00863229">
              <w:rPr>
                <w:rFonts w:ascii="楷体" w:eastAsia="楷体" w:hAnsi="楷体" w:cs="Arial" w:hint="eastAsia"/>
                <w:color w:val="000000" w:themeColor="text1"/>
                <w:sz w:val="18"/>
                <w:szCs w:val="20"/>
              </w:rPr>
              <w:t>一级行业</w:t>
            </w:r>
            <w:proofErr w:type="gramEnd"/>
            <w:r w:rsidR="00A36CC5" w:rsidRPr="00863229">
              <w:rPr>
                <w:rFonts w:ascii="楷体" w:eastAsia="楷体" w:hAnsi="楷体" w:cs="Arial" w:hint="eastAsia"/>
                <w:color w:val="000000" w:themeColor="text1"/>
                <w:sz w:val="18"/>
                <w:szCs w:val="20"/>
              </w:rPr>
              <w:t>只有1个行业上涨，其中食品饮料（0.47%）、银行（-0.87%）、家电（-1.51%）等行业表现相对较好，综合（-9.32%）、传媒（-8.53%）、计算机（-7.72%）等行业表现垫底。</w:t>
            </w:r>
          </w:p>
          <w:p w:rsidR="0053273E" w:rsidRPr="00B214B7" w:rsidRDefault="0053273E" w:rsidP="00FC5199">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国内债市：</w:t>
            </w:r>
            <w:r w:rsidR="00B214B7" w:rsidRPr="00B214B7">
              <w:rPr>
                <w:rStyle w:val="textsmall2"/>
                <w:rFonts w:ascii="楷体" w:eastAsia="楷体" w:hAnsi="楷体" w:cs="Arial" w:hint="eastAsia"/>
                <w:b/>
                <w:sz w:val="18"/>
                <w:szCs w:val="20"/>
              </w:rPr>
              <w:t>资金面相对平稳，债市风险尚存。</w:t>
            </w:r>
            <w:r w:rsidR="00B214B7" w:rsidRPr="00B214B7">
              <w:rPr>
                <w:rStyle w:val="textsmall2"/>
                <w:rFonts w:ascii="楷体" w:eastAsia="楷体" w:hAnsi="楷体" w:cs="Arial" w:hint="eastAsia"/>
                <w:sz w:val="18"/>
                <w:szCs w:val="20"/>
              </w:rPr>
              <w:t>本周净回笼1700亿。至此，央行已连续三周净回笼资金。尽管近期公开市场持续资金净回笼，但在月初供给充裕、营改增补充细则利好等因素影响下，目前市场资金供需都相对平稳。各期限资金利率</w:t>
            </w:r>
            <w:proofErr w:type="gramStart"/>
            <w:r w:rsidR="00B214B7" w:rsidRPr="00B214B7">
              <w:rPr>
                <w:rStyle w:val="textsmall2"/>
                <w:rFonts w:ascii="楷体" w:eastAsia="楷体" w:hAnsi="楷体" w:cs="Arial" w:hint="eastAsia"/>
                <w:sz w:val="18"/>
                <w:szCs w:val="20"/>
              </w:rPr>
              <w:t>页保持</w:t>
            </w:r>
            <w:proofErr w:type="gramEnd"/>
            <w:r w:rsidR="00B214B7" w:rsidRPr="00B214B7">
              <w:rPr>
                <w:rStyle w:val="textsmall2"/>
                <w:rFonts w:ascii="楷体" w:eastAsia="楷体" w:hAnsi="楷体" w:cs="Arial" w:hint="eastAsia"/>
                <w:sz w:val="18"/>
                <w:szCs w:val="20"/>
              </w:rPr>
              <w:t>相对平稳的状态。短端7天逆回购招标利率仍维持在2.25%不变。银行间7天回购利率R007小幅上行2bp至2.45%，隔夜回购利率R001维持2.03%不变。利率债方面，短期国债收益率下行，10年期国债收益率稳定。当前供给压力、货币政策趋于中性等利空因素</w:t>
            </w:r>
            <w:proofErr w:type="gramStart"/>
            <w:r w:rsidR="00B214B7" w:rsidRPr="00B214B7">
              <w:rPr>
                <w:rStyle w:val="textsmall2"/>
                <w:rFonts w:ascii="楷体" w:eastAsia="楷体" w:hAnsi="楷体" w:cs="Arial" w:hint="eastAsia"/>
                <w:sz w:val="18"/>
                <w:szCs w:val="20"/>
              </w:rPr>
              <w:t>尚未的</w:t>
            </w:r>
            <w:proofErr w:type="gramEnd"/>
            <w:r w:rsidR="00B214B7" w:rsidRPr="00B214B7">
              <w:rPr>
                <w:rStyle w:val="textsmall2"/>
                <w:rFonts w:ascii="楷体" w:eastAsia="楷体" w:hAnsi="楷体" w:cs="Arial" w:hint="eastAsia"/>
                <w:sz w:val="18"/>
                <w:szCs w:val="20"/>
              </w:rPr>
              <w:t>到有效改善。信用债方面，5月份将迎来债券市场天量偿还潮，总偿还量高达1.67</w:t>
            </w:r>
            <w:proofErr w:type="gramStart"/>
            <w:r w:rsidR="00B214B7" w:rsidRPr="00B214B7">
              <w:rPr>
                <w:rStyle w:val="textsmall2"/>
                <w:rFonts w:ascii="楷体" w:eastAsia="楷体" w:hAnsi="楷体" w:cs="Arial" w:hint="eastAsia"/>
                <w:sz w:val="18"/>
                <w:szCs w:val="20"/>
              </w:rPr>
              <w:t>万亿</w:t>
            </w:r>
            <w:proofErr w:type="gramEnd"/>
            <w:r w:rsidR="00B214B7" w:rsidRPr="00B214B7">
              <w:rPr>
                <w:rStyle w:val="textsmall2"/>
                <w:rFonts w:ascii="楷体" w:eastAsia="楷体" w:hAnsi="楷体" w:cs="Arial" w:hint="eastAsia"/>
                <w:sz w:val="18"/>
                <w:szCs w:val="20"/>
              </w:rPr>
              <w:t>元，其中有近1.17</w:t>
            </w:r>
            <w:proofErr w:type="gramStart"/>
            <w:r w:rsidR="00B214B7" w:rsidRPr="00B214B7">
              <w:rPr>
                <w:rStyle w:val="textsmall2"/>
                <w:rFonts w:ascii="楷体" w:eastAsia="楷体" w:hAnsi="楷体" w:cs="Arial" w:hint="eastAsia"/>
                <w:sz w:val="18"/>
                <w:szCs w:val="20"/>
              </w:rPr>
              <w:t>万亿</w:t>
            </w:r>
            <w:proofErr w:type="gramEnd"/>
            <w:r w:rsidR="00B214B7" w:rsidRPr="00B214B7">
              <w:rPr>
                <w:rStyle w:val="textsmall2"/>
                <w:rFonts w:ascii="楷体" w:eastAsia="楷体" w:hAnsi="楷体" w:cs="Arial" w:hint="eastAsia"/>
                <w:sz w:val="18"/>
                <w:szCs w:val="20"/>
              </w:rPr>
              <w:t>元为“垃圾债券”，预计会有更多违约事件浮出水面，违约将呈常态化。</w:t>
            </w:r>
            <w:proofErr w:type="gramStart"/>
            <w:r w:rsidR="00B214B7" w:rsidRPr="00B214B7">
              <w:rPr>
                <w:rStyle w:val="textsmall2"/>
                <w:rFonts w:ascii="楷体" w:eastAsia="楷体" w:hAnsi="楷体" w:cs="Arial" w:hint="eastAsia"/>
                <w:sz w:val="18"/>
                <w:szCs w:val="20"/>
              </w:rPr>
              <w:t>上周中债总净价</w:t>
            </w:r>
            <w:proofErr w:type="gramEnd"/>
            <w:r w:rsidR="00B214B7" w:rsidRPr="00B214B7">
              <w:rPr>
                <w:rStyle w:val="textsmall2"/>
                <w:rFonts w:ascii="楷体" w:eastAsia="楷体" w:hAnsi="楷体" w:cs="Arial" w:hint="eastAsia"/>
                <w:sz w:val="18"/>
                <w:szCs w:val="20"/>
              </w:rPr>
              <w:t>指数上涨0.27%，中</w:t>
            </w:r>
            <w:proofErr w:type="gramStart"/>
            <w:r w:rsidR="00B214B7" w:rsidRPr="00B214B7">
              <w:rPr>
                <w:rStyle w:val="textsmall2"/>
                <w:rFonts w:ascii="楷体" w:eastAsia="楷体" w:hAnsi="楷体" w:cs="Arial" w:hint="eastAsia"/>
                <w:sz w:val="18"/>
                <w:szCs w:val="20"/>
              </w:rPr>
              <w:t>债企业债总</w:t>
            </w:r>
            <w:proofErr w:type="gramEnd"/>
            <w:r w:rsidR="00B214B7" w:rsidRPr="00B214B7">
              <w:rPr>
                <w:rStyle w:val="textsmall2"/>
                <w:rFonts w:ascii="楷体" w:eastAsia="楷体" w:hAnsi="楷体" w:cs="Arial" w:hint="eastAsia"/>
                <w:sz w:val="18"/>
                <w:szCs w:val="20"/>
              </w:rPr>
              <w:t>净价指数上涨0.23%，中债国债总净价指数上涨0.15%，中</w:t>
            </w:r>
            <w:proofErr w:type="gramStart"/>
            <w:r w:rsidR="00B214B7" w:rsidRPr="00B214B7">
              <w:rPr>
                <w:rStyle w:val="textsmall2"/>
                <w:rFonts w:ascii="楷体" w:eastAsia="楷体" w:hAnsi="楷体" w:cs="Arial" w:hint="eastAsia"/>
                <w:sz w:val="18"/>
                <w:szCs w:val="20"/>
              </w:rPr>
              <w:t>证转债跌</w:t>
            </w:r>
            <w:proofErr w:type="gramEnd"/>
            <w:r w:rsidR="00B214B7" w:rsidRPr="00B214B7">
              <w:rPr>
                <w:rStyle w:val="textsmall2"/>
                <w:rFonts w:ascii="楷体" w:eastAsia="楷体" w:hAnsi="楷体" w:cs="Arial" w:hint="eastAsia"/>
                <w:sz w:val="18"/>
                <w:szCs w:val="20"/>
              </w:rPr>
              <w:t>0.64%。</w:t>
            </w:r>
          </w:p>
          <w:p w:rsidR="0053273E" w:rsidRPr="005A2F60" w:rsidRDefault="0053273E" w:rsidP="00FC5199">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海外市场：</w:t>
            </w:r>
            <w:r w:rsidR="000A5EFA" w:rsidRPr="000A5EFA">
              <w:rPr>
                <w:rFonts w:ascii="楷体" w:eastAsia="楷体" w:hAnsi="楷体" w:cs="Arial" w:hint="eastAsia"/>
                <w:b/>
                <w:color w:val="000000" w:themeColor="text1"/>
                <w:sz w:val="18"/>
                <w:szCs w:val="20"/>
              </w:rPr>
              <w:t>鹰派发言及零售数据强劲，助</w:t>
            </w:r>
            <w:proofErr w:type="gramStart"/>
            <w:r w:rsidR="000A5EFA" w:rsidRPr="000A5EFA">
              <w:rPr>
                <w:rFonts w:ascii="楷体" w:eastAsia="楷体" w:hAnsi="楷体" w:cs="Arial" w:hint="eastAsia"/>
                <w:b/>
                <w:color w:val="000000" w:themeColor="text1"/>
                <w:sz w:val="18"/>
                <w:szCs w:val="20"/>
              </w:rPr>
              <w:t>推美元</w:t>
            </w:r>
            <w:proofErr w:type="gramEnd"/>
            <w:r w:rsidR="000A5EFA" w:rsidRPr="000A5EFA">
              <w:rPr>
                <w:rFonts w:ascii="楷体" w:eastAsia="楷体" w:hAnsi="楷体" w:cs="Arial" w:hint="eastAsia"/>
                <w:b/>
                <w:color w:val="000000" w:themeColor="text1"/>
                <w:sz w:val="18"/>
                <w:szCs w:val="20"/>
              </w:rPr>
              <w:t>重拾升势。</w:t>
            </w:r>
            <w:r w:rsidR="000A5EFA" w:rsidRPr="000A5EFA">
              <w:rPr>
                <w:rFonts w:ascii="楷体" w:eastAsia="楷体" w:hAnsi="楷体" w:cs="Arial" w:hint="eastAsia"/>
                <w:color w:val="000000" w:themeColor="text1"/>
                <w:sz w:val="18"/>
                <w:szCs w:val="20"/>
              </w:rPr>
              <w:t>上周多位美联储（Fed）高官悉数登场发表重要讲话，其中堪萨斯联储主席乔治、波士顿联储主席罗森格伦以及克利夫兰联</w:t>
            </w:r>
            <w:proofErr w:type="gramStart"/>
            <w:r w:rsidR="000A5EFA" w:rsidRPr="000A5EFA">
              <w:rPr>
                <w:rFonts w:ascii="楷体" w:eastAsia="楷体" w:hAnsi="楷体" w:cs="Arial" w:hint="eastAsia"/>
                <w:color w:val="000000" w:themeColor="text1"/>
                <w:sz w:val="18"/>
                <w:szCs w:val="20"/>
              </w:rPr>
              <w:t>储主席</w:t>
            </w:r>
            <w:proofErr w:type="gramEnd"/>
            <w:r w:rsidR="000A5EFA" w:rsidRPr="000A5EFA">
              <w:rPr>
                <w:rFonts w:ascii="楷体" w:eastAsia="楷体" w:hAnsi="楷体" w:cs="Arial" w:hint="eastAsia"/>
                <w:color w:val="000000" w:themeColor="text1"/>
                <w:sz w:val="18"/>
                <w:szCs w:val="20"/>
              </w:rPr>
              <w:t>梅斯特三只“老鹰”齐发强硬论调，呼吁美联储（Fed）再度升息，美元多头“喜出望外”周中美元指数一度维持</w:t>
            </w:r>
            <w:proofErr w:type="gramStart"/>
            <w:r w:rsidR="000A5EFA" w:rsidRPr="000A5EFA">
              <w:rPr>
                <w:rFonts w:ascii="楷体" w:eastAsia="楷体" w:hAnsi="楷体" w:cs="Arial" w:hint="eastAsia"/>
                <w:color w:val="000000" w:themeColor="text1"/>
                <w:sz w:val="18"/>
                <w:szCs w:val="20"/>
              </w:rPr>
              <w:t>攀升上扬</w:t>
            </w:r>
            <w:proofErr w:type="gramEnd"/>
            <w:r w:rsidR="000A5EFA" w:rsidRPr="000A5EFA">
              <w:rPr>
                <w:rFonts w:ascii="楷体" w:eastAsia="楷体" w:hAnsi="楷体" w:cs="Arial" w:hint="eastAsia"/>
                <w:color w:val="000000" w:themeColor="text1"/>
                <w:sz w:val="18"/>
                <w:szCs w:val="20"/>
              </w:rPr>
              <w:t>之势。再加上周五市场再次迎来包括美国零售销售在内的系列重磅数据意外表现强劲。全周来看，美国市场，标普、道指、纳斯达克100分别下跌0.51%、1.16%、0.08%；欧洲市场，德国DAX指数、法国CAC40指数、英国富时100指数上周涨跌幅分别为0.84%、0.44%、0.21%。</w:t>
            </w:r>
            <w:r w:rsidR="005A2F60" w:rsidRPr="005A2F60">
              <w:rPr>
                <w:rFonts w:ascii="楷体" w:eastAsia="楷体" w:hAnsi="楷体" w:cs="Arial" w:hint="eastAsia"/>
                <w:b/>
                <w:color w:val="000000" w:themeColor="text1"/>
                <w:sz w:val="18"/>
                <w:szCs w:val="20"/>
              </w:rPr>
              <w:t>黄金吸引力下降，原油供给过剩缓解。</w:t>
            </w:r>
            <w:r w:rsidR="005A2F60" w:rsidRPr="005A2F60">
              <w:rPr>
                <w:rFonts w:ascii="楷体" w:eastAsia="楷体" w:hAnsi="楷体" w:cs="Arial" w:hint="eastAsia"/>
                <w:color w:val="000000" w:themeColor="text1"/>
                <w:sz w:val="18"/>
                <w:szCs w:val="20"/>
              </w:rPr>
              <w:t>受美元反弹、美联储加息预期回升打压，全球股市攀升以及美元汇率前景不确定性降低了贵金属的吸引力。全周金价下跌1.19%。原油方面，因预期加拿大林火以及中东地区政治局势趋紧的短期影响有助缓解全球原油供应过剩的局面，油价全周上涨4.04%。</w:t>
            </w:r>
          </w:p>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一周基金表现回顾</w:t>
            </w:r>
          </w:p>
          <w:p w:rsidR="0053273E" w:rsidRPr="0032491D" w:rsidRDefault="0053273E" w:rsidP="00FC5199">
            <w:pPr>
              <w:rPr>
                <w:rFonts w:ascii="楷体" w:eastAsia="楷体" w:hAnsi="楷体" w:cs="Arial"/>
                <w:sz w:val="18"/>
                <w:szCs w:val="20"/>
              </w:rPr>
            </w:pPr>
            <w:proofErr w:type="gramStart"/>
            <w:r w:rsidRPr="0032491D">
              <w:rPr>
                <w:rFonts w:ascii="楷体" w:eastAsia="楷体" w:hAnsi="楷体" w:cs="Arial" w:hint="eastAsia"/>
                <w:b/>
                <w:sz w:val="18"/>
                <w:szCs w:val="20"/>
              </w:rPr>
              <w:t>股混基金</w:t>
            </w:r>
            <w:proofErr w:type="gramEnd"/>
            <w:r w:rsidRPr="0032491D">
              <w:rPr>
                <w:rFonts w:ascii="楷体" w:eastAsia="楷体" w:hAnsi="楷体" w:cs="Arial" w:hint="eastAsia"/>
                <w:b/>
                <w:sz w:val="18"/>
                <w:szCs w:val="20"/>
              </w:rPr>
              <w:t>业绩：</w:t>
            </w:r>
            <w:r w:rsidRPr="0032491D">
              <w:rPr>
                <w:rFonts w:ascii="楷体" w:eastAsia="楷体" w:hAnsi="楷体" w:cs="Arial" w:hint="eastAsia"/>
                <w:sz w:val="18"/>
                <w:szCs w:val="20"/>
              </w:rPr>
              <w:t>普通股</w:t>
            </w:r>
            <w:proofErr w:type="gramStart"/>
            <w:r w:rsidRPr="0032491D">
              <w:rPr>
                <w:rFonts w:ascii="楷体" w:eastAsia="楷体" w:hAnsi="楷体" w:cs="Arial" w:hint="eastAsia"/>
                <w:sz w:val="18"/>
                <w:szCs w:val="20"/>
              </w:rPr>
              <w:t>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F63767">
              <w:rPr>
                <w:rFonts w:ascii="楷体" w:eastAsia="楷体" w:hAnsi="楷体" w:cs="Arial" w:hint="eastAsia"/>
                <w:sz w:val="18"/>
                <w:szCs w:val="20"/>
              </w:rPr>
              <w:t>2.95</w:t>
            </w:r>
            <w:r w:rsidRPr="0032491D">
              <w:rPr>
                <w:rFonts w:ascii="楷体" w:eastAsia="楷体" w:hAnsi="楷体" w:cs="Arial"/>
                <w:sz w:val="18"/>
                <w:szCs w:val="20"/>
              </w:rPr>
              <w:t>%</w:t>
            </w:r>
            <w:r w:rsidRPr="0032491D">
              <w:rPr>
                <w:rFonts w:ascii="楷体" w:eastAsia="楷体" w:hAnsi="楷体" w:cs="Arial" w:hint="eastAsia"/>
                <w:sz w:val="18"/>
                <w:szCs w:val="20"/>
              </w:rPr>
              <w:t>，指数</w:t>
            </w:r>
            <w:proofErr w:type="gramStart"/>
            <w:r w:rsidRPr="0032491D">
              <w:rPr>
                <w:rFonts w:ascii="楷体" w:eastAsia="楷体" w:hAnsi="楷体" w:cs="Arial" w:hint="eastAsia"/>
                <w:sz w:val="18"/>
                <w:szCs w:val="20"/>
              </w:rPr>
              <w:t>股基平均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F63767">
              <w:rPr>
                <w:rFonts w:ascii="楷体" w:eastAsia="楷体" w:hAnsi="楷体" w:cs="Arial" w:hint="eastAsia"/>
                <w:sz w:val="18"/>
                <w:szCs w:val="20"/>
              </w:rPr>
              <w:t>2.78</w:t>
            </w:r>
            <w:r w:rsidRPr="0032491D">
              <w:rPr>
                <w:rFonts w:ascii="楷体" w:eastAsia="楷体" w:hAnsi="楷体" w:cs="Arial"/>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偏股型平均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F63767">
              <w:rPr>
                <w:rFonts w:ascii="楷体" w:eastAsia="楷体" w:hAnsi="楷体" w:cs="Arial" w:hint="eastAsia"/>
                <w:sz w:val="18"/>
                <w:szCs w:val="20"/>
              </w:rPr>
              <w:t>3.19</w:t>
            </w:r>
            <w:r w:rsidRPr="0032491D">
              <w:rPr>
                <w:rFonts w:ascii="楷体" w:eastAsia="楷体" w:hAnsi="楷体" w:cs="Arial"/>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偏债型</w:t>
            </w:r>
            <w:proofErr w:type="gramEnd"/>
            <w:r w:rsidRPr="0032491D">
              <w:rPr>
                <w:rFonts w:ascii="楷体" w:eastAsia="楷体" w:hAnsi="楷体" w:cs="Arial" w:hint="eastAsia"/>
                <w:sz w:val="18"/>
                <w:szCs w:val="20"/>
              </w:rPr>
              <w:t>产品平均收益为</w:t>
            </w:r>
            <w:r w:rsidR="00F63767">
              <w:rPr>
                <w:rFonts w:ascii="楷体" w:eastAsia="楷体" w:hAnsi="楷体" w:cs="Arial" w:hint="eastAsia"/>
                <w:sz w:val="18"/>
                <w:szCs w:val="20"/>
              </w:rPr>
              <w:t>-0.12</w:t>
            </w:r>
            <w:r w:rsidRPr="0032491D">
              <w:rPr>
                <w:rFonts w:ascii="楷体" w:eastAsia="楷体" w:hAnsi="楷体" w:cs="Arial"/>
                <w:sz w:val="18"/>
                <w:szCs w:val="20"/>
              </w:rPr>
              <w:t>%</w:t>
            </w:r>
            <w:r w:rsidRPr="0032491D">
              <w:rPr>
                <w:rFonts w:ascii="楷体" w:eastAsia="楷体" w:hAnsi="楷体" w:cs="Arial" w:hint="eastAsia"/>
                <w:sz w:val="18"/>
                <w:szCs w:val="20"/>
              </w:rPr>
              <w:t>，灵活配置</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F63767">
              <w:rPr>
                <w:rFonts w:ascii="楷体" w:eastAsia="楷体" w:hAnsi="楷体" w:cs="Arial" w:hint="eastAsia"/>
                <w:sz w:val="18"/>
                <w:szCs w:val="20"/>
              </w:rPr>
              <w:t>1.44</w:t>
            </w:r>
            <w:r w:rsidRPr="0032491D">
              <w:rPr>
                <w:rFonts w:ascii="楷体" w:eastAsia="楷体" w:hAnsi="楷体" w:cs="Arial"/>
                <w:sz w:val="18"/>
                <w:szCs w:val="20"/>
              </w:rPr>
              <w:t>%</w:t>
            </w:r>
            <w:r w:rsidRPr="0032491D">
              <w:rPr>
                <w:rFonts w:ascii="楷体" w:eastAsia="楷体" w:hAnsi="楷体" w:cs="Arial" w:hint="eastAsia"/>
                <w:sz w:val="18"/>
                <w:szCs w:val="20"/>
              </w:rPr>
              <w:t>，平衡</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F63767">
              <w:rPr>
                <w:rFonts w:ascii="楷体" w:eastAsia="楷体" w:hAnsi="楷体" w:cs="Arial" w:hint="eastAsia"/>
                <w:sz w:val="18"/>
                <w:szCs w:val="20"/>
              </w:rPr>
              <w:t>2.27</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32491D" w:rsidRDefault="0053273E" w:rsidP="00FC5199">
            <w:pPr>
              <w:rPr>
                <w:rFonts w:ascii="楷体" w:eastAsia="楷体" w:hAnsi="楷体" w:cs="Arial"/>
                <w:sz w:val="18"/>
                <w:szCs w:val="20"/>
              </w:rPr>
            </w:pPr>
            <w:r w:rsidRPr="0032491D">
              <w:rPr>
                <w:rFonts w:ascii="楷体" w:eastAsia="楷体" w:hAnsi="楷体" w:cs="Arial" w:hint="eastAsia"/>
                <w:b/>
                <w:sz w:val="18"/>
                <w:szCs w:val="20"/>
              </w:rPr>
              <w:t>固定收益基金：</w:t>
            </w:r>
            <w:proofErr w:type="gramStart"/>
            <w:r w:rsidRPr="0032491D">
              <w:rPr>
                <w:rFonts w:ascii="楷体" w:eastAsia="楷体" w:hAnsi="楷体" w:cs="Arial" w:hint="eastAsia"/>
                <w:sz w:val="18"/>
                <w:szCs w:val="20"/>
              </w:rPr>
              <w:t>纯债基金</w:t>
            </w:r>
            <w:proofErr w:type="gramEnd"/>
            <w:r w:rsidRPr="0032491D">
              <w:rPr>
                <w:rFonts w:ascii="楷体" w:eastAsia="楷体" w:hAnsi="楷体" w:cs="Arial" w:hint="eastAsia"/>
                <w:sz w:val="18"/>
                <w:szCs w:val="20"/>
              </w:rPr>
              <w:t>平均收益为</w:t>
            </w:r>
            <w:r>
              <w:rPr>
                <w:rFonts w:ascii="楷体" w:eastAsia="楷体" w:hAnsi="楷体" w:cs="Arial" w:hint="eastAsia"/>
                <w:sz w:val="18"/>
                <w:szCs w:val="20"/>
              </w:rPr>
              <w:t>0.2</w:t>
            </w:r>
            <w:r w:rsidR="00F63767">
              <w:rPr>
                <w:rFonts w:ascii="楷体" w:eastAsia="楷体" w:hAnsi="楷体" w:cs="Arial" w:hint="eastAsia"/>
                <w:sz w:val="18"/>
                <w:szCs w:val="20"/>
              </w:rPr>
              <w:t>8</w:t>
            </w:r>
            <w:r w:rsidRPr="0032491D">
              <w:rPr>
                <w:rFonts w:ascii="楷体" w:eastAsia="楷体" w:hAnsi="楷体" w:cs="Arial"/>
                <w:sz w:val="18"/>
                <w:szCs w:val="20"/>
              </w:rPr>
              <w:t>%</w:t>
            </w:r>
            <w:r w:rsidRPr="0032491D">
              <w:rPr>
                <w:rFonts w:ascii="楷体" w:eastAsia="楷体" w:hAnsi="楷体" w:cs="Arial" w:hint="eastAsia"/>
                <w:sz w:val="18"/>
                <w:szCs w:val="20"/>
              </w:rPr>
              <w:t>，一级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Pr>
                <w:rFonts w:ascii="楷体" w:eastAsia="楷体" w:hAnsi="楷体" w:cs="Arial" w:hint="eastAsia"/>
                <w:sz w:val="18"/>
                <w:szCs w:val="20"/>
              </w:rPr>
              <w:t>0.</w:t>
            </w:r>
            <w:r w:rsidR="00F63767">
              <w:rPr>
                <w:rFonts w:ascii="楷体" w:eastAsia="楷体" w:hAnsi="楷体" w:cs="Arial" w:hint="eastAsia"/>
                <w:sz w:val="18"/>
                <w:szCs w:val="20"/>
              </w:rPr>
              <w:t>24</w:t>
            </w:r>
            <w:r w:rsidRPr="0032491D">
              <w:rPr>
                <w:rFonts w:ascii="楷体" w:eastAsia="楷体" w:hAnsi="楷体" w:cs="Arial"/>
                <w:sz w:val="18"/>
                <w:szCs w:val="20"/>
              </w:rPr>
              <w:t>%</w:t>
            </w:r>
            <w:r w:rsidRPr="0032491D">
              <w:rPr>
                <w:rFonts w:ascii="楷体" w:eastAsia="楷体" w:hAnsi="楷体" w:cs="Arial" w:hint="eastAsia"/>
                <w:sz w:val="18"/>
                <w:szCs w:val="20"/>
              </w:rPr>
              <w:t>，二级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Pr>
                <w:rFonts w:ascii="楷体" w:eastAsia="楷体" w:hAnsi="楷体" w:cs="Arial" w:hint="eastAsia"/>
                <w:sz w:val="18"/>
                <w:szCs w:val="20"/>
              </w:rPr>
              <w:t>0.</w:t>
            </w:r>
            <w:r w:rsidR="00F63767">
              <w:rPr>
                <w:rFonts w:ascii="楷体" w:eastAsia="楷体" w:hAnsi="楷体" w:cs="Arial" w:hint="eastAsia"/>
                <w:sz w:val="18"/>
                <w:szCs w:val="20"/>
              </w:rPr>
              <w:t>28</w:t>
            </w:r>
            <w:r w:rsidRPr="0032491D">
              <w:rPr>
                <w:rFonts w:ascii="楷体" w:eastAsia="楷体" w:hAnsi="楷体" w:cs="Arial"/>
                <w:sz w:val="18"/>
                <w:szCs w:val="20"/>
              </w:rPr>
              <w:t>%</w:t>
            </w:r>
            <w:r w:rsidRPr="0032491D">
              <w:rPr>
                <w:rFonts w:ascii="楷体" w:eastAsia="楷体" w:hAnsi="楷体" w:cs="Arial" w:hint="eastAsia"/>
                <w:sz w:val="18"/>
                <w:szCs w:val="20"/>
              </w:rPr>
              <w:t>。货币基金</w:t>
            </w:r>
            <w:proofErr w:type="gramStart"/>
            <w:r w:rsidRPr="0032491D">
              <w:rPr>
                <w:rFonts w:ascii="楷体" w:eastAsia="楷体" w:hAnsi="楷体" w:cs="Arial" w:hint="eastAsia"/>
                <w:sz w:val="18"/>
                <w:szCs w:val="20"/>
              </w:rPr>
              <w:t>七日年化收益率</w:t>
            </w:r>
            <w:proofErr w:type="gramEnd"/>
            <w:r w:rsidRPr="0032491D">
              <w:rPr>
                <w:rFonts w:ascii="楷体" w:eastAsia="楷体" w:hAnsi="楷体" w:cs="Arial" w:hint="eastAsia"/>
                <w:sz w:val="18"/>
                <w:szCs w:val="20"/>
              </w:rPr>
              <w:t>均值为</w:t>
            </w:r>
            <w:r w:rsidRPr="0032491D">
              <w:rPr>
                <w:rFonts w:ascii="楷体" w:eastAsia="楷体" w:hAnsi="楷体" w:cs="Arial"/>
                <w:sz w:val="18"/>
                <w:szCs w:val="20"/>
              </w:rPr>
              <w:t>2.</w:t>
            </w:r>
            <w:r w:rsidR="00F63767">
              <w:rPr>
                <w:rFonts w:ascii="楷体" w:eastAsia="楷体" w:hAnsi="楷体" w:cs="Arial" w:hint="eastAsia"/>
                <w:sz w:val="18"/>
                <w:szCs w:val="20"/>
              </w:rPr>
              <w:t>54</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32491D" w:rsidRDefault="0053273E" w:rsidP="00FC5199">
            <w:pPr>
              <w:rPr>
                <w:rFonts w:ascii="楷体" w:eastAsia="楷体" w:hAnsi="楷体" w:cs="Arial"/>
                <w:sz w:val="18"/>
                <w:szCs w:val="20"/>
              </w:rPr>
            </w:pPr>
            <w:r w:rsidRPr="0032491D">
              <w:rPr>
                <w:rFonts w:ascii="楷体" w:eastAsia="楷体" w:hAnsi="楷体" w:cs="Arial" w:hint="eastAsia"/>
                <w:b/>
                <w:sz w:val="18"/>
              </w:rPr>
              <w:t>商品及对冲基金：</w:t>
            </w:r>
            <w:r w:rsidR="00F63767">
              <w:rPr>
                <w:rFonts w:ascii="楷体" w:eastAsia="楷体" w:hAnsi="楷体" w:cs="Arial" w:hint="eastAsia"/>
                <w:sz w:val="18"/>
                <w:szCs w:val="20"/>
              </w:rPr>
              <w:t>商品基金平均下跌0.40</w:t>
            </w:r>
            <w:r w:rsidRPr="0032491D">
              <w:rPr>
                <w:rFonts w:ascii="楷体" w:eastAsia="楷体" w:hAnsi="楷体" w:cs="Arial"/>
                <w:sz w:val="18"/>
                <w:szCs w:val="20"/>
              </w:rPr>
              <w:t>%</w:t>
            </w:r>
            <w:r w:rsidRPr="0032491D">
              <w:rPr>
                <w:rFonts w:ascii="楷体" w:eastAsia="楷体" w:hAnsi="楷体" w:cs="Arial" w:hint="eastAsia"/>
                <w:sz w:val="18"/>
                <w:szCs w:val="20"/>
              </w:rPr>
              <w:t>，以绝对收益为投资目标的股票多空类产品平均收益为</w:t>
            </w:r>
            <w:r w:rsidRPr="0032491D">
              <w:rPr>
                <w:rFonts w:ascii="楷体" w:eastAsia="楷体" w:hAnsi="楷体" w:cs="Arial"/>
                <w:sz w:val="18"/>
                <w:szCs w:val="20"/>
              </w:rPr>
              <w:t>-0.</w:t>
            </w:r>
            <w:r w:rsidR="00F63767">
              <w:rPr>
                <w:rFonts w:ascii="楷体" w:eastAsia="楷体" w:hAnsi="楷体" w:cs="Arial" w:hint="eastAsia"/>
                <w:sz w:val="18"/>
                <w:szCs w:val="20"/>
              </w:rPr>
              <w:t>09</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F63767" w:rsidRDefault="0053273E" w:rsidP="00FC5199">
            <w:pPr>
              <w:rPr>
                <w:rStyle w:val="textsmall2"/>
                <w:rFonts w:ascii="楷体" w:eastAsia="楷体" w:hAnsi="楷体" w:cs="Arial"/>
                <w:color w:val="FF0000"/>
                <w:sz w:val="18"/>
                <w:szCs w:val="20"/>
              </w:rPr>
            </w:pPr>
            <w:r w:rsidRPr="0032491D">
              <w:rPr>
                <w:rStyle w:val="textsmall2"/>
                <w:rFonts w:ascii="楷体" w:eastAsia="楷体" w:hAnsi="楷体" w:cs="Arial"/>
                <w:b/>
                <w:sz w:val="18"/>
                <w:szCs w:val="20"/>
              </w:rPr>
              <w:t>QDII</w:t>
            </w:r>
            <w:r w:rsidRPr="0032491D">
              <w:rPr>
                <w:rStyle w:val="textsmall2"/>
                <w:rFonts w:ascii="楷体" w:eastAsia="楷体" w:hAnsi="楷体" w:cs="Arial" w:hint="eastAsia"/>
                <w:b/>
                <w:sz w:val="18"/>
                <w:szCs w:val="20"/>
              </w:rPr>
              <w:t>基金</w:t>
            </w:r>
            <w:r w:rsidRPr="0032491D">
              <w:rPr>
                <w:rStyle w:val="textsmall2"/>
                <w:rFonts w:ascii="楷体" w:eastAsia="楷体" w:hAnsi="楷体" w:cs="Arial"/>
                <w:b/>
                <w:sz w:val="18"/>
                <w:szCs w:val="20"/>
              </w:rPr>
              <w:t>:</w:t>
            </w:r>
            <w:r w:rsidRPr="0032491D">
              <w:rPr>
                <w:rFonts w:ascii="楷体" w:eastAsia="楷体" w:hAnsi="楷体"/>
                <w:sz w:val="20"/>
              </w:rPr>
              <w:t xml:space="preserve"> </w:t>
            </w:r>
            <w:r w:rsidRPr="0032491D">
              <w:rPr>
                <w:rFonts w:ascii="楷体" w:eastAsia="楷体" w:hAnsi="楷体" w:cs="Arial"/>
                <w:sz w:val="18"/>
                <w:szCs w:val="20"/>
              </w:rPr>
              <w:t xml:space="preserve"> QDII</w:t>
            </w:r>
            <w:r w:rsidRPr="0032491D">
              <w:rPr>
                <w:rFonts w:ascii="楷体" w:eastAsia="楷体" w:hAnsi="楷体" w:cs="Arial" w:hint="eastAsia"/>
                <w:sz w:val="18"/>
                <w:szCs w:val="20"/>
              </w:rPr>
              <w:t>基金平均收益为</w:t>
            </w:r>
            <w:r>
              <w:rPr>
                <w:rFonts w:ascii="楷体" w:eastAsia="楷体" w:hAnsi="楷体" w:cs="Arial" w:hint="eastAsia"/>
                <w:sz w:val="18"/>
                <w:szCs w:val="20"/>
              </w:rPr>
              <w:t>-1.</w:t>
            </w:r>
            <w:r w:rsidR="00F63767">
              <w:rPr>
                <w:rFonts w:ascii="楷体" w:eastAsia="楷体" w:hAnsi="楷体" w:cs="Arial" w:hint="eastAsia"/>
                <w:sz w:val="18"/>
                <w:szCs w:val="20"/>
              </w:rPr>
              <w:t>07</w:t>
            </w:r>
            <w:r w:rsidRPr="0032491D">
              <w:rPr>
                <w:rFonts w:ascii="楷体" w:eastAsia="楷体" w:hAnsi="楷体" w:cs="Arial"/>
                <w:sz w:val="18"/>
                <w:szCs w:val="20"/>
              </w:rPr>
              <w:t>%</w:t>
            </w:r>
            <w:r w:rsidRPr="0032491D">
              <w:rPr>
                <w:rFonts w:ascii="楷体" w:eastAsia="楷体" w:hAnsi="楷体" w:cs="Arial" w:hint="eastAsia"/>
                <w:sz w:val="18"/>
                <w:szCs w:val="20"/>
              </w:rPr>
              <w:t>，</w:t>
            </w:r>
            <w:r w:rsidR="007A39E5" w:rsidRPr="007A39E5">
              <w:rPr>
                <w:rFonts w:ascii="楷体" w:eastAsia="楷体" w:hAnsi="楷体" w:cs="Arial" w:hint="eastAsia"/>
                <w:sz w:val="18"/>
                <w:szCs w:val="20"/>
              </w:rPr>
              <w:t>从具体品种来看，商品、农业、油气主题QDII表现最好，互联网、大中华主题 QDII表现较差。</w:t>
            </w:r>
          </w:p>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未来基金投资策略</w:t>
            </w:r>
          </w:p>
          <w:p w:rsidR="0053273E" w:rsidRPr="0032491D" w:rsidRDefault="0053273E" w:rsidP="00FC5199">
            <w:pPr>
              <w:rPr>
                <w:rFonts w:ascii="楷体" w:eastAsia="楷体" w:hAnsi="楷体" w:cs="Arial"/>
                <w:b/>
                <w:sz w:val="18"/>
                <w:szCs w:val="20"/>
              </w:rPr>
            </w:pPr>
            <w:proofErr w:type="gramStart"/>
            <w:r w:rsidRPr="00FC5199">
              <w:rPr>
                <w:rFonts w:ascii="楷体" w:eastAsia="楷体" w:hAnsi="楷体" w:cs="Arial"/>
                <w:b/>
                <w:sz w:val="18"/>
                <w:szCs w:val="20"/>
              </w:rPr>
              <w:t>股混基金</w:t>
            </w:r>
            <w:proofErr w:type="gramEnd"/>
            <w:r w:rsidRPr="00FC5199">
              <w:rPr>
                <w:rFonts w:ascii="楷体" w:eastAsia="楷体" w:hAnsi="楷体" w:cs="Arial"/>
                <w:b/>
                <w:sz w:val="18"/>
                <w:szCs w:val="20"/>
              </w:rPr>
              <w:t>投资</w:t>
            </w:r>
            <w:r w:rsidRPr="00FC5199">
              <w:rPr>
                <w:rFonts w:ascii="楷体" w:eastAsia="楷体" w:hAnsi="楷体" w:cs="Arial" w:hint="eastAsia"/>
                <w:b/>
                <w:sz w:val="18"/>
                <w:szCs w:val="20"/>
              </w:rPr>
              <w:t>中低</w:t>
            </w:r>
            <w:proofErr w:type="gramStart"/>
            <w:r w:rsidRPr="00FC5199">
              <w:rPr>
                <w:rFonts w:ascii="楷体" w:eastAsia="楷体" w:hAnsi="楷体" w:cs="Arial" w:hint="eastAsia"/>
                <w:b/>
                <w:sz w:val="18"/>
                <w:szCs w:val="20"/>
              </w:rPr>
              <w:t>仓位</w:t>
            </w:r>
            <w:proofErr w:type="gramEnd"/>
            <w:r w:rsidRPr="00FC5199">
              <w:rPr>
                <w:rFonts w:ascii="楷体" w:eastAsia="楷体" w:hAnsi="楷体" w:cs="Arial" w:hint="eastAsia"/>
                <w:b/>
                <w:sz w:val="18"/>
                <w:szCs w:val="20"/>
              </w:rPr>
              <w:t>，精选业绩为王的稳健成长风格</w:t>
            </w:r>
            <w:r w:rsidRPr="0032491D">
              <w:rPr>
                <w:rFonts w:ascii="楷体" w:eastAsia="楷体" w:hAnsi="楷体" w:cs="Arial" w:hint="eastAsia"/>
                <w:b/>
                <w:sz w:val="18"/>
                <w:szCs w:val="20"/>
              </w:rPr>
              <w:t>。</w:t>
            </w:r>
            <w:r w:rsidR="003A2B41" w:rsidRPr="003A2B41">
              <w:rPr>
                <w:rFonts w:ascii="楷体" w:eastAsia="楷体" w:hAnsi="楷体" w:cs="Arial" w:hint="eastAsia"/>
                <w:sz w:val="18"/>
                <w:szCs w:val="20"/>
              </w:rPr>
              <w:t>总体来看，在没有增量资金入场，影响股市的各个因素逐步趋于中性的情况下，没有新的利好利空因素的冲击下，未来指数仍以震荡走弱为主。但市场经过前期的下跌和盘整，市场继续大幅下跌的风险也不大，投资者倾向于寻找结构机会，市场依然有可为机会。短期我们建议投资者保持中等偏低的</w:t>
            </w:r>
            <w:proofErr w:type="gramStart"/>
            <w:r w:rsidR="003A2B41" w:rsidRPr="003A2B41">
              <w:rPr>
                <w:rFonts w:ascii="楷体" w:eastAsia="楷体" w:hAnsi="楷体" w:cs="Arial" w:hint="eastAsia"/>
                <w:sz w:val="18"/>
                <w:szCs w:val="20"/>
              </w:rPr>
              <w:t>仓位</w:t>
            </w:r>
            <w:proofErr w:type="gramEnd"/>
            <w:r w:rsidR="003A2B41" w:rsidRPr="003A2B41">
              <w:rPr>
                <w:rFonts w:ascii="楷体" w:eastAsia="楷体" w:hAnsi="楷体" w:cs="Arial" w:hint="eastAsia"/>
                <w:sz w:val="18"/>
                <w:szCs w:val="20"/>
              </w:rPr>
              <w:t>，把握结构性机会的主基调，在风格上成长、周期、消费等均衡配置，我们继续强调加配稳健成长风格基金，在弱市市场中投资者对业绩的关注</w:t>
            </w:r>
            <w:proofErr w:type="gramStart"/>
            <w:r w:rsidR="003A2B41" w:rsidRPr="003A2B41">
              <w:rPr>
                <w:rFonts w:ascii="楷体" w:eastAsia="楷体" w:hAnsi="楷体" w:cs="Arial" w:hint="eastAsia"/>
                <w:sz w:val="18"/>
                <w:szCs w:val="20"/>
              </w:rPr>
              <w:t>度显著</w:t>
            </w:r>
            <w:proofErr w:type="gramEnd"/>
            <w:r w:rsidR="003A2B41" w:rsidRPr="003A2B41">
              <w:rPr>
                <w:rFonts w:ascii="楷体" w:eastAsia="楷体" w:hAnsi="楷体" w:cs="Arial" w:hint="eastAsia"/>
                <w:sz w:val="18"/>
                <w:szCs w:val="20"/>
              </w:rPr>
              <w:t>提高，稳健成长风格基金主要投资业绩平稳增长的大消费、医药、中游机械制造、电器设备等板块，优选重视个股估值和业绩稳定性的基金经理</w:t>
            </w:r>
            <w:r w:rsidR="003A2B41" w:rsidRPr="0032491D">
              <w:rPr>
                <w:rFonts w:ascii="楷体" w:eastAsia="楷体" w:hAnsi="楷体" w:cs="Arial" w:hint="eastAsia"/>
                <w:sz w:val="20"/>
                <w:szCs w:val="20"/>
              </w:rPr>
              <w:t>。</w:t>
            </w:r>
            <w:r w:rsidR="00DB5F50">
              <w:rPr>
                <w:rFonts w:ascii="楷体" w:eastAsia="楷体" w:hAnsi="楷体" w:cs="Arial" w:hint="eastAsia"/>
                <w:sz w:val="18"/>
                <w:szCs w:val="20"/>
              </w:rPr>
              <w:t>长期而言，</w:t>
            </w:r>
            <w:r w:rsidRPr="0032491D">
              <w:rPr>
                <w:rFonts w:ascii="楷体" w:eastAsia="楷体" w:hAnsi="楷体" w:cs="Arial" w:hint="eastAsia"/>
                <w:sz w:val="18"/>
                <w:szCs w:val="20"/>
              </w:rPr>
              <w:t>维持A股处在底部区域的判断，长线投资者尤其</w:t>
            </w:r>
            <w:proofErr w:type="gramStart"/>
            <w:r w:rsidRPr="0032491D">
              <w:rPr>
                <w:rFonts w:ascii="楷体" w:eastAsia="楷体" w:hAnsi="楷体" w:cs="Arial" w:hint="eastAsia"/>
                <w:sz w:val="18"/>
                <w:szCs w:val="20"/>
              </w:rPr>
              <w:t>是定投投资者</w:t>
            </w:r>
            <w:proofErr w:type="gramEnd"/>
            <w:r w:rsidRPr="0032491D">
              <w:rPr>
                <w:rFonts w:ascii="楷体" w:eastAsia="楷体" w:hAnsi="楷体" w:cs="Arial" w:hint="eastAsia"/>
                <w:sz w:val="18"/>
                <w:szCs w:val="20"/>
              </w:rPr>
              <w:t>可以分批介入布局。</w:t>
            </w:r>
          </w:p>
          <w:p w:rsidR="0053273E" w:rsidRDefault="0053273E" w:rsidP="00FC5199">
            <w:pPr>
              <w:rPr>
                <w:rFonts w:ascii="楷体" w:eastAsia="楷体" w:hAnsi="楷体" w:cs="Arial"/>
                <w:sz w:val="18"/>
                <w:szCs w:val="20"/>
              </w:rPr>
            </w:pPr>
            <w:r w:rsidRPr="002D391D">
              <w:rPr>
                <w:rFonts w:ascii="楷体" w:eastAsia="楷体" w:hAnsi="楷体" w:cs="Arial" w:hint="eastAsia"/>
                <w:b/>
                <w:sz w:val="18"/>
                <w:szCs w:val="20"/>
              </w:rPr>
              <w:t>固定收益基金投资风险仍在，需谨慎操作。</w:t>
            </w:r>
            <w:r w:rsidR="003A2B41">
              <w:rPr>
                <w:rFonts w:ascii="楷体" w:eastAsia="楷体" w:hAnsi="楷体" w:cs="Arial" w:hint="eastAsia"/>
                <w:sz w:val="18"/>
                <w:szCs w:val="20"/>
              </w:rPr>
              <w:t>债市</w:t>
            </w:r>
            <w:r w:rsidRPr="002D391D">
              <w:rPr>
                <w:rFonts w:ascii="楷体" w:eastAsia="楷体" w:hAnsi="楷体" w:cs="Arial" w:hint="eastAsia"/>
                <w:sz w:val="18"/>
                <w:szCs w:val="20"/>
              </w:rPr>
              <w:t>入场时机</w:t>
            </w:r>
            <w:r w:rsidR="003A2B41">
              <w:rPr>
                <w:rFonts w:ascii="楷体" w:eastAsia="楷体" w:hAnsi="楷体" w:cs="Arial" w:hint="eastAsia"/>
                <w:sz w:val="18"/>
                <w:szCs w:val="20"/>
              </w:rPr>
              <w:t>仍需</w:t>
            </w:r>
            <w:r w:rsidRPr="002D391D">
              <w:rPr>
                <w:rFonts w:ascii="楷体" w:eastAsia="楷体" w:hAnsi="楷体" w:cs="Arial" w:hint="eastAsia"/>
                <w:sz w:val="18"/>
                <w:szCs w:val="20"/>
              </w:rPr>
              <w:t>谨慎。对于有债券基金刚性配置需求的投资者，当前在</w:t>
            </w:r>
            <w:proofErr w:type="gramStart"/>
            <w:r w:rsidRPr="002D391D">
              <w:rPr>
                <w:rFonts w:ascii="楷体" w:eastAsia="楷体" w:hAnsi="楷体" w:cs="Arial" w:hint="eastAsia"/>
                <w:sz w:val="18"/>
                <w:szCs w:val="20"/>
              </w:rPr>
              <w:t>债基产品</w:t>
            </w:r>
            <w:proofErr w:type="gramEnd"/>
            <w:r w:rsidRPr="002D391D">
              <w:rPr>
                <w:rFonts w:ascii="楷体" w:eastAsia="楷体" w:hAnsi="楷体" w:cs="Arial" w:hint="eastAsia"/>
                <w:sz w:val="18"/>
                <w:szCs w:val="20"/>
              </w:rPr>
              <w:t>上要强调风险控制，建议</w:t>
            </w:r>
            <w:proofErr w:type="gramStart"/>
            <w:r w:rsidRPr="002D391D">
              <w:rPr>
                <w:rFonts w:ascii="楷体" w:eastAsia="楷体" w:hAnsi="楷体" w:cs="Arial" w:hint="eastAsia"/>
                <w:sz w:val="18"/>
                <w:szCs w:val="20"/>
              </w:rPr>
              <w:t>精选久</w:t>
            </w:r>
            <w:r w:rsidR="003A2B41">
              <w:rPr>
                <w:rFonts w:ascii="楷体" w:eastAsia="楷体" w:hAnsi="楷体" w:cs="Arial" w:hint="eastAsia"/>
                <w:sz w:val="18"/>
                <w:szCs w:val="20"/>
              </w:rPr>
              <w:t>期短</w:t>
            </w:r>
            <w:proofErr w:type="gramEnd"/>
            <w:r w:rsidR="003A2B41">
              <w:rPr>
                <w:rFonts w:ascii="楷体" w:eastAsia="楷体" w:hAnsi="楷体" w:cs="Arial" w:hint="eastAsia"/>
                <w:sz w:val="18"/>
                <w:szCs w:val="20"/>
              </w:rPr>
              <w:t>、杠杆较低和持券信用等级较高的基金，例如以短融为主要投资</w:t>
            </w:r>
            <w:r w:rsidRPr="002D391D">
              <w:rPr>
                <w:rFonts w:ascii="楷体" w:eastAsia="楷体" w:hAnsi="楷体" w:cs="Arial" w:hint="eastAsia"/>
                <w:sz w:val="18"/>
                <w:szCs w:val="20"/>
              </w:rPr>
              <w:t>的</w:t>
            </w:r>
            <w:proofErr w:type="gramStart"/>
            <w:r w:rsidRPr="002D391D">
              <w:rPr>
                <w:rFonts w:ascii="楷体" w:eastAsia="楷体" w:hAnsi="楷体" w:cs="Arial" w:hint="eastAsia"/>
                <w:sz w:val="18"/>
                <w:szCs w:val="20"/>
              </w:rPr>
              <w:t>短融基金</w:t>
            </w:r>
            <w:proofErr w:type="gramEnd"/>
            <w:r w:rsidRPr="002D391D">
              <w:rPr>
                <w:rFonts w:ascii="楷体" w:eastAsia="楷体" w:hAnsi="楷体" w:cs="Arial" w:hint="eastAsia"/>
                <w:sz w:val="18"/>
                <w:szCs w:val="20"/>
              </w:rPr>
              <w:t>是当前防守较好的品种。</w:t>
            </w:r>
          </w:p>
          <w:p w:rsidR="0053273E" w:rsidRPr="0032491D" w:rsidRDefault="0053273E" w:rsidP="00FC5199">
            <w:pPr>
              <w:rPr>
                <w:rFonts w:ascii="楷体" w:eastAsia="楷体" w:hAnsi="楷体"/>
              </w:rPr>
            </w:pPr>
            <w:r w:rsidRPr="0032491D">
              <w:rPr>
                <w:rFonts w:ascii="楷体" w:eastAsia="楷体" w:hAnsi="楷体" w:cs="Arial" w:hint="eastAsia"/>
                <w:b/>
                <w:sz w:val="18"/>
                <w:szCs w:val="20"/>
              </w:rPr>
              <w:t>建议关注黄金和大宗商品类QDII。</w:t>
            </w:r>
            <w:r w:rsidRPr="0032491D">
              <w:rPr>
                <w:rFonts w:ascii="楷体" w:eastAsia="楷体" w:hAnsi="楷体" w:cs="Arial" w:hint="eastAsia"/>
                <w:sz w:val="18"/>
                <w:szCs w:val="20"/>
              </w:rPr>
              <w:t>QDII中投资大宗商品和商品基金的投资逻辑在5月有望延续。2016年以来虽然黄金已经经历了大幅上涨，但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sz w:val="18"/>
                <w:szCs w:val="20"/>
              </w:rPr>
              <w:t>通胀担忧</w:t>
            </w:r>
            <w:proofErr w:type="gramEnd"/>
            <w:r w:rsidRPr="0032491D">
              <w:rPr>
                <w:rFonts w:ascii="楷体" w:eastAsia="楷体" w:hAnsi="楷体" w:cs="Arial" w:hint="eastAsia"/>
                <w:sz w:val="18"/>
                <w:szCs w:val="20"/>
              </w:rPr>
              <w:t>和中国经济回暖带来的需求</w:t>
            </w:r>
            <w:proofErr w:type="gramStart"/>
            <w:r w:rsidRPr="0032491D">
              <w:rPr>
                <w:rFonts w:ascii="楷体" w:eastAsia="楷体" w:hAnsi="楷体" w:cs="Arial" w:hint="eastAsia"/>
                <w:sz w:val="18"/>
                <w:szCs w:val="20"/>
              </w:rPr>
              <w:t>端改善</w:t>
            </w:r>
            <w:proofErr w:type="gramEnd"/>
            <w:r w:rsidRPr="0032491D">
              <w:rPr>
                <w:rFonts w:ascii="楷体" w:eastAsia="楷体" w:hAnsi="楷体" w:cs="Arial" w:hint="eastAsia"/>
                <w:sz w:val="18"/>
                <w:szCs w:val="20"/>
              </w:rPr>
              <w:t>等都有利于推升大宗商品价格。</w:t>
            </w:r>
          </w:p>
        </w:tc>
      </w:tr>
    </w:tbl>
    <w:p w:rsidR="0053273E" w:rsidRPr="0032491D" w:rsidRDefault="0053273E" w:rsidP="0053273E">
      <w:pPr>
        <w:tabs>
          <w:tab w:val="left" w:pos="900"/>
        </w:tabs>
        <w:jc w:val="left"/>
        <w:rPr>
          <w:rFonts w:ascii="楷体" w:eastAsia="楷体" w:hAnsi="楷体" w:cs="Arial"/>
          <w:b/>
        </w:rPr>
        <w:sectPr w:rsidR="0053273E" w:rsidRPr="0032491D" w:rsidSect="00FC5199">
          <w:headerReference w:type="default" r:id="rId8"/>
          <w:footerReference w:type="default" r:id="rId9"/>
          <w:pgSz w:w="11907" w:h="16840" w:code="9"/>
          <w:pgMar w:top="1674" w:right="680" w:bottom="851" w:left="680" w:header="851" w:footer="612" w:gutter="0"/>
          <w:cols w:space="425"/>
          <w:docGrid w:linePitch="312"/>
        </w:sectPr>
      </w:pPr>
      <w:r w:rsidRPr="0032491D">
        <w:rPr>
          <w:rFonts w:ascii="楷体" w:eastAsia="楷体" w:hAnsi="楷体" w:cs="Arial"/>
          <w:b/>
          <w:noProof/>
        </w:rPr>
        <mc:AlternateContent>
          <mc:Choice Requires="wps">
            <w:drawing>
              <wp:anchor distT="0" distB="0" distL="114300" distR="114300" simplePos="0" relativeHeight="251659264" behindDoc="0" locked="0" layoutInCell="1" allowOverlap="1" wp14:anchorId="60E7DD8C" wp14:editId="3A2B3022">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B41" w:rsidRPr="004071E8" w:rsidRDefault="003A2B41" w:rsidP="0053273E">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3A2B41" w:rsidRPr="0032491D" w:rsidTr="00FC5199">
                              <w:trPr>
                                <w:cantSplit/>
                                <w:trHeight w:val="764"/>
                              </w:trPr>
                              <w:tc>
                                <w:tcPr>
                                  <w:tcW w:w="2899" w:type="dxa"/>
                                  <w:shd w:val="clear" w:color="auto" w:fill="F0EAC6"/>
                                  <w:vAlign w:val="center"/>
                                </w:tcPr>
                                <w:p w:rsidR="003A2B41" w:rsidRPr="0032491D" w:rsidRDefault="003A2B41" w:rsidP="00F40C8A">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报告日期：2016-05-</w:t>
                                  </w:r>
                                  <w:r>
                                    <w:rPr>
                                      <w:rFonts w:ascii="楷体" w:eastAsia="楷体" w:hAnsi="楷体" w:cs="Arial" w:hint="eastAsia"/>
                                      <w:b/>
                                      <w:sz w:val="18"/>
                                      <w:szCs w:val="16"/>
                                    </w:rPr>
                                    <w:t>16</w:t>
                                  </w:r>
                                </w:p>
                              </w:tc>
                            </w:tr>
                            <w:tr w:rsidR="003A2B41" w:rsidRPr="0032491D" w:rsidTr="00FC5199">
                              <w:trPr>
                                <w:cantSplit/>
                                <w:trHeight w:val="2023"/>
                              </w:trPr>
                              <w:tc>
                                <w:tcPr>
                                  <w:tcW w:w="2899" w:type="dxa"/>
                                  <w:tcBorders>
                                    <w:top w:val="single" w:sz="4" w:space="0" w:color="auto"/>
                                    <w:bottom w:val="single" w:sz="4" w:space="0" w:color="auto"/>
                                  </w:tcBorders>
                                  <w:shd w:val="clear" w:color="auto" w:fill="F0EAC6"/>
                                </w:tcPr>
                                <w:p w:rsidR="003A2B41" w:rsidRDefault="003A2B41" w:rsidP="00FC5199">
                                  <w:pPr>
                                    <w:rPr>
                                      <w:rFonts w:ascii="楷体" w:eastAsia="楷体" w:hAnsi="楷体"/>
                                    </w:rPr>
                                  </w:pPr>
                                </w:p>
                                <w:p w:rsidR="003A2B41" w:rsidRPr="0032491D" w:rsidRDefault="003A2B41" w:rsidP="00FC5199">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3A2B41" w:rsidRPr="0032491D" w:rsidRDefault="003A2B41" w:rsidP="00FC5199">
                                  <w:pPr>
                                    <w:rPr>
                                      <w:rFonts w:ascii="楷体" w:eastAsia="楷体" w:hAnsi="楷体" w:cs="Arial"/>
                                      <w:sz w:val="18"/>
                                      <w:szCs w:val="16"/>
                                    </w:rPr>
                                  </w:pPr>
                                  <w:r w:rsidRPr="0032491D">
                                    <w:rPr>
                                      <w:rFonts w:ascii="楷体" w:eastAsia="楷体" w:hAnsi="楷体" w:cs="Arial" w:hint="eastAsia"/>
                                      <w:sz w:val="18"/>
                                      <w:szCs w:val="16"/>
                                    </w:rPr>
                                    <w:t>Email：sangly@vstone.com.cn</w:t>
                                  </w:r>
                                </w:p>
                                <w:p w:rsidR="003A2B41" w:rsidRPr="0032491D" w:rsidRDefault="003A2B41" w:rsidP="00FC5199">
                                  <w:pPr>
                                    <w:ind w:firstLineChars="50" w:firstLine="80"/>
                                    <w:rPr>
                                      <w:rFonts w:ascii="楷体" w:eastAsia="楷体" w:hAnsi="楷体" w:cs="Arial"/>
                                      <w:sz w:val="16"/>
                                      <w:szCs w:val="16"/>
                                    </w:rPr>
                                  </w:pPr>
                                </w:p>
                                <w:p w:rsidR="003A2B41" w:rsidRPr="0032491D" w:rsidRDefault="003A2B41" w:rsidP="00FC5199">
                                  <w:pPr>
                                    <w:rPr>
                                      <w:rFonts w:ascii="楷体" w:eastAsia="楷体" w:hAnsi="楷体" w:cs="Arial"/>
                                      <w:b/>
                                      <w:sz w:val="18"/>
                                      <w:szCs w:val="16"/>
                                    </w:rPr>
                                  </w:pPr>
                                  <w:r w:rsidRPr="0032491D">
                                    <w:rPr>
                                      <w:rFonts w:ascii="楷体" w:eastAsia="楷体" w:hAnsi="楷体" w:cs="Arial" w:hint="eastAsia"/>
                                      <w:b/>
                                      <w:sz w:val="18"/>
                                      <w:szCs w:val="16"/>
                                    </w:rPr>
                                    <w:t>分析师：俞辰瑶</w:t>
                                  </w:r>
                                </w:p>
                                <w:p w:rsidR="003A2B41" w:rsidRPr="0032491D" w:rsidRDefault="003A2B41" w:rsidP="00FC5199">
                                  <w:pPr>
                                    <w:rPr>
                                      <w:rFonts w:ascii="楷体" w:eastAsia="楷体" w:hAnsi="楷体" w:cs="Arial"/>
                                      <w:sz w:val="18"/>
                                      <w:szCs w:val="16"/>
                                    </w:rPr>
                                  </w:pPr>
                                  <w:r w:rsidRPr="0032491D">
                                    <w:rPr>
                                      <w:rFonts w:ascii="楷体" w:eastAsia="楷体" w:hAnsi="楷体" w:cs="Arial" w:hint="eastAsia"/>
                                      <w:sz w:val="18"/>
                                      <w:szCs w:val="16"/>
                                    </w:rPr>
                                    <w:t>Email：yucy@vstone.com.cn</w:t>
                                  </w:r>
                                </w:p>
                                <w:p w:rsidR="003A2B41" w:rsidRPr="0032491D" w:rsidRDefault="003A2B41" w:rsidP="00FC5199">
                                  <w:pPr>
                                    <w:rPr>
                                      <w:rFonts w:ascii="楷体" w:eastAsia="楷体" w:hAnsi="楷体" w:cs="Arial"/>
                                      <w:sz w:val="16"/>
                                      <w:szCs w:val="16"/>
                                    </w:rPr>
                                  </w:pPr>
                                </w:p>
                              </w:tc>
                            </w:tr>
                            <w:tr w:rsidR="003A2B41" w:rsidRPr="0032491D" w:rsidTr="00FC5199">
                              <w:trPr>
                                <w:cantSplit/>
                                <w:trHeight w:val="10189"/>
                              </w:trPr>
                              <w:tc>
                                <w:tcPr>
                                  <w:tcW w:w="2899" w:type="dxa"/>
                                  <w:tcBorders>
                                    <w:top w:val="single" w:sz="4" w:space="0" w:color="auto"/>
                                  </w:tcBorders>
                                  <w:shd w:val="clear" w:color="auto" w:fill="F0EAC6"/>
                                </w:tcPr>
                                <w:p w:rsidR="003A2B41" w:rsidRPr="0032491D" w:rsidRDefault="003A2B41" w:rsidP="00FC5199">
                                  <w:pPr>
                                    <w:rPr>
                                      <w:rFonts w:ascii="楷体" w:eastAsia="楷体" w:hAnsi="楷体" w:cs="Arial"/>
                                      <w:b/>
                                      <w:sz w:val="18"/>
                                      <w:szCs w:val="16"/>
                                    </w:rPr>
                                  </w:pPr>
                                </w:p>
                                <w:p w:rsidR="003A2B41" w:rsidRPr="0032491D" w:rsidRDefault="003A2B41" w:rsidP="00FC5199">
                                  <w:pPr>
                                    <w:rPr>
                                      <w:rFonts w:ascii="楷体" w:eastAsia="楷体" w:hAnsi="楷体" w:cs="Arial"/>
                                      <w:b/>
                                      <w:sz w:val="18"/>
                                      <w:szCs w:val="16"/>
                                    </w:rPr>
                                  </w:pPr>
                                  <w:r w:rsidRPr="0032491D">
                                    <w:rPr>
                                      <w:rFonts w:ascii="楷体" w:eastAsia="楷体" w:hAnsi="楷体" w:cs="Arial" w:hint="eastAsia"/>
                                      <w:b/>
                                      <w:sz w:val="18"/>
                                      <w:szCs w:val="16"/>
                                    </w:rPr>
                                    <w:t>相关报告</w:t>
                                  </w:r>
                                </w:p>
                                <w:p w:rsidR="003A2B41" w:rsidRPr="0032491D" w:rsidRDefault="003A2B41" w:rsidP="00FC5199">
                                  <w:pPr>
                                    <w:rPr>
                                      <w:rFonts w:ascii="楷体" w:eastAsia="楷体" w:hAnsi="楷体" w:cs="Arial"/>
                                      <w:sz w:val="18"/>
                                      <w:szCs w:val="16"/>
                                    </w:rPr>
                                  </w:pPr>
                                </w:p>
                              </w:tc>
                            </w:tr>
                          </w:tbl>
                          <w:p w:rsidR="003A2B41" w:rsidRPr="004071E8" w:rsidRDefault="003A2B41" w:rsidP="0053273E">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3A2B41" w:rsidRPr="004071E8" w:rsidRDefault="003A2B41" w:rsidP="0053273E">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3A2B41" w:rsidRPr="0032491D" w:rsidTr="00FC5199">
                        <w:trPr>
                          <w:cantSplit/>
                          <w:trHeight w:val="764"/>
                        </w:trPr>
                        <w:tc>
                          <w:tcPr>
                            <w:tcW w:w="2899" w:type="dxa"/>
                            <w:shd w:val="clear" w:color="auto" w:fill="F0EAC6"/>
                            <w:vAlign w:val="center"/>
                          </w:tcPr>
                          <w:p w:rsidR="003A2B41" w:rsidRPr="0032491D" w:rsidRDefault="003A2B41" w:rsidP="00F40C8A">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报告日期：2016-05-</w:t>
                            </w:r>
                            <w:r>
                              <w:rPr>
                                <w:rFonts w:ascii="楷体" w:eastAsia="楷体" w:hAnsi="楷体" w:cs="Arial" w:hint="eastAsia"/>
                                <w:b/>
                                <w:sz w:val="18"/>
                                <w:szCs w:val="16"/>
                              </w:rPr>
                              <w:t>16</w:t>
                            </w:r>
                          </w:p>
                        </w:tc>
                      </w:tr>
                      <w:tr w:rsidR="003A2B41" w:rsidRPr="0032491D" w:rsidTr="00FC5199">
                        <w:trPr>
                          <w:cantSplit/>
                          <w:trHeight w:val="2023"/>
                        </w:trPr>
                        <w:tc>
                          <w:tcPr>
                            <w:tcW w:w="2899" w:type="dxa"/>
                            <w:tcBorders>
                              <w:top w:val="single" w:sz="4" w:space="0" w:color="auto"/>
                              <w:bottom w:val="single" w:sz="4" w:space="0" w:color="auto"/>
                            </w:tcBorders>
                            <w:shd w:val="clear" w:color="auto" w:fill="F0EAC6"/>
                          </w:tcPr>
                          <w:p w:rsidR="003A2B41" w:rsidRDefault="003A2B41" w:rsidP="00FC5199">
                            <w:pPr>
                              <w:rPr>
                                <w:rFonts w:ascii="楷体" w:eastAsia="楷体" w:hAnsi="楷体"/>
                              </w:rPr>
                            </w:pPr>
                          </w:p>
                          <w:p w:rsidR="003A2B41" w:rsidRPr="0032491D" w:rsidRDefault="003A2B41" w:rsidP="00FC5199">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3A2B41" w:rsidRPr="0032491D" w:rsidRDefault="003A2B41" w:rsidP="00FC5199">
                            <w:pPr>
                              <w:rPr>
                                <w:rFonts w:ascii="楷体" w:eastAsia="楷体" w:hAnsi="楷体" w:cs="Arial"/>
                                <w:sz w:val="18"/>
                                <w:szCs w:val="16"/>
                              </w:rPr>
                            </w:pPr>
                            <w:r w:rsidRPr="0032491D">
                              <w:rPr>
                                <w:rFonts w:ascii="楷体" w:eastAsia="楷体" w:hAnsi="楷体" w:cs="Arial" w:hint="eastAsia"/>
                                <w:sz w:val="18"/>
                                <w:szCs w:val="16"/>
                              </w:rPr>
                              <w:t>Email：sangly@vstone.com.cn</w:t>
                            </w:r>
                          </w:p>
                          <w:p w:rsidR="003A2B41" w:rsidRPr="0032491D" w:rsidRDefault="003A2B41" w:rsidP="00FC5199">
                            <w:pPr>
                              <w:ind w:firstLineChars="50" w:firstLine="80"/>
                              <w:rPr>
                                <w:rFonts w:ascii="楷体" w:eastAsia="楷体" w:hAnsi="楷体" w:cs="Arial"/>
                                <w:sz w:val="16"/>
                                <w:szCs w:val="16"/>
                              </w:rPr>
                            </w:pPr>
                          </w:p>
                          <w:p w:rsidR="003A2B41" w:rsidRPr="0032491D" w:rsidRDefault="003A2B41" w:rsidP="00FC5199">
                            <w:pPr>
                              <w:rPr>
                                <w:rFonts w:ascii="楷体" w:eastAsia="楷体" w:hAnsi="楷体" w:cs="Arial"/>
                                <w:b/>
                                <w:sz w:val="18"/>
                                <w:szCs w:val="16"/>
                              </w:rPr>
                            </w:pPr>
                            <w:r w:rsidRPr="0032491D">
                              <w:rPr>
                                <w:rFonts w:ascii="楷体" w:eastAsia="楷体" w:hAnsi="楷体" w:cs="Arial" w:hint="eastAsia"/>
                                <w:b/>
                                <w:sz w:val="18"/>
                                <w:szCs w:val="16"/>
                              </w:rPr>
                              <w:t>分析师：俞辰瑶</w:t>
                            </w:r>
                          </w:p>
                          <w:p w:rsidR="003A2B41" w:rsidRPr="0032491D" w:rsidRDefault="003A2B41" w:rsidP="00FC5199">
                            <w:pPr>
                              <w:rPr>
                                <w:rFonts w:ascii="楷体" w:eastAsia="楷体" w:hAnsi="楷体" w:cs="Arial"/>
                                <w:sz w:val="18"/>
                                <w:szCs w:val="16"/>
                              </w:rPr>
                            </w:pPr>
                            <w:r w:rsidRPr="0032491D">
                              <w:rPr>
                                <w:rFonts w:ascii="楷体" w:eastAsia="楷体" w:hAnsi="楷体" w:cs="Arial" w:hint="eastAsia"/>
                                <w:sz w:val="18"/>
                                <w:szCs w:val="16"/>
                              </w:rPr>
                              <w:t>Email：yucy@vstone.com.cn</w:t>
                            </w:r>
                          </w:p>
                          <w:p w:rsidR="003A2B41" w:rsidRPr="0032491D" w:rsidRDefault="003A2B41" w:rsidP="00FC5199">
                            <w:pPr>
                              <w:rPr>
                                <w:rFonts w:ascii="楷体" w:eastAsia="楷体" w:hAnsi="楷体" w:cs="Arial"/>
                                <w:sz w:val="16"/>
                                <w:szCs w:val="16"/>
                              </w:rPr>
                            </w:pPr>
                          </w:p>
                        </w:tc>
                      </w:tr>
                      <w:tr w:rsidR="003A2B41" w:rsidRPr="0032491D" w:rsidTr="00FC5199">
                        <w:trPr>
                          <w:cantSplit/>
                          <w:trHeight w:val="10189"/>
                        </w:trPr>
                        <w:tc>
                          <w:tcPr>
                            <w:tcW w:w="2899" w:type="dxa"/>
                            <w:tcBorders>
                              <w:top w:val="single" w:sz="4" w:space="0" w:color="auto"/>
                            </w:tcBorders>
                            <w:shd w:val="clear" w:color="auto" w:fill="F0EAC6"/>
                          </w:tcPr>
                          <w:p w:rsidR="003A2B41" w:rsidRPr="0032491D" w:rsidRDefault="003A2B41" w:rsidP="00FC5199">
                            <w:pPr>
                              <w:rPr>
                                <w:rFonts w:ascii="楷体" w:eastAsia="楷体" w:hAnsi="楷体" w:cs="Arial"/>
                                <w:b/>
                                <w:sz w:val="18"/>
                                <w:szCs w:val="16"/>
                              </w:rPr>
                            </w:pPr>
                          </w:p>
                          <w:p w:rsidR="003A2B41" w:rsidRPr="0032491D" w:rsidRDefault="003A2B41" w:rsidP="00FC5199">
                            <w:pPr>
                              <w:rPr>
                                <w:rFonts w:ascii="楷体" w:eastAsia="楷体" w:hAnsi="楷体" w:cs="Arial"/>
                                <w:b/>
                                <w:sz w:val="18"/>
                                <w:szCs w:val="16"/>
                              </w:rPr>
                            </w:pPr>
                            <w:r w:rsidRPr="0032491D">
                              <w:rPr>
                                <w:rFonts w:ascii="楷体" w:eastAsia="楷体" w:hAnsi="楷体" w:cs="Arial" w:hint="eastAsia"/>
                                <w:b/>
                                <w:sz w:val="18"/>
                                <w:szCs w:val="16"/>
                              </w:rPr>
                              <w:t>相关报告</w:t>
                            </w:r>
                          </w:p>
                          <w:p w:rsidR="003A2B41" w:rsidRPr="0032491D" w:rsidRDefault="003A2B41" w:rsidP="00FC5199">
                            <w:pPr>
                              <w:rPr>
                                <w:rFonts w:ascii="楷体" w:eastAsia="楷体" w:hAnsi="楷体" w:cs="Arial"/>
                                <w:sz w:val="18"/>
                                <w:szCs w:val="16"/>
                              </w:rPr>
                            </w:pPr>
                          </w:p>
                        </w:tc>
                      </w:tr>
                    </w:tbl>
                    <w:p w:rsidR="003A2B41" w:rsidRPr="004071E8" w:rsidRDefault="003A2B41" w:rsidP="0053273E">
                      <w:pPr>
                        <w:rPr>
                          <w:rFonts w:ascii="楷体_GB2312"/>
                        </w:rPr>
                      </w:pPr>
                    </w:p>
                  </w:txbxContent>
                </v:textbox>
              </v:shape>
            </w:pict>
          </mc:Fallback>
        </mc:AlternateContent>
      </w:r>
      <w:r w:rsidRPr="0032491D">
        <w:rPr>
          <w:rFonts w:ascii="楷体" w:eastAsia="楷体" w:hAnsi="楷体" w:cs="Arial" w:hint="eastAsia"/>
          <w:b/>
        </w:rPr>
        <w:t>。</w:t>
      </w:r>
    </w:p>
    <w:p w:rsidR="0053273E" w:rsidRPr="0032491D" w:rsidRDefault="0053273E" w:rsidP="0053273E">
      <w:pPr>
        <w:pStyle w:val="a6"/>
        <w:numPr>
          <w:ilvl w:val="0"/>
          <w:numId w:val="1"/>
        </w:numPr>
        <w:ind w:firstLineChars="0"/>
        <w:rPr>
          <w:rFonts w:ascii="楷体" w:eastAsia="楷体" w:hAnsi="楷体" w:cs="Arial"/>
          <w:b/>
          <w:color w:val="996600"/>
          <w:sz w:val="32"/>
          <w:szCs w:val="28"/>
        </w:rPr>
      </w:pPr>
      <w:bookmarkStart w:id="1" w:name="_Toc431285223"/>
      <w:r w:rsidRPr="0032491D">
        <w:rPr>
          <w:rFonts w:ascii="楷体" w:eastAsia="楷体" w:hAnsi="楷体" w:cs="Arial"/>
          <w:noProof/>
          <w:sz w:val="20"/>
          <w:szCs w:val="20"/>
        </w:rPr>
        <w:lastRenderedPageBreak/>
        <mc:AlternateContent>
          <mc:Choice Requires="wps">
            <w:drawing>
              <wp:anchor distT="0" distB="0" distL="0" distR="0" simplePos="0" relativeHeight="251660288" behindDoc="0" locked="0" layoutInCell="1" allowOverlap="0" wp14:anchorId="25E24DE3" wp14:editId="75D2C684">
                <wp:simplePos x="0" y="0"/>
                <wp:positionH relativeFrom="page">
                  <wp:posOffset>327804</wp:posOffset>
                </wp:positionH>
                <wp:positionV relativeFrom="paragraph">
                  <wp:posOffset>31295</wp:posOffset>
                </wp:positionV>
                <wp:extent cx="2441051" cy="8816196"/>
                <wp:effectExtent l="0" t="0" r="0" b="44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6196"/>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3A2B41" w:rsidRPr="00A64D32" w:rsidTr="00FC5199">
                              <w:trPr>
                                <w:trHeight w:val="417"/>
                              </w:trPr>
                              <w:tc>
                                <w:tcPr>
                                  <w:tcW w:w="1276" w:type="dxa"/>
                                  <w:tcBorders>
                                    <w:top w:val="single" w:sz="8" w:space="0" w:color="000000"/>
                                    <w:bottom w:val="single" w:sz="8" w:space="0" w:color="000000"/>
                                    <w:right w:val="nil"/>
                                  </w:tcBorders>
                                  <w:shd w:val="clear" w:color="F79646" w:fill="F79646"/>
                                  <w:vAlign w:val="center"/>
                                  <w:hideMark/>
                                </w:tcPr>
                                <w:p w:rsidR="003A2B41" w:rsidRPr="00A64D32" w:rsidRDefault="003A2B4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3A2B41" w:rsidRPr="00A64D32" w:rsidRDefault="003A2B41" w:rsidP="009736C2">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09</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15</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3A2B41" w:rsidRPr="003175BA" w:rsidRDefault="003A2B4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2827.11</w:t>
                                  </w:r>
                                </w:p>
                              </w:tc>
                              <w:tc>
                                <w:tcPr>
                                  <w:tcW w:w="1134" w:type="dxa"/>
                                  <w:tcBorders>
                                    <w:top w:val="nil"/>
                                    <w:left w:val="nil"/>
                                    <w:bottom w:val="single" w:sz="8" w:space="0" w:color="000000"/>
                                    <w:right w:val="nil"/>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-2.96</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3074.94</w:t>
                                  </w:r>
                                </w:p>
                              </w:tc>
                              <w:tc>
                                <w:tcPr>
                                  <w:tcW w:w="1134" w:type="dxa"/>
                                  <w:tcBorders>
                                    <w:top w:val="nil"/>
                                    <w:left w:val="nil"/>
                                    <w:bottom w:val="single" w:sz="8" w:space="0" w:color="000000"/>
                                    <w:right w:val="nil"/>
                                  </w:tcBorders>
                                  <w:shd w:val="clear" w:color="auto" w:fill="auto"/>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-1.77</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6398.49</w:t>
                                  </w:r>
                                </w:p>
                              </w:tc>
                              <w:tc>
                                <w:tcPr>
                                  <w:tcW w:w="1134" w:type="dxa"/>
                                  <w:tcBorders>
                                    <w:top w:val="nil"/>
                                    <w:left w:val="nil"/>
                                    <w:bottom w:val="single" w:sz="8" w:space="0" w:color="000000"/>
                                    <w:right w:val="nil"/>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-2.52</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3A2B41" w:rsidRPr="00B214B7" w:rsidRDefault="003A2B41" w:rsidP="00B214B7">
                                  <w:pPr>
                                    <w:jc w:val="center"/>
                                    <w:rPr>
                                      <w:rFonts w:ascii="楷体" w:eastAsia="楷体" w:hAnsi="楷体"/>
                                      <w:color w:val="000000"/>
                                      <w:sz w:val="16"/>
                                      <w:szCs w:val="16"/>
                                    </w:rPr>
                                  </w:pPr>
                                  <w:r>
                                    <w:rPr>
                                      <w:rFonts w:ascii="楷体" w:eastAsia="楷体" w:hAnsi="楷体" w:hint="eastAsia"/>
                                      <w:color w:val="000000"/>
                                      <w:sz w:val="16"/>
                                      <w:szCs w:val="16"/>
                                    </w:rPr>
                                    <w:t>2025.22</w:t>
                                  </w:r>
                                </w:p>
                              </w:tc>
                              <w:tc>
                                <w:tcPr>
                                  <w:tcW w:w="1134" w:type="dxa"/>
                                  <w:tcBorders>
                                    <w:top w:val="nil"/>
                                    <w:left w:val="nil"/>
                                    <w:bottom w:val="single" w:sz="8" w:space="0" w:color="000000"/>
                                    <w:right w:val="nil"/>
                                  </w:tcBorders>
                                  <w:shd w:val="clear" w:color="auto" w:fill="auto"/>
                                  <w:vAlign w:val="center"/>
                                  <w:hideMark/>
                                </w:tcPr>
                                <w:p w:rsidR="003A2B41" w:rsidRPr="00B214B7" w:rsidRDefault="003A2B41" w:rsidP="00B214B7">
                                  <w:pPr>
                                    <w:jc w:val="center"/>
                                    <w:rPr>
                                      <w:rFonts w:ascii="楷体" w:eastAsia="楷体" w:hAnsi="楷体"/>
                                      <w:color w:val="000000"/>
                                      <w:sz w:val="16"/>
                                      <w:szCs w:val="16"/>
                                    </w:rPr>
                                  </w:pPr>
                                  <w:r>
                                    <w:rPr>
                                      <w:rFonts w:ascii="楷体" w:eastAsia="楷体" w:hAnsi="楷体" w:hint="eastAsia"/>
                                      <w:color w:val="000000"/>
                                      <w:sz w:val="16"/>
                                      <w:szCs w:val="16"/>
                                    </w:rPr>
                                    <w:t>-4.88</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3F211B" w:rsidRDefault="003A2B41" w:rsidP="00FC5199">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118.94</w:t>
                                  </w:r>
                                </w:p>
                              </w:tc>
                              <w:tc>
                                <w:tcPr>
                                  <w:tcW w:w="1134" w:type="dxa"/>
                                  <w:tcBorders>
                                    <w:top w:val="nil"/>
                                    <w:left w:val="nil"/>
                                    <w:bottom w:val="single" w:sz="8" w:space="0" w:color="000000"/>
                                    <w:right w:val="nil"/>
                                  </w:tcBorders>
                                  <w:shd w:val="clear" w:color="D9D9D9" w:fill="D9D9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0.27</w:t>
                                  </w:r>
                                </w:p>
                              </w:tc>
                            </w:tr>
                            <w:tr w:rsidR="003A2B41" w:rsidRPr="00A64D32" w:rsidTr="00FC5199">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3A2B41" w:rsidRPr="003F211B" w:rsidRDefault="003A2B41" w:rsidP="00FC5199">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91.71</w:t>
                                  </w:r>
                                </w:p>
                              </w:tc>
                              <w:tc>
                                <w:tcPr>
                                  <w:tcW w:w="1134" w:type="dxa"/>
                                  <w:tcBorders>
                                    <w:top w:val="single" w:sz="8" w:space="0" w:color="000000"/>
                                    <w:left w:val="nil"/>
                                    <w:bottom w:val="single" w:sz="8" w:space="0" w:color="000000"/>
                                    <w:right w:val="nil"/>
                                  </w:tcBorders>
                                  <w:shd w:val="clear" w:color="D9D9D9" w:fill="auto"/>
                                  <w:vAlign w:val="center"/>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0.23</w:t>
                                  </w:r>
                                </w:p>
                              </w:tc>
                            </w:tr>
                            <w:tr w:rsidR="003A2B41" w:rsidRPr="00A64D32" w:rsidTr="00FC5199">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120.19</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0.15</w:t>
                                  </w:r>
                                </w:p>
                              </w:tc>
                            </w:tr>
                            <w:tr w:rsidR="003A2B4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3A2B41" w:rsidRPr="00A64D32" w:rsidRDefault="003A2B4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3A2B41" w:rsidRPr="00A64D32" w:rsidRDefault="003A2B41"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09</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15</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4326.53</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-0.08</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2046.61</w:t>
                                  </w:r>
                                </w:p>
                              </w:tc>
                              <w:tc>
                                <w:tcPr>
                                  <w:tcW w:w="1134" w:type="dxa"/>
                                  <w:tcBorders>
                                    <w:top w:val="nil"/>
                                    <w:left w:val="nil"/>
                                    <w:bottom w:val="single" w:sz="8" w:space="0" w:color="000000"/>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-0.51</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17535.32</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-1.16</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19719.29</w:t>
                                  </w:r>
                                </w:p>
                              </w:tc>
                              <w:tc>
                                <w:tcPr>
                                  <w:tcW w:w="1134" w:type="dxa"/>
                                  <w:tcBorders>
                                    <w:top w:val="nil"/>
                                    <w:left w:val="nil"/>
                                    <w:bottom w:val="single" w:sz="8" w:space="0" w:color="000000"/>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-1.94</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16412.21</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1.90</w:t>
                                  </w:r>
                                </w:p>
                              </w:tc>
                            </w:tr>
                            <w:tr w:rsidR="003A2B41" w:rsidRPr="00A64D32" w:rsidTr="00FC5199">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334.68</w:t>
                                  </w:r>
                                </w:p>
                              </w:tc>
                              <w:tc>
                                <w:tcPr>
                                  <w:tcW w:w="1134" w:type="dxa"/>
                                  <w:tcBorders>
                                    <w:top w:val="nil"/>
                                    <w:left w:val="nil"/>
                                    <w:bottom w:val="single" w:sz="8" w:space="0" w:color="auto"/>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0.91</w:t>
                                  </w:r>
                                </w:p>
                              </w:tc>
                            </w:tr>
                            <w:tr w:rsidR="003A2B4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3A2B41" w:rsidRPr="00A64D32" w:rsidRDefault="003A2B4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3A2B41" w:rsidRPr="00A64D32" w:rsidRDefault="003A2B41"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09</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15</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94.62</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0.82</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120.00</w:t>
                                  </w:r>
                                </w:p>
                              </w:tc>
                              <w:tc>
                                <w:tcPr>
                                  <w:tcW w:w="1134" w:type="dxa"/>
                                  <w:tcBorders>
                                    <w:top w:val="nil"/>
                                    <w:left w:val="nil"/>
                                    <w:bottom w:val="single" w:sz="8" w:space="0" w:color="000000"/>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-0.06</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1264.70</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-1.19</w:t>
                                  </w:r>
                                </w:p>
                              </w:tc>
                            </w:tr>
                            <w:tr w:rsidR="003A2B41" w:rsidRPr="00A64D32" w:rsidTr="00FC5199">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46.39</w:t>
                                  </w:r>
                                </w:p>
                              </w:tc>
                              <w:tc>
                                <w:tcPr>
                                  <w:tcW w:w="1134" w:type="dxa"/>
                                  <w:tcBorders>
                                    <w:top w:val="nil"/>
                                    <w:left w:val="nil"/>
                                    <w:bottom w:val="single" w:sz="8" w:space="0" w:color="auto"/>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4.04</w:t>
                                  </w:r>
                                </w:p>
                              </w:tc>
                            </w:tr>
                          </w:tbl>
                          <w:p w:rsidR="003A2B41" w:rsidRPr="00AD43BA" w:rsidRDefault="003A2B4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3A2B41" w:rsidRPr="00A64D32" w:rsidTr="00FC5199">
                              <w:trPr>
                                <w:trHeight w:val="435"/>
                                <w:jc w:val="center"/>
                              </w:trPr>
                              <w:tc>
                                <w:tcPr>
                                  <w:tcW w:w="3494" w:type="dxa"/>
                                  <w:tcBorders>
                                    <w:left w:val="nil"/>
                                    <w:right w:val="nil"/>
                                  </w:tcBorders>
                                  <w:shd w:val="clear" w:color="F79646" w:fill="F79646"/>
                                  <w:vAlign w:val="center"/>
                                  <w:hideMark/>
                                </w:tcPr>
                                <w:p w:rsidR="003A2B41" w:rsidRDefault="003A2B41" w:rsidP="00F63767">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09</w:t>
                                  </w:r>
                                  <w:r w:rsidRPr="001147F2">
                                    <w:rPr>
                                      <w:rFonts w:ascii="Arial" w:cs="Arial"/>
                                      <w:b/>
                                      <w:sz w:val="16"/>
                                      <w:szCs w:val="16"/>
                                    </w:rPr>
                                    <w:t>-2016.0</w:t>
                                  </w:r>
                                  <w:r>
                                    <w:rPr>
                                      <w:rFonts w:ascii="Arial" w:cs="Arial" w:hint="eastAsia"/>
                                      <w:b/>
                                      <w:sz w:val="16"/>
                                      <w:szCs w:val="16"/>
                                    </w:rPr>
                                    <w:t>5.15</w:t>
                                  </w:r>
                                </w:p>
                              </w:tc>
                            </w:tr>
                            <w:tr w:rsidR="003A2B41" w:rsidRPr="00A64D32" w:rsidTr="00F63767">
                              <w:trPr>
                                <w:trHeight w:val="2474"/>
                                <w:jc w:val="center"/>
                              </w:trPr>
                              <w:tc>
                                <w:tcPr>
                                  <w:tcW w:w="3494" w:type="dxa"/>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Pr>
                                      <w:noProof/>
                                    </w:rPr>
                                    <w:drawing>
                                      <wp:inline distT="0" distB="0" distL="0" distR="0" wp14:anchorId="7D101CA1" wp14:editId="73B61F7B">
                                        <wp:extent cx="2035834" cy="3597216"/>
                                        <wp:effectExtent l="0" t="0" r="21590" b="228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3A2B41" w:rsidRPr="00BC1770" w:rsidRDefault="003A2B4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8pt;margin-top:2.45pt;width:192.2pt;height:694.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3A2B41" w:rsidRPr="00A64D32" w:rsidTr="00FC5199">
                        <w:trPr>
                          <w:trHeight w:val="417"/>
                        </w:trPr>
                        <w:tc>
                          <w:tcPr>
                            <w:tcW w:w="1276" w:type="dxa"/>
                            <w:tcBorders>
                              <w:top w:val="single" w:sz="8" w:space="0" w:color="000000"/>
                              <w:bottom w:val="single" w:sz="8" w:space="0" w:color="000000"/>
                              <w:right w:val="nil"/>
                            </w:tcBorders>
                            <w:shd w:val="clear" w:color="F79646" w:fill="F79646"/>
                            <w:vAlign w:val="center"/>
                            <w:hideMark/>
                          </w:tcPr>
                          <w:p w:rsidR="003A2B41" w:rsidRPr="00A64D32" w:rsidRDefault="003A2B4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3A2B41" w:rsidRPr="00A64D32" w:rsidRDefault="003A2B41" w:rsidP="009736C2">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09</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15</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3A2B41" w:rsidRPr="003175BA" w:rsidRDefault="003A2B4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2827.11</w:t>
                            </w:r>
                          </w:p>
                        </w:tc>
                        <w:tc>
                          <w:tcPr>
                            <w:tcW w:w="1134" w:type="dxa"/>
                            <w:tcBorders>
                              <w:top w:val="nil"/>
                              <w:left w:val="nil"/>
                              <w:bottom w:val="single" w:sz="8" w:space="0" w:color="000000"/>
                              <w:right w:val="nil"/>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-2.96</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3074.94</w:t>
                            </w:r>
                          </w:p>
                        </w:tc>
                        <w:tc>
                          <w:tcPr>
                            <w:tcW w:w="1134" w:type="dxa"/>
                            <w:tcBorders>
                              <w:top w:val="nil"/>
                              <w:left w:val="nil"/>
                              <w:bottom w:val="single" w:sz="8" w:space="0" w:color="000000"/>
                              <w:right w:val="nil"/>
                            </w:tcBorders>
                            <w:shd w:val="clear" w:color="auto" w:fill="auto"/>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-1.77</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6398.49</w:t>
                            </w:r>
                          </w:p>
                        </w:tc>
                        <w:tc>
                          <w:tcPr>
                            <w:tcW w:w="1134" w:type="dxa"/>
                            <w:tcBorders>
                              <w:top w:val="nil"/>
                              <w:left w:val="nil"/>
                              <w:bottom w:val="single" w:sz="8" w:space="0" w:color="000000"/>
                              <w:right w:val="nil"/>
                            </w:tcBorders>
                            <w:shd w:val="clear" w:color="D9D9D9" w:fill="D9D9D9"/>
                            <w:vAlign w:val="center"/>
                            <w:hideMark/>
                          </w:tcPr>
                          <w:p w:rsidR="003A2B41" w:rsidRDefault="003A2B41">
                            <w:pPr>
                              <w:jc w:val="center"/>
                              <w:rPr>
                                <w:rFonts w:ascii="楷体" w:eastAsia="楷体" w:hAnsi="楷体" w:cs="宋体"/>
                                <w:color w:val="000000"/>
                                <w:sz w:val="16"/>
                                <w:szCs w:val="16"/>
                              </w:rPr>
                            </w:pPr>
                            <w:r>
                              <w:rPr>
                                <w:rFonts w:ascii="楷体" w:eastAsia="楷体" w:hAnsi="楷体" w:hint="eastAsia"/>
                                <w:color w:val="000000"/>
                                <w:sz w:val="16"/>
                                <w:szCs w:val="16"/>
                              </w:rPr>
                              <w:t>-2.52</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3A2B41" w:rsidRPr="00B214B7" w:rsidRDefault="003A2B41" w:rsidP="00B214B7">
                            <w:pPr>
                              <w:jc w:val="center"/>
                              <w:rPr>
                                <w:rFonts w:ascii="楷体" w:eastAsia="楷体" w:hAnsi="楷体"/>
                                <w:color w:val="000000"/>
                                <w:sz w:val="16"/>
                                <w:szCs w:val="16"/>
                              </w:rPr>
                            </w:pPr>
                            <w:r>
                              <w:rPr>
                                <w:rFonts w:ascii="楷体" w:eastAsia="楷体" w:hAnsi="楷体" w:hint="eastAsia"/>
                                <w:color w:val="000000"/>
                                <w:sz w:val="16"/>
                                <w:szCs w:val="16"/>
                              </w:rPr>
                              <w:t>2025.22</w:t>
                            </w:r>
                          </w:p>
                        </w:tc>
                        <w:tc>
                          <w:tcPr>
                            <w:tcW w:w="1134" w:type="dxa"/>
                            <w:tcBorders>
                              <w:top w:val="nil"/>
                              <w:left w:val="nil"/>
                              <w:bottom w:val="single" w:sz="8" w:space="0" w:color="000000"/>
                              <w:right w:val="nil"/>
                            </w:tcBorders>
                            <w:shd w:val="clear" w:color="auto" w:fill="auto"/>
                            <w:vAlign w:val="center"/>
                            <w:hideMark/>
                          </w:tcPr>
                          <w:p w:rsidR="003A2B41" w:rsidRPr="00B214B7" w:rsidRDefault="003A2B41" w:rsidP="00B214B7">
                            <w:pPr>
                              <w:jc w:val="center"/>
                              <w:rPr>
                                <w:rFonts w:ascii="楷体" w:eastAsia="楷体" w:hAnsi="楷体"/>
                                <w:color w:val="000000"/>
                                <w:sz w:val="16"/>
                                <w:szCs w:val="16"/>
                              </w:rPr>
                            </w:pPr>
                            <w:r>
                              <w:rPr>
                                <w:rFonts w:ascii="楷体" w:eastAsia="楷体" w:hAnsi="楷体" w:hint="eastAsia"/>
                                <w:color w:val="000000"/>
                                <w:sz w:val="16"/>
                                <w:szCs w:val="16"/>
                              </w:rPr>
                              <w:t>-4.88</w:t>
                            </w:r>
                          </w:p>
                        </w:tc>
                      </w:tr>
                      <w:tr w:rsidR="003A2B4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3F211B" w:rsidRDefault="003A2B41" w:rsidP="00FC5199">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118.94</w:t>
                            </w:r>
                          </w:p>
                        </w:tc>
                        <w:tc>
                          <w:tcPr>
                            <w:tcW w:w="1134" w:type="dxa"/>
                            <w:tcBorders>
                              <w:top w:val="nil"/>
                              <w:left w:val="nil"/>
                              <w:bottom w:val="single" w:sz="8" w:space="0" w:color="000000"/>
                              <w:right w:val="nil"/>
                            </w:tcBorders>
                            <w:shd w:val="clear" w:color="D9D9D9" w:fill="D9D9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0.27</w:t>
                            </w:r>
                          </w:p>
                        </w:tc>
                      </w:tr>
                      <w:tr w:rsidR="003A2B41" w:rsidRPr="00A64D32" w:rsidTr="00FC5199">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3A2B41" w:rsidRPr="003F211B" w:rsidRDefault="003A2B41" w:rsidP="00FC5199">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91.71</w:t>
                            </w:r>
                          </w:p>
                        </w:tc>
                        <w:tc>
                          <w:tcPr>
                            <w:tcW w:w="1134" w:type="dxa"/>
                            <w:tcBorders>
                              <w:top w:val="single" w:sz="8" w:space="0" w:color="000000"/>
                              <w:left w:val="nil"/>
                              <w:bottom w:val="single" w:sz="8" w:space="0" w:color="000000"/>
                              <w:right w:val="nil"/>
                            </w:tcBorders>
                            <w:shd w:val="clear" w:color="D9D9D9" w:fill="auto"/>
                            <w:vAlign w:val="center"/>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0.23</w:t>
                            </w:r>
                          </w:p>
                        </w:tc>
                      </w:tr>
                      <w:tr w:rsidR="003A2B41" w:rsidRPr="00A64D32" w:rsidTr="00FC5199">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3A2B41" w:rsidRPr="003F211B" w:rsidRDefault="003A2B41" w:rsidP="00FC5199">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120.19</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3A2B41" w:rsidRPr="00B214B7" w:rsidRDefault="003A2B41" w:rsidP="00B214B7">
                            <w:pPr>
                              <w:jc w:val="center"/>
                              <w:rPr>
                                <w:rFonts w:ascii="楷体" w:eastAsia="楷体" w:hAnsi="楷体"/>
                                <w:color w:val="000000"/>
                                <w:sz w:val="16"/>
                                <w:szCs w:val="16"/>
                              </w:rPr>
                            </w:pPr>
                            <w:r w:rsidRPr="00B214B7">
                              <w:rPr>
                                <w:rFonts w:ascii="楷体" w:eastAsia="楷体" w:hAnsi="楷体" w:hint="eastAsia"/>
                                <w:color w:val="000000"/>
                                <w:sz w:val="16"/>
                                <w:szCs w:val="16"/>
                              </w:rPr>
                              <w:t>0.15</w:t>
                            </w:r>
                          </w:p>
                        </w:tc>
                      </w:tr>
                      <w:tr w:rsidR="003A2B4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3A2B41" w:rsidRPr="00A64D32" w:rsidRDefault="003A2B4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3A2B41" w:rsidRPr="00A64D32" w:rsidRDefault="003A2B41"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09</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15</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4326.53</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-0.08</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2046.61</w:t>
                            </w:r>
                          </w:p>
                        </w:tc>
                        <w:tc>
                          <w:tcPr>
                            <w:tcW w:w="1134" w:type="dxa"/>
                            <w:tcBorders>
                              <w:top w:val="nil"/>
                              <w:left w:val="nil"/>
                              <w:bottom w:val="single" w:sz="8" w:space="0" w:color="000000"/>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-0.51</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17535.32</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-1.16</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19719.29</w:t>
                            </w:r>
                          </w:p>
                        </w:tc>
                        <w:tc>
                          <w:tcPr>
                            <w:tcW w:w="1134" w:type="dxa"/>
                            <w:tcBorders>
                              <w:top w:val="nil"/>
                              <w:left w:val="nil"/>
                              <w:bottom w:val="single" w:sz="8" w:space="0" w:color="000000"/>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-1.94</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16412.21</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1.90</w:t>
                            </w:r>
                          </w:p>
                        </w:tc>
                      </w:tr>
                      <w:tr w:rsidR="003A2B41" w:rsidRPr="00A64D32" w:rsidTr="00FC5199">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334.68</w:t>
                            </w:r>
                          </w:p>
                        </w:tc>
                        <w:tc>
                          <w:tcPr>
                            <w:tcW w:w="1134" w:type="dxa"/>
                            <w:tcBorders>
                              <w:top w:val="nil"/>
                              <w:left w:val="nil"/>
                              <w:bottom w:val="single" w:sz="8" w:space="0" w:color="auto"/>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0.91</w:t>
                            </w:r>
                          </w:p>
                        </w:tc>
                      </w:tr>
                      <w:tr w:rsidR="003A2B4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3A2B41" w:rsidRPr="00A64D32" w:rsidRDefault="003A2B4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3A2B41" w:rsidRPr="00A64D32" w:rsidRDefault="003A2B41"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09</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15</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3A2B41" w:rsidRPr="003175BA" w:rsidRDefault="003A2B4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94.62</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0.82</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120.00</w:t>
                            </w:r>
                          </w:p>
                        </w:tc>
                        <w:tc>
                          <w:tcPr>
                            <w:tcW w:w="1134" w:type="dxa"/>
                            <w:tcBorders>
                              <w:top w:val="nil"/>
                              <w:left w:val="nil"/>
                              <w:bottom w:val="single" w:sz="8" w:space="0" w:color="000000"/>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-0.06</w:t>
                            </w:r>
                          </w:p>
                        </w:tc>
                      </w:tr>
                      <w:tr w:rsidR="003A2B4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1264.70</w:t>
                            </w:r>
                          </w:p>
                        </w:tc>
                        <w:tc>
                          <w:tcPr>
                            <w:tcW w:w="1134" w:type="dxa"/>
                            <w:tcBorders>
                              <w:top w:val="nil"/>
                              <w:left w:val="nil"/>
                              <w:bottom w:val="single" w:sz="8" w:space="0" w:color="000000"/>
                              <w:right w:val="nil"/>
                            </w:tcBorders>
                            <w:shd w:val="clear" w:color="D9D9D9" w:fill="D9D9D9"/>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-1.19</w:t>
                            </w:r>
                          </w:p>
                        </w:tc>
                      </w:tr>
                      <w:tr w:rsidR="003A2B41" w:rsidRPr="00A64D32" w:rsidTr="00FC5199">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46.39</w:t>
                            </w:r>
                          </w:p>
                        </w:tc>
                        <w:tc>
                          <w:tcPr>
                            <w:tcW w:w="1134" w:type="dxa"/>
                            <w:tcBorders>
                              <w:top w:val="nil"/>
                              <w:left w:val="nil"/>
                              <w:bottom w:val="single" w:sz="8" w:space="0" w:color="auto"/>
                              <w:right w:val="nil"/>
                            </w:tcBorders>
                            <w:shd w:val="clear" w:color="auto" w:fill="auto"/>
                            <w:vAlign w:val="center"/>
                          </w:tcPr>
                          <w:p w:rsidR="003A2B41" w:rsidRPr="00FA0990" w:rsidRDefault="003A2B41" w:rsidP="00FA0990">
                            <w:pPr>
                              <w:jc w:val="center"/>
                              <w:rPr>
                                <w:rFonts w:ascii="楷体" w:eastAsia="楷体" w:hAnsi="楷体"/>
                                <w:color w:val="000000"/>
                                <w:sz w:val="16"/>
                                <w:szCs w:val="16"/>
                              </w:rPr>
                            </w:pPr>
                            <w:r w:rsidRPr="00FA0990">
                              <w:rPr>
                                <w:rFonts w:ascii="楷体" w:eastAsia="楷体" w:hAnsi="楷体" w:hint="eastAsia"/>
                                <w:color w:val="000000"/>
                                <w:sz w:val="16"/>
                                <w:szCs w:val="16"/>
                              </w:rPr>
                              <w:t>4.04</w:t>
                            </w:r>
                          </w:p>
                        </w:tc>
                      </w:tr>
                    </w:tbl>
                    <w:p w:rsidR="003A2B41" w:rsidRPr="00AD43BA" w:rsidRDefault="003A2B4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3A2B41" w:rsidRPr="00A64D32" w:rsidTr="00FC5199">
                        <w:trPr>
                          <w:trHeight w:val="435"/>
                          <w:jc w:val="center"/>
                        </w:trPr>
                        <w:tc>
                          <w:tcPr>
                            <w:tcW w:w="3494" w:type="dxa"/>
                            <w:tcBorders>
                              <w:left w:val="nil"/>
                              <w:right w:val="nil"/>
                            </w:tcBorders>
                            <w:shd w:val="clear" w:color="F79646" w:fill="F79646"/>
                            <w:vAlign w:val="center"/>
                            <w:hideMark/>
                          </w:tcPr>
                          <w:p w:rsidR="003A2B41" w:rsidRDefault="003A2B41" w:rsidP="00F63767">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09</w:t>
                            </w:r>
                            <w:r w:rsidRPr="001147F2">
                              <w:rPr>
                                <w:rFonts w:ascii="Arial" w:cs="Arial"/>
                                <w:b/>
                                <w:sz w:val="16"/>
                                <w:szCs w:val="16"/>
                              </w:rPr>
                              <w:t>-2016.0</w:t>
                            </w:r>
                            <w:r>
                              <w:rPr>
                                <w:rFonts w:ascii="Arial" w:cs="Arial" w:hint="eastAsia"/>
                                <w:b/>
                                <w:sz w:val="16"/>
                                <w:szCs w:val="16"/>
                              </w:rPr>
                              <w:t>5.15</w:t>
                            </w:r>
                          </w:p>
                        </w:tc>
                      </w:tr>
                      <w:tr w:rsidR="003A2B41" w:rsidRPr="00A64D32" w:rsidTr="00F63767">
                        <w:trPr>
                          <w:trHeight w:val="2474"/>
                          <w:jc w:val="center"/>
                        </w:trPr>
                        <w:tc>
                          <w:tcPr>
                            <w:tcW w:w="3494" w:type="dxa"/>
                            <w:shd w:val="clear" w:color="auto" w:fill="auto"/>
                            <w:vAlign w:val="center"/>
                            <w:hideMark/>
                          </w:tcPr>
                          <w:p w:rsidR="003A2B41" w:rsidRPr="00A64D32" w:rsidRDefault="003A2B41" w:rsidP="00FC5199">
                            <w:pPr>
                              <w:widowControl/>
                              <w:jc w:val="center"/>
                              <w:rPr>
                                <w:rFonts w:ascii="楷体" w:eastAsia="楷体" w:hAnsi="楷体" w:cs="宋体"/>
                                <w:color w:val="000000"/>
                                <w:kern w:val="0"/>
                                <w:sz w:val="16"/>
                                <w:szCs w:val="16"/>
                              </w:rPr>
                            </w:pPr>
                            <w:r>
                              <w:rPr>
                                <w:noProof/>
                              </w:rPr>
                              <w:drawing>
                                <wp:inline distT="0" distB="0" distL="0" distR="0" wp14:anchorId="7D101CA1" wp14:editId="73B61F7B">
                                  <wp:extent cx="2035834" cy="3597216"/>
                                  <wp:effectExtent l="0" t="0" r="21590" b="228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3A2B41" w:rsidRPr="00BC1770" w:rsidRDefault="003A2B4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32491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资本市场回顾</w:t>
      </w:r>
      <w:bookmarkEnd w:id="1"/>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A股市场</w:t>
      </w:r>
    </w:p>
    <w:p w:rsidR="0053273E" w:rsidRPr="0032491D" w:rsidRDefault="00F40C8A" w:rsidP="009736C2">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sidRPr="00F40C8A">
        <w:rPr>
          <w:rFonts w:ascii="楷体" w:eastAsia="楷体" w:hAnsi="楷体" w:cs="Arial" w:hint="eastAsia"/>
          <w:b/>
          <w:color w:val="auto"/>
          <w:sz w:val="20"/>
          <w:szCs w:val="20"/>
        </w:rPr>
        <w:t>沪指险守2800点</w:t>
      </w:r>
      <w:r>
        <w:rPr>
          <w:rFonts w:ascii="楷体" w:eastAsia="楷体" w:hAnsi="楷体" w:cs="Arial" w:hint="eastAsia"/>
          <w:b/>
          <w:color w:val="auto"/>
          <w:sz w:val="20"/>
          <w:szCs w:val="20"/>
        </w:rPr>
        <w:t>，</w:t>
      </w:r>
      <w:r w:rsidRPr="00F40C8A">
        <w:rPr>
          <w:rFonts w:ascii="楷体" w:eastAsia="楷体" w:hAnsi="楷体" w:cs="Arial" w:hint="eastAsia"/>
          <w:b/>
          <w:color w:val="auto"/>
          <w:sz w:val="20"/>
          <w:szCs w:val="20"/>
        </w:rPr>
        <w:t>市场人气十分低迷</w:t>
      </w:r>
      <w:r w:rsidR="0053273E" w:rsidRPr="0032491D">
        <w:rPr>
          <w:rFonts w:ascii="楷体" w:eastAsia="楷体" w:hAnsi="楷体" w:cs="Arial" w:hint="eastAsia"/>
          <w:b/>
          <w:color w:val="auto"/>
          <w:sz w:val="20"/>
          <w:szCs w:val="20"/>
        </w:rPr>
        <w:t>。</w:t>
      </w:r>
      <w:r w:rsidR="009736C2" w:rsidRPr="009736C2">
        <w:rPr>
          <w:rFonts w:ascii="楷体" w:eastAsia="楷体" w:hAnsi="楷体" w:cs="Arial" w:hint="eastAsia"/>
          <w:color w:val="auto"/>
          <w:sz w:val="20"/>
          <w:szCs w:val="20"/>
        </w:rPr>
        <w:t>沪指已经连续第四周下跌</w:t>
      </w:r>
      <w:r w:rsidR="009736C2">
        <w:rPr>
          <w:rFonts w:ascii="楷体" w:eastAsia="楷体" w:hAnsi="楷体" w:cs="Arial" w:hint="eastAsia"/>
          <w:color w:val="auto"/>
          <w:sz w:val="20"/>
          <w:szCs w:val="20"/>
        </w:rPr>
        <w:t>，A股一直处于存量博弈的状态，投资者的情绪对于市场上的消息尤其是利空消息尤其敏感。</w:t>
      </w:r>
      <w:r w:rsidRPr="00F40C8A">
        <w:rPr>
          <w:rFonts w:ascii="楷体" w:eastAsia="楷体" w:hAnsi="楷体" w:cs="Arial" w:hint="eastAsia"/>
          <w:color w:val="auto"/>
          <w:sz w:val="20"/>
          <w:szCs w:val="20"/>
        </w:rPr>
        <w:t>上周</w:t>
      </w:r>
      <w:r w:rsidR="009736C2">
        <w:rPr>
          <w:rFonts w:ascii="楷体" w:eastAsia="楷体" w:hAnsi="楷体" w:cs="Arial" w:hint="eastAsia"/>
          <w:color w:val="auto"/>
          <w:sz w:val="20"/>
          <w:szCs w:val="20"/>
        </w:rPr>
        <w:t>自</w:t>
      </w:r>
      <w:r w:rsidRPr="00F40C8A">
        <w:rPr>
          <w:rFonts w:ascii="楷体" w:eastAsia="楷体" w:hAnsi="楷体" w:cs="Arial" w:hint="eastAsia"/>
          <w:color w:val="auto"/>
          <w:sz w:val="20"/>
          <w:szCs w:val="20"/>
        </w:rPr>
        <w:t>收紧</w:t>
      </w:r>
      <w:proofErr w:type="gramStart"/>
      <w:r w:rsidRPr="00F40C8A">
        <w:rPr>
          <w:rFonts w:ascii="楷体" w:eastAsia="楷体" w:hAnsi="楷体" w:cs="Arial" w:hint="eastAsia"/>
          <w:color w:val="auto"/>
          <w:sz w:val="20"/>
          <w:szCs w:val="20"/>
        </w:rPr>
        <w:t>中概股</w:t>
      </w:r>
      <w:proofErr w:type="gramEnd"/>
      <w:r w:rsidRPr="00F40C8A">
        <w:rPr>
          <w:rFonts w:ascii="楷体" w:eastAsia="楷体" w:hAnsi="楷体" w:cs="Arial" w:hint="eastAsia"/>
          <w:color w:val="auto"/>
          <w:sz w:val="20"/>
          <w:szCs w:val="20"/>
        </w:rPr>
        <w:t>回归后，市场传出“四行业跨界并购被叫停”的消息，</w:t>
      </w:r>
      <w:r w:rsidR="009736C2">
        <w:rPr>
          <w:rFonts w:ascii="楷体" w:eastAsia="楷体" w:hAnsi="楷体" w:cs="Arial" w:hint="eastAsia"/>
          <w:color w:val="auto"/>
          <w:sz w:val="20"/>
          <w:szCs w:val="20"/>
        </w:rPr>
        <w:t>再加上</w:t>
      </w:r>
      <w:r w:rsidRPr="00F40C8A">
        <w:rPr>
          <w:rFonts w:ascii="楷体" w:eastAsia="楷体" w:hAnsi="楷体" w:cs="Arial" w:hint="eastAsia"/>
          <w:color w:val="auto"/>
          <w:sz w:val="20"/>
          <w:szCs w:val="20"/>
        </w:rPr>
        <w:t>私募严加监管</w:t>
      </w:r>
      <w:r>
        <w:rPr>
          <w:rFonts w:ascii="楷体" w:eastAsia="楷体" w:hAnsi="楷体" w:cs="Arial" w:hint="eastAsia"/>
          <w:color w:val="auto"/>
          <w:sz w:val="20"/>
          <w:szCs w:val="20"/>
        </w:rPr>
        <w:t>、限售股解禁、中小</w:t>
      </w:r>
      <w:proofErr w:type="gramStart"/>
      <w:r>
        <w:rPr>
          <w:rFonts w:ascii="楷体" w:eastAsia="楷体" w:hAnsi="楷体" w:cs="Arial" w:hint="eastAsia"/>
          <w:color w:val="auto"/>
          <w:sz w:val="20"/>
          <w:szCs w:val="20"/>
        </w:rPr>
        <w:t>创板块</w:t>
      </w:r>
      <w:proofErr w:type="gramEnd"/>
      <w:r>
        <w:rPr>
          <w:rFonts w:ascii="楷体" w:eastAsia="楷体" w:hAnsi="楷体" w:cs="Arial" w:hint="eastAsia"/>
          <w:color w:val="auto"/>
          <w:sz w:val="20"/>
          <w:szCs w:val="20"/>
        </w:rPr>
        <w:t>大股东的</w:t>
      </w:r>
      <w:proofErr w:type="gramStart"/>
      <w:r w:rsidRPr="00F40C8A">
        <w:rPr>
          <w:rFonts w:ascii="楷体" w:eastAsia="楷体" w:hAnsi="楷体" w:cs="Arial" w:hint="eastAsia"/>
          <w:color w:val="auto"/>
          <w:sz w:val="20"/>
          <w:szCs w:val="20"/>
        </w:rPr>
        <w:t>减持</w:t>
      </w:r>
      <w:r w:rsidR="009736C2">
        <w:rPr>
          <w:rFonts w:ascii="楷体" w:eastAsia="楷体" w:hAnsi="楷体" w:cs="Arial" w:hint="eastAsia"/>
          <w:color w:val="auto"/>
          <w:sz w:val="20"/>
          <w:szCs w:val="20"/>
        </w:rPr>
        <w:t>等一系列</w:t>
      </w:r>
      <w:proofErr w:type="gramEnd"/>
      <w:r w:rsidR="009736C2">
        <w:rPr>
          <w:rFonts w:ascii="楷体" w:eastAsia="楷体" w:hAnsi="楷体" w:cs="Arial" w:hint="eastAsia"/>
          <w:color w:val="auto"/>
          <w:sz w:val="20"/>
          <w:szCs w:val="20"/>
        </w:rPr>
        <w:t>消息，使得市场人气十分低迷。周一跌幅近3%，后四个交易日地量震荡。</w:t>
      </w:r>
      <w:r w:rsidR="0053273E" w:rsidRPr="00CB7D61">
        <w:rPr>
          <w:rFonts w:ascii="楷体" w:eastAsia="楷体" w:hAnsi="楷体" w:cs="Arial" w:hint="eastAsia"/>
          <w:color w:val="auto"/>
          <w:sz w:val="20"/>
          <w:szCs w:val="20"/>
        </w:rPr>
        <w:t>截至5月</w:t>
      </w:r>
      <w:r w:rsidR="009736C2">
        <w:rPr>
          <w:rFonts w:ascii="楷体" w:eastAsia="楷体" w:hAnsi="楷体" w:cs="Arial" w:hint="eastAsia"/>
          <w:color w:val="auto"/>
          <w:sz w:val="20"/>
          <w:szCs w:val="20"/>
        </w:rPr>
        <w:t>12</w:t>
      </w:r>
      <w:r w:rsidR="0053273E" w:rsidRPr="00CB7D61">
        <w:rPr>
          <w:rFonts w:ascii="楷体" w:eastAsia="楷体" w:hAnsi="楷体" w:cs="Arial" w:hint="eastAsia"/>
          <w:color w:val="auto"/>
          <w:sz w:val="20"/>
          <w:szCs w:val="20"/>
        </w:rPr>
        <w:t>日，沪深两市融资融券余额报</w:t>
      </w:r>
      <w:r w:rsidR="009736C2">
        <w:rPr>
          <w:rFonts w:ascii="楷体" w:eastAsia="楷体" w:hAnsi="楷体" w:cs="Arial" w:hint="eastAsia"/>
          <w:color w:val="auto"/>
          <w:sz w:val="20"/>
          <w:szCs w:val="20"/>
        </w:rPr>
        <w:t>8405.33</w:t>
      </w:r>
      <w:r w:rsidR="0053273E" w:rsidRPr="00CB7D61">
        <w:rPr>
          <w:rFonts w:ascii="楷体" w:eastAsia="楷体" w:hAnsi="楷体" w:cs="Arial" w:hint="eastAsia"/>
          <w:color w:val="auto"/>
          <w:sz w:val="20"/>
          <w:szCs w:val="20"/>
        </w:rPr>
        <w:t>亿元，</w:t>
      </w:r>
      <w:r w:rsidR="0053273E">
        <w:rPr>
          <w:rFonts w:ascii="楷体" w:eastAsia="楷体" w:hAnsi="楷体" w:cs="Arial" w:hint="eastAsia"/>
          <w:color w:val="auto"/>
          <w:sz w:val="20"/>
          <w:szCs w:val="20"/>
        </w:rPr>
        <w:t>连</w:t>
      </w:r>
      <w:r w:rsidR="009736C2">
        <w:rPr>
          <w:rFonts w:ascii="楷体" w:eastAsia="楷体" w:hAnsi="楷体" w:cs="Arial" w:hint="eastAsia"/>
          <w:color w:val="auto"/>
          <w:sz w:val="20"/>
          <w:szCs w:val="20"/>
        </w:rPr>
        <w:t>跌5日，</w:t>
      </w:r>
      <w:proofErr w:type="gramStart"/>
      <w:r w:rsidR="009736C2">
        <w:rPr>
          <w:rFonts w:ascii="楷体" w:eastAsia="楷体" w:hAnsi="楷体" w:cs="Arial" w:hint="eastAsia"/>
          <w:color w:val="auto"/>
          <w:sz w:val="20"/>
          <w:szCs w:val="20"/>
        </w:rPr>
        <w:t>续创3月18日</w:t>
      </w:r>
      <w:proofErr w:type="gramEnd"/>
      <w:r w:rsidR="009736C2">
        <w:rPr>
          <w:rFonts w:ascii="楷体" w:eastAsia="楷体" w:hAnsi="楷体" w:cs="Arial" w:hint="eastAsia"/>
          <w:color w:val="auto"/>
          <w:sz w:val="20"/>
          <w:szCs w:val="20"/>
        </w:rPr>
        <w:t>以来新低</w:t>
      </w:r>
      <w:r w:rsidR="0053273E">
        <w:rPr>
          <w:rFonts w:ascii="楷体" w:eastAsia="楷体" w:hAnsi="楷体" w:cs="Arial" w:hint="eastAsia"/>
          <w:color w:val="auto"/>
          <w:sz w:val="20"/>
          <w:szCs w:val="20"/>
        </w:rPr>
        <w:t>。全周万得全A日均成交额为</w:t>
      </w:r>
      <w:r w:rsidR="009736C2">
        <w:rPr>
          <w:rFonts w:ascii="楷体" w:eastAsia="楷体" w:hAnsi="楷体" w:cs="Arial" w:hint="eastAsia"/>
          <w:color w:val="auto"/>
          <w:sz w:val="20"/>
          <w:szCs w:val="20"/>
        </w:rPr>
        <w:t>3928.27</w:t>
      </w:r>
      <w:r w:rsidR="0053273E" w:rsidRPr="005A6BEB">
        <w:rPr>
          <w:rFonts w:ascii="楷体" w:eastAsia="楷体" w:hAnsi="楷体" w:cs="Arial" w:hint="eastAsia"/>
          <w:color w:val="auto"/>
          <w:sz w:val="20"/>
          <w:szCs w:val="20"/>
        </w:rPr>
        <w:t>亿元</w:t>
      </w:r>
      <w:r w:rsidR="0053273E">
        <w:rPr>
          <w:rFonts w:ascii="楷体" w:eastAsia="楷体" w:hAnsi="楷体" w:cs="Arial" w:hint="eastAsia"/>
          <w:color w:val="auto"/>
          <w:sz w:val="20"/>
          <w:szCs w:val="20"/>
        </w:rPr>
        <w:t>，较上周</w:t>
      </w:r>
      <w:r w:rsidR="009736C2">
        <w:rPr>
          <w:rFonts w:ascii="楷体" w:eastAsia="楷体" w:hAnsi="楷体" w:cs="Arial" w:hint="eastAsia"/>
          <w:color w:val="auto"/>
          <w:sz w:val="20"/>
          <w:szCs w:val="20"/>
        </w:rPr>
        <w:t>减少28.78</w:t>
      </w:r>
      <w:r w:rsidR="0053273E" w:rsidRPr="005A6BEB">
        <w:rPr>
          <w:rFonts w:ascii="楷体" w:eastAsia="楷体" w:hAnsi="楷体" w:cs="Arial" w:hint="eastAsia"/>
          <w:color w:val="auto"/>
          <w:sz w:val="20"/>
          <w:szCs w:val="20"/>
        </w:rPr>
        <w:t>%。</w:t>
      </w:r>
      <w:r w:rsidR="009736C2">
        <w:rPr>
          <w:rFonts w:ascii="楷体" w:eastAsia="楷体" w:hAnsi="楷体" w:cs="Arial" w:hint="eastAsia"/>
          <w:color w:val="auto"/>
          <w:sz w:val="20"/>
          <w:szCs w:val="20"/>
        </w:rPr>
        <w:t>周五成交3471亿，创两个月次低。</w:t>
      </w:r>
      <w:r w:rsidR="009736C2" w:rsidRPr="009736C2">
        <w:rPr>
          <w:rFonts w:ascii="楷体" w:eastAsia="楷体" w:hAnsi="楷体" w:cs="Arial" w:hint="eastAsia"/>
          <w:color w:val="auto"/>
          <w:sz w:val="20"/>
          <w:szCs w:val="20"/>
        </w:rPr>
        <w:t>市场人气十分低迷，投资者信心尚未修复，场外资金观望情绪浓厚。</w:t>
      </w:r>
      <w:r w:rsidR="0053273E" w:rsidRPr="005A6BEB">
        <w:rPr>
          <w:rFonts w:ascii="楷体" w:eastAsia="楷体" w:hAnsi="楷体" w:cs="Arial"/>
          <w:color w:val="auto"/>
          <w:sz w:val="20"/>
          <w:szCs w:val="20"/>
        </w:rPr>
        <w:t>全</w:t>
      </w:r>
      <w:r w:rsidR="0053273E">
        <w:rPr>
          <w:rFonts w:ascii="楷体" w:eastAsia="楷体" w:hAnsi="楷体" w:cs="Arial" w:hint="eastAsia"/>
          <w:color w:val="auto"/>
          <w:sz w:val="20"/>
          <w:szCs w:val="20"/>
        </w:rPr>
        <w:t>周</w:t>
      </w:r>
      <w:r w:rsidR="0053273E" w:rsidRPr="0032491D">
        <w:rPr>
          <w:rFonts w:ascii="楷体" w:eastAsia="楷体" w:hAnsi="楷体" w:cs="Arial"/>
          <w:color w:val="auto"/>
          <w:sz w:val="20"/>
          <w:szCs w:val="20"/>
        </w:rPr>
        <w:t>来看，</w:t>
      </w:r>
      <w:r w:rsidR="0053273E" w:rsidRPr="0032491D">
        <w:rPr>
          <w:rFonts w:ascii="楷体" w:eastAsia="楷体" w:hAnsi="楷体" w:cs="Arial" w:hint="eastAsia"/>
          <w:color w:val="auto"/>
          <w:sz w:val="20"/>
          <w:szCs w:val="20"/>
        </w:rPr>
        <w:t>上证综指跌</w:t>
      </w:r>
      <w:r w:rsidR="009736C2">
        <w:rPr>
          <w:rFonts w:ascii="楷体" w:eastAsia="楷体" w:hAnsi="楷体" w:cs="Arial" w:hint="eastAsia"/>
          <w:color w:val="auto"/>
          <w:sz w:val="20"/>
          <w:szCs w:val="20"/>
        </w:rPr>
        <w:t>2.96</w:t>
      </w:r>
      <w:r w:rsidR="0053273E" w:rsidRPr="0032491D">
        <w:rPr>
          <w:rFonts w:ascii="楷体" w:eastAsia="楷体" w:hAnsi="楷体" w:cs="Arial" w:hint="eastAsia"/>
          <w:color w:val="auto"/>
          <w:sz w:val="20"/>
          <w:szCs w:val="20"/>
        </w:rPr>
        <w:t>%</w:t>
      </w:r>
      <w:r w:rsidR="0053273E" w:rsidRPr="0032491D">
        <w:rPr>
          <w:rFonts w:ascii="楷体" w:eastAsia="楷体" w:hAnsi="楷体" w:cs="Arial"/>
          <w:color w:val="auto"/>
          <w:sz w:val="20"/>
          <w:szCs w:val="20"/>
        </w:rPr>
        <w:t>，沪深300</w:t>
      </w:r>
      <w:r w:rsidR="0053273E" w:rsidRPr="0032491D">
        <w:rPr>
          <w:rFonts w:ascii="楷体" w:eastAsia="楷体" w:hAnsi="楷体" w:cs="Arial" w:hint="eastAsia"/>
          <w:color w:val="auto"/>
          <w:sz w:val="20"/>
          <w:szCs w:val="20"/>
        </w:rPr>
        <w:t>跌</w:t>
      </w:r>
      <w:r w:rsidR="009736C2">
        <w:rPr>
          <w:rFonts w:ascii="楷体" w:eastAsia="楷体" w:hAnsi="楷体" w:cs="Arial" w:hint="eastAsia"/>
          <w:color w:val="auto"/>
          <w:sz w:val="20"/>
          <w:szCs w:val="20"/>
        </w:rPr>
        <w:t>1.77</w:t>
      </w:r>
      <w:r w:rsidR="0053273E" w:rsidRPr="0032491D">
        <w:rPr>
          <w:rFonts w:ascii="楷体" w:eastAsia="楷体" w:hAnsi="楷体" w:cs="Arial"/>
          <w:color w:val="auto"/>
          <w:sz w:val="20"/>
          <w:szCs w:val="20"/>
        </w:rPr>
        <w:t>%，中小板指</w:t>
      </w:r>
      <w:r w:rsidR="0053273E" w:rsidRPr="0032491D">
        <w:rPr>
          <w:rFonts w:ascii="楷体" w:eastAsia="楷体" w:hAnsi="楷体" w:cs="Arial" w:hint="eastAsia"/>
          <w:color w:val="auto"/>
          <w:sz w:val="20"/>
          <w:szCs w:val="20"/>
        </w:rPr>
        <w:t>跌</w:t>
      </w:r>
      <w:r w:rsidR="009736C2">
        <w:rPr>
          <w:rFonts w:ascii="楷体" w:eastAsia="楷体" w:hAnsi="楷体" w:cs="Arial" w:hint="eastAsia"/>
          <w:color w:val="auto"/>
          <w:sz w:val="20"/>
          <w:szCs w:val="20"/>
        </w:rPr>
        <w:t>2.52</w:t>
      </w:r>
      <w:r w:rsidR="0053273E" w:rsidRPr="0032491D">
        <w:rPr>
          <w:rFonts w:ascii="楷体" w:eastAsia="楷体" w:hAnsi="楷体" w:cs="Arial"/>
          <w:color w:val="auto"/>
          <w:sz w:val="20"/>
          <w:szCs w:val="20"/>
        </w:rPr>
        <w:t>%、创业板指</w:t>
      </w:r>
      <w:r w:rsidR="0053273E" w:rsidRPr="0032491D">
        <w:rPr>
          <w:rFonts w:ascii="楷体" w:eastAsia="楷体" w:hAnsi="楷体" w:cs="Arial" w:hint="eastAsia"/>
          <w:color w:val="auto"/>
          <w:sz w:val="20"/>
          <w:szCs w:val="20"/>
        </w:rPr>
        <w:t>跌</w:t>
      </w:r>
      <w:r w:rsidR="00A36CC5">
        <w:rPr>
          <w:rFonts w:ascii="楷体" w:eastAsia="楷体" w:hAnsi="楷体" w:cs="Arial" w:hint="eastAsia"/>
          <w:color w:val="auto"/>
          <w:sz w:val="20"/>
          <w:szCs w:val="20"/>
        </w:rPr>
        <w:t>4.88</w:t>
      </w:r>
      <w:r w:rsidR="0053273E" w:rsidRPr="0032491D">
        <w:rPr>
          <w:rFonts w:ascii="楷体" w:eastAsia="楷体" w:hAnsi="楷体" w:cs="Arial"/>
          <w:color w:val="auto"/>
          <w:sz w:val="20"/>
          <w:szCs w:val="20"/>
        </w:rPr>
        <w:t>%。从</w:t>
      </w:r>
      <w:r w:rsidR="0053273E" w:rsidRPr="0032491D">
        <w:rPr>
          <w:rFonts w:ascii="楷体" w:eastAsia="楷体" w:hAnsi="楷体" w:cs="Arial" w:hint="eastAsia"/>
          <w:color w:val="auto"/>
          <w:sz w:val="20"/>
          <w:szCs w:val="20"/>
        </w:rPr>
        <w:t>概念板块来</w:t>
      </w:r>
      <w:r w:rsidR="0053273E" w:rsidRPr="0032491D">
        <w:rPr>
          <w:rFonts w:ascii="楷体" w:eastAsia="楷体" w:hAnsi="楷体" w:cs="Arial"/>
          <w:color w:val="auto"/>
          <w:sz w:val="20"/>
          <w:szCs w:val="20"/>
        </w:rPr>
        <w:t>看，</w:t>
      </w:r>
      <w:r w:rsidR="00A36CC5">
        <w:rPr>
          <w:rFonts w:ascii="楷体" w:eastAsia="楷体" w:hAnsi="楷体" w:cs="Arial" w:hint="eastAsia"/>
          <w:color w:val="auto"/>
          <w:sz w:val="20"/>
          <w:szCs w:val="20"/>
        </w:rPr>
        <w:t>锂电池</w:t>
      </w:r>
      <w:r w:rsidR="0053273E" w:rsidRPr="0032491D">
        <w:rPr>
          <w:rFonts w:ascii="楷体" w:eastAsia="楷体" w:hAnsi="楷体" w:cs="Arial" w:hint="eastAsia"/>
          <w:color w:val="auto"/>
          <w:sz w:val="20"/>
          <w:szCs w:val="20"/>
        </w:rPr>
        <w:t>指数（</w:t>
      </w:r>
      <w:r w:rsidR="00A36CC5">
        <w:rPr>
          <w:rFonts w:ascii="楷体" w:eastAsia="楷体" w:hAnsi="楷体" w:cs="Arial" w:hint="eastAsia"/>
          <w:color w:val="auto"/>
          <w:sz w:val="20"/>
          <w:szCs w:val="20"/>
        </w:rPr>
        <w:t>0.00</w:t>
      </w:r>
      <w:r w:rsidR="0053273E" w:rsidRPr="0032491D">
        <w:rPr>
          <w:rFonts w:ascii="楷体" w:eastAsia="楷体" w:hAnsi="楷体" w:cs="Arial" w:hint="eastAsia"/>
          <w:color w:val="auto"/>
          <w:sz w:val="20"/>
          <w:szCs w:val="20"/>
        </w:rPr>
        <w:t>%）、</w:t>
      </w:r>
      <w:r w:rsidR="00A36CC5">
        <w:rPr>
          <w:rFonts w:ascii="楷体" w:eastAsia="楷体" w:hAnsi="楷体" w:cs="Arial" w:hint="eastAsia"/>
          <w:color w:val="auto"/>
          <w:sz w:val="20"/>
          <w:szCs w:val="20"/>
        </w:rPr>
        <w:t>沪股通50</w:t>
      </w:r>
      <w:r w:rsidR="0053273E" w:rsidRPr="0032491D">
        <w:rPr>
          <w:rFonts w:ascii="楷体" w:eastAsia="楷体" w:hAnsi="楷体" w:cs="Arial" w:hint="eastAsia"/>
          <w:color w:val="auto"/>
          <w:sz w:val="20"/>
          <w:szCs w:val="20"/>
        </w:rPr>
        <w:t>指数（</w:t>
      </w:r>
      <w:r w:rsidR="00A36CC5">
        <w:rPr>
          <w:rFonts w:ascii="楷体" w:eastAsia="楷体" w:hAnsi="楷体" w:cs="Arial" w:hint="eastAsia"/>
          <w:color w:val="auto"/>
          <w:sz w:val="20"/>
          <w:szCs w:val="20"/>
        </w:rPr>
        <w:t>-1.65</w:t>
      </w:r>
      <w:r w:rsidR="0053273E" w:rsidRPr="0032491D">
        <w:rPr>
          <w:rFonts w:ascii="楷体" w:eastAsia="楷体" w:hAnsi="楷体" w:cs="Arial" w:hint="eastAsia"/>
          <w:color w:val="auto"/>
          <w:sz w:val="20"/>
          <w:szCs w:val="20"/>
        </w:rPr>
        <w:t>%）、</w:t>
      </w:r>
      <w:proofErr w:type="gramStart"/>
      <w:r w:rsidR="00A36CC5">
        <w:rPr>
          <w:rFonts w:ascii="楷体" w:eastAsia="楷体" w:hAnsi="楷体" w:cs="Arial" w:hint="eastAsia"/>
          <w:color w:val="auto"/>
          <w:sz w:val="20"/>
          <w:szCs w:val="20"/>
        </w:rPr>
        <w:t>医药电</w:t>
      </w:r>
      <w:proofErr w:type="gramEnd"/>
      <w:r w:rsidR="00A36CC5">
        <w:rPr>
          <w:rFonts w:ascii="楷体" w:eastAsia="楷体" w:hAnsi="楷体" w:cs="Arial" w:hint="eastAsia"/>
          <w:color w:val="auto"/>
          <w:sz w:val="20"/>
          <w:szCs w:val="20"/>
        </w:rPr>
        <w:t>商</w:t>
      </w:r>
      <w:r w:rsidR="0053273E" w:rsidRPr="0032491D">
        <w:rPr>
          <w:rFonts w:ascii="楷体" w:eastAsia="楷体" w:hAnsi="楷体" w:cs="Arial" w:hint="eastAsia"/>
          <w:color w:val="auto"/>
          <w:sz w:val="20"/>
          <w:szCs w:val="20"/>
        </w:rPr>
        <w:t>指数（</w:t>
      </w:r>
      <w:r w:rsidR="00A36CC5">
        <w:rPr>
          <w:rFonts w:ascii="楷体" w:eastAsia="楷体" w:hAnsi="楷体" w:cs="Arial" w:hint="eastAsia"/>
          <w:color w:val="auto"/>
          <w:sz w:val="20"/>
          <w:szCs w:val="20"/>
        </w:rPr>
        <w:t>-2.25</w:t>
      </w:r>
      <w:r w:rsidR="0053273E" w:rsidRPr="0032491D">
        <w:rPr>
          <w:rFonts w:ascii="楷体" w:eastAsia="楷体" w:hAnsi="楷体" w:cs="Arial" w:hint="eastAsia"/>
          <w:color w:val="auto"/>
          <w:sz w:val="20"/>
          <w:szCs w:val="20"/>
        </w:rPr>
        <w:t>%）</w:t>
      </w:r>
      <w:r w:rsidR="0053273E" w:rsidRPr="0032491D">
        <w:rPr>
          <w:rFonts w:ascii="楷体" w:eastAsia="楷体" w:hAnsi="楷体" w:cs="Arial"/>
          <w:color w:val="auto"/>
          <w:sz w:val="20"/>
          <w:szCs w:val="20"/>
        </w:rPr>
        <w:t>表现</w:t>
      </w:r>
      <w:r w:rsidR="00A36CC5">
        <w:rPr>
          <w:rFonts w:ascii="楷体" w:eastAsia="楷体" w:hAnsi="楷体" w:cs="Arial"/>
          <w:color w:val="auto"/>
          <w:sz w:val="20"/>
          <w:szCs w:val="20"/>
        </w:rPr>
        <w:t>相对</w:t>
      </w:r>
      <w:r w:rsidR="0053273E" w:rsidRPr="0032491D">
        <w:rPr>
          <w:rFonts w:ascii="楷体" w:eastAsia="楷体" w:hAnsi="楷体" w:cs="Arial"/>
          <w:color w:val="auto"/>
          <w:sz w:val="20"/>
          <w:szCs w:val="20"/>
        </w:rPr>
        <w:t>较好。29个中信</w:t>
      </w:r>
      <w:proofErr w:type="gramStart"/>
      <w:r w:rsidR="0053273E" w:rsidRPr="0032491D">
        <w:rPr>
          <w:rFonts w:ascii="楷体" w:eastAsia="楷体" w:hAnsi="楷体" w:cs="Arial"/>
          <w:color w:val="auto"/>
          <w:sz w:val="20"/>
          <w:szCs w:val="20"/>
        </w:rPr>
        <w:t>一级行业</w:t>
      </w:r>
      <w:proofErr w:type="gramEnd"/>
      <w:r w:rsidR="00A36CC5">
        <w:rPr>
          <w:rFonts w:ascii="楷体" w:eastAsia="楷体" w:hAnsi="楷体" w:cs="Arial"/>
          <w:color w:val="auto"/>
          <w:sz w:val="20"/>
          <w:szCs w:val="20"/>
        </w:rPr>
        <w:t>只</w:t>
      </w:r>
      <w:r w:rsidR="0053273E" w:rsidRPr="0032491D">
        <w:rPr>
          <w:rFonts w:ascii="楷体" w:eastAsia="楷体" w:hAnsi="楷体" w:cs="Arial" w:hint="eastAsia"/>
          <w:color w:val="auto"/>
          <w:sz w:val="20"/>
          <w:szCs w:val="20"/>
        </w:rPr>
        <w:t>有</w:t>
      </w:r>
      <w:r w:rsidR="00A36CC5">
        <w:rPr>
          <w:rFonts w:ascii="楷体" w:eastAsia="楷体" w:hAnsi="楷体" w:cs="Arial" w:hint="eastAsia"/>
          <w:color w:val="auto"/>
          <w:sz w:val="20"/>
          <w:szCs w:val="20"/>
        </w:rPr>
        <w:t>1</w:t>
      </w:r>
      <w:r w:rsidR="0053273E" w:rsidRPr="0032491D">
        <w:rPr>
          <w:rFonts w:ascii="楷体" w:eastAsia="楷体" w:hAnsi="楷体" w:cs="Arial" w:hint="eastAsia"/>
          <w:color w:val="auto"/>
          <w:sz w:val="20"/>
          <w:szCs w:val="20"/>
        </w:rPr>
        <w:t>个行业上涨</w:t>
      </w:r>
      <w:r w:rsidR="0053273E" w:rsidRPr="0032491D">
        <w:rPr>
          <w:rFonts w:ascii="楷体" w:eastAsia="楷体" w:hAnsi="楷体" w:cs="Arial"/>
          <w:color w:val="auto"/>
          <w:sz w:val="20"/>
          <w:szCs w:val="20"/>
        </w:rPr>
        <w:t>，其中</w:t>
      </w:r>
      <w:r w:rsidR="00A36CC5">
        <w:rPr>
          <w:rFonts w:ascii="楷体" w:eastAsia="楷体" w:hAnsi="楷体" w:cs="Arial" w:hint="eastAsia"/>
          <w:color w:val="auto"/>
          <w:sz w:val="20"/>
          <w:szCs w:val="20"/>
        </w:rPr>
        <w:t>食品饮料</w:t>
      </w:r>
      <w:r w:rsidR="0053273E" w:rsidRPr="0032491D">
        <w:rPr>
          <w:rFonts w:ascii="楷体" w:eastAsia="楷体" w:hAnsi="楷体" w:cs="Arial"/>
          <w:color w:val="auto"/>
          <w:sz w:val="20"/>
          <w:szCs w:val="20"/>
        </w:rPr>
        <w:t>（</w:t>
      </w:r>
      <w:r w:rsidR="00A36CC5">
        <w:rPr>
          <w:rFonts w:ascii="楷体" w:eastAsia="楷体" w:hAnsi="楷体" w:cs="Arial" w:hint="eastAsia"/>
          <w:color w:val="auto"/>
          <w:sz w:val="20"/>
          <w:szCs w:val="20"/>
        </w:rPr>
        <w:t>0.47</w:t>
      </w:r>
      <w:r w:rsidR="0053273E" w:rsidRPr="0032491D">
        <w:rPr>
          <w:rFonts w:ascii="楷体" w:eastAsia="楷体" w:hAnsi="楷体" w:cs="Arial"/>
          <w:color w:val="auto"/>
          <w:sz w:val="20"/>
          <w:szCs w:val="20"/>
        </w:rPr>
        <w:t>%）、</w:t>
      </w:r>
      <w:r w:rsidR="00A36CC5">
        <w:rPr>
          <w:rFonts w:ascii="楷体" w:eastAsia="楷体" w:hAnsi="楷体" w:cs="Arial" w:hint="eastAsia"/>
          <w:color w:val="auto"/>
          <w:sz w:val="20"/>
          <w:szCs w:val="20"/>
        </w:rPr>
        <w:t>银行</w:t>
      </w:r>
      <w:r w:rsidR="0053273E" w:rsidRPr="0032491D">
        <w:rPr>
          <w:rFonts w:ascii="楷体" w:eastAsia="楷体" w:hAnsi="楷体" w:cs="Arial"/>
          <w:color w:val="auto"/>
          <w:sz w:val="20"/>
          <w:szCs w:val="20"/>
        </w:rPr>
        <w:t>（</w:t>
      </w:r>
      <w:r w:rsidR="00A36CC5">
        <w:rPr>
          <w:rFonts w:ascii="楷体" w:eastAsia="楷体" w:hAnsi="楷体" w:cs="Arial" w:hint="eastAsia"/>
          <w:color w:val="auto"/>
          <w:sz w:val="20"/>
          <w:szCs w:val="20"/>
        </w:rPr>
        <w:t>-0.87</w:t>
      </w:r>
      <w:r w:rsidR="0053273E" w:rsidRPr="0032491D">
        <w:rPr>
          <w:rFonts w:ascii="楷体" w:eastAsia="楷体" w:hAnsi="楷体" w:cs="Arial"/>
          <w:color w:val="auto"/>
          <w:sz w:val="20"/>
          <w:szCs w:val="20"/>
        </w:rPr>
        <w:t>%）</w:t>
      </w:r>
      <w:r w:rsidR="0053273E">
        <w:rPr>
          <w:rFonts w:ascii="楷体" w:eastAsia="楷体" w:hAnsi="楷体" w:cs="Arial" w:hint="eastAsia"/>
          <w:color w:val="auto"/>
          <w:sz w:val="20"/>
          <w:szCs w:val="20"/>
        </w:rPr>
        <w:t>、</w:t>
      </w:r>
      <w:r w:rsidR="00A36CC5">
        <w:rPr>
          <w:rFonts w:ascii="楷体" w:eastAsia="楷体" w:hAnsi="楷体" w:cs="Arial" w:hint="eastAsia"/>
          <w:color w:val="auto"/>
          <w:sz w:val="20"/>
          <w:szCs w:val="20"/>
        </w:rPr>
        <w:t>家电</w:t>
      </w:r>
      <w:r w:rsidR="0053273E" w:rsidRPr="0032491D">
        <w:rPr>
          <w:rFonts w:ascii="楷体" w:eastAsia="楷体" w:hAnsi="楷体" w:cs="Arial"/>
          <w:color w:val="auto"/>
          <w:sz w:val="20"/>
          <w:szCs w:val="20"/>
        </w:rPr>
        <w:t>（</w:t>
      </w:r>
      <w:r w:rsidR="00A36CC5">
        <w:rPr>
          <w:rFonts w:ascii="楷体" w:eastAsia="楷体" w:hAnsi="楷体" w:cs="Arial" w:hint="eastAsia"/>
          <w:color w:val="auto"/>
          <w:sz w:val="20"/>
          <w:szCs w:val="20"/>
        </w:rPr>
        <w:t>-1.51</w:t>
      </w:r>
      <w:r w:rsidR="0053273E" w:rsidRPr="0032491D">
        <w:rPr>
          <w:rFonts w:ascii="楷体" w:eastAsia="楷体" w:hAnsi="楷体" w:cs="Arial"/>
          <w:color w:val="auto"/>
          <w:sz w:val="20"/>
          <w:szCs w:val="20"/>
        </w:rPr>
        <w:t>%）等行业</w:t>
      </w:r>
      <w:r w:rsidR="0053273E" w:rsidRPr="0032491D">
        <w:rPr>
          <w:rFonts w:ascii="楷体" w:eastAsia="楷体" w:hAnsi="楷体" w:cs="Arial" w:hint="eastAsia"/>
          <w:color w:val="auto"/>
          <w:sz w:val="20"/>
          <w:szCs w:val="20"/>
        </w:rPr>
        <w:t>表现</w:t>
      </w:r>
      <w:r w:rsidR="0053273E" w:rsidRPr="0032491D">
        <w:rPr>
          <w:rFonts w:ascii="楷体" w:eastAsia="楷体" w:hAnsi="楷体" w:cs="Arial"/>
          <w:color w:val="auto"/>
          <w:sz w:val="20"/>
          <w:szCs w:val="20"/>
        </w:rPr>
        <w:t>相对较好，</w:t>
      </w:r>
      <w:r w:rsidR="00A36CC5">
        <w:rPr>
          <w:rFonts w:ascii="楷体" w:eastAsia="楷体" w:hAnsi="楷体" w:cs="Arial" w:hint="eastAsia"/>
          <w:color w:val="auto"/>
          <w:sz w:val="20"/>
          <w:szCs w:val="20"/>
        </w:rPr>
        <w:t>综合</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A36CC5">
        <w:rPr>
          <w:rFonts w:ascii="楷体" w:eastAsia="楷体" w:hAnsi="楷体" w:cs="Arial" w:hint="eastAsia"/>
          <w:color w:val="auto"/>
          <w:sz w:val="20"/>
          <w:szCs w:val="20"/>
        </w:rPr>
        <w:t>9.32</w:t>
      </w:r>
      <w:r w:rsidR="0053273E" w:rsidRPr="0032491D">
        <w:rPr>
          <w:rFonts w:ascii="楷体" w:eastAsia="楷体" w:hAnsi="楷体" w:cs="Arial"/>
          <w:color w:val="auto"/>
          <w:sz w:val="20"/>
          <w:szCs w:val="20"/>
        </w:rPr>
        <w:t>%）、</w:t>
      </w:r>
      <w:r w:rsidR="00A36CC5">
        <w:rPr>
          <w:rFonts w:ascii="楷体" w:eastAsia="楷体" w:hAnsi="楷体" w:cs="Arial" w:hint="eastAsia"/>
          <w:color w:val="auto"/>
          <w:sz w:val="20"/>
          <w:szCs w:val="20"/>
        </w:rPr>
        <w:t>传媒</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A36CC5">
        <w:rPr>
          <w:rFonts w:ascii="楷体" w:eastAsia="楷体" w:hAnsi="楷体" w:cs="Arial" w:hint="eastAsia"/>
          <w:color w:val="auto"/>
          <w:sz w:val="20"/>
          <w:szCs w:val="20"/>
        </w:rPr>
        <w:t>8.53</w:t>
      </w:r>
      <w:r w:rsidR="0053273E" w:rsidRPr="0032491D">
        <w:rPr>
          <w:rFonts w:ascii="楷体" w:eastAsia="楷体" w:hAnsi="楷体" w:cs="Arial"/>
          <w:color w:val="auto"/>
          <w:sz w:val="20"/>
          <w:szCs w:val="20"/>
        </w:rPr>
        <w:t>%）、</w:t>
      </w:r>
      <w:r w:rsidR="00A36CC5">
        <w:rPr>
          <w:rFonts w:ascii="楷体" w:eastAsia="楷体" w:hAnsi="楷体" w:cs="Arial" w:hint="eastAsia"/>
          <w:color w:val="auto"/>
          <w:sz w:val="20"/>
          <w:szCs w:val="20"/>
        </w:rPr>
        <w:t>计算机</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A36CC5">
        <w:rPr>
          <w:rFonts w:ascii="楷体" w:eastAsia="楷体" w:hAnsi="楷体" w:cs="Arial" w:hint="eastAsia"/>
          <w:color w:val="auto"/>
          <w:sz w:val="20"/>
          <w:szCs w:val="20"/>
        </w:rPr>
        <w:t>7.72</w:t>
      </w:r>
      <w:r w:rsidR="0053273E" w:rsidRPr="0032491D">
        <w:rPr>
          <w:rFonts w:ascii="楷体" w:eastAsia="楷体" w:hAnsi="楷体" w:cs="Arial"/>
          <w:color w:val="auto"/>
          <w:sz w:val="20"/>
          <w:szCs w:val="20"/>
        </w:rPr>
        <w:t>%）等行业</w:t>
      </w:r>
      <w:r w:rsidR="0053273E" w:rsidRPr="0032491D">
        <w:rPr>
          <w:rFonts w:ascii="楷体" w:eastAsia="楷体" w:hAnsi="楷体" w:cs="Arial" w:hint="eastAsia"/>
          <w:color w:val="auto"/>
          <w:sz w:val="20"/>
          <w:szCs w:val="20"/>
        </w:rPr>
        <w:t>表现垫底</w:t>
      </w:r>
      <w:r w:rsidR="0053273E" w:rsidRPr="0032491D">
        <w:rPr>
          <w:rFonts w:ascii="楷体" w:eastAsia="楷体" w:hAnsi="楷体" w:cs="Arial"/>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国内债券市场</w:t>
      </w:r>
    </w:p>
    <w:p w:rsidR="0053273E" w:rsidRPr="006C29BB" w:rsidRDefault="0053273E" w:rsidP="006C29BB">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sidRPr="006C29BB">
        <w:rPr>
          <w:rFonts w:ascii="楷体" w:eastAsia="楷体" w:hAnsi="楷体" w:cs="Arial" w:hint="eastAsia"/>
          <w:b/>
          <w:color w:val="auto"/>
          <w:sz w:val="20"/>
          <w:szCs w:val="20"/>
        </w:rPr>
        <w:t>资金面</w:t>
      </w:r>
      <w:r w:rsidR="00A867D5" w:rsidRPr="006C29BB">
        <w:rPr>
          <w:rFonts w:ascii="楷体" w:eastAsia="楷体" w:hAnsi="楷体" w:cs="Arial" w:hint="eastAsia"/>
          <w:b/>
          <w:color w:val="auto"/>
          <w:sz w:val="20"/>
          <w:szCs w:val="20"/>
        </w:rPr>
        <w:t>相对平稳，</w:t>
      </w:r>
      <w:r w:rsidR="006C29BB" w:rsidRPr="006C29BB">
        <w:rPr>
          <w:rFonts w:ascii="楷体" w:eastAsia="楷体" w:hAnsi="楷体" w:cs="Arial" w:hint="eastAsia"/>
          <w:b/>
          <w:color w:val="auto"/>
          <w:sz w:val="20"/>
          <w:szCs w:val="20"/>
        </w:rPr>
        <w:t>债市</w:t>
      </w:r>
      <w:r w:rsidR="00A867D5" w:rsidRPr="006C29BB">
        <w:rPr>
          <w:rFonts w:ascii="楷体" w:eastAsia="楷体" w:hAnsi="楷体" w:cs="Arial" w:hint="eastAsia"/>
          <w:b/>
          <w:color w:val="auto"/>
          <w:sz w:val="20"/>
          <w:szCs w:val="20"/>
        </w:rPr>
        <w:t>风险尚存</w:t>
      </w:r>
      <w:r w:rsidRPr="006C29BB">
        <w:rPr>
          <w:rFonts w:ascii="楷体" w:eastAsia="楷体" w:hAnsi="楷体" w:cs="Arial"/>
          <w:b/>
          <w:color w:val="auto"/>
          <w:sz w:val="20"/>
          <w:szCs w:val="20"/>
        </w:rPr>
        <w:t>。</w:t>
      </w:r>
      <w:r w:rsidR="00B62338" w:rsidRPr="006C29BB">
        <w:rPr>
          <w:rFonts w:ascii="楷体" w:eastAsia="楷体" w:hAnsi="楷体" w:cs="Arial" w:hint="eastAsia"/>
          <w:color w:val="auto"/>
          <w:sz w:val="20"/>
          <w:szCs w:val="20"/>
        </w:rPr>
        <w:t>本周净回笼1700亿。至此，央行已连续三周净回笼资金。</w:t>
      </w:r>
      <w:r w:rsidR="00A867D5" w:rsidRPr="006C29BB">
        <w:rPr>
          <w:rFonts w:ascii="楷体" w:eastAsia="楷体" w:hAnsi="楷体" w:cs="Arial" w:hint="eastAsia"/>
          <w:color w:val="auto"/>
          <w:sz w:val="20"/>
          <w:szCs w:val="20"/>
        </w:rPr>
        <w:t>尽管近期公开市场持续资金净回笼，但在月初供给充裕、营改增补充细则利好等因素影响下，目前市场资金供需都相对平稳。各期限资金利率</w:t>
      </w:r>
      <w:proofErr w:type="gramStart"/>
      <w:r w:rsidR="006C29BB" w:rsidRPr="006C29BB">
        <w:rPr>
          <w:rFonts w:ascii="楷体" w:eastAsia="楷体" w:hAnsi="楷体" w:cs="Arial" w:hint="eastAsia"/>
          <w:color w:val="auto"/>
          <w:sz w:val="20"/>
          <w:szCs w:val="20"/>
        </w:rPr>
        <w:t>页保持</w:t>
      </w:r>
      <w:proofErr w:type="gramEnd"/>
      <w:r w:rsidR="006C29BB" w:rsidRPr="006C29BB">
        <w:rPr>
          <w:rFonts w:ascii="楷体" w:eastAsia="楷体" w:hAnsi="楷体" w:cs="Arial" w:hint="eastAsia"/>
          <w:color w:val="auto"/>
          <w:sz w:val="20"/>
          <w:szCs w:val="20"/>
        </w:rPr>
        <w:t>相对平稳的状态</w:t>
      </w:r>
      <w:r w:rsidR="00A867D5" w:rsidRPr="006C29BB">
        <w:rPr>
          <w:rFonts w:ascii="楷体" w:eastAsia="楷体" w:hAnsi="楷体" w:cs="Arial" w:hint="eastAsia"/>
          <w:color w:val="auto"/>
          <w:sz w:val="20"/>
          <w:szCs w:val="20"/>
        </w:rPr>
        <w:t>。短端7天逆回购招标利率仍维持在2.25%不变。银行间7天回购利率R007</w:t>
      </w:r>
      <w:r w:rsidR="006C29BB" w:rsidRPr="006C29BB">
        <w:rPr>
          <w:rFonts w:ascii="楷体" w:eastAsia="楷体" w:hAnsi="楷体" w:cs="Arial" w:hint="eastAsia"/>
          <w:color w:val="auto"/>
          <w:sz w:val="20"/>
          <w:szCs w:val="20"/>
        </w:rPr>
        <w:t>小幅上行2bp至2.45%</w:t>
      </w:r>
      <w:r w:rsidR="00A867D5" w:rsidRPr="006C29BB">
        <w:rPr>
          <w:rFonts w:ascii="楷体" w:eastAsia="楷体" w:hAnsi="楷体" w:cs="Arial" w:hint="eastAsia"/>
          <w:color w:val="auto"/>
          <w:sz w:val="20"/>
          <w:szCs w:val="20"/>
        </w:rPr>
        <w:t>，隔夜回购利率R001</w:t>
      </w:r>
      <w:r w:rsidR="006C29BB" w:rsidRPr="006C29BB">
        <w:rPr>
          <w:rFonts w:ascii="楷体" w:eastAsia="楷体" w:hAnsi="楷体" w:cs="Arial" w:hint="eastAsia"/>
          <w:color w:val="auto"/>
          <w:sz w:val="20"/>
          <w:szCs w:val="20"/>
        </w:rPr>
        <w:t>维持2.03</w:t>
      </w:r>
      <w:r w:rsidR="00A867D5" w:rsidRPr="006C29BB">
        <w:rPr>
          <w:rFonts w:ascii="楷体" w:eastAsia="楷体" w:hAnsi="楷体" w:cs="Arial" w:hint="eastAsia"/>
          <w:color w:val="auto"/>
          <w:sz w:val="20"/>
          <w:szCs w:val="20"/>
        </w:rPr>
        <w:t>%</w:t>
      </w:r>
      <w:r w:rsidR="006C29BB" w:rsidRPr="006C29BB">
        <w:rPr>
          <w:rFonts w:ascii="楷体" w:eastAsia="楷体" w:hAnsi="楷体" w:cs="Arial" w:hint="eastAsia"/>
          <w:color w:val="auto"/>
          <w:sz w:val="20"/>
          <w:szCs w:val="20"/>
        </w:rPr>
        <w:t>不变</w:t>
      </w:r>
      <w:r w:rsidR="00A867D5" w:rsidRPr="006C29BB">
        <w:rPr>
          <w:rFonts w:ascii="楷体" w:eastAsia="楷体" w:hAnsi="楷体" w:cs="Arial" w:hint="eastAsia"/>
          <w:color w:val="auto"/>
          <w:sz w:val="20"/>
          <w:szCs w:val="20"/>
        </w:rPr>
        <w:t>。不过从下周开始缴税影响</w:t>
      </w:r>
      <w:proofErr w:type="gramStart"/>
      <w:r w:rsidR="00A867D5" w:rsidRPr="006C29BB">
        <w:rPr>
          <w:rFonts w:ascii="楷体" w:eastAsia="楷体" w:hAnsi="楷体" w:cs="Arial" w:hint="eastAsia"/>
          <w:color w:val="auto"/>
          <w:sz w:val="20"/>
          <w:szCs w:val="20"/>
        </w:rPr>
        <w:t>料逐渐</w:t>
      </w:r>
      <w:proofErr w:type="gramEnd"/>
      <w:r w:rsidR="00A867D5" w:rsidRPr="006C29BB">
        <w:rPr>
          <w:rFonts w:ascii="楷体" w:eastAsia="楷体" w:hAnsi="楷体" w:cs="Arial" w:hint="eastAsia"/>
          <w:color w:val="auto"/>
          <w:sz w:val="20"/>
          <w:szCs w:val="20"/>
        </w:rPr>
        <w:t>明显，加之中下旬还有MLF（中期借贷便利）到期，短期资金供给可能有所收缩，流动性或时有波动。</w:t>
      </w:r>
      <w:r w:rsidRPr="006C29BB">
        <w:rPr>
          <w:rFonts w:ascii="楷体" w:eastAsia="楷体" w:hAnsi="楷体" w:cs="Arial" w:hint="eastAsia"/>
          <w:color w:val="auto"/>
          <w:sz w:val="20"/>
          <w:szCs w:val="20"/>
        </w:rPr>
        <w:t>利率债方面，</w:t>
      </w:r>
      <w:r w:rsidR="006C29BB" w:rsidRPr="006C29BB">
        <w:rPr>
          <w:rFonts w:ascii="楷体" w:eastAsia="楷体" w:hAnsi="楷体" w:cs="Arial" w:hint="eastAsia"/>
          <w:color w:val="auto"/>
          <w:sz w:val="20"/>
          <w:szCs w:val="20"/>
        </w:rPr>
        <w:t>短期国债收益率下行，10年期国债收益率稳定。当前供给压力、货币政策趋于中性等利空因素</w:t>
      </w:r>
      <w:proofErr w:type="gramStart"/>
      <w:r w:rsidR="006C29BB" w:rsidRPr="006C29BB">
        <w:rPr>
          <w:rFonts w:ascii="楷体" w:eastAsia="楷体" w:hAnsi="楷体" w:cs="Arial" w:hint="eastAsia"/>
          <w:color w:val="auto"/>
          <w:sz w:val="20"/>
          <w:szCs w:val="20"/>
        </w:rPr>
        <w:t>尚未的</w:t>
      </w:r>
      <w:proofErr w:type="gramEnd"/>
      <w:r w:rsidR="006C29BB" w:rsidRPr="006C29BB">
        <w:rPr>
          <w:rFonts w:ascii="楷体" w:eastAsia="楷体" w:hAnsi="楷体" w:cs="Arial" w:hint="eastAsia"/>
          <w:color w:val="auto"/>
          <w:sz w:val="20"/>
          <w:szCs w:val="20"/>
        </w:rPr>
        <w:t>到有效改善。</w:t>
      </w:r>
      <w:r w:rsidR="00A867D5" w:rsidRPr="006C29BB">
        <w:rPr>
          <w:rFonts w:ascii="楷体" w:eastAsia="楷体" w:hAnsi="楷体" w:cs="Arial" w:hint="eastAsia"/>
          <w:color w:val="auto"/>
          <w:sz w:val="20"/>
          <w:szCs w:val="20"/>
        </w:rPr>
        <w:t>信用债方面，5月份将迎来债券市场天量偿还潮，总偿还量高达1.67</w:t>
      </w:r>
      <w:proofErr w:type="gramStart"/>
      <w:r w:rsidR="00A867D5" w:rsidRPr="006C29BB">
        <w:rPr>
          <w:rFonts w:ascii="楷体" w:eastAsia="楷体" w:hAnsi="楷体" w:cs="Arial" w:hint="eastAsia"/>
          <w:color w:val="auto"/>
          <w:sz w:val="20"/>
          <w:szCs w:val="20"/>
        </w:rPr>
        <w:t>万亿</w:t>
      </w:r>
      <w:proofErr w:type="gramEnd"/>
      <w:r w:rsidR="00A867D5" w:rsidRPr="006C29BB">
        <w:rPr>
          <w:rFonts w:ascii="楷体" w:eastAsia="楷体" w:hAnsi="楷体" w:cs="Arial" w:hint="eastAsia"/>
          <w:color w:val="auto"/>
          <w:sz w:val="20"/>
          <w:szCs w:val="20"/>
        </w:rPr>
        <w:t>元，其中有近1.17</w:t>
      </w:r>
      <w:proofErr w:type="gramStart"/>
      <w:r w:rsidR="00A867D5" w:rsidRPr="006C29BB">
        <w:rPr>
          <w:rFonts w:ascii="楷体" w:eastAsia="楷体" w:hAnsi="楷体" w:cs="Arial" w:hint="eastAsia"/>
          <w:color w:val="auto"/>
          <w:sz w:val="20"/>
          <w:szCs w:val="20"/>
        </w:rPr>
        <w:t>万亿</w:t>
      </w:r>
      <w:proofErr w:type="gramEnd"/>
      <w:r w:rsidR="00A867D5" w:rsidRPr="006C29BB">
        <w:rPr>
          <w:rFonts w:ascii="楷体" w:eastAsia="楷体" w:hAnsi="楷体" w:cs="Arial" w:hint="eastAsia"/>
          <w:color w:val="auto"/>
          <w:sz w:val="20"/>
          <w:szCs w:val="20"/>
        </w:rPr>
        <w:t>元为“垃圾债券”，预计会有更多违约事件浮出水面，违约将呈常态化</w:t>
      </w:r>
      <w:r w:rsidRPr="006C29BB">
        <w:rPr>
          <w:rFonts w:ascii="楷体" w:eastAsia="楷体" w:hAnsi="楷体" w:cs="Arial" w:hint="eastAsia"/>
          <w:color w:val="auto"/>
          <w:sz w:val="20"/>
          <w:szCs w:val="20"/>
        </w:rPr>
        <w:t>。</w:t>
      </w:r>
      <w:proofErr w:type="gramStart"/>
      <w:r w:rsidR="00E917C3" w:rsidRPr="006C29BB">
        <w:rPr>
          <w:rFonts w:ascii="楷体" w:eastAsia="楷体" w:hAnsi="楷体" w:cs="Arial" w:hint="eastAsia"/>
          <w:color w:val="auto"/>
          <w:sz w:val="20"/>
          <w:szCs w:val="20"/>
        </w:rPr>
        <w:t>上周</w:t>
      </w:r>
      <w:r w:rsidRPr="006C29BB">
        <w:rPr>
          <w:rFonts w:ascii="楷体" w:eastAsia="楷体" w:hAnsi="楷体" w:cs="Arial" w:hint="eastAsia"/>
          <w:color w:val="auto"/>
          <w:sz w:val="20"/>
          <w:szCs w:val="20"/>
        </w:rPr>
        <w:t>中债总净价</w:t>
      </w:r>
      <w:proofErr w:type="gramEnd"/>
      <w:r w:rsidRPr="006C29BB">
        <w:rPr>
          <w:rFonts w:ascii="楷体" w:eastAsia="楷体" w:hAnsi="楷体" w:cs="Arial" w:hint="eastAsia"/>
          <w:color w:val="auto"/>
          <w:sz w:val="20"/>
          <w:szCs w:val="20"/>
        </w:rPr>
        <w:t>指数上涨0.</w:t>
      </w:r>
      <w:r w:rsidR="00B214B7">
        <w:rPr>
          <w:rFonts w:ascii="楷体" w:eastAsia="楷体" w:hAnsi="楷体" w:cs="Arial" w:hint="eastAsia"/>
          <w:color w:val="auto"/>
          <w:sz w:val="20"/>
          <w:szCs w:val="20"/>
        </w:rPr>
        <w:t>27</w:t>
      </w:r>
      <w:r w:rsidRPr="006C29BB">
        <w:rPr>
          <w:rFonts w:ascii="楷体" w:eastAsia="楷体" w:hAnsi="楷体" w:cs="Arial" w:hint="eastAsia"/>
          <w:color w:val="auto"/>
          <w:sz w:val="20"/>
          <w:szCs w:val="20"/>
        </w:rPr>
        <w:t>%，中</w:t>
      </w:r>
      <w:proofErr w:type="gramStart"/>
      <w:r w:rsidRPr="006C29BB">
        <w:rPr>
          <w:rFonts w:ascii="楷体" w:eastAsia="楷体" w:hAnsi="楷体" w:cs="Arial" w:hint="eastAsia"/>
          <w:color w:val="auto"/>
          <w:sz w:val="20"/>
          <w:szCs w:val="20"/>
        </w:rPr>
        <w:t>债企业债总</w:t>
      </w:r>
      <w:proofErr w:type="gramEnd"/>
      <w:r w:rsidRPr="006C29BB">
        <w:rPr>
          <w:rFonts w:ascii="楷体" w:eastAsia="楷体" w:hAnsi="楷体" w:cs="Arial" w:hint="eastAsia"/>
          <w:color w:val="auto"/>
          <w:sz w:val="20"/>
          <w:szCs w:val="20"/>
        </w:rPr>
        <w:t>净价指数上涨0.</w:t>
      </w:r>
      <w:r w:rsidR="00B214B7">
        <w:rPr>
          <w:rFonts w:ascii="楷体" w:eastAsia="楷体" w:hAnsi="楷体" w:cs="Arial" w:hint="eastAsia"/>
          <w:color w:val="auto"/>
          <w:sz w:val="20"/>
          <w:szCs w:val="20"/>
        </w:rPr>
        <w:t>23</w:t>
      </w:r>
      <w:r w:rsidRPr="006C29BB">
        <w:rPr>
          <w:rFonts w:ascii="楷体" w:eastAsia="楷体" w:hAnsi="楷体" w:cs="Arial" w:hint="eastAsia"/>
          <w:color w:val="auto"/>
          <w:sz w:val="20"/>
          <w:szCs w:val="20"/>
        </w:rPr>
        <w:t>%，中债国债总净价指数</w:t>
      </w:r>
      <w:r w:rsidR="00B214B7">
        <w:rPr>
          <w:rFonts w:ascii="楷体" w:eastAsia="楷体" w:hAnsi="楷体" w:cs="Arial" w:hint="eastAsia"/>
          <w:color w:val="auto"/>
          <w:sz w:val="20"/>
          <w:szCs w:val="20"/>
        </w:rPr>
        <w:t>上涨</w:t>
      </w:r>
      <w:r w:rsidRPr="006C29BB">
        <w:rPr>
          <w:rFonts w:ascii="楷体" w:eastAsia="楷体" w:hAnsi="楷体" w:cs="Arial" w:hint="eastAsia"/>
          <w:color w:val="auto"/>
          <w:sz w:val="20"/>
          <w:szCs w:val="20"/>
        </w:rPr>
        <w:t>0.</w:t>
      </w:r>
      <w:r w:rsidR="00B214B7">
        <w:rPr>
          <w:rFonts w:ascii="楷体" w:eastAsia="楷体" w:hAnsi="楷体" w:cs="Arial" w:hint="eastAsia"/>
          <w:color w:val="auto"/>
          <w:sz w:val="20"/>
          <w:szCs w:val="20"/>
        </w:rPr>
        <w:t>15</w:t>
      </w:r>
      <w:r w:rsidRPr="006C29BB">
        <w:rPr>
          <w:rFonts w:ascii="楷体" w:eastAsia="楷体" w:hAnsi="楷体" w:cs="Arial" w:hint="eastAsia"/>
          <w:color w:val="auto"/>
          <w:sz w:val="20"/>
          <w:szCs w:val="20"/>
        </w:rPr>
        <w:t>%，中</w:t>
      </w:r>
      <w:proofErr w:type="gramStart"/>
      <w:r w:rsidRPr="006C29BB">
        <w:rPr>
          <w:rFonts w:ascii="楷体" w:eastAsia="楷体" w:hAnsi="楷体" w:cs="Arial" w:hint="eastAsia"/>
          <w:color w:val="auto"/>
          <w:sz w:val="20"/>
          <w:szCs w:val="20"/>
        </w:rPr>
        <w:t>证转债</w:t>
      </w:r>
      <w:r w:rsidR="00B214B7">
        <w:rPr>
          <w:rFonts w:ascii="楷体" w:eastAsia="楷体" w:hAnsi="楷体" w:cs="Arial" w:hint="eastAsia"/>
          <w:color w:val="auto"/>
          <w:sz w:val="20"/>
          <w:szCs w:val="20"/>
        </w:rPr>
        <w:t>跌</w:t>
      </w:r>
      <w:proofErr w:type="gramEnd"/>
      <w:r w:rsidRPr="006C29BB">
        <w:rPr>
          <w:rFonts w:ascii="楷体" w:eastAsia="楷体" w:hAnsi="楷体" w:cs="Arial" w:hint="eastAsia"/>
          <w:color w:val="auto"/>
          <w:sz w:val="20"/>
          <w:szCs w:val="20"/>
        </w:rPr>
        <w:t>0.</w:t>
      </w:r>
      <w:r w:rsidR="00B214B7">
        <w:rPr>
          <w:rFonts w:ascii="楷体" w:eastAsia="楷体" w:hAnsi="楷体" w:cs="Arial" w:hint="eastAsia"/>
          <w:color w:val="auto"/>
          <w:sz w:val="20"/>
          <w:szCs w:val="20"/>
        </w:rPr>
        <w:t>64</w:t>
      </w:r>
      <w:r w:rsidRPr="006C29BB">
        <w:rPr>
          <w:rFonts w:ascii="楷体" w:eastAsia="楷体" w:hAnsi="楷体" w:cs="Arial" w:hint="eastAsia"/>
          <w:color w:val="auto"/>
          <w:sz w:val="20"/>
          <w:szCs w:val="20"/>
        </w:rPr>
        <w:t>%。</w:t>
      </w:r>
    </w:p>
    <w:p w:rsidR="0053273E" w:rsidRPr="0032491D" w:rsidRDefault="00325556"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Pr>
          <w:rFonts w:ascii="楷体" w:eastAsia="楷体" w:hAnsi="楷体" w:cs="Arial" w:hint="eastAsia"/>
          <w:b/>
          <w:bCs/>
          <w:color w:val="002060"/>
          <w:kern w:val="0"/>
          <w:sz w:val="24"/>
          <w:szCs w:val="13"/>
        </w:rPr>
        <w:t xml:space="preserve"> </w:t>
      </w:r>
      <w:r w:rsidR="0053273E" w:rsidRPr="0032491D">
        <w:rPr>
          <w:rFonts w:ascii="楷体" w:eastAsia="楷体" w:hAnsi="楷体" w:cs="Arial"/>
          <w:b/>
          <w:bCs/>
          <w:color w:val="002060"/>
          <w:kern w:val="0"/>
          <w:sz w:val="24"/>
          <w:szCs w:val="13"/>
        </w:rPr>
        <w:t>海外市场</w:t>
      </w:r>
    </w:p>
    <w:p w:rsidR="0053273E" w:rsidRPr="0032491D" w:rsidRDefault="00786BE3" w:rsidP="0053273E">
      <w:pPr>
        <w:pStyle w:val="a5"/>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Pr>
          <w:rFonts w:ascii="楷体" w:eastAsia="楷体" w:hAnsi="楷体" w:cs="Arial" w:hint="eastAsia"/>
          <w:b/>
          <w:color w:val="000000" w:themeColor="text1"/>
          <w:sz w:val="20"/>
          <w:szCs w:val="20"/>
        </w:rPr>
        <w:t>鹰派发言及零售数据强劲，助</w:t>
      </w:r>
      <w:proofErr w:type="gramStart"/>
      <w:r>
        <w:rPr>
          <w:rFonts w:ascii="楷体" w:eastAsia="楷体" w:hAnsi="楷体" w:cs="Arial" w:hint="eastAsia"/>
          <w:b/>
          <w:color w:val="000000" w:themeColor="text1"/>
          <w:sz w:val="20"/>
          <w:szCs w:val="20"/>
        </w:rPr>
        <w:t>推美元</w:t>
      </w:r>
      <w:proofErr w:type="gramEnd"/>
      <w:r>
        <w:rPr>
          <w:rFonts w:ascii="楷体" w:eastAsia="楷体" w:hAnsi="楷体" w:cs="Arial" w:hint="eastAsia"/>
          <w:b/>
          <w:color w:val="000000" w:themeColor="text1"/>
          <w:sz w:val="20"/>
          <w:szCs w:val="20"/>
        </w:rPr>
        <w:t>重拾升势</w:t>
      </w:r>
      <w:r w:rsidR="0053273E">
        <w:rPr>
          <w:rFonts w:ascii="楷体" w:eastAsia="楷体" w:hAnsi="楷体" w:cs="Arial" w:hint="eastAsia"/>
          <w:b/>
          <w:color w:val="000000" w:themeColor="text1"/>
          <w:sz w:val="20"/>
          <w:szCs w:val="20"/>
        </w:rPr>
        <w:t>。</w:t>
      </w:r>
      <w:r w:rsidRPr="00786BE3">
        <w:rPr>
          <w:rFonts w:ascii="楷体" w:eastAsia="楷体" w:hAnsi="楷体" w:cs="Arial" w:hint="eastAsia"/>
          <w:color w:val="000000" w:themeColor="text1"/>
          <w:sz w:val="20"/>
          <w:szCs w:val="20"/>
        </w:rPr>
        <w:t>上周多位美联储（Fed）高官悉数登场发表重要讲话，其中堪萨斯联储主席乔治、波士顿联储主席罗森格伦以及克利夫兰联</w:t>
      </w:r>
      <w:proofErr w:type="gramStart"/>
      <w:r w:rsidRPr="00786BE3">
        <w:rPr>
          <w:rFonts w:ascii="楷体" w:eastAsia="楷体" w:hAnsi="楷体" w:cs="Arial" w:hint="eastAsia"/>
          <w:color w:val="000000" w:themeColor="text1"/>
          <w:sz w:val="20"/>
          <w:szCs w:val="20"/>
        </w:rPr>
        <w:t>储主席</w:t>
      </w:r>
      <w:proofErr w:type="gramEnd"/>
      <w:r w:rsidRPr="00786BE3">
        <w:rPr>
          <w:rFonts w:ascii="楷体" w:eastAsia="楷体" w:hAnsi="楷体" w:cs="Arial" w:hint="eastAsia"/>
          <w:color w:val="000000" w:themeColor="text1"/>
          <w:sz w:val="20"/>
          <w:szCs w:val="20"/>
        </w:rPr>
        <w:t>梅斯特三只“老鹰”齐发强硬论调，呼吁美联储（</w:t>
      </w:r>
      <w:proofErr w:type="spellStart"/>
      <w:r w:rsidRPr="00786BE3">
        <w:rPr>
          <w:rFonts w:ascii="楷体" w:eastAsia="楷体" w:hAnsi="楷体" w:cs="Arial" w:hint="eastAsia"/>
          <w:color w:val="000000" w:themeColor="text1"/>
          <w:sz w:val="20"/>
          <w:szCs w:val="20"/>
        </w:rPr>
        <w:t>Fed</w:t>
      </w:r>
      <w:proofErr w:type="spellEnd"/>
      <w:r w:rsidRPr="00786BE3">
        <w:rPr>
          <w:rFonts w:ascii="楷体" w:eastAsia="楷体" w:hAnsi="楷体" w:cs="Arial" w:hint="eastAsia"/>
          <w:color w:val="000000" w:themeColor="text1"/>
          <w:sz w:val="20"/>
          <w:szCs w:val="20"/>
        </w:rPr>
        <w:t>）再度升息，美元多头“喜出望外”周中美元指数一度维持</w:t>
      </w:r>
      <w:proofErr w:type="gramStart"/>
      <w:r w:rsidRPr="00786BE3">
        <w:rPr>
          <w:rFonts w:ascii="楷体" w:eastAsia="楷体" w:hAnsi="楷体" w:cs="Arial" w:hint="eastAsia"/>
          <w:color w:val="000000" w:themeColor="text1"/>
          <w:sz w:val="20"/>
          <w:szCs w:val="20"/>
        </w:rPr>
        <w:t>攀升上扬</w:t>
      </w:r>
      <w:proofErr w:type="gramEnd"/>
      <w:r w:rsidRPr="00786BE3">
        <w:rPr>
          <w:rFonts w:ascii="楷体" w:eastAsia="楷体" w:hAnsi="楷体" w:cs="Arial" w:hint="eastAsia"/>
          <w:color w:val="000000" w:themeColor="text1"/>
          <w:sz w:val="20"/>
          <w:szCs w:val="20"/>
        </w:rPr>
        <w:t>之势。</w:t>
      </w:r>
      <w:r w:rsidR="000A5EFA">
        <w:rPr>
          <w:rFonts w:ascii="楷体" w:eastAsia="楷体" w:hAnsi="楷体" w:cs="Arial" w:hint="eastAsia"/>
          <w:color w:val="000000" w:themeColor="text1"/>
          <w:sz w:val="20"/>
          <w:szCs w:val="20"/>
        </w:rPr>
        <w:t>再加上</w:t>
      </w:r>
      <w:r w:rsidRPr="00786BE3">
        <w:rPr>
          <w:rFonts w:ascii="楷体" w:eastAsia="楷体" w:hAnsi="楷体" w:cs="Arial" w:hint="eastAsia"/>
          <w:color w:val="000000" w:themeColor="text1"/>
          <w:sz w:val="20"/>
          <w:szCs w:val="20"/>
        </w:rPr>
        <w:t>周五市场再次迎来包括美国零售销售在内的系列重磅数据的冲击。美国公布的零售销售、生产者物价指数（PPI）以及密歇根大学消费者信心指数等数据意外表现强劲。</w:t>
      </w:r>
      <w:r w:rsidR="0053273E">
        <w:rPr>
          <w:rFonts w:ascii="楷体" w:eastAsia="楷体" w:hAnsi="楷体" w:cs="Arial" w:hint="eastAsia"/>
          <w:color w:val="000000" w:themeColor="text1"/>
          <w:sz w:val="20"/>
          <w:szCs w:val="20"/>
        </w:rPr>
        <w:t>全周</w:t>
      </w:r>
      <w:r w:rsidR="000A5EFA">
        <w:rPr>
          <w:rFonts w:ascii="楷体" w:eastAsia="楷体" w:hAnsi="楷体" w:cs="Arial" w:hint="eastAsia"/>
          <w:color w:val="000000" w:themeColor="text1"/>
          <w:sz w:val="20"/>
          <w:szCs w:val="20"/>
        </w:rPr>
        <w:t>美元指数</w:t>
      </w:r>
      <w:r w:rsidR="0053273E">
        <w:rPr>
          <w:rFonts w:ascii="楷体" w:eastAsia="楷体" w:hAnsi="楷体" w:cs="Arial" w:hint="eastAsia"/>
          <w:color w:val="000000" w:themeColor="text1"/>
          <w:sz w:val="20"/>
          <w:szCs w:val="20"/>
        </w:rPr>
        <w:t>上涨0.8</w:t>
      </w:r>
      <w:r w:rsidR="000A5EFA">
        <w:rPr>
          <w:rFonts w:ascii="楷体" w:eastAsia="楷体" w:hAnsi="楷体" w:cs="Arial" w:hint="eastAsia"/>
          <w:color w:val="000000" w:themeColor="text1"/>
          <w:sz w:val="20"/>
          <w:szCs w:val="20"/>
        </w:rPr>
        <w:t>2</w:t>
      </w:r>
      <w:r w:rsidR="0053273E">
        <w:rPr>
          <w:rFonts w:ascii="楷体" w:eastAsia="楷体" w:hAnsi="楷体" w:cs="Arial" w:hint="eastAsia"/>
          <w:color w:val="000000" w:themeColor="text1"/>
          <w:sz w:val="20"/>
          <w:szCs w:val="20"/>
        </w:rPr>
        <w:t>%。全周来看</w:t>
      </w:r>
      <w:r w:rsidR="0053273E" w:rsidRPr="0032491D">
        <w:rPr>
          <w:rFonts w:ascii="楷体" w:eastAsia="楷体" w:hAnsi="楷体" w:cs="Arial" w:hint="eastAsia"/>
          <w:color w:val="000000" w:themeColor="text1"/>
          <w:sz w:val="20"/>
          <w:szCs w:val="20"/>
        </w:rPr>
        <w:t>，美国市场，标普、道指</w:t>
      </w:r>
      <w:r w:rsidR="0053273E">
        <w:rPr>
          <w:rFonts w:ascii="楷体" w:eastAsia="楷体" w:hAnsi="楷体" w:cs="Arial" w:hint="eastAsia"/>
          <w:color w:val="000000" w:themeColor="text1"/>
          <w:sz w:val="20"/>
          <w:szCs w:val="20"/>
        </w:rPr>
        <w:t>、</w:t>
      </w:r>
      <w:r w:rsidR="0053273E" w:rsidRPr="0032491D">
        <w:rPr>
          <w:rFonts w:ascii="楷体" w:eastAsia="楷体" w:hAnsi="楷体" w:cs="Arial" w:hint="eastAsia"/>
          <w:color w:val="000000" w:themeColor="text1"/>
          <w:sz w:val="20"/>
          <w:szCs w:val="20"/>
        </w:rPr>
        <w:t>纳斯达克100分</w:t>
      </w:r>
      <w:r w:rsidR="0053273E">
        <w:rPr>
          <w:rFonts w:ascii="楷体" w:eastAsia="楷体" w:hAnsi="楷体" w:cs="Arial" w:hint="eastAsia"/>
          <w:color w:val="000000" w:themeColor="text1"/>
          <w:sz w:val="20"/>
          <w:szCs w:val="20"/>
        </w:rPr>
        <w:t>别下跌</w:t>
      </w:r>
      <w:r w:rsidR="000A5EFA">
        <w:rPr>
          <w:rFonts w:ascii="楷体" w:eastAsia="楷体" w:hAnsi="楷体" w:cs="Arial" w:hint="eastAsia"/>
          <w:color w:val="000000" w:themeColor="text1"/>
          <w:sz w:val="20"/>
          <w:szCs w:val="20"/>
        </w:rPr>
        <w:t>0.51</w:t>
      </w:r>
      <w:r w:rsidR="0053273E" w:rsidRPr="0032491D">
        <w:rPr>
          <w:rFonts w:ascii="楷体" w:eastAsia="楷体" w:hAnsi="楷体" w:cs="Arial" w:hint="eastAsia"/>
          <w:color w:val="000000" w:themeColor="text1"/>
          <w:sz w:val="20"/>
          <w:szCs w:val="20"/>
        </w:rPr>
        <w:t>%、</w:t>
      </w:r>
      <w:r w:rsidR="000A5EFA">
        <w:rPr>
          <w:rFonts w:ascii="楷体" w:eastAsia="楷体" w:hAnsi="楷体" w:cs="Arial" w:hint="eastAsia"/>
          <w:color w:val="000000" w:themeColor="text1"/>
          <w:sz w:val="20"/>
          <w:szCs w:val="20"/>
        </w:rPr>
        <w:t>1.16</w:t>
      </w:r>
      <w:r w:rsidR="0053273E" w:rsidRPr="0032491D">
        <w:rPr>
          <w:rFonts w:ascii="楷体" w:eastAsia="楷体" w:hAnsi="楷体" w:cs="Arial" w:hint="eastAsia"/>
          <w:color w:val="000000" w:themeColor="text1"/>
          <w:sz w:val="20"/>
          <w:szCs w:val="20"/>
        </w:rPr>
        <w:t>%</w:t>
      </w:r>
      <w:r w:rsidR="0053273E">
        <w:rPr>
          <w:rFonts w:ascii="楷体" w:eastAsia="楷体" w:hAnsi="楷体" w:cs="Arial" w:hint="eastAsia"/>
          <w:color w:val="000000" w:themeColor="text1"/>
          <w:sz w:val="20"/>
          <w:szCs w:val="20"/>
        </w:rPr>
        <w:t>、0.</w:t>
      </w:r>
      <w:r w:rsidR="000A5EFA">
        <w:rPr>
          <w:rFonts w:ascii="楷体" w:eastAsia="楷体" w:hAnsi="楷体" w:cs="Arial" w:hint="eastAsia"/>
          <w:color w:val="000000" w:themeColor="text1"/>
          <w:sz w:val="20"/>
          <w:szCs w:val="20"/>
        </w:rPr>
        <w:t>08</w:t>
      </w:r>
      <w:r w:rsidR="0053273E">
        <w:rPr>
          <w:rFonts w:ascii="楷体" w:eastAsia="楷体" w:hAnsi="楷体" w:cs="Arial" w:hint="eastAsia"/>
          <w:color w:val="000000" w:themeColor="text1"/>
          <w:sz w:val="20"/>
          <w:szCs w:val="20"/>
        </w:rPr>
        <w:t>%</w:t>
      </w:r>
      <w:r w:rsidR="0053273E" w:rsidRPr="0032491D">
        <w:rPr>
          <w:rFonts w:ascii="楷体" w:eastAsia="楷体" w:hAnsi="楷体" w:cs="Arial" w:hint="eastAsia"/>
          <w:color w:val="000000" w:themeColor="text1"/>
          <w:sz w:val="20"/>
          <w:szCs w:val="20"/>
        </w:rPr>
        <w:t>；欧洲市场，德国DAX指数、法国CAC40指数、英国富时100指数上周涨跌幅分别为</w:t>
      </w:r>
      <w:r w:rsidR="000A5EFA">
        <w:rPr>
          <w:rFonts w:ascii="楷体" w:eastAsia="楷体" w:hAnsi="楷体" w:cs="Arial" w:hint="eastAsia"/>
          <w:color w:val="000000" w:themeColor="text1"/>
          <w:sz w:val="20"/>
          <w:szCs w:val="20"/>
        </w:rPr>
        <w:t>0.84</w:t>
      </w:r>
      <w:r w:rsidR="0053273E" w:rsidRPr="0032491D">
        <w:rPr>
          <w:rFonts w:ascii="楷体" w:eastAsia="楷体" w:hAnsi="楷体" w:cs="Arial" w:hint="eastAsia"/>
          <w:color w:val="000000" w:themeColor="text1"/>
          <w:sz w:val="20"/>
          <w:szCs w:val="20"/>
        </w:rPr>
        <w:t>%、</w:t>
      </w:r>
      <w:r w:rsidR="000A5EFA">
        <w:rPr>
          <w:rFonts w:ascii="楷体" w:eastAsia="楷体" w:hAnsi="楷体" w:cs="Arial" w:hint="eastAsia"/>
          <w:color w:val="000000" w:themeColor="text1"/>
          <w:sz w:val="20"/>
          <w:szCs w:val="20"/>
        </w:rPr>
        <w:t>0.44</w:t>
      </w:r>
      <w:r w:rsidR="0053273E" w:rsidRPr="0032491D">
        <w:rPr>
          <w:rFonts w:ascii="楷体" w:eastAsia="楷体" w:hAnsi="楷体" w:cs="Arial" w:hint="eastAsia"/>
          <w:color w:val="000000" w:themeColor="text1"/>
          <w:sz w:val="20"/>
          <w:szCs w:val="20"/>
        </w:rPr>
        <w:t>%、</w:t>
      </w:r>
      <w:r w:rsidR="000A5EFA">
        <w:rPr>
          <w:rFonts w:ascii="楷体" w:eastAsia="楷体" w:hAnsi="楷体" w:cs="Arial" w:hint="eastAsia"/>
          <w:color w:val="000000" w:themeColor="text1"/>
          <w:sz w:val="20"/>
          <w:szCs w:val="20"/>
        </w:rPr>
        <w:t>0.21</w:t>
      </w:r>
      <w:r w:rsidR="0053273E" w:rsidRPr="0032491D">
        <w:rPr>
          <w:rFonts w:ascii="楷体" w:eastAsia="楷体" w:hAnsi="楷体" w:cs="Arial" w:hint="eastAsia"/>
          <w:color w:val="000000" w:themeColor="text1"/>
          <w:sz w:val="20"/>
          <w:szCs w:val="20"/>
        </w:rPr>
        <w:t>%。</w:t>
      </w:r>
    </w:p>
    <w:p w:rsidR="0053273E" w:rsidRPr="007E17CD" w:rsidRDefault="00B36BE6" w:rsidP="007E17CD">
      <w:pPr>
        <w:pStyle w:val="a5"/>
        <w:spacing w:beforeLines="100" w:before="240" w:afterLines="100" w:after="240" w:line="260" w:lineRule="exact"/>
        <w:ind w:leftChars="1822" w:left="3826" w:rightChars="-34" w:right="-71" w:firstLineChars="212" w:firstLine="426"/>
        <w:rPr>
          <w:rFonts w:ascii="楷体" w:eastAsia="楷体" w:hAnsi="楷体" w:cs="Arial"/>
          <w:color w:val="FF0000"/>
          <w:sz w:val="20"/>
          <w:szCs w:val="20"/>
        </w:rPr>
      </w:pPr>
      <w:r>
        <w:rPr>
          <w:rFonts w:ascii="楷体" w:eastAsia="楷体" w:hAnsi="楷体" w:cs="Arial" w:hint="eastAsia"/>
          <w:b/>
          <w:color w:val="000000" w:themeColor="text1"/>
          <w:sz w:val="20"/>
          <w:szCs w:val="20"/>
        </w:rPr>
        <w:t>黄金吸引力下降，原油供给过剩缓解</w:t>
      </w:r>
      <w:r w:rsidR="0053273E" w:rsidRPr="0032491D">
        <w:rPr>
          <w:rFonts w:ascii="楷体" w:eastAsia="楷体" w:hAnsi="楷体" w:cs="Arial" w:hint="eastAsia"/>
          <w:b/>
          <w:color w:val="000000" w:themeColor="text1"/>
          <w:sz w:val="20"/>
          <w:szCs w:val="20"/>
        </w:rPr>
        <w:t>。</w:t>
      </w:r>
      <w:r w:rsidR="005A2F60" w:rsidRPr="005A2F60">
        <w:rPr>
          <w:rFonts w:ascii="楷体" w:eastAsia="楷体" w:hAnsi="楷体" w:cs="Arial" w:hint="eastAsia"/>
          <w:color w:val="000000" w:themeColor="text1"/>
          <w:sz w:val="20"/>
          <w:szCs w:val="20"/>
        </w:rPr>
        <w:t>受美元反弹、美联储加息预期回升打压</w:t>
      </w:r>
      <w:r w:rsidR="005A2F60">
        <w:rPr>
          <w:rFonts w:ascii="楷体" w:eastAsia="楷体" w:hAnsi="楷体" w:cs="Arial" w:hint="eastAsia"/>
          <w:color w:val="000000" w:themeColor="text1"/>
          <w:sz w:val="20"/>
          <w:szCs w:val="20"/>
        </w:rPr>
        <w:t>，</w:t>
      </w:r>
      <w:r w:rsidRPr="00B36BE6">
        <w:rPr>
          <w:rFonts w:ascii="楷体" w:eastAsia="楷体" w:hAnsi="楷体" w:cs="Arial" w:hint="eastAsia"/>
          <w:color w:val="000000" w:themeColor="text1"/>
          <w:sz w:val="20"/>
          <w:szCs w:val="20"/>
        </w:rPr>
        <w:t>全球股市攀升以及美元汇率前景不确定性降低了贵金属的吸引力。</w:t>
      </w:r>
      <w:r w:rsidR="005A2F60">
        <w:rPr>
          <w:rFonts w:ascii="楷体" w:eastAsia="楷体" w:hAnsi="楷体" w:cs="Arial" w:hint="eastAsia"/>
          <w:color w:val="000000" w:themeColor="text1"/>
          <w:sz w:val="20"/>
          <w:szCs w:val="20"/>
        </w:rPr>
        <w:t>全周金价下跌1.19%</w:t>
      </w:r>
      <w:r w:rsidR="005A2F60" w:rsidRPr="005A2F60">
        <w:rPr>
          <w:rFonts w:ascii="楷体" w:eastAsia="楷体" w:hAnsi="楷体" w:cs="Arial" w:hint="eastAsia"/>
          <w:color w:val="000000" w:themeColor="text1"/>
          <w:sz w:val="20"/>
          <w:szCs w:val="20"/>
        </w:rPr>
        <w:t>。</w:t>
      </w:r>
      <w:r w:rsidR="0053273E" w:rsidRPr="005A2F60">
        <w:rPr>
          <w:rFonts w:ascii="楷体" w:eastAsia="楷体" w:hAnsi="楷体" w:cs="Arial" w:hint="eastAsia"/>
          <w:color w:val="000000" w:themeColor="text1"/>
          <w:sz w:val="20"/>
          <w:szCs w:val="20"/>
        </w:rPr>
        <w:t>原油方面，</w:t>
      </w:r>
      <w:r w:rsidR="007E17CD" w:rsidRPr="005A2F60">
        <w:rPr>
          <w:rFonts w:ascii="楷体" w:eastAsia="楷体" w:hAnsi="楷体" w:cs="Arial" w:hint="eastAsia"/>
          <w:color w:val="000000" w:themeColor="text1"/>
          <w:sz w:val="20"/>
          <w:szCs w:val="20"/>
        </w:rPr>
        <w:t>因预期加拿大林火以及中东地区政治局势趋紧的短期影响有助缓解全球原油供应过剩的局面，</w:t>
      </w:r>
      <w:r w:rsidR="005A2F60" w:rsidRPr="005A2F60">
        <w:rPr>
          <w:rFonts w:ascii="楷体" w:eastAsia="楷体" w:hAnsi="楷体" w:cs="Arial" w:hint="eastAsia"/>
          <w:color w:val="000000" w:themeColor="text1"/>
          <w:sz w:val="20"/>
          <w:szCs w:val="20"/>
        </w:rPr>
        <w:t>油价全周上涨4.04</w:t>
      </w:r>
      <w:r w:rsidR="005A2F60">
        <w:rPr>
          <w:rFonts w:ascii="楷体" w:eastAsia="楷体" w:hAnsi="楷体" w:cs="Arial" w:hint="eastAsia"/>
          <w:color w:val="000000" w:themeColor="text1"/>
          <w:sz w:val="20"/>
          <w:szCs w:val="20"/>
        </w:rPr>
        <w:t>%</w:t>
      </w:r>
      <w:r w:rsidR="005A2F60" w:rsidRPr="005A2F60">
        <w:rPr>
          <w:rFonts w:ascii="楷体" w:eastAsia="楷体" w:hAnsi="楷体" w:cs="Arial" w:hint="eastAsia"/>
          <w:color w:val="000000" w:themeColor="text1"/>
          <w:sz w:val="20"/>
          <w:szCs w:val="20"/>
        </w:rPr>
        <w:t>。</w:t>
      </w: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53273E" w:rsidRPr="0032491D" w:rsidTr="00FC5199">
        <w:trPr>
          <w:trHeight w:val="270"/>
        </w:trPr>
        <w:tc>
          <w:tcPr>
            <w:tcW w:w="3701" w:type="dxa"/>
            <w:gridSpan w:val="2"/>
            <w:tcBorders>
              <w:top w:val="single" w:sz="4" w:space="0" w:color="auto"/>
              <w:bottom w:val="single" w:sz="4" w:space="0" w:color="auto"/>
            </w:tcBorders>
            <w:shd w:val="clear" w:color="000000" w:fill="F79646"/>
            <w:vAlign w:val="center"/>
            <w:hideMark/>
          </w:tcPr>
          <w:p w:rsidR="0053273E" w:rsidRPr="0032491D" w:rsidRDefault="0053273E" w:rsidP="00FC5199">
            <w:pPr>
              <w:widowControl/>
              <w:jc w:val="center"/>
              <w:rPr>
                <w:rFonts w:ascii="楷体" w:eastAsia="楷体" w:hAnsi="楷体" w:cs="宋体"/>
                <w:b/>
                <w:bCs/>
                <w:color w:val="000000" w:themeColor="text1"/>
                <w:kern w:val="0"/>
                <w:sz w:val="20"/>
                <w:szCs w:val="20"/>
              </w:rPr>
            </w:pPr>
            <w:r w:rsidRPr="0032491D">
              <w:rPr>
                <w:rFonts w:ascii="楷体" w:eastAsia="楷体" w:hAnsi="楷体" w:cs="宋体" w:hint="eastAsia"/>
                <w:b/>
                <w:bCs/>
                <w:color w:val="000000" w:themeColor="text1"/>
                <w:kern w:val="0"/>
                <w:sz w:val="20"/>
                <w:szCs w:val="20"/>
              </w:rPr>
              <w:t>国内经济重要数据</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lastRenderedPageBreak/>
              <w:t>项目</w:t>
            </w:r>
          </w:p>
        </w:tc>
        <w:tc>
          <w:tcPr>
            <w:tcW w:w="1418" w:type="dxa"/>
            <w:tcBorders>
              <w:top w:val="nil"/>
              <w:left w:val="nil"/>
              <w:bottom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数据</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53273E" w:rsidP="00FC5199">
            <w:pPr>
              <w:jc w:val="center"/>
              <w:rPr>
                <w:rFonts w:ascii="楷体" w:eastAsia="楷体" w:hAnsi="楷体" w:cs="宋体"/>
                <w:color w:val="000000" w:themeColor="text1"/>
                <w:sz w:val="16"/>
                <w:szCs w:val="16"/>
              </w:rPr>
            </w:pPr>
            <w:r w:rsidRPr="0032491D">
              <w:rPr>
                <w:rFonts w:ascii="楷体" w:eastAsia="楷体" w:hAnsi="楷体" w:cs="宋体" w:hint="eastAsia"/>
                <w:color w:val="000000" w:themeColor="text1"/>
                <w:sz w:val="16"/>
                <w:szCs w:val="16"/>
              </w:rPr>
              <w:t>4月</w:t>
            </w:r>
            <w:r>
              <w:rPr>
                <w:rFonts w:ascii="楷体" w:eastAsia="楷体" w:hAnsi="楷体" w:cs="宋体" w:hint="eastAsia"/>
                <w:color w:val="000000" w:themeColor="text1"/>
                <w:sz w:val="16"/>
                <w:szCs w:val="16"/>
              </w:rPr>
              <w:t>出口</w:t>
            </w:r>
          </w:p>
        </w:tc>
        <w:tc>
          <w:tcPr>
            <w:tcW w:w="1418" w:type="dxa"/>
            <w:tcBorders>
              <w:top w:val="nil"/>
              <w:left w:val="nil"/>
              <w:bottom w:val="single" w:sz="4" w:space="0" w:color="auto"/>
            </w:tcBorders>
            <w:shd w:val="clear" w:color="auto" w:fill="auto"/>
            <w:noWrap/>
            <w:vAlign w:val="center"/>
          </w:tcPr>
          <w:p w:rsidR="0053273E" w:rsidRPr="0032491D" w:rsidRDefault="0053273E" w:rsidP="00FC5199">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同比增长4</w:t>
            </w:r>
            <w:r w:rsidRPr="0032491D">
              <w:rPr>
                <w:rFonts w:ascii="楷体" w:eastAsia="楷体" w:hAnsi="楷体" w:cs="宋体" w:hint="eastAsia"/>
                <w:color w:val="000000" w:themeColor="text1"/>
                <w:sz w:val="16"/>
                <w:szCs w:val="16"/>
              </w:rPr>
              <w:t>.1</w:t>
            </w:r>
            <w:r>
              <w:rPr>
                <w:rFonts w:ascii="楷体" w:eastAsia="楷体" w:hAnsi="楷体" w:cs="宋体" w:hint="eastAsia"/>
                <w:color w:val="000000" w:themeColor="text1"/>
                <w:sz w:val="16"/>
                <w:szCs w:val="16"/>
              </w:rPr>
              <w:t>%</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A86504" w:rsidP="00FC5199">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4月CPI</w:t>
            </w:r>
          </w:p>
        </w:tc>
        <w:tc>
          <w:tcPr>
            <w:tcW w:w="1418" w:type="dxa"/>
            <w:tcBorders>
              <w:top w:val="nil"/>
              <w:left w:val="nil"/>
              <w:bottom w:val="single" w:sz="4" w:space="0" w:color="auto"/>
            </w:tcBorders>
            <w:shd w:val="clear" w:color="000000" w:fill="D9D9D9"/>
            <w:noWrap/>
            <w:vAlign w:val="center"/>
          </w:tcPr>
          <w:p w:rsidR="0053273E" w:rsidRPr="0032491D" w:rsidRDefault="005A3B05" w:rsidP="005A3B05">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同比增长</w:t>
            </w:r>
            <w:r w:rsidRPr="005A3B05">
              <w:rPr>
                <w:rFonts w:ascii="楷体" w:eastAsia="楷体" w:hAnsi="楷体" w:cs="宋体" w:hint="eastAsia"/>
                <w:color w:val="000000" w:themeColor="text1"/>
                <w:kern w:val="0"/>
                <w:sz w:val="16"/>
                <w:szCs w:val="16"/>
              </w:rPr>
              <w:t>2.3%</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A86504" w:rsidP="00FC5199">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4月PPI</w:t>
            </w:r>
          </w:p>
        </w:tc>
        <w:tc>
          <w:tcPr>
            <w:tcW w:w="1418" w:type="dxa"/>
            <w:tcBorders>
              <w:top w:val="nil"/>
              <w:left w:val="nil"/>
              <w:bottom w:val="single" w:sz="4" w:space="0" w:color="auto"/>
            </w:tcBorders>
            <w:shd w:val="clear" w:color="auto" w:fill="auto"/>
            <w:noWrap/>
            <w:vAlign w:val="center"/>
          </w:tcPr>
          <w:p w:rsidR="0053273E" w:rsidRPr="0032491D" w:rsidRDefault="005A3B05" w:rsidP="005A3B05">
            <w:pPr>
              <w:jc w:val="center"/>
              <w:rPr>
                <w:rFonts w:ascii="楷体" w:eastAsia="楷体" w:hAnsi="楷体" w:cs="宋体"/>
                <w:color w:val="000000" w:themeColor="text1"/>
                <w:sz w:val="16"/>
                <w:szCs w:val="16"/>
              </w:rPr>
            </w:pPr>
            <w:r w:rsidRPr="005A3B05">
              <w:rPr>
                <w:rFonts w:ascii="楷体" w:eastAsia="楷体" w:hAnsi="楷体" w:cs="宋体" w:hint="eastAsia"/>
                <w:color w:val="000000" w:themeColor="text1"/>
                <w:sz w:val="16"/>
                <w:szCs w:val="16"/>
              </w:rPr>
              <w:t>同比下降3.4%</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F40C8A" w:rsidP="00FC5199">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4月</w:t>
            </w:r>
            <w:r w:rsidR="00A86504">
              <w:rPr>
                <w:rFonts w:ascii="楷体" w:eastAsia="楷体" w:hAnsi="楷体" w:cs="宋体" w:hint="eastAsia"/>
                <w:color w:val="000000" w:themeColor="text1"/>
                <w:kern w:val="0"/>
                <w:sz w:val="16"/>
                <w:szCs w:val="16"/>
              </w:rPr>
              <w:t>M2</w:t>
            </w:r>
          </w:p>
        </w:tc>
        <w:tc>
          <w:tcPr>
            <w:tcW w:w="1418" w:type="dxa"/>
            <w:tcBorders>
              <w:top w:val="nil"/>
              <w:left w:val="nil"/>
              <w:bottom w:val="single" w:sz="4" w:space="0" w:color="auto"/>
            </w:tcBorders>
            <w:shd w:val="clear" w:color="000000" w:fill="D9D9D9"/>
            <w:noWrap/>
            <w:vAlign w:val="center"/>
          </w:tcPr>
          <w:p w:rsidR="0053273E" w:rsidRPr="0032491D" w:rsidRDefault="00F40C8A" w:rsidP="005A3B05">
            <w:pPr>
              <w:widowControl/>
              <w:jc w:val="center"/>
              <w:rPr>
                <w:rFonts w:ascii="楷体" w:eastAsia="楷体" w:hAnsi="楷体" w:cs="宋体"/>
                <w:color w:val="000000" w:themeColor="text1"/>
                <w:kern w:val="0"/>
                <w:sz w:val="16"/>
                <w:szCs w:val="16"/>
              </w:rPr>
            </w:pPr>
            <w:r>
              <w:rPr>
                <w:rFonts w:ascii="楷体" w:eastAsia="楷体" w:hAnsi="楷体" w:cs="宋体"/>
                <w:color w:val="000000" w:themeColor="text1"/>
                <w:kern w:val="0"/>
                <w:sz w:val="16"/>
                <w:szCs w:val="16"/>
              </w:rPr>
              <w:t>同比增长</w:t>
            </w:r>
            <w:r>
              <w:rPr>
                <w:rFonts w:ascii="楷体" w:eastAsia="楷体" w:hAnsi="楷体" w:cs="宋体" w:hint="eastAsia"/>
                <w:color w:val="000000" w:themeColor="text1"/>
                <w:kern w:val="0"/>
                <w:sz w:val="16"/>
                <w:szCs w:val="16"/>
              </w:rPr>
              <w:t>12.8%</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A86504" w:rsidP="00FC5199">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4月</w:t>
            </w:r>
            <w:r>
              <w:rPr>
                <w:rFonts w:ascii="楷体" w:eastAsia="楷体" w:hAnsi="楷体" w:cs="宋体"/>
                <w:color w:val="000000" w:themeColor="text1"/>
                <w:sz w:val="16"/>
                <w:szCs w:val="16"/>
              </w:rPr>
              <w:t>新增信贷</w:t>
            </w:r>
          </w:p>
        </w:tc>
        <w:tc>
          <w:tcPr>
            <w:tcW w:w="1418" w:type="dxa"/>
            <w:tcBorders>
              <w:top w:val="nil"/>
              <w:left w:val="nil"/>
              <w:bottom w:val="single" w:sz="4" w:space="0" w:color="auto"/>
            </w:tcBorders>
            <w:shd w:val="clear" w:color="auto" w:fill="auto"/>
            <w:noWrap/>
            <w:vAlign w:val="center"/>
          </w:tcPr>
          <w:p w:rsidR="0053273E" w:rsidRPr="0032491D" w:rsidRDefault="00F40C8A" w:rsidP="005A3B05">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5556亿元</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53273E" w:rsidRPr="0032491D" w:rsidRDefault="0053273E" w:rsidP="00FC5199">
            <w:pPr>
              <w:widowControl/>
              <w:jc w:val="center"/>
              <w:rPr>
                <w:rFonts w:ascii="楷体" w:eastAsia="楷体" w:hAnsi="楷体" w:cs="宋体"/>
                <w:color w:val="000000" w:themeColor="text1"/>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53273E" w:rsidRPr="0032491D" w:rsidRDefault="0053273E" w:rsidP="005A3B05">
            <w:pPr>
              <w:widowControl/>
              <w:jc w:val="center"/>
              <w:rPr>
                <w:rFonts w:ascii="楷体" w:eastAsia="楷体" w:hAnsi="楷体" w:cs="宋体"/>
                <w:color w:val="000000" w:themeColor="text1"/>
                <w:kern w:val="0"/>
                <w:sz w:val="16"/>
                <w:szCs w:val="16"/>
              </w:rPr>
            </w:pPr>
          </w:p>
        </w:tc>
      </w:tr>
      <w:tr w:rsidR="0053273E" w:rsidRPr="0032491D" w:rsidTr="00FC5199">
        <w:trPr>
          <w:trHeight w:val="270"/>
        </w:trPr>
        <w:tc>
          <w:tcPr>
            <w:tcW w:w="3701" w:type="dxa"/>
            <w:gridSpan w:val="2"/>
            <w:tcBorders>
              <w:top w:val="single" w:sz="4" w:space="0" w:color="auto"/>
              <w:bottom w:val="single" w:sz="4" w:space="0" w:color="auto"/>
            </w:tcBorders>
            <w:shd w:val="clear" w:color="000000" w:fill="F79646"/>
            <w:vAlign w:val="center"/>
            <w:hideMark/>
          </w:tcPr>
          <w:p w:rsidR="0053273E" w:rsidRPr="0032491D" w:rsidRDefault="0053273E" w:rsidP="00FC5199">
            <w:pPr>
              <w:widowControl/>
              <w:jc w:val="center"/>
              <w:rPr>
                <w:rFonts w:ascii="楷体" w:eastAsia="楷体" w:hAnsi="楷体" w:cs="宋体"/>
                <w:b/>
                <w:bCs/>
                <w:color w:val="000000" w:themeColor="text1"/>
                <w:kern w:val="0"/>
                <w:sz w:val="20"/>
                <w:szCs w:val="20"/>
              </w:rPr>
            </w:pPr>
            <w:r w:rsidRPr="0032491D">
              <w:rPr>
                <w:rFonts w:ascii="楷体" w:eastAsia="楷体" w:hAnsi="楷体" w:cs="宋体" w:hint="eastAsia"/>
                <w:b/>
                <w:bCs/>
                <w:color w:val="000000" w:themeColor="text1"/>
                <w:kern w:val="0"/>
                <w:sz w:val="20"/>
                <w:szCs w:val="20"/>
              </w:rPr>
              <w:t>海外经济重要数据</w:t>
            </w:r>
          </w:p>
        </w:tc>
      </w:tr>
      <w:tr w:rsidR="0053273E" w:rsidRPr="0032491D" w:rsidTr="00FC5199">
        <w:trPr>
          <w:trHeight w:val="300"/>
        </w:trPr>
        <w:tc>
          <w:tcPr>
            <w:tcW w:w="2283" w:type="dxa"/>
            <w:tcBorders>
              <w:top w:val="nil"/>
              <w:bottom w:val="single" w:sz="4" w:space="0" w:color="auto"/>
              <w:right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数据</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53273E" w:rsidP="0053273E">
            <w:pPr>
              <w:widowControl/>
              <w:jc w:val="left"/>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 xml:space="preserve">美国： </w:t>
            </w:r>
            <w:r w:rsidR="005A3B05" w:rsidRPr="005A3B05">
              <w:rPr>
                <w:rFonts w:ascii="楷体" w:eastAsia="楷体" w:hAnsi="楷体" w:hint="eastAsia"/>
                <w:color w:val="000000" w:themeColor="text1"/>
                <w:sz w:val="16"/>
                <w:szCs w:val="16"/>
              </w:rPr>
              <w:t>4月就业市场状况指数</w:t>
            </w:r>
          </w:p>
        </w:tc>
        <w:tc>
          <w:tcPr>
            <w:tcW w:w="1418" w:type="dxa"/>
            <w:tcBorders>
              <w:top w:val="nil"/>
              <w:left w:val="nil"/>
              <w:bottom w:val="single" w:sz="4" w:space="0" w:color="auto"/>
            </w:tcBorders>
            <w:shd w:val="clear" w:color="auto" w:fill="auto"/>
            <w:noWrap/>
            <w:vAlign w:val="center"/>
          </w:tcPr>
          <w:p w:rsidR="0053273E" w:rsidRPr="0032491D" w:rsidRDefault="005A3B05" w:rsidP="00FC5199">
            <w:pPr>
              <w:widowControl/>
              <w:jc w:val="center"/>
              <w:rPr>
                <w:rFonts w:ascii="楷体" w:eastAsia="楷体" w:hAnsi="楷体"/>
                <w:color w:val="000000" w:themeColor="text1"/>
                <w:sz w:val="16"/>
                <w:szCs w:val="16"/>
              </w:rPr>
            </w:pPr>
            <w:r>
              <w:rPr>
                <w:rFonts w:ascii="楷体" w:eastAsia="楷体" w:hAnsi="楷体" w:hint="eastAsia"/>
                <w:color w:val="000000" w:themeColor="text1"/>
                <w:sz w:val="16"/>
                <w:szCs w:val="16"/>
              </w:rPr>
              <w:t>-0.9</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53273E" w:rsidP="00FC5199">
            <w:pPr>
              <w:widowControl/>
              <w:jc w:val="left"/>
              <w:rPr>
                <w:rFonts w:ascii="楷体" w:eastAsia="楷体" w:hAnsi="楷体"/>
                <w:color w:val="000000" w:themeColor="text1"/>
                <w:sz w:val="16"/>
                <w:szCs w:val="16"/>
              </w:rPr>
            </w:pPr>
          </w:p>
        </w:tc>
        <w:tc>
          <w:tcPr>
            <w:tcW w:w="1418" w:type="dxa"/>
            <w:tcBorders>
              <w:top w:val="nil"/>
              <w:left w:val="nil"/>
              <w:bottom w:val="single" w:sz="4" w:space="0" w:color="auto"/>
            </w:tcBorders>
            <w:shd w:val="clear" w:color="000000" w:fill="D9D9D9"/>
            <w:noWrap/>
            <w:vAlign w:val="center"/>
          </w:tcPr>
          <w:p w:rsidR="0053273E" w:rsidRPr="0032491D" w:rsidRDefault="0053273E" w:rsidP="00FC5199">
            <w:pPr>
              <w:widowControl/>
              <w:jc w:val="center"/>
              <w:rPr>
                <w:rFonts w:ascii="楷体" w:eastAsia="楷体" w:hAnsi="楷体"/>
                <w:color w:val="000000" w:themeColor="text1"/>
                <w:sz w:val="16"/>
                <w:szCs w:val="16"/>
              </w:rPr>
            </w:pP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53273E" w:rsidP="00FC5199">
            <w:pPr>
              <w:widowControl/>
              <w:jc w:val="left"/>
              <w:rPr>
                <w:rFonts w:ascii="楷体" w:eastAsia="楷体" w:hAnsi="楷体"/>
                <w:color w:val="000000" w:themeColor="text1"/>
                <w:sz w:val="16"/>
                <w:szCs w:val="16"/>
              </w:rPr>
            </w:pPr>
          </w:p>
        </w:tc>
        <w:tc>
          <w:tcPr>
            <w:tcW w:w="1418" w:type="dxa"/>
            <w:tcBorders>
              <w:top w:val="nil"/>
              <w:left w:val="nil"/>
              <w:bottom w:val="single" w:sz="4" w:space="0" w:color="auto"/>
            </w:tcBorders>
            <w:shd w:val="clear" w:color="auto" w:fill="auto"/>
            <w:noWrap/>
            <w:vAlign w:val="center"/>
          </w:tcPr>
          <w:p w:rsidR="0053273E" w:rsidRPr="0032491D" w:rsidRDefault="0053273E" w:rsidP="00FC5199">
            <w:pPr>
              <w:widowControl/>
              <w:jc w:val="center"/>
              <w:rPr>
                <w:rFonts w:ascii="楷体" w:eastAsia="楷体" w:hAnsi="楷体"/>
                <w:color w:val="000000" w:themeColor="text1"/>
                <w:sz w:val="16"/>
                <w:szCs w:val="16"/>
              </w:rPr>
            </w:pP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53273E" w:rsidP="00FC5199">
            <w:pPr>
              <w:widowControl/>
              <w:jc w:val="left"/>
              <w:rPr>
                <w:rFonts w:ascii="楷体" w:eastAsia="楷体" w:hAnsi="楷体"/>
                <w:color w:val="000000" w:themeColor="text1"/>
                <w:sz w:val="16"/>
                <w:szCs w:val="16"/>
              </w:rPr>
            </w:pPr>
            <w:r w:rsidRPr="0032491D">
              <w:rPr>
                <w:rFonts w:ascii="楷体" w:eastAsia="楷体" w:hAnsi="楷体" w:cs="Arial"/>
                <w:b/>
                <w:bCs/>
                <w:noProof/>
                <w:color w:val="002060"/>
                <w:kern w:val="0"/>
                <w:sz w:val="24"/>
                <w:szCs w:val="13"/>
              </w:rPr>
              <mc:AlternateContent>
                <mc:Choice Requires="wps">
                  <w:drawing>
                    <wp:anchor distT="0" distB="0" distL="114300" distR="114300" simplePos="0" relativeHeight="251662336" behindDoc="0" locked="0" layoutInCell="1" allowOverlap="1" wp14:anchorId="0CB69721" wp14:editId="53D09212">
                      <wp:simplePos x="0" y="0"/>
                      <wp:positionH relativeFrom="column">
                        <wp:posOffset>-78105</wp:posOffset>
                      </wp:positionH>
                      <wp:positionV relativeFrom="paragraph">
                        <wp:posOffset>130810</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3A2B41" w:rsidRPr="00B33891" w:rsidRDefault="003A2B41" w:rsidP="0053273E">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15pt;margin-top:10.3pt;width:169.6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" filled="f" stroked="f">
                      <v:textbox>
                        <w:txbxContent>
                          <w:p w:rsidR="003A2B41" w:rsidRPr="00B33891" w:rsidRDefault="003A2B41" w:rsidP="0053273E">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v:textbox>
                    </v:shape>
                  </w:pict>
                </mc:Fallback>
              </mc:AlternateContent>
            </w:r>
          </w:p>
        </w:tc>
        <w:tc>
          <w:tcPr>
            <w:tcW w:w="1418" w:type="dxa"/>
            <w:tcBorders>
              <w:top w:val="nil"/>
              <w:left w:val="nil"/>
              <w:bottom w:val="single" w:sz="4" w:space="0" w:color="auto"/>
            </w:tcBorders>
            <w:shd w:val="clear" w:color="000000" w:fill="D9D9D9"/>
            <w:noWrap/>
            <w:vAlign w:val="center"/>
          </w:tcPr>
          <w:p w:rsidR="0053273E" w:rsidRPr="0032491D" w:rsidRDefault="0053273E" w:rsidP="00FC5199">
            <w:pPr>
              <w:widowControl/>
              <w:jc w:val="center"/>
              <w:rPr>
                <w:rFonts w:ascii="楷体" w:eastAsia="楷体" w:hAnsi="楷体"/>
                <w:color w:val="000000" w:themeColor="text1"/>
                <w:sz w:val="16"/>
                <w:szCs w:val="16"/>
              </w:rPr>
            </w:pPr>
          </w:p>
        </w:tc>
      </w:tr>
    </w:tbl>
    <w:p w:rsidR="0053273E" w:rsidRPr="0032491D" w:rsidRDefault="0053273E" w:rsidP="0053273E">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 xml:space="preserve">基金表现回顾 </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股票基金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hint="eastAsia"/>
          <w:color w:val="auto"/>
          <w:sz w:val="20"/>
          <w:szCs w:val="20"/>
        </w:rPr>
        <w:t>上月股票基金</w:t>
      </w:r>
      <w:r w:rsidRPr="0032491D">
        <w:rPr>
          <w:rFonts w:ascii="楷体" w:eastAsia="楷体" w:hAnsi="楷体" w:cs="Arial"/>
          <w:color w:val="auto"/>
          <w:sz w:val="20"/>
          <w:szCs w:val="20"/>
        </w:rPr>
        <w:t>平均收益为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2.82</w:t>
      </w:r>
      <w:r w:rsidRPr="0032491D">
        <w:rPr>
          <w:rFonts w:ascii="楷体" w:eastAsia="楷体" w:hAnsi="楷体" w:cs="Arial"/>
          <w:color w:val="auto"/>
          <w:sz w:val="20"/>
          <w:szCs w:val="20"/>
        </w:rPr>
        <w:t>%。具体来看，普通股</w:t>
      </w:r>
      <w:proofErr w:type="gramStart"/>
      <w:r w:rsidRPr="0032491D">
        <w:rPr>
          <w:rFonts w:ascii="楷体" w:eastAsia="楷体" w:hAnsi="楷体" w:cs="Arial"/>
          <w:color w:val="auto"/>
          <w:sz w:val="20"/>
          <w:szCs w:val="20"/>
        </w:rPr>
        <w:t>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2.95</w:t>
      </w:r>
      <w:r w:rsidRPr="0032491D">
        <w:rPr>
          <w:rFonts w:ascii="楷体" w:eastAsia="楷体" w:hAnsi="楷体" w:cs="Arial"/>
          <w:color w:val="auto"/>
          <w:sz w:val="20"/>
          <w:szCs w:val="20"/>
        </w:rPr>
        <w:t>%，</w:t>
      </w:r>
      <w:r w:rsidR="00F63767">
        <w:rPr>
          <w:rFonts w:ascii="楷体" w:eastAsia="楷体" w:hAnsi="楷体" w:cs="Arial"/>
          <w:color w:val="auto"/>
          <w:sz w:val="20"/>
          <w:szCs w:val="20"/>
        </w:rPr>
        <w:t>仅有</w:t>
      </w:r>
      <w:r w:rsidR="00F63767">
        <w:rPr>
          <w:rFonts w:ascii="楷体" w:eastAsia="楷体" w:hAnsi="楷体" w:cs="Arial" w:hint="eastAsia"/>
          <w:color w:val="auto"/>
          <w:sz w:val="20"/>
          <w:szCs w:val="20"/>
        </w:rPr>
        <w:t>4</w:t>
      </w:r>
      <w:r w:rsidRPr="0032491D">
        <w:rPr>
          <w:rFonts w:ascii="楷体" w:eastAsia="楷体" w:hAnsi="楷体" w:cs="Arial" w:hint="eastAsia"/>
          <w:color w:val="auto"/>
          <w:sz w:val="20"/>
          <w:szCs w:val="20"/>
        </w:rPr>
        <w:t>%的产品</w:t>
      </w:r>
      <w:r w:rsidRPr="0032491D">
        <w:rPr>
          <w:rFonts w:ascii="楷体" w:eastAsia="楷体" w:hAnsi="楷体" w:cs="Arial"/>
          <w:color w:val="auto"/>
          <w:sz w:val="20"/>
          <w:szCs w:val="20"/>
        </w:rPr>
        <w:t>为</w:t>
      </w:r>
      <w:r w:rsidRPr="0032491D">
        <w:rPr>
          <w:rFonts w:ascii="楷体" w:eastAsia="楷体" w:hAnsi="楷体" w:cs="Arial" w:hint="eastAsia"/>
          <w:color w:val="auto"/>
          <w:sz w:val="20"/>
          <w:szCs w:val="20"/>
        </w:rPr>
        <w:t>正收益，</w:t>
      </w:r>
      <w:r w:rsidRPr="0032491D">
        <w:rPr>
          <w:rFonts w:ascii="楷体" w:eastAsia="楷体" w:hAnsi="楷体" w:cs="Arial"/>
          <w:color w:val="auto"/>
          <w:sz w:val="20"/>
          <w:szCs w:val="20"/>
        </w:rPr>
        <w:t>最高收益为</w:t>
      </w:r>
      <w:r w:rsidR="00F357E3">
        <w:rPr>
          <w:rFonts w:ascii="楷体" w:eastAsia="楷体" w:hAnsi="楷体" w:cs="Arial" w:hint="eastAsia"/>
          <w:color w:val="auto"/>
          <w:sz w:val="20"/>
          <w:szCs w:val="20"/>
        </w:rPr>
        <w:t>国泰互联网+</w:t>
      </w:r>
      <w:r w:rsidRPr="0032491D">
        <w:rPr>
          <w:rFonts w:ascii="楷体" w:eastAsia="楷体" w:hAnsi="楷体" w:cs="Arial"/>
          <w:color w:val="auto"/>
          <w:sz w:val="20"/>
          <w:szCs w:val="20"/>
        </w:rPr>
        <w:t>的</w:t>
      </w:r>
      <w:r>
        <w:rPr>
          <w:rFonts w:ascii="楷体" w:eastAsia="楷体" w:hAnsi="楷体" w:cs="Arial" w:hint="eastAsia"/>
          <w:color w:val="auto"/>
          <w:sz w:val="20"/>
          <w:szCs w:val="20"/>
        </w:rPr>
        <w:t>2.</w:t>
      </w:r>
      <w:r w:rsidR="00F357E3">
        <w:rPr>
          <w:rFonts w:ascii="楷体" w:eastAsia="楷体" w:hAnsi="楷体" w:cs="Arial" w:hint="eastAsia"/>
          <w:color w:val="auto"/>
          <w:sz w:val="20"/>
          <w:szCs w:val="20"/>
        </w:rPr>
        <w:t>96</w:t>
      </w:r>
      <w:r w:rsidRPr="0032491D">
        <w:rPr>
          <w:rFonts w:ascii="楷体" w:eastAsia="楷体" w:hAnsi="楷体" w:cs="Arial"/>
          <w:color w:val="auto"/>
          <w:sz w:val="20"/>
          <w:szCs w:val="20"/>
        </w:rPr>
        <w:t>%。指数</w:t>
      </w:r>
      <w:proofErr w:type="gramStart"/>
      <w:r w:rsidRPr="0032491D">
        <w:rPr>
          <w:rFonts w:ascii="楷体" w:eastAsia="楷体" w:hAnsi="楷体" w:cs="Arial"/>
          <w:color w:val="auto"/>
          <w:sz w:val="20"/>
          <w:szCs w:val="20"/>
        </w:rPr>
        <w:t>股基平均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2.78</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，仅有</w:t>
      </w:r>
      <w:r w:rsidR="00F63767">
        <w:rPr>
          <w:rFonts w:ascii="楷体" w:eastAsia="楷体" w:hAnsi="楷体" w:cs="Arial" w:hint="eastAsia"/>
          <w:color w:val="auto"/>
          <w:sz w:val="20"/>
          <w:szCs w:val="20"/>
        </w:rPr>
        <w:t>3</w:t>
      </w:r>
      <w:r w:rsidRPr="0032491D">
        <w:rPr>
          <w:rFonts w:ascii="楷体" w:eastAsia="楷体" w:hAnsi="楷体" w:cs="Arial" w:hint="eastAsia"/>
          <w:color w:val="auto"/>
          <w:sz w:val="20"/>
          <w:szCs w:val="20"/>
        </w:rPr>
        <w:t>%的</w:t>
      </w:r>
      <w:r w:rsidRPr="0032491D">
        <w:rPr>
          <w:rFonts w:ascii="楷体" w:eastAsia="楷体" w:hAnsi="楷体" w:cs="Arial"/>
          <w:color w:val="auto"/>
          <w:sz w:val="20"/>
          <w:szCs w:val="20"/>
        </w:rPr>
        <w:t>产品上涨，最高收益为</w:t>
      </w:r>
      <w:r w:rsidR="00F357E3">
        <w:rPr>
          <w:rFonts w:ascii="楷体" w:eastAsia="楷体" w:hAnsi="楷体" w:cs="Arial" w:hint="eastAsia"/>
          <w:color w:val="auto"/>
          <w:sz w:val="20"/>
          <w:szCs w:val="20"/>
        </w:rPr>
        <w:t>景顺长城中证800食品饮料ETF</w:t>
      </w:r>
      <w:r w:rsidRPr="0032491D">
        <w:rPr>
          <w:rFonts w:ascii="楷体" w:eastAsia="楷体" w:hAnsi="楷体" w:cs="Arial"/>
          <w:color w:val="auto"/>
          <w:sz w:val="20"/>
          <w:szCs w:val="20"/>
        </w:rPr>
        <w:t>的</w:t>
      </w:r>
      <w:r w:rsidR="00F357E3">
        <w:rPr>
          <w:rFonts w:ascii="楷体" w:eastAsia="楷体" w:hAnsi="楷体" w:cs="Arial" w:hint="eastAsia"/>
          <w:color w:val="auto"/>
          <w:sz w:val="20"/>
          <w:szCs w:val="20"/>
        </w:rPr>
        <w:t>1.98</w:t>
      </w:r>
      <w:r w:rsidRPr="0032491D">
        <w:rPr>
          <w:rFonts w:ascii="楷体" w:eastAsia="楷体" w:hAnsi="楷体" w:cs="Arial"/>
          <w:color w:val="auto"/>
          <w:sz w:val="20"/>
          <w:szCs w:val="20"/>
        </w:rPr>
        <w:t>%。</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从投资范围来看</w:t>
      </w:r>
      <w:r w:rsidRPr="0032491D">
        <w:rPr>
          <w:rFonts w:ascii="楷体" w:eastAsia="楷体" w:hAnsi="楷体" w:cs="Arial" w:hint="eastAsia"/>
          <w:color w:val="auto"/>
          <w:sz w:val="20"/>
          <w:szCs w:val="20"/>
        </w:rPr>
        <w:t>，</w:t>
      </w:r>
      <w:r w:rsidR="00F357E3">
        <w:rPr>
          <w:rFonts w:ascii="楷体" w:eastAsia="楷体" w:hAnsi="楷体" w:cs="Arial" w:hint="eastAsia"/>
          <w:color w:val="auto"/>
          <w:sz w:val="20"/>
          <w:szCs w:val="20"/>
        </w:rPr>
        <w:t>食品饮料、农业</w:t>
      </w:r>
      <w:r w:rsidRPr="0032491D">
        <w:rPr>
          <w:rFonts w:ascii="楷体" w:eastAsia="楷体" w:hAnsi="楷体" w:cs="Arial" w:hint="eastAsia"/>
          <w:color w:val="auto"/>
          <w:sz w:val="20"/>
          <w:szCs w:val="20"/>
        </w:rPr>
        <w:t>主题基金表现较好</w:t>
      </w:r>
      <w:r>
        <w:rPr>
          <w:rFonts w:ascii="楷体" w:eastAsia="楷体" w:hAnsi="楷体" w:cs="Arial"/>
          <w:color w:val="auto"/>
          <w:sz w:val="20"/>
          <w:szCs w:val="20"/>
        </w:rPr>
        <w:t>。</w:t>
      </w:r>
      <w:proofErr w:type="gramStart"/>
      <w:r>
        <w:rPr>
          <w:rFonts w:ascii="楷体" w:eastAsia="楷体" w:hAnsi="楷体" w:cs="Arial"/>
          <w:color w:val="auto"/>
          <w:sz w:val="20"/>
          <w:szCs w:val="20"/>
        </w:rPr>
        <w:t>收益居</w:t>
      </w:r>
      <w:proofErr w:type="gramEnd"/>
      <w:r>
        <w:rPr>
          <w:rFonts w:ascii="楷体" w:eastAsia="楷体" w:hAnsi="楷体" w:cs="Arial"/>
          <w:color w:val="auto"/>
          <w:sz w:val="20"/>
          <w:szCs w:val="20"/>
        </w:rPr>
        <w:t>前的基金有</w:t>
      </w:r>
      <w:r w:rsidR="00F357E3">
        <w:rPr>
          <w:rFonts w:ascii="楷体" w:eastAsia="楷体" w:hAnsi="楷体" w:cs="Arial" w:hint="eastAsia"/>
          <w:color w:val="auto"/>
          <w:sz w:val="20"/>
          <w:szCs w:val="20"/>
        </w:rPr>
        <w:t>景顺长城</w:t>
      </w:r>
      <w:r w:rsidR="00F357E3">
        <w:rPr>
          <w:rFonts w:ascii="楷体" w:eastAsia="楷体" w:hAnsi="楷体" w:cs="Arial"/>
          <w:color w:val="auto"/>
          <w:sz w:val="20"/>
          <w:szCs w:val="20"/>
        </w:rPr>
        <w:t>中证</w:t>
      </w:r>
      <w:r w:rsidR="00F357E3">
        <w:rPr>
          <w:rFonts w:ascii="楷体" w:eastAsia="楷体" w:hAnsi="楷体" w:cs="Arial" w:hint="eastAsia"/>
          <w:color w:val="auto"/>
          <w:sz w:val="20"/>
          <w:szCs w:val="20"/>
        </w:rPr>
        <w:t>800食品饮料ETF</w:t>
      </w:r>
      <w:r w:rsidRPr="0032491D">
        <w:rPr>
          <w:rFonts w:ascii="楷体" w:eastAsia="楷体" w:hAnsi="楷体" w:cs="Arial" w:hint="eastAsia"/>
          <w:color w:val="auto"/>
          <w:sz w:val="20"/>
          <w:szCs w:val="20"/>
        </w:rPr>
        <w:t>（</w:t>
      </w:r>
      <w:r w:rsidR="00F357E3">
        <w:rPr>
          <w:rFonts w:ascii="楷体" w:eastAsia="楷体" w:hAnsi="楷体" w:cs="Arial" w:hint="eastAsia"/>
          <w:color w:val="auto"/>
          <w:sz w:val="20"/>
          <w:szCs w:val="20"/>
        </w:rPr>
        <w:t>1.98</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F357E3">
        <w:rPr>
          <w:rFonts w:ascii="楷体" w:eastAsia="楷体" w:hAnsi="楷体" w:cs="Arial" w:hint="eastAsia"/>
          <w:color w:val="auto"/>
          <w:sz w:val="20"/>
          <w:szCs w:val="20"/>
        </w:rPr>
        <w:t>工</w:t>
      </w:r>
      <w:proofErr w:type="gramStart"/>
      <w:r w:rsidR="00F357E3">
        <w:rPr>
          <w:rFonts w:ascii="楷体" w:eastAsia="楷体" w:hAnsi="楷体" w:cs="Arial" w:hint="eastAsia"/>
          <w:color w:val="auto"/>
          <w:sz w:val="20"/>
          <w:szCs w:val="20"/>
        </w:rPr>
        <w:t>银瑞信农业</w:t>
      </w:r>
      <w:proofErr w:type="gramEnd"/>
      <w:r w:rsidR="00F357E3">
        <w:rPr>
          <w:rFonts w:ascii="楷体" w:eastAsia="楷体" w:hAnsi="楷体" w:cs="Arial" w:hint="eastAsia"/>
          <w:color w:val="auto"/>
          <w:sz w:val="20"/>
          <w:szCs w:val="20"/>
        </w:rPr>
        <w:t>产业</w:t>
      </w:r>
      <w:r w:rsidRPr="0032491D">
        <w:rPr>
          <w:rFonts w:ascii="楷体" w:eastAsia="楷体" w:hAnsi="楷体" w:cs="Arial" w:hint="eastAsia"/>
          <w:color w:val="auto"/>
          <w:sz w:val="20"/>
          <w:szCs w:val="20"/>
        </w:rPr>
        <w:t>（</w:t>
      </w:r>
      <w:r w:rsidR="00F357E3">
        <w:rPr>
          <w:rFonts w:ascii="楷体" w:eastAsia="楷体" w:hAnsi="楷体" w:cs="Arial" w:hint="eastAsia"/>
          <w:color w:val="auto"/>
          <w:sz w:val="20"/>
          <w:szCs w:val="20"/>
        </w:rPr>
        <w:t>1.74</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F357E3">
        <w:rPr>
          <w:rFonts w:ascii="楷体" w:eastAsia="楷体" w:hAnsi="楷体" w:cs="Arial" w:hint="eastAsia"/>
          <w:color w:val="auto"/>
          <w:sz w:val="20"/>
          <w:szCs w:val="20"/>
        </w:rPr>
        <w:t>招商中证白酒</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1.</w:t>
      </w:r>
      <w:r w:rsidR="00F357E3">
        <w:rPr>
          <w:rFonts w:ascii="楷体" w:eastAsia="楷体" w:hAnsi="楷体" w:cs="Arial" w:hint="eastAsia"/>
          <w:color w:val="auto"/>
          <w:sz w:val="20"/>
          <w:szCs w:val="20"/>
        </w:rPr>
        <w:t>63</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F357E3">
        <w:rPr>
          <w:rFonts w:ascii="楷体" w:eastAsia="楷体" w:hAnsi="楷体" w:cs="Arial" w:hint="eastAsia"/>
          <w:color w:val="auto"/>
          <w:sz w:val="20"/>
          <w:szCs w:val="20"/>
        </w:rPr>
        <w:t>国泰国</w:t>
      </w:r>
      <w:proofErr w:type="gramStart"/>
      <w:r w:rsidR="00F357E3">
        <w:rPr>
          <w:rFonts w:ascii="楷体" w:eastAsia="楷体" w:hAnsi="楷体" w:cs="Arial" w:hint="eastAsia"/>
          <w:color w:val="auto"/>
          <w:sz w:val="20"/>
          <w:szCs w:val="20"/>
        </w:rPr>
        <w:t>证食品</w:t>
      </w:r>
      <w:proofErr w:type="gramEnd"/>
      <w:r w:rsidR="00F357E3">
        <w:rPr>
          <w:rFonts w:ascii="楷体" w:eastAsia="楷体" w:hAnsi="楷体" w:cs="Arial" w:hint="eastAsia"/>
          <w:color w:val="auto"/>
          <w:sz w:val="20"/>
          <w:szCs w:val="20"/>
        </w:rPr>
        <w:t>饮料</w:t>
      </w:r>
      <w:r w:rsidRPr="0032491D">
        <w:rPr>
          <w:rFonts w:ascii="楷体" w:eastAsia="楷体" w:hAnsi="楷体" w:cs="Arial" w:hint="eastAsia"/>
          <w:color w:val="auto"/>
          <w:sz w:val="20"/>
          <w:szCs w:val="20"/>
        </w:rPr>
        <w:t>（</w:t>
      </w:r>
      <w:r w:rsidR="00F357E3">
        <w:rPr>
          <w:rFonts w:ascii="楷体" w:eastAsia="楷体" w:hAnsi="楷体" w:cs="Arial" w:hint="eastAsia"/>
          <w:color w:val="auto"/>
          <w:sz w:val="20"/>
          <w:szCs w:val="20"/>
        </w:rPr>
        <w:t>0.94</w:t>
      </w:r>
      <w:r w:rsidRPr="0032491D">
        <w:rPr>
          <w:rFonts w:ascii="楷体" w:eastAsia="楷体" w:hAnsi="楷体" w:cs="Arial" w:hint="eastAsia"/>
          <w:color w:val="auto"/>
          <w:sz w:val="20"/>
          <w:szCs w:val="20"/>
        </w:rPr>
        <w:t>%）等。</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混合基金</w:t>
      </w:r>
    </w:p>
    <w:p w:rsidR="0053273E" w:rsidRPr="0032491D" w:rsidRDefault="0053273E" w:rsidP="0053273E">
      <w:pPr>
        <w:pStyle w:val="a5"/>
        <w:spacing w:afterLines="100" w:after="240" w:line="260" w:lineRule="exact"/>
        <w:ind w:leftChars="1822" w:left="3826" w:rightChars="-34" w:right="-71" w:firstLineChars="200" w:firstLine="400"/>
        <w:rPr>
          <w:rFonts w:ascii="楷体" w:eastAsia="楷体" w:hAnsi="楷体" w:cs="Arial"/>
          <w:color w:val="auto"/>
          <w:sz w:val="20"/>
          <w:szCs w:val="20"/>
        </w:rPr>
      </w:pPr>
      <w:r w:rsidRPr="0032491D">
        <w:rPr>
          <w:rFonts w:ascii="楷体" w:eastAsia="楷体" w:hAnsi="楷体" w:cs="Arial" w:hint="eastAsia"/>
          <w:color w:val="auto"/>
          <w:sz w:val="20"/>
          <w:szCs w:val="20"/>
        </w:rPr>
        <w:t>混合基金得益于</w:t>
      </w:r>
      <w:proofErr w:type="gramStart"/>
      <w:r w:rsidRPr="0032491D">
        <w:rPr>
          <w:rFonts w:ascii="楷体" w:eastAsia="楷体" w:hAnsi="楷体" w:cs="Arial" w:hint="eastAsia"/>
          <w:color w:val="auto"/>
          <w:sz w:val="20"/>
          <w:szCs w:val="20"/>
        </w:rPr>
        <w:t>仓位</w:t>
      </w:r>
      <w:proofErr w:type="gramEnd"/>
      <w:r w:rsidRPr="0032491D">
        <w:rPr>
          <w:rFonts w:ascii="楷体" w:eastAsia="楷体" w:hAnsi="楷体" w:cs="Arial" w:hint="eastAsia"/>
          <w:color w:val="auto"/>
          <w:sz w:val="20"/>
          <w:szCs w:val="20"/>
        </w:rPr>
        <w:t>灵活控制其表现优于股票基金</w:t>
      </w:r>
      <w:r w:rsidRPr="0032491D">
        <w:rPr>
          <w:rFonts w:ascii="楷体" w:eastAsia="楷体" w:hAnsi="楷体" w:cs="Arial"/>
          <w:color w:val="auto"/>
          <w:sz w:val="20"/>
          <w:szCs w:val="20"/>
        </w:rPr>
        <w:t>，其平均收益为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1.82</w:t>
      </w:r>
      <w:r w:rsidRPr="0032491D">
        <w:rPr>
          <w:rFonts w:ascii="楷体" w:eastAsia="楷体" w:hAnsi="楷体" w:cs="Arial"/>
          <w:color w:val="auto"/>
          <w:sz w:val="20"/>
          <w:szCs w:val="20"/>
        </w:rPr>
        <w:t>%。其中，</w:t>
      </w:r>
      <w:proofErr w:type="gramStart"/>
      <w:r w:rsidRPr="0032491D">
        <w:rPr>
          <w:rFonts w:ascii="楷体" w:eastAsia="楷体" w:hAnsi="楷体" w:cs="Arial"/>
          <w:color w:val="auto"/>
          <w:sz w:val="20"/>
          <w:szCs w:val="20"/>
        </w:rPr>
        <w:t>偏股型平均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3.19</w:t>
      </w:r>
      <w:r w:rsidRPr="0032491D">
        <w:rPr>
          <w:rFonts w:ascii="楷体" w:eastAsia="楷体" w:hAnsi="楷体" w:cs="Arial"/>
          <w:color w:val="auto"/>
          <w:sz w:val="20"/>
          <w:szCs w:val="20"/>
        </w:rPr>
        <w:t>%，</w:t>
      </w:r>
      <w:proofErr w:type="gramStart"/>
      <w:r w:rsidRPr="0032491D">
        <w:rPr>
          <w:rFonts w:ascii="楷体" w:eastAsia="楷体" w:hAnsi="楷体" w:cs="Arial"/>
          <w:color w:val="auto"/>
          <w:sz w:val="20"/>
          <w:szCs w:val="20"/>
        </w:rPr>
        <w:t>偏债型</w:t>
      </w:r>
      <w:proofErr w:type="gramEnd"/>
      <w:r w:rsidRPr="0032491D">
        <w:rPr>
          <w:rFonts w:ascii="楷体" w:eastAsia="楷体" w:hAnsi="楷体" w:cs="Arial"/>
          <w:color w:val="auto"/>
          <w:sz w:val="20"/>
          <w:szCs w:val="20"/>
        </w:rPr>
        <w:t>产品平均收益为</w:t>
      </w:r>
      <w:r w:rsidR="00F63767">
        <w:rPr>
          <w:rFonts w:ascii="楷体" w:eastAsia="楷体" w:hAnsi="楷体" w:cs="Arial" w:hint="eastAsia"/>
          <w:color w:val="auto"/>
          <w:sz w:val="20"/>
          <w:szCs w:val="20"/>
        </w:rPr>
        <w:t>-0.12</w:t>
      </w:r>
      <w:r w:rsidRPr="0032491D">
        <w:rPr>
          <w:rFonts w:ascii="楷体" w:eastAsia="楷体" w:hAnsi="楷体" w:cs="Arial"/>
          <w:color w:val="auto"/>
          <w:sz w:val="20"/>
          <w:szCs w:val="20"/>
        </w:rPr>
        <w:t>%，灵活配置</w:t>
      </w:r>
      <w:proofErr w:type="gramStart"/>
      <w:r w:rsidRPr="0032491D">
        <w:rPr>
          <w:rFonts w:ascii="楷体" w:eastAsia="楷体" w:hAnsi="楷体" w:cs="Arial"/>
          <w:color w:val="auto"/>
          <w:sz w:val="20"/>
          <w:szCs w:val="20"/>
        </w:rPr>
        <w:t>型平均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1.44</w:t>
      </w:r>
      <w:r w:rsidRPr="0032491D">
        <w:rPr>
          <w:rFonts w:ascii="楷体" w:eastAsia="楷体" w:hAnsi="楷体" w:cs="Arial"/>
          <w:color w:val="auto"/>
          <w:sz w:val="20"/>
          <w:szCs w:val="20"/>
        </w:rPr>
        <w:t>%，平衡</w:t>
      </w:r>
      <w:proofErr w:type="gramStart"/>
      <w:r w:rsidRPr="0032491D">
        <w:rPr>
          <w:rFonts w:ascii="楷体" w:eastAsia="楷体" w:hAnsi="楷体" w:cs="Arial"/>
          <w:color w:val="auto"/>
          <w:sz w:val="20"/>
          <w:szCs w:val="20"/>
        </w:rPr>
        <w:t>型平均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F63767">
        <w:rPr>
          <w:rFonts w:ascii="楷体" w:eastAsia="楷体" w:hAnsi="楷体" w:cs="Arial" w:hint="eastAsia"/>
          <w:color w:val="auto"/>
          <w:sz w:val="20"/>
          <w:szCs w:val="20"/>
        </w:rPr>
        <w:t>2.27</w:t>
      </w:r>
      <w:r w:rsidRPr="0032491D">
        <w:rPr>
          <w:rFonts w:ascii="楷体" w:eastAsia="楷体" w:hAnsi="楷体" w:cs="Arial"/>
          <w:color w:val="auto"/>
          <w:sz w:val="20"/>
          <w:szCs w:val="20"/>
        </w:rPr>
        <w:t>%。</w:t>
      </w:r>
    </w:p>
    <w:tbl>
      <w:tblPr>
        <w:tblpPr w:leftFromText="180" w:rightFromText="180" w:vertAnchor="text" w:horzAnchor="margin" w:tblpY="150"/>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53273E" w:rsidRPr="0032491D" w:rsidTr="00FC5199">
        <w:trPr>
          <w:trHeight w:val="415"/>
        </w:trPr>
        <w:tc>
          <w:tcPr>
            <w:tcW w:w="3686" w:type="dxa"/>
            <w:gridSpan w:val="4"/>
            <w:shd w:val="clear" w:color="000000" w:fill="F79646"/>
            <w:vAlign w:val="center"/>
            <w:hideMark/>
          </w:tcPr>
          <w:p w:rsidR="0053273E" w:rsidRPr="0032491D" w:rsidRDefault="0053273E" w:rsidP="00FC5199">
            <w:pPr>
              <w:widowControl/>
              <w:jc w:val="center"/>
              <w:rPr>
                <w:rFonts w:ascii="楷体" w:eastAsia="楷体" w:hAnsi="楷体" w:cs="宋体"/>
                <w:b/>
                <w:bCs/>
                <w:color w:val="000000"/>
                <w:kern w:val="0"/>
                <w:sz w:val="20"/>
                <w:szCs w:val="20"/>
              </w:rPr>
            </w:pPr>
            <w:r w:rsidRPr="0032491D">
              <w:rPr>
                <w:rFonts w:ascii="楷体" w:eastAsia="楷体" w:hAnsi="楷体" w:cs="宋体" w:hint="eastAsia"/>
                <w:b/>
                <w:bCs/>
                <w:color w:val="000000"/>
                <w:kern w:val="0"/>
                <w:sz w:val="20"/>
                <w:szCs w:val="20"/>
              </w:rPr>
              <w:t>公</w:t>
            </w:r>
            <w:proofErr w:type="gramStart"/>
            <w:r w:rsidRPr="0032491D">
              <w:rPr>
                <w:rFonts w:ascii="楷体" w:eastAsia="楷体" w:hAnsi="楷体" w:cs="宋体" w:hint="eastAsia"/>
                <w:b/>
                <w:bCs/>
                <w:color w:val="000000"/>
                <w:kern w:val="0"/>
                <w:sz w:val="20"/>
                <w:szCs w:val="20"/>
              </w:rPr>
              <w:t>募基金</w:t>
            </w:r>
            <w:proofErr w:type="gramEnd"/>
            <w:r w:rsidRPr="0032491D">
              <w:rPr>
                <w:rFonts w:ascii="楷体" w:eastAsia="楷体" w:hAnsi="楷体" w:cs="宋体" w:hint="eastAsia"/>
                <w:b/>
                <w:bCs/>
                <w:color w:val="000000"/>
                <w:kern w:val="0"/>
                <w:sz w:val="20"/>
                <w:szCs w:val="20"/>
              </w:rPr>
              <w:t>区间收益%</w:t>
            </w:r>
          </w:p>
        </w:tc>
      </w:tr>
      <w:tr w:rsidR="00F63767" w:rsidRPr="0032491D" w:rsidTr="00FC5199">
        <w:trPr>
          <w:trHeight w:val="285"/>
        </w:trPr>
        <w:tc>
          <w:tcPr>
            <w:tcW w:w="993" w:type="dxa"/>
            <w:vMerge w:val="restart"/>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F63767" w:rsidRDefault="00F63767">
            <w:pPr>
              <w:jc w:val="center"/>
              <w:rPr>
                <w:rFonts w:ascii="楷体" w:eastAsia="楷体" w:hAnsi="楷体" w:cs="宋体"/>
                <w:color w:val="000000"/>
                <w:sz w:val="15"/>
                <w:szCs w:val="15"/>
              </w:rPr>
            </w:pPr>
            <w:r>
              <w:rPr>
                <w:rFonts w:ascii="楷体" w:eastAsia="楷体" w:hAnsi="楷体" w:hint="eastAsia"/>
                <w:color w:val="000000"/>
                <w:sz w:val="15"/>
                <w:szCs w:val="15"/>
              </w:rPr>
              <w:t>-2.82</w:t>
            </w: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-2.95</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-2.78</w:t>
            </w:r>
          </w:p>
        </w:tc>
      </w:tr>
      <w:tr w:rsidR="00F63767" w:rsidRPr="0032491D" w:rsidTr="00FC5199">
        <w:trPr>
          <w:trHeight w:val="285"/>
        </w:trPr>
        <w:tc>
          <w:tcPr>
            <w:tcW w:w="993" w:type="dxa"/>
            <w:vMerge w:val="restart"/>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F63767" w:rsidRDefault="00F63767">
            <w:pPr>
              <w:jc w:val="center"/>
              <w:rPr>
                <w:rFonts w:ascii="楷体" w:eastAsia="楷体" w:hAnsi="楷体" w:cs="宋体"/>
                <w:color w:val="000000"/>
                <w:sz w:val="15"/>
                <w:szCs w:val="15"/>
              </w:rPr>
            </w:pPr>
            <w:r>
              <w:rPr>
                <w:rFonts w:ascii="楷体" w:eastAsia="楷体" w:hAnsi="楷体" w:hint="eastAsia"/>
                <w:color w:val="000000"/>
                <w:sz w:val="15"/>
                <w:szCs w:val="15"/>
              </w:rPr>
              <w:t>-1.82</w:t>
            </w: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-3.19</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-0.12</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-1.44</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混合平衡</w:t>
            </w:r>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-2.27</w:t>
            </w:r>
          </w:p>
        </w:tc>
      </w:tr>
      <w:tr w:rsidR="00F63767" w:rsidRPr="0032491D" w:rsidTr="00FC5199">
        <w:trPr>
          <w:trHeight w:val="285"/>
        </w:trPr>
        <w:tc>
          <w:tcPr>
            <w:tcW w:w="993" w:type="dxa"/>
            <w:vMerge w:val="restart"/>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F63767" w:rsidRDefault="00F63767">
            <w:pPr>
              <w:jc w:val="center"/>
              <w:rPr>
                <w:rFonts w:ascii="楷体" w:eastAsia="楷体" w:hAnsi="楷体" w:cs="宋体"/>
                <w:color w:val="000000"/>
                <w:sz w:val="15"/>
                <w:szCs w:val="15"/>
              </w:rPr>
            </w:pPr>
            <w:r>
              <w:rPr>
                <w:rFonts w:ascii="楷体" w:eastAsia="楷体" w:hAnsi="楷体" w:hint="eastAsia"/>
                <w:color w:val="000000"/>
                <w:sz w:val="15"/>
                <w:szCs w:val="15"/>
              </w:rPr>
              <w:t>0.09</w:t>
            </w: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F63767" w:rsidRPr="0032491D" w:rsidTr="00FC5199">
        <w:trPr>
          <w:trHeight w:val="285"/>
        </w:trPr>
        <w:tc>
          <w:tcPr>
            <w:tcW w:w="993" w:type="dxa"/>
            <w:vMerge/>
            <w:tcBorders>
              <w:bottom w:val="single" w:sz="4" w:space="0" w:color="auto"/>
            </w:tcBorders>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F63767" w:rsidRPr="0032491D" w:rsidRDefault="00F63767"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F63767" w:rsidRPr="0032491D" w:rsidTr="00FC5199">
        <w:trPr>
          <w:trHeight w:val="285"/>
        </w:trPr>
        <w:tc>
          <w:tcPr>
            <w:tcW w:w="993" w:type="dxa"/>
            <w:shd w:val="clear" w:color="auto" w:fill="D9D9D9" w:themeFill="background1" w:themeFillShade="D9"/>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F63767" w:rsidRDefault="00F63767">
            <w:pPr>
              <w:jc w:val="center"/>
              <w:rPr>
                <w:rFonts w:ascii="楷体" w:eastAsia="楷体" w:hAnsi="楷体" w:cs="宋体"/>
                <w:color w:val="000000"/>
                <w:sz w:val="13"/>
                <w:szCs w:val="13"/>
              </w:rPr>
            </w:pPr>
            <w:r>
              <w:rPr>
                <w:rFonts w:ascii="楷体" w:eastAsia="楷体" w:hAnsi="楷体" w:hint="eastAsia"/>
                <w:color w:val="000000"/>
                <w:sz w:val="13"/>
                <w:szCs w:val="13"/>
              </w:rPr>
              <w:t>-0.40</w:t>
            </w: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53273E" w:rsidRPr="0032491D" w:rsidTr="00FC5199">
        <w:trPr>
          <w:trHeight w:val="270"/>
        </w:trPr>
        <w:tc>
          <w:tcPr>
            <w:tcW w:w="1702" w:type="dxa"/>
            <w:gridSpan w:val="2"/>
            <w:vMerge w:val="restart"/>
            <w:shd w:val="clear" w:color="auto" w:fill="auto"/>
            <w:vAlign w:val="center"/>
            <w:hideMark/>
          </w:tcPr>
          <w:p w:rsidR="0053273E" w:rsidRPr="0032491D" w:rsidRDefault="0053273E"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货币基金</w:t>
            </w:r>
          </w:p>
          <w:p w:rsidR="0053273E" w:rsidRPr="0032491D" w:rsidRDefault="0053273E" w:rsidP="00FC5199">
            <w:pPr>
              <w:widowControl/>
              <w:jc w:val="center"/>
              <w:rPr>
                <w:rFonts w:ascii="楷体" w:eastAsia="楷体" w:hAnsi="楷体" w:cs="宋体"/>
                <w:color w:val="000000"/>
                <w:kern w:val="0"/>
                <w:sz w:val="13"/>
                <w:szCs w:val="13"/>
              </w:rPr>
            </w:pPr>
            <w:proofErr w:type="gramStart"/>
            <w:r w:rsidRPr="0032491D">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53273E" w:rsidRPr="0032491D" w:rsidRDefault="0053273E" w:rsidP="00F63767">
            <w:pPr>
              <w:jc w:val="center"/>
              <w:rPr>
                <w:rFonts w:ascii="楷体" w:eastAsia="楷体" w:hAnsi="楷体"/>
                <w:color w:val="000000"/>
                <w:sz w:val="15"/>
                <w:szCs w:val="15"/>
              </w:rPr>
            </w:pPr>
            <w:r w:rsidRPr="0032491D">
              <w:rPr>
                <w:rFonts w:ascii="楷体" w:eastAsia="楷体" w:hAnsi="楷体"/>
                <w:color w:val="000000"/>
                <w:sz w:val="15"/>
                <w:szCs w:val="15"/>
              </w:rPr>
              <w:t>2.</w:t>
            </w:r>
            <w:r w:rsidR="00F63767">
              <w:rPr>
                <w:rFonts w:ascii="楷体" w:eastAsia="楷体" w:hAnsi="楷体" w:hint="eastAsia"/>
                <w:color w:val="000000"/>
                <w:sz w:val="15"/>
                <w:szCs w:val="15"/>
              </w:rPr>
              <w:t>54</w:t>
            </w:r>
            <w:r w:rsidRPr="0032491D">
              <w:rPr>
                <w:rFonts w:ascii="楷体" w:eastAsia="楷体" w:hAnsi="楷体"/>
                <w:color w:val="000000"/>
                <w:sz w:val="15"/>
                <w:szCs w:val="15"/>
              </w:rPr>
              <w:tab/>
            </w:r>
          </w:p>
        </w:tc>
      </w:tr>
      <w:tr w:rsidR="0053273E" w:rsidRPr="0032491D" w:rsidTr="00FC5199">
        <w:trPr>
          <w:trHeight w:val="285"/>
        </w:trPr>
        <w:tc>
          <w:tcPr>
            <w:tcW w:w="1702" w:type="dxa"/>
            <w:gridSpan w:val="2"/>
            <w:vMerge/>
            <w:vAlign w:val="center"/>
            <w:hideMark/>
          </w:tcPr>
          <w:p w:rsidR="0053273E" w:rsidRPr="0032491D" w:rsidRDefault="0053273E" w:rsidP="00FC5199">
            <w:pPr>
              <w:widowControl/>
              <w:jc w:val="left"/>
              <w:rPr>
                <w:rFonts w:ascii="楷体" w:eastAsia="楷体" w:hAnsi="楷体" w:cs="宋体"/>
                <w:color w:val="000000"/>
                <w:kern w:val="0"/>
                <w:sz w:val="16"/>
                <w:szCs w:val="16"/>
              </w:rPr>
            </w:pPr>
          </w:p>
        </w:tc>
        <w:tc>
          <w:tcPr>
            <w:tcW w:w="1984" w:type="dxa"/>
            <w:gridSpan w:val="2"/>
            <w:vMerge/>
            <w:vAlign w:val="center"/>
            <w:hideMark/>
          </w:tcPr>
          <w:p w:rsidR="0053273E" w:rsidRPr="0032491D" w:rsidRDefault="0053273E" w:rsidP="00FC5199">
            <w:pPr>
              <w:widowControl/>
              <w:jc w:val="left"/>
              <w:rPr>
                <w:rFonts w:ascii="楷体" w:eastAsia="楷体" w:hAnsi="楷体" w:cs="宋体"/>
                <w:color w:val="000000"/>
                <w:kern w:val="0"/>
                <w:sz w:val="16"/>
                <w:szCs w:val="16"/>
              </w:rPr>
            </w:pPr>
          </w:p>
        </w:tc>
      </w:tr>
      <w:tr w:rsidR="00F63767" w:rsidRPr="0032491D" w:rsidTr="00FC5199">
        <w:trPr>
          <w:trHeight w:val="285"/>
        </w:trPr>
        <w:tc>
          <w:tcPr>
            <w:tcW w:w="993" w:type="dxa"/>
            <w:vMerge w:val="restart"/>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F63767" w:rsidRDefault="00F63767" w:rsidP="00F63767">
            <w:pPr>
              <w:jc w:val="center"/>
              <w:rPr>
                <w:rFonts w:ascii="楷体" w:eastAsia="楷体" w:hAnsi="楷体" w:cs="宋体"/>
                <w:color w:val="000000"/>
                <w:sz w:val="15"/>
                <w:szCs w:val="15"/>
              </w:rPr>
            </w:pPr>
            <w:r>
              <w:rPr>
                <w:rFonts w:ascii="楷体" w:eastAsia="楷体" w:hAnsi="楷体" w:hint="eastAsia"/>
                <w:color w:val="000000"/>
                <w:sz w:val="15"/>
                <w:szCs w:val="15"/>
              </w:rPr>
              <w:t>-1.07</w:t>
            </w: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-1.30</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QDII混合</w:t>
            </w:r>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-2.25</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0.12</w:t>
            </w:r>
          </w:p>
        </w:tc>
      </w:tr>
      <w:tr w:rsidR="00F63767" w:rsidRPr="0032491D" w:rsidTr="00FC5199">
        <w:trPr>
          <w:trHeight w:val="285"/>
        </w:trPr>
        <w:tc>
          <w:tcPr>
            <w:tcW w:w="993"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709" w:type="dxa"/>
            <w:vMerge/>
            <w:vAlign w:val="center"/>
            <w:hideMark/>
          </w:tcPr>
          <w:p w:rsidR="00F63767" w:rsidRPr="0032491D" w:rsidRDefault="00F63767" w:rsidP="00FC5199">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63767" w:rsidRPr="0032491D" w:rsidRDefault="00F63767"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QDII另类</w:t>
            </w:r>
          </w:p>
        </w:tc>
        <w:tc>
          <w:tcPr>
            <w:tcW w:w="992" w:type="dxa"/>
            <w:shd w:val="clear" w:color="auto" w:fill="auto"/>
            <w:vAlign w:val="center"/>
            <w:hideMark/>
          </w:tcPr>
          <w:p w:rsidR="00F63767" w:rsidRDefault="00F63767">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bl>
    <w:p w:rsidR="0053273E" w:rsidRPr="0032491D" w:rsidRDefault="0053273E" w:rsidP="0053273E">
      <w:pPr>
        <w:pStyle w:val="a5"/>
        <w:spacing w:beforeLines="100" w:before="240" w:afterLines="100" w:after="240" w:line="260" w:lineRule="exact"/>
        <w:ind w:leftChars="0" w:left="0" w:rightChars="-34" w:right="-71" w:firstLineChars="300" w:firstLine="600"/>
        <w:rPr>
          <w:rFonts w:ascii="楷体" w:eastAsia="楷体" w:hAnsi="楷体" w:cs="Arial"/>
          <w:color w:val="auto"/>
          <w:sz w:val="20"/>
          <w:szCs w:val="20"/>
        </w:rPr>
      </w:pPr>
      <w:proofErr w:type="gramStart"/>
      <w:r w:rsidRPr="0032491D">
        <w:rPr>
          <w:rFonts w:ascii="楷体" w:eastAsia="楷体" w:hAnsi="楷体" w:cs="Arial"/>
          <w:color w:val="auto"/>
          <w:sz w:val="20"/>
          <w:szCs w:val="20"/>
        </w:rPr>
        <w:t>偏股型</w:t>
      </w:r>
      <w:proofErr w:type="gramEnd"/>
      <w:r w:rsidRPr="0032491D">
        <w:rPr>
          <w:rFonts w:ascii="楷体" w:eastAsia="楷体" w:hAnsi="楷体" w:cs="Arial"/>
          <w:color w:val="auto"/>
          <w:sz w:val="20"/>
          <w:szCs w:val="20"/>
        </w:rPr>
        <w:t>产品</w:t>
      </w:r>
      <w:r w:rsidRPr="0032491D">
        <w:rPr>
          <w:rFonts w:ascii="楷体" w:eastAsia="楷体" w:hAnsi="楷体" w:cs="Arial" w:hint="eastAsia"/>
          <w:color w:val="auto"/>
          <w:sz w:val="20"/>
          <w:szCs w:val="20"/>
        </w:rPr>
        <w:t>中</w:t>
      </w:r>
      <w:r w:rsidR="00F63767">
        <w:rPr>
          <w:rFonts w:ascii="楷体" w:eastAsia="楷体" w:hAnsi="楷体" w:cs="Arial" w:hint="eastAsia"/>
          <w:color w:val="auto"/>
          <w:sz w:val="20"/>
          <w:szCs w:val="20"/>
        </w:rPr>
        <w:t>5</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7650E2">
        <w:rPr>
          <w:rFonts w:ascii="楷体" w:eastAsia="楷体" w:hAnsi="楷体" w:cs="Arial" w:hint="eastAsia"/>
          <w:color w:val="auto"/>
          <w:sz w:val="20"/>
          <w:szCs w:val="20"/>
        </w:rPr>
        <w:t>招商先锋</w:t>
      </w:r>
      <w:r w:rsidRPr="0032491D">
        <w:rPr>
          <w:rFonts w:ascii="楷体" w:eastAsia="楷体" w:hAnsi="楷体" w:cs="Arial"/>
          <w:color w:val="auto"/>
          <w:sz w:val="20"/>
          <w:szCs w:val="20"/>
        </w:rPr>
        <w:t>的</w:t>
      </w:r>
      <w:r w:rsidR="007650E2">
        <w:rPr>
          <w:rFonts w:ascii="楷体" w:eastAsia="楷体" w:hAnsi="楷体" w:cs="Arial" w:hint="eastAsia"/>
          <w:color w:val="auto"/>
          <w:sz w:val="20"/>
          <w:szCs w:val="20"/>
        </w:rPr>
        <w:t>2.87</w:t>
      </w:r>
      <w:r w:rsidRPr="0032491D">
        <w:rPr>
          <w:rFonts w:ascii="楷体" w:eastAsia="楷体" w:hAnsi="楷体" w:cs="Arial"/>
          <w:color w:val="auto"/>
          <w:sz w:val="20"/>
          <w:szCs w:val="20"/>
        </w:rPr>
        <w:t>%。灵活型产品中，</w:t>
      </w:r>
      <w:r w:rsidR="00F63767">
        <w:rPr>
          <w:rFonts w:ascii="楷体" w:eastAsia="楷体" w:hAnsi="楷体" w:cs="Arial" w:hint="eastAsia"/>
          <w:color w:val="auto"/>
          <w:sz w:val="20"/>
          <w:szCs w:val="20"/>
        </w:rPr>
        <w:t>36</w:t>
      </w:r>
      <w:r w:rsidRPr="0032491D">
        <w:rPr>
          <w:rFonts w:ascii="楷体" w:eastAsia="楷体" w:hAnsi="楷体" w:cs="Arial" w:hint="eastAsia"/>
          <w:color w:val="auto"/>
          <w:sz w:val="20"/>
          <w:szCs w:val="20"/>
        </w:rPr>
        <w:t>%产品收益为正</w:t>
      </w:r>
      <w:r>
        <w:rPr>
          <w:rFonts w:ascii="楷体" w:eastAsia="楷体" w:hAnsi="楷体" w:cs="Arial"/>
          <w:color w:val="auto"/>
          <w:sz w:val="20"/>
          <w:szCs w:val="20"/>
        </w:rPr>
        <w:t>，最高收益为</w:t>
      </w:r>
      <w:r w:rsidR="00C32C72">
        <w:rPr>
          <w:rFonts w:ascii="楷体" w:eastAsia="楷体" w:hAnsi="楷体" w:cs="Arial" w:hint="eastAsia"/>
          <w:color w:val="auto"/>
          <w:sz w:val="20"/>
          <w:szCs w:val="20"/>
        </w:rPr>
        <w:t>长信利盈</w:t>
      </w:r>
      <w:r w:rsidRPr="0032491D">
        <w:rPr>
          <w:rFonts w:ascii="楷体" w:eastAsia="楷体" w:hAnsi="楷体" w:cs="Arial"/>
          <w:color w:val="auto"/>
          <w:sz w:val="20"/>
          <w:szCs w:val="20"/>
        </w:rPr>
        <w:t>的</w:t>
      </w:r>
      <w:r w:rsidR="00C32C72">
        <w:rPr>
          <w:rFonts w:ascii="楷体" w:eastAsia="楷体" w:hAnsi="楷体" w:cs="Arial" w:hint="eastAsia"/>
          <w:color w:val="auto"/>
          <w:sz w:val="20"/>
          <w:szCs w:val="20"/>
        </w:rPr>
        <w:t>5.20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2</w:t>
      </w:r>
      <w:r>
        <w:rPr>
          <w:rFonts w:ascii="楷体" w:eastAsia="楷体" w:hAnsi="楷体" w:cs="Arial" w:hint="eastAsia"/>
          <w:color w:val="auto"/>
          <w:sz w:val="20"/>
          <w:szCs w:val="20"/>
        </w:rPr>
        <w:t>2</w:t>
      </w:r>
      <w:r w:rsidRPr="0032491D">
        <w:rPr>
          <w:rFonts w:ascii="楷体" w:eastAsia="楷体" w:hAnsi="楷体" w:cs="Arial" w:hint="eastAsia"/>
          <w:color w:val="auto"/>
          <w:sz w:val="20"/>
          <w:szCs w:val="20"/>
        </w:rPr>
        <w:t>只</w:t>
      </w:r>
      <w:r w:rsidRPr="0032491D">
        <w:rPr>
          <w:rFonts w:ascii="楷体" w:eastAsia="楷体" w:hAnsi="楷体" w:cs="Arial"/>
          <w:color w:val="auto"/>
          <w:sz w:val="20"/>
          <w:szCs w:val="20"/>
        </w:rPr>
        <w:t>平衡型产品</w:t>
      </w:r>
      <w:r w:rsidR="00F63767">
        <w:rPr>
          <w:rFonts w:ascii="楷体" w:eastAsia="楷体" w:hAnsi="楷体" w:cs="Arial" w:hint="eastAsia"/>
          <w:color w:val="auto"/>
          <w:sz w:val="20"/>
          <w:szCs w:val="20"/>
        </w:rPr>
        <w:t>中仅有3</w:t>
      </w:r>
      <w:r w:rsidRPr="0032491D">
        <w:rPr>
          <w:rFonts w:ascii="楷体" w:eastAsia="楷体" w:hAnsi="楷体" w:cs="Arial" w:hint="eastAsia"/>
          <w:color w:val="auto"/>
          <w:sz w:val="20"/>
          <w:szCs w:val="20"/>
        </w:rPr>
        <w:t>只收益为正</w:t>
      </w:r>
      <w:r w:rsidRPr="0032491D">
        <w:rPr>
          <w:rFonts w:ascii="楷体" w:eastAsia="楷体" w:hAnsi="楷体" w:cs="Arial"/>
          <w:color w:val="auto"/>
          <w:sz w:val="20"/>
          <w:szCs w:val="20"/>
        </w:rPr>
        <w:t>，最高收益为</w:t>
      </w:r>
      <w:r w:rsidR="00654571">
        <w:rPr>
          <w:rFonts w:ascii="楷体" w:eastAsia="楷体" w:hAnsi="楷体" w:cs="Arial" w:hint="eastAsia"/>
          <w:color w:val="auto"/>
          <w:sz w:val="20"/>
          <w:szCs w:val="20"/>
        </w:rPr>
        <w:t>中加心安</w:t>
      </w:r>
      <w:r w:rsidRPr="0032491D">
        <w:rPr>
          <w:rFonts w:ascii="楷体" w:eastAsia="楷体" w:hAnsi="楷体" w:cs="Arial"/>
          <w:color w:val="auto"/>
          <w:sz w:val="20"/>
          <w:szCs w:val="20"/>
        </w:rPr>
        <w:t>的</w:t>
      </w:r>
      <w:r w:rsidR="00654571">
        <w:rPr>
          <w:rFonts w:ascii="楷体" w:eastAsia="楷体" w:hAnsi="楷体" w:cs="Arial" w:hint="eastAsia"/>
          <w:color w:val="auto"/>
          <w:sz w:val="20"/>
          <w:szCs w:val="20"/>
        </w:rPr>
        <w:t>0.14</w:t>
      </w:r>
      <w:r w:rsidRPr="0032491D">
        <w:rPr>
          <w:rFonts w:ascii="楷体" w:eastAsia="楷体" w:hAnsi="楷体" w:cs="Arial"/>
          <w:color w:val="auto"/>
          <w:sz w:val="20"/>
          <w:szCs w:val="20"/>
        </w:rPr>
        <w:t>%。</w:t>
      </w:r>
      <w:proofErr w:type="gramStart"/>
      <w:r w:rsidRPr="0032491D">
        <w:rPr>
          <w:rFonts w:ascii="楷体" w:eastAsia="楷体" w:hAnsi="楷体" w:cs="Arial"/>
          <w:color w:val="auto"/>
          <w:sz w:val="20"/>
          <w:szCs w:val="20"/>
        </w:rPr>
        <w:t>偏债型</w:t>
      </w:r>
      <w:proofErr w:type="gramEnd"/>
      <w:r w:rsidRPr="0032491D">
        <w:rPr>
          <w:rFonts w:ascii="楷体" w:eastAsia="楷体" w:hAnsi="楷体" w:cs="Arial"/>
          <w:color w:val="auto"/>
          <w:sz w:val="20"/>
          <w:szCs w:val="20"/>
        </w:rPr>
        <w:t>产品中，</w:t>
      </w:r>
      <w:r w:rsidR="00F63767">
        <w:rPr>
          <w:rFonts w:ascii="楷体" w:eastAsia="楷体" w:hAnsi="楷体" w:cs="Arial" w:hint="eastAsia"/>
          <w:color w:val="auto"/>
          <w:sz w:val="20"/>
          <w:szCs w:val="20"/>
        </w:rPr>
        <w:t>62</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654571">
        <w:rPr>
          <w:rFonts w:ascii="楷体" w:eastAsia="楷体" w:hAnsi="楷体" w:cs="Arial" w:hint="eastAsia"/>
          <w:color w:val="auto"/>
          <w:sz w:val="20"/>
          <w:szCs w:val="20"/>
        </w:rPr>
        <w:t>招商安达保本</w:t>
      </w:r>
      <w:r w:rsidRPr="0032491D">
        <w:rPr>
          <w:rFonts w:ascii="楷体" w:eastAsia="楷体" w:hAnsi="楷体" w:cs="Arial"/>
          <w:color w:val="auto"/>
          <w:sz w:val="20"/>
          <w:szCs w:val="20"/>
        </w:rPr>
        <w:t>的</w:t>
      </w:r>
      <w:r w:rsidR="00654571">
        <w:rPr>
          <w:rFonts w:ascii="楷体" w:eastAsia="楷体" w:hAnsi="楷体" w:cs="Arial" w:hint="eastAsia"/>
          <w:color w:val="auto"/>
          <w:sz w:val="20"/>
          <w:szCs w:val="20"/>
        </w:rPr>
        <w:t>1.43</w:t>
      </w:r>
      <w:r w:rsidRPr="0032491D">
        <w:rPr>
          <w:rFonts w:ascii="楷体" w:eastAsia="楷体" w:hAnsi="楷体" w:cs="Arial"/>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债券基金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b/>
          <w:color w:val="auto"/>
          <w:sz w:val="20"/>
          <w:szCs w:val="20"/>
        </w:rPr>
      </w:pPr>
      <w:r w:rsidRPr="0032491D">
        <w:rPr>
          <w:rFonts w:ascii="楷体" w:eastAsia="楷体" w:hAnsi="楷体" w:cs="Arial" w:hint="eastAsia"/>
          <w:color w:val="auto"/>
          <w:sz w:val="20"/>
          <w:szCs w:val="20"/>
        </w:rPr>
        <w:t>债券型基金平均收益为</w:t>
      </w:r>
      <w:r>
        <w:rPr>
          <w:rFonts w:ascii="楷体" w:eastAsia="楷体" w:hAnsi="楷体" w:cs="Arial" w:hint="eastAsia"/>
          <w:color w:val="auto"/>
          <w:sz w:val="20"/>
          <w:szCs w:val="20"/>
        </w:rPr>
        <w:t>0.</w:t>
      </w:r>
      <w:r w:rsidR="00F357E3">
        <w:rPr>
          <w:rFonts w:ascii="楷体" w:eastAsia="楷体" w:hAnsi="楷体" w:cs="Arial" w:hint="eastAsia"/>
          <w:color w:val="auto"/>
          <w:sz w:val="20"/>
          <w:szCs w:val="20"/>
        </w:rPr>
        <w:t>09</w:t>
      </w:r>
      <w:r w:rsidRPr="0032491D">
        <w:rPr>
          <w:rFonts w:ascii="楷体" w:eastAsia="楷体" w:hAnsi="楷体" w:cs="Arial" w:hint="eastAsia"/>
          <w:color w:val="auto"/>
          <w:sz w:val="20"/>
          <w:szCs w:val="20"/>
        </w:rPr>
        <w:t>%，二级债基表现差于一级债基</w:t>
      </w:r>
      <w:r w:rsidRPr="0032491D">
        <w:rPr>
          <w:rFonts w:ascii="楷体" w:eastAsia="楷体" w:hAnsi="楷体" w:cs="Arial"/>
          <w:color w:val="auto"/>
          <w:sz w:val="20"/>
          <w:szCs w:val="20"/>
        </w:rPr>
        <w:t>。其中，</w:t>
      </w:r>
      <w:proofErr w:type="gramStart"/>
      <w:r w:rsidRPr="0032491D">
        <w:rPr>
          <w:rFonts w:ascii="楷体" w:eastAsia="楷体" w:hAnsi="楷体" w:cs="Arial"/>
          <w:color w:val="auto"/>
          <w:sz w:val="20"/>
          <w:szCs w:val="20"/>
        </w:rPr>
        <w:t>纯债基金</w:t>
      </w:r>
      <w:proofErr w:type="gramEnd"/>
      <w:r w:rsidRPr="0032491D">
        <w:rPr>
          <w:rFonts w:ascii="楷体" w:eastAsia="楷体" w:hAnsi="楷体" w:cs="Arial"/>
          <w:color w:val="auto"/>
          <w:sz w:val="20"/>
          <w:szCs w:val="20"/>
        </w:rPr>
        <w:t>平均收益为</w:t>
      </w:r>
      <w:r>
        <w:rPr>
          <w:rFonts w:ascii="楷体" w:eastAsia="楷体" w:hAnsi="楷体" w:cs="Arial" w:hint="eastAsia"/>
          <w:color w:val="auto"/>
          <w:sz w:val="20"/>
          <w:szCs w:val="20"/>
        </w:rPr>
        <w:t>0.2</w:t>
      </w:r>
      <w:r w:rsidR="00F357E3">
        <w:rPr>
          <w:rFonts w:ascii="楷体" w:eastAsia="楷体" w:hAnsi="楷体" w:cs="Arial" w:hint="eastAsia"/>
          <w:color w:val="auto"/>
          <w:sz w:val="20"/>
          <w:szCs w:val="20"/>
        </w:rPr>
        <w:t>8</w:t>
      </w:r>
      <w:r w:rsidRPr="0032491D">
        <w:rPr>
          <w:rFonts w:ascii="楷体" w:eastAsia="楷体" w:hAnsi="楷体" w:cs="Arial"/>
          <w:color w:val="auto"/>
          <w:sz w:val="20"/>
          <w:szCs w:val="20"/>
        </w:rPr>
        <w:t>%，</w:t>
      </w:r>
      <w:r>
        <w:rPr>
          <w:rFonts w:ascii="楷体" w:eastAsia="楷体" w:hAnsi="楷体" w:cs="Arial" w:hint="eastAsia"/>
          <w:color w:val="auto"/>
          <w:sz w:val="20"/>
          <w:szCs w:val="20"/>
        </w:rPr>
        <w:t>9</w:t>
      </w:r>
      <w:r w:rsidR="00F357E3">
        <w:rPr>
          <w:rFonts w:ascii="楷体" w:eastAsia="楷体" w:hAnsi="楷体" w:cs="Arial" w:hint="eastAsia"/>
          <w:color w:val="auto"/>
          <w:sz w:val="20"/>
          <w:szCs w:val="20"/>
        </w:rPr>
        <w:t>7</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w:t>
      </w:r>
      <w:r>
        <w:rPr>
          <w:rFonts w:ascii="楷体" w:eastAsia="楷体" w:hAnsi="楷体" w:cs="Arial" w:hint="eastAsia"/>
          <w:color w:val="auto"/>
          <w:sz w:val="20"/>
          <w:szCs w:val="20"/>
        </w:rPr>
        <w:t>嘉</w:t>
      </w:r>
      <w:proofErr w:type="gramStart"/>
      <w:r>
        <w:rPr>
          <w:rFonts w:ascii="楷体" w:eastAsia="楷体" w:hAnsi="楷体" w:cs="Arial" w:hint="eastAsia"/>
          <w:color w:val="auto"/>
          <w:sz w:val="20"/>
          <w:szCs w:val="20"/>
        </w:rPr>
        <w:t>实稳瑞纯债</w:t>
      </w:r>
      <w:proofErr w:type="gramEnd"/>
      <w:r w:rsidRPr="0032491D">
        <w:rPr>
          <w:rFonts w:ascii="楷体" w:eastAsia="楷体" w:hAnsi="楷体" w:cs="Arial"/>
          <w:color w:val="auto"/>
          <w:sz w:val="20"/>
          <w:szCs w:val="20"/>
        </w:rPr>
        <w:t>（</w:t>
      </w:r>
      <w:r w:rsidR="00D401CE">
        <w:rPr>
          <w:rFonts w:ascii="楷体" w:eastAsia="楷体" w:hAnsi="楷体" w:cs="Arial" w:hint="eastAsia"/>
          <w:color w:val="auto"/>
          <w:sz w:val="20"/>
          <w:szCs w:val="20"/>
        </w:rPr>
        <w:t>1.20</w:t>
      </w:r>
      <w:r w:rsidRPr="0032491D">
        <w:rPr>
          <w:rFonts w:ascii="楷体" w:eastAsia="楷体" w:hAnsi="楷体" w:cs="Arial"/>
          <w:color w:val="auto"/>
          <w:sz w:val="20"/>
          <w:szCs w:val="20"/>
        </w:rPr>
        <w:t>%）涨幅最大。一级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Pr>
          <w:rFonts w:ascii="楷体" w:eastAsia="楷体" w:hAnsi="楷体" w:cs="Arial" w:hint="eastAsia"/>
          <w:color w:val="auto"/>
          <w:sz w:val="20"/>
          <w:szCs w:val="20"/>
        </w:rPr>
        <w:t>0.</w:t>
      </w:r>
      <w:r w:rsidR="00F357E3">
        <w:rPr>
          <w:rFonts w:ascii="楷体" w:eastAsia="楷体" w:hAnsi="楷体" w:cs="Arial" w:hint="eastAsia"/>
          <w:color w:val="auto"/>
          <w:sz w:val="20"/>
          <w:szCs w:val="20"/>
        </w:rPr>
        <w:t>24</w:t>
      </w:r>
      <w:r w:rsidRPr="0032491D">
        <w:rPr>
          <w:rFonts w:ascii="楷体" w:eastAsia="楷体" w:hAnsi="楷体" w:cs="Arial"/>
          <w:color w:val="auto"/>
          <w:sz w:val="20"/>
          <w:szCs w:val="20"/>
        </w:rPr>
        <w:t>%，</w:t>
      </w:r>
      <w:r>
        <w:rPr>
          <w:rFonts w:ascii="楷体" w:eastAsia="楷体" w:hAnsi="楷体" w:cs="Arial" w:hint="eastAsia"/>
          <w:color w:val="auto"/>
          <w:sz w:val="20"/>
          <w:szCs w:val="20"/>
        </w:rPr>
        <w:t>9</w:t>
      </w:r>
      <w:r w:rsidR="00F357E3">
        <w:rPr>
          <w:rFonts w:ascii="楷体" w:eastAsia="楷体" w:hAnsi="楷体" w:cs="Arial" w:hint="eastAsia"/>
          <w:color w:val="auto"/>
          <w:sz w:val="20"/>
          <w:szCs w:val="20"/>
        </w:rPr>
        <w:t>6</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w:t>
      </w:r>
      <w:proofErr w:type="gramStart"/>
      <w:r w:rsidRPr="0032491D">
        <w:rPr>
          <w:rFonts w:ascii="楷体" w:eastAsia="楷体" w:hAnsi="楷体" w:cs="Arial"/>
          <w:color w:val="auto"/>
          <w:sz w:val="20"/>
          <w:szCs w:val="20"/>
        </w:rPr>
        <w:t>为</w:t>
      </w:r>
      <w:r w:rsidR="00D94F5B">
        <w:rPr>
          <w:rFonts w:ascii="楷体" w:eastAsia="楷体" w:hAnsi="楷体" w:cs="Arial" w:hint="eastAsia"/>
          <w:color w:val="auto"/>
          <w:sz w:val="20"/>
          <w:szCs w:val="20"/>
        </w:rPr>
        <w:t>工银瑞信</w:t>
      </w:r>
      <w:proofErr w:type="gramEnd"/>
      <w:r w:rsidR="00D94F5B">
        <w:rPr>
          <w:rFonts w:ascii="楷体" w:eastAsia="楷体" w:hAnsi="楷体" w:cs="Arial" w:hint="eastAsia"/>
          <w:color w:val="auto"/>
          <w:sz w:val="20"/>
          <w:szCs w:val="20"/>
        </w:rPr>
        <w:t>信用添利A</w:t>
      </w:r>
      <w:r w:rsidRPr="0032491D">
        <w:rPr>
          <w:rFonts w:ascii="楷体" w:eastAsia="楷体" w:hAnsi="楷体" w:cs="Arial" w:hint="eastAsia"/>
          <w:color w:val="auto"/>
          <w:sz w:val="20"/>
          <w:szCs w:val="20"/>
        </w:rPr>
        <w:t>的</w:t>
      </w:r>
      <w:r w:rsidR="00D94F5B">
        <w:rPr>
          <w:rFonts w:ascii="楷体" w:eastAsia="楷体" w:hAnsi="楷体" w:cs="Arial" w:hint="eastAsia"/>
          <w:color w:val="auto"/>
          <w:sz w:val="20"/>
          <w:szCs w:val="20"/>
        </w:rPr>
        <w:t>1.19</w:t>
      </w:r>
      <w:r w:rsidRPr="0032491D">
        <w:rPr>
          <w:rFonts w:ascii="楷体" w:eastAsia="楷体" w:hAnsi="楷体" w:cs="Arial"/>
          <w:color w:val="auto"/>
          <w:sz w:val="20"/>
          <w:szCs w:val="20"/>
        </w:rPr>
        <w:t>%。二级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0.</w:t>
      </w:r>
      <w:r w:rsidR="00F357E3">
        <w:rPr>
          <w:rFonts w:ascii="楷体" w:eastAsia="楷体" w:hAnsi="楷体" w:cs="Arial" w:hint="eastAsia"/>
          <w:color w:val="auto"/>
          <w:sz w:val="20"/>
          <w:szCs w:val="20"/>
        </w:rPr>
        <w:t>28</w:t>
      </w:r>
      <w:r w:rsidRPr="0032491D">
        <w:rPr>
          <w:rFonts w:ascii="楷体" w:eastAsia="楷体" w:hAnsi="楷体" w:cs="Arial"/>
          <w:color w:val="auto"/>
          <w:sz w:val="20"/>
          <w:szCs w:val="20"/>
        </w:rPr>
        <w:t>%，</w:t>
      </w:r>
      <w:r w:rsidR="00F357E3">
        <w:rPr>
          <w:rFonts w:ascii="楷体" w:eastAsia="楷体" w:hAnsi="楷体" w:cs="Arial" w:hint="eastAsia"/>
          <w:color w:val="auto"/>
          <w:sz w:val="20"/>
          <w:szCs w:val="20"/>
        </w:rPr>
        <w:t>45</w:t>
      </w:r>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产品收益为正，最高收益为</w:t>
      </w:r>
      <w:r w:rsidR="00D401CE">
        <w:rPr>
          <w:rFonts w:ascii="楷体" w:eastAsia="楷体" w:hAnsi="楷体" w:cs="Arial" w:hint="eastAsia"/>
          <w:color w:val="auto"/>
          <w:sz w:val="20"/>
          <w:szCs w:val="20"/>
        </w:rPr>
        <w:t>博时信用债券C</w:t>
      </w:r>
      <w:r w:rsidRPr="0032491D">
        <w:rPr>
          <w:rFonts w:ascii="楷体" w:eastAsia="楷体" w:hAnsi="楷体" w:cs="Arial"/>
          <w:color w:val="auto"/>
          <w:sz w:val="20"/>
          <w:szCs w:val="20"/>
        </w:rPr>
        <w:t>的</w:t>
      </w:r>
      <w:r w:rsidRPr="0032491D">
        <w:rPr>
          <w:rFonts w:ascii="楷体" w:eastAsia="楷体" w:hAnsi="楷体" w:cs="Arial" w:hint="eastAsia"/>
          <w:color w:val="auto"/>
          <w:sz w:val="20"/>
          <w:szCs w:val="20"/>
        </w:rPr>
        <w:t>0.</w:t>
      </w:r>
      <w:r w:rsidR="00D401CE">
        <w:rPr>
          <w:rFonts w:ascii="楷体" w:eastAsia="楷体" w:hAnsi="楷体" w:cs="Arial" w:hint="eastAsia"/>
          <w:color w:val="auto"/>
          <w:sz w:val="20"/>
          <w:szCs w:val="20"/>
        </w:rPr>
        <w:t>69</w:t>
      </w:r>
      <w:r w:rsidRPr="0032491D">
        <w:rPr>
          <w:rFonts w:ascii="楷体" w:eastAsia="楷体" w:hAnsi="楷体" w:cs="Arial"/>
          <w:color w:val="auto"/>
          <w:sz w:val="20"/>
          <w:szCs w:val="20"/>
        </w:rPr>
        <w:t>%。指数</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Pr>
          <w:rFonts w:ascii="楷体" w:eastAsia="楷体" w:hAnsi="楷体" w:cs="Arial" w:hint="eastAsia"/>
          <w:color w:val="auto"/>
          <w:sz w:val="20"/>
          <w:szCs w:val="20"/>
        </w:rPr>
        <w:t>0.</w:t>
      </w:r>
      <w:r w:rsidR="00F357E3">
        <w:rPr>
          <w:rFonts w:ascii="楷体" w:eastAsia="楷体" w:hAnsi="楷体" w:cs="Arial" w:hint="eastAsia"/>
          <w:color w:val="auto"/>
          <w:sz w:val="20"/>
          <w:szCs w:val="20"/>
        </w:rPr>
        <w:t>13</w:t>
      </w:r>
      <w:r w:rsidRPr="0032491D">
        <w:rPr>
          <w:rFonts w:ascii="楷体" w:eastAsia="楷体" w:hAnsi="楷体" w:cs="Arial"/>
          <w:color w:val="auto"/>
          <w:sz w:val="20"/>
          <w:szCs w:val="20"/>
        </w:rPr>
        <w:t>%，</w:t>
      </w:r>
      <w:r w:rsidR="00F357E3">
        <w:rPr>
          <w:rFonts w:ascii="楷体" w:eastAsia="楷体" w:hAnsi="楷体" w:cs="Arial" w:hint="eastAsia"/>
          <w:color w:val="auto"/>
          <w:sz w:val="20"/>
          <w:szCs w:val="20"/>
        </w:rPr>
        <w:t>84%</w:t>
      </w:r>
      <w:r w:rsidRPr="0032491D">
        <w:rPr>
          <w:rFonts w:ascii="楷体" w:eastAsia="楷体" w:hAnsi="楷体" w:cs="Arial" w:hint="eastAsia"/>
          <w:color w:val="auto"/>
          <w:sz w:val="20"/>
          <w:szCs w:val="20"/>
        </w:rPr>
        <w:t>产品</w:t>
      </w:r>
      <w:r w:rsidRPr="0032491D">
        <w:rPr>
          <w:rFonts w:ascii="楷体" w:eastAsia="楷体" w:hAnsi="楷体" w:cs="Arial"/>
          <w:color w:val="auto"/>
          <w:sz w:val="20"/>
          <w:szCs w:val="20"/>
        </w:rPr>
        <w:t>收益均为</w:t>
      </w:r>
      <w:r>
        <w:rPr>
          <w:rFonts w:ascii="楷体" w:eastAsia="楷体" w:hAnsi="楷体" w:cs="Arial" w:hint="eastAsia"/>
          <w:color w:val="auto"/>
          <w:sz w:val="20"/>
          <w:szCs w:val="20"/>
        </w:rPr>
        <w:t>正</w:t>
      </w:r>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最高收益为</w:t>
      </w:r>
      <w:r w:rsidR="00D94F5B">
        <w:rPr>
          <w:rFonts w:ascii="楷体" w:eastAsia="楷体" w:hAnsi="楷体" w:cs="Arial" w:hint="eastAsia"/>
          <w:color w:val="auto"/>
          <w:sz w:val="20"/>
          <w:szCs w:val="20"/>
        </w:rPr>
        <w:t>嘉实中</w:t>
      </w:r>
      <w:proofErr w:type="gramStart"/>
      <w:r w:rsidR="00D94F5B">
        <w:rPr>
          <w:rFonts w:ascii="楷体" w:eastAsia="楷体" w:hAnsi="楷体" w:cs="Arial" w:hint="eastAsia"/>
          <w:color w:val="auto"/>
          <w:sz w:val="20"/>
          <w:szCs w:val="20"/>
        </w:rPr>
        <w:t>证中期企业</w:t>
      </w:r>
      <w:proofErr w:type="gramEnd"/>
      <w:r w:rsidR="00D94F5B">
        <w:rPr>
          <w:rFonts w:ascii="楷体" w:eastAsia="楷体" w:hAnsi="楷体" w:cs="Arial" w:hint="eastAsia"/>
          <w:color w:val="auto"/>
          <w:sz w:val="20"/>
          <w:szCs w:val="20"/>
        </w:rPr>
        <w:t>债A</w:t>
      </w:r>
      <w:r w:rsidRPr="0032491D">
        <w:rPr>
          <w:rFonts w:ascii="楷体" w:eastAsia="楷体" w:hAnsi="楷体" w:cs="Arial"/>
          <w:color w:val="auto"/>
          <w:sz w:val="20"/>
          <w:szCs w:val="20"/>
        </w:rPr>
        <w:t>的</w:t>
      </w:r>
      <w:r w:rsidR="00D94F5B">
        <w:rPr>
          <w:rFonts w:ascii="楷体" w:eastAsia="楷体" w:hAnsi="楷体" w:cs="Arial" w:hint="eastAsia"/>
          <w:color w:val="auto"/>
          <w:sz w:val="20"/>
          <w:szCs w:val="20"/>
        </w:rPr>
        <w:t>0.55</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hint="eastAsia"/>
          <w:b/>
          <w:bCs/>
          <w:color w:val="002060"/>
          <w:kern w:val="0"/>
          <w:sz w:val="24"/>
          <w:szCs w:val="13"/>
        </w:rPr>
        <w:t>商品基金及对冲基金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hint="eastAsia"/>
          <w:color w:val="auto"/>
          <w:sz w:val="20"/>
          <w:szCs w:val="20"/>
        </w:rPr>
        <w:t>商品基金</w:t>
      </w:r>
      <w:r w:rsidRPr="0032491D">
        <w:rPr>
          <w:rFonts w:ascii="楷体" w:eastAsia="楷体" w:hAnsi="楷体" w:cs="Arial"/>
          <w:color w:val="auto"/>
          <w:sz w:val="20"/>
          <w:szCs w:val="20"/>
        </w:rPr>
        <w:t>平均</w:t>
      </w:r>
      <w:r w:rsidR="00F357E3">
        <w:rPr>
          <w:rFonts w:ascii="楷体" w:eastAsia="楷体" w:hAnsi="楷体" w:cs="Arial" w:hint="eastAsia"/>
          <w:color w:val="auto"/>
          <w:sz w:val="20"/>
          <w:szCs w:val="20"/>
        </w:rPr>
        <w:t>下跌0.40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其中</w:t>
      </w:r>
      <w:r w:rsidR="007A39E5">
        <w:rPr>
          <w:rFonts w:ascii="楷体" w:eastAsia="楷体" w:hAnsi="楷体" w:cs="Arial" w:hint="eastAsia"/>
          <w:color w:val="auto"/>
          <w:sz w:val="20"/>
          <w:szCs w:val="20"/>
        </w:rPr>
        <w:t>国泰黄金ETF联接跌幅最小</w:t>
      </w:r>
      <w:r w:rsidRPr="0032491D">
        <w:rPr>
          <w:rFonts w:ascii="楷体" w:eastAsia="楷体" w:hAnsi="楷体" w:cs="Arial"/>
          <w:color w:val="auto"/>
          <w:sz w:val="20"/>
          <w:szCs w:val="20"/>
        </w:rPr>
        <w:t>，</w:t>
      </w:r>
      <w:r w:rsidR="007A39E5">
        <w:rPr>
          <w:rFonts w:ascii="楷体" w:eastAsia="楷体" w:hAnsi="楷体" w:cs="Arial" w:hint="eastAsia"/>
          <w:color w:val="auto"/>
          <w:sz w:val="20"/>
          <w:szCs w:val="20"/>
        </w:rPr>
        <w:t>跌</w:t>
      </w:r>
      <w:r>
        <w:rPr>
          <w:rFonts w:ascii="楷体" w:eastAsia="楷体" w:hAnsi="楷体" w:cs="Arial" w:hint="eastAsia"/>
          <w:color w:val="auto"/>
          <w:sz w:val="20"/>
          <w:szCs w:val="20"/>
        </w:rPr>
        <w:t>0.</w:t>
      </w:r>
      <w:r w:rsidR="007A39E5">
        <w:rPr>
          <w:rFonts w:ascii="楷体" w:eastAsia="楷体" w:hAnsi="楷体" w:cs="Arial" w:hint="eastAsia"/>
          <w:color w:val="auto"/>
          <w:sz w:val="20"/>
          <w:szCs w:val="20"/>
        </w:rPr>
        <w:t>18</w:t>
      </w:r>
      <w:r w:rsidRPr="0032491D">
        <w:rPr>
          <w:rFonts w:ascii="楷体" w:eastAsia="楷体" w:hAnsi="楷体" w:cs="Arial"/>
          <w:color w:val="auto"/>
          <w:sz w:val="20"/>
          <w:szCs w:val="20"/>
        </w:rPr>
        <w:t>%。以绝对收益为投资目标的股票多空类产品平均收益为</w:t>
      </w:r>
      <w:r w:rsidRPr="0032491D">
        <w:rPr>
          <w:rFonts w:ascii="楷体" w:eastAsia="楷体" w:hAnsi="楷体" w:cs="Arial" w:hint="eastAsia"/>
          <w:color w:val="auto"/>
          <w:sz w:val="20"/>
          <w:szCs w:val="20"/>
        </w:rPr>
        <w:t>-0.</w:t>
      </w:r>
      <w:r w:rsidR="00F357E3">
        <w:rPr>
          <w:rFonts w:ascii="楷体" w:eastAsia="楷体" w:hAnsi="楷体" w:cs="Arial" w:hint="eastAsia"/>
          <w:color w:val="auto"/>
          <w:sz w:val="20"/>
          <w:szCs w:val="20"/>
        </w:rPr>
        <w:t>09</w:t>
      </w:r>
      <w:r w:rsidRPr="0032491D">
        <w:rPr>
          <w:rFonts w:ascii="楷体" w:eastAsia="楷体" w:hAnsi="楷体" w:cs="Arial"/>
          <w:color w:val="auto"/>
          <w:sz w:val="20"/>
          <w:szCs w:val="20"/>
        </w:rPr>
        <w:t>%，最高收益为</w:t>
      </w:r>
      <w:r w:rsidR="007A39E5">
        <w:rPr>
          <w:rFonts w:ascii="楷体" w:eastAsia="楷体" w:hAnsi="楷体" w:cs="Arial" w:hint="eastAsia"/>
          <w:color w:val="auto"/>
          <w:sz w:val="20"/>
          <w:szCs w:val="20"/>
        </w:rPr>
        <w:t>大成绝对收益C</w:t>
      </w:r>
      <w:r w:rsidRPr="0032491D">
        <w:rPr>
          <w:rFonts w:ascii="楷体" w:eastAsia="楷体" w:hAnsi="楷体" w:cs="Arial"/>
          <w:color w:val="auto"/>
          <w:sz w:val="20"/>
          <w:szCs w:val="20"/>
        </w:rPr>
        <w:t>的</w:t>
      </w:r>
      <w:r>
        <w:rPr>
          <w:rFonts w:ascii="楷体" w:eastAsia="楷体" w:hAnsi="楷体" w:cs="Arial" w:hint="eastAsia"/>
          <w:color w:val="auto"/>
          <w:sz w:val="20"/>
          <w:szCs w:val="20"/>
        </w:rPr>
        <w:t>0.</w:t>
      </w:r>
      <w:r w:rsidR="007A39E5">
        <w:rPr>
          <w:rFonts w:ascii="楷体" w:eastAsia="楷体" w:hAnsi="楷体" w:cs="Arial" w:hint="eastAsia"/>
          <w:color w:val="auto"/>
          <w:sz w:val="20"/>
          <w:szCs w:val="20"/>
        </w:rPr>
        <w:t>30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4395" w:rightChars="-34" w:right="-71" w:firstLine="0"/>
        <w:rPr>
          <w:rFonts w:ascii="楷体" w:eastAsia="楷体" w:hAnsi="楷体" w:cs="Arial"/>
          <w:b/>
          <w:bCs/>
          <w:color w:val="002060"/>
          <w:kern w:val="0"/>
          <w:sz w:val="24"/>
          <w:szCs w:val="13"/>
        </w:rPr>
      </w:pPr>
      <w:r w:rsidRPr="0032491D">
        <w:rPr>
          <w:rFonts w:ascii="楷体" w:eastAsia="楷体" w:hAnsi="楷体" w:cs="Arial"/>
          <w:noProof/>
          <w:sz w:val="20"/>
          <w:szCs w:val="20"/>
        </w:rPr>
        <mc:AlternateContent>
          <mc:Choice Requires="wps">
            <w:drawing>
              <wp:anchor distT="0" distB="0" distL="0" distR="0" simplePos="0" relativeHeight="251661312" behindDoc="0" locked="0" layoutInCell="1" allowOverlap="0" wp14:anchorId="537B7F51" wp14:editId="43D02642">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3A2B41" w:rsidRPr="00593057" w:rsidRDefault="003A2B4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3A2B41" w:rsidRPr="00593057" w:rsidRDefault="003A2B4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32491D">
        <w:rPr>
          <w:rFonts w:ascii="楷体" w:eastAsia="楷体" w:hAnsi="楷体" w:cs="Arial"/>
          <w:b/>
          <w:bCs/>
          <w:color w:val="002060"/>
          <w:kern w:val="0"/>
          <w:sz w:val="24"/>
          <w:szCs w:val="13"/>
        </w:rPr>
        <w:t>货币基金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货币基金</w:t>
      </w:r>
      <w:proofErr w:type="gramStart"/>
      <w:r w:rsidRPr="0032491D">
        <w:rPr>
          <w:rFonts w:ascii="楷体" w:eastAsia="楷体" w:hAnsi="楷体" w:cs="Arial"/>
          <w:color w:val="auto"/>
          <w:sz w:val="20"/>
          <w:szCs w:val="20"/>
        </w:rPr>
        <w:t>年化收益</w:t>
      </w:r>
      <w:proofErr w:type="gramEnd"/>
      <w:r>
        <w:rPr>
          <w:rFonts w:ascii="楷体" w:eastAsia="楷体" w:hAnsi="楷体" w:cs="Arial" w:hint="eastAsia"/>
          <w:color w:val="auto"/>
          <w:sz w:val="20"/>
          <w:szCs w:val="20"/>
        </w:rPr>
        <w:t>有所</w:t>
      </w:r>
      <w:r w:rsidR="00F357E3">
        <w:rPr>
          <w:rFonts w:ascii="楷体" w:eastAsia="楷体" w:hAnsi="楷体" w:cs="Arial" w:hint="eastAsia"/>
          <w:color w:val="auto"/>
          <w:sz w:val="20"/>
          <w:szCs w:val="20"/>
        </w:rPr>
        <w:t>上升</w:t>
      </w:r>
      <w:r w:rsidRPr="0032491D">
        <w:rPr>
          <w:rFonts w:ascii="楷体" w:eastAsia="楷体" w:hAnsi="楷体" w:cs="Arial"/>
          <w:color w:val="auto"/>
          <w:sz w:val="20"/>
          <w:szCs w:val="20"/>
        </w:rPr>
        <w:t>。</w:t>
      </w:r>
      <w:r>
        <w:rPr>
          <w:rFonts w:ascii="楷体" w:eastAsia="楷体" w:hAnsi="楷体" w:cs="Arial" w:hint="eastAsia"/>
          <w:color w:val="auto"/>
          <w:sz w:val="20"/>
          <w:szCs w:val="20"/>
        </w:rPr>
        <w:t>5</w:t>
      </w:r>
      <w:r w:rsidRPr="0032491D">
        <w:rPr>
          <w:rFonts w:ascii="楷体" w:eastAsia="楷体" w:hAnsi="楷体" w:cs="Arial" w:hint="eastAsia"/>
          <w:color w:val="auto"/>
          <w:sz w:val="20"/>
          <w:szCs w:val="20"/>
        </w:rPr>
        <w:t>月</w:t>
      </w:r>
      <w:r w:rsidR="00F357E3">
        <w:rPr>
          <w:rFonts w:ascii="楷体" w:eastAsia="楷体" w:hAnsi="楷体" w:cs="Arial" w:hint="eastAsia"/>
          <w:color w:val="auto"/>
          <w:sz w:val="20"/>
          <w:szCs w:val="20"/>
        </w:rPr>
        <w:t>13</w:t>
      </w:r>
      <w:r w:rsidRPr="0032491D">
        <w:rPr>
          <w:rFonts w:ascii="楷体" w:eastAsia="楷体" w:hAnsi="楷体" w:cs="Arial" w:hint="eastAsia"/>
          <w:color w:val="auto"/>
          <w:sz w:val="20"/>
          <w:szCs w:val="20"/>
        </w:rPr>
        <w:t>日，</w:t>
      </w:r>
      <w:r w:rsidRPr="0032491D">
        <w:rPr>
          <w:rFonts w:ascii="楷体" w:eastAsia="楷体" w:hAnsi="楷体" w:cs="Arial"/>
          <w:color w:val="auto"/>
          <w:sz w:val="20"/>
          <w:szCs w:val="20"/>
        </w:rPr>
        <w:t>货币基金</w:t>
      </w:r>
      <w:proofErr w:type="gramStart"/>
      <w:r w:rsidRPr="0032491D">
        <w:rPr>
          <w:rFonts w:ascii="楷体" w:eastAsia="楷体" w:hAnsi="楷体" w:cs="Arial"/>
          <w:color w:val="auto"/>
          <w:sz w:val="20"/>
          <w:szCs w:val="20"/>
        </w:rPr>
        <w:t>七日年化收益率</w:t>
      </w:r>
      <w:proofErr w:type="gramEnd"/>
      <w:r w:rsidRPr="0032491D">
        <w:rPr>
          <w:rFonts w:ascii="楷体" w:eastAsia="楷体" w:hAnsi="楷体" w:cs="Arial"/>
          <w:color w:val="auto"/>
          <w:sz w:val="20"/>
          <w:szCs w:val="20"/>
        </w:rPr>
        <w:t>均值为2.</w:t>
      </w:r>
      <w:r w:rsidRPr="0032491D">
        <w:rPr>
          <w:rFonts w:ascii="楷体" w:eastAsia="楷体" w:hAnsi="楷体" w:cs="Arial" w:hint="eastAsia"/>
          <w:color w:val="auto"/>
          <w:sz w:val="20"/>
          <w:szCs w:val="20"/>
        </w:rPr>
        <w:t xml:space="preserve"> </w:t>
      </w:r>
      <w:r w:rsidR="00F357E3">
        <w:rPr>
          <w:rFonts w:ascii="楷体" w:eastAsia="楷体" w:hAnsi="楷体" w:cs="Arial" w:hint="eastAsia"/>
          <w:color w:val="auto"/>
          <w:sz w:val="20"/>
          <w:szCs w:val="20"/>
        </w:rPr>
        <w:t>54</w:t>
      </w:r>
      <w:r w:rsidRPr="0032491D">
        <w:rPr>
          <w:rFonts w:ascii="楷体" w:eastAsia="楷体" w:hAnsi="楷体" w:cs="Arial"/>
          <w:color w:val="auto"/>
          <w:sz w:val="20"/>
          <w:szCs w:val="20"/>
        </w:rPr>
        <w:t>%，</w:t>
      </w:r>
      <w:r w:rsidR="002851A0">
        <w:rPr>
          <w:rFonts w:ascii="楷体" w:eastAsia="楷体" w:hAnsi="楷体" w:cs="Arial" w:hint="eastAsia"/>
          <w:color w:val="auto"/>
          <w:sz w:val="20"/>
          <w:szCs w:val="20"/>
        </w:rPr>
        <w:t>长盛货币</w:t>
      </w:r>
      <w:r w:rsidRPr="0032491D">
        <w:rPr>
          <w:rFonts w:ascii="楷体" w:eastAsia="楷体" w:hAnsi="楷体" w:cs="Arial"/>
          <w:color w:val="auto"/>
          <w:sz w:val="20"/>
          <w:szCs w:val="20"/>
        </w:rPr>
        <w:t>（</w:t>
      </w:r>
      <w:r w:rsidR="002851A0">
        <w:rPr>
          <w:rFonts w:ascii="楷体" w:eastAsia="楷体" w:hAnsi="楷体" w:cs="Arial" w:hint="eastAsia"/>
          <w:color w:val="auto"/>
          <w:sz w:val="20"/>
          <w:szCs w:val="20"/>
        </w:rPr>
        <w:t>9.62</w:t>
      </w:r>
      <w:r w:rsidR="00E162B2">
        <w:rPr>
          <w:rFonts w:ascii="楷体" w:eastAsia="楷体" w:hAnsi="楷体" w:cs="Arial" w:hint="eastAsia"/>
          <w:color w:val="auto"/>
          <w:sz w:val="20"/>
          <w:szCs w:val="20"/>
        </w:rPr>
        <w:t>%</w:t>
      </w:r>
      <w:r w:rsidRPr="0032491D">
        <w:rPr>
          <w:rFonts w:ascii="楷体" w:eastAsia="楷体" w:hAnsi="楷体" w:cs="Arial"/>
          <w:color w:val="auto"/>
          <w:sz w:val="20"/>
          <w:szCs w:val="20"/>
        </w:rPr>
        <w:t>）、</w:t>
      </w:r>
      <w:r w:rsidR="002851A0">
        <w:rPr>
          <w:rFonts w:ascii="楷体" w:eastAsia="楷体" w:hAnsi="楷体" w:cs="Arial" w:hint="eastAsia"/>
          <w:color w:val="auto"/>
          <w:sz w:val="20"/>
          <w:szCs w:val="20"/>
        </w:rPr>
        <w:t>国寿安保</w:t>
      </w:r>
      <w:proofErr w:type="gramStart"/>
      <w:r w:rsidR="002851A0">
        <w:rPr>
          <w:rFonts w:ascii="楷体" w:eastAsia="楷体" w:hAnsi="楷体" w:cs="Arial" w:hint="eastAsia"/>
          <w:color w:val="auto"/>
          <w:sz w:val="20"/>
          <w:szCs w:val="20"/>
        </w:rPr>
        <w:t>鑫</w:t>
      </w:r>
      <w:proofErr w:type="gramEnd"/>
      <w:r w:rsidR="002851A0">
        <w:rPr>
          <w:rFonts w:ascii="楷体" w:eastAsia="楷体" w:hAnsi="楷体" w:cs="Arial" w:hint="eastAsia"/>
          <w:color w:val="auto"/>
          <w:sz w:val="20"/>
          <w:szCs w:val="20"/>
        </w:rPr>
        <w:t>钱包</w:t>
      </w:r>
      <w:r w:rsidRPr="0032491D">
        <w:rPr>
          <w:rFonts w:ascii="楷体" w:eastAsia="楷体" w:hAnsi="楷体" w:cs="Arial"/>
          <w:color w:val="auto"/>
          <w:sz w:val="20"/>
          <w:szCs w:val="20"/>
        </w:rPr>
        <w:t>（</w:t>
      </w:r>
      <w:r w:rsidR="002851A0">
        <w:rPr>
          <w:rFonts w:ascii="楷体" w:eastAsia="楷体" w:hAnsi="楷体" w:cs="Arial" w:hint="eastAsia"/>
          <w:color w:val="auto"/>
          <w:sz w:val="20"/>
          <w:szCs w:val="20"/>
        </w:rPr>
        <w:t>6.49</w:t>
      </w:r>
      <w:r w:rsidRPr="0032491D">
        <w:rPr>
          <w:rFonts w:ascii="楷体" w:eastAsia="楷体" w:hAnsi="楷体" w:cs="Arial"/>
          <w:color w:val="auto"/>
          <w:sz w:val="20"/>
          <w:szCs w:val="20"/>
        </w:rPr>
        <w:t>%）七日</w:t>
      </w:r>
      <w:proofErr w:type="gramStart"/>
      <w:r w:rsidRPr="0032491D">
        <w:rPr>
          <w:rFonts w:ascii="楷体" w:eastAsia="楷体" w:hAnsi="楷体" w:cs="Arial"/>
          <w:color w:val="auto"/>
          <w:sz w:val="20"/>
          <w:szCs w:val="20"/>
        </w:rPr>
        <w:t>年化收益</w:t>
      </w:r>
      <w:proofErr w:type="gramEnd"/>
      <w:r w:rsidRPr="0032491D">
        <w:rPr>
          <w:rFonts w:ascii="楷体" w:eastAsia="楷体" w:hAnsi="楷体" w:cs="Arial"/>
          <w:color w:val="auto"/>
          <w:sz w:val="20"/>
          <w:szCs w:val="20"/>
        </w:rPr>
        <w:t>最高。从收益区间来看，有</w:t>
      </w:r>
      <w:r w:rsidR="00F357E3">
        <w:rPr>
          <w:rFonts w:ascii="楷体" w:eastAsia="楷体" w:hAnsi="楷体" w:cs="Arial" w:hint="eastAsia"/>
          <w:color w:val="auto"/>
          <w:sz w:val="20"/>
          <w:szCs w:val="20"/>
        </w:rPr>
        <w:t>3</w:t>
      </w:r>
      <w:r w:rsidRPr="0032491D">
        <w:rPr>
          <w:rFonts w:ascii="楷体" w:eastAsia="楷体" w:hAnsi="楷体" w:cs="Arial"/>
          <w:color w:val="auto"/>
          <w:sz w:val="20"/>
          <w:szCs w:val="20"/>
        </w:rPr>
        <w:t>%的产品七日</w:t>
      </w:r>
      <w:proofErr w:type="gramStart"/>
      <w:r w:rsidRPr="0032491D">
        <w:rPr>
          <w:rFonts w:ascii="楷体" w:eastAsia="楷体" w:hAnsi="楷体" w:cs="Arial"/>
          <w:color w:val="auto"/>
          <w:sz w:val="20"/>
          <w:szCs w:val="20"/>
        </w:rPr>
        <w:t>年化收益</w:t>
      </w:r>
      <w:proofErr w:type="gramEnd"/>
      <w:r w:rsidRPr="0032491D">
        <w:rPr>
          <w:rFonts w:ascii="楷体" w:eastAsia="楷体" w:hAnsi="楷体" w:cs="Arial"/>
          <w:color w:val="auto"/>
          <w:sz w:val="20"/>
          <w:szCs w:val="20"/>
        </w:rPr>
        <w:t>超4%，</w:t>
      </w:r>
      <w:r w:rsidR="00F357E3">
        <w:rPr>
          <w:rFonts w:ascii="楷体" w:eastAsia="楷体" w:hAnsi="楷体" w:cs="Arial" w:hint="eastAsia"/>
          <w:color w:val="auto"/>
          <w:sz w:val="20"/>
          <w:szCs w:val="20"/>
        </w:rPr>
        <w:t>11</w:t>
      </w:r>
      <w:r w:rsidRPr="0032491D">
        <w:rPr>
          <w:rFonts w:ascii="楷体" w:eastAsia="楷体" w:hAnsi="楷体" w:cs="Arial"/>
          <w:color w:val="auto"/>
          <w:sz w:val="20"/>
          <w:szCs w:val="20"/>
        </w:rPr>
        <w:t>%的产品收益在3%-4%之间，</w:t>
      </w:r>
      <w:r w:rsidRPr="0032491D">
        <w:rPr>
          <w:rFonts w:ascii="楷体" w:eastAsia="楷体" w:hAnsi="楷体" w:cs="Arial" w:hint="eastAsia"/>
          <w:color w:val="auto"/>
          <w:sz w:val="20"/>
          <w:szCs w:val="20"/>
        </w:rPr>
        <w:t>7</w:t>
      </w:r>
      <w:r w:rsidR="00F357E3">
        <w:rPr>
          <w:rFonts w:ascii="楷体" w:eastAsia="楷体" w:hAnsi="楷体" w:cs="Arial" w:hint="eastAsia"/>
          <w:color w:val="auto"/>
          <w:sz w:val="20"/>
          <w:szCs w:val="20"/>
        </w:rPr>
        <w:t>2</w:t>
      </w:r>
      <w:r w:rsidRPr="0032491D">
        <w:rPr>
          <w:rFonts w:ascii="楷体" w:eastAsia="楷体" w:hAnsi="楷体" w:cs="Arial"/>
          <w:color w:val="auto"/>
          <w:sz w:val="20"/>
          <w:szCs w:val="20"/>
        </w:rPr>
        <w:t>%的产品收益在2%-3%之间。</w:t>
      </w:r>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QDII基金</w:t>
      </w:r>
    </w:p>
    <w:p w:rsidR="0053273E"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QDII基金平均收益为</w:t>
      </w:r>
      <w:r>
        <w:rPr>
          <w:rFonts w:ascii="楷体" w:eastAsia="楷体" w:hAnsi="楷体" w:cs="Arial" w:hint="eastAsia"/>
          <w:color w:val="auto"/>
          <w:sz w:val="20"/>
          <w:szCs w:val="20"/>
        </w:rPr>
        <w:t>-1.</w:t>
      </w:r>
      <w:r w:rsidR="00F357E3">
        <w:rPr>
          <w:rFonts w:ascii="楷体" w:eastAsia="楷体" w:hAnsi="楷体" w:cs="Arial" w:hint="eastAsia"/>
          <w:color w:val="auto"/>
          <w:sz w:val="20"/>
          <w:szCs w:val="20"/>
        </w:rPr>
        <w:t>07</w:t>
      </w:r>
      <w:r w:rsidRPr="0032491D">
        <w:rPr>
          <w:rFonts w:ascii="楷体" w:eastAsia="楷体" w:hAnsi="楷体" w:cs="Arial"/>
          <w:color w:val="auto"/>
          <w:sz w:val="20"/>
          <w:szCs w:val="20"/>
        </w:rPr>
        <w:t>%，其中</w:t>
      </w:r>
      <w:r>
        <w:rPr>
          <w:rFonts w:ascii="楷体" w:eastAsia="楷体" w:hAnsi="楷体" w:cs="Arial" w:hint="eastAsia"/>
          <w:color w:val="auto"/>
          <w:sz w:val="20"/>
          <w:szCs w:val="20"/>
        </w:rPr>
        <w:t>嘉</w:t>
      </w:r>
      <w:proofErr w:type="gramStart"/>
      <w:r>
        <w:rPr>
          <w:rFonts w:ascii="楷体" w:eastAsia="楷体" w:hAnsi="楷体" w:cs="Arial" w:hint="eastAsia"/>
          <w:color w:val="auto"/>
          <w:sz w:val="20"/>
          <w:szCs w:val="20"/>
        </w:rPr>
        <w:t>实全球</w:t>
      </w:r>
      <w:proofErr w:type="gramEnd"/>
      <w:r>
        <w:rPr>
          <w:rFonts w:ascii="楷体" w:eastAsia="楷体" w:hAnsi="楷体" w:cs="Arial" w:hint="eastAsia"/>
          <w:color w:val="auto"/>
          <w:sz w:val="20"/>
          <w:szCs w:val="20"/>
        </w:rPr>
        <w:t>互联网人民币</w:t>
      </w:r>
      <w:r w:rsidR="007A39E5">
        <w:rPr>
          <w:rFonts w:ascii="楷体" w:eastAsia="楷体" w:hAnsi="楷体" w:cs="Arial" w:hint="eastAsia"/>
          <w:color w:val="auto"/>
          <w:sz w:val="20"/>
          <w:szCs w:val="20"/>
        </w:rPr>
        <w:t>国泰大宗</w:t>
      </w:r>
      <w:proofErr w:type="gramStart"/>
      <w:r w:rsidR="007A39E5">
        <w:rPr>
          <w:rFonts w:ascii="楷体" w:eastAsia="楷体" w:hAnsi="楷体" w:cs="Arial" w:hint="eastAsia"/>
          <w:color w:val="auto"/>
          <w:sz w:val="20"/>
          <w:szCs w:val="20"/>
        </w:rPr>
        <w:t>桑品</w:t>
      </w:r>
      <w:r w:rsidRPr="0032491D">
        <w:rPr>
          <w:rFonts w:ascii="楷体" w:eastAsia="楷体" w:hAnsi="楷体" w:cs="Arial"/>
          <w:color w:val="auto"/>
          <w:sz w:val="20"/>
          <w:szCs w:val="20"/>
        </w:rPr>
        <w:t>表现</w:t>
      </w:r>
      <w:proofErr w:type="gramEnd"/>
      <w:r w:rsidRPr="0032491D">
        <w:rPr>
          <w:rFonts w:ascii="楷体" w:eastAsia="楷体" w:hAnsi="楷体" w:cs="Arial"/>
          <w:color w:val="auto"/>
          <w:sz w:val="20"/>
          <w:szCs w:val="20"/>
        </w:rPr>
        <w:t>最好，涨</w:t>
      </w:r>
      <w:r w:rsidR="007A39E5">
        <w:rPr>
          <w:rFonts w:ascii="楷体" w:eastAsia="楷体" w:hAnsi="楷体" w:cs="Arial" w:hint="eastAsia"/>
          <w:color w:val="auto"/>
          <w:sz w:val="20"/>
          <w:szCs w:val="20"/>
        </w:rPr>
        <w:t>5.13</w:t>
      </w:r>
      <w:r w:rsidRPr="0032491D">
        <w:rPr>
          <w:rFonts w:ascii="楷体" w:eastAsia="楷体" w:hAnsi="楷体" w:cs="Arial"/>
          <w:color w:val="auto"/>
          <w:sz w:val="20"/>
          <w:szCs w:val="20"/>
        </w:rPr>
        <w:t>%。从具体品种来看，</w:t>
      </w:r>
      <w:r w:rsidR="007A39E5">
        <w:rPr>
          <w:rFonts w:ascii="楷体" w:eastAsia="楷体" w:hAnsi="楷体" w:cs="Arial" w:hint="eastAsia"/>
          <w:color w:val="auto"/>
          <w:sz w:val="20"/>
          <w:szCs w:val="20"/>
        </w:rPr>
        <w:t>商品、农业、油气</w:t>
      </w:r>
      <w:r w:rsidRPr="0032491D">
        <w:rPr>
          <w:rFonts w:ascii="楷体" w:eastAsia="楷体" w:hAnsi="楷体" w:cs="Arial" w:hint="eastAsia"/>
          <w:color w:val="auto"/>
          <w:sz w:val="20"/>
          <w:szCs w:val="20"/>
        </w:rPr>
        <w:t>主题QDII</w:t>
      </w:r>
      <w:r w:rsidRPr="0032491D">
        <w:rPr>
          <w:rFonts w:ascii="楷体" w:eastAsia="楷体" w:hAnsi="楷体" w:cs="Arial"/>
          <w:color w:val="auto"/>
          <w:sz w:val="20"/>
          <w:szCs w:val="20"/>
        </w:rPr>
        <w:t>表现</w:t>
      </w:r>
      <w:r w:rsidRPr="0032491D">
        <w:rPr>
          <w:rFonts w:ascii="楷体" w:eastAsia="楷体" w:hAnsi="楷体" w:cs="Arial" w:hint="eastAsia"/>
          <w:color w:val="auto"/>
          <w:sz w:val="20"/>
          <w:szCs w:val="20"/>
        </w:rPr>
        <w:t>最</w:t>
      </w:r>
      <w:r w:rsidRPr="0032491D">
        <w:rPr>
          <w:rFonts w:ascii="楷体" w:eastAsia="楷体" w:hAnsi="楷体" w:cs="Arial"/>
          <w:color w:val="auto"/>
          <w:sz w:val="20"/>
          <w:szCs w:val="20"/>
        </w:rPr>
        <w:t>好，</w:t>
      </w:r>
      <w:r w:rsidR="007A39E5">
        <w:rPr>
          <w:rFonts w:ascii="楷体" w:eastAsia="楷体" w:hAnsi="楷体" w:cs="Arial" w:hint="eastAsia"/>
          <w:color w:val="auto"/>
          <w:sz w:val="20"/>
          <w:szCs w:val="20"/>
        </w:rPr>
        <w:t>互联网、大中华</w:t>
      </w:r>
      <w:r w:rsidRPr="0032491D">
        <w:rPr>
          <w:rFonts w:ascii="楷体" w:eastAsia="楷体" w:hAnsi="楷体" w:cs="Arial"/>
          <w:color w:val="auto"/>
          <w:sz w:val="20"/>
          <w:szCs w:val="20"/>
        </w:rPr>
        <w:t>主题 QDII表现</w:t>
      </w:r>
      <w:r w:rsidRPr="0032491D">
        <w:rPr>
          <w:rFonts w:ascii="楷体" w:eastAsia="楷体" w:hAnsi="楷体" w:cs="Arial" w:hint="eastAsia"/>
          <w:color w:val="auto"/>
          <w:sz w:val="20"/>
          <w:szCs w:val="20"/>
        </w:rPr>
        <w:t>较差</w:t>
      </w:r>
      <w:r w:rsidRPr="0032491D">
        <w:rPr>
          <w:rFonts w:ascii="楷体" w:eastAsia="楷体" w:hAnsi="楷体" w:cs="Arial"/>
          <w:color w:val="auto"/>
          <w:sz w:val="20"/>
          <w:szCs w:val="20"/>
        </w:rPr>
        <w:t>。</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01"/>
        <w:gridCol w:w="743"/>
      </w:tblGrid>
      <w:tr w:rsidR="0053273E" w:rsidRPr="0032491D" w:rsidTr="00FC5199">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53273E" w:rsidRPr="0032491D" w:rsidRDefault="0053273E" w:rsidP="00FC5199">
            <w:pPr>
              <w:widowControl/>
              <w:jc w:val="center"/>
              <w:rPr>
                <w:rFonts w:ascii="楷体" w:eastAsia="楷体" w:hAnsi="楷体" w:cs="Arial"/>
                <w:b/>
                <w:sz w:val="20"/>
                <w:szCs w:val="20"/>
              </w:rPr>
            </w:pPr>
            <w:r w:rsidRPr="0032491D">
              <w:rPr>
                <w:rFonts w:ascii="楷体" w:eastAsia="楷体" w:hAnsi="楷体" w:cs="Arial"/>
                <w:b/>
                <w:sz w:val="20"/>
                <w:szCs w:val="20"/>
              </w:rPr>
              <w:lastRenderedPageBreak/>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53273E" w:rsidRPr="0032491D" w:rsidRDefault="0053273E" w:rsidP="00FC5199">
            <w:pPr>
              <w:widowControl/>
              <w:jc w:val="center"/>
              <w:rPr>
                <w:rFonts w:ascii="楷体" w:eastAsia="楷体" w:hAnsi="楷体" w:cs="Arial"/>
                <w:b/>
                <w:sz w:val="20"/>
                <w:szCs w:val="20"/>
              </w:rPr>
            </w:pPr>
            <w:r w:rsidRPr="0032491D">
              <w:rPr>
                <w:rFonts w:ascii="楷体" w:eastAsia="楷体" w:hAnsi="楷体"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53273E" w:rsidRPr="0032491D" w:rsidRDefault="0053273E" w:rsidP="00FC5199">
            <w:pPr>
              <w:widowControl/>
              <w:jc w:val="center"/>
              <w:rPr>
                <w:rFonts w:ascii="楷体" w:eastAsia="楷体" w:hAnsi="楷体" w:cs="Arial"/>
                <w:b/>
                <w:sz w:val="20"/>
                <w:szCs w:val="20"/>
              </w:rPr>
            </w:pPr>
            <w:r w:rsidRPr="0032491D">
              <w:rPr>
                <w:rFonts w:ascii="楷体" w:eastAsia="楷体" w:hAnsi="楷体" w:cs="Arial"/>
                <w:b/>
                <w:sz w:val="20"/>
                <w:szCs w:val="20"/>
              </w:rPr>
              <w:t>简称</w:t>
            </w:r>
          </w:p>
        </w:tc>
        <w:tc>
          <w:tcPr>
            <w:tcW w:w="743" w:type="dxa"/>
            <w:tcBorders>
              <w:top w:val="single" w:sz="4" w:space="0" w:color="auto"/>
              <w:bottom w:val="single" w:sz="4" w:space="0" w:color="auto"/>
            </w:tcBorders>
            <w:shd w:val="clear" w:color="F79646" w:fill="F79646"/>
            <w:vAlign w:val="center"/>
            <w:hideMark/>
          </w:tcPr>
          <w:p w:rsidR="0053273E" w:rsidRPr="0032491D" w:rsidRDefault="0053273E" w:rsidP="00FC5199">
            <w:pPr>
              <w:widowControl/>
              <w:jc w:val="left"/>
              <w:rPr>
                <w:rFonts w:ascii="楷体" w:eastAsia="楷体" w:hAnsi="楷体" w:cs="Arial"/>
                <w:b/>
                <w:sz w:val="18"/>
                <w:szCs w:val="18"/>
              </w:rPr>
            </w:pPr>
            <w:r w:rsidRPr="0032491D">
              <w:rPr>
                <w:rFonts w:ascii="楷体" w:eastAsia="楷体" w:hAnsi="楷体" w:cs="Arial"/>
                <w:b/>
                <w:sz w:val="18"/>
                <w:szCs w:val="18"/>
              </w:rPr>
              <w:t>涨跌%</w:t>
            </w:r>
          </w:p>
        </w:tc>
      </w:tr>
      <w:tr w:rsidR="00F357E3" w:rsidRPr="0032491D" w:rsidTr="00FC5199">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F357E3" w:rsidRPr="0032491D" w:rsidRDefault="00F357E3"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F357E3" w:rsidRPr="00F357E3" w:rsidRDefault="00F357E3">
            <w:pPr>
              <w:rPr>
                <w:rFonts w:ascii="楷体" w:eastAsia="楷体" w:hAnsi="楷体"/>
                <w:color w:val="000000"/>
                <w:sz w:val="16"/>
                <w:szCs w:val="16"/>
              </w:rPr>
            </w:pPr>
            <w:r>
              <w:rPr>
                <w:rFonts w:ascii="楷体" w:eastAsia="楷体" w:hAnsi="楷体" w:hint="eastAsia"/>
                <w:color w:val="000000"/>
                <w:sz w:val="16"/>
                <w:szCs w:val="16"/>
              </w:rPr>
              <w:t>001542.</w:t>
            </w:r>
          </w:p>
        </w:tc>
        <w:tc>
          <w:tcPr>
            <w:tcW w:w="1701" w:type="dxa"/>
            <w:tcBorders>
              <w:top w:val="single" w:sz="4" w:space="0" w:color="auto"/>
            </w:tcBorders>
            <w:shd w:val="clear" w:color="auto" w:fill="FFFFFF" w:themeFill="background1"/>
            <w:vAlign w:val="center"/>
            <w:hideMark/>
          </w:tcPr>
          <w:p w:rsidR="00F357E3" w:rsidRPr="00F357E3" w:rsidRDefault="00F357E3">
            <w:pPr>
              <w:rPr>
                <w:rFonts w:ascii="楷体" w:eastAsia="楷体" w:hAnsi="楷体"/>
                <w:color w:val="000000"/>
                <w:sz w:val="16"/>
                <w:szCs w:val="16"/>
              </w:rPr>
            </w:pPr>
            <w:r w:rsidRPr="00F357E3">
              <w:rPr>
                <w:rFonts w:ascii="楷体" w:eastAsia="楷体" w:hAnsi="楷体" w:hint="eastAsia"/>
                <w:color w:val="000000"/>
                <w:sz w:val="16"/>
                <w:szCs w:val="16"/>
              </w:rPr>
              <w:t>国泰互联网+</w:t>
            </w:r>
          </w:p>
        </w:tc>
        <w:tc>
          <w:tcPr>
            <w:tcW w:w="743" w:type="dxa"/>
            <w:tcBorders>
              <w:top w:val="single" w:sz="4" w:space="0" w:color="auto"/>
            </w:tcBorders>
            <w:shd w:val="clear" w:color="auto" w:fill="FFFFFF" w:themeFill="background1"/>
            <w:vAlign w:val="center"/>
            <w:hideMark/>
          </w:tcPr>
          <w:p w:rsidR="00F357E3" w:rsidRPr="00F357E3" w:rsidRDefault="00F357E3">
            <w:pPr>
              <w:jc w:val="right"/>
              <w:rPr>
                <w:rFonts w:ascii="楷体" w:eastAsia="楷体" w:hAnsi="楷体"/>
                <w:color w:val="000000"/>
                <w:sz w:val="16"/>
                <w:szCs w:val="16"/>
              </w:rPr>
            </w:pPr>
            <w:r w:rsidRPr="00F357E3">
              <w:rPr>
                <w:rFonts w:ascii="楷体" w:eastAsia="楷体" w:hAnsi="楷体" w:hint="eastAsia"/>
                <w:color w:val="000000"/>
                <w:sz w:val="16"/>
                <w:szCs w:val="16"/>
              </w:rPr>
              <w:t>2.96</w:t>
            </w:r>
          </w:p>
        </w:tc>
      </w:tr>
      <w:tr w:rsidR="00F357E3" w:rsidRPr="0032491D" w:rsidTr="00FC5199">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357E3" w:rsidRPr="0032491D" w:rsidRDefault="00F357E3" w:rsidP="00FC5199">
            <w:pPr>
              <w:jc w:val="left"/>
              <w:rPr>
                <w:rFonts w:ascii="楷体" w:eastAsia="楷体" w:hAnsi="楷体"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F357E3" w:rsidRPr="00F357E3" w:rsidRDefault="00F357E3">
            <w:pPr>
              <w:rPr>
                <w:rFonts w:ascii="楷体" w:eastAsia="楷体" w:hAnsi="楷体"/>
                <w:color w:val="000000"/>
                <w:sz w:val="16"/>
                <w:szCs w:val="16"/>
              </w:rPr>
            </w:pPr>
            <w:r>
              <w:rPr>
                <w:rFonts w:ascii="楷体" w:eastAsia="楷体" w:hAnsi="楷体" w:hint="eastAsia"/>
                <w:color w:val="000000"/>
                <w:sz w:val="16"/>
                <w:szCs w:val="16"/>
              </w:rPr>
              <w:t>001195.</w:t>
            </w:r>
          </w:p>
        </w:tc>
        <w:tc>
          <w:tcPr>
            <w:tcW w:w="1701" w:type="dxa"/>
            <w:shd w:val="clear" w:color="auto" w:fill="FFFFFF" w:themeFill="background1"/>
            <w:vAlign w:val="center"/>
            <w:hideMark/>
          </w:tcPr>
          <w:p w:rsidR="00F357E3" w:rsidRPr="00F357E3" w:rsidRDefault="00F357E3">
            <w:pPr>
              <w:rPr>
                <w:rFonts w:ascii="楷体" w:eastAsia="楷体" w:hAnsi="楷体"/>
                <w:color w:val="000000"/>
                <w:sz w:val="16"/>
                <w:szCs w:val="16"/>
              </w:rPr>
            </w:pPr>
            <w:r w:rsidRPr="00F357E3">
              <w:rPr>
                <w:rFonts w:ascii="楷体" w:eastAsia="楷体" w:hAnsi="楷体" w:hint="eastAsia"/>
                <w:color w:val="000000"/>
                <w:sz w:val="16"/>
                <w:szCs w:val="16"/>
              </w:rPr>
              <w:t>工</w:t>
            </w:r>
            <w:proofErr w:type="gramStart"/>
            <w:r w:rsidRPr="00F357E3">
              <w:rPr>
                <w:rFonts w:ascii="楷体" w:eastAsia="楷体" w:hAnsi="楷体" w:hint="eastAsia"/>
                <w:color w:val="000000"/>
                <w:sz w:val="16"/>
                <w:szCs w:val="16"/>
              </w:rPr>
              <w:t>银瑞信农业</w:t>
            </w:r>
            <w:proofErr w:type="gramEnd"/>
            <w:r w:rsidRPr="00F357E3">
              <w:rPr>
                <w:rFonts w:ascii="楷体" w:eastAsia="楷体" w:hAnsi="楷体" w:hint="eastAsia"/>
                <w:color w:val="000000"/>
                <w:sz w:val="16"/>
                <w:szCs w:val="16"/>
              </w:rPr>
              <w:t>产业</w:t>
            </w:r>
          </w:p>
        </w:tc>
        <w:tc>
          <w:tcPr>
            <w:tcW w:w="743" w:type="dxa"/>
            <w:shd w:val="clear" w:color="auto" w:fill="FFFFFF" w:themeFill="background1"/>
            <w:vAlign w:val="center"/>
            <w:hideMark/>
          </w:tcPr>
          <w:p w:rsidR="00F357E3" w:rsidRPr="00F357E3" w:rsidRDefault="00F357E3">
            <w:pPr>
              <w:jc w:val="right"/>
              <w:rPr>
                <w:rFonts w:ascii="楷体" w:eastAsia="楷体" w:hAnsi="楷体"/>
                <w:color w:val="000000"/>
                <w:sz w:val="16"/>
                <w:szCs w:val="16"/>
              </w:rPr>
            </w:pPr>
            <w:r w:rsidRPr="00F357E3">
              <w:rPr>
                <w:rFonts w:ascii="楷体" w:eastAsia="楷体" w:hAnsi="楷体" w:hint="eastAsia"/>
                <w:color w:val="000000"/>
                <w:sz w:val="16"/>
                <w:szCs w:val="16"/>
              </w:rPr>
              <w:t>1.74</w:t>
            </w:r>
          </w:p>
        </w:tc>
      </w:tr>
      <w:tr w:rsidR="00F357E3" w:rsidRPr="0032491D" w:rsidTr="00FC5199">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357E3" w:rsidRPr="0032491D" w:rsidRDefault="00F357E3" w:rsidP="00FC5199">
            <w:pPr>
              <w:widowControl/>
              <w:jc w:val="left"/>
              <w:rPr>
                <w:rFonts w:ascii="楷体" w:eastAsia="楷体" w:hAnsi="楷体"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F357E3" w:rsidRPr="00F357E3" w:rsidRDefault="00F357E3">
            <w:pPr>
              <w:rPr>
                <w:rFonts w:ascii="楷体" w:eastAsia="楷体" w:hAnsi="楷体"/>
                <w:color w:val="000000"/>
                <w:sz w:val="16"/>
                <w:szCs w:val="16"/>
              </w:rPr>
            </w:pPr>
            <w:r>
              <w:rPr>
                <w:rFonts w:ascii="楷体" w:eastAsia="楷体" w:hAnsi="楷体" w:hint="eastAsia"/>
                <w:color w:val="000000"/>
                <w:sz w:val="16"/>
                <w:szCs w:val="16"/>
              </w:rPr>
              <w:t>001048.</w:t>
            </w:r>
          </w:p>
        </w:tc>
        <w:tc>
          <w:tcPr>
            <w:tcW w:w="1701" w:type="dxa"/>
            <w:tcBorders>
              <w:bottom w:val="single" w:sz="4" w:space="0" w:color="auto"/>
            </w:tcBorders>
            <w:shd w:val="clear" w:color="auto" w:fill="FFFFFF" w:themeFill="background1"/>
            <w:vAlign w:val="center"/>
            <w:hideMark/>
          </w:tcPr>
          <w:p w:rsidR="00F357E3" w:rsidRPr="00F357E3" w:rsidRDefault="00F357E3">
            <w:pPr>
              <w:rPr>
                <w:rFonts w:ascii="楷体" w:eastAsia="楷体" w:hAnsi="楷体"/>
                <w:color w:val="000000"/>
                <w:sz w:val="16"/>
                <w:szCs w:val="16"/>
              </w:rPr>
            </w:pPr>
            <w:r w:rsidRPr="00F357E3">
              <w:rPr>
                <w:rFonts w:ascii="楷体" w:eastAsia="楷体" w:hAnsi="楷体" w:hint="eastAsia"/>
                <w:color w:val="000000"/>
                <w:sz w:val="16"/>
                <w:szCs w:val="16"/>
              </w:rPr>
              <w:t>富国新兴产业</w:t>
            </w:r>
          </w:p>
        </w:tc>
        <w:tc>
          <w:tcPr>
            <w:tcW w:w="743" w:type="dxa"/>
            <w:tcBorders>
              <w:bottom w:val="single" w:sz="4" w:space="0" w:color="auto"/>
            </w:tcBorders>
            <w:shd w:val="clear" w:color="auto" w:fill="FFFFFF" w:themeFill="background1"/>
            <w:vAlign w:val="center"/>
            <w:hideMark/>
          </w:tcPr>
          <w:p w:rsidR="00F357E3" w:rsidRPr="00F357E3" w:rsidRDefault="00F357E3">
            <w:pPr>
              <w:jc w:val="right"/>
              <w:rPr>
                <w:rFonts w:ascii="楷体" w:eastAsia="楷体" w:hAnsi="楷体"/>
                <w:color w:val="000000"/>
                <w:sz w:val="16"/>
                <w:szCs w:val="16"/>
              </w:rPr>
            </w:pPr>
            <w:r w:rsidRPr="00F357E3">
              <w:rPr>
                <w:rFonts w:ascii="楷体" w:eastAsia="楷体" w:hAnsi="楷体" w:hint="eastAsia"/>
                <w:color w:val="000000"/>
                <w:sz w:val="16"/>
                <w:szCs w:val="16"/>
              </w:rPr>
              <w:t>0.84</w:t>
            </w:r>
          </w:p>
        </w:tc>
      </w:tr>
      <w:tr w:rsidR="00F357E3" w:rsidRPr="0032491D" w:rsidTr="00FC5199">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F357E3" w:rsidRPr="0032491D" w:rsidRDefault="00F357E3"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F357E3" w:rsidRPr="00F357E3" w:rsidRDefault="00F357E3">
            <w:pPr>
              <w:rPr>
                <w:rFonts w:ascii="楷体" w:eastAsia="楷体" w:hAnsi="楷体"/>
                <w:color w:val="000000"/>
                <w:sz w:val="16"/>
                <w:szCs w:val="16"/>
              </w:rPr>
            </w:pPr>
            <w:r>
              <w:rPr>
                <w:rFonts w:ascii="楷体" w:eastAsia="楷体" w:hAnsi="楷体" w:hint="eastAsia"/>
                <w:color w:val="000000"/>
                <w:sz w:val="16"/>
                <w:szCs w:val="16"/>
              </w:rPr>
              <w:t>512210.</w:t>
            </w:r>
          </w:p>
        </w:tc>
        <w:tc>
          <w:tcPr>
            <w:tcW w:w="1701" w:type="dxa"/>
            <w:tcBorders>
              <w:top w:val="single" w:sz="4" w:space="0" w:color="auto"/>
              <w:left w:val="nil"/>
              <w:bottom w:val="nil"/>
              <w:right w:val="nil"/>
            </w:tcBorders>
            <w:shd w:val="clear" w:color="auto" w:fill="F2F2F2" w:themeFill="background1" w:themeFillShade="F2"/>
            <w:vAlign w:val="center"/>
            <w:hideMark/>
          </w:tcPr>
          <w:p w:rsidR="00F357E3" w:rsidRPr="00F357E3" w:rsidRDefault="00F357E3">
            <w:pPr>
              <w:rPr>
                <w:rFonts w:ascii="楷体" w:eastAsia="楷体" w:hAnsi="楷体"/>
                <w:color w:val="000000"/>
                <w:sz w:val="16"/>
                <w:szCs w:val="16"/>
              </w:rPr>
            </w:pPr>
            <w:r w:rsidRPr="00F357E3">
              <w:rPr>
                <w:rFonts w:ascii="楷体" w:eastAsia="楷体" w:hAnsi="楷体" w:hint="eastAsia"/>
                <w:color w:val="000000"/>
                <w:sz w:val="16"/>
                <w:szCs w:val="16"/>
              </w:rPr>
              <w:t>景顺长城中证800食品饮料ETF</w:t>
            </w:r>
          </w:p>
        </w:tc>
        <w:tc>
          <w:tcPr>
            <w:tcW w:w="743" w:type="dxa"/>
            <w:tcBorders>
              <w:top w:val="single" w:sz="4" w:space="0" w:color="auto"/>
              <w:left w:val="nil"/>
              <w:bottom w:val="nil"/>
              <w:right w:val="nil"/>
            </w:tcBorders>
            <w:shd w:val="clear" w:color="auto" w:fill="F2F2F2" w:themeFill="background1" w:themeFillShade="F2"/>
            <w:vAlign w:val="center"/>
            <w:hideMark/>
          </w:tcPr>
          <w:p w:rsidR="00F357E3" w:rsidRPr="00F357E3" w:rsidRDefault="00F357E3">
            <w:pPr>
              <w:jc w:val="right"/>
              <w:rPr>
                <w:rFonts w:ascii="楷体" w:eastAsia="楷体" w:hAnsi="楷体"/>
                <w:color w:val="000000"/>
                <w:sz w:val="16"/>
                <w:szCs w:val="16"/>
              </w:rPr>
            </w:pPr>
            <w:r w:rsidRPr="00F357E3">
              <w:rPr>
                <w:rFonts w:ascii="楷体" w:eastAsia="楷体" w:hAnsi="楷体" w:hint="eastAsia"/>
                <w:color w:val="000000"/>
                <w:sz w:val="16"/>
                <w:szCs w:val="16"/>
              </w:rPr>
              <w:t>1.98</w:t>
            </w:r>
          </w:p>
        </w:tc>
      </w:tr>
      <w:tr w:rsidR="00F357E3" w:rsidRPr="0032491D" w:rsidTr="00FC5199">
        <w:trPr>
          <w:trHeight w:val="284"/>
        </w:trPr>
        <w:tc>
          <w:tcPr>
            <w:tcW w:w="709" w:type="dxa"/>
            <w:vMerge/>
            <w:tcBorders>
              <w:left w:val="nil"/>
              <w:right w:val="single" w:sz="8" w:space="0" w:color="000000"/>
            </w:tcBorders>
            <w:shd w:val="clear" w:color="auto" w:fill="F2F2F2" w:themeFill="background1" w:themeFillShade="F2"/>
            <w:vAlign w:val="center"/>
            <w:hideMark/>
          </w:tcPr>
          <w:p w:rsidR="00F357E3" w:rsidRPr="0032491D" w:rsidRDefault="00F357E3"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F357E3" w:rsidRPr="00F357E3" w:rsidRDefault="00F357E3">
            <w:pPr>
              <w:rPr>
                <w:rFonts w:ascii="楷体" w:eastAsia="楷体" w:hAnsi="楷体"/>
                <w:color w:val="000000"/>
                <w:sz w:val="16"/>
                <w:szCs w:val="16"/>
              </w:rPr>
            </w:pPr>
            <w:r>
              <w:rPr>
                <w:rFonts w:ascii="楷体" w:eastAsia="楷体" w:hAnsi="楷体" w:hint="eastAsia"/>
                <w:color w:val="000000"/>
                <w:sz w:val="16"/>
                <w:szCs w:val="16"/>
              </w:rPr>
              <w:t>161725.</w:t>
            </w:r>
          </w:p>
        </w:tc>
        <w:tc>
          <w:tcPr>
            <w:tcW w:w="1701" w:type="dxa"/>
            <w:tcBorders>
              <w:top w:val="nil"/>
              <w:left w:val="nil"/>
              <w:bottom w:val="nil"/>
              <w:right w:val="nil"/>
            </w:tcBorders>
            <w:shd w:val="clear" w:color="auto" w:fill="F2F2F2" w:themeFill="background1" w:themeFillShade="F2"/>
            <w:vAlign w:val="center"/>
            <w:hideMark/>
          </w:tcPr>
          <w:p w:rsidR="00F357E3" w:rsidRPr="00F357E3" w:rsidRDefault="00F357E3">
            <w:pPr>
              <w:rPr>
                <w:rFonts w:ascii="楷体" w:eastAsia="楷体" w:hAnsi="楷体"/>
                <w:color w:val="000000"/>
                <w:sz w:val="16"/>
                <w:szCs w:val="16"/>
              </w:rPr>
            </w:pPr>
            <w:r w:rsidRPr="00F357E3">
              <w:rPr>
                <w:rFonts w:ascii="楷体" w:eastAsia="楷体" w:hAnsi="楷体" w:hint="eastAsia"/>
                <w:color w:val="000000"/>
                <w:sz w:val="16"/>
                <w:szCs w:val="16"/>
              </w:rPr>
              <w:t>招商中证白酒</w:t>
            </w:r>
          </w:p>
        </w:tc>
        <w:tc>
          <w:tcPr>
            <w:tcW w:w="743" w:type="dxa"/>
            <w:tcBorders>
              <w:top w:val="nil"/>
              <w:left w:val="nil"/>
              <w:bottom w:val="nil"/>
              <w:right w:val="nil"/>
            </w:tcBorders>
            <w:shd w:val="clear" w:color="auto" w:fill="F2F2F2" w:themeFill="background1" w:themeFillShade="F2"/>
            <w:vAlign w:val="center"/>
            <w:hideMark/>
          </w:tcPr>
          <w:p w:rsidR="00F357E3" w:rsidRPr="00F357E3" w:rsidRDefault="00F357E3">
            <w:pPr>
              <w:jc w:val="right"/>
              <w:rPr>
                <w:rFonts w:ascii="楷体" w:eastAsia="楷体" w:hAnsi="楷体"/>
                <w:color w:val="000000"/>
                <w:sz w:val="16"/>
                <w:szCs w:val="16"/>
              </w:rPr>
            </w:pPr>
            <w:r w:rsidRPr="00F357E3">
              <w:rPr>
                <w:rFonts w:ascii="楷体" w:eastAsia="楷体" w:hAnsi="楷体" w:hint="eastAsia"/>
                <w:color w:val="000000"/>
                <w:sz w:val="16"/>
                <w:szCs w:val="16"/>
              </w:rPr>
              <w:t>1.63</w:t>
            </w:r>
          </w:p>
        </w:tc>
      </w:tr>
      <w:tr w:rsidR="00F357E3"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357E3" w:rsidRPr="0032491D" w:rsidRDefault="00F357E3"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F357E3" w:rsidRPr="00F357E3" w:rsidRDefault="00F357E3">
            <w:pPr>
              <w:rPr>
                <w:rFonts w:ascii="楷体" w:eastAsia="楷体" w:hAnsi="楷体"/>
                <w:color w:val="000000"/>
                <w:sz w:val="16"/>
                <w:szCs w:val="16"/>
              </w:rPr>
            </w:pPr>
            <w:r>
              <w:rPr>
                <w:rFonts w:ascii="楷体" w:eastAsia="楷体" w:hAnsi="楷体" w:hint="eastAsia"/>
                <w:color w:val="000000"/>
                <w:sz w:val="16"/>
                <w:szCs w:val="16"/>
              </w:rPr>
              <w:t>159928.</w:t>
            </w:r>
          </w:p>
        </w:tc>
        <w:tc>
          <w:tcPr>
            <w:tcW w:w="1701" w:type="dxa"/>
            <w:tcBorders>
              <w:top w:val="nil"/>
              <w:left w:val="nil"/>
              <w:bottom w:val="single" w:sz="8" w:space="0" w:color="000000"/>
              <w:right w:val="nil"/>
            </w:tcBorders>
            <w:shd w:val="clear" w:color="auto" w:fill="F2F2F2" w:themeFill="background1" w:themeFillShade="F2"/>
            <w:vAlign w:val="center"/>
            <w:hideMark/>
          </w:tcPr>
          <w:p w:rsidR="00F357E3" w:rsidRPr="00F357E3" w:rsidRDefault="00F357E3">
            <w:pPr>
              <w:rPr>
                <w:rFonts w:ascii="楷体" w:eastAsia="楷体" w:hAnsi="楷体"/>
                <w:color w:val="000000"/>
                <w:sz w:val="16"/>
                <w:szCs w:val="16"/>
              </w:rPr>
            </w:pPr>
            <w:proofErr w:type="gramStart"/>
            <w:r w:rsidRPr="00F357E3">
              <w:rPr>
                <w:rFonts w:ascii="楷体" w:eastAsia="楷体" w:hAnsi="楷体" w:hint="eastAsia"/>
                <w:color w:val="000000"/>
                <w:sz w:val="16"/>
                <w:szCs w:val="16"/>
              </w:rPr>
              <w:t>汇添富</w:t>
            </w:r>
            <w:proofErr w:type="gramEnd"/>
            <w:r w:rsidRPr="00F357E3">
              <w:rPr>
                <w:rFonts w:ascii="楷体" w:eastAsia="楷体" w:hAnsi="楷体" w:hint="eastAsia"/>
                <w:color w:val="000000"/>
                <w:sz w:val="16"/>
                <w:szCs w:val="16"/>
              </w:rPr>
              <w:t>中证主要消费ETF</w:t>
            </w:r>
          </w:p>
        </w:tc>
        <w:tc>
          <w:tcPr>
            <w:tcW w:w="743" w:type="dxa"/>
            <w:tcBorders>
              <w:top w:val="nil"/>
              <w:left w:val="nil"/>
              <w:bottom w:val="single" w:sz="8" w:space="0" w:color="000000"/>
              <w:right w:val="nil"/>
            </w:tcBorders>
            <w:shd w:val="clear" w:color="auto" w:fill="F2F2F2" w:themeFill="background1" w:themeFillShade="F2"/>
            <w:vAlign w:val="center"/>
            <w:hideMark/>
          </w:tcPr>
          <w:p w:rsidR="00F357E3" w:rsidRPr="00F357E3" w:rsidRDefault="00F357E3">
            <w:pPr>
              <w:jc w:val="right"/>
              <w:rPr>
                <w:rFonts w:ascii="楷体" w:eastAsia="楷体" w:hAnsi="楷体"/>
                <w:color w:val="000000"/>
                <w:sz w:val="16"/>
                <w:szCs w:val="16"/>
              </w:rPr>
            </w:pPr>
            <w:r w:rsidRPr="00F357E3">
              <w:rPr>
                <w:rFonts w:ascii="楷体" w:eastAsia="楷体" w:hAnsi="楷体" w:hint="eastAsia"/>
                <w:color w:val="000000"/>
                <w:sz w:val="16"/>
                <w:szCs w:val="16"/>
              </w:rPr>
              <w:t>1.37</w:t>
            </w:r>
          </w:p>
        </w:tc>
      </w:tr>
      <w:tr w:rsidR="009C2C92"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9C2C92" w:rsidRPr="0032491D" w:rsidRDefault="009C2C92"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9C2C92" w:rsidRPr="009C2C92" w:rsidRDefault="009C2C92">
            <w:pPr>
              <w:rPr>
                <w:rFonts w:ascii="楷体" w:eastAsia="楷体" w:hAnsi="楷体"/>
                <w:color w:val="000000"/>
                <w:sz w:val="16"/>
                <w:szCs w:val="16"/>
              </w:rPr>
            </w:pPr>
            <w:r>
              <w:rPr>
                <w:rFonts w:ascii="楷体" w:eastAsia="楷体" w:hAnsi="楷体" w:hint="eastAsia"/>
                <w:color w:val="000000"/>
                <w:sz w:val="16"/>
                <w:szCs w:val="16"/>
              </w:rPr>
              <w:t>217005.</w:t>
            </w:r>
          </w:p>
        </w:tc>
        <w:tc>
          <w:tcPr>
            <w:tcW w:w="1701" w:type="dxa"/>
            <w:tcBorders>
              <w:top w:val="nil"/>
              <w:left w:val="nil"/>
              <w:bottom w:val="nil"/>
              <w:right w:val="nil"/>
            </w:tcBorders>
            <w:shd w:val="clear" w:color="auto" w:fill="FFFFFF" w:themeFill="background1"/>
            <w:vAlign w:val="center"/>
            <w:hideMark/>
          </w:tcPr>
          <w:p w:rsidR="009C2C92" w:rsidRPr="009C2C92" w:rsidRDefault="009C2C92">
            <w:pPr>
              <w:rPr>
                <w:rFonts w:ascii="楷体" w:eastAsia="楷体" w:hAnsi="楷体"/>
                <w:color w:val="000000"/>
                <w:sz w:val="16"/>
                <w:szCs w:val="16"/>
              </w:rPr>
            </w:pPr>
            <w:r w:rsidRPr="009C2C92">
              <w:rPr>
                <w:rFonts w:ascii="楷体" w:eastAsia="楷体" w:hAnsi="楷体" w:hint="eastAsia"/>
                <w:color w:val="000000"/>
                <w:sz w:val="16"/>
                <w:szCs w:val="16"/>
              </w:rPr>
              <w:t>招商先锋</w:t>
            </w:r>
          </w:p>
        </w:tc>
        <w:tc>
          <w:tcPr>
            <w:tcW w:w="743" w:type="dxa"/>
            <w:tcBorders>
              <w:top w:val="nil"/>
              <w:left w:val="nil"/>
              <w:bottom w:val="nil"/>
              <w:right w:val="nil"/>
            </w:tcBorders>
            <w:shd w:val="clear" w:color="auto" w:fill="FFFFFF" w:themeFill="background1"/>
            <w:vAlign w:val="center"/>
            <w:hideMark/>
          </w:tcPr>
          <w:p w:rsidR="009C2C92" w:rsidRPr="009C2C92" w:rsidRDefault="009C2C92">
            <w:pPr>
              <w:jc w:val="right"/>
              <w:rPr>
                <w:rFonts w:ascii="楷体" w:eastAsia="楷体" w:hAnsi="楷体"/>
                <w:color w:val="000000"/>
                <w:sz w:val="16"/>
                <w:szCs w:val="16"/>
              </w:rPr>
            </w:pPr>
            <w:r w:rsidRPr="009C2C92">
              <w:rPr>
                <w:rFonts w:ascii="楷体" w:eastAsia="楷体" w:hAnsi="楷体" w:hint="eastAsia"/>
                <w:color w:val="000000"/>
                <w:sz w:val="16"/>
                <w:szCs w:val="16"/>
              </w:rPr>
              <w:t>2.87</w:t>
            </w:r>
          </w:p>
        </w:tc>
      </w:tr>
      <w:tr w:rsidR="009C2C92"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9C2C92" w:rsidRPr="0032491D" w:rsidRDefault="009C2C92"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9C2C92" w:rsidRPr="009C2C92" w:rsidRDefault="009C2C92">
            <w:pPr>
              <w:rPr>
                <w:rFonts w:ascii="楷体" w:eastAsia="楷体" w:hAnsi="楷体"/>
                <w:color w:val="000000"/>
                <w:sz w:val="16"/>
                <w:szCs w:val="16"/>
              </w:rPr>
            </w:pPr>
            <w:r>
              <w:rPr>
                <w:rFonts w:ascii="楷体" w:eastAsia="楷体" w:hAnsi="楷体" w:hint="eastAsia"/>
                <w:color w:val="000000"/>
                <w:sz w:val="16"/>
                <w:szCs w:val="16"/>
              </w:rPr>
              <w:t>070013.</w:t>
            </w:r>
          </w:p>
        </w:tc>
        <w:tc>
          <w:tcPr>
            <w:tcW w:w="1701" w:type="dxa"/>
            <w:tcBorders>
              <w:top w:val="nil"/>
              <w:left w:val="nil"/>
              <w:bottom w:val="nil"/>
              <w:right w:val="nil"/>
            </w:tcBorders>
            <w:shd w:val="clear" w:color="auto" w:fill="FFFFFF" w:themeFill="background1"/>
            <w:vAlign w:val="center"/>
            <w:hideMark/>
          </w:tcPr>
          <w:p w:rsidR="009C2C92" w:rsidRPr="009C2C92" w:rsidRDefault="009C2C92">
            <w:pPr>
              <w:rPr>
                <w:rFonts w:ascii="楷体" w:eastAsia="楷体" w:hAnsi="楷体"/>
                <w:color w:val="000000"/>
                <w:sz w:val="16"/>
                <w:szCs w:val="16"/>
              </w:rPr>
            </w:pPr>
            <w:r w:rsidRPr="009C2C92">
              <w:rPr>
                <w:rFonts w:ascii="楷体" w:eastAsia="楷体" w:hAnsi="楷体" w:hint="eastAsia"/>
                <w:color w:val="000000"/>
                <w:sz w:val="16"/>
                <w:szCs w:val="16"/>
              </w:rPr>
              <w:t>嘉</w:t>
            </w:r>
            <w:proofErr w:type="gramStart"/>
            <w:r w:rsidRPr="009C2C92">
              <w:rPr>
                <w:rFonts w:ascii="楷体" w:eastAsia="楷体" w:hAnsi="楷体" w:hint="eastAsia"/>
                <w:color w:val="000000"/>
                <w:sz w:val="16"/>
                <w:szCs w:val="16"/>
              </w:rPr>
              <w:t>实研究</w:t>
            </w:r>
            <w:proofErr w:type="gramEnd"/>
            <w:r w:rsidRPr="009C2C92">
              <w:rPr>
                <w:rFonts w:ascii="楷体" w:eastAsia="楷体" w:hAnsi="楷体" w:hint="eastAsia"/>
                <w:color w:val="000000"/>
                <w:sz w:val="16"/>
                <w:szCs w:val="16"/>
              </w:rPr>
              <w:t>精选</w:t>
            </w:r>
          </w:p>
        </w:tc>
        <w:tc>
          <w:tcPr>
            <w:tcW w:w="743" w:type="dxa"/>
            <w:tcBorders>
              <w:top w:val="nil"/>
              <w:left w:val="nil"/>
              <w:bottom w:val="nil"/>
              <w:right w:val="nil"/>
            </w:tcBorders>
            <w:shd w:val="clear" w:color="auto" w:fill="FFFFFF" w:themeFill="background1"/>
            <w:vAlign w:val="center"/>
            <w:hideMark/>
          </w:tcPr>
          <w:p w:rsidR="009C2C92" w:rsidRPr="009C2C92" w:rsidRDefault="009C2C92">
            <w:pPr>
              <w:jc w:val="right"/>
              <w:rPr>
                <w:rFonts w:ascii="楷体" w:eastAsia="楷体" w:hAnsi="楷体"/>
                <w:color w:val="000000"/>
                <w:sz w:val="16"/>
                <w:szCs w:val="16"/>
              </w:rPr>
            </w:pPr>
            <w:r w:rsidRPr="009C2C92">
              <w:rPr>
                <w:rFonts w:ascii="楷体" w:eastAsia="楷体" w:hAnsi="楷体" w:hint="eastAsia"/>
                <w:color w:val="000000"/>
                <w:sz w:val="16"/>
                <w:szCs w:val="16"/>
              </w:rPr>
              <w:t>2.47</w:t>
            </w:r>
          </w:p>
        </w:tc>
      </w:tr>
      <w:tr w:rsidR="009C2C92"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9C2C92" w:rsidRPr="0032491D" w:rsidRDefault="009C2C92"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9C2C92" w:rsidRPr="009C2C92" w:rsidRDefault="009C2C92">
            <w:pPr>
              <w:rPr>
                <w:rFonts w:ascii="楷体" w:eastAsia="楷体" w:hAnsi="楷体"/>
                <w:color w:val="000000"/>
                <w:sz w:val="16"/>
                <w:szCs w:val="16"/>
              </w:rPr>
            </w:pPr>
            <w:r>
              <w:rPr>
                <w:rFonts w:ascii="楷体" w:eastAsia="楷体" w:hAnsi="楷体" w:hint="eastAsia"/>
                <w:color w:val="000000"/>
                <w:sz w:val="16"/>
                <w:szCs w:val="16"/>
              </w:rPr>
              <w:t>160212.</w:t>
            </w:r>
          </w:p>
        </w:tc>
        <w:tc>
          <w:tcPr>
            <w:tcW w:w="1701" w:type="dxa"/>
            <w:tcBorders>
              <w:top w:val="nil"/>
              <w:left w:val="nil"/>
              <w:bottom w:val="single" w:sz="8" w:space="0" w:color="000000"/>
              <w:right w:val="nil"/>
            </w:tcBorders>
            <w:shd w:val="clear" w:color="auto" w:fill="FFFFFF" w:themeFill="background1"/>
            <w:vAlign w:val="center"/>
            <w:hideMark/>
          </w:tcPr>
          <w:p w:rsidR="009C2C92" w:rsidRPr="009C2C92" w:rsidRDefault="009C2C92">
            <w:pPr>
              <w:rPr>
                <w:rFonts w:ascii="楷体" w:eastAsia="楷体" w:hAnsi="楷体"/>
                <w:color w:val="000000"/>
                <w:sz w:val="16"/>
                <w:szCs w:val="16"/>
              </w:rPr>
            </w:pPr>
            <w:r w:rsidRPr="009C2C92">
              <w:rPr>
                <w:rFonts w:ascii="楷体" w:eastAsia="楷体" w:hAnsi="楷体" w:hint="eastAsia"/>
                <w:color w:val="000000"/>
                <w:sz w:val="16"/>
                <w:szCs w:val="16"/>
              </w:rPr>
              <w:t>国泰估值优势</w:t>
            </w:r>
          </w:p>
        </w:tc>
        <w:tc>
          <w:tcPr>
            <w:tcW w:w="743" w:type="dxa"/>
            <w:tcBorders>
              <w:top w:val="nil"/>
              <w:left w:val="nil"/>
              <w:bottom w:val="single" w:sz="8" w:space="0" w:color="000000"/>
              <w:right w:val="nil"/>
            </w:tcBorders>
            <w:shd w:val="clear" w:color="auto" w:fill="FFFFFF" w:themeFill="background1"/>
            <w:vAlign w:val="center"/>
            <w:hideMark/>
          </w:tcPr>
          <w:p w:rsidR="009C2C92" w:rsidRPr="009C2C92" w:rsidRDefault="009C2C92">
            <w:pPr>
              <w:jc w:val="right"/>
              <w:rPr>
                <w:rFonts w:ascii="楷体" w:eastAsia="楷体" w:hAnsi="楷体"/>
                <w:color w:val="000000"/>
                <w:sz w:val="16"/>
                <w:szCs w:val="16"/>
              </w:rPr>
            </w:pPr>
            <w:r w:rsidRPr="009C2C92">
              <w:rPr>
                <w:rFonts w:ascii="楷体" w:eastAsia="楷体" w:hAnsi="楷体" w:hint="eastAsia"/>
                <w:color w:val="000000"/>
                <w:sz w:val="16"/>
                <w:szCs w:val="16"/>
              </w:rPr>
              <w:t>1.85</w:t>
            </w:r>
          </w:p>
        </w:tc>
      </w:tr>
      <w:tr w:rsidR="00C32C72" w:rsidRPr="0032491D" w:rsidTr="00FC519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32C72" w:rsidRPr="0032491D" w:rsidRDefault="00C32C72"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C32C72" w:rsidRPr="00C32C72" w:rsidRDefault="00C32C72">
            <w:pPr>
              <w:rPr>
                <w:rFonts w:ascii="楷体" w:eastAsia="楷体" w:hAnsi="楷体"/>
                <w:color w:val="000000"/>
                <w:sz w:val="16"/>
                <w:szCs w:val="16"/>
              </w:rPr>
            </w:pPr>
            <w:r>
              <w:rPr>
                <w:rFonts w:ascii="楷体" w:eastAsia="楷体" w:hAnsi="楷体" w:hint="eastAsia"/>
                <w:color w:val="000000"/>
                <w:sz w:val="16"/>
                <w:szCs w:val="16"/>
              </w:rPr>
              <w:t>217020.</w:t>
            </w:r>
          </w:p>
        </w:tc>
        <w:tc>
          <w:tcPr>
            <w:tcW w:w="1701" w:type="dxa"/>
            <w:tcBorders>
              <w:top w:val="nil"/>
              <w:left w:val="nil"/>
              <w:bottom w:val="nil"/>
              <w:right w:val="nil"/>
            </w:tcBorders>
            <w:shd w:val="clear" w:color="auto" w:fill="F2F2F2" w:themeFill="background1" w:themeFillShade="F2"/>
            <w:vAlign w:val="center"/>
            <w:hideMark/>
          </w:tcPr>
          <w:p w:rsidR="00C32C72" w:rsidRPr="00C32C72" w:rsidRDefault="00C32C72">
            <w:pPr>
              <w:rPr>
                <w:rFonts w:ascii="楷体" w:eastAsia="楷体" w:hAnsi="楷体"/>
                <w:color w:val="000000"/>
                <w:sz w:val="16"/>
                <w:szCs w:val="16"/>
              </w:rPr>
            </w:pPr>
            <w:r w:rsidRPr="00C32C72">
              <w:rPr>
                <w:rFonts w:ascii="楷体" w:eastAsia="楷体" w:hAnsi="楷体" w:hint="eastAsia"/>
                <w:color w:val="000000"/>
                <w:sz w:val="16"/>
                <w:szCs w:val="16"/>
              </w:rPr>
              <w:t>招商安达保本</w:t>
            </w:r>
          </w:p>
        </w:tc>
        <w:tc>
          <w:tcPr>
            <w:tcW w:w="743" w:type="dxa"/>
            <w:tcBorders>
              <w:top w:val="nil"/>
              <w:left w:val="nil"/>
              <w:bottom w:val="nil"/>
              <w:right w:val="nil"/>
            </w:tcBorders>
            <w:shd w:val="clear" w:color="auto" w:fill="F2F2F2" w:themeFill="background1" w:themeFillShade="F2"/>
            <w:vAlign w:val="center"/>
            <w:hideMark/>
          </w:tcPr>
          <w:p w:rsidR="00C32C72" w:rsidRPr="00C32C72" w:rsidRDefault="00C32C72">
            <w:pPr>
              <w:jc w:val="right"/>
              <w:rPr>
                <w:rFonts w:ascii="楷体" w:eastAsia="楷体" w:hAnsi="楷体"/>
                <w:color w:val="000000"/>
                <w:sz w:val="16"/>
                <w:szCs w:val="16"/>
              </w:rPr>
            </w:pPr>
            <w:r w:rsidRPr="00C32C72">
              <w:rPr>
                <w:rFonts w:ascii="楷体" w:eastAsia="楷体" w:hAnsi="楷体" w:hint="eastAsia"/>
                <w:color w:val="000000"/>
                <w:sz w:val="16"/>
                <w:szCs w:val="16"/>
              </w:rPr>
              <w:t>1.43</w:t>
            </w:r>
          </w:p>
        </w:tc>
      </w:tr>
      <w:tr w:rsidR="00C32C72" w:rsidRPr="0032491D" w:rsidTr="00FC5199">
        <w:trPr>
          <w:trHeight w:val="284"/>
        </w:trPr>
        <w:tc>
          <w:tcPr>
            <w:tcW w:w="709" w:type="dxa"/>
            <w:vMerge/>
            <w:tcBorders>
              <w:left w:val="nil"/>
              <w:right w:val="single" w:sz="8" w:space="0" w:color="000000"/>
            </w:tcBorders>
            <w:shd w:val="clear" w:color="auto" w:fill="F2F2F2" w:themeFill="background1" w:themeFillShade="F2"/>
            <w:vAlign w:val="center"/>
            <w:hideMark/>
          </w:tcPr>
          <w:p w:rsidR="00C32C72" w:rsidRPr="0032491D" w:rsidRDefault="00C32C72"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32C72" w:rsidRPr="00C32C72" w:rsidRDefault="00C32C72">
            <w:pPr>
              <w:rPr>
                <w:rFonts w:ascii="楷体" w:eastAsia="楷体" w:hAnsi="楷体"/>
                <w:color w:val="000000"/>
                <w:sz w:val="16"/>
                <w:szCs w:val="16"/>
              </w:rPr>
            </w:pPr>
            <w:r>
              <w:rPr>
                <w:rFonts w:ascii="楷体" w:eastAsia="楷体" w:hAnsi="楷体" w:hint="eastAsia"/>
                <w:color w:val="000000"/>
                <w:sz w:val="16"/>
                <w:szCs w:val="16"/>
              </w:rPr>
              <w:t>000695.</w:t>
            </w:r>
          </w:p>
        </w:tc>
        <w:tc>
          <w:tcPr>
            <w:tcW w:w="1701" w:type="dxa"/>
            <w:tcBorders>
              <w:top w:val="nil"/>
              <w:left w:val="nil"/>
              <w:bottom w:val="nil"/>
              <w:right w:val="nil"/>
            </w:tcBorders>
            <w:shd w:val="clear" w:color="auto" w:fill="F2F2F2" w:themeFill="background1" w:themeFillShade="F2"/>
            <w:vAlign w:val="center"/>
            <w:hideMark/>
          </w:tcPr>
          <w:p w:rsidR="00C32C72" w:rsidRPr="00C32C72" w:rsidRDefault="00C32C72">
            <w:pPr>
              <w:rPr>
                <w:rFonts w:ascii="楷体" w:eastAsia="楷体" w:hAnsi="楷体"/>
                <w:color w:val="000000"/>
                <w:sz w:val="16"/>
                <w:szCs w:val="16"/>
              </w:rPr>
            </w:pPr>
            <w:proofErr w:type="gramStart"/>
            <w:r w:rsidRPr="00C32C72">
              <w:rPr>
                <w:rFonts w:ascii="楷体" w:eastAsia="楷体" w:hAnsi="楷体" w:hint="eastAsia"/>
                <w:color w:val="000000"/>
                <w:sz w:val="16"/>
                <w:szCs w:val="16"/>
              </w:rPr>
              <w:t>大成景益平稳</w:t>
            </w:r>
            <w:proofErr w:type="gramEnd"/>
            <w:r w:rsidRPr="00C32C72">
              <w:rPr>
                <w:rFonts w:ascii="楷体" w:eastAsia="楷体" w:hAnsi="楷体" w:hint="eastAsia"/>
                <w:color w:val="000000"/>
                <w:sz w:val="16"/>
                <w:szCs w:val="16"/>
              </w:rPr>
              <w:t>收益</w:t>
            </w:r>
          </w:p>
        </w:tc>
        <w:tc>
          <w:tcPr>
            <w:tcW w:w="743" w:type="dxa"/>
            <w:tcBorders>
              <w:top w:val="nil"/>
              <w:left w:val="nil"/>
              <w:bottom w:val="nil"/>
              <w:right w:val="nil"/>
            </w:tcBorders>
            <w:shd w:val="clear" w:color="auto" w:fill="F2F2F2" w:themeFill="background1" w:themeFillShade="F2"/>
            <w:vAlign w:val="center"/>
            <w:hideMark/>
          </w:tcPr>
          <w:p w:rsidR="00C32C72" w:rsidRPr="00C32C72" w:rsidRDefault="00C32C72">
            <w:pPr>
              <w:jc w:val="right"/>
              <w:rPr>
                <w:rFonts w:ascii="楷体" w:eastAsia="楷体" w:hAnsi="楷体"/>
                <w:color w:val="000000"/>
                <w:sz w:val="16"/>
                <w:szCs w:val="16"/>
              </w:rPr>
            </w:pPr>
            <w:r w:rsidRPr="00C32C72">
              <w:rPr>
                <w:rFonts w:ascii="楷体" w:eastAsia="楷体" w:hAnsi="楷体" w:hint="eastAsia"/>
                <w:color w:val="000000"/>
                <w:sz w:val="16"/>
                <w:szCs w:val="16"/>
              </w:rPr>
              <w:t>1.17</w:t>
            </w:r>
          </w:p>
        </w:tc>
      </w:tr>
      <w:tr w:rsidR="00C32C72"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32C72" w:rsidRPr="0032491D" w:rsidRDefault="00C32C72"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32C72" w:rsidRPr="00C32C72" w:rsidRDefault="00C32C72">
            <w:pPr>
              <w:rPr>
                <w:rFonts w:ascii="楷体" w:eastAsia="楷体" w:hAnsi="楷体"/>
                <w:color w:val="000000"/>
                <w:sz w:val="16"/>
                <w:szCs w:val="16"/>
              </w:rPr>
            </w:pPr>
            <w:r>
              <w:rPr>
                <w:rFonts w:ascii="楷体" w:eastAsia="楷体" w:hAnsi="楷体" w:hint="eastAsia"/>
                <w:color w:val="000000"/>
                <w:sz w:val="16"/>
                <w:szCs w:val="16"/>
              </w:rPr>
              <w:t>001309.</w:t>
            </w:r>
          </w:p>
        </w:tc>
        <w:tc>
          <w:tcPr>
            <w:tcW w:w="1701" w:type="dxa"/>
            <w:tcBorders>
              <w:top w:val="nil"/>
              <w:left w:val="nil"/>
              <w:bottom w:val="single" w:sz="8" w:space="0" w:color="000000"/>
              <w:right w:val="nil"/>
            </w:tcBorders>
            <w:shd w:val="clear" w:color="auto" w:fill="F2F2F2" w:themeFill="background1" w:themeFillShade="F2"/>
            <w:vAlign w:val="center"/>
            <w:hideMark/>
          </w:tcPr>
          <w:p w:rsidR="00C32C72" w:rsidRPr="00C32C72" w:rsidRDefault="00C32C72">
            <w:pPr>
              <w:rPr>
                <w:rFonts w:ascii="楷体" w:eastAsia="楷体" w:hAnsi="楷体"/>
                <w:color w:val="000000"/>
                <w:sz w:val="16"/>
                <w:szCs w:val="16"/>
              </w:rPr>
            </w:pPr>
            <w:r w:rsidRPr="00C32C72">
              <w:rPr>
                <w:rFonts w:ascii="楷体" w:eastAsia="楷体" w:hAnsi="楷体" w:hint="eastAsia"/>
                <w:color w:val="000000"/>
                <w:sz w:val="16"/>
                <w:szCs w:val="16"/>
              </w:rPr>
              <w:t>东方红</w:t>
            </w:r>
            <w:proofErr w:type="gramStart"/>
            <w:r w:rsidRPr="00C32C72">
              <w:rPr>
                <w:rFonts w:ascii="楷体" w:eastAsia="楷体" w:hAnsi="楷体" w:hint="eastAsia"/>
                <w:color w:val="000000"/>
                <w:sz w:val="16"/>
                <w:szCs w:val="16"/>
              </w:rPr>
              <w:t>睿</w:t>
            </w:r>
            <w:proofErr w:type="gramEnd"/>
            <w:r w:rsidRPr="00C32C72">
              <w:rPr>
                <w:rFonts w:ascii="楷体" w:eastAsia="楷体" w:hAnsi="楷体" w:hint="eastAsia"/>
                <w:color w:val="000000"/>
                <w:sz w:val="16"/>
                <w:szCs w:val="16"/>
              </w:rPr>
              <w:t>逸</w:t>
            </w:r>
          </w:p>
        </w:tc>
        <w:tc>
          <w:tcPr>
            <w:tcW w:w="743" w:type="dxa"/>
            <w:tcBorders>
              <w:top w:val="nil"/>
              <w:left w:val="nil"/>
              <w:bottom w:val="single" w:sz="8" w:space="0" w:color="000000"/>
              <w:right w:val="nil"/>
            </w:tcBorders>
            <w:shd w:val="clear" w:color="auto" w:fill="F2F2F2" w:themeFill="background1" w:themeFillShade="F2"/>
            <w:vAlign w:val="center"/>
            <w:hideMark/>
          </w:tcPr>
          <w:p w:rsidR="00C32C72" w:rsidRPr="00C32C72" w:rsidRDefault="00C32C72">
            <w:pPr>
              <w:jc w:val="right"/>
              <w:rPr>
                <w:rFonts w:ascii="楷体" w:eastAsia="楷体" w:hAnsi="楷体"/>
                <w:color w:val="000000"/>
                <w:sz w:val="16"/>
                <w:szCs w:val="16"/>
              </w:rPr>
            </w:pPr>
            <w:r w:rsidRPr="00C32C72">
              <w:rPr>
                <w:rFonts w:ascii="楷体" w:eastAsia="楷体" w:hAnsi="楷体" w:hint="eastAsia"/>
                <w:color w:val="000000"/>
                <w:sz w:val="16"/>
                <w:szCs w:val="16"/>
              </w:rPr>
              <w:t>0.59</w:t>
            </w:r>
          </w:p>
        </w:tc>
      </w:tr>
      <w:tr w:rsidR="00C32C72"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32C72" w:rsidRPr="0032491D" w:rsidRDefault="00C32C72"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C32C72" w:rsidRPr="00C32C72" w:rsidRDefault="00C32C72">
            <w:pPr>
              <w:rPr>
                <w:rFonts w:ascii="楷体" w:eastAsia="楷体" w:hAnsi="楷体"/>
                <w:color w:val="000000"/>
                <w:sz w:val="16"/>
                <w:szCs w:val="16"/>
              </w:rPr>
            </w:pPr>
            <w:r>
              <w:rPr>
                <w:rFonts w:ascii="楷体" w:eastAsia="楷体" w:hAnsi="楷体" w:hint="eastAsia"/>
                <w:color w:val="000000"/>
                <w:sz w:val="16"/>
                <w:szCs w:val="16"/>
              </w:rPr>
              <w:t>519963.</w:t>
            </w:r>
          </w:p>
        </w:tc>
        <w:tc>
          <w:tcPr>
            <w:tcW w:w="1701" w:type="dxa"/>
            <w:tcBorders>
              <w:top w:val="nil"/>
              <w:left w:val="nil"/>
              <w:bottom w:val="nil"/>
              <w:right w:val="nil"/>
            </w:tcBorders>
            <w:shd w:val="clear" w:color="auto" w:fill="FFFFFF" w:themeFill="background1"/>
            <w:vAlign w:val="center"/>
            <w:hideMark/>
          </w:tcPr>
          <w:p w:rsidR="00C32C72" w:rsidRPr="00C32C72" w:rsidRDefault="00C32C72">
            <w:pPr>
              <w:rPr>
                <w:rFonts w:ascii="楷体" w:eastAsia="楷体" w:hAnsi="楷体"/>
                <w:color w:val="000000"/>
                <w:sz w:val="16"/>
                <w:szCs w:val="16"/>
              </w:rPr>
            </w:pPr>
            <w:r w:rsidRPr="00C32C72">
              <w:rPr>
                <w:rFonts w:ascii="楷体" w:eastAsia="楷体" w:hAnsi="楷体" w:hint="eastAsia"/>
                <w:color w:val="000000"/>
                <w:sz w:val="16"/>
                <w:szCs w:val="16"/>
              </w:rPr>
              <w:t>长信利盈</w:t>
            </w:r>
          </w:p>
        </w:tc>
        <w:tc>
          <w:tcPr>
            <w:tcW w:w="743" w:type="dxa"/>
            <w:tcBorders>
              <w:top w:val="nil"/>
              <w:left w:val="nil"/>
              <w:bottom w:val="nil"/>
              <w:right w:val="nil"/>
            </w:tcBorders>
            <w:shd w:val="clear" w:color="auto" w:fill="FFFFFF" w:themeFill="background1"/>
            <w:vAlign w:val="center"/>
            <w:hideMark/>
          </w:tcPr>
          <w:p w:rsidR="00C32C72" w:rsidRPr="00C32C72" w:rsidRDefault="00C32C72">
            <w:pPr>
              <w:jc w:val="right"/>
              <w:rPr>
                <w:rFonts w:ascii="楷体" w:eastAsia="楷体" w:hAnsi="楷体"/>
                <w:color w:val="000000"/>
                <w:sz w:val="16"/>
                <w:szCs w:val="16"/>
              </w:rPr>
            </w:pPr>
            <w:r w:rsidRPr="00C32C72">
              <w:rPr>
                <w:rFonts w:ascii="楷体" w:eastAsia="楷体" w:hAnsi="楷体" w:hint="eastAsia"/>
                <w:color w:val="000000"/>
                <w:sz w:val="16"/>
                <w:szCs w:val="16"/>
              </w:rPr>
              <w:t>5.20</w:t>
            </w:r>
          </w:p>
        </w:tc>
      </w:tr>
      <w:tr w:rsidR="00C32C72"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C32C72" w:rsidRPr="0032491D" w:rsidRDefault="00C32C72"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32C72" w:rsidRPr="00C32C72" w:rsidRDefault="00C32C72">
            <w:pPr>
              <w:rPr>
                <w:rFonts w:ascii="楷体" w:eastAsia="楷体" w:hAnsi="楷体"/>
                <w:color w:val="000000"/>
                <w:sz w:val="16"/>
                <w:szCs w:val="16"/>
              </w:rPr>
            </w:pPr>
            <w:r>
              <w:rPr>
                <w:rFonts w:ascii="楷体" w:eastAsia="楷体" w:hAnsi="楷体" w:hint="eastAsia"/>
                <w:color w:val="000000"/>
                <w:sz w:val="16"/>
                <w:szCs w:val="16"/>
              </w:rPr>
              <w:t>001367.</w:t>
            </w:r>
          </w:p>
        </w:tc>
        <w:tc>
          <w:tcPr>
            <w:tcW w:w="1701" w:type="dxa"/>
            <w:tcBorders>
              <w:top w:val="nil"/>
              <w:left w:val="nil"/>
              <w:bottom w:val="nil"/>
              <w:right w:val="nil"/>
            </w:tcBorders>
            <w:shd w:val="clear" w:color="auto" w:fill="FFFFFF" w:themeFill="background1"/>
            <w:vAlign w:val="center"/>
            <w:hideMark/>
          </w:tcPr>
          <w:p w:rsidR="00C32C72" w:rsidRPr="00C32C72" w:rsidRDefault="00C32C72">
            <w:pPr>
              <w:rPr>
                <w:rFonts w:ascii="楷体" w:eastAsia="楷体" w:hAnsi="楷体"/>
                <w:color w:val="000000"/>
                <w:sz w:val="16"/>
                <w:szCs w:val="16"/>
              </w:rPr>
            </w:pPr>
            <w:r w:rsidRPr="00C32C72">
              <w:rPr>
                <w:rFonts w:ascii="楷体" w:eastAsia="楷体" w:hAnsi="楷体" w:hint="eastAsia"/>
                <w:color w:val="000000"/>
                <w:sz w:val="16"/>
                <w:szCs w:val="16"/>
              </w:rPr>
              <w:t>德</w:t>
            </w:r>
            <w:proofErr w:type="gramStart"/>
            <w:r w:rsidRPr="00C32C72">
              <w:rPr>
                <w:rFonts w:ascii="楷体" w:eastAsia="楷体" w:hAnsi="楷体" w:hint="eastAsia"/>
                <w:color w:val="000000"/>
                <w:sz w:val="16"/>
                <w:szCs w:val="16"/>
              </w:rPr>
              <w:t>邦</w:t>
            </w:r>
            <w:proofErr w:type="gramEnd"/>
            <w:r w:rsidRPr="00C32C72">
              <w:rPr>
                <w:rFonts w:ascii="楷体" w:eastAsia="楷体" w:hAnsi="楷体" w:hint="eastAsia"/>
                <w:color w:val="000000"/>
                <w:sz w:val="16"/>
                <w:szCs w:val="16"/>
              </w:rPr>
              <w:t>新添利</w:t>
            </w:r>
          </w:p>
        </w:tc>
        <w:tc>
          <w:tcPr>
            <w:tcW w:w="743" w:type="dxa"/>
            <w:tcBorders>
              <w:top w:val="nil"/>
              <w:left w:val="nil"/>
              <w:bottom w:val="nil"/>
              <w:right w:val="nil"/>
            </w:tcBorders>
            <w:shd w:val="clear" w:color="auto" w:fill="FFFFFF" w:themeFill="background1"/>
            <w:vAlign w:val="center"/>
            <w:hideMark/>
          </w:tcPr>
          <w:p w:rsidR="00C32C72" w:rsidRPr="00C32C72" w:rsidRDefault="00C32C72">
            <w:pPr>
              <w:jc w:val="right"/>
              <w:rPr>
                <w:rFonts w:ascii="楷体" w:eastAsia="楷体" w:hAnsi="楷体"/>
                <w:color w:val="000000"/>
                <w:sz w:val="16"/>
                <w:szCs w:val="16"/>
              </w:rPr>
            </w:pPr>
            <w:r w:rsidRPr="00C32C72">
              <w:rPr>
                <w:rFonts w:ascii="楷体" w:eastAsia="楷体" w:hAnsi="楷体" w:hint="eastAsia"/>
                <w:color w:val="000000"/>
                <w:sz w:val="16"/>
                <w:szCs w:val="16"/>
              </w:rPr>
              <w:t>5.04</w:t>
            </w:r>
          </w:p>
        </w:tc>
      </w:tr>
      <w:tr w:rsidR="00C32C72"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32C72" w:rsidRPr="0032491D" w:rsidRDefault="00C32C72"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32C72" w:rsidRPr="00C32C72" w:rsidRDefault="00C32C72">
            <w:pPr>
              <w:rPr>
                <w:rFonts w:ascii="楷体" w:eastAsia="楷体" w:hAnsi="楷体"/>
                <w:color w:val="000000"/>
                <w:sz w:val="16"/>
                <w:szCs w:val="16"/>
              </w:rPr>
            </w:pPr>
            <w:r>
              <w:rPr>
                <w:rFonts w:ascii="楷体" w:eastAsia="楷体" w:hAnsi="楷体" w:hint="eastAsia"/>
                <w:color w:val="000000"/>
                <w:sz w:val="16"/>
                <w:szCs w:val="16"/>
              </w:rPr>
              <w:t>000742.</w:t>
            </w:r>
          </w:p>
        </w:tc>
        <w:tc>
          <w:tcPr>
            <w:tcW w:w="1701" w:type="dxa"/>
            <w:tcBorders>
              <w:top w:val="nil"/>
              <w:left w:val="nil"/>
              <w:bottom w:val="single" w:sz="8" w:space="0" w:color="000000"/>
              <w:right w:val="nil"/>
            </w:tcBorders>
            <w:shd w:val="clear" w:color="auto" w:fill="FFFFFF" w:themeFill="background1"/>
            <w:vAlign w:val="center"/>
            <w:hideMark/>
          </w:tcPr>
          <w:p w:rsidR="00C32C72" w:rsidRPr="00C32C72" w:rsidRDefault="00C32C72">
            <w:pPr>
              <w:rPr>
                <w:rFonts w:ascii="楷体" w:eastAsia="楷体" w:hAnsi="楷体"/>
                <w:color w:val="000000"/>
                <w:sz w:val="16"/>
                <w:szCs w:val="16"/>
              </w:rPr>
            </w:pPr>
            <w:r w:rsidRPr="00C32C72">
              <w:rPr>
                <w:rFonts w:ascii="楷体" w:eastAsia="楷体" w:hAnsi="楷体" w:hint="eastAsia"/>
                <w:color w:val="000000"/>
                <w:sz w:val="16"/>
                <w:szCs w:val="16"/>
              </w:rPr>
              <w:t>国泰新经济</w:t>
            </w:r>
          </w:p>
        </w:tc>
        <w:tc>
          <w:tcPr>
            <w:tcW w:w="743" w:type="dxa"/>
            <w:tcBorders>
              <w:top w:val="nil"/>
              <w:left w:val="nil"/>
              <w:bottom w:val="single" w:sz="8" w:space="0" w:color="000000"/>
              <w:right w:val="nil"/>
            </w:tcBorders>
            <w:shd w:val="clear" w:color="auto" w:fill="FFFFFF" w:themeFill="background1"/>
            <w:vAlign w:val="center"/>
            <w:hideMark/>
          </w:tcPr>
          <w:p w:rsidR="00C32C72" w:rsidRPr="00C32C72" w:rsidRDefault="00C32C72">
            <w:pPr>
              <w:jc w:val="right"/>
              <w:rPr>
                <w:rFonts w:ascii="楷体" w:eastAsia="楷体" w:hAnsi="楷体"/>
                <w:color w:val="000000"/>
                <w:sz w:val="16"/>
                <w:szCs w:val="16"/>
              </w:rPr>
            </w:pPr>
            <w:r w:rsidRPr="00C32C72">
              <w:rPr>
                <w:rFonts w:ascii="楷体" w:eastAsia="楷体" w:hAnsi="楷体" w:hint="eastAsia"/>
                <w:color w:val="000000"/>
                <w:sz w:val="16"/>
                <w:szCs w:val="16"/>
              </w:rPr>
              <w:t>2.69</w:t>
            </w:r>
          </w:p>
        </w:tc>
      </w:tr>
      <w:tr w:rsidR="00654571" w:rsidRPr="0032491D" w:rsidTr="0032555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54571" w:rsidRPr="0032491D" w:rsidRDefault="00654571"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hideMark/>
          </w:tcPr>
          <w:p w:rsidR="00654571" w:rsidRPr="00654571" w:rsidRDefault="00654571">
            <w:pPr>
              <w:rPr>
                <w:rFonts w:ascii="楷体" w:eastAsia="楷体" w:hAnsi="楷体"/>
                <w:color w:val="000000"/>
                <w:sz w:val="16"/>
                <w:szCs w:val="16"/>
              </w:rPr>
            </w:pPr>
            <w:r>
              <w:rPr>
                <w:rFonts w:ascii="楷体" w:eastAsia="楷体" w:hAnsi="楷体" w:hint="eastAsia"/>
                <w:color w:val="000000"/>
                <w:sz w:val="16"/>
                <w:szCs w:val="16"/>
              </w:rPr>
              <w:t>002440.</w:t>
            </w:r>
          </w:p>
        </w:tc>
        <w:tc>
          <w:tcPr>
            <w:tcW w:w="1701" w:type="dxa"/>
            <w:tcBorders>
              <w:top w:val="nil"/>
              <w:left w:val="nil"/>
              <w:bottom w:val="nil"/>
              <w:right w:val="nil"/>
            </w:tcBorders>
            <w:shd w:val="clear" w:color="auto" w:fill="F2F2F2" w:themeFill="background1" w:themeFillShade="F2"/>
            <w:hideMark/>
          </w:tcPr>
          <w:p w:rsidR="00654571" w:rsidRPr="00654571" w:rsidRDefault="00654571">
            <w:pPr>
              <w:rPr>
                <w:rFonts w:ascii="楷体" w:eastAsia="楷体" w:hAnsi="楷体"/>
                <w:color w:val="000000"/>
                <w:sz w:val="16"/>
                <w:szCs w:val="16"/>
              </w:rPr>
            </w:pPr>
            <w:r w:rsidRPr="00654571">
              <w:rPr>
                <w:rFonts w:ascii="楷体" w:eastAsia="楷体" w:hAnsi="楷体" w:hint="eastAsia"/>
                <w:color w:val="000000"/>
                <w:sz w:val="16"/>
                <w:szCs w:val="16"/>
              </w:rPr>
              <w:t>中加心安</w:t>
            </w:r>
          </w:p>
        </w:tc>
        <w:tc>
          <w:tcPr>
            <w:tcW w:w="743" w:type="dxa"/>
            <w:tcBorders>
              <w:top w:val="nil"/>
              <w:left w:val="nil"/>
              <w:bottom w:val="nil"/>
              <w:right w:val="nil"/>
            </w:tcBorders>
            <w:shd w:val="clear" w:color="auto" w:fill="F2F2F2" w:themeFill="background1" w:themeFillShade="F2"/>
            <w:vAlign w:val="center"/>
            <w:hideMark/>
          </w:tcPr>
          <w:p w:rsidR="00654571" w:rsidRPr="00654571" w:rsidRDefault="00654571">
            <w:pPr>
              <w:jc w:val="right"/>
              <w:rPr>
                <w:rFonts w:ascii="楷体" w:eastAsia="楷体" w:hAnsi="楷体"/>
                <w:color w:val="000000"/>
                <w:sz w:val="16"/>
                <w:szCs w:val="16"/>
              </w:rPr>
            </w:pPr>
            <w:r w:rsidRPr="00654571">
              <w:rPr>
                <w:rFonts w:ascii="楷体" w:eastAsia="楷体" w:hAnsi="楷体" w:hint="eastAsia"/>
                <w:color w:val="000000"/>
                <w:sz w:val="16"/>
                <w:szCs w:val="16"/>
              </w:rPr>
              <w:t>0.14</w:t>
            </w:r>
          </w:p>
        </w:tc>
      </w:tr>
      <w:tr w:rsidR="00654571" w:rsidRPr="0032491D" w:rsidTr="00FC5199">
        <w:trPr>
          <w:trHeight w:val="284"/>
        </w:trPr>
        <w:tc>
          <w:tcPr>
            <w:tcW w:w="709" w:type="dxa"/>
            <w:vMerge/>
            <w:tcBorders>
              <w:left w:val="nil"/>
              <w:right w:val="single" w:sz="8" w:space="0" w:color="000000"/>
            </w:tcBorders>
            <w:shd w:val="clear" w:color="auto" w:fill="F2F2F2" w:themeFill="background1" w:themeFillShade="F2"/>
            <w:vAlign w:val="center"/>
            <w:hideMark/>
          </w:tcPr>
          <w:p w:rsidR="00654571" w:rsidRPr="0032491D" w:rsidRDefault="00654571"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654571" w:rsidRPr="00654571" w:rsidRDefault="00654571">
            <w:pPr>
              <w:rPr>
                <w:rFonts w:ascii="楷体" w:eastAsia="楷体" w:hAnsi="楷体"/>
                <w:color w:val="000000"/>
                <w:sz w:val="16"/>
                <w:szCs w:val="16"/>
              </w:rPr>
            </w:pPr>
            <w:r>
              <w:rPr>
                <w:rFonts w:ascii="楷体" w:eastAsia="楷体" w:hAnsi="楷体" w:hint="eastAsia"/>
                <w:color w:val="000000"/>
                <w:sz w:val="16"/>
                <w:szCs w:val="16"/>
              </w:rPr>
              <w:t>519654.</w:t>
            </w:r>
          </w:p>
        </w:tc>
        <w:tc>
          <w:tcPr>
            <w:tcW w:w="1701" w:type="dxa"/>
            <w:tcBorders>
              <w:top w:val="nil"/>
              <w:left w:val="nil"/>
              <w:bottom w:val="nil"/>
              <w:right w:val="nil"/>
            </w:tcBorders>
            <w:shd w:val="clear" w:color="auto" w:fill="F2F2F2" w:themeFill="background1" w:themeFillShade="F2"/>
            <w:vAlign w:val="center"/>
            <w:hideMark/>
          </w:tcPr>
          <w:p w:rsidR="00654571" w:rsidRPr="00654571" w:rsidRDefault="00654571">
            <w:pPr>
              <w:rPr>
                <w:rFonts w:ascii="楷体" w:eastAsia="楷体" w:hAnsi="楷体"/>
                <w:color w:val="000000"/>
                <w:sz w:val="16"/>
                <w:szCs w:val="16"/>
              </w:rPr>
            </w:pPr>
            <w:r w:rsidRPr="00654571">
              <w:rPr>
                <w:rFonts w:ascii="楷体" w:eastAsia="楷体" w:hAnsi="楷体" w:hint="eastAsia"/>
                <w:color w:val="000000"/>
                <w:sz w:val="16"/>
                <w:szCs w:val="16"/>
              </w:rPr>
              <w:t>银河泽利保本</w:t>
            </w:r>
          </w:p>
        </w:tc>
        <w:tc>
          <w:tcPr>
            <w:tcW w:w="743" w:type="dxa"/>
            <w:tcBorders>
              <w:top w:val="nil"/>
              <w:left w:val="nil"/>
              <w:bottom w:val="nil"/>
              <w:right w:val="nil"/>
            </w:tcBorders>
            <w:shd w:val="clear" w:color="auto" w:fill="F2F2F2" w:themeFill="background1" w:themeFillShade="F2"/>
            <w:vAlign w:val="center"/>
            <w:hideMark/>
          </w:tcPr>
          <w:p w:rsidR="00654571" w:rsidRPr="00654571" w:rsidRDefault="00654571">
            <w:pPr>
              <w:jc w:val="right"/>
              <w:rPr>
                <w:rFonts w:ascii="楷体" w:eastAsia="楷体" w:hAnsi="楷体"/>
                <w:color w:val="000000"/>
                <w:sz w:val="16"/>
                <w:szCs w:val="16"/>
              </w:rPr>
            </w:pPr>
            <w:r w:rsidRPr="00654571">
              <w:rPr>
                <w:rFonts w:ascii="楷体" w:eastAsia="楷体" w:hAnsi="楷体" w:hint="eastAsia"/>
                <w:color w:val="000000"/>
                <w:sz w:val="16"/>
                <w:szCs w:val="16"/>
              </w:rPr>
              <w:t>0.10</w:t>
            </w:r>
          </w:p>
        </w:tc>
      </w:tr>
      <w:tr w:rsidR="00654571"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54571" w:rsidRPr="0032491D" w:rsidRDefault="00654571"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654571" w:rsidRPr="00654571" w:rsidRDefault="00654571">
            <w:pPr>
              <w:rPr>
                <w:rFonts w:ascii="楷体" w:eastAsia="楷体" w:hAnsi="楷体"/>
                <w:color w:val="000000"/>
                <w:sz w:val="16"/>
                <w:szCs w:val="16"/>
              </w:rPr>
            </w:pPr>
            <w:r>
              <w:rPr>
                <w:rFonts w:ascii="楷体" w:eastAsia="楷体" w:hAnsi="楷体" w:hint="eastAsia"/>
                <w:color w:val="000000"/>
                <w:sz w:val="16"/>
                <w:szCs w:val="16"/>
              </w:rPr>
              <w:t>000749.</w:t>
            </w:r>
          </w:p>
        </w:tc>
        <w:tc>
          <w:tcPr>
            <w:tcW w:w="1701" w:type="dxa"/>
            <w:tcBorders>
              <w:top w:val="nil"/>
              <w:left w:val="nil"/>
              <w:bottom w:val="single" w:sz="8" w:space="0" w:color="000000"/>
              <w:right w:val="nil"/>
            </w:tcBorders>
            <w:shd w:val="clear" w:color="auto" w:fill="F2F2F2" w:themeFill="background1" w:themeFillShade="F2"/>
            <w:vAlign w:val="center"/>
            <w:hideMark/>
          </w:tcPr>
          <w:p w:rsidR="00654571" w:rsidRPr="00654571" w:rsidRDefault="00654571">
            <w:pPr>
              <w:rPr>
                <w:rFonts w:ascii="楷体" w:eastAsia="楷体" w:hAnsi="楷体"/>
                <w:color w:val="000000"/>
                <w:sz w:val="16"/>
                <w:szCs w:val="16"/>
              </w:rPr>
            </w:pPr>
            <w:r w:rsidRPr="00654571">
              <w:rPr>
                <w:rFonts w:ascii="楷体" w:eastAsia="楷体" w:hAnsi="楷体" w:hint="eastAsia"/>
                <w:color w:val="000000"/>
                <w:sz w:val="16"/>
                <w:szCs w:val="16"/>
              </w:rPr>
              <w:t>国金通用</w:t>
            </w:r>
            <w:proofErr w:type="gramStart"/>
            <w:r w:rsidRPr="00654571">
              <w:rPr>
                <w:rFonts w:ascii="楷体" w:eastAsia="楷体" w:hAnsi="楷体" w:hint="eastAsia"/>
                <w:color w:val="000000"/>
                <w:sz w:val="16"/>
                <w:szCs w:val="16"/>
              </w:rPr>
              <w:t>鑫</w:t>
            </w:r>
            <w:proofErr w:type="gramEnd"/>
            <w:r w:rsidRPr="00654571">
              <w:rPr>
                <w:rFonts w:ascii="楷体" w:eastAsia="楷体" w:hAnsi="楷体" w:hint="eastAsia"/>
                <w:color w:val="000000"/>
                <w:sz w:val="16"/>
                <w:szCs w:val="16"/>
              </w:rPr>
              <w:t>安保本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654571" w:rsidRPr="00654571" w:rsidRDefault="00654571">
            <w:pPr>
              <w:jc w:val="right"/>
              <w:rPr>
                <w:rFonts w:ascii="楷体" w:eastAsia="楷体" w:hAnsi="楷体"/>
                <w:color w:val="000000"/>
                <w:sz w:val="16"/>
                <w:szCs w:val="16"/>
              </w:rPr>
            </w:pPr>
            <w:r w:rsidRPr="00654571">
              <w:rPr>
                <w:rFonts w:ascii="楷体" w:eastAsia="楷体" w:hAnsi="楷体" w:hint="eastAsia"/>
                <w:color w:val="000000"/>
                <w:sz w:val="16"/>
                <w:szCs w:val="16"/>
              </w:rPr>
              <w:t>0.10</w:t>
            </w:r>
          </w:p>
        </w:tc>
      </w:tr>
      <w:tr w:rsidR="00654571"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54571" w:rsidRPr="0032491D" w:rsidRDefault="00654571"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hideMark/>
          </w:tcPr>
          <w:p w:rsidR="00654571" w:rsidRPr="00654571" w:rsidRDefault="00654571">
            <w:pPr>
              <w:rPr>
                <w:rFonts w:ascii="楷体" w:eastAsia="楷体" w:hAnsi="楷体"/>
                <w:color w:val="000000"/>
                <w:sz w:val="16"/>
                <w:szCs w:val="16"/>
              </w:rPr>
            </w:pPr>
            <w:r>
              <w:rPr>
                <w:rFonts w:ascii="楷体" w:eastAsia="楷体" w:hAnsi="楷体" w:hint="eastAsia"/>
                <w:color w:val="000000"/>
                <w:sz w:val="16"/>
                <w:szCs w:val="16"/>
              </w:rPr>
              <w:t>002549.</w:t>
            </w:r>
          </w:p>
        </w:tc>
        <w:tc>
          <w:tcPr>
            <w:tcW w:w="1701" w:type="dxa"/>
            <w:tcBorders>
              <w:top w:val="nil"/>
              <w:left w:val="nil"/>
              <w:bottom w:val="nil"/>
              <w:right w:val="nil"/>
            </w:tcBorders>
            <w:shd w:val="clear" w:color="auto" w:fill="FFFFFF" w:themeFill="background1"/>
            <w:hideMark/>
          </w:tcPr>
          <w:p w:rsidR="00654571" w:rsidRPr="00654571" w:rsidRDefault="00654571">
            <w:pPr>
              <w:rPr>
                <w:rFonts w:ascii="楷体" w:eastAsia="楷体" w:hAnsi="楷体"/>
                <w:color w:val="000000"/>
                <w:sz w:val="16"/>
                <w:szCs w:val="16"/>
              </w:rPr>
            </w:pPr>
            <w:r w:rsidRPr="00654571">
              <w:rPr>
                <w:rFonts w:ascii="楷体" w:eastAsia="楷体" w:hAnsi="楷体" w:hint="eastAsia"/>
                <w:color w:val="000000"/>
                <w:sz w:val="16"/>
                <w:szCs w:val="16"/>
              </w:rPr>
              <w:t>嘉实稳</w:t>
            </w:r>
            <w:proofErr w:type="gramStart"/>
            <w:r w:rsidRPr="00654571">
              <w:rPr>
                <w:rFonts w:ascii="楷体" w:eastAsia="楷体" w:hAnsi="楷体" w:hint="eastAsia"/>
                <w:color w:val="000000"/>
                <w:sz w:val="16"/>
                <w:szCs w:val="16"/>
              </w:rPr>
              <w:t>祥纯债</w:t>
            </w:r>
            <w:proofErr w:type="gramEnd"/>
          </w:p>
        </w:tc>
        <w:tc>
          <w:tcPr>
            <w:tcW w:w="743" w:type="dxa"/>
            <w:tcBorders>
              <w:top w:val="nil"/>
              <w:left w:val="nil"/>
              <w:bottom w:val="nil"/>
              <w:right w:val="nil"/>
            </w:tcBorders>
            <w:shd w:val="clear" w:color="auto" w:fill="FFFFFF" w:themeFill="background1"/>
            <w:vAlign w:val="center"/>
            <w:hideMark/>
          </w:tcPr>
          <w:p w:rsidR="00654571" w:rsidRPr="00654571" w:rsidRDefault="00654571">
            <w:pPr>
              <w:jc w:val="right"/>
              <w:rPr>
                <w:rFonts w:ascii="楷体" w:eastAsia="楷体" w:hAnsi="楷体"/>
                <w:color w:val="000000"/>
                <w:sz w:val="16"/>
                <w:szCs w:val="16"/>
              </w:rPr>
            </w:pPr>
            <w:r w:rsidRPr="00654571">
              <w:rPr>
                <w:rFonts w:ascii="楷体" w:eastAsia="楷体" w:hAnsi="楷体" w:hint="eastAsia"/>
                <w:color w:val="000000"/>
                <w:sz w:val="16"/>
                <w:szCs w:val="16"/>
              </w:rPr>
              <w:t>1.20</w:t>
            </w:r>
          </w:p>
        </w:tc>
      </w:tr>
      <w:tr w:rsidR="00654571"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654571" w:rsidRPr="0032491D" w:rsidRDefault="00654571"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654571" w:rsidRPr="00654571" w:rsidRDefault="00654571">
            <w:pPr>
              <w:rPr>
                <w:rFonts w:ascii="楷体" w:eastAsia="楷体" w:hAnsi="楷体"/>
                <w:color w:val="000000"/>
                <w:sz w:val="16"/>
                <w:szCs w:val="16"/>
              </w:rPr>
            </w:pPr>
            <w:r>
              <w:rPr>
                <w:rFonts w:ascii="楷体" w:eastAsia="楷体" w:hAnsi="楷体" w:hint="eastAsia"/>
                <w:color w:val="000000"/>
                <w:sz w:val="16"/>
                <w:szCs w:val="16"/>
              </w:rPr>
              <w:t>000277.</w:t>
            </w:r>
          </w:p>
        </w:tc>
        <w:tc>
          <w:tcPr>
            <w:tcW w:w="1701" w:type="dxa"/>
            <w:tcBorders>
              <w:top w:val="nil"/>
              <w:left w:val="nil"/>
              <w:bottom w:val="nil"/>
              <w:right w:val="nil"/>
            </w:tcBorders>
            <w:shd w:val="clear" w:color="auto" w:fill="FFFFFF" w:themeFill="background1"/>
            <w:vAlign w:val="center"/>
            <w:hideMark/>
          </w:tcPr>
          <w:p w:rsidR="00654571" w:rsidRPr="00654571" w:rsidRDefault="00654571">
            <w:pPr>
              <w:rPr>
                <w:rFonts w:ascii="楷体" w:eastAsia="楷体" w:hAnsi="楷体"/>
                <w:color w:val="000000"/>
                <w:sz w:val="16"/>
                <w:szCs w:val="16"/>
              </w:rPr>
            </w:pPr>
            <w:r w:rsidRPr="00654571">
              <w:rPr>
                <w:rFonts w:ascii="楷体" w:eastAsia="楷体" w:hAnsi="楷体" w:hint="eastAsia"/>
                <w:color w:val="000000"/>
                <w:sz w:val="16"/>
                <w:szCs w:val="16"/>
              </w:rPr>
              <w:t>博时双月薪</w:t>
            </w:r>
          </w:p>
        </w:tc>
        <w:tc>
          <w:tcPr>
            <w:tcW w:w="743" w:type="dxa"/>
            <w:tcBorders>
              <w:top w:val="nil"/>
              <w:left w:val="nil"/>
              <w:bottom w:val="nil"/>
              <w:right w:val="nil"/>
            </w:tcBorders>
            <w:shd w:val="clear" w:color="auto" w:fill="FFFFFF" w:themeFill="background1"/>
            <w:vAlign w:val="center"/>
            <w:hideMark/>
          </w:tcPr>
          <w:p w:rsidR="00654571" w:rsidRPr="00654571" w:rsidRDefault="00654571">
            <w:pPr>
              <w:jc w:val="right"/>
              <w:rPr>
                <w:rFonts w:ascii="楷体" w:eastAsia="楷体" w:hAnsi="楷体"/>
                <w:color w:val="000000"/>
                <w:sz w:val="16"/>
                <w:szCs w:val="16"/>
              </w:rPr>
            </w:pPr>
            <w:r w:rsidRPr="00654571">
              <w:rPr>
                <w:rFonts w:ascii="楷体" w:eastAsia="楷体" w:hAnsi="楷体" w:hint="eastAsia"/>
                <w:color w:val="000000"/>
                <w:sz w:val="16"/>
                <w:szCs w:val="16"/>
              </w:rPr>
              <w:t>0.96</w:t>
            </w:r>
          </w:p>
        </w:tc>
      </w:tr>
      <w:tr w:rsidR="00654571"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54571" w:rsidRPr="0032491D" w:rsidRDefault="00654571"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654571" w:rsidRPr="00654571" w:rsidRDefault="00654571">
            <w:pPr>
              <w:rPr>
                <w:rFonts w:ascii="楷体" w:eastAsia="楷体" w:hAnsi="楷体"/>
                <w:color w:val="000000"/>
                <w:sz w:val="16"/>
                <w:szCs w:val="16"/>
              </w:rPr>
            </w:pPr>
            <w:r>
              <w:rPr>
                <w:rFonts w:ascii="楷体" w:eastAsia="楷体" w:hAnsi="楷体" w:hint="eastAsia"/>
                <w:color w:val="000000"/>
                <w:sz w:val="16"/>
                <w:szCs w:val="16"/>
              </w:rPr>
              <w:t>000151.</w:t>
            </w:r>
          </w:p>
        </w:tc>
        <w:tc>
          <w:tcPr>
            <w:tcW w:w="1701" w:type="dxa"/>
            <w:tcBorders>
              <w:top w:val="nil"/>
              <w:left w:val="nil"/>
              <w:bottom w:val="single" w:sz="8" w:space="0" w:color="000000"/>
              <w:right w:val="nil"/>
            </w:tcBorders>
            <w:shd w:val="clear" w:color="auto" w:fill="FFFFFF" w:themeFill="background1"/>
            <w:vAlign w:val="center"/>
            <w:hideMark/>
          </w:tcPr>
          <w:p w:rsidR="00654571" w:rsidRPr="00654571" w:rsidRDefault="00654571">
            <w:pPr>
              <w:rPr>
                <w:rFonts w:ascii="楷体" w:eastAsia="楷体" w:hAnsi="楷体"/>
                <w:color w:val="000000"/>
                <w:sz w:val="16"/>
                <w:szCs w:val="16"/>
              </w:rPr>
            </w:pPr>
            <w:proofErr w:type="gramStart"/>
            <w:r w:rsidRPr="00654571">
              <w:rPr>
                <w:rFonts w:ascii="楷体" w:eastAsia="楷体" w:hAnsi="楷体" w:hint="eastAsia"/>
                <w:color w:val="000000"/>
                <w:sz w:val="16"/>
                <w:szCs w:val="16"/>
              </w:rPr>
              <w:t>诺安信用</w:t>
            </w:r>
            <w:proofErr w:type="gramEnd"/>
            <w:r w:rsidRPr="00654571">
              <w:rPr>
                <w:rFonts w:ascii="楷体" w:eastAsia="楷体" w:hAnsi="楷体" w:hint="eastAsia"/>
                <w:color w:val="000000"/>
                <w:sz w:val="16"/>
                <w:szCs w:val="16"/>
              </w:rPr>
              <w:t>债</w:t>
            </w:r>
          </w:p>
        </w:tc>
        <w:tc>
          <w:tcPr>
            <w:tcW w:w="743" w:type="dxa"/>
            <w:tcBorders>
              <w:top w:val="nil"/>
              <w:left w:val="nil"/>
              <w:bottom w:val="single" w:sz="8" w:space="0" w:color="000000"/>
              <w:right w:val="nil"/>
            </w:tcBorders>
            <w:shd w:val="clear" w:color="auto" w:fill="FFFFFF" w:themeFill="background1"/>
            <w:vAlign w:val="center"/>
            <w:hideMark/>
          </w:tcPr>
          <w:p w:rsidR="00654571" w:rsidRPr="00654571" w:rsidRDefault="00654571">
            <w:pPr>
              <w:jc w:val="right"/>
              <w:rPr>
                <w:rFonts w:ascii="楷体" w:eastAsia="楷体" w:hAnsi="楷体"/>
                <w:color w:val="000000"/>
                <w:sz w:val="16"/>
                <w:szCs w:val="16"/>
              </w:rPr>
            </w:pPr>
            <w:r w:rsidRPr="00654571">
              <w:rPr>
                <w:rFonts w:ascii="楷体" w:eastAsia="楷体" w:hAnsi="楷体" w:hint="eastAsia"/>
                <w:color w:val="000000"/>
                <w:sz w:val="16"/>
                <w:szCs w:val="16"/>
              </w:rPr>
              <w:t>0.96</w:t>
            </w:r>
          </w:p>
        </w:tc>
      </w:tr>
      <w:tr w:rsidR="00D401CE" w:rsidRPr="0032491D" w:rsidTr="00FC519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D401CE" w:rsidRPr="0032491D" w:rsidRDefault="00D401CE"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D401CE" w:rsidRPr="00D401CE" w:rsidRDefault="00D401CE">
            <w:pPr>
              <w:rPr>
                <w:rFonts w:ascii="楷体" w:eastAsia="楷体" w:hAnsi="楷体"/>
                <w:color w:val="000000"/>
                <w:sz w:val="16"/>
                <w:szCs w:val="16"/>
              </w:rPr>
            </w:pPr>
            <w:r>
              <w:rPr>
                <w:rFonts w:ascii="楷体" w:eastAsia="楷体" w:hAnsi="楷体" w:hint="eastAsia"/>
                <w:color w:val="000000"/>
                <w:sz w:val="16"/>
                <w:szCs w:val="16"/>
              </w:rPr>
              <w:t>485107.</w:t>
            </w:r>
          </w:p>
        </w:tc>
        <w:tc>
          <w:tcPr>
            <w:tcW w:w="1701" w:type="dxa"/>
            <w:tcBorders>
              <w:top w:val="nil"/>
              <w:left w:val="nil"/>
              <w:bottom w:val="nil"/>
              <w:right w:val="nil"/>
            </w:tcBorders>
            <w:shd w:val="clear" w:color="auto" w:fill="F2F2F2" w:themeFill="background1" w:themeFillShade="F2"/>
            <w:vAlign w:val="center"/>
            <w:hideMark/>
          </w:tcPr>
          <w:p w:rsidR="00D401CE" w:rsidRPr="00D401CE" w:rsidRDefault="00D401CE">
            <w:pPr>
              <w:rPr>
                <w:rFonts w:ascii="楷体" w:eastAsia="楷体" w:hAnsi="楷体"/>
                <w:color w:val="000000"/>
                <w:sz w:val="16"/>
                <w:szCs w:val="16"/>
              </w:rPr>
            </w:pPr>
            <w:proofErr w:type="gramStart"/>
            <w:r w:rsidRPr="00D401CE">
              <w:rPr>
                <w:rFonts w:ascii="楷体" w:eastAsia="楷体" w:hAnsi="楷体" w:hint="eastAsia"/>
                <w:color w:val="000000"/>
                <w:sz w:val="16"/>
                <w:szCs w:val="16"/>
              </w:rPr>
              <w:t>工银瑞信</w:t>
            </w:r>
            <w:proofErr w:type="gramEnd"/>
            <w:r w:rsidRPr="00D401CE">
              <w:rPr>
                <w:rFonts w:ascii="楷体" w:eastAsia="楷体" w:hAnsi="楷体" w:hint="eastAsia"/>
                <w:color w:val="000000"/>
                <w:sz w:val="16"/>
                <w:szCs w:val="16"/>
              </w:rPr>
              <w:t>信用添利A</w:t>
            </w:r>
          </w:p>
        </w:tc>
        <w:tc>
          <w:tcPr>
            <w:tcW w:w="743" w:type="dxa"/>
            <w:tcBorders>
              <w:top w:val="nil"/>
              <w:left w:val="nil"/>
              <w:bottom w:val="nil"/>
              <w:right w:val="nil"/>
            </w:tcBorders>
            <w:shd w:val="clear" w:color="auto" w:fill="F2F2F2" w:themeFill="background1" w:themeFillShade="F2"/>
            <w:vAlign w:val="center"/>
            <w:hideMark/>
          </w:tcPr>
          <w:p w:rsidR="00D401CE" w:rsidRPr="00D401CE" w:rsidRDefault="00D401CE">
            <w:pPr>
              <w:jc w:val="right"/>
              <w:rPr>
                <w:rFonts w:ascii="楷体" w:eastAsia="楷体" w:hAnsi="楷体"/>
                <w:color w:val="000000"/>
                <w:sz w:val="16"/>
                <w:szCs w:val="16"/>
              </w:rPr>
            </w:pPr>
            <w:r w:rsidRPr="00D401CE">
              <w:rPr>
                <w:rFonts w:ascii="楷体" w:eastAsia="楷体" w:hAnsi="楷体" w:hint="eastAsia"/>
                <w:color w:val="000000"/>
                <w:sz w:val="16"/>
                <w:szCs w:val="16"/>
              </w:rPr>
              <w:t>1.19</w:t>
            </w:r>
          </w:p>
        </w:tc>
      </w:tr>
      <w:tr w:rsidR="00D401CE" w:rsidRPr="0032491D" w:rsidTr="00FC5199">
        <w:trPr>
          <w:trHeight w:val="284"/>
        </w:trPr>
        <w:tc>
          <w:tcPr>
            <w:tcW w:w="709" w:type="dxa"/>
            <w:vMerge/>
            <w:tcBorders>
              <w:left w:val="nil"/>
              <w:right w:val="single" w:sz="8" w:space="0" w:color="000000"/>
            </w:tcBorders>
            <w:shd w:val="clear" w:color="auto" w:fill="F2F2F2" w:themeFill="background1" w:themeFillShade="F2"/>
            <w:vAlign w:val="center"/>
            <w:hideMark/>
          </w:tcPr>
          <w:p w:rsidR="00D401CE" w:rsidRPr="0032491D" w:rsidRDefault="00D401CE"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D401CE" w:rsidRPr="00D401CE" w:rsidRDefault="00D401CE">
            <w:pPr>
              <w:rPr>
                <w:rFonts w:ascii="楷体" w:eastAsia="楷体" w:hAnsi="楷体"/>
                <w:color w:val="000000"/>
                <w:sz w:val="16"/>
                <w:szCs w:val="16"/>
              </w:rPr>
            </w:pPr>
            <w:r>
              <w:rPr>
                <w:rFonts w:ascii="楷体" w:eastAsia="楷体" w:hAnsi="楷体" w:hint="eastAsia"/>
                <w:color w:val="000000"/>
                <w:sz w:val="16"/>
                <w:szCs w:val="16"/>
              </w:rPr>
              <w:t>160513.</w:t>
            </w:r>
          </w:p>
        </w:tc>
        <w:tc>
          <w:tcPr>
            <w:tcW w:w="1701" w:type="dxa"/>
            <w:tcBorders>
              <w:top w:val="nil"/>
              <w:left w:val="nil"/>
              <w:bottom w:val="nil"/>
              <w:right w:val="nil"/>
            </w:tcBorders>
            <w:shd w:val="clear" w:color="auto" w:fill="F2F2F2" w:themeFill="background1" w:themeFillShade="F2"/>
            <w:vAlign w:val="center"/>
            <w:hideMark/>
          </w:tcPr>
          <w:p w:rsidR="00D401CE" w:rsidRPr="00D401CE" w:rsidRDefault="00D401CE">
            <w:pPr>
              <w:rPr>
                <w:rFonts w:ascii="楷体" w:eastAsia="楷体" w:hAnsi="楷体"/>
                <w:color w:val="000000"/>
                <w:sz w:val="16"/>
                <w:szCs w:val="16"/>
              </w:rPr>
            </w:pPr>
            <w:r w:rsidRPr="00D401CE">
              <w:rPr>
                <w:rFonts w:ascii="楷体" w:eastAsia="楷体" w:hAnsi="楷体" w:hint="eastAsia"/>
                <w:color w:val="000000"/>
                <w:sz w:val="16"/>
                <w:szCs w:val="16"/>
              </w:rPr>
              <w:t>博时稳健回报A</w:t>
            </w:r>
          </w:p>
        </w:tc>
        <w:tc>
          <w:tcPr>
            <w:tcW w:w="743" w:type="dxa"/>
            <w:tcBorders>
              <w:top w:val="nil"/>
              <w:left w:val="nil"/>
              <w:bottom w:val="nil"/>
              <w:right w:val="nil"/>
            </w:tcBorders>
            <w:shd w:val="clear" w:color="auto" w:fill="F2F2F2" w:themeFill="background1" w:themeFillShade="F2"/>
            <w:vAlign w:val="center"/>
            <w:hideMark/>
          </w:tcPr>
          <w:p w:rsidR="00D401CE" w:rsidRPr="00D401CE" w:rsidRDefault="00D401CE">
            <w:pPr>
              <w:jc w:val="right"/>
              <w:rPr>
                <w:rFonts w:ascii="楷体" w:eastAsia="楷体" w:hAnsi="楷体"/>
                <w:color w:val="000000"/>
                <w:sz w:val="16"/>
                <w:szCs w:val="16"/>
              </w:rPr>
            </w:pPr>
            <w:r w:rsidRPr="00D401CE">
              <w:rPr>
                <w:rFonts w:ascii="楷体" w:eastAsia="楷体" w:hAnsi="楷体" w:hint="eastAsia"/>
                <w:color w:val="000000"/>
                <w:sz w:val="16"/>
                <w:szCs w:val="16"/>
              </w:rPr>
              <w:t>1.13</w:t>
            </w:r>
          </w:p>
        </w:tc>
      </w:tr>
      <w:tr w:rsidR="00D401CE"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D401CE" w:rsidRPr="0032491D" w:rsidRDefault="00D401CE"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D401CE" w:rsidRPr="00D401CE" w:rsidRDefault="00D401CE">
            <w:pPr>
              <w:rPr>
                <w:rFonts w:ascii="楷体" w:eastAsia="楷体" w:hAnsi="楷体"/>
                <w:color w:val="000000"/>
                <w:sz w:val="16"/>
                <w:szCs w:val="16"/>
              </w:rPr>
            </w:pPr>
            <w:r>
              <w:rPr>
                <w:rFonts w:ascii="楷体" w:eastAsia="楷体" w:hAnsi="楷体" w:hint="eastAsia"/>
                <w:color w:val="000000"/>
                <w:sz w:val="16"/>
                <w:szCs w:val="16"/>
              </w:rPr>
              <w:t>050106.</w:t>
            </w:r>
          </w:p>
        </w:tc>
        <w:tc>
          <w:tcPr>
            <w:tcW w:w="1701" w:type="dxa"/>
            <w:tcBorders>
              <w:top w:val="nil"/>
              <w:left w:val="nil"/>
              <w:bottom w:val="single" w:sz="8" w:space="0" w:color="000000"/>
              <w:right w:val="nil"/>
            </w:tcBorders>
            <w:shd w:val="clear" w:color="auto" w:fill="F2F2F2" w:themeFill="background1" w:themeFillShade="F2"/>
            <w:vAlign w:val="center"/>
            <w:hideMark/>
          </w:tcPr>
          <w:p w:rsidR="00D401CE" w:rsidRPr="00D401CE" w:rsidRDefault="00D401CE">
            <w:pPr>
              <w:rPr>
                <w:rFonts w:ascii="楷体" w:eastAsia="楷体" w:hAnsi="楷体"/>
                <w:color w:val="000000"/>
                <w:sz w:val="16"/>
                <w:szCs w:val="16"/>
              </w:rPr>
            </w:pPr>
            <w:r w:rsidRPr="00D401CE">
              <w:rPr>
                <w:rFonts w:ascii="楷体" w:eastAsia="楷体" w:hAnsi="楷体" w:hint="eastAsia"/>
                <w:color w:val="000000"/>
                <w:sz w:val="16"/>
                <w:szCs w:val="16"/>
              </w:rPr>
              <w:t>博时稳定价值A</w:t>
            </w:r>
          </w:p>
        </w:tc>
        <w:tc>
          <w:tcPr>
            <w:tcW w:w="743" w:type="dxa"/>
            <w:tcBorders>
              <w:top w:val="nil"/>
              <w:left w:val="nil"/>
              <w:bottom w:val="single" w:sz="8" w:space="0" w:color="000000"/>
              <w:right w:val="nil"/>
            </w:tcBorders>
            <w:shd w:val="clear" w:color="auto" w:fill="F2F2F2" w:themeFill="background1" w:themeFillShade="F2"/>
            <w:vAlign w:val="center"/>
            <w:hideMark/>
          </w:tcPr>
          <w:p w:rsidR="00D401CE" w:rsidRPr="00D401CE" w:rsidRDefault="00D401CE">
            <w:pPr>
              <w:jc w:val="right"/>
              <w:rPr>
                <w:rFonts w:ascii="楷体" w:eastAsia="楷体" w:hAnsi="楷体"/>
                <w:color w:val="000000"/>
                <w:sz w:val="16"/>
                <w:szCs w:val="16"/>
              </w:rPr>
            </w:pPr>
            <w:r w:rsidRPr="00D401CE">
              <w:rPr>
                <w:rFonts w:ascii="楷体" w:eastAsia="楷体" w:hAnsi="楷体" w:hint="eastAsia"/>
                <w:color w:val="000000"/>
                <w:sz w:val="16"/>
                <w:szCs w:val="16"/>
              </w:rPr>
              <w:t>0.77</w:t>
            </w:r>
          </w:p>
        </w:tc>
      </w:tr>
      <w:tr w:rsidR="00D401CE"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D401CE" w:rsidRPr="0032491D" w:rsidRDefault="00D401CE"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D401CE" w:rsidRPr="00D401CE" w:rsidRDefault="00D401CE">
            <w:pPr>
              <w:rPr>
                <w:rFonts w:ascii="楷体" w:eastAsia="楷体" w:hAnsi="楷体"/>
                <w:color w:val="000000"/>
                <w:sz w:val="16"/>
                <w:szCs w:val="16"/>
              </w:rPr>
            </w:pPr>
            <w:r>
              <w:rPr>
                <w:rFonts w:ascii="楷体" w:eastAsia="楷体" w:hAnsi="楷体" w:hint="eastAsia"/>
                <w:color w:val="000000"/>
                <w:sz w:val="16"/>
                <w:szCs w:val="16"/>
              </w:rPr>
              <w:t>050111.</w:t>
            </w:r>
          </w:p>
        </w:tc>
        <w:tc>
          <w:tcPr>
            <w:tcW w:w="1701" w:type="dxa"/>
            <w:tcBorders>
              <w:top w:val="nil"/>
              <w:left w:val="nil"/>
              <w:bottom w:val="nil"/>
              <w:right w:val="nil"/>
            </w:tcBorders>
            <w:shd w:val="clear" w:color="auto" w:fill="FFFFFF" w:themeFill="background1"/>
            <w:vAlign w:val="center"/>
            <w:hideMark/>
          </w:tcPr>
          <w:p w:rsidR="00D401CE" w:rsidRPr="00D401CE" w:rsidRDefault="00D401CE">
            <w:pPr>
              <w:rPr>
                <w:rFonts w:ascii="楷体" w:eastAsia="楷体" w:hAnsi="楷体"/>
                <w:color w:val="000000"/>
                <w:sz w:val="16"/>
                <w:szCs w:val="16"/>
              </w:rPr>
            </w:pPr>
            <w:r w:rsidRPr="00D401CE">
              <w:rPr>
                <w:rFonts w:ascii="楷体" w:eastAsia="楷体" w:hAnsi="楷体" w:hint="eastAsia"/>
                <w:color w:val="000000"/>
                <w:sz w:val="16"/>
                <w:szCs w:val="16"/>
              </w:rPr>
              <w:t>博时信用债券C</w:t>
            </w:r>
          </w:p>
        </w:tc>
        <w:tc>
          <w:tcPr>
            <w:tcW w:w="743" w:type="dxa"/>
            <w:tcBorders>
              <w:top w:val="nil"/>
              <w:left w:val="nil"/>
              <w:bottom w:val="nil"/>
              <w:right w:val="nil"/>
            </w:tcBorders>
            <w:shd w:val="clear" w:color="auto" w:fill="FFFFFF" w:themeFill="background1"/>
            <w:vAlign w:val="center"/>
            <w:hideMark/>
          </w:tcPr>
          <w:p w:rsidR="00D401CE" w:rsidRPr="00D401CE" w:rsidRDefault="00D401CE">
            <w:pPr>
              <w:jc w:val="right"/>
              <w:rPr>
                <w:rFonts w:ascii="楷体" w:eastAsia="楷体" w:hAnsi="楷体"/>
                <w:color w:val="000000"/>
                <w:sz w:val="16"/>
                <w:szCs w:val="16"/>
              </w:rPr>
            </w:pPr>
            <w:r w:rsidRPr="00D401CE">
              <w:rPr>
                <w:rFonts w:ascii="楷体" w:eastAsia="楷体" w:hAnsi="楷体" w:hint="eastAsia"/>
                <w:color w:val="000000"/>
                <w:sz w:val="16"/>
                <w:szCs w:val="16"/>
              </w:rPr>
              <w:t>0.69</w:t>
            </w:r>
          </w:p>
        </w:tc>
      </w:tr>
      <w:tr w:rsidR="00D401CE"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D401CE" w:rsidRPr="0032491D" w:rsidRDefault="00D401CE"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D401CE" w:rsidRPr="00D401CE" w:rsidRDefault="00D401CE">
            <w:pPr>
              <w:rPr>
                <w:rFonts w:ascii="楷体" w:eastAsia="楷体" w:hAnsi="楷体"/>
                <w:color w:val="000000"/>
                <w:sz w:val="16"/>
                <w:szCs w:val="16"/>
              </w:rPr>
            </w:pPr>
            <w:r>
              <w:rPr>
                <w:rFonts w:ascii="楷体" w:eastAsia="楷体" w:hAnsi="楷体" w:hint="eastAsia"/>
                <w:color w:val="000000"/>
                <w:sz w:val="16"/>
                <w:szCs w:val="16"/>
              </w:rPr>
              <w:t>720002.</w:t>
            </w:r>
          </w:p>
        </w:tc>
        <w:tc>
          <w:tcPr>
            <w:tcW w:w="1701" w:type="dxa"/>
            <w:tcBorders>
              <w:top w:val="nil"/>
              <w:left w:val="nil"/>
              <w:bottom w:val="nil"/>
              <w:right w:val="nil"/>
            </w:tcBorders>
            <w:shd w:val="clear" w:color="auto" w:fill="FFFFFF" w:themeFill="background1"/>
            <w:vAlign w:val="center"/>
            <w:hideMark/>
          </w:tcPr>
          <w:p w:rsidR="00D401CE" w:rsidRPr="00D401CE" w:rsidRDefault="00D401CE">
            <w:pPr>
              <w:rPr>
                <w:rFonts w:ascii="楷体" w:eastAsia="楷体" w:hAnsi="楷体"/>
                <w:color w:val="000000"/>
                <w:sz w:val="16"/>
                <w:szCs w:val="16"/>
              </w:rPr>
            </w:pPr>
            <w:r w:rsidRPr="00D401CE">
              <w:rPr>
                <w:rFonts w:ascii="楷体" w:eastAsia="楷体" w:hAnsi="楷体" w:hint="eastAsia"/>
                <w:color w:val="000000"/>
                <w:sz w:val="16"/>
                <w:szCs w:val="16"/>
              </w:rPr>
              <w:t>财通稳健增长</w:t>
            </w:r>
          </w:p>
        </w:tc>
        <w:tc>
          <w:tcPr>
            <w:tcW w:w="743" w:type="dxa"/>
            <w:tcBorders>
              <w:top w:val="nil"/>
              <w:left w:val="nil"/>
              <w:bottom w:val="nil"/>
              <w:right w:val="nil"/>
            </w:tcBorders>
            <w:shd w:val="clear" w:color="auto" w:fill="FFFFFF" w:themeFill="background1"/>
            <w:vAlign w:val="center"/>
            <w:hideMark/>
          </w:tcPr>
          <w:p w:rsidR="00D401CE" w:rsidRPr="00D401CE" w:rsidRDefault="00D401CE">
            <w:pPr>
              <w:jc w:val="right"/>
              <w:rPr>
                <w:rFonts w:ascii="楷体" w:eastAsia="楷体" w:hAnsi="楷体"/>
                <w:color w:val="000000"/>
                <w:sz w:val="16"/>
                <w:szCs w:val="16"/>
              </w:rPr>
            </w:pPr>
            <w:r w:rsidRPr="00D401CE">
              <w:rPr>
                <w:rFonts w:ascii="楷体" w:eastAsia="楷体" w:hAnsi="楷体" w:hint="eastAsia"/>
                <w:color w:val="000000"/>
                <w:sz w:val="16"/>
                <w:szCs w:val="16"/>
              </w:rPr>
              <w:t>0.63</w:t>
            </w:r>
          </w:p>
        </w:tc>
      </w:tr>
      <w:tr w:rsidR="00D401CE"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D401CE" w:rsidRPr="0032491D" w:rsidRDefault="00D401CE"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D401CE" w:rsidRPr="00D401CE" w:rsidRDefault="00D401CE">
            <w:pPr>
              <w:rPr>
                <w:rFonts w:ascii="楷体" w:eastAsia="楷体" w:hAnsi="楷体"/>
                <w:color w:val="000000"/>
                <w:sz w:val="16"/>
                <w:szCs w:val="16"/>
              </w:rPr>
            </w:pPr>
            <w:r>
              <w:rPr>
                <w:rFonts w:ascii="楷体" w:eastAsia="楷体" w:hAnsi="楷体" w:hint="eastAsia"/>
                <w:color w:val="000000"/>
                <w:sz w:val="16"/>
                <w:szCs w:val="16"/>
              </w:rPr>
              <w:t>519519.</w:t>
            </w:r>
          </w:p>
        </w:tc>
        <w:tc>
          <w:tcPr>
            <w:tcW w:w="1701" w:type="dxa"/>
            <w:tcBorders>
              <w:top w:val="nil"/>
              <w:left w:val="nil"/>
              <w:bottom w:val="single" w:sz="8" w:space="0" w:color="000000"/>
              <w:right w:val="nil"/>
            </w:tcBorders>
            <w:shd w:val="clear" w:color="auto" w:fill="FFFFFF" w:themeFill="background1"/>
            <w:vAlign w:val="center"/>
            <w:hideMark/>
          </w:tcPr>
          <w:p w:rsidR="00D401CE" w:rsidRPr="00D401CE" w:rsidRDefault="00D401CE">
            <w:pPr>
              <w:rPr>
                <w:rFonts w:ascii="楷体" w:eastAsia="楷体" w:hAnsi="楷体"/>
                <w:color w:val="000000"/>
                <w:sz w:val="16"/>
                <w:szCs w:val="16"/>
              </w:rPr>
            </w:pPr>
            <w:r w:rsidRPr="00D401CE">
              <w:rPr>
                <w:rFonts w:ascii="楷体" w:eastAsia="楷体" w:hAnsi="楷体" w:hint="eastAsia"/>
                <w:color w:val="000000"/>
                <w:sz w:val="16"/>
                <w:szCs w:val="16"/>
              </w:rPr>
              <w:t>华泰柏瑞增利A</w:t>
            </w:r>
          </w:p>
        </w:tc>
        <w:tc>
          <w:tcPr>
            <w:tcW w:w="743" w:type="dxa"/>
            <w:tcBorders>
              <w:top w:val="nil"/>
              <w:left w:val="nil"/>
              <w:bottom w:val="single" w:sz="8" w:space="0" w:color="000000"/>
              <w:right w:val="nil"/>
            </w:tcBorders>
            <w:shd w:val="clear" w:color="auto" w:fill="FFFFFF" w:themeFill="background1"/>
            <w:vAlign w:val="center"/>
            <w:hideMark/>
          </w:tcPr>
          <w:p w:rsidR="00D401CE" w:rsidRPr="00D401CE" w:rsidRDefault="00D401CE">
            <w:pPr>
              <w:jc w:val="right"/>
              <w:rPr>
                <w:rFonts w:ascii="楷体" w:eastAsia="楷体" w:hAnsi="楷体"/>
                <w:color w:val="000000"/>
                <w:sz w:val="16"/>
                <w:szCs w:val="16"/>
              </w:rPr>
            </w:pPr>
            <w:r w:rsidRPr="00D401CE">
              <w:rPr>
                <w:rFonts w:ascii="楷体" w:eastAsia="楷体" w:hAnsi="楷体" w:hint="eastAsia"/>
                <w:color w:val="000000"/>
                <w:sz w:val="16"/>
                <w:szCs w:val="16"/>
              </w:rPr>
              <w:t>0.53</w:t>
            </w:r>
          </w:p>
        </w:tc>
      </w:tr>
      <w:tr w:rsidR="00D94F5B" w:rsidRPr="0032491D" w:rsidTr="00FC519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D94F5B" w:rsidRPr="0032491D" w:rsidRDefault="00D94F5B"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D94F5B" w:rsidRPr="00D94F5B" w:rsidRDefault="00D94F5B">
            <w:pPr>
              <w:rPr>
                <w:rFonts w:ascii="楷体" w:eastAsia="楷体" w:hAnsi="楷体"/>
                <w:color w:val="000000"/>
                <w:sz w:val="16"/>
                <w:szCs w:val="16"/>
              </w:rPr>
            </w:pPr>
            <w:r>
              <w:rPr>
                <w:rFonts w:ascii="楷体" w:eastAsia="楷体" w:hAnsi="楷体" w:hint="eastAsia"/>
                <w:color w:val="000000"/>
                <w:sz w:val="16"/>
                <w:szCs w:val="16"/>
              </w:rPr>
              <w:t>160720.</w:t>
            </w:r>
          </w:p>
        </w:tc>
        <w:tc>
          <w:tcPr>
            <w:tcW w:w="1701" w:type="dxa"/>
            <w:tcBorders>
              <w:top w:val="nil"/>
              <w:left w:val="nil"/>
              <w:bottom w:val="nil"/>
              <w:right w:val="nil"/>
            </w:tcBorders>
            <w:shd w:val="clear" w:color="auto" w:fill="F2F2F2" w:themeFill="background1" w:themeFillShade="F2"/>
            <w:vAlign w:val="center"/>
            <w:hideMark/>
          </w:tcPr>
          <w:p w:rsidR="00D94F5B" w:rsidRPr="00D94F5B" w:rsidRDefault="00D94F5B">
            <w:pPr>
              <w:rPr>
                <w:rFonts w:ascii="楷体" w:eastAsia="楷体" w:hAnsi="楷体"/>
                <w:color w:val="000000"/>
                <w:sz w:val="16"/>
                <w:szCs w:val="16"/>
              </w:rPr>
            </w:pPr>
            <w:r w:rsidRPr="00D94F5B">
              <w:rPr>
                <w:rFonts w:ascii="楷体" w:eastAsia="楷体" w:hAnsi="楷体" w:hint="eastAsia"/>
                <w:color w:val="000000"/>
                <w:sz w:val="16"/>
                <w:szCs w:val="16"/>
              </w:rPr>
              <w:t>嘉实中</w:t>
            </w:r>
            <w:proofErr w:type="gramStart"/>
            <w:r w:rsidRPr="00D94F5B">
              <w:rPr>
                <w:rFonts w:ascii="楷体" w:eastAsia="楷体" w:hAnsi="楷体" w:hint="eastAsia"/>
                <w:color w:val="000000"/>
                <w:sz w:val="16"/>
                <w:szCs w:val="16"/>
              </w:rPr>
              <w:t>证中期企业</w:t>
            </w:r>
            <w:proofErr w:type="gramEnd"/>
            <w:r w:rsidRPr="00D94F5B">
              <w:rPr>
                <w:rFonts w:ascii="楷体" w:eastAsia="楷体" w:hAnsi="楷体" w:hint="eastAsia"/>
                <w:color w:val="000000"/>
                <w:sz w:val="16"/>
                <w:szCs w:val="16"/>
              </w:rPr>
              <w:t>债A</w:t>
            </w:r>
          </w:p>
        </w:tc>
        <w:tc>
          <w:tcPr>
            <w:tcW w:w="743" w:type="dxa"/>
            <w:tcBorders>
              <w:top w:val="nil"/>
              <w:left w:val="nil"/>
              <w:bottom w:val="nil"/>
              <w:right w:val="nil"/>
            </w:tcBorders>
            <w:shd w:val="clear" w:color="auto" w:fill="F2F2F2" w:themeFill="background1" w:themeFillShade="F2"/>
            <w:vAlign w:val="center"/>
            <w:hideMark/>
          </w:tcPr>
          <w:p w:rsidR="00D94F5B" w:rsidRPr="00D94F5B" w:rsidRDefault="00D94F5B">
            <w:pPr>
              <w:jc w:val="right"/>
              <w:rPr>
                <w:rFonts w:ascii="楷体" w:eastAsia="楷体" w:hAnsi="楷体"/>
                <w:color w:val="000000"/>
                <w:sz w:val="16"/>
                <w:szCs w:val="16"/>
              </w:rPr>
            </w:pPr>
            <w:r w:rsidRPr="00D94F5B">
              <w:rPr>
                <w:rFonts w:ascii="楷体" w:eastAsia="楷体" w:hAnsi="楷体" w:hint="eastAsia"/>
                <w:color w:val="000000"/>
                <w:sz w:val="16"/>
                <w:szCs w:val="16"/>
              </w:rPr>
              <w:t>0.55</w:t>
            </w:r>
          </w:p>
        </w:tc>
      </w:tr>
      <w:tr w:rsidR="00D94F5B" w:rsidRPr="0032491D" w:rsidTr="00FC5199">
        <w:trPr>
          <w:trHeight w:val="74"/>
        </w:trPr>
        <w:tc>
          <w:tcPr>
            <w:tcW w:w="709" w:type="dxa"/>
            <w:vMerge/>
            <w:tcBorders>
              <w:left w:val="nil"/>
              <w:right w:val="single" w:sz="8" w:space="0" w:color="000000"/>
            </w:tcBorders>
            <w:shd w:val="clear" w:color="auto" w:fill="F2F2F2" w:themeFill="background1" w:themeFillShade="F2"/>
            <w:vAlign w:val="center"/>
            <w:hideMark/>
          </w:tcPr>
          <w:p w:rsidR="00D94F5B" w:rsidRPr="0032491D" w:rsidRDefault="00D94F5B"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D94F5B" w:rsidRPr="00D94F5B" w:rsidRDefault="00D94F5B">
            <w:pPr>
              <w:rPr>
                <w:rFonts w:ascii="楷体" w:eastAsia="楷体" w:hAnsi="楷体"/>
                <w:color w:val="000000"/>
                <w:sz w:val="16"/>
                <w:szCs w:val="16"/>
              </w:rPr>
            </w:pPr>
            <w:r>
              <w:rPr>
                <w:rFonts w:ascii="楷体" w:eastAsia="楷体" w:hAnsi="楷体" w:hint="eastAsia"/>
                <w:color w:val="000000"/>
                <w:sz w:val="16"/>
                <w:szCs w:val="16"/>
              </w:rPr>
              <w:t>160721.</w:t>
            </w:r>
          </w:p>
        </w:tc>
        <w:tc>
          <w:tcPr>
            <w:tcW w:w="1701" w:type="dxa"/>
            <w:tcBorders>
              <w:top w:val="nil"/>
              <w:left w:val="nil"/>
              <w:bottom w:val="nil"/>
              <w:right w:val="nil"/>
            </w:tcBorders>
            <w:shd w:val="clear" w:color="auto" w:fill="F2F2F2" w:themeFill="background1" w:themeFillShade="F2"/>
            <w:vAlign w:val="center"/>
            <w:hideMark/>
          </w:tcPr>
          <w:p w:rsidR="00D94F5B" w:rsidRPr="00D94F5B" w:rsidRDefault="00D94F5B">
            <w:pPr>
              <w:rPr>
                <w:rFonts w:ascii="楷体" w:eastAsia="楷体" w:hAnsi="楷体"/>
                <w:color w:val="000000"/>
                <w:sz w:val="16"/>
                <w:szCs w:val="16"/>
              </w:rPr>
            </w:pPr>
            <w:r w:rsidRPr="00D94F5B">
              <w:rPr>
                <w:rFonts w:ascii="楷体" w:eastAsia="楷体" w:hAnsi="楷体" w:hint="eastAsia"/>
                <w:color w:val="000000"/>
                <w:sz w:val="16"/>
                <w:szCs w:val="16"/>
              </w:rPr>
              <w:t>嘉实中</w:t>
            </w:r>
            <w:proofErr w:type="gramStart"/>
            <w:r w:rsidRPr="00D94F5B">
              <w:rPr>
                <w:rFonts w:ascii="楷体" w:eastAsia="楷体" w:hAnsi="楷体" w:hint="eastAsia"/>
                <w:color w:val="000000"/>
                <w:sz w:val="16"/>
                <w:szCs w:val="16"/>
              </w:rPr>
              <w:t>证中期企业</w:t>
            </w:r>
            <w:proofErr w:type="gramEnd"/>
            <w:r w:rsidRPr="00D94F5B">
              <w:rPr>
                <w:rFonts w:ascii="楷体" w:eastAsia="楷体" w:hAnsi="楷体" w:hint="eastAsia"/>
                <w:color w:val="000000"/>
                <w:sz w:val="16"/>
                <w:szCs w:val="16"/>
              </w:rPr>
              <w:t>债C</w:t>
            </w:r>
          </w:p>
        </w:tc>
        <w:tc>
          <w:tcPr>
            <w:tcW w:w="743" w:type="dxa"/>
            <w:tcBorders>
              <w:top w:val="nil"/>
              <w:left w:val="nil"/>
              <w:bottom w:val="nil"/>
              <w:right w:val="nil"/>
            </w:tcBorders>
            <w:shd w:val="clear" w:color="auto" w:fill="F2F2F2" w:themeFill="background1" w:themeFillShade="F2"/>
            <w:vAlign w:val="center"/>
            <w:hideMark/>
          </w:tcPr>
          <w:p w:rsidR="00D94F5B" w:rsidRPr="00D94F5B" w:rsidRDefault="00D94F5B">
            <w:pPr>
              <w:jc w:val="right"/>
              <w:rPr>
                <w:rFonts w:ascii="楷体" w:eastAsia="楷体" w:hAnsi="楷体"/>
                <w:color w:val="000000"/>
                <w:sz w:val="16"/>
                <w:szCs w:val="16"/>
              </w:rPr>
            </w:pPr>
            <w:r w:rsidRPr="00D94F5B">
              <w:rPr>
                <w:rFonts w:ascii="楷体" w:eastAsia="楷体" w:hAnsi="楷体" w:hint="eastAsia"/>
                <w:color w:val="000000"/>
                <w:sz w:val="16"/>
                <w:szCs w:val="16"/>
              </w:rPr>
              <w:t>0.54</w:t>
            </w:r>
          </w:p>
        </w:tc>
      </w:tr>
      <w:tr w:rsidR="00D94F5B"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D94F5B" w:rsidRPr="0032491D" w:rsidRDefault="00D94F5B"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D94F5B" w:rsidRPr="00D94F5B" w:rsidRDefault="00D94F5B">
            <w:pPr>
              <w:rPr>
                <w:rFonts w:ascii="楷体" w:eastAsia="楷体" w:hAnsi="楷体"/>
                <w:color w:val="000000"/>
                <w:sz w:val="16"/>
                <w:szCs w:val="16"/>
              </w:rPr>
            </w:pPr>
            <w:r>
              <w:rPr>
                <w:rFonts w:ascii="楷体" w:eastAsia="楷体" w:hAnsi="楷体" w:hint="eastAsia"/>
                <w:color w:val="000000"/>
                <w:sz w:val="16"/>
                <w:szCs w:val="16"/>
              </w:rPr>
              <w:t>161822.</w:t>
            </w:r>
          </w:p>
        </w:tc>
        <w:tc>
          <w:tcPr>
            <w:tcW w:w="1701" w:type="dxa"/>
            <w:tcBorders>
              <w:top w:val="nil"/>
              <w:left w:val="nil"/>
              <w:bottom w:val="single" w:sz="8" w:space="0" w:color="000000"/>
              <w:right w:val="nil"/>
            </w:tcBorders>
            <w:shd w:val="clear" w:color="auto" w:fill="F2F2F2" w:themeFill="background1" w:themeFillShade="F2"/>
            <w:vAlign w:val="center"/>
            <w:hideMark/>
          </w:tcPr>
          <w:p w:rsidR="00D94F5B" w:rsidRPr="00D94F5B" w:rsidRDefault="00D94F5B">
            <w:pPr>
              <w:rPr>
                <w:rFonts w:ascii="楷体" w:eastAsia="楷体" w:hAnsi="楷体"/>
                <w:color w:val="000000"/>
                <w:sz w:val="16"/>
                <w:szCs w:val="16"/>
              </w:rPr>
            </w:pPr>
            <w:r w:rsidRPr="00D94F5B">
              <w:rPr>
                <w:rFonts w:ascii="楷体" w:eastAsia="楷体" w:hAnsi="楷体" w:hint="eastAsia"/>
                <w:color w:val="000000"/>
                <w:sz w:val="16"/>
                <w:szCs w:val="16"/>
              </w:rPr>
              <w:t>银华中证中票50C</w:t>
            </w:r>
          </w:p>
        </w:tc>
        <w:tc>
          <w:tcPr>
            <w:tcW w:w="743" w:type="dxa"/>
            <w:tcBorders>
              <w:top w:val="nil"/>
              <w:left w:val="nil"/>
              <w:bottom w:val="single" w:sz="8" w:space="0" w:color="000000"/>
              <w:right w:val="nil"/>
            </w:tcBorders>
            <w:shd w:val="clear" w:color="auto" w:fill="F2F2F2" w:themeFill="background1" w:themeFillShade="F2"/>
            <w:vAlign w:val="center"/>
            <w:hideMark/>
          </w:tcPr>
          <w:p w:rsidR="00D94F5B" w:rsidRPr="00D94F5B" w:rsidRDefault="00D94F5B">
            <w:pPr>
              <w:jc w:val="right"/>
              <w:rPr>
                <w:rFonts w:ascii="楷体" w:eastAsia="楷体" w:hAnsi="楷体"/>
                <w:color w:val="000000"/>
                <w:sz w:val="16"/>
                <w:szCs w:val="16"/>
              </w:rPr>
            </w:pPr>
            <w:r w:rsidRPr="00D94F5B">
              <w:rPr>
                <w:rFonts w:ascii="楷体" w:eastAsia="楷体" w:hAnsi="楷体" w:hint="eastAsia"/>
                <w:color w:val="000000"/>
                <w:sz w:val="16"/>
                <w:szCs w:val="16"/>
              </w:rPr>
              <w:t>0.42</w:t>
            </w:r>
          </w:p>
        </w:tc>
      </w:tr>
      <w:tr w:rsidR="002851A0"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851A0" w:rsidRPr="0032491D" w:rsidRDefault="002851A0"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货币基金</w:t>
            </w:r>
            <w:r w:rsidRPr="0032491D">
              <w:rPr>
                <w:rFonts w:ascii="楷体" w:eastAsia="楷体" w:hAnsi="楷体"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Pr>
                <w:rFonts w:ascii="楷体" w:eastAsia="楷体" w:hAnsi="楷体" w:hint="eastAsia"/>
                <w:color w:val="000000"/>
                <w:sz w:val="16"/>
                <w:szCs w:val="16"/>
              </w:rPr>
              <w:t>080011.</w:t>
            </w:r>
          </w:p>
        </w:tc>
        <w:tc>
          <w:tcPr>
            <w:tcW w:w="1701"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sidRPr="002851A0">
              <w:rPr>
                <w:rFonts w:ascii="楷体" w:eastAsia="楷体" w:hAnsi="楷体" w:hint="eastAsia"/>
                <w:color w:val="000000"/>
                <w:sz w:val="16"/>
                <w:szCs w:val="16"/>
              </w:rPr>
              <w:t>长盛货币</w:t>
            </w:r>
          </w:p>
        </w:tc>
        <w:tc>
          <w:tcPr>
            <w:tcW w:w="743" w:type="dxa"/>
            <w:tcBorders>
              <w:top w:val="nil"/>
              <w:left w:val="nil"/>
              <w:bottom w:val="nil"/>
              <w:right w:val="nil"/>
            </w:tcBorders>
            <w:shd w:val="clear" w:color="auto" w:fill="FFFFFF" w:themeFill="background1"/>
            <w:vAlign w:val="center"/>
            <w:hideMark/>
          </w:tcPr>
          <w:p w:rsidR="002851A0" w:rsidRPr="002851A0" w:rsidRDefault="002851A0">
            <w:pPr>
              <w:jc w:val="right"/>
              <w:rPr>
                <w:rFonts w:ascii="楷体" w:eastAsia="楷体" w:hAnsi="楷体"/>
                <w:color w:val="000000"/>
                <w:sz w:val="16"/>
                <w:szCs w:val="16"/>
              </w:rPr>
            </w:pPr>
            <w:r w:rsidRPr="002851A0">
              <w:rPr>
                <w:rFonts w:ascii="楷体" w:eastAsia="楷体" w:hAnsi="楷体" w:hint="eastAsia"/>
                <w:color w:val="000000"/>
                <w:sz w:val="16"/>
                <w:szCs w:val="16"/>
              </w:rPr>
              <w:t>9.62</w:t>
            </w:r>
          </w:p>
        </w:tc>
      </w:tr>
      <w:tr w:rsidR="002851A0"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2851A0" w:rsidRPr="0032491D" w:rsidRDefault="002851A0"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Pr>
                <w:rFonts w:ascii="楷体" w:eastAsia="楷体" w:hAnsi="楷体" w:hint="eastAsia"/>
                <w:color w:val="000000"/>
                <w:sz w:val="16"/>
                <w:szCs w:val="16"/>
              </w:rPr>
              <w:t>001931.</w:t>
            </w:r>
          </w:p>
        </w:tc>
        <w:tc>
          <w:tcPr>
            <w:tcW w:w="1701"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sidRPr="002851A0">
              <w:rPr>
                <w:rFonts w:ascii="楷体" w:eastAsia="楷体" w:hAnsi="楷体" w:hint="eastAsia"/>
                <w:color w:val="000000"/>
                <w:sz w:val="16"/>
                <w:szCs w:val="16"/>
              </w:rPr>
              <w:t>国寿安保鑫钱包</w:t>
            </w:r>
          </w:p>
        </w:tc>
        <w:tc>
          <w:tcPr>
            <w:tcW w:w="743" w:type="dxa"/>
            <w:tcBorders>
              <w:top w:val="nil"/>
              <w:left w:val="nil"/>
              <w:bottom w:val="nil"/>
              <w:right w:val="nil"/>
            </w:tcBorders>
            <w:shd w:val="clear" w:color="auto" w:fill="FFFFFF" w:themeFill="background1"/>
            <w:vAlign w:val="center"/>
            <w:hideMark/>
          </w:tcPr>
          <w:p w:rsidR="002851A0" w:rsidRPr="002851A0" w:rsidRDefault="002851A0">
            <w:pPr>
              <w:jc w:val="right"/>
              <w:rPr>
                <w:rFonts w:ascii="楷体" w:eastAsia="楷体" w:hAnsi="楷体"/>
                <w:color w:val="000000"/>
                <w:sz w:val="16"/>
                <w:szCs w:val="16"/>
              </w:rPr>
            </w:pPr>
            <w:r w:rsidRPr="002851A0">
              <w:rPr>
                <w:rFonts w:ascii="楷体" w:eastAsia="楷体" w:hAnsi="楷体" w:hint="eastAsia"/>
                <w:color w:val="000000"/>
                <w:sz w:val="16"/>
                <w:szCs w:val="16"/>
              </w:rPr>
              <w:t>6.49</w:t>
            </w:r>
          </w:p>
        </w:tc>
      </w:tr>
      <w:tr w:rsidR="002851A0"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851A0" w:rsidRPr="0032491D" w:rsidRDefault="002851A0"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Pr>
                <w:rFonts w:ascii="楷体" w:eastAsia="楷体" w:hAnsi="楷体" w:hint="eastAsia"/>
                <w:color w:val="000000"/>
                <w:sz w:val="16"/>
                <w:szCs w:val="16"/>
              </w:rPr>
              <w:t>001698.</w:t>
            </w:r>
          </w:p>
        </w:tc>
        <w:tc>
          <w:tcPr>
            <w:tcW w:w="1701" w:type="dxa"/>
            <w:tcBorders>
              <w:top w:val="nil"/>
              <w:left w:val="nil"/>
              <w:bottom w:val="single" w:sz="8" w:space="0" w:color="000000"/>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sidRPr="002851A0">
              <w:rPr>
                <w:rFonts w:ascii="楷体" w:eastAsia="楷体" w:hAnsi="楷体" w:hint="eastAsia"/>
                <w:color w:val="000000"/>
                <w:sz w:val="16"/>
                <w:szCs w:val="16"/>
              </w:rPr>
              <w:t>大成</w:t>
            </w:r>
            <w:proofErr w:type="gramStart"/>
            <w:r w:rsidRPr="002851A0">
              <w:rPr>
                <w:rFonts w:ascii="楷体" w:eastAsia="楷体" w:hAnsi="楷体" w:hint="eastAsia"/>
                <w:color w:val="000000"/>
                <w:sz w:val="16"/>
                <w:szCs w:val="16"/>
              </w:rPr>
              <w:t>恒丰宝</w:t>
            </w:r>
            <w:proofErr w:type="gramEnd"/>
            <w:r w:rsidRPr="002851A0">
              <w:rPr>
                <w:rFonts w:ascii="楷体" w:eastAsia="楷体" w:hAnsi="楷体" w:hint="eastAsia"/>
                <w:color w:val="000000"/>
                <w:sz w:val="16"/>
                <w:szCs w:val="16"/>
              </w:rPr>
              <w:t>B</w:t>
            </w:r>
          </w:p>
        </w:tc>
        <w:tc>
          <w:tcPr>
            <w:tcW w:w="743" w:type="dxa"/>
            <w:tcBorders>
              <w:top w:val="nil"/>
              <w:left w:val="nil"/>
              <w:bottom w:val="single" w:sz="8" w:space="0" w:color="000000"/>
              <w:right w:val="nil"/>
            </w:tcBorders>
            <w:shd w:val="clear" w:color="auto" w:fill="FFFFFF" w:themeFill="background1"/>
            <w:vAlign w:val="center"/>
            <w:hideMark/>
          </w:tcPr>
          <w:p w:rsidR="002851A0" w:rsidRPr="002851A0" w:rsidRDefault="002851A0">
            <w:pPr>
              <w:jc w:val="right"/>
              <w:rPr>
                <w:rFonts w:ascii="楷体" w:eastAsia="楷体" w:hAnsi="楷体"/>
                <w:color w:val="000000"/>
                <w:sz w:val="16"/>
                <w:szCs w:val="16"/>
              </w:rPr>
            </w:pPr>
            <w:r w:rsidRPr="002851A0">
              <w:rPr>
                <w:rFonts w:ascii="楷体" w:eastAsia="楷体" w:hAnsi="楷体" w:hint="eastAsia"/>
                <w:color w:val="000000"/>
                <w:sz w:val="16"/>
                <w:szCs w:val="16"/>
              </w:rPr>
              <w:t>6.44</w:t>
            </w:r>
          </w:p>
        </w:tc>
      </w:tr>
      <w:tr w:rsidR="007A39E5" w:rsidRPr="0032491D" w:rsidTr="00FC5199">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7A39E5" w:rsidRPr="0032491D" w:rsidRDefault="007A39E5"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000218.</w:t>
            </w:r>
          </w:p>
        </w:tc>
        <w:tc>
          <w:tcPr>
            <w:tcW w:w="1701" w:type="dxa"/>
            <w:tcBorders>
              <w:top w:val="nil"/>
              <w:left w:val="nil"/>
              <w:bottom w:val="single" w:sz="8" w:space="0" w:color="000000"/>
              <w:right w:val="nil"/>
            </w:tcBorders>
            <w:shd w:val="clear" w:color="auto" w:fill="F2F2F2" w:themeFill="background1" w:themeFillShade="F2"/>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国泰黄金ETF联接</w:t>
            </w:r>
          </w:p>
        </w:tc>
        <w:tc>
          <w:tcPr>
            <w:tcW w:w="743" w:type="dxa"/>
            <w:tcBorders>
              <w:top w:val="nil"/>
              <w:left w:val="nil"/>
              <w:bottom w:val="single" w:sz="8" w:space="0" w:color="000000"/>
              <w:right w:val="nil"/>
            </w:tcBorders>
            <w:shd w:val="clear" w:color="auto" w:fill="F2F2F2" w:themeFill="background1" w:themeFillShade="F2"/>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-0.18</w:t>
            </w:r>
          </w:p>
        </w:tc>
      </w:tr>
      <w:tr w:rsidR="007A39E5"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7A39E5" w:rsidRPr="0032491D" w:rsidRDefault="007A39E5"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160216.</w:t>
            </w:r>
          </w:p>
        </w:tc>
        <w:tc>
          <w:tcPr>
            <w:tcW w:w="1701"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国泰大宗商品</w:t>
            </w:r>
          </w:p>
        </w:tc>
        <w:tc>
          <w:tcPr>
            <w:tcW w:w="743" w:type="dxa"/>
            <w:tcBorders>
              <w:top w:val="nil"/>
              <w:left w:val="nil"/>
              <w:bottom w:val="nil"/>
              <w:right w:val="nil"/>
            </w:tcBorders>
            <w:shd w:val="clear" w:color="auto" w:fill="FFFFFF" w:themeFill="background1"/>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5.13</w:t>
            </w:r>
          </w:p>
        </w:tc>
      </w:tr>
      <w:tr w:rsidR="007A39E5"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7A39E5" w:rsidRPr="0032491D" w:rsidRDefault="007A39E5"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165513.</w:t>
            </w:r>
          </w:p>
        </w:tc>
        <w:tc>
          <w:tcPr>
            <w:tcW w:w="1701"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信</w:t>
            </w:r>
            <w:proofErr w:type="gramStart"/>
            <w:r w:rsidRPr="007A39E5">
              <w:rPr>
                <w:rFonts w:ascii="楷体" w:eastAsia="楷体" w:hAnsi="楷体" w:hint="eastAsia"/>
                <w:color w:val="000000"/>
                <w:sz w:val="16"/>
                <w:szCs w:val="16"/>
              </w:rPr>
              <w:t>诚全球</w:t>
            </w:r>
            <w:proofErr w:type="gramEnd"/>
            <w:r w:rsidRPr="007A39E5">
              <w:rPr>
                <w:rFonts w:ascii="楷体" w:eastAsia="楷体" w:hAnsi="楷体" w:hint="eastAsia"/>
                <w:color w:val="000000"/>
                <w:sz w:val="16"/>
                <w:szCs w:val="16"/>
              </w:rPr>
              <w:t>商品主题</w:t>
            </w:r>
          </w:p>
        </w:tc>
        <w:tc>
          <w:tcPr>
            <w:tcW w:w="743" w:type="dxa"/>
            <w:tcBorders>
              <w:top w:val="nil"/>
              <w:left w:val="nil"/>
              <w:bottom w:val="nil"/>
              <w:right w:val="nil"/>
            </w:tcBorders>
            <w:shd w:val="clear" w:color="auto" w:fill="FFFFFF" w:themeFill="background1"/>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2.40</w:t>
            </w:r>
          </w:p>
        </w:tc>
      </w:tr>
      <w:tr w:rsidR="007A39E5" w:rsidRPr="0032491D" w:rsidTr="00FC5199">
        <w:trPr>
          <w:trHeight w:val="284"/>
        </w:trPr>
        <w:tc>
          <w:tcPr>
            <w:tcW w:w="709" w:type="dxa"/>
            <w:vMerge/>
            <w:tcBorders>
              <w:left w:val="nil"/>
              <w:bottom w:val="single" w:sz="12" w:space="0" w:color="auto"/>
              <w:right w:val="single" w:sz="8" w:space="0" w:color="000000"/>
            </w:tcBorders>
            <w:shd w:val="clear" w:color="auto" w:fill="FFFFFF" w:themeFill="background1"/>
            <w:vAlign w:val="center"/>
            <w:hideMark/>
          </w:tcPr>
          <w:p w:rsidR="007A39E5" w:rsidRPr="0032491D" w:rsidRDefault="007A39E5"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12" w:space="0" w:color="auto"/>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270027.</w:t>
            </w:r>
          </w:p>
        </w:tc>
        <w:tc>
          <w:tcPr>
            <w:tcW w:w="1701" w:type="dxa"/>
            <w:tcBorders>
              <w:top w:val="nil"/>
              <w:left w:val="nil"/>
              <w:bottom w:val="single" w:sz="12" w:space="0" w:color="auto"/>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广发标</w:t>
            </w:r>
            <w:proofErr w:type="gramStart"/>
            <w:r w:rsidRPr="007A39E5">
              <w:rPr>
                <w:rFonts w:ascii="楷体" w:eastAsia="楷体" w:hAnsi="楷体" w:hint="eastAsia"/>
                <w:color w:val="000000"/>
                <w:sz w:val="16"/>
                <w:szCs w:val="16"/>
              </w:rPr>
              <w:t>普全球</w:t>
            </w:r>
            <w:proofErr w:type="gramEnd"/>
            <w:r w:rsidRPr="007A39E5">
              <w:rPr>
                <w:rFonts w:ascii="楷体" w:eastAsia="楷体" w:hAnsi="楷体" w:hint="eastAsia"/>
                <w:color w:val="000000"/>
                <w:sz w:val="16"/>
                <w:szCs w:val="16"/>
              </w:rPr>
              <w:t>农业人民币</w:t>
            </w:r>
          </w:p>
        </w:tc>
        <w:tc>
          <w:tcPr>
            <w:tcW w:w="743" w:type="dxa"/>
            <w:tcBorders>
              <w:top w:val="nil"/>
              <w:left w:val="nil"/>
              <w:bottom w:val="single" w:sz="12" w:space="0" w:color="auto"/>
              <w:right w:val="nil"/>
            </w:tcBorders>
            <w:shd w:val="clear" w:color="auto" w:fill="FFFFFF" w:themeFill="background1"/>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1.37</w:t>
            </w:r>
          </w:p>
        </w:tc>
      </w:tr>
      <w:tr w:rsidR="0053273E" w:rsidRPr="0032491D" w:rsidTr="00FC5199">
        <w:trPr>
          <w:trHeight w:val="284"/>
        </w:trPr>
        <w:tc>
          <w:tcPr>
            <w:tcW w:w="3970" w:type="dxa"/>
            <w:gridSpan w:val="4"/>
            <w:tcBorders>
              <w:top w:val="single" w:sz="12" w:space="0" w:color="auto"/>
              <w:left w:val="nil"/>
            </w:tcBorders>
            <w:shd w:val="clear" w:color="auto" w:fill="FFFFFF" w:themeFill="background1"/>
            <w:vAlign w:val="center"/>
          </w:tcPr>
          <w:p w:rsidR="0053273E" w:rsidRPr="0032491D" w:rsidRDefault="0053273E" w:rsidP="00FC5199">
            <w:pPr>
              <w:rPr>
                <w:rFonts w:ascii="楷体" w:eastAsia="楷体" w:hAnsi="楷体" w:cs="宋体"/>
                <w:b/>
                <w:bCs/>
                <w:color w:val="000000"/>
                <w:kern w:val="0"/>
                <w:sz w:val="16"/>
                <w:szCs w:val="16"/>
                <w:lang w:val="en-GB"/>
              </w:rPr>
            </w:pPr>
            <w:r w:rsidRPr="0032491D">
              <w:rPr>
                <w:rFonts w:ascii="楷体" w:eastAsia="楷体" w:hAnsi="楷体" w:cs="宋体" w:hint="eastAsia"/>
                <w:b/>
                <w:bCs/>
                <w:color w:val="000000"/>
                <w:kern w:val="0"/>
                <w:sz w:val="16"/>
                <w:szCs w:val="16"/>
                <w:lang w:val="en-GB"/>
              </w:rPr>
              <w:t>数据来源：</w:t>
            </w:r>
            <w:proofErr w:type="gramStart"/>
            <w:r w:rsidRPr="0032491D">
              <w:rPr>
                <w:rFonts w:ascii="楷体" w:eastAsia="楷体" w:hAnsi="楷体" w:cs="宋体" w:hint="eastAsia"/>
                <w:b/>
                <w:bCs/>
                <w:color w:val="000000"/>
                <w:kern w:val="0"/>
                <w:sz w:val="16"/>
                <w:szCs w:val="16"/>
                <w:lang w:val="en-GB"/>
              </w:rPr>
              <w:t>凯</w:t>
            </w:r>
            <w:proofErr w:type="gramEnd"/>
            <w:r w:rsidRPr="0032491D">
              <w:rPr>
                <w:rFonts w:ascii="楷体" w:eastAsia="楷体" w:hAnsi="楷体" w:cs="宋体" w:hint="eastAsia"/>
                <w:b/>
                <w:bCs/>
                <w:color w:val="000000"/>
                <w:kern w:val="0"/>
                <w:sz w:val="16"/>
                <w:szCs w:val="16"/>
                <w:lang w:val="en-GB"/>
              </w:rPr>
              <w:t>石、WIND</w:t>
            </w:r>
          </w:p>
        </w:tc>
      </w:tr>
    </w:tbl>
    <w:p w:rsidR="0053273E" w:rsidRPr="0032491D" w:rsidRDefault="0053273E" w:rsidP="0053273E">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b/>
          <w:color w:val="996600"/>
          <w:sz w:val="32"/>
          <w:szCs w:val="28"/>
        </w:rPr>
        <w:t>未来基金投资策略</w:t>
      </w:r>
    </w:p>
    <w:p w:rsidR="0053273E" w:rsidRPr="0032491D" w:rsidRDefault="0053273E" w:rsidP="0053273E">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proofErr w:type="gramStart"/>
      <w:r w:rsidRPr="00BE3229">
        <w:rPr>
          <w:rFonts w:ascii="楷体" w:eastAsia="楷体" w:hAnsi="楷体" w:cs="Arial"/>
          <w:b/>
          <w:color w:val="auto"/>
          <w:sz w:val="20"/>
          <w:szCs w:val="20"/>
        </w:rPr>
        <w:t>股混基金</w:t>
      </w:r>
      <w:proofErr w:type="gramEnd"/>
      <w:r w:rsidRPr="00BE3229">
        <w:rPr>
          <w:rFonts w:ascii="楷体" w:eastAsia="楷体" w:hAnsi="楷体" w:cs="Arial"/>
          <w:b/>
          <w:color w:val="auto"/>
          <w:sz w:val="20"/>
          <w:szCs w:val="20"/>
        </w:rPr>
        <w:t>投资</w:t>
      </w:r>
      <w:r w:rsidRPr="00BE3229">
        <w:rPr>
          <w:rFonts w:ascii="楷体" w:eastAsia="楷体" w:hAnsi="楷体" w:cs="Arial" w:hint="eastAsia"/>
          <w:b/>
          <w:color w:val="auto"/>
          <w:sz w:val="20"/>
          <w:szCs w:val="20"/>
        </w:rPr>
        <w:t>中低</w:t>
      </w:r>
      <w:proofErr w:type="gramStart"/>
      <w:r w:rsidRPr="00BE3229">
        <w:rPr>
          <w:rFonts w:ascii="楷体" w:eastAsia="楷体" w:hAnsi="楷体" w:cs="Arial" w:hint="eastAsia"/>
          <w:b/>
          <w:color w:val="auto"/>
          <w:sz w:val="20"/>
          <w:szCs w:val="20"/>
        </w:rPr>
        <w:t>仓位</w:t>
      </w:r>
      <w:proofErr w:type="gramEnd"/>
      <w:r w:rsidRPr="00BE3229">
        <w:rPr>
          <w:rFonts w:ascii="楷体" w:eastAsia="楷体" w:hAnsi="楷体" w:cs="Arial" w:hint="eastAsia"/>
          <w:b/>
          <w:color w:val="auto"/>
          <w:sz w:val="20"/>
          <w:szCs w:val="20"/>
        </w:rPr>
        <w:t>，精选业绩为王的稳健成长风格。</w:t>
      </w:r>
      <w:r w:rsidRPr="00BE3229">
        <w:rPr>
          <w:rFonts w:ascii="楷体" w:eastAsia="楷体" w:hAnsi="楷体" w:cs="Arial" w:hint="eastAsia"/>
          <w:color w:val="auto"/>
          <w:sz w:val="20"/>
          <w:szCs w:val="20"/>
        </w:rPr>
        <w:t>从</w:t>
      </w:r>
      <w:proofErr w:type="gramStart"/>
      <w:r w:rsidRPr="00BE3229">
        <w:rPr>
          <w:rFonts w:ascii="楷体" w:eastAsia="楷体" w:hAnsi="楷体" w:cs="Arial" w:hint="eastAsia"/>
          <w:color w:val="auto"/>
          <w:sz w:val="20"/>
          <w:szCs w:val="20"/>
        </w:rPr>
        <w:t>凯</w:t>
      </w:r>
      <w:proofErr w:type="gramEnd"/>
      <w:r w:rsidRPr="00BE3229">
        <w:rPr>
          <w:rFonts w:ascii="楷体" w:eastAsia="楷体" w:hAnsi="楷体" w:cs="Arial" w:hint="eastAsia"/>
          <w:color w:val="auto"/>
          <w:sz w:val="20"/>
          <w:szCs w:val="20"/>
        </w:rPr>
        <w:t>石6+1的分析框架看，</w:t>
      </w:r>
      <w:r w:rsidR="00E162B2">
        <w:rPr>
          <w:rFonts w:ascii="Arial" w:eastAsia="楷体_GB2312" w:hAnsi="Arial" w:cs="Arial" w:hint="eastAsia"/>
          <w:color w:val="000000" w:themeColor="text1"/>
          <w:sz w:val="20"/>
          <w:szCs w:val="20"/>
        </w:rPr>
        <w:t>基本面方面，</w:t>
      </w:r>
      <w:r w:rsidR="00E162B2">
        <w:rPr>
          <w:rFonts w:ascii="Arial" w:eastAsia="楷体_GB2312" w:hAnsi="Arial" w:cs="Arial" w:hint="eastAsia"/>
          <w:color w:val="000000" w:themeColor="text1"/>
          <w:sz w:val="20"/>
          <w:szCs w:val="20"/>
        </w:rPr>
        <w:t>4</w:t>
      </w:r>
      <w:r w:rsidR="00E162B2">
        <w:rPr>
          <w:rFonts w:ascii="Arial" w:eastAsia="楷体_GB2312" w:hAnsi="Arial" w:cs="Arial" w:hint="eastAsia"/>
          <w:color w:val="000000" w:themeColor="text1"/>
          <w:sz w:val="20"/>
          <w:szCs w:val="20"/>
        </w:rPr>
        <w:t>月经济数据表明经济复苏承压，但经济大幅下滑压力不大，偏中性</w:t>
      </w:r>
      <w:r w:rsidR="00E162B2" w:rsidRPr="006F7D36">
        <w:rPr>
          <w:rFonts w:ascii="Arial" w:eastAsia="楷体_GB2312" w:hAnsi="Arial" w:cs="Arial" w:hint="eastAsia"/>
          <w:color w:val="000000" w:themeColor="text1"/>
          <w:sz w:val="20"/>
          <w:szCs w:val="20"/>
        </w:rPr>
        <w:t>；资金面</w:t>
      </w:r>
      <w:r w:rsidR="00E162B2">
        <w:rPr>
          <w:rFonts w:ascii="Arial" w:eastAsia="楷体_GB2312" w:hAnsi="Arial" w:cs="Arial" w:hint="eastAsia"/>
          <w:color w:val="000000" w:themeColor="text1"/>
          <w:sz w:val="20"/>
          <w:szCs w:val="20"/>
        </w:rPr>
        <w:t>目前处于较为稳定状态，偏中性</w:t>
      </w:r>
      <w:r w:rsidR="00E162B2" w:rsidRPr="006F7D36">
        <w:rPr>
          <w:rFonts w:ascii="Arial" w:eastAsia="楷体_GB2312" w:hAnsi="Arial" w:cs="Arial" w:hint="eastAsia"/>
          <w:color w:val="000000" w:themeColor="text1"/>
          <w:sz w:val="20"/>
          <w:szCs w:val="20"/>
        </w:rPr>
        <w:t>；政策面</w:t>
      </w:r>
      <w:r w:rsidR="00E162B2">
        <w:rPr>
          <w:rFonts w:ascii="Arial" w:eastAsia="楷体_GB2312" w:hAnsi="Arial" w:cs="Arial" w:hint="eastAsia"/>
          <w:color w:val="000000" w:themeColor="text1"/>
          <w:sz w:val="20"/>
          <w:szCs w:val="20"/>
        </w:rPr>
        <w:t>，央行政策以稳定为主，考虑到通胀压力，货币政策将受到压力，而财政政策宽松有减弱迹象，货币政策目前对市场中性，关注未来变化</w:t>
      </w:r>
      <w:r w:rsidR="00E162B2" w:rsidRPr="006F7D36">
        <w:rPr>
          <w:rFonts w:ascii="Arial" w:eastAsia="楷体_GB2312" w:hAnsi="Arial" w:cs="Arial" w:hint="eastAsia"/>
          <w:color w:val="000000" w:themeColor="text1"/>
          <w:sz w:val="20"/>
          <w:szCs w:val="20"/>
        </w:rPr>
        <w:t>；国际面</w:t>
      </w:r>
      <w:r w:rsidR="00E162B2">
        <w:rPr>
          <w:rFonts w:ascii="Arial" w:eastAsia="楷体_GB2312" w:hAnsi="Arial" w:cs="Arial" w:hint="eastAsia"/>
          <w:color w:val="000000" w:themeColor="text1"/>
          <w:sz w:val="20"/>
          <w:szCs w:val="20"/>
        </w:rPr>
        <w:t>，全球市场对风险资产偏好降低，美国</w:t>
      </w:r>
      <w:r w:rsidR="00E162B2">
        <w:rPr>
          <w:rFonts w:ascii="Arial" w:eastAsia="楷体_GB2312" w:hAnsi="Arial" w:cs="Arial" w:hint="eastAsia"/>
          <w:color w:val="000000" w:themeColor="text1"/>
          <w:sz w:val="20"/>
          <w:szCs w:val="20"/>
        </w:rPr>
        <w:t>6</w:t>
      </w:r>
      <w:r w:rsidR="00E162B2">
        <w:rPr>
          <w:rFonts w:ascii="Arial" w:eastAsia="楷体_GB2312" w:hAnsi="Arial" w:cs="Arial" w:hint="eastAsia"/>
          <w:color w:val="000000" w:themeColor="text1"/>
          <w:sz w:val="20"/>
          <w:szCs w:val="20"/>
        </w:rPr>
        <w:t>月加息将是关注点，国际</w:t>
      </w:r>
      <w:proofErr w:type="gramStart"/>
      <w:r w:rsidR="00E162B2">
        <w:rPr>
          <w:rFonts w:ascii="Arial" w:eastAsia="楷体_GB2312" w:hAnsi="Arial" w:cs="Arial" w:hint="eastAsia"/>
          <w:color w:val="000000" w:themeColor="text1"/>
          <w:sz w:val="20"/>
          <w:szCs w:val="20"/>
        </w:rPr>
        <w:t>面整体</w:t>
      </w:r>
      <w:proofErr w:type="gramEnd"/>
      <w:r w:rsidR="00E162B2">
        <w:rPr>
          <w:rFonts w:ascii="Arial" w:eastAsia="楷体_GB2312" w:hAnsi="Arial" w:cs="Arial" w:hint="eastAsia"/>
          <w:color w:val="000000" w:themeColor="text1"/>
          <w:sz w:val="20"/>
          <w:szCs w:val="20"/>
        </w:rPr>
        <w:t>偏中性</w:t>
      </w:r>
      <w:r w:rsidR="00E162B2" w:rsidRPr="006F7D36">
        <w:rPr>
          <w:rFonts w:ascii="Arial" w:eastAsia="楷体_GB2312" w:hAnsi="Arial" w:cs="Arial" w:hint="eastAsia"/>
          <w:color w:val="000000" w:themeColor="text1"/>
          <w:sz w:val="20"/>
          <w:szCs w:val="20"/>
        </w:rPr>
        <w:t>；汇率</w:t>
      </w:r>
      <w:r w:rsidR="00E162B2">
        <w:rPr>
          <w:rFonts w:ascii="Arial" w:eastAsia="楷体_GB2312" w:hAnsi="Arial" w:cs="Arial" w:hint="eastAsia"/>
          <w:color w:val="000000" w:themeColor="text1"/>
          <w:sz w:val="20"/>
          <w:szCs w:val="20"/>
        </w:rPr>
        <w:t>方面，人民币兑美元受经济数据</w:t>
      </w:r>
      <w:proofErr w:type="gramStart"/>
      <w:r w:rsidR="00E162B2">
        <w:rPr>
          <w:rFonts w:ascii="Arial" w:eastAsia="楷体_GB2312" w:hAnsi="Arial" w:cs="Arial" w:hint="eastAsia"/>
          <w:color w:val="000000" w:themeColor="text1"/>
          <w:sz w:val="20"/>
          <w:szCs w:val="20"/>
        </w:rPr>
        <w:t>不佳走</w:t>
      </w:r>
      <w:proofErr w:type="gramEnd"/>
      <w:r w:rsidR="00E162B2">
        <w:rPr>
          <w:rFonts w:ascii="Arial" w:eastAsia="楷体_GB2312" w:hAnsi="Arial" w:cs="Arial" w:hint="eastAsia"/>
          <w:color w:val="000000" w:themeColor="text1"/>
          <w:sz w:val="20"/>
          <w:szCs w:val="20"/>
        </w:rPr>
        <w:t>弱，但目前仍处于震荡格局，偏中性</w:t>
      </w:r>
      <w:r w:rsidR="00E162B2" w:rsidRPr="006F7D36">
        <w:rPr>
          <w:rFonts w:ascii="Arial" w:eastAsia="楷体_GB2312" w:hAnsi="Arial" w:cs="Arial" w:hint="eastAsia"/>
          <w:color w:val="000000" w:themeColor="text1"/>
          <w:sz w:val="20"/>
          <w:szCs w:val="20"/>
        </w:rPr>
        <w:t>；市场面偏</w:t>
      </w:r>
      <w:r w:rsidR="00E162B2">
        <w:rPr>
          <w:rFonts w:ascii="Arial" w:eastAsia="楷体_GB2312" w:hAnsi="Arial" w:cs="Arial" w:hint="eastAsia"/>
          <w:color w:val="000000" w:themeColor="text1"/>
          <w:sz w:val="20"/>
          <w:szCs w:val="20"/>
        </w:rPr>
        <w:t>空</w:t>
      </w:r>
      <w:r w:rsidR="00E162B2" w:rsidRPr="006F7D36">
        <w:rPr>
          <w:rFonts w:ascii="Arial" w:eastAsia="楷体_GB2312" w:hAnsi="Arial" w:cs="Arial" w:hint="eastAsia"/>
          <w:color w:val="000000" w:themeColor="text1"/>
          <w:sz w:val="20"/>
          <w:szCs w:val="20"/>
        </w:rPr>
        <w:t>，</w:t>
      </w:r>
      <w:r w:rsidR="00E162B2">
        <w:rPr>
          <w:rFonts w:ascii="Arial" w:eastAsia="楷体_GB2312" w:hAnsi="Arial" w:cs="Arial" w:hint="eastAsia"/>
          <w:color w:val="000000" w:themeColor="text1"/>
          <w:sz w:val="20"/>
          <w:szCs w:val="20"/>
        </w:rPr>
        <w:t>目前市场整体风险偏好较低，投资者情绪不佳。总体来看，在没有增量资金入场，影响股市的各个因素逐步趋于中性的情况下，在没有新的利好利空因素的冲击下，未来指数仍以震荡走弱为主。但市场经过前期的下跌和盘整，市场继续大幅下跌的风险也不大，投资者倾向于寻找结构机会，市场依然有可为机会。</w:t>
      </w:r>
      <w:proofErr w:type="gramStart"/>
      <w:r w:rsidRPr="0032491D">
        <w:rPr>
          <w:rFonts w:ascii="楷体" w:eastAsia="楷体" w:hAnsi="楷体" w:cs="Arial" w:hint="eastAsia"/>
          <w:color w:val="000000" w:themeColor="text1"/>
          <w:sz w:val="20"/>
          <w:szCs w:val="20"/>
        </w:rPr>
        <w:t>股混基金</w:t>
      </w:r>
      <w:proofErr w:type="gramEnd"/>
      <w:r w:rsidRPr="0032491D">
        <w:rPr>
          <w:rFonts w:ascii="楷体" w:eastAsia="楷体" w:hAnsi="楷体" w:cs="Arial" w:hint="eastAsia"/>
          <w:color w:val="000000" w:themeColor="text1"/>
          <w:sz w:val="20"/>
          <w:szCs w:val="20"/>
        </w:rPr>
        <w:t>投资上，短期我们建议投资者保持中等偏低的</w:t>
      </w:r>
      <w:proofErr w:type="gramStart"/>
      <w:r w:rsidRPr="0032491D">
        <w:rPr>
          <w:rFonts w:ascii="楷体" w:eastAsia="楷体" w:hAnsi="楷体" w:cs="Arial" w:hint="eastAsia"/>
          <w:color w:val="000000" w:themeColor="text1"/>
          <w:sz w:val="20"/>
          <w:szCs w:val="20"/>
        </w:rPr>
        <w:t>仓位</w:t>
      </w:r>
      <w:proofErr w:type="gramEnd"/>
      <w:r w:rsidRPr="0032491D">
        <w:rPr>
          <w:rFonts w:ascii="楷体" w:eastAsia="楷体" w:hAnsi="楷体" w:cs="Arial" w:hint="eastAsia"/>
          <w:color w:val="000000" w:themeColor="text1"/>
          <w:sz w:val="20"/>
          <w:szCs w:val="20"/>
        </w:rPr>
        <w:t>，</w:t>
      </w:r>
      <w:r w:rsidR="003A2B41">
        <w:rPr>
          <w:rFonts w:ascii="楷体" w:eastAsia="楷体" w:hAnsi="楷体" w:cs="Arial" w:hint="eastAsia"/>
          <w:color w:val="000000" w:themeColor="text1"/>
          <w:sz w:val="20"/>
          <w:szCs w:val="20"/>
        </w:rPr>
        <w:t>把握结构性机会的</w:t>
      </w:r>
      <w:r w:rsidRPr="0032491D">
        <w:rPr>
          <w:rFonts w:ascii="楷体" w:eastAsia="楷体" w:hAnsi="楷体" w:cs="Arial" w:hint="eastAsia"/>
          <w:color w:val="000000" w:themeColor="text1"/>
          <w:sz w:val="20"/>
          <w:szCs w:val="20"/>
        </w:rPr>
        <w:t>主基调</w:t>
      </w:r>
      <w:r w:rsidR="003A2B41">
        <w:rPr>
          <w:rFonts w:ascii="楷体" w:eastAsia="楷体" w:hAnsi="楷体" w:cs="Arial" w:hint="eastAsia"/>
          <w:color w:val="000000" w:themeColor="text1"/>
          <w:sz w:val="20"/>
          <w:szCs w:val="20"/>
        </w:rPr>
        <w:t>。</w:t>
      </w:r>
      <w:r w:rsidRPr="0032491D">
        <w:rPr>
          <w:rFonts w:ascii="楷体" w:eastAsia="楷体" w:hAnsi="楷体" w:cs="Arial" w:hint="eastAsia"/>
          <w:color w:val="000000" w:themeColor="text1"/>
          <w:sz w:val="20"/>
          <w:szCs w:val="20"/>
        </w:rPr>
        <w:t>由于当前的结构性机会呈现快速轮动持续性差的特点，</w:t>
      </w:r>
      <w:r w:rsidRPr="0032491D">
        <w:rPr>
          <w:rFonts w:ascii="楷体" w:eastAsia="楷体" w:hAnsi="楷体" w:cs="Arial" w:hint="eastAsia"/>
          <w:color w:val="auto"/>
          <w:sz w:val="20"/>
          <w:szCs w:val="20"/>
        </w:rPr>
        <w:t>建议投资者在风格上成长、周期</w:t>
      </w:r>
      <w:r w:rsidR="003A2B41">
        <w:rPr>
          <w:rFonts w:ascii="楷体" w:eastAsia="楷体" w:hAnsi="楷体" w:cs="Arial" w:hint="eastAsia"/>
          <w:color w:val="auto"/>
          <w:sz w:val="20"/>
          <w:szCs w:val="20"/>
        </w:rPr>
        <w:t>、消费等均衡配置</w:t>
      </w:r>
      <w:r w:rsidRPr="0032491D">
        <w:rPr>
          <w:rFonts w:ascii="楷体" w:eastAsia="楷体" w:hAnsi="楷体" w:cs="Arial" w:hint="eastAsia"/>
          <w:color w:val="auto"/>
          <w:sz w:val="20"/>
          <w:szCs w:val="20"/>
        </w:rPr>
        <w:t>，价值周期将受益于供给</w:t>
      </w:r>
      <w:proofErr w:type="gramStart"/>
      <w:r w:rsidRPr="0032491D">
        <w:rPr>
          <w:rFonts w:ascii="楷体" w:eastAsia="楷体" w:hAnsi="楷体" w:cs="Arial" w:hint="eastAsia"/>
          <w:color w:val="auto"/>
          <w:sz w:val="20"/>
          <w:szCs w:val="20"/>
        </w:rPr>
        <w:t>侧改革</w:t>
      </w:r>
      <w:proofErr w:type="gramEnd"/>
      <w:r w:rsidRPr="0032491D">
        <w:rPr>
          <w:rFonts w:ascii="楷体" w:eastAsia="楷体" w:hAnsi="楷体" w:cs="Arial" w:hint="eastAsia"/>
          <w:color w:val="auto"/>
          <w:sz w:val="20"/>
          <w:szCs w:val="20"/>
        </w:rPr>
        <w:t>和经济企稳，而成长风格代表的新兴产业依然是未来中国经济的希望所在，</w:t>
      </w:r>
      <w:r w:rsidR="003A2B41">
        <w:rPr>
          <w:rFonts w:ascii="楷体" w:eastAsia="楷体" w:hAnsi="楷体" w:cs="Arial" w:hint="eastAsia"/>
          <w:color w:val="auto"/>
          <w:sz w:val="20"/>
          <w:szCs w:val="20"/>
        </w:rPr>
        <w:t>消费是防御型首选品种</w:t>
      </w:r>
      <w:r w:rsidRPr="0032491D">
        <w:rPr>
          <w:rFonts w:ascii="楷体" w:eastAsia="楷体" w:hAnsi="楷体" w:cs="Arial" w:hint="eastAsia"/>
          <w:color w:val="auto"/>
          <w:sz w:val="20"/>
          <w:szCs w:val="20"/>
        </w:rPr>
        <w:t>。</w:t>
      </w:r>
      <w:r w:rsidR="003A2B41">
        <w:rPr>
          <w:rFonts w:ascii="楷体" w:eastAsia="楷体" w:hAnsi="楷体" w:cs="Arial" w:hint="eastAsia"/>
          <w:color w:val="auto"/>
          <w:sz w:val="20"/>
          <w:szCs w:val="20"/>
        </w:rPr>
        <w:t>结构性机会方面，我们继续强调加配稳健成长风格基金，</w:t>
      </w:r>
      <w:r w:rsidRPr="0032491D">
        <w:rPr>
          <w:rFonts w:ascii="楷体" w:eastAsia="楷体" w:hAnsi="楷体" w:cs="Arial" w:hint="eastAsia"/>
          <w:color w:val="auto"/>
          <w:sz w:val="20"/>
          <w:szCs w:val="20"/>
        </w:rPr>
        <w:t>在弱市市场中投资者</w:t>
      </w:r>
      <w:r w:rsidR="003A2B41">
        <w:rPr>
          <w:rFonts w:ascii="楷体" w:eastAsia="楷体" w:hAnsi="楷体" w:cs="Arial" w:hint="eastAsia"/>
          <w:color w:val="auto"/>
          <w:sz w:val="20"/>
          <w:szCs w:val="20"/>
        </w:rPr>
        <w:t>对业绩的关注</w:t>
      </w:r>
      <w:proofErr w:type="gramStart"/>
      <w:r w:rsidR="003A2B41">
        <w:rPr>
          <w:rFonts w:ascii="楷体" w:eastAsia="楷体" w:hAnsi="楷体" w:cs="Arial" w:hint="eastAsia"/>
          <w:color w:val="auto"/>
          <w:sz w:val="20"/>
          <w:szCs w:val="20"/>
        </w:rPr>
        <w:t>度显著</w:t>
      </w:r>
      <w:proofErr w:type="gramEnd"/>
      <w:r w:rsidR="003A2B41">
        <w:rPr>
          <w:rFonts w:ascii="楷体" w:eastAsia="楷体" w:hAnsi="楷体" w:cs="Arial" w:hint="eastAsia"/>
          <w:color w:val="auto"/>
          <w:sz w:val="20"/>
          <w:szCs w:val="20"/>
        </w:rPr>
        <w:t>提高，稳健成长风格</w:t>
      </w:r>
      <w:r w:rsidRPr="0032491D">
        <w:rPr>
          <w:rFonts w:ascii="楷体" w:eastAsia="楷体" w:hAnsi="楷体" w:cs="Arial" w:hint="eastAsia"/>
          <w:color w:val="auto"/>
          <w:sz w:val="20"/>
          <w:szCs w:val="20"/>
        </w:rPr>
        <w:t>基金主要投资业绩平稳增长的大消费、医药、中游机械制造</w:t>
      </w:r>
      <w:r w:rsidR="003A2B41">
        <w:rPr>
          <w:rFonts w:ascii="楷体" w:eastAsia="楷体" w:hAnsi="楷体" w:cs="Arial" w:hint="eastAsia"/>
          <w:color w:val="auto"/>
          <w:sz w:val="20"/>
          <w:szCs w:val="20"/>
        </w:rPr>
        <w:t>、电器设备</w:t>
      </w:r>
      <w:r w:rsidRPr="0032491D">
        <w:rPr>
          <w:rFonts w:ascii="楷体" w:eastAsia="楷体" w:hAnsi="楷体" w:cs="Arial" w:hint="eastAsia"/>
          <w:color w:val="auto"/>
          <w:sz w:val="20"/>
          <w:szCs w:val="20"/>
        </w:rPr>
        <w:t>等板块，优选重视个股估值和业绩稳定性的基金经理。长期而言，我们维持A股处在底部区域的判断，经济筑底回升的过程相当漫长，长周期看货币政策依然处在降息周期内，相比于债市、房地产、海外股市等，A股依然是性价比较高的资产。长线投资者尤其</w:t>
      </w:r>
      <w:proofErr w:type="gramStart"/>
      <w:r w:rsidRPr="0032491D">
        <w:rPr>
          <w:rFonts w:ascii="楷体" w:eastAsia="楷体" w:hAnsi="楷体" w:cs="Arial" w:hint="eastAsia"/>
          <w:color w:val="auto"/>
          <w:sz w:val="20"/>
          <w:szCs w:val="20"/>
        </w:rPr>
        <w:t>是定投投资者</w:t>
      </w:r>
      <w:proofErr w:type="gramEnd"/>
      <w:r w:rsidRPr="0032491D">
        <w:rPr>
          <w:rFonts w:ascii="楷体" w:eastAsia="楷体" w:hAnsi="楷体" w:cs="Arial" w:hint="eastAsia"/>
          <w:color w:val="auto"/>
          <w:sz w:val="20"/>
          <w:szCs w:val="20"/>
        </w:rPr>
        <w:t>可以分批介入布局。</w:t>
      </w:r>
    </w:p>
    <w:p w:rsidR="0053273E" w:rsidRPr="0032491D" w:rsidRDefault="0053273E" w:rsidP="00541A7B">
      <w:pPr>
        <w:pStyle w:val="a5"/>
        <w:spacing w:beforeLines="100" w:before="240" w:afterLines="100" w:after="240" w:line="260" w:lineRule="exact"/>
        <w:ind w:leftChars="1957" w:left="4110" w:rightChars="-34" w:right="-71" w:firstLineChars="212" w:firstLine="426"/>
        <w:rPr>
          <w:rFonts w:ascii="楷体" w:eastAsia="楷体" w:hAnsi="楷体" w:cs="Arial"/>
          <w:b/>
          <w:color w:val="auto"/>
          <w:sz w:val="20"/>
          <w:szCs w:val="20"/>
        </w:rPr>
      </w:pPr>
      <w:r w:rsidRPr="0032491D">
        <w:rPr>
          <w:rFonts w:ascii="楷体" w:eastAsia="楷体" w:hAnsi="楷体" w:cs="Arial"/>
          <w:b/>
          <w:color w:val="auto"/>
          <w:sz w:val="20"/>
          <w:szCs w:val="20"/>
        </w:rPr>
        <w:t>固定收益基金投资</w:t>
      </w:r>
      <w:r>
        <w:rPr>
          <w:rFonts w:ascii="楷体" w:eastAsia="楷体" w:hAnsi="楷体" w:cs="Arial" w:hint="eastAsia"/>
          <w:b/>
          <w:color w:val="auto"/>
          <w:sz w:val="20"/>
          <w:szCs w:val="20"/>
        </w:rPr>
        <w:t>风险</w:t>
      </w:r>
      <w:r>
        <w:rPr>
          <w:rFonts w:ascii="楷体" w:eastAsia="楷体" w:hAnsi="楷体" w:cs="Arial"/>
          <w:b/>
          <w:color w:val="auto"/>
          <w:sz w:val="20"/>
          <w:szCs w:val="20"/>
        </w:rPr>
        <w:t>仍在</w:t>
      </w:r>
      <w:r>
        <w:rPr>
          <w:rFonts w:ascii="楷体" w:eastAsia="楷体" w:hAnsi="楷体" w:cs="Arial" w:hint="eastAsia"/>
          <w:b/>
          <w:color w:val="auto"/>
          <w:sz w:val="20"/>
          <w:szCs w:val="20"/>
        </w:rPr>
        <w:t>，</w:t>
      </w:r>
      <w:r>
        <w:rPr>
          <w:rFonts w:ascii="楷体" w:eastAsia="楷体" w:hAnsi="楷体" w:cs="Arial"/>
          <w:b/>
          <w:color w:val="auto"/>
          <w:sz w:val="20"/>
          <w:szCs w:val="20"/>
        </w:rPr>
        <w:t>需谨慎操作</w:t>
      </w:r>
      <w:r w:rsidRPr="0032491D">
        <w:rPr>
          <w:rFonts w:ascii="楷体" w:eastAsia="楷体" w:hAnsi="楷体" w:cs="Arial" w:hint="eastAsia"/>
          <w:b/>
          <w:color w:val="auto"/>
          <w:sz w:val="20"/>
          <w:szCs w:val="20"/>
        </w:rPr>
        <w:t>。</w:t>
      </w:r>
      <w:r w:rsidRPr="003A2B41">
        <w:rPr>
          <w:rFonts w:ascii="楷体" w:eastAsia="楷体" w:hAnsi="楷体" w:cs="Arial" w:hint="eastAsia"/>
          <w:color w:val="000000" w:themeColor="text1"/>
          <w:sz w:val="20"/>
          <w:szCs w:val="20"/>
        </w:rPr>
        <w:t>延续</w:t>
      </w:r>
      <w:r w:rsidR="00A867D5" w:rsidRPr="003A2B41">
        <w:rPr>
          <w:rFonts w:ascii="楷体" w:eastAsia="楷体" w:hAnsi="楷体" w:cs="Arial" w:hint="eastAsia"/>
          <w:color w:val="000000" w:themeColor="text1"/>
          <w:sz w:val="20"/>
          <w:szCs w:val="20"/>
        </w:rPr>
        <w:t>上周</w:t>
      </w:r>
      <w:r w:rsidRPr="003A2B41">
        <w:rPr>
          <w:rFonts w:ascii="楷体" w:eastAsia="楷体" w:hAnsi="楷体" w:cs="Arial" w:hint="eastAsia"/>
          <w:color w:val="000000" w:themeColor="text1"/>
          <w:sz w:val="20"/>
          <w:szCs w:val="20"/>
        </w:rPr>
        <w:t>债券市场企稳的现象，</w:t>
      </w:r>
      <w:r w:rsidR="00A867D5" w:rsidRPr="003A2B41">
        <w:rPr>
          <w:rFonts w:ascii="楷体" w:eastAsia="楷体" w:hAnsi="楷体" w:cs="Arial" w:hint="eastAsia"/>
          <w:color w:val="000000" w:themeColor="text1"/>
          <w:sz w:val="20"/>
          <w:szCs w:val="20"/>
        </w:rPr>
        <w:t>在月初供给充裕、营改增补充细则利好等因素影响下，本周市场资金供需都相对平稳。不过从下周开始缴税影响</w:t>
      </w:r>
      <w:proofErr w:type="gramStart"/>
      <w:r w:rsidR="00A867D5" w:rsidRPr="003A2B41">
        <w:rPr>
          <w:rFonts w:ascii="楷体" w:eastAsia="楷体" w:hAnsi="楷体" w:cs="Arial" w:hint="eastAsia"/>
          <w:color w:val="000000" w:themeColor="text1"/>
          <w:sz w:val="20"/>
          <w:szCs w:val="20"/>
        </w:rPr>
        <w:t>料逐渐</w:t>
      </w:r>
      <w:proofErr w:type="gramEnd"/>
      <w:r w:rsidR="00A867D5" w:rsidRPr="003A2B41">
        <w:rPr>
          <w:rFonts w:ascii="楷体" w:eastAsia="楷体" w:hAnsi="楷体" w:cs="Arial" w:hint="eastAsia"/>
          <w:color w:val="000000" w:themeColor="text1"/>
          <w:sz w:val="20"/>
          <w:szCs w:val="20"/>
        </w:rPr>
        <w:t>明显，加之中下旬还有MLF（中期借贷便利）到期，短期资金供给可能有所收缩，流动性或时有波动。</w:t>
      </w:r>
      <w:r w:rsidR="00541A7B" w:rsidRPr="003A2B41">
        <w:rPr>
          <w:rFonts w:ascii="楷体" w:eastAsia="楷体" w:hAnsi="楷体" w:cs="Arial" w:hint="eastAsia"/>
          <w:color w:val="000000" w:themeColor="text1"/>
          <w:sz w:val="20"/>
          <w:szCs w:val="20"/>
        </w:rPr>
        <w:t>利率债和高等级信用债收益率出现下行，中低等级信用债收益率依旧小幅上行。债券内部券种选择上，</w:t>
      </w:r>
      <w:r w:rsidR="00A867D5" w:rsidRPr="003A2B41">
        <w:rPr>
          <w:rFonts w:ascii="楷体" w:eastAsia="楷体" w:hAnsi="楷体" w:cs="Arial" w:hint="eastAsia"/>
          <w:color w:val="000000" w:themeColor="text1"/>
          <w:sz w:val="20"/>
          <w:szCs w:val="20"/>
        </w:rPr>
        <w:t>利率债方面，</w:t>
      </w:r>
      <w:r w:rsidR="0006170E" w:rsidRPr="003A2B41">
        <w:rPr>
          <w:rFonts w:ascii="楷体" w:eastAsia="楷体" w:hAnsi="楷体" w:cs="Arial" w:hint="eastAsia"/>
          <w:color w:val="000000" w:themeColor="text1"/>
          <w:sz w:val="20"/>
          <w:szCs w:val="20"/>
        </w:rPr>
        <w:t>当前供给压力、货币政策趋于中性等利空因素</w:t>
      </w:r>
      <w:proofErr w:type="gramStart"/>
      <w:r w:rsidR="0006170E" w:rsidRPr="003A2B41">
        <w:rPr>
          <w:rFonts w:ascii="楷体" w:eastAsia="楷体" w:hAnsi="楷体" w:cs="Arial" w:hint="eastAsia"/>
          <w:color w:val="000000" w:themeColor="text1"/>
          <w:sz w:val="20"/>
          <w:szCs w:val="20"/>
        </w:rPr>
        <w:t>尚未的</w:t>
      </w:r>
      <w:proofErr w:type="gramEnd"/>
      <w:r w:rsidR="0006170E" w:rsidRPr="003A2B41">
        <w:rPr>
          <w:rFonts w:ascii="楷体" w:eastAsia="楷体" w:hAnsi="楷体" w:cs="Arial" w:hint="eastAsia"/>
          <w:color w:val="000000" w:themeColor="text1"/>
          <w:sz w:val="20"/>
          <w:szCs w:val="20"/>
        </w:rPr>
        <w:t>到有效改善</w:t>
      </w:r>
      <w:r w:rsidR="00541A7B" w:rsidRPr="003A2B41">
        <w:rPr>
          <w:rFonts w:ascii="楷体" w:eastAsia="楷体" w:hAnsi="楷体" w:cs="Arial" w:hint="eastAsia"/>
          <w:color w:val="000000" w:themeColor="text1"/>
          <w:sz w:val="20"/>
          <w:szCs w:val="20"/>
        </w:rPr>
        <w:t>，尤其是长</w:t>
      </w:r>
      <w:proofErr w:type="gramStart"/>
      <w:r w:rsidR="00541A7B" w:rsidRPr="003A2B41">
        <w:rPr>
          <w:rFonts w:ascii="楷体" w:eastAsia="楷体" w:hAnsi="楷体" w:cs="Arial" w:hint="eastAsia"/>
          <w:color w:val="000000" w:themeColor="text1"/>
          <w:sz w:val="20"/>
          <w:szCs w:val="20"/>
        </w:rPr>
        <w:t>债压力</w:t>
      </w:r>
      <w:proofErr w:type="gramEnd"/>
      <w:r w:rsidR="00541A7B" w:rsidRPr="003A2B41">
        <w:rPr>
          <w:rFonts w:ascii="楷体" w:eastAsia="楷体" w:hAnsi="楷体" w:cs="Arial" w:hint="eastAsia"/>
          <w:color w:val="000000" w:themeColor="text1"/>
          <w:sz w:val="20"/>
          <w:szCs w:val="20"/>
        </w:rPr>
        <w:t>较大，因此</w:t>
      </w:r>
      <w:proofErr w:type="gramStart"/>
      <w:r w:rsidR="00541A7B" w:rsidRPr="003A2B41">
        <w:rPr>
          <w:rFonts w:ascii="楷体" w:eastAsia="楷体" w:hAnsi="楷体" w:cs="Arial" w:hint="eastAsia"/>
          <w:color w:val="000000" w:themeColor="text1"/>
          <w:sz w:val="20"/>
          <w:szCs w:val="20"/>
        </w:rPr>
        <w:t>控制久期和</w:t>
      </w:r>
      <w:proofErr w:type="gramEnd"/>
      <w:r w:rsidR="00541A7B" w:rsidRPr="003A2B41">
        <w:rPr>
          <w:rFonts w:ascii="楷体" w:eastAsia="楷体" w:hAnsi="楷体" w:cs="Arial" w:hint="eastAsia"/>
          <w:color w:val="000000" w:themeColor="text1"/>
          <w:sz w:val="20"/>
          <w:szCs w:val="20"/>
        </w:rPr>
        <w:t>杠杆防守为上。</w:t>
      </w:r>
      <w:r w:rsidR="00A867D5" w:rsidRPr="003A2B41">
        <w:rPr>
          <w:rFonts w:ascii="楷体" w:eastAsia="楷体" w:hAnsi="楷体" w:cs="Arial" w:hint="eastAsia"/>
          <w:color w:val="000000" w:themeColor="text1"/>
          <w:sz w:val="20"/>
          <w:szCs w:val="20"/>
        </w:rPr>
        <w:t>信用债方面，5月份将迎来债券市场天量偿还潮，总偿还量高达1.67</w:t>
      </w:r>
      <w:proofErr w:type="gramStart"/>
      <w:r w:rsidR="00A867D5" w:rsidRPr="003A2B41">
        <w:rPr>
          <w:rFonts w:ascii="楷体" w:eastAsia="楷体" w:hAnsi="楷体" w:cs="Arial" w:hint="eastAsia"/>
          <w:color w:val="000000" w:themeColor="text1"/>
          <w:sz w:val="20"/>
          <w:szCs w:val="20"/>
        </w:rPr>
        <w:t>万亿</w:t>
      </w:r>
      <w:proofErr w:type="gramEnd"/>
      <w:r w:rsidR="00A867D5" w:rsidRPr="003A2B41">
        <w:rPr>
          <w:rFonts w:ascii="楷体" w:eastAsia="楷体" w:hAnsi="楷体" w:cs="Arial" w:hint="eastAsia"/>
          <w:color w:val="000000" w:themeColor="text1"/>
          <w:sz w:val="20"/>
          <w:szCs w:val="20"/>
        </w:rPr>
        <w:t>元，其中有近1.17</w:t>
      </w:r>
      <w:proofErr w:type="gramStart"/>
      <w:r w:rsidR="00A867D5" w:rsidRPr="003A2B41">
        <w:rPr>
          <w:rFonts w:ascii="楷体" w:eastAsia="楷体" w:hAnsi="楷体" w:cs="Arial" w:hint="eastAsia"/>
          <w:color w:val="000000" w:themeColor="text1"/>
          <w:sz w:val="20"/>
          <w:szCs w:val="20"/>
        </w:rPr>
        <w:t>万亿</w:t>
      </w:r>
      <w:proofErr w:type="gramEnd"/>
      <w:r w:rsidR="00A867D5" w:rsidRPr="003A2B41">
        <w:rPr>
          <w:rFonts w:ascii="楷体" w:eastAsia="楷体" w:hAnsi="楷体" w:cs="Arial" w:hint="eastAsia"/>
          <w:color w:val="000000" w:themeColor="text1"/>
          <w:sz w:val="20"/>
          <w:szCs w:val="20"/>
        </w:rPr>
        <w:t>元为“垃圾债券”，预计会有更多违约事件浮出水面，违约将呈常态化。</w:t>
      </w:r>
      <w:r w:rsidRPr="00BE3229">
        <w:rPr>
          <w:rFonts w:ascii="楷体" w:eastAsia="楷体" w:hAnsi="楷体" w:cs="Arial" w:hint="eastAsia"/>
          <w:color w:val="auto"/>
          <w:sz w:val="20"/>
          <w:szCs w:val="20"/>
        </w:rPr>
        <w:t>因此当前谨慎选择投中高信用等级、经营业绩良好的公司债券作为配置对象，避免“踩雷”为上。</w:t>
      </w:r>
      <w:r w:rsidRPr="0032491D">
        <w:rPr>
          <w:rFonts w:ascii="楷体" w:eastAsia="楷体" w:hAnsi="楷体" w:cs="Arial" w:hint="eastAsia"/>
          <w:color w:val="auto"/>
          <w:sz w:val="20"/>
          <w:szCs w:val="20"/>
        </w:rPr>
        <w:t>对于有债券基金刚性配置需求的投资者，当前在</w:t>
      </w:r>
      <w:proofErr w:type="gramStart"/>
      <w:r w:rsidRPr="0032491D">
        <w:rPr>
          <w:rFonts w:ascii="楷体" w:eastAsia="楷体" w:hAnsi="楷体" w:cs="Arial" w:hint="eastAsia"/>
          <w:color w:val="auto"/>
          <w:sz w:val="20"/>
          <w:szCs w:val="20"/>
        </w:rPr>
        <w:t>债基产品</w:t>
      </w:r>
      <w:proofErr w:type="gramEnd"/>
      <w:r w:rsidRPr="0032491D">
        <w:rPr>
          <w:rFonts w:ascii="楷体" w:eastAsia="楷体" w:hAnsi="楷体" w:cs="Arial" w:hint="eastAsia"/>
          <w:color w:val="auto"/>
          <w:sz w:val="20"/>
          <w:szCs w:val="20"/>
        </w:rPr>
        <w:t>上要强调风险控制，建议</w:t>
      </w:r>
      <w:proofErr w:type="gramStart"/>
      <w:r w:rsidRPr="0032491D">
        <w:rPr>
          <w:rFonts w:ascii="楷体" w:eastAsia="楷体" w:hAnsi="楷体" w:cs="Arial" w:hint="eastAsia"/>
          <w:color w:val="auto"/>
          <w:sz w:val="20"/>
          <w:szCs w:val="20"/>
        </w:rPr>
        <w:t>精选久期短</w:t>
      </w:r>
      <w:proofErr w:type="gramEnd"/>
      <w:r w:rsidRPr="0032491D">
        <w:rPr>
          <w:rFonts w:ascii="楷体" w:eastAsia="楷体" w:hAnsi="楷体" w:cs="Arial" w:hint="eastAsia"/>
          <w:color w:val="auto"/>
          <w:sz w:val="20"/>
          <w:szCs w:val="20"/>
        </w:rPr>
        <w:t>、杠杆较低和持券信用等级较高的基金，例如以短融为主要投资标的</w:t>
      </w:r>
      <w:proofErr w:type="gramStart"/>
      <w:r w:rsidRPr="0032491D">
        <w:rPr>
          <w:rFonts w:ascii="楷体" w:eastAsia="楷体" w:hAnsi="楷体" w:cs="Arial" w:hint="eastAsia"/>
          <w:color w:val="auto"/>
          <w:sz w:val="20"/>
          <w:szCs w:val="20"/>
        </w:rPr>
        <w:t>的短融基金</w:t>
      </w:r>
      <w:proofErr w:type="gramEnd"/>
      <w:r w:rsidRPr="0032491D">
        <w:rPr>
          <w:rFonts w:ascii="楷体" w:eastAsia="楷体" w:hAnsi="楷体" w:cs="Arial" w:hint="eastAsia"/>
          <w:color w:val="auto"/>
          <w:sz w:val="20"/>
          <w:szCs w:val="20"/>
        </w:rPr>
        <w:t>是当前防守较好的品种</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此外，参与股市和转债</w:t>
      </w:r>
      <w:proofErr w:type="gramStart"/>
      <w:r w:rsidRPr="0032491D">
        <w:rPr>
          <w:rFonts w:ascii="楷体" w:eastAsia="楷体" w:hAnsi="楷体" w:cs="Arial" w:hint="eastAsia"/>
          <w:color w:val="auto"/>
          <w:sz w:val="20"/>
          <w:szCs w:val="20"/>
        </w:rPr>
        <w:t>的债基也</w:t>
      </w:r>
      <w:proofErr w:type="gramEnd"/>
      <w:r w:rsidRPr="0032491D">
        <w:rPr>
          <w:rFonts w:ascii="楷体" w:eastAsia="楷体" w:hAnsi="楷体" w:cs="Arial" w:hint="eastAsia"/>
          <w:color w:val="auto"/>
          <w:sz w:val="20"/>
          <w:szCs w:val="20"/>
        </w:rPr>
        <w:t>可以适当关注，尤其是基金经理大类资产配置能力较强的，在股</w:t>
      </w:r>
      <w:proofErr w:type="gramStart"/>
      <w:r w:rsidRPr="0032491D">
        <w:rPr>
          <w:rFonts w:ascii="楷体" w:eastAsia="楷体" w:hAnsi="楷体" w:cs="Arial" w:hint="eastAsia"/>
          <w:color w:val="auto"/>
          <w:sz w:val="20"/>
          <w:szCs w:val="20"/>
        </w:rPr>
        <w:t>债之间</w:t>
      </w:r>
      <w:proofErr w:type="gramEnd"/>
      <w:r w:rsidRPr="0032491D">
        <w:rPr>
          <w:rFonts w:ascii="楷体" w:eastAsia="楷体" w:hAnsi="楷体" w:cs="Arial" w:hint="eastAsia"/>
          <w:color w:val="auto"/>
          <w:sz w:val="20"/>
          <w:szCs w:val="20"/>
        </w:rPr>
        <w:t>进行切换可以适当降低单一债市风险。</w:t>
      </w:r>
    </w:p>
    <w:p w:rsidR="0053273E" w:rsidRPr="0032491D" w:rsidRDefault="0053273E" w:rsidP="0053273E">
      <w:pPr>
        <w:pStyle w:val="a5"/>
        <w:spacing w:beforeLines="100" w:before="240" w:afterLines="100" w:after="240" w:line="260" w:lineRule="exact"/>
        <w:ind w:leftChars="1957" w:left="4110" w:rightChars="-34" w:right="-71" w:firstLineChars="169" w:firstLine="339"/>
        <w:rPr>
          <w:rFonts w:ascii="楷体" w:eastAsia="楷体" w:hAnsi="楷体" w:cs="Arial"/>
          <w:sz w:val="36"/>
          <w:szCs w:val="34"/>
        </w:rPr>
      </w:pPr>
      <w:r w:rsidRPr="0032491D">
        <w:rPr>
          <w:rFonts w:ascii="楷体" w:eastAsia="楷体" w:hAnsi="楷体" w:cs="Arial" w:hint="eastAsia"/>
          <w:b/>
          <w:color w:val="auto"/>
          <w:sz w:val="20"/>
          <w:szCs w:val="20"/>
        </w:rPr>
        <w:t xml:space="preserve"> </w:t>
      </w:r>
      <w:r w:rsidRPr="0032491D">
        <w:rPr>
          <w:rFonts w:ascii="楷体" w:eastAsia="楷体" w:hAnsi="楷体" w:cs="Arial"/>
          <w:b/>
          <w:color w:val="auto"/>
          <w:sz w:val="20"/>
          <w:szCs w:val="20"/>
        </w:rPr>
        <w:t>建</w:t>
      </w:r>
      <w:r w:rsidRPr="0032491D">
        <w:rPr>
          <w:rFonts w:ascii="楷体" w:eastAsia="楷体" w:hAnsi="楷体" w:cs="Arial" w:hint="eastAsia"/>
          <w:b/>
          <w:color w:val="auto"/>
          <w:sz w:val="20"/>
          <w:szCs w:val="20"/>
        </w:rPr>
        <w:t>议关注黄金和大宗商品类QDII。</w:t>
      </w:r>
      <w:r w:rsidRPr="0032491D">
        <w:rPr>
          <w:rFonts w:ascii="楷体" w:eastAsia="楷体" w:hAnsi="楷体" w:cs="Arial" w:hint="eastAsia"/>
          <w:color w:val="auto"/>
          <w:sz w:val="20"/>
          <w:szCs w:val="20"/>
        </w:rPr>
        <w:t>QDII中投资大宗商品和商品基金的</w:t>
      </w:r>
      <w:r>
        <w:rPr>
          <w:rFonts w:ascii="楷体" w:eastAsia="楷体" w:hAnsi="楷体" w:cs="Arial" w:hint="eastAsia"/>
          <w:color w:val="auto"/>
          <w:sz w:val="20"/>
          <w:szCs w:val="20"/>
        </w:rPr>
        <w:t>投资</w:t>
      </w:r>
      <w:r w:rsidRPr="0032491D">
        <w:rPr>
          <w:rFonts w:ascii="楷体" w:eastAsia="楷体" w:hAnsi="楷体" w:cs="Arial" w:hint="eastAsia"/>
          <w:color w:val="auto"/>
          <w:sz w:val="20"/>
          <w:szCs w:val="20"/>
        </w:rPr>
        <w:t>逻辑在5月有望延续。2016年以来虽然黄金已经经历了大幅上涨，但在全球经济低迷和货币超发的大背景下，黄金的保值和抗通胀价值显现。油气能源等大宗商品主题基金方面，全球货币超发带来的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color w:val="auto"/>
          <w:sz w:val="20"/>
          <w:szCs w:val="20"/>
        </w:rPr>
        <w:t>通胀担忧</w:t>
      </w:r>
      <w:proofErr w:type="gramEnd"/>
      <w:r w:rsidRPr="0032491D">
        <w:rPr>
          <w:rFonts w:ascii="楷体" w:eastAsia="楷体" w:hAnsi="楷体" w:cs="Arial" w:hint="eastAsia"/>
          <w:color w:val="auto"/>
          <w:sz w:val="20"/>
          <w:szCs w:val="20"/>
        </w:rPr>
        <w:t>和中国经济回暖带来的需求</w:t>
      </w:r>
      <w:proofErr w:type="gramStart"/>
      <w:r w:rsidRPr="0032491D">
        <w:rPr>
          <w:rFonts w:ascii="楷体" w:eastAsia="楷体" w:hAnsi="楷体" w:cs="Arial" w:hint="eastAsia"/>
          <w:color w:val="auto"/>
          <w:sz w:val="20"/>
          <w:szCs w:val="20"/>
        </w:rPr>
        <w:t>端改善</w:t>
      </w:r>
      <w:proofErr w:type="gramEnd"/>
      <w:r w:rsidRPr="0032491D">
        <w:rPr>
          <w:rFonts w:ascii="楷体" w:eastAsia="楷体" w:hAnsi="楷体" w:cs="Arial" w:hint="eastAsia"/>
          <w:color w:val="auto"/>
          <w:sz w:val="20"/>
          <w:szCs w:val="20"/>
        </w:rPr>
        <w:t>等都有利于推升大宗商品价格。</w:t>
      </w:r>
      <w:r w:rsidRPr="0032491D">
        <w:rPr>
          <w:rFonts w:ascii="楷体" w:eastAsia="楷体" w:hAnsi="楷体" w:cs="Arial"/>
          <w:sz w:val="36"/>
          <w:szCs w:val="34"/>
        </w:rPr>
        <w:br w:type="page"/>
      </w:r>
    </w:p>
    <w:p w:rsidR="0053273E" w:rsidRPr="0032491D" w:rsidRDefault="0053273E" w:rsidP="0053273E">
      <w:pPr>
        <w:widowControl/>
        <w:jc w:val="left"/>
        <w:rPr>
          <w:rFonts w:ascii="楷体" w:eastAsia="楷体" w:hAnsi="楷体" w:cs="Arial"/>
          <w:b/>
          <w:color w:val="000080"/>
          <w:kern w:val="0"/>
          <w:sz w:val="32"/>
          <w:szCs w:val="20"/>
        </w:rPr>
      </w:pPr>
      <w:r w:rsidRPr="0032491D">
        <w:rPr>
          <w:rFonts w:ascii="楷体" w:eastAsia="楷体" w:hAnsi="楷体" w:cs="Arial"/>
          <w:b/>
          <w:color w:val="000080"/>
          <w:kern w:val="0"/>
          <w:sz w:val="32"/>
          <w:szCs w:val="20"/>
        </w:rPr>
        <w:lastRenderedPageBreak/>
        <w:t>免责声明</w:t>
      </w:r>
    </w:p>
    <w:p w:rsidR="0053273E" w:rsidRPr="0032491D" w:rsidRDefault="0053273E" w:rsidP="0053273E">
      <w:pPr>
        <w:rPr>
          <w:rFonts w:ascii="楷体" w:eastAsia="楷体" w:hAnsi="楷体" w:cs="Arial"/>
          <w:b/>
          <w:color w:val="000080"/>
          <w:kern w:val="0"/>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本报告中的所有内容版权均属上海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石财富基金销售有限公司研究中心，且不得对本文进行任何有悖原意的引用和删改。</w:t>
      </w:r>
    </w:p>
    <w:p w:rsidR="0053273E" w:rsidRPr="0032491D" w:rsidRDefault="0053273E" w:rsidP="0053273E">
      <w:pPr>
        <w:rPr>
          <w:rFonts w:ascii="楷体" w:eastAsia="楷体" w:hAnsi="楷体" w:cs="Arial"/>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53273E" w:rsidRPr="0032491D" w:rsidRDefault="0053273E" w:rsidP="0053273E">
      <w:pPr>
        <w:rPr>
          <w:rFonts w:ascii="楷体" w:eastAsia="楷体" w:hAnsi="楷体" w:cs="Arial"/>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53273E" w:rsidRPr="0032491D" w:rsidRDefault="0053273E" w:rsidP="0053273E">
      <w:pPr>
        <w:ind w:rightChars="26" w:right="55"/>
        <w:rPr>
          <w:rFonts w:ascii="楷体" w:eastAsia="楷体" w:hAnsi="楷体" w:cs="Arial"/>
          <w:sz w:val="13"/>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A4D12" w:rsidRPr="0053273E" w:rsidRDefault="005A4D12"/>
    <w:sectPr w:rsidR="005A4D12" w:rsidRPr="0053273E" w:rsidSect="00FC5199">
      <w:headerReference w:type="default" r:id="rId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64" w:rsidRDefault="00680F64">
      <w:r>
        <w:separator/>
      </w:r>
    </w:p>
  </w:endnote>
  <w:endnote w:type="continuationSeparator" w:id="0">
    <w:p w:rsidR="00680F64" w:rsidRDefault="0068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大黑简">
    <w:altName w:val="宋体"/>
    <w:charset w:val="86"/>
    <w:family w:val="modern"/>
    <w:pitch w:val="fixed"/>
    <w:sig w:usb0="00000001" w:usb1="080E0800" w:usb2="00000012"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41" w:rsidRPr="00D52111" w:rsidRDefault="003A2B41" w:rsidP="00FC5199">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56192" behindDoc="0" locked="0" layoutInCell="1" allowOverlap="1" wp14:anchorId="0CC9E4B7" wp14:editId="38580ABC">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58240" behindDoc="0" locked="0" layoutInCell="1" allowOverlap="1" wp14:anchorId="24A0A85D" wp14:editId="4267B800">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DB5F50" w:rsidRPr="00DB5F50">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DB5F50" w:rsidRPr="00DB5F50">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3A2B41" w:rsidRDefault="003A2B41">
    <w:pPr>
      <w:pStyle w:val="a4"/>
      <w:rPr>
        <w:sz w:val="4"/>
        <w:szCs w:val="4"/>
      </w:rPr>
    </w:pPr>
  </w:p>
  <w:p w:rsidR="003A2B41" w:rsidRDefault="003A2B41">
    <w:pPr>
      <w:pStyle w:val="a4"/>
      <w:rPr>
        <w:rFonts w:ascii="楷体_GB2312"/>
        <w:sz w:val="4"/>
        <w:szCs w:val="4"/>
      </w:rPr>
    </w:pPr>
  </w:p>
  <w:p w:rsidR="003A2B41" w:rsidRPr="00F957FD" w:rsidRDefault="003A2B41" w:rsidP="00FC5199">
    <w:pPr>
      <w:pStyle w:val="a4"/>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64" w:rsidRDefault="00680F64">
      <w:r>
        <w:separator/>
      </w:r>
    </w:p>
  </w:footnote>
  <w:footnote w:type="continuationSeparator" w:id="0">
    <w:p w:rsidR="00680F64" w:rsidRDefault="00680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41" w:rsidRDefault="003A2B41">
    <w:pPr>
      <w:pStyle w:val="a3"/>
      <w:pBdr>
        <w:bottom w:val="none" w:sz="0" w:space="0" w:color="auto"/>
      </w:pBdr>
    </w:pPr>
    <w:r>
      <w:rPr>
        <w:rFonts w:ascii="Arial" w:hAnsi="Arial" w:cs="Arial"/>
        <w:noProof/>
      </w:rPr>
      <w:drawing>
        <wp:anchor distT="0" distB="0" distL="114300" distR="114300" simplePos="0" relativeHeight="251654144" behindDoc="0" locked="0" layoutInCell="1" allowOverlap="1" wp14:anchorId="05D6B48F" wp14:editId="18D99251">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B41" w:rsidRDefault="003A2B41">
    <w:r>
      <w:rPr>
        <w:noProof/>
      </w:rPr>
      <mc:AlternateContent>
        <mc:Choice Requires="wps">
          <w:drawing>
            <wp:anchor distT="0" distB="0" distL="114300" distR="114300" simplePos="0" relativeHeight="251661312" behindDoc="0" locked="0" layoutInCell="1" allowOverlap="1" wp14:anchorId="6DCEE206" wp14:editId="34C1EDA7">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B41" w:rsidRPr="00880D7C" w:rsidRDefault="003A2B41" w:rsidP="00FC5199">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3A2B41" w:rsidRPr="00880D7C" w:rsidRDefault="003A2B41" w:rsidP="00FC5199">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EC6E1AF" wp14:editId="7ECCAB05">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41" w:rsidRDefault="003A2B41">
    <w:pPr>
      <w:pStyle w:val="a3"/>
      <w:pBdr>
        <w:bottom w:val="none" w:sz="0" w:space="0" w:color="auto"/>
      </w:pBdr>
      <w:jc w:val="both"/>
    </w:pPr>
    <w:r>
      <w:rPr>
        <w:noProof/>
      </w:rPr>
      <mc:AlternateContent>
        <mc:Choice Requires="wps">
          <w:drawing>
            <wp:anchor distT="0" distB="0" distL="114300" distR="114300" simplePos="0" relativeHeight="251655168" behindDoc="0" locked="0" layoutInCell="1" allowOverlap="1" wp14:anchorId="748460AA" wp14:editId="157D5039">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B41" w:rsidRPr="00880D7C" w:rsidRDefault="003A2B41" w:rsidP="00FC5199">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624619" w:rsidRPr="00880D7C" w:rsidRDefault="0053273E" w:rsidP="00943C56">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sidRPr="00573A8D">
                      <w:rPr>
                        <w:rFonts w:ascii="楷体" w:eastAsia="楷体" w:hAnsi="楷体" w:hint="eastAsia"/>
                        <w:b/>
                        <w:color w:val="996600"/>
                        <w:sz w:val="22"/>
                      </w:rPr>
                      <w:t>*</w:t>
                    </w:r>
                    <w:r w:rsidRPr="00573A8D">
                      <w:rPr>
                        <w:rFonts w:ascii="楷体" w:eastAsia="楷体" w:hAnsi="楷体" w:hint="eastAsia"/>
                        <w:b/>
                        <w:color w:val="996600"/>
                        <w:sz w:val="22"/>
                      </w:rPr>
                      <w:t>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59264" behindDoc="0" locked="0" layoutInCell="1" allowOverlap="1" wp14:anchorId="037B54EE" wp14:editId="2D75E71C">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3A2B41" w:rsidRDefault="003A2B41">
    <w:pPr>
      <w:pStyle w:val="a3"/>
      <w:pBdr>
        <w:bottom w:val="none" w:sz="0" w:space="0" w:color="auto"/>
      </w:pBdr>
      <w:spacing w:line="120" w:lineRule="exact"/>
      <w:jc w:val="both"/>
    </w:pPr>
    <w:r>
      <w:rPr>
        <w:noProof/>
      </w:rPr>
      <mc:AlternateContent>
        <mc:Choice Requires="wps">
          <w:drawing>
            <wp:anchor distT="0" distB="0" distL="114300" distR="114300" simplePos="0" relativeHeight="251657216" behindDoc="0" locked="0" layoutInCell="1" allowOverlap="1" wp14:anchorId="1F2FDCF0" wp14:editId="0A3BACC5">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DF97"/>
      </v:shape>
    </w:pict>
  </w:numPicBullet>
  <w:numPicBullet w:numPicBulletId="1">
    <w:pict>
      <v:shape id="_x0000_i1053" type="#_x0000_t75" style="width:11.25pt;height:11.25pt" o:bullet="t">
        <v:imagedata r:id="rId2" o:title="msoA66A"/>
      </v:shape>
    </w:pict>
  </w:numPicBullet>
  <w:abstractNum w:abstractNumId="0">
    <w:nsid w:val="0AB744F3"/>
    <w:multiLevelType w:val="hybridMultilevel"/>
    <w:tmpl w:val="B2A6FCCA"/>
    <w:lvl w:ilvl="0" w:tplc="04090007">
      <w:start w:val="1"/>
      <w:numFmt w:val="bullet"/>
      <w:lvlText w:val=""/>
      <w:lvlPicBulletId w:val="1"/>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3E"/>
    <w:rsid w:val="0006170E"/>
    <w:rsid w:val="000A5EFA"/>
    <w:rsid w:val="00270D6D"/>
    <w:rsid w:val="002851A0"/>
    <w:rsid w:val="002E0C50"/>
    <w:rsid w:val="00325556"/>
    <w:rsid w:val="003A2B41"/>
    <w:rsid w:val="0053273E"/>
    <w:rsid w:val="00541A7B"/>
    <w:rsid w:val="005A2F60"/>
    <w:rsid w:val="005A3B05"/>
    <w:rsid w:val="005A4D12"/>
    <w:rsid w:val="006200FC"/>
    <w:rsid w:val="00654571"/>
    <w:rsid w:val="00680F64"/>
    <w:rsid w:val="006C29BB"/>
    <w:rsid w:val="007650E2"/>
    <w:rsid w:val="00786BE3"/>
    <w:rsid w:val="007A39E5"/>
    <w:rsid w:val="007E17CD"/>
    <w:rsid w:val="00855D61"/>
    <w:rsid w:val="00863229"/>
    <w:rsid w:val="0087236E"/>
    <w:rsid w:val="0095464C"/>
    <w:rsid w:val="009736C2"/>
    <w:rsid w:val="00975D77"/>
    <w:rsid w:val="009C2C92"/>
    <w:rsid w:val="00A36CC5"/>
    <w:rsid w:val="00A86504"/>
    <w:rsid w:val="00A867D5"/>
    <w:rsid w:val="00B214B7"/>
    <w:rsid w:val="00B36BE6"/>
    <w:rsid w:val="00B62338"/>
    <w:rsid w:val="00C32C72"/>
    <w:rsid w:val="00C90E8C"/>
    <w:rsid w:val="00D401CE"/>
    <w:rsid w:val="00D94F5B"/>
    <w:rsid w:val="00DB5F50"/>
    <w:rsid w:val="00E162B2"/>
    <w:rsid w:val="00E54B26"/>
    <w:rsid w:val="00E917C3"/>
    <w:rsid w:val="00F357E3"/>
    <w:rsid w:val="00F40C8A"/>
    <w:rsid w:val="00F63767"/>
    <w:rsid w:val="00FA0990"/>
    <w:rsid w:val="00FC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273E"/>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53273E"/>
    <w:rPr>
      <w:rFonts w:ascii="Times New Roman" w:eastAsia="楷体_GB2312" w:hAnsi="Times New Roman" w:cs="Times New Roman"/>
      <w:sz w:val="18"/>
      <w:szCs w:val="18"/>
    </w:rPr>
  </w:style>
  <w:style w:type="paragraph" w:styleId="a4">
    <w:name w:val="footer"/>
    <w:basedOn w:val="a"/>
    <w:link w:val="Char0"/>
    <w:rsid w:val="0053273E"/>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53273E"/>
    <w:rPr>
      <w:rFonts w:ascii="Times New Roman" w:eastAsia="楷体_GB2312" w:hAnsi="Times New Roman" w:cs="Times New Roman"/>
      <w:sz w:val="18"/>
      <w:szCs w:val="18"/>
    </w:rPr>
  </w:style>
  <w:style w:type="paragraph" w:styleId="a5">
    <w:name w:val="Block Text"/>
    <w:basedOn w:val="a"/>
    <w:rsid w:val="0053273E"/>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53273E"/>
    <w:pPr>
      <w:ind w:firstLineChars="200" w:firstLine="420"/>
    </w:pPr>
    <w:rPr>
      <w:rFonts w:ascii="Times New Roman" w:eastAsia="楷体_GB2312" w:hAnsi="Times New Roman" w:cs="Times New Roman"/>
      <w:szCs w:val="24"/>
    </w:rPr>
  </w:style>
  <w:style w:type="character" w:customStyle="1" w:styleId="textsmall2">
    <w:name w:val="text_small2"/>
    <w:basedOn w:val="a0"/>
    <w:rsid w:val="0053273E"/>
  </w:style>
  <w:style w:type="paragraph" w:styleId="a7">
    <w:name w:val="Balloon Text"/>
    <w:basedOn w:val="a"/>
    <w:link w:val="Char1"/>
    <w:uiPriority w:val="99"/>
    <w:semiHidden/>
    <w:unhideWhenUsed/>
    <w:rsid w:val="0053273E"/>
    <w:rPr>
      <w:sz w:val="18"/>
      <w:szCs w:val="18"/>
    </w:rPr>
  </w:style>
  <w:style w:type="character" w:customStyle="1" w:styleId="Char1">
    <w:name w:val="批注框文本 Char"/>
    <w:basedOn w:val="a0"/>
    <w:link w:val="a7"/>
    <w:uiPriority w:val="99"/>
    <w:semiHidden/>
    <w:rsid w:val="005327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273E"/>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53273E"/>
    <w:rPr>
      <w:rFonts w:ascii="Times New Roman" w:eastAsia="楷体_GB2312" w:hAnsi="Times New Roman" w:cs="Times New Roman"/>
      <w:sz w:val="18"/>
      <w:szCs w:val="18"/>
    </w:rPr>
  </w:style>
  <w:style w:type="paragraph" w:styleId="a4">
    <w:name w:val="footer"/>
    <w:basedOn w:val="a"/>
    <w:link w:val="Char0"/>
    <w:rsid w:val="0053273E"/>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53273E"/>
    <w:rPr>
      <w:rFonts w:ascii="Times New Roman" w:eastAsia="楷体_GB2312" w:hAnsi="Times New Roman" w:cs="Times New Roman"/>
      <w:sz w:val="18"/>
      <w:szCs w:val="18"/>
    </w:rPr>
  </w:style>
  <w:style w:type="paragraph" w:styleId="a5">
    <w:name w:val="Block Text"/>
    <w:basedOn w:val="a"/>
    <w:rsid w:val="0053273E"/>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53273E"/>
    <w:pPr>
      <w:ind w:firstLineChars="200" w:firstLine="420"/>
    </w:pPr>
    <w:rPr>
      <w:rFonts w:ascii="Times New Roman" w:eastAsia="楷体_GB2312" w:hAnsi="Times New Roman" w:cs="Times New Roman"/>
      <w:szCs w:val="24"/>
    </w:rPr>
  </w:style>
  <w:style w:type="character" w:customStyle="1" w:styleId="textsmall2">
    <w:name w:val="text_small2"/>
    <w:basedOn w:val="a0"/>
    <w:rsid w:val="0053273E"/>
  </w:style>
  <w:style w:type="paragraph" w:styleId="a7">
    <w:name w:val="Balloon Text"/>
    <w:basedOn w:val="a"/>
    <w:link w:val="Char1"/>
    <w:uiPriority w:val="99"/>
    <w:semiHidden/>
    <w:unhideWhenUsed/>
    <w:rsid w:val="0053273E"/>
    <w:rPr>
      <w:sz w:val="18"/>
      <w:szCs w:val="18"/>
    </w:rPr>
  </w:style>
  <w:style w:type="character" w:customStyle="1" w:styleId="Char1">
    <w:name w:val="批注框文本 Char"/>
    <w:basedOn w:val="a0"/>
    <w:link w:val="a7"/>
    <w:uiPriority w:val="99"/>
    <w:semiHidden/>
    <w:rsid w:val="00532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综合</c:v>
                </c:pt>
                <c:pt idx="1">
                  <c:v>传媒</c:v>
                </c:pt>
                <c:pt idx="2">
                  <c:v>计算机</c:v>
                </c:pt>
                <c:pt idx="3">
                  <c:v>建材</c:v>
                </c:pt>
                <c:pt idx="4">
                  <c:v>煤炭</c:v>
                </c:pt>
                <c:pt idx="5">
                  <c:v>通信</c:v>
                </c:pt>
                <c:pt idx="6">
                  <c:v>钢铁</c:v>
                </c:pt>
                <c:pt idx="7">
                  <c:v>餐饮旅游</c:v>
                </c:pt>
                <c:pt idx="8">
                  <c:v>电子元器件</c:v>
                </c:pt>
                <c:pt idx="9">
                  <c:v>基础化工</c:v>
                </c:pt>
                <c:pt idx="10">
                  <c:v>电力设备</c:v>
                </c:pt>
                <c:pt idx="11">
                  <c:v>商贸零售</c:v>
                </c:pt>
                <c:pt idx="12">
                  <c:v>机械</c:v>
                </c:pt>
                <c:pt idx="13">
                  <c:v>纺织服装</c:v>
                </c:pt>
                <c:pt idx="14">
                  <c:v>有色金属</c:v>
                </c:pt>
                <c:pt idx="15">
                  <c:v>汽车</c:v>
                </c:pt>
                <c:pt idx="16">
                  <c:v>轻工制造</c:v>
                </c:pt>
                <c:pt idx="17">
                  <c:v>建筑</c:v>
                </c:pt>
                <c:pt idx="18">
                  <c:v>房地产</c:v>
                </c:pt>
                <c:pt idx="19">
                  <c:v>国防军工</c:v>
                </c:pt>
                <c:pt idx="20">
                  <c:v>石油石化</c:v>
                </c:pt>
                <c:pt idx="21">
                  <c:v>交通运输</c:v>
                </c:pt>
                <c:pt idx="22">
                  <c:v>非银行金融</c:v>
                </c:pt>
                <c:pt idx="23">
                  <c:v>医药</c:v>
                </c:pt>
                <c:pt idx="24">
                  <c:v>电力及公用事业</c:v>
                </c:pt>
                <c:pt idx="25">
                  <c:v>农林牧渔</c:v>
                </c:pt>
                <c:pt idx="26">
                  <c:v>家电</c:v>
                </c:pt>
                <c:pt idx="27">
                  <c:v>银行</c:v>
                </c:pt>
                <c:pt idx="28">
                  <c:v>食品饮料</c:v>
                </c:pt>
              </c:strCache>
            </c:strRef>
          </c:cat>
          <c:val>
            <c:numRef>
              <c:f>报告图表!$B$30:$B$58</c:f>
              <c:numCache>
                <c:formatCode>0.00%</c:formatCode>
                <c:ptCount val="29"/>
                <c:pt idx="0">
                  <c:v>-9.3236349788731854E-2</c:v>
                </c:pt>
                <c:pt idx="1">
                  <c:v>-8.5299370978228262E-2</c:v>
                </c:pt>
                <c:pt idx="2">
                  <c:v>-7.7214781126498266E-2</c:v>
                </c:pt>
                <c:pt idx="3">
                  <c:v>-7.4778241850663285E-2</c:v>
                </c:pt>
                <c:pt idx="4">
                  <c:v>-7.0676244908021491E-2</c:v>
                </c:pt>
                <c:pt idx="5">
                  <c:v>-6.6578972469484743E-2</c:v>
                </c:pt>
                <c:pt idx="6">
                  <c:v>-6.4969055776192164E-2</c:v>
                </c:pt>
                <c:pt idx="7">
                  <c:v>-6.2714447033217824E-2</c:v>
                </c:pt>
                <c:pt idx="8">
                  <c:v>-5.8331166590830714E-2</c:v>
                </c:pt>
                <c:pt idx="9">
                  <c:v>-5.7500454867854704E-2</c:v>
                </c:pt>
                <c:pt idx="10">
                  <c:v>-5.5467300710000833E-2</c:v>
                </c:pt>
                <c:pt idx="11">
                  <c:v>-5.5464241440749455E-2</c:v>
                </c:pt>
                <c:pt idx="12">
                  <c:v>-5.543332556407455E-2</c:v>
                </c:pt>
                <c:pt idx="13">
                  <c:v>-5.5061906294363139E-2</c:v>
                </c:pt>
                <c:pt idx="14">
                  <c:v>-5.2615808062547058E-2</c:v>
                </c:pt>
                <c:pt idx="15">
                  <c:v>-5.2438722757723877E-2</c:v>
                </c:pt>
                <c:pt idx="16">
                  <c:v>-5.2038899719032417E-2</c:v>
                </c:pt>
                <c:pt idx="17">
                  <c:v>-5.1881907528082645E-2</c:v>
                </c:pt>
                <c:pt idx="18">
                  <c:v>-5.15852719997495E-2</c:v>
                </c:pt>
                <c:pt idx="19">
                  <c:v>-4.7671028370074975E-2</c:v>
                </c:pt>
                <c:pt idx="20">
                  <c:v>-4.1309210828392784E-2</c:v>
                </c:pt>
                <c:pt idx="21">
                  <c:v>-2.5982402233273971E-2</c:v>
                </c:pt>
                <c:pt idx="22">
                  <c:v>-2.482537260124229E-2</c:v>
                </c:pt>
                <c:pt idx="23">
                  <c:v>-2.4214496732215984E-2</c:v>
                </c:pt>
                <c:pt idx="24">
                  <c:v>-2.3626223278603975E-2</c:v>
                </c:pt>
                <c:pt idx="25">
                  <c:v>-1.8221681693754266E-2</c:v>
                </c:pt>
                <c:pt idx="26">
                  <c:v>-1.5095352361578884E-2</c:v>
                </c:pt>
                <c:pt idx="27">
                  <c:v>-8.650493353961286E-3</c:v>
                </c:pt>
                <c:pt idx="28">
                  <c:v>4.7392790310423205E-3</c:v>
                </c:pt>
              </c:numCache>
            </c:numRef>
          </c:val>
        </c:ser>
        <c:dLbls>
          <c:showLegendKey val="0"/>
          <c:showVal val="0"/>
          <c:showCatName val="0"/>
          <c:showSerName val="0"/>
          <c:showPercent val="0"/>
          <c:showBubbleSize val="0"/>
        </c:dLbls>
        <c:gapWidth val="150"/>
        <c:axId val="247644160"/>
        <c:axId val="241355584"/>
      </c:barChart>
      <c:catAx>
        <c:axId val="247644160"/>
        <c:scaling>
          <c:orientation val="minMax"/>
        </c:scaling>
        <c:delete val="0"/>
        <c:axPos val="l"/>
        <c:majorTickMark val="out"/>
        <c:minorTickMark val="none"/>
        <c:tickLblPos val="low"/>
        <c:txPr>
          <a:bodyPr/>
          <a:lstStyle/>
          <a:p>
            <a:pPr>
              <a:defRPr sz="600"/>
            </a:pPr>
            <a:endParaRPr lang="zh-CN"/>
          </a:p>
        </c:txPr>
        <c:crossAx val="241355584"/>
        <c:crosses val="autoZero"/>
        <c:auto val="1"/>
        <c:lblAlgn val="ctr"/>
        <c:lblOffset val="100"/>
        <c:noMultiLvlLbl val="0"/>
      </c:catAx>
      <c:valAx>
        <c:axId val="241355584"/>
        <c:scaling>
          <c:orientation val="minMax"/>
        </c:scaling>
        <c:delete val="0"/>
        <c:axPos val="b"/>
        <c:majorGridlines/>
        <c:numFmt formatCode="0%" sourceLinked="0"/>
        <c:majorTickMark val="out"/>
        <c:minorTickMark val="none"/>
        <c:tickLblPos val="nextTo"/>
        <c:txPr>
          <a:bodyPr/>
          <a:lstStyle/>
          <a:p>
            <a:pPr>
              <a:defRPr sz="600"/>
            </a:pPr>
            <a:endParaRPr lang="zh-CN"/>
          </a:p>
        </c:txPr>
        <c:crossAx val="24764416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206</TotalTime>
  <Pages>5</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俞辰瑶</dc:creator>
  <cp:lastModifiedBy>sangliuyu@hotmail.com</cp:lastModifiedBy>
  <cp:revision>26</cp:revision>
  <dcterms:created xsi:type="dcterms:W3CDTF">2016-05-09T02:26:00Z</dcterms:created>
  <dcterms:modified xsi:type="dcterms:W3CDTF">2016-05-16T04:30:00Z</dcterms:modified>
</cp:coreProperties>
</file>