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E9280D" w:rsidRPr="0032491D" w:rsidTr="00943C56">
        <w:trPr>
          <w:trHeight w:val="532"/>
        </w:trPr>
        <w:tc>
          <w:tcPr>
            <w:tcW w:w="7621" w:type="dxa"/>
            <w:tcBorders>
              <w:top w:val="single" w:sz="4" w:space="0" w:color="auto"/>
            </w:tcBorders>
            <w:shd w:val="clear" w:color="auto" w:fill="F0EAC6"/>
          </w:tcPr>
          <w:p w:rsidR="00E9280D" w:rsidRPr="0032491D" w:rsidRDefault="00E9280D" w:rsidP="00943C56">
            <w:pPr>
              <w:rPr>
                <w:rFonts w:ascii="楷体" w:eastAsia="楷体" w:hAnsi="楷体" w:cs="Arial"/>
                <w:b/>
                <w:sz w:val="32"/>
              </w:rPr>
            </w:pPr>
            <w:proofErr w:type="gramStart"/>
            <w:r w:rsidRPr="0032491D">
              <w:rPr>
                <w:rFonts w:ascii="楷体" w:eastAsia="楷体" w:hAnsi="楷体" w:cs="Arial"/>
                <w:b/>
                <w:sz w:val="32"/>
              </w:rPr>
              <w:t>凯</w:t>
            </w:r>
            <w:proofErr w:type="gramEnd"/>
            <w:r w:rsidRPr="0032491D">
              <w:rPr>
                <w:rFonts w:ascii="楷体" w:eastAsia="楷体" w:hAnsi="楷体" w:cs="Arial"/>
                <w:b/>
                <w:sz w:val="32"/>
              </w:rPr>
              <w:t>石公</w:t>
            </w:r>
            <w:proofErr w:type="gramStart"/>
            <w:r w:rsidRPr="0032491D">
              <w:rPr>
                <w:rFonts w:ascii="楷体" w:eastAsia="楷体" w:hAnsi="楷体" w:cs="Arial"/>
                <w:b/>
                <w:sz w:val="32"/>
              </w:rPr>
              <w:t>募基金</w:t>
            </w:r>
            <w:proofErr w:type="gramEnd"/>
            <w:r w:rsidRPr="0032491D">
              <w:rPr>
                <w:rFonts w:ascii="楷体" w:eastAsia="楷体" w:hAnsi="楷体" w:cs="Arial" w:hint="eastAsia"/>
                <w:b/>
                <w:sz w:val="32"/>
              </w:rPr>
              <w:t>周</w:t>
            </w:r>
            <w:r w:rsidRPr="0032491D">
              <w:rPr>
                <w:rFonts w:ascii="楷体" w:eastAsia="楷体" w:hAnsi="楷体" w:cs="Arial"/>
                <w:b/>
                <w:sz w:val="32"/>
              </w:rPr>
              <w:t>报</w:t>
            </w:r>
          </w:p>
          <w:p w:rsidR="00E9280D" w:rsidRPr="0032491D" w:rsidRDefault="00E9280D" w:rsidP="00E9280D">
            <w:pPr>
              <w:rPr>
                <w:rFonts w:ascii="楷体" w:eastAsia="楷体" w:hAnsi="楷体" w:cs="Arial"/>
                <w:b/>
                <w:sz w:val="32"/>
              </w:rPr>
            </w:pPr>
            <w:r w:rsidRPr="0032491D">
              <w:rPr>
                <w:rFonts w:ascii="楷体" w:eastAsia="楷体" w:hAnsi="楷体" w:cs="Arial"/>
                <w:b/>
                <w:sz w:val="32"/>
              </w:rPr>
              <w:softHyphen/>
            </w:r>
            <w:r w:rsidRPr="0032491D">
              <w:rPr>
                <w:rFonts w:ascii="楷体" w:eastAsia="楷体" w:hAnsi="楷体" w:cs="Arial"/>
                <w:b/>
                <w:sz w:val="32"/>
              </w:rPr>
              <w:softHyphen/>
              <w:t>——</w:t>
            </w:r>
            <w:r w:rsidR="005E4776">
              <w:rPr>
                <w:rFonts w:ascii="楷体" w:eastAsia="楷体" w:hAnsi="楷体" w:cs="Arial"/>
                <w:b/>
                <w:sz w:val="32"/>
              </w:rPr>
              <w:t>债市资金</w:t>
            </w:r>
            <w:r w:rsidR="007E5EFB">
              <w:rPr>
                <w:rFonts w:ascii="楷体" w:eastAsia="楷体" w:hAnsi="楷体" w:cs="Arial"/>
                <w:b/>
                <w:sz w:val="32"/>
              </w:rPr>
              <w:t>恐慌暂缓</w:t>
            </w:r>
            <w:r w:rsidR="007E5EFB">
              <w:rPr>
                <w:rFonts w:ascii="楷体" w:eastAsia="楷体" w:hAnsi="楷体" w:cs="Arial" w:hint="eastAsia"/>
                <w:b/>
                <w:sz w:val="32"/>
              </w:rPr>
              <w:t>，</w:t>
            </w:r>
            <w:bookmarkStart w:id="0" w:name="_GoBack"/>
            <w:proofErr w:type="gramStart"/>
            <w:r w:rsidR="00CF3D84">
              <w:rPr>
                <w:rFonts w:ascii="楷体" w:eastAsia="楷体" w:hAnsi="楷体" w:cs="Arial" w:hint="eastAsia"/>
                <w:b/>
                <w:sz w:val="32"/>
              </w:rPr>
              <w:t>股混基金</w:t>
            </w:r>
            <w:proofErr w:type="gramEnd"/>
            <w:r w:rsidR="00CF3D84">
              <w:rPr>
                <w:rFonts w:ascii="楷体" w:eastAsia="楷体" w:hAnsi="楷体" w:cs="Arial" w:hint="eastAsia"/>
                <w:b/>
                <w:sz w:val="32"/>
              </w:rPr>
              <w:t>谨慎为上</w:t>
            </w:r>
            <w:bookmarkEnd w:id="0"/>
          </w:p>
        </w:tc>
      </w:tr>
      <w:tr w:rsidR="00E9280D" w:rsidRPr="0032491D" w:rsidTr="00943C56">
        <w:trPr>
          <w:trHeight w:val="11778"/>
        </w:trPr>
        <w:tc>
          <w:tcPr>
            <w:tcW w:w="7621" w:type="dxa"/>
          </w:tcPr>
          <w:p w:rsidR="00E9280D" w:rsidRPr="0032491D" w:rsidRDefault="00E9280D" w:rsidP="00943C56">
            <w:pPr>
              <w:pStyle w:val="a6"/>
              <w:numPr>
                <w:ilvl w:val="0"/>
                <w:numId w:val="3"/>
              </w:numPr>
              <w:spacing w:line="300" w:lineRule="auto"/>
              <w:ind w:firstLineChars="0"/>
              <w:rPr>
                <w:rStyle w:val="textsmall2"/>
                <w:rFonts w:ascii="楷体" w:eastAsia="楷体" w:hAnsi="楷体" w:cs="Arial"/>
                <w:b/>
                <w:color w:val="000000"/>
                <w:sz w:val="22"/>
                <w:szCs w:val="22"/>
              </w:rPr>
            </w:pPr>
            <w:r w:rsidRPr="0032491D">
              <w:rPr>
                <w:rStyle w:val="textsmall2"/>
                <w:rFonts w:ascii="楷体" w:eastAsia="楷体" w:hAnsi="楷体" w:cs="Arial" w:hint="eastAsia"/>
                <w:b/>
                <w:color w:val="000000"/>
                <w:sz w:val="22"/>
                <w:szCs w:val="22"/>
              </w:rPr>
              <w:t>一周资本市场回顾</w:t>
            </w:r>
          </w:p>
          <w:p w:rsidR="00BF3E90" w:rsidRDefault="00E9280D" w:rsidP="00943C56">
            <w:pPr>
              <w:rPr>
                <w:rStyle w:val="textsmall2"/>
                <w:rFonts w:ascii="楷体" w:eastAsia="楷体" w:hAnsi="楷体" w:cs="Arial"/>
                <w:b/>
                <w:sz w:val="18"/>
                <w:szCs w:val="20"/>
              </w:rPr>
            </w:pPr>
            <w:r w:rsidRPr="0032491D">
              <w:rPr>
                <w:rStyle w:val="textsmall2"/>
                <w:rFonts w:ascii="楷体" w:eastAsia="楷体" w:hAnsi="楷体" w:cs="Arial"/>
                <w:b/>
                <w:sz w:val="18"/>
                <w:szCs w:val="20"/>
              </w:rPr>
              <w:t>A</w:t>
            </w:r>
            <w:r w:rsidRPr="0032491D">
              <w:rPr>
                <w:rStyle w:val="textsmall2"/>
                <w:rFonts w:ascii="楷体" w:eastAsia="楷体" w:hAnsi="楷体" w:cs="Arial" w:hint="eastAsia"/>
                <w:b/>
                <w:sz w:val="18"/>
                <w:szCs w:val="20"/>
              </w:rPr>
              <w:t>股市场：</w:t>
            </w:r>
            <w:r w:rsidR="00BF3E90" w:rsidRPr="00BF3E90">
              <w:rPr>
                <w:rFonts w:ascii="楷体" w:eastAsia="楷体" w:hAnsi="楷体" w:cs="Arial" w:hint="eastAsia"/>
                <w:b/>
                <w:color w:val="000000" w:themeColor="text1"/>
                <w:sz w:val="18"/>
                <w:szCs w:val="20"/>
              </w:rPr>
              <w:t>3000点昙花一现，市场人气小幅回升，但做多信心不足。</w:t>
            </w:r>
            <w:r w:rsidR="00BF3E90" w:rsidRPr="00BF3E90">
              <w:rPr>
                <w:rFonts w:ascii="楷体" w:eastAsia="楷体" w:hAnsi="楷体" w:cs="Arial" w:hint="eastAsia"/>
                <w:color w:val="000000" w:themeColor="text1"/>
                <w:sz w:val="18"/>
                <w:szCs w:val="20"/>
              </w:rPr>
              <w:t>节后首个交易日，</w:t>
            </w:r>
            <w:r w:rsidR="00943C56" w:rsidRPr="00943C56">
              <w:rPr>
                <w:rFonts w:ascii="楷体" w:eastAsia="楷体" w:hAnsi="楷体" w:cs="Arial" w:hint="eastAsia"/>
                <w:color w:val="000000" w:themeColor="text1"/>
                <w:sz w:val="18"/>
                <w:szCs w:val="20"/>
              </w:rPr>
              <w:t>或许是由于“股市”二</w:t>
            </w:r>
            <w:proofErr w:type="gramStart"/>
            <w:r w:rsidR="00943C56" w:rsidRPr="00943C56">
              <w:rPr>
                <w:rFonts w:ascii="楷体" w:eastAsia="楷体" w:hAnsi="楷体" w:cs="Arial" w:hint="eastAsia"/>
                <w:color w:val="000000" w:themeColor="text1"/>
                <w:sz w:val="18"/>
                <w:szCs w:val="20"/>
              </w:rPr>
              <w:t>字首次</w:t>
            </w:r>
            <w:proofErr w:type="gramEnd"/>
            <w:r w:rsidR="00943C56" w:rsidRPr="00943C56">
              <w:rPr>
                <w:rFonts w:ascii="楷体" w:eastAsia="楷体" w:hAnsi="楷体" w:cs="Arial" w:hint="eastAsia"/>
                <w:color w:val="000000" w:themeColor="text1"/>
                <w:sz w:val="18"/>
                <w:szCs w:val="20"/>
              </w:rPr>
              <w:t>出现在中央政治局这样高级别的场合，创造了A股的历史，</w:t>
            </w:r>
            <w:r w:rsidR="00BF3E90" w:rsidRPr="00BF3E90">
              <w:rPr>
                <w:rFonts w:ascii="楷体" w:eastAsia="楷体" w:hAnsi="楷体" w:cs="Arial" w:hint="eastAsia"/>
                <w:color w:val="000000" w:themeColor="text1"/>
                <w:sz w:val="18"/>
                <w:szCs w:val="20"/>
              </w:rPr>
              <w:t>市场一扫上周阴霾，上证综指反弹近2%，迎来5月开门红</w:t>
            </w:r>
            <w:r w:rsidR="00943C56">
              <w:rPr>
                <w:rFonts w:ascii="楷体" w:eastAsia="楷体" w:hAnsi="楷体" w:cs="Arial" w:hint="eastAsia"/>
                <w:color w:val="000000" w:themeColor="text1"/>
                <w:sz w:val="18"/>
                <w:szCs w:val="20"/>
              </w:rPr>
              <w:t>。</w:t>
            </w:r>
            <w:r w:rsidR="00BF3E90" w:rsidRPr="00BF3E90">
              <w:rPr>
                <w:rFonts w:ascii="楷体" w:eastAsia="楷体" w:hAnsi="楷体" w:cs="Arial" w:hint="eastAsia"/>
                <w:color w:val="000000" w:themeColor="text1"/>
                <w:sz w:val="18"/>
                <w:szCs w:val="20"/>
              </w:rPr>
              <w:t>但在随后的两个交易日</w:t>
            </w:r>
            <w:r w:rsidR="00943C56">
              <w:rPr>
                <w:rFonts w:ascii="楷体" w:eastAsia="楷体" w:hAnsi="楷体" w:cs="Arial" w:hint="eastAsia"/>
                <w:color w:val="000000" w:themeColor="text1"/>
                <w:sz w:val="18"/>
                <w:szCs w:val="20"/>
              </w:rPr>
              <w:t>股市</w:t>
            </w:r>
            <w:r w:rsidR="00BF3E90" w:rsidRPr="00BF3E90">
              <w:rPr>
                <w:rFonts w:ascii="楷体" w:eastAsia="楷体" w:hAnsi="楷体" w:cs="Arial" w:hint="eastAsia"/>
                <w:color w:val="000000" w:themeColor="text1"/>
                <w:sz w:val="18"/>
                <w:szCs w:val="20"/>
              </w:rPr>
              <w:t>弱势整理， 3000点昙花一现，周五收盘更是放量大跌近3%，击穿60日均线。尽管市场做多信心不足，但与上周相比，两融余额、成交额、资金情况均显示市场人气有所回升。全周来看，上证综指跌0.85%，沪深300跌0.84%，中小板指跌0.80%、创业板指跌0.45%。29个中信</w:t>
            </w:r>
            <w:proofErr w:type="gramStart"/>
            <w:r w:rsidR="00BF3E90" w:rsidRPr="00BF3E90">
              <w:rPr>
                <w:rFonts w:ascii="楷体" w:eastAsia="楷体" w:hAnsi="楷体" w:cs="Arial" w:hint="eastAsia"/>
                <w:color w:val="000000" w:themeColor="text1"/>
                <w:sz w:val="18"/>
                <w:szCs w:val="20"/>
              </w:rPr>
              <w:t>一级行业</w:t>
            </w:r>
            <w:proofErr w:type="gramEnd"/>
            <w:r w:rsidR="00BF3E90" w:rsidRPr="00BF3E90">
              <w:rPr>
                <w:rFonts w:ascii="楷体" w:eastAsia="楷体" w:hAnsi="楷体" w:cs="Arial" w:hint="eastAsia"/>
                <w:color w:val="000000" w:themeColor="text1"/>
                <w:sz w:val="18"/>
                <w:szCs w:val="20"/>
              </w:rPr>
              <w:t>有8个行业上涨，其中交通运输（1.48%）、食品饮料（0.88%）、电子元器件（0.73%）等行业表现相对较好，煤炭（-5.71%）、钢铁（-2.88%）、综合（-2.83%）等行业表现垫底。</w:t>
            </w:r>
          </w:p>
          <w:p w:rsidR="0075040A" w:rsidRDefault="00E9280D" w:rsidP="00943C56">
            <w:pPr>
              <w:rPr>
                <w:rStyle w:val="textsmall2"/>
                <w:rFonts w:ascii="楷体" w:eastAsia="楷体" w:hAnsi="楷体" w:cs="Arial"/>
                <w:b/>
                <w:sz w:val="18"/>
                <w:szCs w:val="20"/>
              </w:rPr>
            </w:pPr>
            <w:r w:rsidRPr="0032491D">
              <w:rPr>
                <w:rStyle w:val="textsmall2"/>
                <w:rFonts w:ascii="楷体" w:eastAsia="楷体" w:hAnsi="楷体" w:cs="Arial" w:hint="eastAsia"/>
                <w:b/>
                <w:sz w:val="18"/>
                <w:szCs w:val="20"/>
              </w:rPr>
              <w:t>国内债市：</w:t>
            </w:r>
            <w:r w:rsidR="0075040A" w:rsidRPr="0075040A">
              <w:rPr>
                <w:rStyle w:val="textsmall2"/>
                <w:rFonts w:ascii="楷体" w:eastAsia="楷体" w:hAnsi="楷体" w:cs="Arial" w:hint="eastAsia"/>
                <w:b/>
                <w:sz w:val="18"/>
                <w:szCs w:val="20"/>
              </w:rPr>
              <w:t>资金面恐慌暂缓，但债市调整仍未结束。</w:t>
            </w:r>
            <w:r w:rsidR="0075040A" w:rsidRPr="0075040A">
              <w:rPr>
                <w:rStyle w:val="textsmall2"/>
                <w:rFonts w:ascii="楷体" w:eastAsia="楷体" w:hAnsi="楷体" w:cs="Arial" w:hint="eastAsia"/>
                <w:sz w:val="18"/>
                <w:szCs w:val="20"/>
              </w:rPr>
              <w:t>受财政部明确将</w:t>
            </w:r>
            <w:proofErr w:type="gramStart"/>
            <w:r w:rsidR="0075040A" w:rsidRPr="0075040A">
              <w:rPr>
                <w:rStyle w:val="textsmall2"/>
                <w:rFonts w:ascii="楷体" w:eastAsia="楷体" w:hAnsi="楷体" w:cs="Arial" w:hint="eastAsia"/>
                <w:sz w:val="18"/>
                <w:szCs w:val="20"/>
              </w:rPr>
              <w:t>对质押式回购</w:t>
            </w:r>
            <w:proofErr w:type="gramEnd"/>
            <w:r w:rsidR="0075040A" w:rsidRPr="0075040A">
              <w:rPr>
                <w:rStyle w:val="textsmall2"/>
                <w:rFonts w:ascii="楷体" w:eastAsia="楷体" w:hAnsi="楷体" w:cs="Arial" w:hint="eastAsia"/>
                <w:sz w:val="18"/>
                <w:szCs w:val="20"/>
              </w:rPr>
              <w:t>和政策性金融债利息收入免征增值税影响，银行间资金利率和政策性金融债的收益率普遍下行。同时，央行亦宣布从5月起常态</w:t>
            </w:r>
            <w:proofErr w:type="gramStart"/>
            <w:r w:rsidR="0075040A" w:rsidRPr="0075040A">
              <w:rPr>
                <w:rStyle w:val="textsmall2"/>
                <w:rFonts w:ascii="楷体" w:eastAsia="楷体" w:hAnsi="楷体" w:cs="Arial" w:hint="eastAsia"/>
                <w:sz w:val="18"/>
                <w:szCs w:val="20"/>
              </w:rPr>
              <w:t>化开展</w:t>
            </w:r>
            <w:proofErr w:type="gramEnd"/>
            <w:r w:rsidR="0075040A" w:rsidRPr="0075040A">
              <w:rPr>
                <w:rStyle w:val="textsmall2"/>
                <w:rFonts w:ascii="楷体" w:eastAsia="楷体" w:hAnsi="楷体" w:cs="Arial" w:hint="eastAsia"/>
                <w:sz w:val="18"/>
                <w:szCs w:val="20"/>
              </w:rPr>
              <w:t>抵押补充贷款（PSL）。短端7天逆回购招标利率仍维持在2.25%不变。银行间7天回购利率R007较前周下降18bp至2.42%，隔夜回购利率R001较前轴下降4bp至2,02%。上周公开市场实现资金净回笼2200亿，可以看出央行对于流动性的态度是并不希望资金过于宽松，而是维持一种紧平衡状态。债市的调整尚未结束。利率债方面，5月份第一周两只国债的发行规模进一步增加</w:t>
            </w:r>
            <w:r w:rsidR="0075040A">
              <w:rPr>
                <w:rStyle w:val="textsmall2"/>
                <w:rFonts w:ascii="楷体" w:eastAsia="楷体" w:hAnsi="楷体" w:cs="Arial" w:hint="eastAsia"/>
                <w:sz w:val="18"/>
                <w:szCs w:val="20"/>
              </w:rPr>
              <w:t>，</w:t>
            </w:r>
            <w:r w:rsidR="0075040A" w:rsidRPr="0075040A">
              <w:rPr>
                <w:rStyle w:val="textsmall2"/>
                <w:rFonts w:ascii="楷体" w:eastAsia="楷体" w:hAnsi="楷体" w:cs="Arial" w:hint="eastAsia"/>
                <w:sz w:val="18"/>
                <w:szCs w:val="20"/>
              </w:rPr>
              <w:t>供给压力进一步增大。信用债方面，随着之后低评级债券的大量到期，预计会有更多违约事件浮出水面，违约或将呈常态化，债券市场正在遭遇一场前所未有的评级下调潮。</w:t>
            </w:r>
            <w:proofErr w:type="gramStart"/>
            <w:r w:rsidR="0075040A" w:rsidRPr="0075040A">
              <w:rPr>
                <w:rStyle w:val="textsmall2"/>
                <w:rFonts w:ascii="楷体" w:eastAsia="楷体" w:hAnsi="楷体" w:cs="Arial" w:hint="eastAsia"/>
                <w:sz w:val="18"/>
                <w:szCs w:val="20"/>
              </w:rPr>
              <w:t>4月中债总净价</w:t>
            </w:r>
            <w:proofErr w:type="gramEnd"/>
            <w:r w:rsidR="0075040A" w:rsidRPr="0075040A">
              <w:rPr>
                <w:rStyle w:val="textsmall2"/>
                <w:rFonts w:ascii="楷体" w:eastAsia="楷体" w:hAnsi="楷体" w:cs="Arial" w:hint="eastAsia"/>
                <w:sz w:val="18"/>
                <w:szCs w:val="20"/>
              </w:rPr>
              <w:t>指数上涨0.04%，中</w:t>
            </w:r>
            <w:proofErr w:type="gramStart"/>
            <w:r w:rsidR="0075040A" w:rsidRPr="0075040A">
              <w:rPr>
                <w:rStyle w:val="textsmall2"/>
                <w:rFonts w:ascii="楷体" w:eastAsia="楷体" w:hAnsi="楷体" w:cs="Arial" w:hint="eastAsia"/>
                <w:sz w:val="18"/>
                <w:szCs w:val="20"/>
              </w:rPr>
              <w:t>债企业债总</w:t>
            </w:r>
            <w:proofErr w:type="gramEnd"/>
            <w:r w:rsidR="0075040A" w:rsidRPr="0075040A">
              <w:rPr>
                <w:rStyle w:val="textsmall2"/>
                <w:rFonts w:ascii="楷体" w:eastAsia="楷体" w:hAnsi="楷体" w:cs="Arial" w:hint="eastAsia"/>
                <w:sz w:val="18"/>
                <w:szCs w:val="20"/>
              </w:rPr>
              <w:t>净价指数上涨0.12%，中债国债总净价指数跌0.09%，中</w:t>
            </w:r>
            <w:proofErr w:type="gramStart"/>
            <w:r w:rsidR="0075040A" w:rsidRPr="0075040A">
              <w:rPr>
                <w:rStyle w:val="textsmall2"/>
                <w:rFonts w:ascii="楷体" w:eastAsia="楷体" w:hAnsi="楷体" w:cs="Arial" w:hint="eastAsia"/>
                <w:sz w:val="18"/>
                <w:szCs w:val="20"/>
              </w:rPr>
              <w:t>证转债涨</w:t>
            </w:r>
            <w:proofErr w:type="gramEnd"/>
            <w:r w:rsidR="0075040A" w:rsidRPr="0075040A">
              <w:rPr>
                <w:rStyle w:val="textsmall2"/>
                <w:rFonts w:ascii="楷体" w:eastAsia="楷体" w:hAnsi="楷体" w:cs="Arial" w:hint="eastAsia"/>
                <w:sz w:val="18"/>
                <w:szCs w:val="20"/>
              </w:rPr>
              <w:t>0.22%。</w:t>
            </w:r>
          </w:p>
          <w:p w:rsidR="00E9280D" w:rsidRPr="007C2420" w:rsidRDefault="00E9280D" w:rsidP="00943C56">
            <w:pPr>
              <w:rPr>
                <w:rStyle w:val="textsmall2"/>
                <w:rFonts w:ascii="楷体" w:eastAsia="楷体" w:hAnsi="楷体" w:cs="Arial"/>
                <w:sz w:val="18"/>
                <w:szCs w:val="20"/>
              </w:rPr>
            </w:pPr>
            <w:r w:rsidRPr="0032491D">
              <w:rPr>
                <w:rStyle w:val="textsmall2"/>
                <w:rFonts w:ascii="楷体" w:eastAsia="楷体" w:hAnsi="楷体" w:cs="Arial" w:hint="eastAsia"/>
                <w:b/>
                <w:sz w:val="18"/>
                <w:szCs w:val="20"/>
              </w:rPr>
              <w:t>海外市场：</w:t>
            </w:r>
            <w:proofErr w:type="gramStart"/>
            <w:r w:rsidR="007C2420" w:rsidRPr="007C2420">
              <w:rPr>
                <w:rFonts w:ascii="楷体" w:eastAsia="楷体" w:hAnsi="楷体" w:cs="Arial" w:hint="eastAsia"/>
                <w:b/>
                <w:color w:val="000000" w:themeColor="text1"/>
                <w:sz w:val="18"/>
                <w:szCs w:val="20"/>
              </w:rPr>
              <w:t>美指创新</w:t>
            </w:r>
            <w:proofErr w:type="gramEnd"/>
            <w:r w:rsidR="007C2420" w:rsidRPr="007C2420">
              <w:rPr>
                <w:rFonts w:ascii="楷体" w:eastAsia="楷体" w:hAnsi="楷体" w:cs="Arial" w:hint="eastAsia"/>
                <w:b/>
                <w:color w:val="000000" w:themeColor="text1"/>
                <w:sz w:val="18"/>
                <w:szCs w:val="20"/>
              </w:rPr>
              <w:t>低反弹，全球股市普跌。</w:t>
            </w:r>
            <w:r w:rsidR="007C2420" w:rsidRPr="007C2420">
              <w:rPr>
                <w:rFonts w:ascii="楷体" w:eastAsia="楷体" w:hAnsi="楷体" w:cs="Arial" w:hint="eastAsia"/>
                <w:color w:val="000000" w:themeColor="text1"/>
                <w:sz w:val="18"/>
                <w:szCs w:val="20"/>
              </w:rPr>
              <w:t>上周美元指数一开始节节败退，盘中跌破92整数关口，创去年1月份来新低。后因美国贸易和工厂订单数据部分缓和对美国经济成长不振的担忧以及部分美联储官员的鹰派讲话，助</w:t>
            </w:r>
            <w:proofErr w:type="gramStart"/>
            <w:r w:rsidR="007C2420" w:rsidRPr="007C2420">
              <w:rPr>
                <w:rFonts w:ascii="楷体" w:eastAsia="楷体" w:hAnsi="楷体" w:cs="Arial" w:hint="eastAsia"/>
                <w:color w:val="000000" w:themeColor="text1"/>
                <w:sz w:val="18"/>
                <w:szCs w:val="20"/>
              </w:rPr>
              <w:t>推美元</w:t>
            </w:r>
            <w:proofErr w:type="gramEnd"/>
            <w:r w:rsidR="007C2420" w:rsidRPr="007C2420">
              <w:rPr>
                <w:rFonts w:ascii="楷体" w:eastAsia="楷体" w:hAnsi="楷体" w:cs="Arial" w:hint="eastAsia"/>
                <w:color w:val="000000" w:themeColor="text1"/>
                <w:sz w:val="18"/>
                <w:szCs w:val="20"/>
              </w:rPr>
              <w:t>连续上涨，周五公布美国</w:t>
            </w:r>
            <w:r w:rsidR="007C2420">
              <w:rPr>
                <w:rFonts w:ascii="楷体" w:eastAsia="楷体" w:hAnsi="楷体" w:cs="Arial" w:hint="eastAsia"/>
                <w:color w:val="000000" w:themeColor="text1"/>
                <w:sz w:val="18"/>
                <w:szCs w:val="20"/>
              </w:rPr>
              <w:t>就业数据</w:t>
            </w:r>
            <w:r w:rsidR="007C2420" w:rsidRPr="007C2420">
              <w:rPr>
                <w:rFonts w:ascii="楷体" w:eastAsia="楷体" w:hAnsi="楷体" w:cs="Arial" w:hint="eastAsia"/>
                <w:color w:val="000000" w:themeColor="text1"/>
                <w:sz w:val="18"/>
                <w:szCs w:val="20"/>
              </w:rPr>
              <w:t>后，美元一度下跌但最终小幅收涨，全周上涨0.86%。</w:t>
            </w:r>
            <w:r w:rsidR="007C2420" w:rsidRPr="007C2420">
              <w:rPr>
                <w:rFonts w:ascii="楷体" w:eastAsia="楷体" w:hAnsi="楷体" w:cs="Arial" w:hint="eastAsia"/>
                <w:b/>
                <w:color w:val="000000" w:themeColor="text1"/>
                <w:sz w:val="18"/>
                <w:szCs w:val="20"/>
              </w:rPr>
              <w:t>黄金石油向下调整。</w:t>
            </w:r>
            <w:r w:rsidR="007C2420" w:rsidRPr="007C2420">
              <w:rPr>
                <w:rFonts w:ascii="楷体" w:eastAsia="楷体" w:hAnsi="楷体" w:cs="Arial" w:hint="eastAsia"/>
                <w:color w:val="000000" w:themeColor="text1"/>
                <w:sz w:val="18"/>
                <w:szCs w:val="20"/>
              </w:rPr>
              <w:t>受美元走势的影响，金价尽管周一创出2015年1月以来最高水平，不过此后</w:t>
            </w:r>
            <w:r w:rsidR="007C2420">
              <w:rPr>
                <w:rFonts w:ascii="楷体" w:eastAsia="楷体" w:hAnsi="楷体" w:cs="Arial" w:hint="eastAsia"/>
                <w:color w:val="000000" w:themeColor="text1"/>
                <w:sz w:val="18"/>
                <w:szCs w:val="20"/>
              </w:rPr>
              <w:t>回落</w:t>
            </w:r>
            <w:r w:rsidR="007C2420" w:rsidRPr="007C2420">
              <w:rPr>
                <w:rFonts w:ascii="楷体" w:eastAsia="楷体" w:hAnsi="楷体" w:cs="Arial" w:hint="eastAsia"/>
                <w:color w:val="000000" w:themeColor="text1"/>
                <w:sz w:val="18"/>
                <w:szCs w:val="20"/>
              </w:rPr>
              <w:t>。原油方面，供应过剩担忧重燃，原油连续三日收跌。后因加拿大油砂产区野火失控以及利比亚局势紧张，令原油生产受到威胁，油价小幅回升。</w:t>
            </w:r>
          </w:p>
          <w:p w:rsidR="00E9280D" w:rsidRPr="0032491D" w:rsidRDefault="00E9280D" w:rsidP="00943C56">
            <w:pPr>
              <w:pStyle w:val="a6"/>
              <w:numPr>
                <w:ilvl w:val="0"/>
                <w:numId w:val="3"/>
              </w:numPr>
              <w:spacing w:line="300" w:lineRule="auto"/>
              <w:ind w:firstLineChars="0"/>
              <w:rPr>
                <w:rStyle w:val="textsmall2"/>
                <w:rFonts w:ascii="楷体" w:eastAsia="楷体" w:hAnsi="楷体" w:cs="Arial"/>
                <w:b/>
                <w:color w:val="000000"/>
                <w:szCs w:val="22"/>
              </w:rPr>
            </w:pPr>
            <w:r w:rsidRPr="0032491D">
              <w:rPr>
                <w:rStyle w:val="textsmall2"/>
                <w:rFonts w:ascii="楷体" w:eastAsia="楷体" w:hAnsi="楷体" w:cs="Arial" w:hint="eastAsia"/>
                <w:b/>
                <w:color w:val="000000"/>
                <w:szCs w:val="22"/>
              </w:rPr>
              <w:t>一周基金表现回顾</w:t>
            </w:r>
          </w:p>
          <w:p w:rsidR="00E9280D" w:rsidRPr="0032491D" w:rsidRDefault="00E9280D" w:rsidP="00943C56">
            <w:pPr>
              <w:rPr>
                <w:rFonts w:ascii="楷体" w:eastAsia="楷体" w:hAnsi="楷体" w:cs="Arial"/>
                <w:sz w:val="18"/>
                <w:szCs w:val="20"/>
              </w:rPr>
            </w:pPr>
            <w:proofErr w:type="gramStart"/>
            <w:r w:rsidRPr="0032491D">
              <w:rPr>
                <w:rFonts w:ascii="楷体" w:eastAsia="楷体" w:hAnsi="楷体" w:cs="Arial" w:hint="eastAsia"/>
                <w:b/>
                <w:sz w:val="18"/>
                <w:szCs w:val="20"/>
              </w:rPr>
              <w:t>股混基金</w:t>
            </w:r>
            <w:proofErr w:type="gramEnd"/>
            <w:r w:rsidRPr="0032491D">
              <w:rPr>
                <w:rFonts w:ascii="楷体" w:eastAsia="楷体" w:hAnsi="楷体" w:cs="Arial" w:hint="eastAsia"/>
                <w:b/>
                <w:sz w:val="18"/>
                <w:szCs w:val="20"/>
              </w:rPr>
              <w:t>业绩：</w:t>
            </w:r>
            <w:r w:rsidRPr="0032491D">
              <w:rPr>
                <w:rFonts w:ascii="楷体" w:eastAsia="楷体" w:hAnsi="楷体" w:cs="Arial" w:hint="eastAsia"/>
                <w:sz w:val="18"/>
                <w:szCs w:val="20"/>
              </w:rPr>
              <w:t>普通股</w:t>
            </w:r>
            <w:proofErr w:type="gramStart"/>
            <w:r w:rsidRPr="0032491D">
              <w:rPr>
                <w:rFonts w:ascii="楷体" w:eastAsia="楷体" w:hAnsi="楷体" w:cs="Arial" w:hint="eastAsia"/>
                <w:sz w:val="18"/>
                <w:szCs w:val="20"/>
              </w:rPr>
              <w:t>基平均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Pr="0032491D">
              <w:rPr>
                <w:rFonts w:ascii="楷体" w:eastAsia="楷体" w:hAnsi="楷体" w:cs="Arial" w:hint="eastAsia"/>
                <w:sz w:val="18"/>
                <w:szCs w:val="20"/>
              </w:rPr>
              <w:t>0.</w:t>
            </w:r>
            <w:r w:rsidR="00592381">
              <w:rPr>
                <w:rFonts w:ascii="楷体" w:eastAsia="楷体" w:hAnsi="楷体" w:cs="Arial" w:hint="eastAsia"/>
                <w:sz w:val="18"/>
                <w:szCs w:val="20"/>
              </w:rPr>
              <w:t>27</w:t>
            </w:r>
            <w:r w:rsidRPr="0032491D">
              <w:rPr>
                <w:rFonts w:ascii="楷体" w:eastAsia="楷体" w:hAnsi="楷体" w:cs="Arial"/>
                <w:sz w:val="18"/>
                <w:szCs w:val="20"/>
              </w:rPr>
              <w:t>%</w:t>
            </w:r>
            <w:r w:rsidRPr="0032491D">
              <w:rPr>
                <w:rFonts w:ascii="楷体" w:eastAsia="楷体" w:hAnsi="楷体" w:cs="Arial" w:hint="eastAsia"/>
                <w:sz w:val="18"/>
                <w:szCs w:val="20"/>
              </w:rPr>
              <w:t>，指数</w:t>
            </w:r>
            <w:proofErr w:type="gramStart"/>
            <w:r w:rsidRPr="0032491D">
              <w:rPr>
                <w:rFonts w:ascii="楷体" w:eastAsia="楷体" w:hAnsi="楷体" w:cs="Arial" w:hint="eastAsia"/>
                <w:sz w:val="18"/>
                <w:szCs w:val="20"/>
              </w:rPr>
              <w:t>股基平均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592381">
              <w:rPr>
                <w:rFonts w:ascii="楷体" w:eastAsia="楷体" w:hAnsi="楷体" w:cs="Arial" w:hint="eastAsia"/>
                <w:sz w:val="18"/>
                <w:szCs w:val="20"/>
              </w:rPr>
              <w:t>0.63</w:t>
            </w:r>
            <w:r w:rsidRPr="0032491D">
              <w:rPr>
                <w:rFonts w:ascii="楷体" w:eastAsia="楷体" w:hAnsi="楷体" w:cs="Arial"/>
                <w:sz w:val="18"/>
                <w:szCs w:val="20"/>
              </w:rPr>
              <w:t>%</w:t>
            </w:r>
            <w:r w:rsidRPr="0032491D">
              <w:rPr>
                <w:rFonts w:ascii="楷体" w:eastAsia="楷体" w:hAnsi="楷体" w:cs="Arial" w:hint="eastAsia"/>
                <w:sz w:val="18"/>
                <w:szCs w:val="20"/>
              </w:rPr>
              <w:t>。</w:t>
            </w:r>
            <w:proofErr w:type="gramStart"/>
            <w:r w:rsidRPr="0032491D">
              <w:rPr>
                <w:rFonts w:ascii="楷体" w:eastAsia="楷体" w:hAnsi="楷体" w:cs="Arial" w:hint="eastAsia"/>
                <w:sz w:val="18"/>
                <w:szCs w:val="20"/>
              </w:rPr>
              <w:t>偏股型平均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592381">
              <w:rPr>
                <w:rFonts w:ascii="楷体" w:eastAsia="楷体" w:hAnsi="楷体" w:cs="Arial" w:hint="eastAsia"/>
                <w:sz w:val="18"/>
                <w:szCs w:val="20"/>
              </w:rPr>
              <w:t>0.20</w:t>
            </w:r>
            <w:r w:rsidRPr="0032491D">
              <w:rPr>
                <w:rFonts w:ascii="楷体" w:eastAsia="楷体" w:hAnsi="楷体" w:cs="Arial"/>
                <w:sz w:val="18"/>
                <w:szCs w:val="20"/>
              </w:rPr>
              <w:t>%</w:t>
            </w:r>
            <w:r w:rsidRPr="0032491D">
              <w:rPr>
                <w:rFonts w:ascii="楷体" w:eastAsia="楷体" w:hAnsi="楷体" w:cs="Arial" w:hint="eastAsia"/>
                <w:sz w:val="18"/>
                <w:szCs w:val="20"/>
              </w:rPr>
              <w:t>，</w:t>
            </w:r>
            <w:proofErr w:type="gramStart"/>
            <w:r w:rsidRPr="0032491D">
              <w:rPr>
                <w:rFonts w:ascii="楷体" w:eastAsia="楷体" w:hAnsi="楷体" w:cs="Arial" w:hint="eastAsia"/>
                <w:sz w:val="18"/>
                <w:szCs w:val="20"/>
              </w:rPr>
              <w:t>偏债型</w:t>
            </w:r>
            <w:proofErr w:type="gramEnd"/>
            <w:r w:rsidRPr="0032491D">
              <w:rPr>
                <w:rFonts w:ascii="楷体" w:eastAsia="楷体" w:hAnsi="楷体" w:cs="Arial" w:hint="eastAsia"/>
                <w:sz w:val="18"/>
                <w:szCs w:val="20"/>
              </w:rPr>
              <w:t>产品平均收益为</w:t>
            </w:r>
            <w:r w:rsidR="00592381">
              <w:rPr>
                <w:rFonts w:ascii="楷体" w:eastAsia="楷体" w:hAnsi="楷体" w:cs="Arial" w:hint="eastAsia"/>
                <w:sz w:val="18"/>
                <w:szCs w:val="20"/>
              </w:rPr>
              <w:t>0.07</w:t>
            </w:r>
            <w:r w:rsidRPr="0032491D">
              <w:rPr>
                <w:rFonts w:ascii="楷体" w:eastAsia="楷体" w:hAnsi="楷体" w:cs="Arial"/>
                <w:sz w:val="18"/>
                <w:szCs w:val="20"/>
              </w:rPr>
              <w:t>%</w:t>
            </w:r>
            <w:r w:rsidRPr="0032491D">
              <w:rPr>
                <w:rFonts w:ascii="楷体" w:eastAsia="楷体" w:hAnsi="楷体" w:cs="Arial" w:hint="eastAsia"/>
                <w:sz w:val="18"/>
                <w:szCs w:val="20"/>
              </w:rPr>
              <w:t>，灵活配置</w:t>
            </w:r>
            <w:proofErr w:type="gramStart"/>
            <w:r w:rsidRPr="0032491D">
              <w:rPr>
                <w:rFonts w:ascii="楷体" w:eastAsia="楷体" w:hAnsi="楷体" w:cs="Arial" w:hint="eastAsia"/>
                <w:sz w:val="18"/>
                <w:szCs w:val="20"/>
              </w:rPr>
              <w:t>型平均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592381">
              <w:rPr>
                <w:rFonts w:ascii="楷体" w:eastAsia="楷体" w:hAnsi="楷体" w:cs="Arial" w:hint="eastAsia"/>
                <w:sz w:val="18"/>
                <w:szCs w:val="20"/>
              </w:rPr>
              <w:t>0.02</w:t>
            </w:r>
            <w:r w:rsidRPr="0032491D">
              <w:rPr>
                <w:rFonts w:ascii="楷体" w:eastAsia="楷体" w:hAnsi="楷体" w:cs="Arial"/>
                <w:sz w:val="18"/>
                <w:szCs w:val="20"/>
              </w:rPr>
              <w:t>%</w:t>
            </w:r>
            <w:r w:rsidRPr="0032491D">
              <w:rPr>
                <w:rFonts w:ascii="楷体" w:eastAsia="楷体" w:hAnsi="楷体" w:cs="Arial" w:hint="eastAsia"/>
                <w:sz w:val="18"/>
                <w:szCs w:val="20"/>
              </w:rPr>
              <w:t>，平衡</w:t>
            </w:r>
            <w:proofErr w:type="gramStart"/>
            <w:r w:rsidRPr="0032491D">
              <w:rPr>
                <w:rFonts w:ascii="楷体" w:eastAsia="楷体" w:hAnsi="楷体" w:cs="Arial" w:hint="eastAsia"/>
                <w:sz w:val="18"/>
                <w:szCs w:val="20"/>
              </w:rPr>
              <w:t>型平均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592381">
              <w:rPr>
                <w:rFonts w:ascii="楷体" w:eastAsia="楷体" w:hAnsi="楷体" w:cs="Arial" w:hint="eastAsia"/>
                <w:sz w:val="18"/>
                <w:szCs w:val="20"/>
              </w:rPr>
              <w:t>0.03</w:t>
            </w:r>
            <w:r w:rsidRPr="0032491D">
              <w:rPr>
                <w:rFonts w:ascii="楷体" w:eastAsia="楷体" w:hAnsi="楷体" w:cs="Arial"/>
                <w:sz w:val="18"/>
                <w:szCs w:val="20"/>
              </w:rPr>
              <w:t>%</w:t>
            </w:r>
            <w:r w:rsidRPr="0032491D">
              <w:rPr>
                <w:rFonts w:ascii="楷体" w:eastAsia="楷体" w:hAnsi="楷体" w:cs="Arial" w:hint="eastAsia"/>
                <w:sz w:val="18"/>
                <w:szCs w:val="20"/>
              </w:rPr>
              <w:t>。</w:t>
            </w:r>
          </w:p>
          <w:p w:rsidR="00E9280D" w:rsidRPr="0032491D" w:rsidRDefault="00E9280D" w:rsidP="00943C56">
            <w:pPr>
              <w:rPr>
                <w:rFonts w:ascii="楷体" w:eastAsia="楷体" w:hAnsi="楷体" w:cs="Arial"/>
                <w:sz w:val="18"/>
                <w:szCs w:val="20"/>
              </w:rPr>
            </w:pPr>
            <w:r w:rsidRPr="0032491D">
              <w:rPr>
                <w:rFonts w:ascii="楷体" w:eastAsia="楷体" w:hAnsi="楷体" w:cs="Arial" w:hint="eastAsia"/>
                <w:b/>
                <w:sz w:val="18"/>
                <w:szCs w:val="20"/>
              </w:rPr>
              <w:t>固定收益基金：</w:t>
            </w:r>
            <w:proofErr w:type="gramStart"/>
            <w:r w:rsidRPr="0032491D">
              <w:rPr>
                <w:rFonts w:ascii="楷体" w:eastAsia="楷体" w:hAnsi="楷体" w:cs="Arial" w:hint="eastAsia"/>
                <w:sz w:val="18"/>
                <w:szCs w:val="20"/>
              </w:rPr>
              <w:t>纯债基金</w:t>
            </w:r>
            <w:proofErr w:type="gramEnd"/>
            <w:r w:rsidRPr="0032491D">
              <w:rPr>
                <w:rFonts w:ascii="楷体" w:eastAsia="楷体" w:hAnsi="楷体" w:cs="Arial" w:hint="eastAsia"/>
                <w:sz w:val="18"/>
                <w:szCs w:val="20"/>
              </w:rPr>
              <w:t>平均收益为</w:t>
            </w:r>
            <w:r w:rsidR="00592381">
              <w:rPr>
                <w:rFonts w:ascii="楷体" w:eastAsia="楷体" w:hAnsi="楷体" w:cs="Arial" w:hint="eastAsia"/>
                <w:sz w:val="18"/>
                <w:szCs w:val="20"/>
              </w:rPr>
              <w:t>0.21</w:t>
            </w:r>
            <w:r w:rsidRPr="0032491D">
              <w:rPr>
                <w:rFonts w:ascii="楷体" w:eastAsia="楷体" w:hAnsi="楷体" w:cs="Arial"/>
                <w:sz w:val="18"/>
                <w:szCs w:val="20"/>
              </w:rPr>
              <w:t>%</w:t>
            </w:r>
            <w:r w:rsidRPr="0032491D">
              <w:rPr>
                <w:rFonts w:ascii="楷体" w:eastAsia="楷体" w:hAnsi="楷体" w:cs="Arial" w:hint="eastAsia"/>
                <w:sz w:val="18"/>
                <w:szCs w:val="20"/>
              </w:rPr>
              <w:t>，一级</w:t>
            </w:r>
            <w:proofErr w:type="gramStart"/>
            <w:r w:rsidRPr="0032491D">
              <w:rPr>
                <w:rFonts w:ascii="楷体" w:eastAsia="楷体" w:hAnsi="楷体" w:cs="Arial" w:hint="eastAsia"/>
                <w:sz w:val="18"/>
                <w:szCs w:val="20"/>
              </w:rPr>
              <w:t>债基平均</w:t>
            </w:r>
            <w:proofErr w:type="gramEnd"/>
            <w:r w:rsidRPr="0032491D">
              <w:rPr>
                <w:rFonts w:ascii="楷体" w:eastAsia="楷体" w:hAnsi="楷体" w:cs="Arial" w:hint="eastAsia"/>
                <w:sz w:val="18"/>
                <w:szCs w:val="20"/>
              </w:rPr>
              <w:t>收益为</w:t>
            </w:r>
            <w:r w:rsidR="00592381">
              <w:rPr>
                <w:rFonts w:ascii="楷体" w:eastAsia="楷体" w:hAnsi="楷体" w:cs="Arial" w:hint="eastAsia"/>
                <w:sz w:val="18"/>
                <w:szCs w:val="20"/>
              </w:rPr>
              <w:t>0.16</w:t>
            </w:r>
            <w:r w:rsidRPr="0032491D">
              <w:rPr>
                <w:rFonts w:ascii="楷体" w:eastAsia="楷体" w:hAnsi="楷体" w:cs="Arial"/>
                <w:sz w:val="18"/>
                <w:szCs w:val="20"/>
              </w:rPr>
              <w:t>%</w:t>
            </w:r>
            <w:r w:rsidRPr="0032491D">
              <w:rPr>
                <w:rFonts w:ascii="楷体" w:eastAsia="楷体" w:hAnsi="楷体" w:cs="Arial" w:hint="eastAsia"/>
                <w:sz w:val="18"/>
                <w:szCs w:val="20"/>
              </w:rPr>
              <w:t>，二级</w:t>
            </w:r>
            <w:proofErr w:type="gramStart"/>
            <w:r w:rsidRPr="0032491D">
              <w:rPr>
                <w:rFonts w:ascii="楷体" w:eastAsia="楷体" w:hAnsi="楷体" w:cs="Arial" w:hint="eastAsia"/>
                <w:sz w:val="18"/>
                <w:szCs w:val="20"/>
              </w:rPr>
              <w:t>债基平均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sidR="00592381">
              <w:rPr>
                <w:rFonts w:ascii="楷体" w:eastAsia="楷体" w:hAnsi="楷体" w:cs="Arial" w:hint="eastAsia"/>
                <w:sz w:val="18"/>
                <w:szCs w:val="20"/>
              </w:rPr>
              <w:t>0.01</w:t>
            </w:r>
            <w:r w:rsidRPr="0032491D">
              <w:rPr>
                <w:rFonts w:ascii="楷体" w:eastAsia="楷体" w:hAnsi="楷体" w:cs="Arial"/>
                <w:sz w:val="18"/>
                <w:szCs w:val="20"/>
              </w:rPr>
              <w:t>%</w:t>
            </w:r>
            <w:r w:rsidRPr="0032491D">
              <w:rPr>
                <w:rFonts w:ascii="楷体" w:eastAsia="楷体" w:hAnsi="楷体" w:cs="Arial" w:hint="eastAsia"/>
                <w:sz w:val="18"/>
                <w:szCs w:val="20"/>
              </w:rPr>
              <w:t>。货币基金</w:t>
            </w:r>
            <w:proofErr w:type="gramStart"/>
            <w:r w:rsidRPr="0032491D">
              <w:rPr>
                <w:rFonts w:ascii="楷体" w:eastAsia="楷体" w:hAnsi="楷体" w:cs="Arial" w:hint="eastAsia"/>
                <w:sz w:val="18"/>
                <w:szCs w:val="20"/>
              </w:rPr>
              <w:t>七日年化收益率</w:t>
            </w:r>
            <w:proofErr w:type="gramEnd"/>
            <w:r w:rsidRPr="0032491D">
              <w:rPr>
                <w:rFonts w:ascii="楷体" w:eastAsia="楷体" w:hAnsi="楷体" w:cs="Arial" w:hint="eastAsia"/>
                <w:sz w:val="18"/>
                <w:szCs w:val="20"/>
              </w:rPr>
              <w:t>均值为</w:t>
            </w:r>
            <w:r w:rsidRPr="0032491D">
              <w:rPr>
                <w:rFonts w:ascii="楷体" w:eastAsia="楷体" w:hAnsi="楷体" w:cs="Arial"/>
                <w:sz w:val="18"/>
                <w:szCs w:val="20"/>
              </w:rPr>
              <w:t>2.</w:t>
            </w:r>
            <w:r w:rsidR="00592381">
              <w:rPr>
                <w:rFonts w:ascii="楷体" w:eastAsia="楷体" w:hAnsi="楷体" w:cs="Arial" w:hint="eastAsia"/>
                <w:sz w:val="18"/>
                <w:szCs w:val="20"/>
              </w:rPr>
              <w:t>42</w:t>
            </w:r>
            <w:r w:rsidRPr="0032491D">
              <w:rPr>
                <w:rFonts w:ascii="楷体" w:eastAsia="楷体" w:hAnsi="楷体" w:cs="Arial"/>
                <w:sz w:val="18"/>
                <w:szCs w:val="20"/>
              </w:rPr>
              <w:t>%</w:t>
            </w:r>
            <w:r w:rsidRPr="0032491D">
              <w:rPr>
                <w:rFonts w:ascii="楷体" w:eastAsia="楷体" w:hAnsi="楷体" w:cs="Arial" w:hint="eastAsia"/>
                <w:sz w:val="18"/>
                <w:szCs w:val="20"/>
              </w:rPr>
              <w:t>。</w:t>
            </w:r>
          </w:p>
          <w:p w:rsidR="00E9280D" w:rsidRPr="0032491D" w:rsidRDefault="00E9280D" w:rsidP="00943C56">
            <w:pPr>
              <w:rPr>
                <w:rFonts w:ascii="楷体" w:eastAsia="楷体" w:hAnsi="楷体" w:cs="Arial"/>
                <w:sz w:val="18"/>
                <w:szCs w:val="20"/>
              </w:rPr>
            </w:pPr>
            <w:r w:rsidRPr="0032491D">
              <w:rPr>
                <w:rFonts w:ascii="楷体" w:eastAsia="楷体" w:hAnsi="楷体" w:cs="Arial" w:hint="eastAsia"/>
                <w:b/>
                <w:sz w:val="18"/>
              </w:rPr>
              <w:t>商品及对冲基金：</w:t>
            </w:r>
            <w:r w:rsidRPr="0032491D">
              <w:rPr>
                <w:rFonts w:ascii="楷体" w:eastAsia="楷体" w:hAnsi="楷体" w:cs="Arial" w:hint="eastAsia"/>
                <w:sz w:val="18"/>
                <w:szCs w:val="20"/>
              </w:rPr>
              <w:t>商品基金平均上涨</w:t>
            </w:r>
            <w:r w:rsidR="00592381">
              <w:rPr>
                <w:rFonts w:ascii="楷体" w:eastAsia="楷体" w:hAnsi="楷体" w:cs="Arial" w:hint="eastAsia"/>
                <w:sz w:val="18"/>
                <w:szCs w:val="20"/>
              </w:rPr>
              <w:t>0.44</w:t>
            </w:r>
            <w:r w:rsidRPr="0032491D">
              <w:rPr>
                <w:rFonts w:ascii="楷体" w:eastAsia="楷体" w:hAnsi="楷体" w:cs="Arial"/>
                <w:sz w:val="18"/>
                <w:szCs w:val="20"/>
              </w:rPr>
              <w:t>%</w:t>
            </w:r>
            <w:r w:rsidRPr="0032491D">
              <w:rPr>
                <w:rFonts w:ascii="楷体" w:eastAsia="楷体" w:hAnsi="楷体" w:cs="Arial" w:hint="eastAsia"/>
                <w:sz w:val="18"/>
                <w:szCs w:val="20"/>
              </w:rPr>
              <w:t>，以绝对收益为投资目标的股票多空类产品平均收益为</w:t>
            </w:r>
            <w:r w:rsidRPr="0032491D">
              <w:rPr>
                <w:rFonts w:ascii="楷体" w:eastAsia="楷体" w:hAnsi="楷体" w:cs="Arial"/>
                <w:sz w:val="18"/>
                <w:szCs w:val="20"/>
              </w:rPr>
              <w:t>-0.</w:t>
            </w:r>
            <w:r w:rsidR="00592381">
              <w:rPr>
                <w:rFonts w:ascii="楷体" w:eastAsia="楷体" w:hAnsi="楷体" w:cs="Arial" w:hint="eastAsia"/>
                <w:sz w:val="18"/>
                <w:szCs w:val="20"/>
              </w:rPr>
              <w:t>1</w:t>
            </w:r>
            <w:r w:rsidRPr="0032491D">
              <w:rPr>
                <w:rFonts w:ascii="楷体" w:eastAsia="楷体" w:hAnsi="楷体" w:cs="Arial"/>
                <w:sz w:val="18"/>
                <w:szCs w:val="20"/>
              </w:rPr>
              <w:t>6%</w:t>
            </w:r>
            <w:r w:rsidRPr="0032491D">
              <w:rPr>
                <w:rFonts w:ascii="楷体" w:eastAsia="楷体" w:hAnsi="楷体" w:cs="Arial" w:hint="eastAsia"/>
                <w:sz w:val="18"/>
                <w:szCs w:val="20"/>
              </w:rPr>
              <w:t>。</w:t>
            </w:r>
          </w:p>
          <w:p w:rsidR="00E9280D" w:rsidRPr="0032491D" w:rsidRDefault="00E9280D" w:rsidP="00943C56">
            <w:pPr>
              <w:rPr>
                <w:rStyle w:val="textsmall2"/>
                <w:rFonts w:ascii="楷体" w:eastAsia="楷体" w:hAnsi="楷体" w:cs="Arial"/>
                <w:sz w:val="18"/>
                <w:szCs w:val="20"/>
              </w:rPr>
            </w:pPr>
            <w:r w:rsidRPr="0032491D">
              <w:rPr>
                <w:rStyle w:val="textsmall2"/>
                <w:rFonts w:ascii="楷体" w:eastAsia="楷体" w:hAnsi="楷体" w:cs="Arial"/>
                <w:b/>
                <w:sz w:val="18"/>
                <w:szCs w:val="20"/>
              </w:rPr>
              <w:t>QDII</w:t>
            </w:r>
            <w:r w:rsidRPr="0032491D">
              <w:rPr>
                <w:rStyle w:val="textsmall2"/>
                <w:rFonts w:ascii="楷体" w:eastAsia="楷体" w:hAnsi="楷体" w:cs="Arial" w:hint="eastAsia"/>
                <w:b/>
                <w:sz w:val="18"/>
                <w:szCs w:val="20"/>
              </w:rPr>
              <w:t>基金</w:t>
            </w:r>
            <w:r w:rsidRPr="0032491D">
              <w:rPr>
                <w:rStyle w:val="textsmall2"/>
                <w:rFonts w:ascii="楷体" w:eastAsia="楷体" w:hAnsi="楷体" w:cs="Arial"/>
                <w:b/>
                <w:sz w:val="18"/>
                <w:szCs w:val="20"/>
              </w:rPr>
              <w:t>:</w:t>
            </w:r>
            <w:r w:rsidRPr="0032491D">
              <w:rPr>
                <w:rFonts w:ascii="楷体" w:eastAsia="楷体" w:hAnsi="楷体"/>
                <w:sz w:val="20"/>
              </w:rPr>
              <w:t xml:space="preserve"> </w:t>
            </w:r>
            <w:r w:rsidRPr="0032491D">
              <w:rPr>
                <w:rFonts w:ascii="楷体" w:eastAsia="楷体" w:hAnsi="楷体" w:cs="Arial"/>
                <w:sz w:val="18"/>
                <w:szCs w:val="20"/>
              </w:rPr>
              <w:t xml:space="preserve"> QDII</w:t>
            </w:r>
            <w:r w:rsidRPr="0032491D">
              <w:rPr>
                <w:rFonts w:ascii="楷体" w:eastAsia="楷体" w:hAnsi="楷体" w:cs="Arial" w:hint="eastAsia"/>
                <w:sz w:val="18"/>
                <w:szCs w:val="20"/>
              </w:rPr>
              <w:t>基金平均收益为</w:t>
            </w:r>
            <w:r w:rsidR="00592381">
              <w:rPr>
                <w:rFonts w:ascii="楷体" w:eastAsia="楷体" w:hAnsi="楷体" w:cs="Arial" w:hint="eastAsia"/>
                <w:sz w:val="18"/>
                <w:szCs w:val="20"/>
              </w:rPr>
              <w:t>-1.34</w:t>
            </w:r>
            <w:r w:rsidRPr="0032491D">
              <w:rPr>
                <w:rFonts w:ascii="楷体" w:eastAsia="楷体" w:hAnsi="楷体" w:cs="Arial"/>
                <w:sz w:val="18"/>
                <w:szCs w:val="20"/>
              </w:rPr>
              <w:t>%</w:t>
            </w:r>
            <w:r w:rsidRPr="0032491D">
              <w:rPr>
                <w:rFonts w:ascii="楷体" w:eastAsia="楷体" w:hAnsi="楷体" w:cs="Arial" w:hint="eastAsia"/>
                <w:sz w:val="18"/>
                <w:szCs w:val="20"/>
              </w:rPr>
              <w:t>，</w:t>
            </w:r>
            <w:r w:rsidR="005E4776" w:rsidRPr="005E4776">
              <w:rPr>
                <w:rFonts w:ascii="楷体" w:eastAsia="楷体" w:hAnsi="楷体" w:cs="Arial" w:hint="eastAsia"/>
                <w:sz w:val="18"/>
                <w:szCs w:val="20"/>
              </w:rPr>
              <w:t>从具体品种来看，互联网、房地产、黄金主题QDII表现最好，港股、资源、能源主题 QDII表现较差。</w:t>
            </w:r>
          </w:p>
          <w:p w:rsidR="00E9280D" w:rsidRPr="0032491D" w:rsidRDefault="00E9280D" w:rsidP="00943C56">
            <w:pPr>
              <w:pStyle w:val="a6"/>
              <w:numPr>
                <w:ilvl w:val="0"/>
                <w:numId w:val="3"/>
              </w:numPr>
              <w:spacing w:line="300" w:lineRule="auto"/>
              <w:ind w:firstLineChars="0"/>
              <w:rPr>
                <w:rStyle w:val="textsmall2"/>
                <w:rFonts w:ascii="楷体" w:eastAsia="楷体" w:hAnsi="楷体" w:cs="Arial"/>
                <w:b/>
                <w:color w:val="000000"/>
                <w:szCs w:val="22"/>
              </w:rPr>
            </w:pPr>
            <w:r w:rsidRPr="0032491D">
              <w:rPr>
                <w:rStyle w:val="textsmall2"/>
                <w:rFonts w:ascii="楷体" w:eastAsia="楷体" w:hAnsi="楷体" w:cs="Arial" w:hint="eastAsia"/>
                <w:b/>
                <w:color w:val="000000"/>
                <w:szCs w:val="22"/>
              </w:rPr>
              <w:t>未来基金投资策略</w:t>
            </w:r>
          </w:p>
          <w:p w:rsidR="00E9280D" w:rsidRPr="0032491D" w:rsidRDefault="00CF3D84" w:rsidP="00943C56">
            <w:pPr>
              <w:rPr>
                <w:rFonts w:ascii="楷体" w:eastAsia="楷体" w:hAnsi="楷体" w:cs="Arial"/>
                <w:b/>
                <w:sz w:val="18"/>
                <w:szCs w:val="20"/>
              </w:rPr>
            </w:pPr>
            <w:proofErr w:type="gramStart"/>
            <w:r w:rsidRPr="00BE3229">
              <w:rPr>
                <w:rFonts w:ascii="楷体" w:eastAsia="楷体" w:hAnsi="楷体" w:cs="Arial"/>
                <w:b/>
                <w:sz w:val="20"/>
                <w:szCs w:val="20"/>
              </w:rPr>
              <w:t>股混基金</w:t>
            </w:r>
            <w:proofErr w:type="gramEnd"/>
            <w:r w:rsidRPr="00BE3229">
              <w:rPr>
                <w:rFonts w:ascii="楷体" w:eastAsia="楷体" w:hAnsi="楷体" w:cs="Arial"/>
                <w:b/>
                <w:sz w:val="20"/>
                <w:szCs w:val="20"/>
              </w:rPr>
              <w:t>投资</w:t>
            </w:r>
            <w:r w:rsidRPr="00BE3229">
              <w:rPr>
                <w:rFonts w:ascii="楷体" w:eastAsia="楷体" w:hAnsi="楷体" w:cs="Arial" w:hint="eastAsia"/>
                <w:b/>
                <w:sz w:val="20"/>
                <w:szCs w:val="20"/>
              </w:rPr>
              <w:t>中低</w:t>
            </w:r>
            <w:proofErr w:type="gramStart"/>
            <w:r w:rsidRPr="00BE3229">
              <w:rPr>
                <w:rFonts w:ascii="楷体" w:eastAsia="楷体" w:hAnsi="楷体" w:cs="Arial" w:hint="eastAsia"/>
                <w:b/>
                <w:sz w:val="20"/>
                <w:szCs w:val="20"/>
              </w:rPr>
              <w:t>仓位</w:t>
            </w:r>
            <w:proofErr w:type="gramEnd"/>
            <w:r w:rsidRPr="00BE3229">
              <w:rPr>
                <w:rFonts w:ascii="楷体" w:eastAsia="楷体" w:hAnsi="楷体" w:cs="Arial" w:hint="eastAsia"/>
                <w:b/>
                <w:sz w:val="20"/>
                <w:szCs w:val="20"/>
              </w:rPr>
              <w:t>，精选业绩为王的稳健成长风格</w:t>
            </w:r>
            <w:r w:rsidR="00E9280D" w:rsidRPr="0032491D">
              <w:rPr>
                <w:rFonts w:ascii="楷体" w:eastAsia="楷体" w:hAnsi="楷体" w:cs="Arial" w:hint="eastAsia"/>
                <w:b/>
                <w:sz w:val="18"/>
                <w:szCs w:val="20"/>
              </w:rPr>
              <w:t>。</w:t>
            </w:r>
            <w:r w:rsidR="00E9280D" w:rsidRPr="0032491D">
              <w:rPr>
                <w:rFonts w:ascii="楷体" w:eastAsia="楷体" w:hAnsi="楷体" w:cs="Arial" w:hint="eastAsia"/>
                <w:sz w:val="18"/>
                <w:szCs w:val="20"/>
              </w:rPr>
              <w:t>短期我们建议投资者保持中等偏低的</w:t>
            </w:r>
            <w:proofErr w:type="gramStart"/>
            <w:r w:rsidR="00E9280D" w:rsidRPr="0032491D">
              <w:rPr>
                <w:rFonts w:ascii="楷体" w:eastAsia="楷体" w:hAnsi="楷体" w:cs="Arial" w:hint="eastAsia"/>
                <w:sz w:val="18"/>
                <w:szCs w:val="20"/>
              </w:rPr>
              <w:t>仓位</w:t>
            </w:r>
            <w:proofErr w:type="gramEnd"/>
            <w:r w:rsidR="00E9280D" w:rsidRPr="0032491D">
              <w:rPr>
                <w:rFonts w:ascii="楷体" w:eastAsia="楷体" w:hAnsi="楷体" w:cs="Arial" w:hint="eastAsia"/>
                <w:sz w:val="18"/>
                <w:szCs w:val="20"/>
              </w:rPr>
              <w:t>，结构性机会将是主基调，但由于当前的结构性机会呈现快速轮动持续性差的特点，建议投资者在风格上成长、周期均衡配置为好。</w:t>
            </w:r>
            <w:r w:rsidRPr="0032491D">
              <w:rPr>
                <w:rFonts w:ascii="楷体" w:eastAsia="楷体" w:hAnsi="楷体" w:cs="Arial" w:hint="eastAsia"/>
                <w:sz w:val="20"/>
                <w:szCs w:val="20"/>
              </w:rPr>
              <w:t>在弱市市场中投资者对业绩的关注</w:t>
            </w:r>
            <w:proofErr w:type="gramStart"/>
            <w:r w:rsidRPr="0032491D">
              <w:rPr>
                <w:rFonts w:ascii="楷体" w:eastAsia="楷体" w:hAnsi="楷体" w:cs="Arial" w:hint="eastAsia"/>
                <w:sz w:val="20"/>
                <w:szCs w:val="20"/>
              </w:rPr>
              <w:t>度显著</w:t>
            </w:r>
            <w:proofErr w:type="gramEnd"/>
            <w:r w:rsidRPr="0032491D">
              <w:rPr>
                <w:rFonts w:ascii="楷体" w:eastAsia="楷体" w:hAnsi="楷体" w:cs="Arial" w:hint="eastAsia"/>
                <w:sz w:val="20"/>
                <w:szCs w:val="20"/>
              </w:rPr>
              <w:t>提高，我们建议当前以稳健成长风格基金配置为主，这类基金主要投资业绩平稳增长的大消费、医药、中游机械制造等板块，优选重视个股估值和业绩稳定性的基金经理。</w:t>
            </w:r>
            <w:r w:rsidR="00E9280D" w:rsidRPr="0032491D">
              <w:rPr>
                <w:rFonts w:ascii="楷体" w:eastAsia="楷体" w:hAnsi="楷体" w:cs="Arial" w:hint="eastAsia"/>
                <w:sz w:val="18"/>
                <w:szCs w:val="20"/>
              </w:rPr>
              <w:t>长期而言，我们维持A股处在底部区域的判断，长线投资者尤其</w:t>
            </w:r>
            <w:proofErr w:type="gramStart"/>
            <w:r w:rsidR="00E9280D" w:rsidRPr="0032491D">
              <w:rPr>
                <w:rFonts w:ascii="楷体" w:eastAsia="楷体" w:hAnsi="楷体" w:cs="Arial" w:hint="eastAsia"/>
                <w:sz w:val="18"/>
                <w:szCs w:val="20"/>
              </w:rPr>
              <w:t>是定投投资者</w:t>
            </w:r>
            <w:proofErr w:type="gramEnd"/>
            <w:r w:rsidR="00E9280D" w:rsidRPr="0032491D">
              <w:rPr>
                <w:rFonts w:ascii="楷体" w:eastAsia="楷体" w:hAnsi="楷体" w:cs="Arial" w:hint="eastAsia"/>
                <w:sz w:val="18"/>
                <w:szCs w:val="20"/>
              </w:rPr>
              <w:t>可以分批介入布局。</w:t>
            </w:r>
          </w:p>
          <w:p w:rsidR="002D391D" w:rsidRDefault="002D391D" w:rsidP="002D391D">
            <w:pPr>
              <w:rPr>
                <w:rFonts w:ascii="楷体" w:eastAsia="楷体" w:hAnsi="楷体" w:cs="Arial"/>
                <w:sz w:val="18"/>
                <w:szCs w:val="20"/>
              </w:rPr>
            </w:pPr>
            <w:r w:rsidRPr="002D391D">
              <w:rPr>
                <w:rFonts w:ascii="楷体" w:eastAsia="楷体" w:hAnsi="楷体" w:cs="Arial" w:hint="eastAsia"/>
                <w:b/>
                <w:sz w:val="18"/>
                <w:szCs w:val="20"/>
              </w:rPr>
              <w:t>固定收益基金投资风险仍在，需谨慎操作。</w:t>
            </w:r>
            <w:r w:rsidRPr="002D391D">
              <w:rPr>
                <w:rFonts w:ascii="楷体" w:eastAsia="楷体" w:hAnsi="楷体" w:cs="Arial" w:hint="eastAsia"/>
                <w:sz w:val="18"/>
                <w:szCs w:val="20"/>
              </w:rPr>
              <w:t>4 月份开始的这一波市场调整势头出现了一些放缓迹象，但是投资者对于入场时机以及投资选择上仍需谨慎。对于有债券基金刚性配置需求的投资者，当前在</w:t>
            </w:r>
            <w:proofErr w:type="gramStart"/>
            <w:r w:rsidRPr="002D391D">
              <w:rPr>
                <w:rFonts w:ascii="楷体" w:eastAsia="楷体" w:hAnsi="楷体" w:cs="Arial" w:hint="eastAsia"/>
                <w:sz w:val="18"/>
                <w:szCs w:val="20"/>
              </w:rPr>
              <w:t>债基产品</w:t>
            </w:r>
            <w:proofErr w:type="gramEnd"/>
            <w:r w:rsidRPr="002D391D">
              <w:rPr>
                <w:rFonts w:ascii="楷体" w:eastAsia="楷体" w:hAnsi="楷体" w:cs="Arial" w:hint="eastAsia"/>
                <w:sz w:val="18"/>
                <w:szCs w:val="20"/>
              </w:rPr>
              <w:t>上要强调风险控制，建议</w:t>
            </w:r>
            <w:proofErr w:type="gramStart"/>
            <w:r w:rsidRPr="002D391D">
              <w:rPr>
                <w:rFonts w:ascii="楷体" w:eastAsia="楷体" w:hAnsi="楷体" w:cs="Arial" w:hint="eastAsia"/>
                <w:sz w:val="18"/>
                <w:szCs w:val="20"/>
              </w:rPr>
              <w:t>精选久期短</w:t>
            </w:r>
            <w:proofErr w:type="gramEnd"/>
            <w:r w:rsidRPr="002D391D">
              <w:rPr>
                <w:rFonts w:ascii="楷体" w:eastAsia="楷体" w:hAnsi="楷体" w:cs="Arial" w:hint="eastAsia"/>
                <w:sz w:val="18"/>
                <w:szCs w:val="20"/>
              </w:rPr>
              <w:t>、杠杆较低和持券信用等级较高的基金，例如以短融为主要投资标的</w:t>
            </w:r>
            <w:proofErr w:type="gramStart"/>
            <w:r w:rsidRPr="002D391D">
              <w:rPr>
                <w:rFonts w:ascii="楷体" w:eastAsia="楷体" w:hAnsi="楷体" w:cs="Arial" w:hint="eastAsia"/>
                <w:sz w:val="18"/>
                <w:szCs w:val="20"/>
              </w:rPr>
              <w:t>的短融基金</w:t>
            </w:r>
            <w:proofErr w:type="gramEnd"/>
            <w:r w:rsidRPr="002D391D">
              <w:rPr>
                <w:rFonts w:ascii="楷体" w:eastAsia="楷体" w:hAnsi="楷体" w:cs="Arial" w:hint="eastAsia"/>
                <w:sz w:val="18"/>
                <w:szCs w:val="20"/>
              </w:rPr>
              <w:t>是当前防守较好的品种。</w:t>
            </w:r>
          </w:p>
          <w:p w:rsidR="00E9280D" w:rsidRPr="0032491D" w:rsidRDefault="00E9280D" w:rsidP="002D391D">
            <w:pPr>
              <w:rPr>
                <w:rFonts w:ascii="楷体" w:eastAsia="楷体" w:hAnsi="楷体"/>
              </w:rPr>
            </w:pPr>
            <w:r w:rsidRPr="0032491D">
              <w:rPr>
                <w:rFonts w:ascii="楷体" w:eastAsia="楷体" w:hAnsi="楷体" w:cs="Arial" w:hint="eastAsia"/>
                <w:b/>
                <w:sz w:val="18"/>
                <w:szCs w:val="20"/>
              </w:rPr>
              <w:t>建议关注黄金和大宗商品类QDII。</w:t>
            </w:r>
            <w:r w:rsidRPr="0032491D">
              <w:rPr>
                <w:rFonts w:ascii="楷体" w:eastAsia="楷体" w:hAnsi="楷体" w:cs="Arial" w:hint="eastAsia"/>
                <w:sz w:val="18"/>
                <w:szCs w:val="20"/>
              </w:rPr>
              <w:t>QDII中投资大宗商品和商品基金的投资逻辑在5月有望延续。2016年以来虽然黄金已经经历了大幅上涨，但在全球经济低迷和货币超发的大背景下，黄金的保值和抗通胀价值显现。油气能源等大宗商品主题基金方面，全球货币超发带来的</w:t>
            </w:r>
            <w:proofErr w:type="gramStart"/>
            <w:r w:rsidRPr="0032491D">
              <w:rPr>
                <w:rFonts w:ascii="楷体" w:eastAsia="楷体" w:hAnsi="楷体" w:cs="Arial" w:hint="eastAsia"/>
                <w:sz w:val="18"/>
                <w:szCs w:val="20"/>
              </w:rPr>
              <w:t>通胀担忧</w:t>
            </w:r>
            <w:proofErr w:type="gramEnd"/>
            <w:r w:rsidRPr="0032491D">
              <w:rPr>
                <w:rFonts w:ascii="楷体" w:eastAsia="楷体" w:hAnsi="楷体" w:cs="Arial" w:hint="eastAsia"/>
                <w:sz w:val="18"/>
                <w:szCs w:val="20"/>
              </w:rPr>
              <w:t>和中国经济回暖带来的需求</w:t>
            </w:r>
            <w:proofErr w:type="gramStart"/>
            <w:r w:rsidRPr="0032491D">
              <w:rPr>
                <w:rFonts w:ascii="楷体" w:eastAsia="楷体" w:hAnsi="楷体" w:cs="Arial" w:hint="eastAsia"/>
                <w:sz w:val="18"/>
                <w:szCs w:val="20"/>
              </w:rPr>
              <w:t>端改善</w:t>
            </w:r>
            <w:proofErr w:type="gramEnd"/>
            <w:r w:rsidRPr="0032491D">
              <w:rPr>
                <w:rFonts w:ascii="楷体" w:eastAsia="楷体" w:hAnsi="楷体" w:cs="Arial" w:hint="eastAsia"/>
                <w:sz w:val="18"/>
                <w:szCs w:val="20"/>
              </w:rPr>
              <w:t>等都有利于推升大宗商品价格。</w:t>
            </w:r>
          </w:p>
        </w:tc>
      </w:tr>
    </w:tbl>
    <w:p w:rsidR="00E9280D" w:rsidRPr="0032491D" w:rsidRDefault="00E9280D" w:rsidP="00E9280D">
      <w:pPr>
        <w:tabs>
          <w:tab w:val="left" w:pos="900"/>
        </w:tabs>
        <w:jc w:val="left"/>
        <w:rPr>
          <w:rFonts w:ascii="楷体" w:eastAsia="楷体" w:hAnsi="楷体" w:cs="Arial"/>
          <w:b/>
        </w:rPr>
        <w:sectPr w:rsidR="00E9280D" w:rsidRPr="0032491D" w:rsidSect="00943C56">
          <w:headerReference w:type="default" r:id="rId8"/>
          <w:footerReference w:type="default" r:id="rId9"/>
          <w:pgSz w:w="11907" w:h="16840" w:code="9"/>
          <w:pgMar w:top="1674" w:right="680" w:bottom="851" w:left="680" w:header="851" w:footer="612" w:gutter="0"/>
          <w:cols w:space="425"/>
          <w:docGrid w:linePitch="312"/>
        </w:sectPr>
      </w:pPr>
      <w:r w:rsidRPr="0032491D">
        <w:rPr>
          <w:rFonts w:ascii="楷体" w:eastAsia="楷体" w:hAnsi="楷体" w:cs="Arial"/>
          <w:b/>
          <w:noProof/>
        </w:rPr>
        <mc:AlternateContent>
          <mc:Choice Requires="wps">
            <w:drawing>
              <wp:anchor distT="0" distB="0" distL="114300" distR="114300" simplePos="0" relativeHeight="251659264" behindDoc="0" locked="0" layoutInCell="1" allowOverlap="1" wp14:anchorId="745820E8" wp14:editId="73F34DA1">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619" w:rsidRPr="004071E8" w:rsidRDefault="00624619" w:rsidP="00E9280D">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624619" w:rsidRPr="0032491D" w:rsidTr="00943C56">
                              <w:trPr>
                                <w:cantSplit/>
                                <w:trHeight w:val="764"/>
                              </w:trPr>
                              <w:tc>
                                <w:tcPr>
                                  <w:tcW w:w="2899" w:type="dxa"/>
                                  <w:shd w:val="clear" w:color="auto" w:fill="F0EAC6"/>
                                  <w:vAlign w:val="center"/>
                                </w:tcPr>
                                <w:p w:rsidR="00624619" w:rsidRPr="0032491D" w:rsidRDefault="00624619" w:rsidP="00E9280D">
                                  <w:pPr>
                                    <w:ind w:firstLineChars="50" w:firstLine="90"/>
                                    <w:rPr>
                                      <w:rFonts w:ascii="楷体" w:eastAsia="楷体" w:hAnsi="楷体" w:cs="Arial"/>
                                      <w:color w:val="000000"/>
                                      <w:sz w:val="15"/>
                                    </w:rPr>
                                  </w:pPr>
                                  <w:r w:rsidRPr="0032491D">
                                    <w:rPr>
                                      <w:rFonts w:ascii="楷体" w:eastAsia="楷体" w:hAnsi="楷体" w:cs="Arial" w:hint="eastAsia"/>
                                      <w:b/>
                                      <w:sz w:val="18"/>
                                      <w:szCs w:val="16"/>
                                    </w:rPr>
                                    <w:t>报告日期：2016-05-09</w:t>
                                  </w:r>
                                </w:p>
                              </w:tc>
                            </w:tr>
                            <w:tr w:rsidR="00624619" w:rsidRPr="0032491D" w:rsidTr="00943C56">
                              <w:trPr>
                                <w:cantSplit/>
                                <w:trHeight w:val="2023"/>
                              </w:trPr>
                              <w:tc>
                                <w:tcPr>
                                  <w:tcW w:w="2899" w:type="dxa"/>
                                  <w:tcBorders>
                                    <w:top w:val="single" w:sz="4" w:space="0" w:color="auto"/>
                                    <w:bottom w:val="single" w:sz="4" w:space="0" w:color="auto"/>
                                  </w:tcBorders>
                                  <w:shd w:val="clear" w:color="auto" w:fill="F0EAC6"/>
                                </w:tcPr>
                                <w:p w:rsidR="00624619" w:rsidRDefault="00624619" w:rsidP="00943C56">
                                  <w:pPr>
                                    <w:rPr>
                                      <w:rFonts w:ascii="楷体" w:eastAsia="楷体" w:hAnsi="楷体"/>
                                    </w:rPr>
                                  </w:pPr>
                                </w:p>
                                <w:p w:rsidR="00624619" w:rsidRPr="0032491D" w:rsidRDefault="00624619" w:rsidP="00943C56">
                                  <w:pPr>
                                    <w:rPr>
                                      <w:rFonts w:ascii="楷体" w:eastAsia="楷体" w:hAnsi="楷体" w:cs="Arial"/>
                                      <w:b/>
                                      <w:sz w:val="18"/>
                                      <w:szCs w:val="16"/>
                                    </w:rPr>
                                  </w:pPr>
                                  <w:r w:rsidRPr="0032491D">
                                    <w:rPr>
                                      <w:rFonts w:ascii="楷体" w:eastAsia="楷体" w:hAnsi="楷体" w:cs="Arial" w:hint="eastAsia"/>
                                      <w:b/>
                                      <w:sz w:val="18"/>
                                      <w:szCs w:val="16"/>
                                    </w:rPr>
                                    <w:t>高级分析师：</w:t>
                                  </w:r>
                                  <w:proofErr w:type="gramStart"/>
                                  <w:r w:rsidRPr="0032491D">
                                    <w:rPr>
                                      <w:rFonts w:ascii="楷体" w:eastAsia="楷体" w:hAnsi="楷体" w:cs="Arial" w:hint="eastAsia"/>
                                      <w:b/>
                                      <w:sz w:val="18"/>
                                      <w:szCs w:val="16"/>
                                    </w:rPr>
                                    <w:t>桑柳玉</w:t>
                                  </w:r>
                                  <w:proofErr w:type="gramEnd"/>
                                </w:p>
                                <w:p w:rsidR="00624619" w:rsidRPr="0032491D" w:rsidRDefault="00624619" w:rsidP="00943C56">
                                  <w:pPr>
                                    <w:rPr>
                                      <w:rFonts w:ascii="楷体" w:eastAsia="楷体" w:hAnsi="楷体" w:cs="Arial"/>
                                      <w:sz w:val="18"/>
                                      <w:szCs w:val="16"/>
                                    </w:rPr>
                                  </w:pPr>
                                  <w:r w:rsidRPr="0032491D">
                                    <w:rPr>
                                      <w:rFonts w:ascii="楷体" w:eastAsia="楷体" w:hAnsi="楷体" w:cs="Arial" w:hint="eastAsia"/>
                                      <w:sz w:val="18"/>
                                      <w:szCs w:val="16"/>
                                    </w:rPr>
                                    <w:t>Email：sangly@vstone.com.cn</w:t>
                                  </w:r>
                                </w:p>
                                <w:p w:rsidR="00624619" w:rsidRPr="0032491D" w:rsidRDefault="00624619" w:rsidP="00943C56">
                                  <w:pPr>
                                    <w:ind w:firstLineChars="50" w:firstLine="80"/>
                                    <w:rPr>
                                      <w:rFonts w:ascii="楷体" w:eastAsia="楷体" w:hAnsi="楷体" w:cs="Arial"/>
                                      <w:sz w:val="16"/>
                                      <w:szCs w:val="16"/>
                                    </w:rPr>
                                  </w:pPr>
                                </w:p>
                                <w:p w:rsidR="00624619" w:rsidRPr="0032491D" w:rsidRDefault="00624619" w:rsidP="00943C56">
                                  <w:pPr>
                                    <w:rPr>
                                      <w:rFonts w:ascii="楷体" w:eastAsia="楷体" w:hAnsi="楷体" w:cs="Arial"/>
                                      <w:b/>
                                      <w:sz w:val="18"/>
                                      <w:szCs w:val="16"/>
                                    </w:rPr>
                                  </w:pPr>
                                  <w:r w:rsidRPr="0032491D">
                                    <w:rPr>
                                      <w:rFonts w:ascii="楷体" w:eastAsia="楷体" w:hAnsi="楷体" w:cs="Arial" w:hint="eastAsia"/>
                                      <w:b/>
                                      <w:sz w:val="18"/>
                                      <w:szCs w:val="16"/>
                                    </w:rPr>
                                    <w:t>分析师：俞辰瑶</w:t>
                                  </w:r>
                                </w:p>
                                <w:p w:rsidR="00624619" w:rsidRPr="0032491D" w:rsidRDefault="00624619" w:rsidP="00943C56">
                                  <w:pPr>
                                    <w:rPr>
                                      <w:rFonts w:ascii="楷体" w:eastAsia="楷体" w:hAnsi="楷体" w:cs="Arial"/>
                                      <w:sz w:val="18"/>
                                      <w:szCs w:val="16"/>
                                    </w:rPr>
                                  </w:pPr>
                                  <w:r w:rsidRPr="0032491D">
                                    <w:rPr>
                                      <w:rFonts w:ascii="楷体" w:eastAsia="楷体" w:hAnsi="楷体" w:cs="Arial" w:hint="eastAsia"/>
                                      <w:sz w:val="18"/>
                                      <w:szCs w:val="16"/>
                                    </w:rPr>
                                    <w:t>Email：yucy@vstone.com.cn</w:t>
                                  </w:r>
                                </w:p>
                                <w:p w:rsidR="00624619" w:rsidRPr="0032491D" w:rsidRDefault="00624619" w:rsidP="00943C56">
                                  <w:pPr>
                                    <w:rPr>
                                      <w:rFonts w:ascii="楷体" w:eastAsia="楷体" w:hAnsi="楷体" w:cs="Arial"/>
                                      <w:sz w:val="16"/>
                                      <w:szCs w:val="16"/>
                                    </w:rPr>
                                  </w:pPr>
                                </w:p>
                              </w:tc>
                            </w:tr>
                            <w:tr w:rsidR="00624619" w:rsidRPr="0032491D" w:rsidTr="00943C56">
                              <w:trPr>
                                <w:cantSplit/>
                                <w:trHeight w:val="10189"/>
                              </w:trPr>
                              <w:tc>
                                <w:tcPr>
                                  <w:tcW w:w="2899" w:type="dxa"/>
                                  <w:tcBorders>
                                    <w:top w:val="single" w:sz="4" w:space="0" w:color="auto"/>
                                  </w:tcBorders>
                                  <w:shd w:val="clear" w:color="auto" w:fill="F0EAC6"/>
                                </w:tcPr>
                                <w:p w:rsidR="00624619" w:rsidRPr="0032491D" w:rsidRDefault="00624619" w:rsidP="00943C56">
                                  <w:pPr>
                                    <w:rPr>
                                      <w:rFonts w:ascii="楷体" w:eastAsia="楷体" w:hAnsi="楷体" w:cs="Arial"/>
                                      <w:b/>
                                      <w:sz w:val="18"/>
                                      <w:szCs w:val="16"/>
                                    </w:rPr>
                                  </w:pPr>
                                </w:p>
                                <w:p w:rsidR="00624619" w:rsidRPr="0032491D" w:rsidRDefault="00624619" w:rsidP="00943C56">
                                  <w:pPr>
                                    <w:rPr>
                                      <w:rFonts w:ascii="楷体" w:eastAsia="楷体" w:hAnsi="楷体" w:cs="Arial"/>
                                      <w:b/>
                                      <w:sz w:val="18"/>
                                      <w:szCs w:val="16"/>
                                    </w:rPr>
                                  </w:pPr>
                                  <w:r w:rsidRPr="0032491D">
                                    <w:rPr>
                                      <w:rFonts w:ascii="楷体" w:eastAsia="楷体" w:hAnsi="楷体" w:cs="Arial" w:hint="eastAsia"/>
                                      <w:b/>
                                      <w:sz w:val="18"/>
                                      <w:szCs w:val="16"/>
                                    </w:rPr>
                                    <w:t>相关报告</w:t>
                                  </w:r>
                                </w:p>
                                <w:p w:rsidR="00624619" w:rsidRPr="0032491D" w:rsidRDefault="00624619" w:rsidP="00943C56">
                                  <w:pPr>
                                    <w:rPr>
                                      <w:rFonts w:ascii="楷体" w:eastAsia="楷体" w:hAnsi="楷体" w:cs="Arial"/>
                                      <w:sz w:val="18"/>
                                      <w:szCs w:val="16"/>
                                    </w:rPr>
                                  </w:pPr>
                                </w:p>
                              </w:tc>
                            </w:tr>
                          </w:tbl>
                          <w:p w:rsidR="00624619" w:rsidRPr="004071E8" w:rsidRDefault="00624619" w:rsidP="00E9280D">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624619" w:rsidRPr="004071E8" w:rsidRDefault="00624619" w:rsidP="00E9280D">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624619" w:rsidRPr="0032491D" w:rsidTr="00943C56">
                        <w:trPr>
                          <w:cantSplit/>
                          <w:trHeight w:val="764"/>
                        </w:trPr>
                        <w:tc>
                          <w:tcPr>
                            <w:tcW w:w="2899" w:type="dxa"/>
                            <w:shd w:val="clear" w:color="auto" w:fill="F0EAC6"/>
                            <w:vAlign w:val="center"/>
                          </w:tcPr>
                          <w:p w:rsidR="00624619" w:rsidRPr="0032491D" w:rsidRDefault="00624619" w:rsidP="00E9280D">
                            <w:pPr>
                              <w:ind w:firstLineChars="50" w:firstLine="90"/>
                              <w:rPr>
                                <w:rFonts w:ascii="楷体" w:eastAsia="楷体" w:hAnsi="楷体" w:cs="Arial"/>
                                <w:color w:val="000000"/>
                                <w:sz w:val="15"/>
                              </w:rPr>
                            </w:pPr>
                            <w:r w:rsidRPr="0032491D">
                              <w:rPr>
                                <w:rFonts w:ascii="楷体" w:eastAsia="楷体" w:hAnsi="楷体" w:cs="Arial" w:hint="eastAsia"/>
                                <w:b/>
                                <w:sz w:val="18"/>
                                <w:szCs w:val="16"/>
                              </w:rPr>
                              <w:t>报告日期：2016-05-09</w:t>
                            </w:r>
                          </w:p>
                        </w:tc>
                      </w:tr>
                      <w:tr w:rsidR="00624619" w:rsidRPr="0032491D" w:rsidTr="00943C56">
                        <w:trPr>
                          <w:cantSplit/>
                          <w:trHeight w:val="2023"/>
                        </w:trPr>
                        <w:tc>
                          <w:tcPr>
                            <w:tcW w:w="2899" w:type="dxa"/>
                            <w:tcBorders>
                              <w:top w:val="single" w:sz="4" w:space="0" w:color="auto"/>
                              <w:bottom w:val="single" w:sz="4" w:space="0" w:color="auto"/>
                            </w:tcBorders>
                            <w:shd w:val="clear" w:color="auto" w:fill="F0EAC6"/>
                          </w:tcPr>
                          <w:p w:rsidR="00624619" w:rsidRDefault="00624619" w:rsidP="00943C56">
                            <w:pPr>
                              <w:rPr>
                                <w:rFonts w:ascii="楷体" w:eastAsia="楷体" w:hAnsi="楷体"/>
                              </w:rPr>
                            </w:pPr>
                          </w:p>
                          <w:p w:rsidR="00624619" w:rsidRPr="0032491D" w:rsidRDefault="00624619" w:rsidP="00943C56">
                            <w:pPr>
                              <w:rPr>
                                <w:rFonts w:ascii="楷体" w:eastAsia="楷体" w:hAnsi="楷体" w:cs="Arial"/>
                                <w:b/>
                                <w:sz w:val="18"/>
                                <w:szCs w:val="16"/>
                              </w:rPr>
                            </w:pPr>
                            <w:r w:rsidRPr="0032491D">
                              <w:rPr>
                                <w:rFonts w:ascii="楷体" w:eastAsia="楷体" w:hAnsi="楷体" w:cs="Arial" w:hint="eastAsia"/>
                                <w:b/>
                                <w:sz w:val="18"/>
                                <w:szCs w:val="16"/>
                              </w:rPr>
                              <w:t>高级分析师：</w:t>
                            </w:r>
                            <w:proofErr w:type="gramStart"/>
                            <w:r w:rsidRPr="0032491D">
                              <w:rPr>
                                <w:rFonts w:ascii="楷体" w:eastAsia="楷体" w:hAnsi="楷体" w:cs="Arial" w:hint="eastAsia"/>
                                <w:b/>
                                <w:sz w:val="18"/>
                                <w:szCs w:val="16"/>
                              </w:rPr>
                              <w:t>桑柳玉</w:t>
                            </w:r>
                            <w:proofErr w:type="gramEnd"/>
                          </w:p>
                          <w:p w:rsidR="00624619" w:rsidRPr="0032491D" w:rsidRDefault="00624619" w:rsidP="00943C56">
                            <w:pPr>
                              <w:rPr>
                                <w:rFonts w:ascii="楷体" w:eastAsia="楷体" w:hAnsi="楷体" w:cs="Arial"/>
                                <w:sz w:val="18"/>
                                <w:szCs w:val="16"/>
                              </w:rPr>
                            </w:pPr>
                            <w:r w:rsidRPr="0032491D">
                              <w:rPr>
                                <w:rFonts w:ascii="楷体" w:eastAsia="楷体" w:hAnsi="楷体" w:cs="Arial" w:hint="eastAsia"/>
                                <w:sz w:val="18"/>
                                <w:szCs w:val="16"/>
                              </w:rPr>
                              <w:t>Email：sangly@vstone.com.cn</w:t>
                            </w:r>
                          </w:p>
                          <w:p w:rsidR="00624619" w:rsidRPr="0032491D" w:rsidRDefault="00624619" w:rsidP="00943C56">
                            <w:pPr>
                              <w:ind w:firstLineChars="50" w:firstLine="80"/>
                              <w:rPr>
                                <w:rFonts w:ascii="楷体" w:eastAsia="楷体" w:hAnsi="楷体" w:cs="Arial"/>
                                <w:sz w:val="16"/>
                                <w:szCs w:val="16"/>
                              </w:rPr>
                            </w:pPr>
                          </w:p>
                          <w:p w:rsidR="00624619" w:rsidRPr="0032491D" w:rsidRDefault="00624619" w:rsidP="00943C56">
                            <w:pPr>
                              <w:rPr>
                                <w:rFonts w:ascii="楷体" w:eastAsia="楷体" w:hAnsi="楷体" w:cs="Arial"/>
                                <w:b/>
                                <w:sz w:val="18"/>
                                <w:szCs w:val="16"/>
                              </w:rPr>
                            </w:pPr>
                            <w:r w:rsidRPr="0032491D">
                              <w:rPr>
                                <w:rFonts w:ascii="楷体" w:eastAsia="楷体" w:hAnsi="楷体" w:cs="Arial" w:hint="eastAsia"/>
                                <w:b/>
                                <w:sz w:val="18"/>
                                <w:szCs w:val="16"/>
                              </w:rPr>
                              <w:t>分析师：俞辰瑶</w:t>
                            </w:r>
                          </w:p>
                          <w:p w:rsidR="00624619" w:rsidRPr="0032491D" w:rsidRDefault="00624619" w:rsidP="00943C56">
                            <w:pPr>
                              <w:rPr>
                                <w:rFonts w:ascii="楷体" w:eastAsia="楷体" w:hAnsi="楷体" w:cs="Arial"/>
                                <w:sz w:val="18"/>
                                <w:szCs w:val="16"/>
                              </w:rPr>
                            </w:pPr>
                            <w:r w:rsidRPr="0032491D">
                              <w:rPr>
                                <w:rFonts w:ascii="楷体" w:eastAsia="楷体" w:hAnsi="楷体" w:cs="Arial" w:hint="eastAsia"/>
                                <w:sz w:val="18"/>
                                <w:szCs w:val="16"/>
                              </w:rPr>
                              <w:t>Email：yucy@vstone.com.cn</w:t>
                            </w:r>
                          </w:p>
                          <w:p w:rsidR="00624619" w:rsidRPr="0032491D" w:rsidRDefault="00624619" w:rsidP="00943C56">
                            <w:pPr>
                              <w:rPr>
                                <w:rFonts w:ascii="楷体" w:eastAsia="楷体" w:hAnsi="楷体" w:cs="Arial"/>
                                <w:sz w:val="16"/>
                                <w:szCs w:val="16"/>
                              </w:rPr>
                            </w:pPr>
                          </w:p>
                        </w:tc>
                      </w:tr>
                      <w:tr w:rsidR="00624619" w:rsidRPr="0032491D" w:rsidTr="00943C56">
                        <w:trPr>
                          <w:cantSplit/>
                          <w:trHeight w:val="10189"/>
                        </w:trPr>
                        <w:tc>
                          <w:tcPr>
                            <w:tcW w:w="2899" w:type="dxa"/>
                            <w:tcBorders>
                              <w:top w:val="single" w:sz="4" w:space="0" w:color="auto"/>
                            </w:tcBorders>
                            <w:shd w:val="clear" w:color="auto" w:fill="F0EAC6"/>
                          </w:tcPr>
                          <w:p w:rsidR="00624619" w:rsidRPr="0032491D" w:rsidRDefault="00624619" w:rsidP="00943C56">
                            <w:pPr>
                              <w:rPr>
                                <w:rFonts w:ascii="楷体" w:eastAsia="楷体" w:hAnsi="楷体" w:cs="Arial"/>
                                <w:b/>
                                <w:sz w:val="18"/>
                                <w:szCs w:val="16"/>
                              </w:rPr>
                            </w:pPr>
                          </w:p>
                          <w:p w:rsidR="00624619" w:rsidRPr="0032491D" w:rsidRDefault="00624619" w:rsidP="00943C56">
                            <w:pPr>
                              <w:rPr>
                                <w:rFonts w:ascii="楷体" w:eastAsia="楷体" w:hAnsi="楷体" w:cs="Arial"/>
                                <w:b/>
                                <w:sz w:val="18"/>
                                <w:szCs w:val="16"/>
                              </w:rPr>
                            </w:pPr>
                            <w:r w:rsidRPr="0032491D">
                              <w:rPr>
                                <w:rFonts w:ascii="楷体" w:eastAsia="楷体" w:hAnsi="楷体" w:cs="Arial" w:hint="eastAsia"/>
                                <w:b/>
                                <w:sz w:val="18"/>
                                <w:szCs w:val="16"/>
                              </w:rPr>
                              <w:t>相关报告</w:t>
                            </w:r>
                          </w:p>
                          <w:p w:rsidR="00624619" w:rsidRPr="0032491D" w:rsidRDefault="00624619" w:rsidP="00943C56">
                            <w:pPr>
                              <w:rPr>
                                <w:rFonts w:ascii="楷体" w:eastAsia="楷体" w:hAnsi="楷体" w:cs="Arial"/>
                                <w:sz w:val="18"/>
                                <w:szCs w:val="16"/>
                              </w:rPr>
                            </w:pPr>
                          </w:p>
                        </w:tc>
                      </w:tr>
                    </w:tbl>
                    <w:p w:rsidR="00624619" w:rsidRPr="004071E8" w:rsidRDefault="00624619" w:rsidP="00E9280D">
                      <w:pPr>
                        <w:rPr>
                          <w:rFonts w:ascii="楷体_GB2312"/>
                        </w:rPr>
                      </w:pPr>
                    </w:p>
                  </w:txbxContent>
                </v:textbox>
              </v:shape>
            </w:pict>
          </mc:Fallback>
        </mc:AlternateContent>
      </w:r>
      <w:r w:rsidRPr="0032491D">
        <w:rPr>
          <w:rFonts w:ascii="楷体" w:eastAsia="楷体" w:hAnsi="楷体" w:cs="Arial" w:hint="eastAsia"/>
          <w:b/>
        </w:rPr>
        <w:t>。</w:t>
      </w:r>
    </w:p>
    <w:p w:rsidR="00E9280D" w:rsidRPr="0032491D" w:rsidRDefault="00E9280D" w:rsidP="00E9280D">
      <w:pPr>
        <w:pStyle w:val="a6"/>
        <w:numPr>
          <w:ilvl w:val="0"/>
          <w:numId w:val="1"/>
        </w:numPr>
        <w:ind w:firstLineChars="0"/>
        <w:rPr>
          <w:rFonts w:ascii="楷体" w:eastAsia="楷体" w:hAnsi="楷体" w:cs="Arial"/>
          <w:b/>
          <w:color w:val="996600"/>
          <w:sz w:val="32"/>
          <w:szCs w:val="28"/>
        </w:rPr>
      </w:pPr>
      <w:bookmarkStart w:id="1" w:name="_Toc431285223"/>
      <w:r w:rsidRPr="0032491D">
        <w:rPr>
          <w:rFonts w:ascii="楷体" w:eastAsia="楷体" w:hAnsi="楷体" w:cs="Arial"/>
          <w:noProof/>
          <w:sz w:val="20"/>
          <w:szCs w:val="20"/>
        </w:rPr>
        <w:lastRenderedPageBreak/>
        <mc:AlternateContent>
          <mc:Choice Requires="wps">
            <w:drawing>
              <wp:anchor distT="0" distB="0" distL="0" distR="0" simplePos="0" relativeHeight="251660288" behindDoc="0" locked="0" layoutInCell="1" allowOverlap="0" wp14:anchorId="57F60229" wp14:editId="13BDD5A9">
                <wp:simplePos x="0" y="0"/>
                <wp:positionH relativeFrom="page">
                  <wp:posOffset>327804</wp:posOffset>
                </wp:positionH>
                <wp:positionV relativeFrom="paragraph">
                  <wp:posOffset>31295</wp:posOffset>
                </wp:positionV>
                <wp:extent cx="2441051" cy="8816196"/>
                <wp:effectExtent l="0" t="0" r="0" b="444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6196"/>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624619" w:rsidRPr="00A64D32" w:rsidTr="00943C56">
                              <w:trPr>
                                <w:trHeight w:val="417"/>
                              </w:trPr>
                              <w:tc>
                                <w:tcPr>
                                  <w:tcW w:w="1276" w:type="dxa"/>
                                  <w:tcBorders>
                                    <w:top w:val="single" w:sz="8" w:space="0" w:color="000000"/>
                                    <w:bottom w:val="single" w:sz="8" w:space="0" w:color="000000"/>
                                    <w:right w:val="nil"/>
                                  </w:tcBorders>
                                  <w:shd w:val="clear" w:color="F79646" w:fill="F79646"/>
                                  <w:vAlign w:val="center"/>
                                  <w:hideMark/>
                                </w:tcPr>
                                <w:p w:rsidR="00624619" w:rsidRPr="00A64D32" w:rsidRDefault="00624619" w:rsidP="00943C5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624619" w:rsidRPr="00A64D32" w:rsidRDefault="00624619" w:rsidP="0032491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02</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624619" w:rsidRPr="003175BA" w:rsidRDefault="00624619" w:rsidP="00943C56">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2913.25</w:t>
                                  </w:r>
                                </w:p>
                              </w:tc>
                              <w:tc>
                                <w:tcPr>
                                  <w:tcW w:w="1134" w:type="dxa"/>
                                  <w:tcBorders>
                                    <w:top w:val="nil"/>
                                    <w:left w:val="nil"/>
                                    <w:bottom w:val="single" w:sz="8" w:space="0" w:color="000000"/>
                                    <w:right w:val="nil"/>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-0.85</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3130.35</w:t>
                                  </w:r>
                                </w:p>
                              </w:tc>
                              <w:tc>
                                <w:tcPr>
                                  <w:tcW w:w="1134" w:type="dxa"/>
                                  <w:tcBorders>
                                    <w:top w:val="nil"/>
                                    <w:left w:val="nil"/>
                                    <w:bottom w:val="single" w:sz="8" w:space="0" w:color="000000"/>
                                    <w:right w:val="nil"/>
                                  </w:tcBorders>
                                  <w:shd w:val="clear" w:color="auto" w:fill="auto"/>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-0.84</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6563.62</w:t>
                                  </w:r>
                                </w:p>
                              </w:tc>
                              <w:tc>
                                <w:tcPr>
                                  <w:tcW w:w="1134" w:type="dxa"/>
                                  <w:tcBorders>
                                    <w:top w:val="nil"/>
                                    <w:left w:val="nil"/>
                                    <w:bottom w:val="single" w:sz="8" w:space="0" w:color="000000"/>
                                    <w:right w:val="nil"/>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-0.80</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2129.19</w:t>
                                  </w:r>
                                </w:p>
                              </w:tc>
                              <w:tc>
                                <w:tcPr>
                                  <w:tcW w:w="1134" w:type="dxa"/>
                                  <w:tcBorders>
                                    <w:top w:val="nil"/>
                                    <w:left w:val="nil"/>
                                    <w:bottom w:val="single" w:sz="8" w:space="0" w:color="000000"/>
                                    <w:right w:val="nil"/>
                                  </w:tcBorders>
                                  <w:shd w:val="clear" w:color="auto" w:fill="auto"/>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-0.45</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3F211B" w:rsidRDefault="00624619" w:rsidP="00943C56">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118.62</w:t>
                                  </w:r>
                                </w:p>
                              </w:tc>
                              <w:tc>
                                <w:tcPr>
                                  <w:tcW w:w="1134" w:type="dxa"/>
                                  <w:tcBorders>
                                    <w:top w:val="nil"/>
                                    <w:left w:val="nil"/>
                                    <w:bottom w:val="single" w:sz="8" w:space="0" w:color="000000"/>
                                    <w:right w:val="nil"/>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624619" w:rsidRPr="00A64D32" w:rsidTr="00943C56">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624619" w:rsidRPr="003F211B" w:rsidRDefault="00624619" w:rsidP="00943C56">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91.50</w:t>
                                  </w:r>
                                </w:p>
                              </w:tc>
                              <w:tc>
                                <w:tcPr>
                                  <w:tcW w:w="1134" w:type="dxa"/>
                                  <w:tcBorders>
                                    <w:top w:val="single" w:sz="8" w:space="0" w:color="000000"/>
                                    <w:left w:val="nil"/>
                                    <w:bottom w:val="single" w:sz="8" w:space="0" w:color="000000"/>
                                    <w:right w:val="nil"/>
                                  </w:tcBorders>
                                  <w:shd w:val="clear" w:color="D9D9D9"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0.12</w:t>
                                  </w:r>
                                </w:p>
                              </w:tc>
                            </w:tr>
                            <w:tr w:rsidR="00624619" w:rsidRPr="00A64D32" w:rsidTr="00943C56">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120.01</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624619" w:rsidRPr="00A64D32" w:rsidTr="00943C56">
                              <w:trPr>
                                <w:trHeight w:val="435"/>
                              </w:trPr>
                              <w:tc>
                                <w:tcPr>
                                  <w:tcW w:w="1276" w:type="dxa"/>
                                  <w:tcBorders>
                                    <w:top w:val="single" w:sz="8" w:space="0" w:color="000000"/>
                                    <w:bottom w:val="single" w:sz="8" w:space="0" w:color="000000"/>
                                    <w:right w:val="nil"/>
                                  </w:tcBorders>
                                  <w:shd w:val="clear" w:color="F79646" w:fill="F79646"/>
                                  <w:vAlign w:val="center"/>
                                  <w:hideMark/>
                                </w:tcPr>
                                <w:p w:rsidR="00624619" w:rsidRPr="00A64D32" w:rsidRDefault="00624619" w:rsidP="00943C5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624619" w:rsidRPr="00A64D32" w:rsidRDefault="00624619" w:rsidP="0032491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02</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100</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4330.17</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-0.26</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2057.14</w:t>
                                  </w:r>
                                </w:p>
                              </w:tc>
                              <w:tc>
                                <w:tcPr>
                                  <w:tcW w:w="1134" w:type="dxa"/>
                                  <w:tcBorders>
                                    <w:top w:val="nil"/>
                                    <w:left w:val="nil"/>
                                    <w:bottom w:val="single" w:sz="8" w:space="0" w:color="000000"/>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17740.63</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-0.19</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20109.87</w:t>
                                  </w:r>
                                </w:p>
                              </w:tc>
                              <w:tc>
                                <w:tcPr>
                                  <w:tcW w:w="1134" w:type="dxa"/>
                                  <w:tcBorders>
                                    <w:top w:val="nil"/>
                                    <w:left w:val="nil"/>
                                    <w:bottom w:val="single" w:sz="8" w:space="0" w:color="000000"/>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-4.54</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16106.72</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-3.36</w:t>
                                  </w:r>
                                </w:p>
                              </w:tc>
                            </w:tr>
                            <w:tr w:rsidR="00624619" w:rsidRPr="00A64D32" w:rsidTr="00943C56">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331.67</w:t>
                                  </w:r>
                                </w:p>
                              </w:tc>
                              <w:tc>
                                <w:tcPr>
                                  <w:tcW w:w="1134" w:type="dxa"/>
                                  <w:tcBorders>
                                    <w:top w:val="nil"/>
                                    <w:left w:val="nil"/>
                                    <w:bottom w:val="single" w:sz="8" w:space="0" w:color="auto"/>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-2.87</w:t>
                                  </w:r>
                                </w:p>
                              </w:tc>
                            </w:tr>
                            <w:tr w:rsidR="00624619" w:rsidRPr="00A64D32" w:rsidTr="00943C56">
                              <w:trPr>
                                <w:trHeight w:val="435"/>
                              </w:trPr>
                              <w:tc>
                                <w:tcPr>
                                  <w:tcW w:w="1276" w:type="dxa"/>
                                  <w:tcBorders>
                                    <w:top w:val="single" w:sz="8" w:space="0" w:color="000000"/>
                                    <w:bottom w:val="single" w:sz="8" w:space="0" w:color="000000"/>
                                    <w:right w:val="nil"/>
                                  </w:tcBorders>
                                  <w:shd w:val="clear" w:color="F79646" w:fill="F79646"/>
                                  <w:vAlign w:val="center"/>
                                  <w:hideMark/>
                                </w:tcPr>
                                <w:p w:rsidR="00624619" w:rsidRPr="00A64D32" w:rsidRDefault="00624619" w:rsidP="00943C5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624619" w:rsidRPr="00A64D32" w:rsidRDefault="00624619" w:rsidP="00943C56">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02</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93.85</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0.86</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120.07</w:t>
                                  </w:r>
                                </w:p>
                              </w:tc>
                              <w:tc>
                                <w:tcPr>
                                  <w:tcW w:w="1134" w:type="dxa"/>
                                  <w:tcBorders>
                                    <w:top w:val="nil"/>
                                    <w:left w:val="nil"/>
                                    <w:bottom w:val="single" w:sz="8" w:space="0" w:color="000000"/>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0.01</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1289.70</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624619" w:rsidRPr="00A64D32" w:rsidTr="00943C56">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44.56</w:t>
                                  </w:r>
                                </w:p>
                              </w:tc>
                              <w:tc>
                                <w:tcPr>
                                  <w:tcW w:w="1134" w:type="dxa"/>
                                  <w:tcBorders>
                                    <w:top w:val="nil"/>
                                    <w:left w:val="nil"/>
                                    <w:bottom w:val="single" w:sz="8" w:space="0" w:color="auto"/>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-3.11</w:t>
                                  </w:r>
                                </w:p>
                              </w:tc>
                            </w:tr>
                          </w:tbl>
                          <w:p w:rsidR="00624619" w:rsidRPr="00AD43BA" w:rsidRDefault="00624619" w:rsidP="00E9280D">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624619" w:rsidRPr="00A64D32" w:rsidTr="00943C56">
                              <w:trPr>
                                <w:trHeight w:val="435"/>
                                <w:jc w:val="center"/>
                              </w:trPr>
                              <w:tc>
                                <w:tcPr>
                                  <w:tcW w:w="3494" w:type="dxa"/>
                                  <w:tcBorders>
                                    <w:left w:val="nil"/>
                                    <w:right w:val="nil"/>
                                  </w:tcBorders>
                                  <w:shd w:val="clear" w:color="F79646" w:fill="F79646"/>
                                  <w:vAlign w:val="center"/>
                                  <w:hideMark/>
                                </w:tcPr>
                                <w:p w:rsidR="00624619" w:rsidRDefault="00624619" w:rsidP="00943C56">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5</w:t>
                                  </w:r>
                                  <w:r w:rsidRPr="001147F2">
                                    <w:rPr>
                                      <w:rFonts w:ascii="Arial" w:cs="Arial"/>
                                      <w:b/>
                                      <w:sz w:val="16"/>
                                      <w:szCs w:val="16"/>
                                    </w:rPr>
                                    <w:t>.</w:t>
                                  </w:r>
                                  <w:r>
                                    <w:rPr>
                                      <w:rFonts w:ascii="Arial" w:cs="Arial" w:hint="eastAsia"/>
                                      <w:b/>
                                      <w:sz w:val="16"/>
                                      <w:szCs w:val="16"/>
                                    </w:rPr>
                                    <w:t>02</w:t>
                                  </w:r>
                                  <w:r w:rsidRPr="001147F2">
                                    <w:rPr>
                                      <w:rFonts w:ascii="Arial" w:cs="Arial"/>
                                      <w:b/>
                                      <w:sz w:val="16"/>
                                      <w:szCs w:val="16"/>
                                    </w:rPr>
                                    <w:t>-2016.0</w:t>
                                  </w:r>
                                  <w:r>
                                    <w:rPr>
                                      <w:rFonts w:ascii="Arial" w:cs="Arial" w:hint="eastAsia"/>
                                      <w:b/>
                                      <w:sz w:val="16"/>
                                      <w:szCs w:val="16"/>
                                    </w:rPr>
                                    <w:t>5</w:t>
                                  </w:r>
                                  <w:r w:rsidRPr="001147F2">
                                    <w:rPr>
                                      <w:rFonts w:ascii="Arial" w:cs="Arial"/>
                                      <w:b/>
                                      <w:sz w:val="16"/>
                                      <w:szCs w:val="16"/>
                                    </w:rPr>
                                    <w:t>.</w:t>
                                  </w:r>
                                  <w:r>
                                    <w:rPr>
                                      <w:rFonts w:ascii="Arial" w:cs="Arial" w:hint="eastAsia"/>
                                      <w:b/>
                                      <w:sz w:val="16"/>
                                      <w:szCs w:val="16"/>
                                    </w:rPr>
                                    <w:t>08</w:t>
                                  </w:r>
                                </w:p>
                              </w:tc>
                            </w:tr>
                            <w:tr w:rsidR="00624619" w:rsidRPr="00A64D32" w:rsidTr="0032491D">
                              <w:trPr>
                                <w:trHeight w:val="2474"/>
                                <w:jc w:val="center"/>
                              </w:trPr>
                              <w:tc>
                                <w:tcPr>
                                  <w:tcW w:w="3494" w:type="dxa"/>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Pr>
                                      <w:noProof/>
                                    </w:rPr>
                                    <w:drawing>
                                      <wp:inline distT="0" distB="0" distL="0" distR="0" wp14:anchorId="2D050ACD" wp14:editId="76FB893C">
                                        <wp:extent cx="2027208" cy="3623094"/>
                                        <wp:effectExtent l="0" t="0" r="11430" b="1587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624619" w:rsidRPr="00BC1770" w:rsidRDefault="00624619" w:rsidP="00E9280D">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8pt;margin-top:2.45pt;width:192.2pt;height:694.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624619" w:rsidRPr="00A64D32" w:rsidTr="00943C56">
                        <w:trPr>
                          <w:trHeight w:val="417"/>
                        </w:trPr>
                        <w:tc>
                          <w:tcPr>
                            <w:tcW w:w="1276" w:type="dxa"/>
                            <w:tcBorders>
                              <w:top w:val="single" w:sz="8" w:space="0" w:color="000000"/>
                              <w:bottom w:val="single" w:sz="8" w:space="0" w:color="000000"/>
                              <w:right w:val="nil"/>
                            </w:tcBorders>
                            <w:shd w:val="clear" w:color="F79646" w:fill="F79646"/>
                            <w:vAlign w:val="center"/>
                            <w:hideMark/>
                          </w:tcPr>
                          <w:p w:rsidR="00624619" w:rsidRPr="00A64D32" w:rsidRDefault="00624619" w:rsidP="00943C5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624619" w:rsidRPr="00A64D32" w:rsidRDefault="00624619" w:rsidP="0032491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02</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624619" w:rsidRPr="003175BA" w:rsidRDefault="00624619" w:rsidP="00943C56">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2913.25</w:t>
                            </w:r>
                          </w:p>
                        </w:tc>
                        <w:tc>
                          <w:tcPr>
                            <w:tcW w:w="1134" w:type="dxa"/>
                            <w:tcBorders>
                              <w:top w:val="nil"/>
                              <w:left w:val="nil"/>
                              <w:bottom w:val="single" w:sz="8" w:space="0" w:color="000000"/>
                              <w:right w:val="nil"/>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-0.85</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3130.35</w:t>
                            </w:r>
                          </w:p>
                        </w:tc>
                        <w:tc>
                          <w:tcPr>
                            <w:tcW w:w="1134" w:type="dxa"/>
                            <w:tcBorders>
                              <w:top w:val="nil"/>
                              <w:left w:val="nil"/>
                              <w:bottom w:val="single" w:sz="8" w:space="0" w:color="000000"/>
                              <w:right w:val="nil"/>
                            </w:tcBorders>
                            <w:shd w:val="clear" w:color="auto" w:fill="auto"/>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-0.84</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6563.62</w:t>
                            </w:r>
                          </w:p>
                        </w:tc>
                        <w:tc>
                          <w:tcPr>
                            <w:tcW w:w="1134" w:type="dxa"/>
                            <w:tcBorders>
                              <w:top w:val="nil"/>
                              <w:left w:val="nil"/>
                              <w:bottom w:val="single" w:sz="8" w:space="0" w:color="000000"/>
                              <w:right w:val="nil"/>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-0.80</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2129.19</w:t>
                            </w:r>
                          </w:p>
                        </w:tc>
                        <w:tc>
                          <w:tcPr>
                            <w:tcW w:w="1134" w:type="dxa"/>
                            <w:tcBorders>
                              <w:top w:val="nil"/>
                              <w:left w:val="nil"/>
                              <w:bottom w:val="single" w:sz="8" w:space="0" w:color="000000"/>
                              <w:right w:val="nil"/>
                            </w:tcBorders>
                            <w:shd w:val="clear" w:color="auto" w:fill="auto"/>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-0.45</w:t>
                            </w:r>
                          </w:p>
                        </w:tc>
                      </w:tr>
                      <w:tr w:rsidR="00624619" w:rsidRPr="00A64D32" w:rsidTr="00943C56">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3F211B" w:rsidRDefault="00624619" w:rsidP="00943C56">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118.62</w:t>
                            </w:r>
                          </w:p>
                        </w:tc>
                        <w:tc>
                          <w:tcPr>
                            <w:tcW w:w="1134" w:type="dxa"/>
                            <w:tcBorders>
                              <w:top w:val="nil"/>
                              <w:left w:val="nil"/>
                              <w:bottom w:val="single" w:sz="8" w:space="0" w:color="000000"/>
                              <w:right w:val="nil"/>
                            </w:tcBorders>
                            <w:shd w:val="clear" w:color="D9D9D9" w:fill="D9D9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624619" w:rsidRPr="00A64D32" w:rsidTr="00943C56">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624619" w:rsidRPr="003F211B" w:rsidRDefault="00624619" w:rsidP="00943C56">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91.50</w:t>
                            </w:r>
                          </w:p>
                        </w:tc>
                        <w:tc>
                          <w:tcPr>
                            <w:tcW w:w="1134" w:type="dxa"/>
                            <w:tcBorders>
                              <w:top w:val="single" w:sz="8" w:space="0" w:color="000000"/>
                              <w:left w:val="nil"/>
                              <w:bottom w:val="single" w:sz="8" w:space="0" w:color="000000"/>
                              <w:right w:val="nil"/>
                            </w:tcBorders>
                            <w:shd w:val="clear" w:color="D9D9D9"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0.12</w:t>
                            </w:r>
                          </w:p>
                        </w:tc>
                      </w:tr>
                      <w:tr w:rsidR="00624619" w:rsidRPr="00A64D32" w:rsidTr="00943C56">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624619" w:rsidRPr="003F211B" w:rsidRDefault="00624619" w:rsidP="00943C56">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120.01</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624619" w:rsidRPr="00A64D32" w:rsidTr="00943C56">
                        <w:trPr>
                          <w:trHeight w:val="435"/>
                        </w:trPr>
                        <w:tc>
                          <w:tcPr>
                            <w:tcW w:w="1276" w:type="dxa"/>
                            <w:tcBorders>
                              <w:top w:val="single" w:sz="8" w:space="0" w:color="000000"/>
                              <w:bottom w:val="single" w:sz="8" w:space="0" w:color="000000"/>
                              <w:right w:val="nil"/>
                            </w:tcBorders>
                            <w:shd w:val="clear" w:color="F79646" w:fill="F79646"/>
                            <w:vAlign w:val="center"/>
                            <w:hideMark/>
                          </w:tcPr>
                          <w:p w:rsidR="00624619" w:rsidRPr="00A64D32" w:rsidRDefault="00624619" w:rsidP="00943C5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624619" w:rsidRPr="00A64D32" w:rsidRDefault="00624619" w:rsidP="0032491D">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02</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100</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4330.17</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-0.26</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2057.14</w:t>
                            </w:r>
                          </w:p>
                        </w:tc>
                        <w:tc>
                          <w:tcPr>
                            <w:tcW w:w="1134" w:type="dxa"/>
                            <w:tcBorders>
                              <w:top w:val="nil"/>
                              <w:left w:val="nil"/>
                              <w:bottom w:val="single" w:sz="8" w:space="0" w:color="000000"/>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17740.63</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-0.19</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20109.87</w:t>
                            </w:r>
                          </w:p>
                        </w:tc>
                        <w:tc>
                          <w:tcPr>
                            <w:tcW w:w="1134" w:type="dxa"/>
                            <w:tcBorders>
                              <w:top w:val="nil"/>
                              <w:left w:val="nil"/>
                              <w:bottom w:val="single" w:sz="8" w:space="0" w:color="000000"/>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-4.54</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16106.72</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-3.36</w:t>
                            </w:r>
                          </w:p>
                        </w:tc>
                      </w:tr>
                      <w:tr w:rsidR="00624619" w:rsidRPr="00A64D32" w:rsidTr="00943C56">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331.67</w:t>
                            </w:r>
                          </w:p>
                        </w:tc>
                        <w:tc>
                          <w:tcPr>
                            <w:tcW w:w="1134" w:type="dxa"/>
                            <w:tcBorders>
                              <w:top w:val="nil"/>
                              <w:left w:val="nil"/>
                              <w:bottom w:val="single" w:sz="8" w:space="0" w:color="auto"/>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-2.87</w:t>
                            </w:r>
                          </w:p>
                        </w:tc>
                      </w:tr>
                      <w:tr w:rsidR="00624619" w:rsidRPr="00A64D32" w:rsidTr="00943C56">
                        <w:trPr>
                          <w:trHeight w:val="435"/>
                        </w:trPr>
                        <w:tc>
                          <w:tcPr>
                            <w:tcW w:w="1276" w:type="dxa"/>
                            <w:tcBorders>
                              <w:top w:val="single" w:sz="8" w:space="0" w:color="000000"/>
                              <w:bottom w:val="single" w:sz="8" w:space="0" w:color="000000"/>
                              <w:right w:val="nil"/>
                            </w:tcBorders>
                            <w:shd w:val="clear" w:color="F79646" w:fill="F79646"/>
                            <w:vAlign w:val="center"/>
                            <w:hideMark/>
                          </w:tcPr>
                          <w:p w:rsidR="00624619" w:rsidRPr="00A64D32" w:rsidRDefault="00624619" w:rsidP="00943C5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624619" w:rsidRPr="00A64D32" w:rsidRDefault="00624619" w:rsidP="00943C56">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02</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624619" w:rsidRPr="003175BA" w:rsidRDefault="00624619" w:rsidP="00943C56">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93.85</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0.86</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120.07</w:t>
                            </w:r>
                          </w:p>
                        </w:tc>
                        <w:tc>
                          <w:tcPr>
                            <w:tcW w:w="1134" w:type="dxa"/>
                            <w:tcBorders>
                              <w:top w:val="nil"/>
                              <w:left w:val="nil"/>
                              <w:bottom w:val="single" w:sz="8" w:space="0" w:color="000000"/>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0.01</w:t>
                            </w:r>
                          </w:p>
                        </w:tc>
                      </w:tr>
                      <w:tr w:rsidR="00624619" w:rsidRPr="00A64D32" w:rsidTr="00943C56">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1289.70</w:t>
                            </w:r>
                          </w:p>
                        </w:tc>
                        <w:tc>
                          <w:tcPr>
                            <w:tcW w:w="1134" w:type="dxa"/>
                            <w:tcBorders>
                              <w:top w:val="nil"/>
                              <w:left w:val="nil"/>
                              <w:bottom w:val="single" w:sz="8" w:space="0" w:color="000000"/>
                              <w:right w:val="nil"/>
                            </w:tcBorders>
                            <w:shd w:val="clear" w:color="D9D9D9" w:fill="D9D9D9"/>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624619" w:rsidRPr="00A64D32" w:rsidTr="00943C56">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44.56</w:t>
                            </w:r>
                          </w:p>
                        </w:tc>
                        <w:tc>
                          <w:tcPr>
                            <w:tcW w:w="1134" w:type="dxa"/>
                            <w:tcBorders>
                              <w:top w:val="nil"/>
                              <w:left w:val="nil"/>
                              <w:bottom w:val="single" w:sz="8" w:space="0" w:color="auto"/>
                              <w:right w:val="nil"/>
                            </w:tcBorders>
                            <w:shd w:val="clear" w:color="auto" w:fill="auto"/>
                            <w:vAlign w:val="center"/>
                          </w:tcPr>
                          <w:p w:rsidR="00624619" w:rsidRDefault="00624619">
                            <w:pPr>
                              <w:jc w:val="center"/>
                              <w:rPr>
                                <w:rFonts w:ascii="楷体" w:eastAsia="楷体" w:hAnsi="楷体" w:cs="宋体"/>
                                <w:color w:val="000000"/>
                                <w:sz w:val="16"/>
                                <w:szCs w:val="16"/>
                              </w:rPr>
                            </w:pPr>
                            <w:r>
                              <w:rPr>
                                <w:rFonts w:ascii="楷体" w:eastAsia="楷体" w:hAnsi="楷体" w:hint="eastAsia"/>
                                <w:color w:val="000000"/>
                                <w:sz w:val="16"/>
                                <w:szCs w:val="16"/>
                              </w:rPr>
                              <w:t>-3.11</w:t>
                            </w:r>
                          </w:p>
                        </w:tc>
                      </w:tr>
                    </w:tbl>
                    <w:p w:rsidR="00624619" w:rsidRPr="00AD43BA" w:rsidRDefault="00624619" w:rsidP="00E9280D">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624619" w:rsidRPr="00A64D32" w:rsidTr="00943C56">
                        <w:trPr>
                          <w:trHeight w:val="435"/>
                          <w:jc w:val="center"/>
                        </w:trPr>
                        <w:tc>
                          <w:tcPr>
                            <w:tcW w:w="3494" w:type="dxa"/>
                            <w:tcBorders>
                              <w:left w:val="nil"/>
                              <w:right w:val="nil"/>
                            </w:tcBorders>
                            <w:shd w:val="clear" w:color="F79646" w:fill="F79646"/>
                            <w:vAlign w:val="center"/>
                            <w:hideMark/>
                          </w:tcPr>
                          <w:p w:rsidR="00624619" w:rsidRDefault="00624619" w:rsidP="00943C56">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5</w:t>
                            </w:r>
                            <w:r w:rsidRPr="001147F2">
                              <w:rPr>
                                <w:rFonts w:ascii="Arial" w:cs="Arial"/>
                                <w:b/>
                                <w:sz w:val="16"/>
                                <w:szCs w:val="16"/>
                              </w:rPr>
                              <w:t>.</w:t>
                            </w:r>
                            <w:r>
                              <w:rPr>
                                <w:rFonts w:ascii="Arial" w:cs="Arial" w:hint="eastAsia"/>
                                <w:b/>
                                <w:sz w:val="16"/>
                                <w:szCs w:val="16"/>
                              </w:rPr>
                              <w:t>02</w:t>
                            </w:r>
                            <w:r w:rsidRPr="001147F2">
                              <w:rPr>
                                <w:rFonts w:ascii="Arial" w:cs="Arial"/>
                                <w:b/>
                                <w:sz w:val="16"/>
                                <w:szCs w:val="16"/>
                              </w:rPr>
                              <w:t>-2016.0</w:t>
                            </w:r>
                            <w:r>
                              <w:rPr>
                                <w:rFonts w:ascii="Arial" w:cs="Arial" w:hint="eastAsia"/>
                                <w:b/>
                                <w:sz w:val="16"/>
                                <w:szCs w:val="16"/>
                              </w:rPr>
                              <w:t>5</w:t>
                            </w:r>
                            <w:r w:rsidRPr="001147F2">
                              <w:rPr>
                                <w:rFonts w:ascii="Arial" w:cs="Arial"/>
                                <w:b/>
                                <w:sz w:val="16"/>
                                <w:szCs w:val="16"/>
                              </w:rPr>
                              <w:t>.</w:t>
                            </w:r>
                            <w:r>
                              <w:rPr>
                                <w:rFonts w:ascii="Arial" w:cs="Arial" w:hint="eastAsia"/>
                                <w:b/>
                                <w:sz w:val="16"/>
                                <w:szCs w:val="16"/>
                              </w:rPr>
                              <w:t>08</w:t>
                            </w:r>
                          </w:p>
                        </w:tc>
                      </w:tr>
                      <w:tr w:rsidR="00624619" w:rsidRPr="00A64D32" w:rsidTr="0032491D">
                        <w:trPr>
                          <w:trHeight w:val="2474"/>
                          <w:jc w:val="center"/>
                        </w:trPr>
                        <w:tc>
                          <w:tcPr>
                            <w:tcW w:w="3494" w:type="dxa"/>
                            <w:shd w:val="clear" w:color="auto" w:fill="auto"/>
                            <w:vAlign w:val="center"/>
                            <w:hideMark/>
                          </w:tcPr>
                          <w:p w:rsidR="00624619" w:rsidRPr="00A64D32" w:rsidRDefault="00624619" w:rsidP="00943C56">
                            <w:pPr>
                              <w:widowControl/>
                              <w:jc w:val="center"/>
                              <w:rPr>
                                <w:rFonts w:ascii="楷体" w:eastAsia="楷体" w:hAnsi="楷体" w:cs="宋体"/>
                                <w:color w:val="000000"/>
                                <w:kern w:val="0"/>
                                <w:sz w:val="16"/>
                                <w:szCs w:val="16"/>
                              </w:rPr>
                            </w:pPr>
                            <w:r>
                              <w:rPr>
                                <w:noProof/>
                              </w:rPr>
                              <w:drawing>
                                <wp:inline distT="0" distB="0" distL="0" distR="0" wp14:anchorId="2D050ACD" wp14:editId="76FB893C">
                                  <wp:extent cx="2027208" cy="3623094"/>
                                  <wp:effectExtent l="0" t="0" r="11430" b="1587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624619" w:rsidRPr="00BC1770" w:rsidRDefault="00624619" w:rsidP="00E9280D">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Pr="0032491D">
        <w:rPr>
          <w:rFonts w:ascii="楷体" w:eastAsia="楷体" w:hAnsi="楷体" w:cs="Arial" w:hint="eastAsia"/>
          <w:b/>
          <w:color w:val="996600"/>
          <w:sz w:val="32"/>
          <w:szCs w:val="28"/>
        </w:rPr>
        <w:t>一周</w:t>
      </w:r>
      <w:r w:rsidRPr="0032491D">
        <w:rPr>
          <w:rFonts w:ascii="楷体" w:eastAsia="楷体" w:hAnsi="楷体" w:cs="Arial"/>
          <w:b/>
          <w:color w:val="996600"/>
          <w:sz w:val="32"/>
          <w:szCs w:val="28"/>
        </w:rPr>
        <w:t>资本市场回顾</w:t>
      </w:r>
      <w:bookmarkEnd w:id="1"/>
    </w:p>
    <w:p w:rsidR="00E9280D" w:rsidRPr="0032491D" w:rsidRDefault="00E9280D" w:rsidP="00E9280D">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A股市场</w:t>
      </w:r>
    </w:p>
    <w:p w:rsidR="00E9280D" w:rsidRPr="0032491D" w:rsidRDefault="00DE73DA" w:rsidP="00E9280D">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Pr>
          <w:rFonts w:ascii="楷体" w:eastAsia="楷体" w:hAnsi="楷体" w:cs="Arial" w:hint="eastAsia"/>
          <w:b/>
          <w:color w:val="auto"/>
          <w:sz w:val="20"/>
          <w:szCs w:val="20"/>
        </w:rPr>
        <w:t>3000点昙花一现，市场</w:t>
      </w:r>
      <w:r w:rsidR="00CB7D61">
        <w:rPr>
          <w:rFonts w:ascii="楷体" w:eastAsia="楷体" w:hAnsi="楷体" w:cs="Arial" w:hint="eastAsia"/>
          <w:b/>
          <w:color w:val="auto"/>
          <w:sz w:val="20"/>
          <w:szCs w:val="20"/>
        </w:rPr>
        <w:t>人气</w:t>
      </w:r>
      <w:r w:rsidR="00BF3E90">
        <w:rPr>
          <w:rFonts w:ascii="楷体" w:eastAsia="楷体" w:hAnsi="楷体" w:cs="Arial" w:hint="eastAsia"/>
          <w:b/>
          <w:color w:val="auto"/>
          <w:sz w:val="20"/>
          <w:szCs w:val="20"/>
        </w:rPr>
        <w:t>小幅</w:t>
      </w:r>
      <w:r w:rsidR="00CB7D61">
        <w:rPr>
          <w:rFonts w:ascii="楷体" w:eastAsia="楷体" w:hAnsi="楷体" w:cs="Arial" w:hint="eastAsia"/>
          <w:b/>
          <w:color w:val="auto"/>
          <w:sz w:val="20"/>
          <w:szCs w:val="20"/>
        </w:rPr>
        <w:t>回升，但</w:t>
      </w:r>
      <w:r>
        <w:rPr>
          <w:rFonts w:ascii="楷体" w:eastAsia="楷体" w:hAnsi="楷体" w:cs="Arial" w:hint="eastAsia"/>
          <w:b/>
          <w:color w:val="auto"/>
          <w:sz w:val="20"/>
          <w:szCs w:val="20"/>
        </w:rPr>
        <w:t>做多信心不足</w:t>
      </w:r>
      <w:r w:rsidR="00E9280D" w:rsidRPr="0032491D">
        <w:rPr>
          <w:rFonts w:ascii="楷体" w:eastAsia="楷体" w:hAnsi="楷体" w:cs="Arial" w:hint="eastAsia"/>
          <w:b/>
          <w:color w:val="auto"/>
          <w:sz w:val="20"/>
          <w:szCs w:val="20"/>
        </w:rPr>
        <w:t>。</w:t>
      </w:r>
      <w:r>
        <w:rPr>
          <w:rFonts w:ascii="楷体" w:eastAsia="楷体" w:hAnsi="楷体" w:cs="Arial" w:hint="eastAsia"/>
          <w:color w:val="auto"/>
          <w:sz w:val="20"/>
          <w:szCs w:val="20"/>
        </w:rPr>
        <w:t>节后首个交易日，</w:t>
      </w:r>
      <w:r w:rsidR="00943C56">
        <w:rPr>
          <w:rFonts w:ascii="楷体" w:eastAsia="楷体" w:hAnsi="楷体" w:cs="Arial" w:hint="eastAsia"/>
          <w:color w:val="auto"/>
          <w:sz w:val="20"/>
          <w:szCs w:val="20"/>
        </w:rPr>
        <w:t>或许是由于</w:t>
      </w:r>
      <w:r w:rsidR="00943C56" w:rsidRPr="00943C56">
        <w:rPr>
          <w:rFonts w:ascii="楷体" w:eastAsia="楷体" w:hAnsi="楷体" w:cs="Arial" w:hint="eastAsia"/>
          <w:color w:val="auto"/>
          <w:sz w:val="20"/>
          <w:szCs w:val="20"/>
        </w:rPr>
        <w:t>“股市”二</w:t>
      </w:r>
      <w:proofErr w:type="gramStart"/>
      <w:r w:rsidR="00943C56" w:rsidRPr="00943C56">
        <w:rPr>
          <w:rFonts w:ascii="楷体" w:eastAsia="楷体" w:hAnsi="楷体" w:cs="Arial" w:hint="eastAsia"/>
          <w:color w:val="auto"/>
          <w:sz w:val="20"/>
          <w:szCs w:val="20"/>
        </w:rPr>
        <w:t>字首次</w:t>
      </w:r>
      <w:proofErr w:type="gramEnd"/>
      <w:r w:rsidR="00943C56" w:rsidRPr="00943C56">
        <w:rPr>
          <w:rFonts w:ascii="楷体" w:eastAsia="楷体" w:hAnsi="楷体" w:cs="Arial" w:hint="eastAsia"/>
          <w:color w:val="auto"/>
          <w:sz w:val="20"/>
          <w:szCs w:val="20"/>
        </w:rPr>
        <w:t>出现在中央政治局这样高级别的场合，创造了A股的历史，</w:t>
      </w:r>
      <w:r w:rsidRPr="00DE73DA">
        <w:rPr>
          <w:rFonts w:ascii="楷体" w:eastAsia="楷体" w:hAnsi="楷体" w:cs="Arial" w:hint="eastAsia"/>
          <w:color w:val="auto"/>
          <w:sz w:val="20"/>
          <w:szCs w:val="20"/>
        </w:rPr>
        <w:t>市场一扫上周阴霾</w:t>
      </w:r>
      <w:r>
        <w:rPr>
          <w:rFonts w:ascii="楷体" w:eastAsia="楷体" w:hAnsi="楷体" w:cs="Arial" w:hint="eastAsia"/>
          <w:color w:val="auto"/>
          <w:sz w:val="20"/>
          <w:szCs w:val="20"/>
        </w:rPr>
        <w:t>，</w:t>
      </w:r>
      <w:r w:rsidRPr="00DE73DA">
        <w:rPr>
          <w:rFonts w:ascii="楷体" w:eastAsia="楷体" w:hAnsi="楷体" w:cs="Arial" w:hint="eastAsia"/>
          <w:color w:val="auto"/>
          <w:sz w:val="20"/>
          <w:szCs w:val="20"/>
        </w:rPr>
        <w:t>上证综指反弹近2%</w:t>
      </w:r>
      <w:r>
        <w:rPr>
          <w:rFonts w:ascii="楷体" w:eastAsia="楷体" w:hAnsi="楷体" w:cs="Arial" w:hint="eastAsia"/>
          <w:color w:val="auto"/>
          <w:sz w:val="20"/>
          <w:szCs w:val="20"/>
        </w:rPr>
        <w:t>，迎来5月开门红</w:t>
      </w:r>
      <w:r w:rsidR="00943C56">
        <w:rPr>
          <w:rFonts w:ascii="楷体" w:eastAsia="楷体" w:hAnsi="楷体" w:cs="Arial" w:hint="eastAsia"/>
          <w:color w:val="auto"/>
          <w:sz w:val="20"/>
          <w:szCs w:val="20"/>
        </w:rPr>
        <w:t>。</w:t>
      </w:r>
      <w:r>
        <w:rPr>
          <w:rFonts w:ascii="楷体" w:eastAsia="楷体" w:hAnsi="楷体" w:cs="Arial" w:hint="eastAsia"/>
          <w:color w:val="auto"/>
          <w:sz w:val="20"/>
          <w:szCs w:val="20"/>
        </w:rPr>
        <w:t>但在随后的两个交易日</w:t>
      </w:r>
      <w:r w:rsidR="00943C56">
        <w:rPr>
          <w:rFonts w:ascii="楷体" w:eastAsia="楷体" w:hAnsi="楷体" w:cs="Arial" w:hint="eastAsia"/>
          <w:color w:val="auto"/>
          <w:sz w:val="20"/>
          <w:szCs w:val="20"/>
        </w:rPr>
        <w:t>股市</w:t>
      </w:r>
      <w:r w:rsidRPr="00DE73DA">
        <w:rPr>
          <w:rFonts w:ascii="楷体" w:eastAsia="楷体" w:hAnsi="楷体" w:cs="Arial" w:hint="eastAsia"/>
          <w:color w:val="auto"/>
          <w:sz w:val="20"/>
          <w:szCs w:val="20"/>
        </w:rPr>
        <w:t>弱势整理， 3000点昙花一现</w:t>
      </w:r>
      <w:r>
        <w:rPr>
          <w:rFonts w:ascii="楷体" w:eastAsia="楷体" w:hAnsi="楷体" w:cs="Arial" w:hint="eastAsia"/>
          <w:color w:val="auto"/>
          <w:sz w:val="20"/>
          <w:szCs w:val="20"/>
        </w:rPr>
        <w:t>，周五</w:t>
      </w:r>
      <w:r w:rsidRPr="00DE73DA">
        <w:rPr>
          <w:rFonts w:ascii="楷体" w:eastAsia="楷体" w:hAnsi="楷体" w:cs="Arial" w:hint="eastAsia"/>
          <w:color w:val="auto"/>
          <w:sz w:val="20"/>
          <w:szCs w:val="20"/>
        </w:rPr>
        <w:t>收盘</w:t>
      </w:r>
      <w:r>
        <w:rPr>
          <w:rFonts w:ascii="楷体" w:eastAsia="楷体" w:hAnsi="楷体" w:cs="Arial" w:hint="eastAsia"/>
          <w:color w:val="auto"/>
          <w:sz w:val="20"/>
          <w:szCs w:val="20"/>
        </w:rPr>
        <w:t>更是</w:t>
      </w:r>
      <w:r w:rsidRPr="00DE73DA">
        <w:rPr>
          <w:rFonts w:ascii="楷体" w:eastAsia="楷体" w:hAnsi="楷体" w:cs="Arial" w:hint="eastAsia"/>
          <w:color w:val="auto"/>
          <w:sz w:val="20"/>
          <w:szCs w:val="20"/>
        </w:rPr>
        <w:t>放量大跌近3%，击穿60日均线</w:t>
      </w:r>
      <w:r>
        <w:rPr>
          <w:rFonts w:ascii="楷体" w:eastAsia="楷体" w:hAnsi="楷体" w:cs="Arial" w:hint="eastAsia"/>
          <w:color w:val="auto"/>
          <w:sz w:val="20"/>
          <w:szCs w:val="20"/>
        </w:rPr>
        <w:t>。</w:t>
      </w:r>
      <w:r w:rsidR="00CB7D61">
        <w:rPr>
          <w:rFonts w:ascii="楷体" w:eastAsia="楷体" w:hAnsi="楷体" w:cs="Arial" w:hint="eastAsia"/>
          <w:color w:val="auto"/>
          <w:sz w:val="20"/>
          <w:szCs w:val="20"/>
        </w:rPr>
        <w:t>尽管市场做多信心不足，但与上周相比，两融余额、成交额、资金情况均显示市场人气有所回升。</w:t>
      </w:r>
      <w:r w:rsidR="00CB7D61" w:rsidRPr="00CB7D61">
        <w:rPr>
          <w:rFonts w:ascii="楷体" w:eastAsia="楷体" w:hAnsi="楷体" w:cs="Arial" w:hint="eastAsia"/>
          <w:color w:val="auto"/>
          <w:sz w:val="20"/>
          <w:szCs w:val="20"/>
        </w:rPr>
        <w:t>截至5月5日，沪深两市融资融券余额报8717.17亿元，</w:t>
      </w:r>
      <w:r w:rsidR="00CB7D61">
        <w:rPr>
          <w:rFonts w:ascii="楷体" w:eastAsia="楷体" w:hAnsi="楷体" w:cs="Arial" w:hint="eastAsia"/>
          <w:color w:val="auto"/>
          <w:sz w:val="20"/>
          <w:szCs w:val="20"/>
        </w:rPr>
        <w:t>连增三日。</w:t>
      </w:r>
      <w:r w:rsidR="00CB7D61" w:rsidRPr="00CB7D61">
        <w:rPr>
          <w:rFonts w:ascii="楷体" w:eastAsia="楷体" w:hAnsi="楷体" w:cs="Arial"/>
          <w:color w:val="auto"/>
          <w:sz w:val="20"/>
          <w:szCs w:val="20"/>
        </w:rPr>
        <w:t>节后首日</w:t>
      </w:r>
      <w:r w:rsidR="00CB7D61" w:rsidRPr="00CB7D61">
        <w:rPr>
          <w:rFonts w:ascii="楷体" w:eastAsia="楷体" w:hAnsi="楷体" w:cs="Arial" w:hint="eastAsia"/>
          <w:color w:val="auto"/>
          <w:sz w:val="20"/>
          <w:szCs w:val="20"/>
        </w:rPr>
        <w:t>资金重新流入A</w:t>
      </w:r>
      <w:r w:rsidR="00AF4A2E">
        <w:rPr>
          <w:rFonts w:ascii="楷体" w:eastAsia="楷体" w:hAnsi="楷体" w:cs="Arial" w:hint="eastAsia"/>
          <w:color w:val="auto"/>
          <w:sz w:val="20"/>
          <w:szCs w:val="20"/>
        </w:rPr>
        <w:t>股市场，</w:t>
      </w:r>
      <w:r w:rsidR="00CB7D61" w:rsidRPr="00CB7D61">
        <w:rPr>
          <w:rFonts w:ascii="楷体" w:eastAsia="楷体" w:hAnsi="楷体" w:cs="Arial" w:hint="eastAsia"/>
          <w:color w:val="auto"/>
          <w:sz w:val="20"/>
          <w:szCs w:val="20"/>
        </w:rPr>
        <w:t>结束此前的连续11天资金净流出。</w:t>
      </w:r>
      <w:r w:rsidR="00CB7D61">
        <w:rPr>
          <w:rFonts w:ascii="楷体" w:eastAsia="楷体" w:hAnsi="楷体" w:cs="Arial" w:hint="eastAsia"/>
          <w:color w:val="auto"/>
          <w:sz w:val="20"/>
          <w:szCs w:val="20"/>
        </w:rPr>
        <w:t>全周万得全A日均成交额为</w:t>
      </w:r>
      <w:r w:rsidR="005A6BEB">
        <w:rPr>
          <w:rFonts w:ascii="楷体" w:eastAsia="楷体" w:hAnsi="楷体" w:cs="Arial" w:hint="eastAsia"/>
          <w:color w:val="auto"/>
          <w:sz w:val="20"/>
          <w:szCs w:val="20"/>
        </w:rPr>
        <w:t>551</w:t>
      </w:r>
      <w:r w:rsidR="005A6BEB" w:rsidRPr="005A6BEB">
        <w:rPr>
          <w:rFonts w:ascii="楷体" w:eastAsia="楷体" w:hAnsi="楷体" w:cs="Arial" w:hint="eastAsia"/>
          <w:color w:val="auto"/>
          <w:sz w:val="20"/>
          <w:szCs w:val="20"/>
        </w:rPr>
        <w:t>6</w:t>
      </w:r>
      <w:r w:rsidR="00CB7D61" w:rsidRPr="005A6BEB">
        <w:rPr>
          <w:rFonts w:ascii="楷体" w:eastAsia="楷体" w:hAnsi="楷体" w:cs="Arial" w:hint="eastAsia"/>
          <w:color w:val="auto"/>
          <w:sz w:val="20"/>
          <w:szCs w:val="20"/>
        </w:rPr>
        <w:t>亿元</w:t>
      </w:r>
      <w:r w:rsidR="00CB7D61">
        <w:rPr>
          <w:rFonts w:ascii="楷体" w:eastAsia="楷体" w:hAnsi="楷体" w:cs="Arial" w:hint="eastAsia"/>
          <w:color w:val="auto"/>
          <w:sz w:val="20"/>
          <w:szCs w:val="20"/>
        </w:rPr>
        <w:t>，较上周增长</w:t>
      </w:r>
      <w:r w:rsidR="005A6BEB" w:rsidRPr="005A6BEB">
        <w:rPr>
          <w:rFonts w:ascii="楷体" w:eastAsia="楷体" w:hAnsi="楷体" w:cs="Arial" w:hint="eastAsia"/>
          <w:color w:val="auto"/>
          <w:sz w:val="20"/>
          <w:szCs w:val="20"/>
        </w:rPr>
        <w:t>38.13</w:t>
      </w:r>
      <w:r w:rsidR="00CB7D61" w:rsidRPr="005A6BEB">
        <w:rPr>
          <w:rFonts w:ascii="楷体" w:eastAsia="楷体" w:hAnsi="楷体" w:cs="Arial" w:hint="eastAsia"/>
          <w:color w:val="auto"/>
          <w:sz w:val="20"/>
          <w:szCs w:val="20"/>
        </w:rPr>
        <w:t>%。</w:t>
      </w:r>
      <w:r w:rsidR="00E9280D" w:rsidRPr="005A6BEB">
        <w:rPr>
          <w:rFonts w:ascii="楷体" w:eastAsia="楷体" w:hAnsi="楷体" w:cs="Arial"/>
          <w:color w:val="auto"/>
          <w:sz w:val="20"/>
          <w:szCs w:val="20"/>
        </w:rPr>
        <w:t>全</w:t>
      </w:r>
      <w:r w:rsidR="00CB7D61">
        <w:rPr>
          <w:rFonts w:ascii="楷体" w:eastAsia="楷体" w:hAnsi="楷体" w:cs="Arial" w:hint="eastAsia"/>
          <w:color w:val="auto"/>
          <w:sz w:val="20"/>
          <w:szCs w:val="20"/>
        </w:rPr>
        <w:t>周</w:t>
      </w:r>
      <w:r w:rsidR="00E9280D" w:rsidRPr="0032491D">
        <w:rPr>
          <w:rFonts w:ascii="楷体" w:eastAsia="楷体" w:hAnsi="楷体" w:cs="Arial"/>
          <w:color w:val="auto"/>
          <w:sz w:val="20"/>
          <w:szCs w:val="20"/>
        </w:rPr>
        <w:t>来看，</w:t>
      </w:r>
      <w:r w:rsidR="00E9280D" w:rsidRPr="0032491D">
        <w:rPr>
          <w:rFonts w:ascii="楷体" w:eastAsia="楷体" w:hAnsi="楷体" w:cs="Arial" w:hint="eastAsia"/>
          <w:color w:val="auto"/>
          <w:sz w:val="20"/>
          <w:szCs w:val="20"/>
        </w:rPr>
        <w:t>上证综指跌</w:t>
      </w:r>
      <w:r w:rsidR="00CB7D61">
        <w:rPr>
          <w:rFonts w:ascii="楷体" w:eastAsia="楷体" w:hAnsi="楷体" w:cs="Arial" w:hint="eastAsia"/>
          <w:color w:val="auto"/>
          <w:sz w:val="20"/>
          <w:szCs w:val="20"/>
        </w:rPr>
        <w:t>0.85</w:t>
      </w:r>
      <w:r w:rsidR="00E9280D" w:rsidRPr="0032491D">
        <w:rPr>
          <w:rFonts w:ascii="楷体" w:eastAsia="楷体" w:hAnsi="楷体" w:cs="Arial" w:hint="eastAsia"/>
          <w:color w:val="auto"/>
          <w:sz w:val="20"/>
          <w:szCs w:val="20"/>
        </w:rPr>
        <w:t>%</w:t>
      </w:r>
      <w:r w:rsidR="00E9280D" w:rsidRPr="0032491D">
        <w:rPr>
          <w:rFonts w:ascii="楷体" w:eastAsia="楷体" w:hAnsi="楷体" w:cs="Arial"/>
          <w:color w:val="auto"/>
          <w:sz w:val="20"/>
          <w:szCs w:val="20"/>
        </w:rPr>
        <w:t>，沪深300</w:t>
      </w:r>
      <w:r w:rsidR="00E9280D" w:rsidRPr="0032491D">
        <w:rPr>
          <w:rFonts w:ascii="楷体" w:eastAsia="楷体" w:hAnsi="楷体" w:cs="Arial" w:hint="eastAsia"/>
          <w:color w:val="auto"/>
          <w:sz w:val="20"/>
          <w:szCs w:val="20"/>
        </w:rPr>
        <w:t>跌</w:t>
      </w:r>
      <w:r w:rsidR="00CB7D61">
        <w:rPr>
          <w:rFonts w:ascii="楷体" w:eastAsia="楷体" w:hAnsi="楷体" w:cs="Arial" w:hint="eastAsia"/>
          <w:color w:val="auto"/>
          <w:sz w:val="20"/>
          <w:szCs w:val="20"/>
        </w:rPr>
        <w:t>0.84</w:t>
      </w:r>
      <w:r w:rsidR="00E9280D" w:rsidRPr="0032491D">
        <w:rPr>
          <w:rFonts w:ascii="楷体" w:eastAsia="楷体" w:hAnsi="楷体" w:cs="Arial"/>
          <w:color w:val="auto"/>
          <w:sz w:val="20"/>
          <w:szCs w:val="20"/>
        </w:rPr>
        <w:t>%，中小板指</w:t>
      </w:r>
      <w:r w:rsidR="00E9280D" w:rsidRPr="0032491D">
        <w:rPr>
          <w:rFonts w:ascii="楷体" w:eastAsia="楷体" w:hAnsi="楷体" w:cs="Arial" w:hint="eastAsia"/>
          <w:color w:val="auto"/>
          <w:sz w:val="20"/>
          <w:szCs w:val="20"/>
        </w:rPr>
        <w:t>跌</w:t>
      </w:r>
      <w:r w:rsidR="00CB7D61">
        <w:rPr>
          <w:rFonts w:ascii="楷体" w:eastAsia="楷体" w:hAnsi="楷体" w:cs="Arial" w:hint="eastAsia"/>
          <w:color w:val="auto"/>
          <w:sz w:val="20"/>
          <w:szCs w:val="20"/>
        </w:rPr>
        <w:t>0.80</w:t>
      </w:r>
      <w:r w:rsidR="00E9280D" w:rsidRPr="0032491D">
        <w:rPr>
          <w:rFonts w:ascii="楷体" w:eastAsia="楷体" w:hAnsi="楷体" w:cs="Arial"/>
          <w:color w:val="auto"/>
          <w:sz w:val="20"/>
          <w:szCs w:val="20"/>
        </w:rPr>
        <w:t>%、创业板指</w:t>
      </w:r>
      <w:r w:rsidR="00E9280D" w:rsidRPr="0032491D">
        <w:rPr>
          <w:rFonts w:ascii="楷体" w:eastAsia="楷体" w:hAnsi="楷体" w:cs="Arial" w:hint="eastAsia"/>
          <w:color w:val="auto"/>
          <w:sz w:val="20"/>
          <w:szCs w:val="20"/>
        </w:rPr>
        <w:t>跌</w:t>
      </w:r>
      <w:r w:rsidR="00CB7D61">
        <w:rPr>
          <w:rFonts w:ascii="楷体" w:eastAsia="楷体" w:hAnsi="楷体" w:cs="Arial" w:hint="eastAsia"/>
          <w:color w:val="auto"/>
          <w:sz w:val="20"/>
          <w:szCs w:val="20"/>
        </w:rPr>
        <w:t>0</w:t>
      </w:r>
      <w:r w:rsidR="00E9280D" w:rsidRPr="0032491D">
        <w:rPr>
          <w:rFonts w:ascii="楷体" w:eastAsia="楷体" w:hAnsi="楷体" w:cs="Arial" w:hint="eastAsia"/>
          <w:color w:val="auto"/>
          <w:sz w:val="20"/>
          <w:szCs w:val="20"/>
        </w:rPr>
        <w:t>.45</w:t>
      </w:r>
      <w:r w:rsidR="00E9280D" w:rsidRPr="0032491D">
        <w:rPr>
          <w:rFonts w:ascii="楷体" w:eastAsia="楷体" w:hAnsi="楷体" w:cs="Arial"/>
          <w:color w:val="auto"/>
          <w:sz w:val="20"/>
          <w:szCs w:val="20"/>
        </w:rPr>
        <w:t>%。从</w:t>
      </w:r>
      <w:r w:rsidR="00E9280D" w:rsidRPr="0032491D">
        <w:rPr>
          <w:rFonts w:ascii="楷体" w:eastAsia="楷体" w:hAnsi="楷体" w:cs="Arial" w:hint="eastAsia"/>
          <w:color w:val="auto"/>
          <w:sz w:val="20"/>
          <w:szCs w:val="20"/>
        </w:rPr>
        <w:t>概念板块来</w:t>
      </w:r>
      <w:r w:rsidR="00E9280D" w:rsidRPr="0032491D">
        <w:rPr>
          <w:rFonts w:ascii="楷体" w:eastAsia="楷体" w:hAnsi="楷体" w:cs="Arial"/>
          <w:color w:val="auto"/>
          <w:sz w:val="20"/>
          <w:szCs w:val="20"/>
        </w:rPr>
        <w:t>看，</w:t>
      </w:r>
      <w:r w:rsidR="00E9280D" w:rsidRPr="0032491D">
        <w:rPr>
          <w:rFonts w:ascii="楷体" w:eastAsia="楷体" w:hAnsi="楷体" w:cs="Arial" w:hint="eastAsia"/>
          <w:color w:val="auto"/>
          <w:sz w:val="20"/>
          <w:szCs w:val="20"/>
        </w:rPr>
        <w:t>次新股指数（</w:t>
      </w:r>
      <w:r w:rsidR="00CB7D61">
        <w:rPr>
          <w:rFonts w:ascii="楷体" w:eastAsia="楷体" w:hAnsi="楷体" w:cs="Arial" w:hint="eastAsia"/>
          <w:color w:val="auto"/>
          <w:sz w:val="20"/>
          <w:szCs w:val="20"/>
        </w:rPr>
        <w:t>8.48</w:t>
      </w:r>
      <w:r w:rsidR="00E9280D" w:rsidRPr="0032491D">
        <w:rPr>
          <w:rFonts w:ascii="楷体" w:eastAsia="楷体" w:hAnsi="楷体" w:cs="Arial" w:hint="eastAsia"/>
          <w:color w:val="auto"/>
          <w:sz w:val="20"/>
          <w:szCs w:val="20"/>
        </w:rPr>
        <w:t>%）、</w:t>
      </w:r>
      <w:proofErr w:type="gramStart"/>
      <w:r w:rsidR="00CB7D61">
        <w:rPr>
          <w:rFonts w:ascii="楷体" w:eastAsia="楷体" w:hAnsi="楷体" w:cs="Arial" w:hint="eastAsia"/>
          <w:color w:val="auto"/>
          <w:sz w:val="20"/>
          <w:szCs w:val="20"/>
        </w:rPr>
        <w:t>迪</w:t>
      </w:r>
      <w:proofErr w:type="gramEnd"/>
      <w:r w:rsidR="00CB7D61">
        <w:rPr>
          <w:rFonts w:ascii="楷体" w:eastAsia="楷体" w:hAnsi="楷体" w:cs="Arial" w:hint="eastAsia"/>
          <w:color w:val="auto"/>
          <w:sz w:val="20"/>
          <w:szCs w:val="20"/>
        </w:rPr>
        <w:t>士尼</w:t>
      </w:r>
      <w:r w:rsidR="00E9280D" w:rsidRPr="0032491D">
        <w:rPr>
          <w:rFonts w:ascii="楷体" w:eastAsia="楷体" w:hAnsi="楷体" w:cs="Arial" w:hint="eastAsia"/>
          <w:color w:val="auto"/>
          <w:sz w:val="20"/>
          <w:szCs w:val="20"/>
        </w:rPr>
        <w:t>指数（</w:t>
      </w:r>
      <w:r w:rsidR="00CB7D61">
        <w:rPr>
          <w:rFonts w:ascii="楷体" w:eastAsia="楷体" w:hAnsi="楷体" w:cs="Arial" w:hint="eastAsia"/>
          <w:color w:val="auto"/>
          <w:sz w:val="20"/>
          <w:szCs w:val="20"/>
        </w:rPr>
        <w:t>2.68</w:t>
      </w:r>
      <w:r w:rsidR="00E9280D" w:rsidRPr="0032491D">
        <w:rPr>
          <w:rFonts w:ascii="楷体" w:eastAsia="楷体" w:hAnsi="楷体" w:cs="Arial" w:hint="eastAsia"/>
          <w:color w:val="auto"/>
          <w:sz w:val="20"/>
          <w:szCs w:val="20"/>
        </w:rPr>
        <w:t>%）、</w:t>
      </w:r>
      <w:r w:rsidR="00CB7D61">
        <w:rPr>
          <w:rFonts w:ascii="楷体" w:eastAsia="楷体" w:hAnsi="楷体" w:cs="Arial" w:hint="eastAsia"/>
          <w:color w:val="auto"/>
          <w:sz w:val="20"/>
          <w:szCs w:val="20"/>
        </w:rPr>
        <w:t>西藏振兴</w:t>
      </w:r>
      <w:r w:rsidR="00E9280D" w:rsidRPr="0032491D">
        <w:rPr>
          <w:rFonts w:ascii="楷体" w:eastAsia="楷体" w:hAnsi="楷体" w:cs="Arial" w:hint="eastAsia"/>
          <w:color w:val="auto"/>
          <w:sz w:val="20"/>
          <w:szCs w:val="20"/>
        </w:rPr>
        <w:t>指数（</w:t>
      </w:r>
      <w:r w:rsidR="00CB7D61">
        <w:rPr>
          <w:rFonts w:ascii="楷体" w:eastAsia="楷体" w:hAnsi="楷体" w:cs="Arial" w:hint="eastAsia"/>
          <w:color w:val="auto"/>
          <w:sz w:val="20"/>
          <w:szCs w:val="20"/>
        </w:rPr>
        <w:t>2.59</w:t>
      </w:r>
      <w:r w:rsidR="00E9280D" w:rsidRPr="0032491D">
        <w:rPr>
          <w:rFonts w:ascii="楷体" w:eastAsia="楷体" w:hAnsi="楷体" w:cs="Arial" w:hint="eastAsia"/>
          <w:color w:val="auto"/>
          <w:sz w:val="20"/>
          <w:szCs w:val="20"/>
        </w:rPr>
        <w:t>%）</w:t>
      </w:r>
      <w:r w:rsidR="00E9280D" w:rsidRPr="0032491D">
        <w:rPr>
          <w:rFonts w:ascii="楷体" w:eastAsia="楷体" w:hAnsi="楷体" w:cs="Arial"/>
          <w:color w:val="auto"/>
          <w:sz w:val="20"/>
          <w:szCs w:val="20"/>
        </w:rPr>
        <w:t>表现较好。29个中信</w:t>
      </w:r>
      <w:proofErr w:type="gramStart"/>
      <w:r w:rsidR="00E9280D" w:rsidRPr="0032491D">
        <w:rPr>
          <w:rFonts w:ascii="楷体" w:eastAsia="楷体" w:hAnsi="楷体" w:cs="Arial"/>
          <w:color w:val="auto"/>
          <w:sz w:val="20"/>
          <w:szCs w:val="20"/>
        </w:rPr>
        <w:t>一级行业</w:t>
      </w:r>
      <w:proofErr w:type="gramEnd"/>
      <w:r w:rsidR="00E9280D" w:rsidRPr="0032491D">
        <w:rPr>
          <w:rFonts w:ascii="楷体" w:eastAsia="楷体" w:hAnsi="楷体" w:cs="Arial" w:hint="eastAsia"/>
          <w:color w:val="auto"/>
          <w:sz w:val="20"/>
          <w:szCs w:val="20"/>
        </w:rPr>
        <w:t>有</w:t>
      </w:r>
      <w:r w:rsidR="00CB7D61">
        <w:rPr>
          <w:rFonts w:ascii="楷体" w:eastAsia="楷体" w:hAnsi="楷体" w:cs="Arial" w:hint="eastAsia"/>
          <w:color w:val="auto"/>
          <w:sz w:val="20"/>
          <w:szCs w:val="20"/>
        </w:rPr>
        <w:t>8</w:t>
      </w:r>
      <w:r w:rsidR="00E9280D" w:rsidRPr="0032491D">
        <w:rPr>
          <w:rFonts w:ascii="楷体" w:eastAsia="楷体" w:hAnsi="楷体" w:cs="Arial" w:hint="eastAsia"/>
          <w:color w:val="auto"/>
          <w:sz w:val="20"/>
          <w:szCs w:val="20"/>
        </w:rPr>
        <w:t>个行业上涨</w:t>
      </w:r>
      <w:r w:rsidR="00E9280D" w:rsidRPr="0032491D">
        <w:rPr>
          <w:rFonts w:ascii="楷体" w:eastAsia="楷体" w:hAnsi="楷体" w:cs="Arial"/>
          <w:color w:val="auto"/>
          <w:sz w:val="20"/>
          <w:szCs w:val="20"/>
        </w:rPr>
        <w:t>，其中</w:t>
      </w:r>
      <w:r w:rsidR="00CB7D61">
        <w:rPr>
          <w:rFonts w:ascii="楷体" w:eastAsia="楷体" w:hAnsi="楷体" w:cs="Arial" w:hint="eastAsia"/>
          <w:color w:val="auto"/>
          <w:sz w:val="20"/>
          <w:szCs w:val="20"/>
        </w:rPr>
        <w:t>交通运输</w:t>
      </w:r>
      <w:r w:rsidR="00E9280D" w:rsidRPr="0032491D">
        <w:rPr>
          <w:rFonts w:ascii="楷体" w:eastAsia="楷体" w:hAnsi="楷体" w:cs="Arial"/>
          <w:color w:val="auto"/>
          <w:sz w:val="20"/>
          <w:szCs w:val="20"/>
        </w:rPr>
        <w:t>（</w:t>
      </w:r>
      <w:r w:rsidR="00CB7D61">
        <w:rPr>
          <w:rFonts w:ascii="楷体" w:eastAsia="楷体" w:hAnsi="楷体" w:cs="Arial" w:hint="eastAsia"/>
          <w:color w:val="auto"/>
          <w:sz w:val="20"/>
          <w:szCs w:val="20"/>
        </w:rPr>
        <w:t>1.48</w:t>
      </w:r>
      <w:r w:rsidR="00E9280D" w:rsidRPr="0032491D">
        <w:rPr>
          <w:rFonts w:ascii="楷体" w:eastAsia="楷体" w:hAnsi="楷体" w:cs="Arial"/>
          <w:color w:val="auto"/>
          <w:sz w:val="20"/>
          <w:szCs w:val="20"/>
        </w:rPr>
        <w:t>%）、</w:t>
      </w:r>
      <w:r w:rsidR="00E9280D" w:rsidRPr="0032491D">
        <w:rPr>
          <w:rFonts w:ascii="楷体" w:eastAsia="楷体" w:hAnsi="楷体" w:cs="Arial" w:hint="eastAsia"/>
          <w:color w:val="auto"/>
          <w:sz w:val="20"/>
          <w:szCs w:val="20"/>
        </w:rPr>
        <w:t>食品饮料</w:t>
      </w:r>
      <w:r w:rsidR="00E9280D" w:rsidRPr="0032491D">
        <w:rPr>
          <w:rFonts w:ascii="楷体" w:eastAsia="楷体" w:hAnsi="楷体" w:cs="Arial"/>
          <w:color w:val="auto"/>
          <w:sz w:val="20"/>
          <w:szCs w:val="20"/>
        </w:rPr>
        <w:t>（</w:t>
      </w:r>
      <w:r w:rsidR="00CB7D61">
        <w:rPr>
          <w:rFonts w:ascii="楷体" w:eastAsia="楷体" w:hAnsi="楷体" w:cs="Arial" w:hint="eastAsia"/>
          <w:color w:val="auto"/>
          <w:sz w:val="20"/>
          <w:szCs w:val="20"/>
        </w:rPr>
        <w:t>0.88</w:t>
      </w:r>
      <w:r w:rsidR="00E9280D" w:rsidRPr="0032491D">
        <w:rPr>
          <w:rFonts w:ascii="楷体" w:eastAsia="楷体" w:hAnsi="楷体" w:cs="Arial"/>
          <w:color w:val="auto"/>
          <w:sz w:val="20"/>
          <w:szCs w:val="20"/>
        </w:rPr>
        <w:t>%）</w:t>
      </w:r>
      <w:r w:rsidR="00CB7D61">
        <w:rPr>
          <w:rFonts w:ascii="楷体" w:eastAsia="楷体" w:hAnsi="楷体" w:cs="Arial" w:hint="eastAsia"/>
          <w:color w:val="auto"/>
          <w:sz w:val="20"/>
          <w:szCs w:val="20"/>
        </w:rPr>
        <w:t>、电子元器件</w:t>
      </w:r>
      <w:r w:rsidR="00E9280D" w:rsidRPr="0032491D">
        <w:rPr>
          <w:rFonts w:ascii="楷体" w:eastAsia="楷体" w:hAnsi="楷体" w:cs="Arial"/>
          <w:color w:val="auto"/>
          <w:sz w:val="20"/>
          <w:szCs w:val="20"/>
        </w:rPr>
        <w:t>（</w:t>
      </w:r>
      <w:r w:rsidR="00CB7D61">
        <w:rPr>
          <w:rFonts w:ascii="楷体" w:eastAsia="楷体" w:hAnsi="楷体" w:cs="Arial" w:hint="eastAsia"/>
          <w:color w:val="auto"/>
          <w:sz w:val="20"/>
          <w:szCs w:val="20"/>
        </w:rPr>
        <w:t>0.73</w:t>
      </w:r>
      <w:r w:rsidR="00E9280D" w:rsidRPr="0032491D">
        <w:rPr>
          <w:rFonts w:ascii="楷体" w:eastAsia="楷体" w:hAnsi="楷体" w:cs="Arial"/>
          <w:color w:val="auto"/>
          <w:sz w:val="20"/>
          <w:szCs w:val="20"/>
        </w:rPr>
        <w:t>%）等行业</w:t>
      </w:r>
      <w:r w:rsidR="00E9280D" w:rsidRPr="0032491D">
        <w:rPr>
          <w:rFonts w:ascii="楷体" w:eastAsia="楷体" w:hAnsi="楷体" w:cs="Arial" w:hint="eastAsia"/>
          <w:color w:val="auto"/>
          <w:sz w:val="20"/>
          <w:szCs w:val="20"/>
        </w:rPr>
        <w:t>表现</w:t>
      </w:r>
      <w:r w:rsidR="00E9280D" w:rsidRPr="0032491D">
        <w:rPr>
          <w:rFonts w:ascii="楷体" w:eastAsia="楷体" w:hAnsi="楷体" w:cs="Arial"/>
          <w:color w:val="auto"/>
          <w:sz w:val="20"/>
          <w:szCs w:val="20"/>
        </w:rPr>
        <w:t>相对较好，</w:t>
      </w:r>
      <w:r w:rsidR="00CB7D61">
        <w:rPr>
          <w:rFonts w:ascii="楷体" w:eastAsia="楷体" w:hAnsi="楷体" w:cs="Arial" w:hint="eastAsia"/>
          <w:color w:val="auto"/>
          <w:sz w:val="20"/>
          <w:szCs w:val="20"/>
        </w:rPr>
        <w:t>煤炭</w:t>
      </w:r>
      <w:r w:rsidR="00E9280D" w:rsidRPr="0032491D">
        <w:rPr>
          <w:rFonts w:ascii="楷体" w:eastAsia="楷体" w:hAnsi="楷体" w:cs="Arial"/>
          <w:color w:val="auto"/>
          <w:sz w:val="20"/>
          <w:szCs w:val="20"/>
        </w:rPr>
        <w:t>（</w:t>
      </w:r>
      <w:r w:rsidR="00E9280D" w:rsidRPr="0032491D">
        <w:rPr>
          <w:rFonts w:ascii="楷体" w:eastAsia="楷体" w:hAnsi="楷体" w:cs="Arial" w:hint="eastAsia"/>
          <w:color w:val="auto"/>
          <w:sz w:val="20"/>
          <w:szCs w:val="20"/>
        </w:rPr>
        <w:t>-</w:t>
      </w:r>
      <w:r w:rsidR="00CB7D61">
        <w:rPr>
          <w:rFonts w:ascii="楷体" w:eastAsia="楷体" w:hAnsi="楷体" w:cs="Arial" w:hint="eastAsia"/>
          <w:color w:val="auto"/>
          <w:sz w:val="20"/>
          <w:szCs w:val="20"/>
        </w:rPr>
        <w:t>5.71</w:t>
      </w:r>
      <w:r w:rsidR="00E9280D" w:rsidRPr="0032491D">
        <w:rPr>
          <w:rFonts w:ascii="楷体" w:eastAsia="楷体" w:hAnsi="楷体" w:cs="Arial"/>
          <w:color w:val="auto"/>
          <w:sz w:val="20"/>
          <w:szCs w:val="20"/>
        </w:rPr>
        <w:t>%）、</w:t>
      </w:r>
      <w:r w:rsidR="00CB7D61">
        <w:rPr>
          <w:rFonts w:ascii="楷体" w:eastAsia="楷体" w:hAnsi="楷体" w:cs="Arial" w:hint="eastAsia"/>
          <w:color w:val="auto"/>
          <w:sz w:val="20"/>
          <w:szCs w:val="20"/>
        </w:rPr>
        <w:t>钢铁</w:t>
      </w:r>
      <w:r w:rsidR="00E9280D" w:rsidRPr="0032491D">
        <w:rPr>
          <w:rFonts w:ascii="楷体" w:eastAsia="楷体" w:hAnsi="楷体" w:cs="Arial"/>
          <w:color w:val="auto"/>
          <w:sz w:val="20"/>
          <w:szCs w:val="20"/>
        </w:rPr>
        <w:t>（</w:t>
      </w:r>
      <w:r w:rsidR="00E9280D" w:rsidRPr="0032491D">
        <w:rPr>
          <w:rFonts w:ascii="楷体" w:eastAsia="楷体" w:hAnsi="楷体" w:cs="Arial" w:hint="eastAsia"/>
          <w:color w:val="auto"/>
          <w:sz w:val="20"/>
          <w:szCs w:val="20"/>
        </w:rPr>
        <w:t>-</w:t>
      </w:r>
      <w:r w:rsidR="00CB7D61">
        <w:rPr>
          <w:rFonts w:ascii="楷体" w:eastAsia="楷体" w:hAnsi="楷体" w:cs="Arial" w:hint="eastAsia"/>
          <w:color w:val="auto"/>
          <w:sz w:val="20"/>
          <w:szCs w:val="20"/>
        </w:rPr>
        <w:t>2.88</w:t>
      </w:r>
      <w:r w:rsidR="00E9280D" w:rsidRPr="0032491D">
        <w:rPr>
          <w:rFonts w:ascii="楷体" w:eastAsia="楷体" w:hAnsi="楷体" w:cs="Arial"/>
          <w:color w:val="auto"/>
          <w:sz w:val="20"/>
          <w:szCs w:val="20"/>
        </w:rPr>
        <w:t>%）、</w:t>
      </w:r>
      <w:r w:rsidR="00CB7D61">
        <w:rPr>
          <w:rFonts w:ascii="楷体" w:eastAsia="楷体" w:hAnsi="楷体" w:cs="Arial" w:hint="eastAsia"/>
          <w:color w:val="auto"/>
          <w:sz w:val="20"/>
          <w:szCs w:val="20"/>
        </w:rPr>
        <w:t>综合</w:t>
      </w:r>
      <w:r w:rsidR="00E9280D" w:rsidRPr="0032491D">
        <w:rPr>
          <w:rFonts w:ascii="楷体" w:eastAsia="楷体" w:hAnsi="楷体" w:cs="Arial"/>
          <w:color w:val="auto"/>
          <w:sz w:val="20"/>
          <w:szCs w:val="20"/>
        </w:rPr>
        <w:t>（</w:t>
      </w:r>
      <w:r w:rsidR="00E9280D" w:rsidRPr="0032491D">
        <w:rPr>
          <w:rFonts w:ascii="楷体" w:eastAsia="楷体" w:hAnsi="楷体" w:cs="Arial" w:hint="eastAsia"/>
          <w:color w:val="auto"/>
          <w:sz w:val="20"/>
          <w:szCs w:val="20"/>
        </w:rPr>
        <w:t>-</w:t>
      </w:r>
      <w:r w:rsidR="00CB7D61">
        <w:rPr>
          <w:rFonts w:ascii="楷体" w:eastAsia="楷体" w:hAnsi="楷体" w:cs="Arial" w:hint="eastAsia"/>
          <w:color w:val="auto"/>
          <w:sz w:val="20"/>
          <w:szCs w:val="20"/>
        </w:rPr>
        <w:t>2.83</w:t>
      </w:r>
      <w:r w:rsidR="00E9280D" w:rsidRPr="0032491D">
        <w:rPr>
          <w:rFonts w:ascii="楷体" w:eastAsia="楷体" w:hAnsi="楷体" w:cs="Arial"/>
          <w:color w:val="auto"/>
          <w:sz w:val="20"/>
          <w:szCs w:val="20"/>
        </w:rPr>
        <w:t>%）等行业</w:t>
      </w:r>
      <w:r w:rsidR="00E9280D" w:rsidRPr="0032491D">
        <w:rPr>
          <w:rFonts w:ascii="楷体" w:eastAsia="楷体" w:hAnsi="楷体" w:cs="Arial" w:hint="eastAsia"/>
          <w:color w:val="auto"/>
          <w:sz w:val="20"/>
          <w:szCs w:val="20"/>
        </w:rPr>
        <w:t>表现垫底</w:t>
      </w:r>
      <w:r w:rsidR="00E9280D" w:rsidRPr="0032491D">
        <w:rPr>
          <w:rFonts w:ascii="楷体" w:eastAsia="楷体" w:hAnsi="楷体" w:cs="Arial"/>
          <w:color w:val="auto"/>
          <w:sz w:val="20"/>
          <w:szCs w:val="20"/>
        </w:rPr>
        <w:t>。</w:t>
      </w:r>
    </w:p>
    <w:p w:rsidR="00E9280D" w:rsidRPr="0032491D" w:rsidRDefault="00E9280D" w:rsidP="00E9280D">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国内债券市场</w:t>
      </w:r>
    </w:p>
    <w:p w:rsidR="00E9280D" w:rsidRPr="0032491D" w:rsidRDefault="001B096F" w:rsidP="0075040A">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Pr>
          <w:rFonts w:ascii="楷体" w:eastAsia="楷体" w:hAnsi="楷体" w:cs="Arial" w:hint="eastAsia"/>
          <w:b/>
          <w:color w:val="auto"/>
          <w:sz w:val="20"/>
          <w:szCs w:val="20"/>
        </w:rPr>
        <w:t>资金面恐慌暂缓，</w:t>
      </w:r>
      <w:r w:rsidR="00AF4A2E">
        <w:rPr>
          <w:rFonts w:ascii="楷体" w:eastAsia="楷体" w:hAnsi="楷体" w:cs="Arial" w:hint="eastAsia"/>
          <w:b/>
          <w:color w:val="auto"/>
          <w:sz w:val="20"/>
          <w:szCs w:val="20"/>
        </w:rPr>
        <w:t>但</w:t>
      </w:r>
      <w:r>
        <w:rPr>
          <w:rFonts w:ascii="楷体" w:eastAsia="楷体" w:hAnsi="楷体" w:cs="Arial" w:hint="eastAsia"/>
          <w:b/>
          <w:color w:val="auto"/>
          <w:sz w:val="20"/>
          <w:szCs w:val="20"/>
        </w:rPr>
        <w:t>债市调整仍未结束</w:t>
      </w:r>
      <w:r w:rsidR="00E9280D" w:rsidRPr="0032491D">
        <w:rPr>
          <w:rFonts w:ascii="楷体" w:eastAsia="楷体" w:hAnsi="楷体" w:cs="Arial"/>
          <w:b/>
          <w:color w:val="000000" w:themeColor="text1"/>
          <w:sz w:val="20"/>
          <w:szCs w:val="20"/>
        </w:rPr>
        <w:t>。</w:t>
      </w:r>
      <w:r w:rsidR="00606B51" w:rsidRPr="00606B51">
        <w:rPr>
          <w:rFonts w:ascii="楷体" w:eastAsia="楷体" w:hAnsi="楷体" w:cs="Arial" w:hint="eastAsia"/>
          <w:color w:val="000000" w:themeColor="text1"/>
          <w:sz w:val="20"/>
          <w:szCs w:val="20"/>
        </w:rPr>
        <w:t>受财政部明确将</w:t>
      </w:r>
      <w:proofErr w:type="gramStart"/>
      <w:r w:rsidR="00606B51" w:rsidRPr="00606B51">
        <w:rPr>
          <w:rFonts w:ascii="楷体" w:eastAsia="楷体" w:hAnsi="楷体" w:cs="Arial" w:hint="eastAsia"/>
          <w:color w:val="000000" w:themeColor="text1"/>
          <w:sz w:val="20"/>
          <w:szCs w:val="20"/>
        </w:rPr>
        <w:t>对质押式回购</w:t>
      </w:r>
      <w:proofErr w:type="gramEnd"/>
      <w:r w:rsidR="00606B51" w:rsidRPr="00606B51">
        <w:rPr>
          <w:rFonts w:ascii="楷体" w:eastAsia="楷体" w:hAnsi="楷体" w:cs="Arial" w:hint="eastAsia"/>
          <w:color w:val="000000" w:themeColor="text1"/>
          <w:sz w:val="20"/>
          <w:szCs w:val="20"/>
        </w:rPr>
        <w:t>和政策性金融债利息收入免征增值税影响，银行间资金利率和政策性金融债的收益率</w:t>
      </w:r>
      <w:r w:rsidR="00606B51">
        <w:rPr>
          <w:rFonts w:ascii="楷体" w:eastAsia="楷体" w:hAnsi="楷体" w:cs="Arial" w:hint="eastAsia"/>
          <w:color w:val="000000" w:themeColor="text1"/>
          <w:sz w:val="20"/>
          <w:szCs w:val="20"/>
        </w:rPr>
        <w:t>在节后首个交易日</w:t>
      </w:r>
      <w:r w:rsidR="00606B51" w:rsidRPr="00606B51">
        <w:rPr>
          <w:rFonts w:ascii="楷体" w:eastAsia="楷体" w:hAnsi="楷体" w:cs="Arial" w:hint="eastAsia"/>
          <w:color w:val="000000" w:themeColor="text1"/>
          <w:sz w:val="20"/>
          <w:szCs w:val="20"/>
        </w:rPr>
        <w:t>普遍下行，其中一年期利率</w:t>
      </w:r>
      <w:proofErr w:type="gramStart"/>
      <w:r w:rsidR="00606B51" w:rsidRPr="00606B51">
        <w:rPr>
          <w:rFonts w:ascii="楷体" w:eastAsia="楷体" w:hAnsi="楷体" w:cs="Arial" w:hint="eastAsia"/>
          <w:color w:val="000000" w:themeColor="text1"/>
          <w:sz w:val="20"/>
          <w:szCs w:val="20"/>
        </w:rPr>
        <w:t>互换势创1年来</w:t>
      </w:r>
      <w:proofErr w:type="gramEnd"/>
      <w:r w:rsidR="00606B51" w:rsidRPr="00606B51">
        <w:rPr>
          <w:rFonts w:ascii="楷体" w:eastAsia="楷体" w:hAnsi="楷体" w:cs="Arial" w:hint="eastAsia"/>
          <w:color w:val="000000" w:themeColor="text1"/>
          <w:sz w:val="20"/>
          <w:szCs w:val="20"/>
        </w:rPr>
        <w:t>最大降幅。</w:t>
      </w:r>
      <w:r w:rsidR="00606B51">
        <w:rPr>
          <w:rFonts w:ascii="楷体" w:eastAsia="楷体" w:hAnsi="楷体" w:cs="Arial" w:hint="eastAsia"/>
          <w:color w:val="000000" w:themeColor="text1"/>
          <w:sz w:val="20"/>
          <w:szCs w:val="20"/>
        </w:rPr>
        <w:t>同时，</w:t>
      </w:r>
      <w:r w:rsidR="00606B51" w:rsidRPr="00606B51">
        <w:rPr>
          <w:rFonts w:ascii="楷体" w:eastAsia="楷体" w:hAnsi="楷体" w:cs="Arial" w:hint="eastAsia"/>
          <w:color w:val="000000" w:themeColor="text1"/>
          <w:sz w:val="20"/>
          <w:szCs w:val="20"/>
        </w:rPr>
        <w:t>央行亦宣布从5月起常态</w:t>
      </w:r>
      <w:proofErr w:type="gramStart"/>
      <w:r w:rsidR="00606B51" w:rsidRPr="00606B51">
        <w:rPr>
          <w:rFonts w:ascii="楷体" w:eastAsia="楷体" w:hAnsi="楷体" w:cs="Arial" w:hint="eastAsia"/>
          <w:color w:val="000000" w:themeColor="text1"/>
          <w:sz w:val="20"/>
          <w:szCs w:val="20"/>
        </w:rPr>
        <w:t>化开展</w:t>
      </w:r>
      <w:proofErr w:type="gramEnd"/>
      <w:r w:rsidR="00606B51" w:rsidRPr="00606B51">
        <w:rPr>
          <w:rFonts w:ascii="楷体" w:eastAsia="楷体" w:hAnsi="楷体" w:cs="Arial" w:hint="eastAsia"/>
          <w:color w:val="000000" w:themeColor="text1"/>
          <w:sz w:val="20"/>
          <w:szCs w:val="20"/>
        </w:rPr>
        <w:t>抵押补充贷款（PSL）操作，稳定</w:t>
      </w:r>
      <w:r w:rsidR="00606B51">
        <w:rPr>
          <w:rFonts w:ascii="楷体" w:eastAsia="楷体" w:hAnsi="楷体" w:cs="Arial" w:hint="eastAsia"/>
          <w:color w:val="000000" w:themeColor="text1"/>
          <w:sz w:val="20"/>
          <w:szCs w:val="20"/>
        </w:rPr>
        <w:t>了</w:t>
      </w:r>
      <w:r w:rsidR="00606B51" w:rsidRPr="00606B51">
        <w:rPr>
          <w:rFonts w:ascii="楷体" w:eastAsia="楷体" w:hAnsi="楷体" w:cs="Arial" w:hint="eastAsia"/>
          <w:color w:val="000000" w:themeColor="text1"/>
          <w:sz w:val="20"/>
          <w:szCs w:val="20"/>
        </w:rPr>
        <w:t>市场流动性预期，短期在情绪上对债券市场将有所提振。</w:t>
      </w:r>
      <w:r w:rsidR="00E9280D" w:rsidRPr="0032491D">
        <w:rPr>
          <w:rFonts w:ascii="楷体" w:eastAsia="楷体" w:hAnsi="楷体" w:cs="Arial" w:hint="eastAsia"/>
          <w:color w:val="000000" w:themeColor="text1"/>
          <w:sz w:val="20"/>
          <w:szCs w:val="20"/>
        </w:rPr>
        <w:t>短端7天逆回购招标利率仍维持在2.25%不变。银行间7天回购利率R007较前周</w:t>
      </w:r>
      <w:r>
        <w:rPr>
          <w:rFonts w:ascii="楷体" w:eastAsia="楷体" w:hAnsi="楷体" w:cs="Arial" w:hint="eastAsia"/>
          <w:color w:val="000000" w:themeColor="text1"/>
          <w:sz w:val="20"/>
          <w:szCs w:val="20"/>
        </w:rPr>
        <w:t>下降</w:t>
      </w:r>
      <w:r w:rsidR="00E9280D" w:rsidRPr="0032491D">
        <w:rPr>
          <w:rFonts w:ascii="楷体" w:eastAsia="楷体" w:hAnsi="楷体" w:cs="Arial" w:hint="eastAsia"/>
          <w:color w:val="000000" w:themeColor="text1"/>
          <w:sz w:val="20"/>
          <w:szCs w:val="20"/>
        </w:rPr>
        <w:t>1</w:t>
      </w:r>
      <w:r>
        <w:rPr>
          <w:rFonts w:ascii="楷体" w:eastAsia="楷体" w:hAnsi="楷体" w:cs="Arial" w:hint="eastAsia"/>
          <w:color w:val="000000" w:themeColor="text1"/>
          <w:sz w:val="20"/>
          <w:szCs w:val="20"/>
        </w:rPr>
        <w:t>8</w:t>
      </w:r>
      <w:r w:rsidR="00E9280D" w:rsidRPr="0032491D">
        <w:rPr>
          <w:rFonts w:ascii="楷体" w:eastAsia="楷体" w:hAnsi="楷体" w:cs="Arial" w:hint="eastAsia"/>
          <w:color w:val="000000" w:themeColor="text1"/>
          <w:sz w:val="20"/>
          <w:szCs w:val="20"/>
        </w:rPr>
        <w:t>bp至2.</w:t>
      </w:r>
      <w:r>
        <w:rPr>
          <w:rFonts w:ascii="楷体" w:eastAsia="楷体" w:hAnsi="楷体" w:cs="Arial" w:hint="eastAsia"/>
          <w:color w:val="000000" w:themeColor="text1"/>
          <w:sz w:val="20"/>
          <w:szCs w:val="20"/>
        </w:rPr>
        <w:t>42</w:t>
      </w:r>
      <w:r w:rsidR="00E9280D" w:rsidRPr="0032491D">
        <w:rPr>
          <w:rFonts w:ascii="楷体" w:eastAsia="楷体" w:hAnsi="楷体" w:cs="Arial" w:hint="eastAsia"/>
          <w:color w:val="000000" w:themeColor="text1"/>
          <w:sz w:val="20"/>
          <w:szCs w:val="20"/>
        </w:rPr>
        <w:t>%，隔夜回购利率R001</w:t>
      </w:r>
      <w:r>
        <w:rPr>
          <w:rFonts w:ascii="楷体" w:eastAsia="楷体" w:hAnsi="楷体" w:cs="Arial" w:hint="eastAsia"/>
          <w:color w:val="000000" w:themeColor="text1"/>
          <w:sz w:val="20"/>
          <w:szCs w:val="20"/>
        </w:rPr>
        <w:t>较前轴下降4bp至2</w:t>
      </w:r>
      <w:r w:rsidR="00AF4A2E">
        <w:rPr>
          <w:rFonts w:ascii="楷体" w:eastAsia="楷体" w:hAnsi="楷体" w:cs="Arial" w:hint="eastAsia"/>
          <w:color w:val="000000" w:themeColor="text1"/>
          <w:sz w:val="20"/>
          <w:szCs w:val="20"/>
        </w:rPr>
        <w:t>.</w:t>
      </w:r>
      <w:r>
        <w:rPr>
          <w:rFonts w:ascii="楷体" w:eastAsia="楷体" w:hAnsi="楷体" w:cs="Arial" w:hint="eastAsia"/>
          <w:color w:val="000000" w:themeColor="text1"/>
          <w:sz w:val="20"/>
          <w:szCs w:val="20"/>
        </w:rPr>
        <w:t>02%</w:t>
      </w:r>
      <w:r w:rsidR="00E9280D" w:rsidRPr="0032491D">
        <w:rPr>
          <w:rFonts w:ascii="楷体" w:eastAsia="楷体" w:hAnsi="楷体" w:cs="Arial" w:hint="eastAsia"/>
          <w:color w:val="000000" w:themeColor="text1"/>
          <w:sz w:val="20"/>
          <w:szCs w:val="20"/>
        </w:rPr>
        <w:t>。</w:t>
      </w:r>
      <w:r w:rsidR="00606B51">
        <w:rPr>
          <w:rFonts w:ascii="楷体" w:eastAsia="楷体" w:hAnsi="楷体" w:cs="Arial" w:hint="eastAsia"/>
          <w:color w:val="000000" w:themeColor="text1"/>
          <w:sz w:val="20"/>
          <w:szCs w:val="20"/>
        </w:rPr>
        <w:t>上</w:t>
      </w:r>
      <w:r w:rsidR="00606B51" w:rsidRPr="00606B51">
        <w:rPr>
          <w:rFonts w:ascii="楷体" w:eastAsia="楷体" w:hAnsi="楷体" w:cs="Arial" w:hint="eastAsia"/>
          <w:color w:val="000000" w:themeColor="text1"/>
          <w:sz w:val="20"/>
          <w:szCs w:val="20"/>
        </w:rPr>
        <w:t>周公开市场实现资金净回笼2200亿，延续了</w:t>
      </w:r>
      <w:r w:rsidR="00AF4A2E">
        <w:rPr>
          <w:rFonts w:ascii="楷体" w:eastAsia="楷体" w:hAnsi="楷体" w:cs="Arial" w:hint="eastAsia"/>
          <w:color w:val="000000" w:themeColor="text1"/>
          <w:sz w:val="20"/>
          <w:szCs w:val="20"/>
        </w:rPr>
        <w:t>之前</w:t>
      </w:r>
      <w:r w:rsidR="00606B51" w:rsidRPr="00606B51">
        <w:rPr>
          <w:rFonts w:ascii="楷体" w:eastAsia="楷体" w:hAnsi="楷体" w:cs="Arial" w:hint="eastAsia"/>
          <w:color w:val="000000" w:themeColor="text1"/>
          <w:sz w:val="20"/>
          <w:szCs w:val="20"/>
        </w:rPr>
        <w:t>的净回笼态势</w:t>
      </w:r>
      <w:r w:rsidR="00606B51">
        <w:rPr>
          <w:rFonts w:ascii="楷体" w:eastAsia="楷体" w:hAnsi="楷体" w:cs="Arial" w:hint="eastAsia"/>
          <w:color w:val="000000" w:themeColor="text1"/>
          <w:sz w:val="20"/>
          <w:szCs w:val="20"/>
        </w:rPr>
        <w:t>，</w:t>
      </w:r>
      <w:r w:rsidR="00606B51" w:rsidRPr="00606B51">
        <w:rPr>
          <w:rFonts w:ascii="楷体" w:eastAsia="楷体" w:hAnsi="楷体" w:cs="Arial" w:hint="eastAsia"/>
          <w:color w:val="000000" w:themeColor="text1"/>
          <w:sz w:val="20"/>
          <w:szCs w:val="20"/>
        </w:rPr>
        <w:t>可以看出央行</w:t>
      </w:r>
      <w:r w:rsidR="00606B51">
        <w:rPr>
          <w:rFonts w:ascii="楷体" w:eastAsia="楷体" w:hAnsi="楷体" w:cs="Arial" w:hint="eastAsia"/>
          <w:color w:val="000000" w:themeColor="text1"/>
          <w:sz w:val="20"/>
          <w:szCs w:val="20"/>
        </w:rPr>
        <w:t>对于流动性的态度是并不希望资金过于宽松，而是维持一种紧平衡状态</w:t>
      </w:r>
      <w:r w:rsidR="00606B51" w:rsidRPr="00606B51">
        <w:rPr>
          <w:rFonts w:ascii="楷体" w:eastAsia="楷体" w:hAnsi="楷体" w:cs="Arial" w:hint="eastAsia"/>
          <w:color w:val="000000" w:themeColor="text1"/>
          <w:sz w:val="20"/>
          <w:szCs w:val="20"/>
        </w:rPr>
        <w:t>。</w:t>
      </w:r>
      <w:r w:rsidR="00606B51">
        <w:rPr>
          <w:rFonts w:ascii="楷体" w:eastAsia="楷体" w:hAnsi="楷体" w:cs="Arial" w:hint="eastAsia"/>
          <w:color w:val="000000" w:themeColor="text1"/>
          <w:sz w:val="20"/>
          <w:szCs w:val="20"/>
        </w:rPr>
        <w:t>债市的调整尚未结束。利率债方面，</w:t>
      </w:r>
      <w:r w:rsidR="00606B51" w:rsidRPr="00606B51">
        <w:rPr>
          <w:rFonts w:ascii="楷体" w:eastAsia="楷体" w:hAnsi="楷体" w:cs="Arial" w:hint="eastAsia"/>
          <w:color w:val="000000" w:themeColor="text1"/>
          <w:sz w:val="20"/>
          <w:szCs w:val="20"/>
        </w:rPr>
        <w:t>5月份第一周两只国债的发行规模进一步增加，1年期增加至280亿，10年期增加至350亿，供给压力进一步增大。</w:t>
      </w:r>
      <w:r w:rsidR="00606B51">
        <w:rPr>
          <w:rFonts w:ascii="楷体" w:eastAsia="楷体" w:hAnsi="楷体" w:cs="Arial" w:hint="eastAsia"/>
          <w:color w:val="000000" w:themeColor="text1"/>
          <w:sz w:val="20"/>
          <w:szCs w:val="20"/>
        </w:rPr>
        <w:t>信用债方面，</w:t>
      </w:r>
      <w:r w:rsidR="0075040A" w:rsidRPr="0075040A">
        <w:rPr>
          <w:rFonts w:ascii="楷体" w:eastAsia="楷体" w:hAnsi="楷体" w:cs="Arial" w:hint="eastAsia"/>
          <w:color w:val="000000" w:themeColor="text1"/>
          <w:sz w:val="20"/>
          <w:szCs w:val="20"/>
        </w:rPr>
        <w:t>随着</w:t>
      </w:r>
      <w:r w:rsidR="0075040A">
        <w:rPr>
          <w:rFonts w:ascii="楷体" w:eastAsia="楷体" w:hAnsi="楷体" w:cs="Arial" w:hint="eastAsia"/>
          <w:color w:val="000000" w:themeColor="text1"/>
          <w:sz w:val="20"/>
          <w:szCs w:val="20"/>
        </w:rPr>
        <w:t>之后</w:t>
      </w:r>
      <w:r w:rsidR="0075040A" w:rsidRPr="0075040A">
        <w:rPr>
          <w:rFonts w:ascii="楷体" w:eastAsia="楷体" w:hAnsi="楷体" w:cs="Arial" w:hint="eastAsia"/>
          <w:color w:val="000000" w:themeColor="text1"/>
          <w:sz w:val="20"/>
          <w:szCs w:val="20"/>
        </w:rPr>
        <w:t>低评级债券的大量到期，预计会有更多违约事件浮出水面，违约</w:t>
      </w:r>
      <w:r w:rsidR="0075040A">
        <w:rPr>
          <w:rFonts w:ascii="楷体" w:eastAsia="楷体" w:hAnsi="楷体" w:cs="Arial" w:hint="eastAsia"/>
          <w:color w:val="000000" w:themeColor="text1"/>
          <w:sz w:val="20"/>
          <w:szCs w:val="20"/>
        </w:rPr>
        <w:t>或</w:t>
      </w:r>
      <w:r w:rsidR="0075040A" w:rsidRPr="0075040A">
        <w:rPr>
          <w:rFonts w:ascii="楷体" w:eastAsia="楷体" w:hAnsi="楷体" w:cs="Arial" w:hint="eastAsia"/>
          <w:color w:val="000000" w:themeColor="text1"/>
          <w:sz w:val="20"/>
          <w:szCs w:val="20"/>
        </w:rPr>
        <w:t>将呈常态</w:t>
      </w:r>
      <w:r w:rsidR="0075040A">
        <w:rPr>
          <w:rFonts w:ascii="楷体" w:eastAsia="楷体" w:hAnsi="楷体" w:cs="Arial" w:hint="eastAsia"/>
          <w:color w:val="000000" w:themeColor="text1"/>
          <w:sz w:val="20"/>
          <w:szCs w:val="20"/>
        </w:rPr>
        <w:t>化，</w:t>
      </w:r>
      <w:r w:rsidR="0075040A" w:rsidRPr="0075040A">
        <w:rPr>
          <w:rFonts w:ascii="楷体" w:eastAsia="楷体" w:hAnsi="楷体" w:cs="Arial" w:hint="eastAsia"/>
          <w:color w:val="000000" w:themeColor="text1"/>
          <w:sz w:val="20"/>
          <w:szCs w:val="20"/>
        </w:rPr>
        <w:t>债券市场正在遭遇一场前所未有的评级下调潮。</w:t>
      </w:r>
      <w:proofErr w:type="gramStart"/>
      <w:r w:rsidR="00E9280D" w:rsidRPr="0032491D">
        <w:rPr>
          <w:rFonts w:ascii="楷体" w:eastAsia="楷体" w:hAnsi="楷体" w:cs="Arial" w:hint="eastAsia"/>
          <w:color w:val="000000" w:themeColor="text1"/>
          <w:sz w:val="20"/>
          <w:szCs w:val="20"/>
        </w:rPr>
        <w:t>4月中债总净价</w:t>
      </w:r>
      <w:proofErr w:type="gramEnd"/>
      <w:r w:rsidR="00E9280D" w:rsidRPr="0032491D">
        <w:rPr>
          <w:rFonts w:ascii="楷体" w:eastAsia="楷体" w:hAnsi="楷体" w:cs="Arial" w:hint="eastAsia"/>
          <w:color w:val="000000" w:themeColor="text1"/>
          <w:sz w:val="20"/>
          <w:szCs w:val="20"/>
        </w:rPr>
        <w:t>指数</w:t>
      </w:r>
      <w:r>
        <w:rPr>
          <w:rFonts w:ascii="楷体" w:eastAsia="楷体" w:hAnsi="楷体" w:cs="Arial" w:hint="eastAsia"/>
          <w:color w:val="000000" w:themeColor="text1"/>
          <w:sz w:val="20"/>
          <w:szCs w:val="20"/>
        </w:rPr>
        <w:t>上涨0.04</w:t>
      </w:r>
      <w:r w:rsidR="00E9280D" w:rsidRPr="0032491D">
        <w:rPr>
          <w:rFonts w:ascii="楷体" w:eastAsia="楷体" w:hAnsi="楷体" w:cs="Arial" w:hint="eastAsia"/>
          <w:color w:val="000000" w:themeColor="text1"/>
          <w:sz w:val="20"/>
          <w:szCs w:val="20"/>
        </w:rPr>
        <w:t>%，中</w:t>
      </w:r>
      <w:proofErr w:type="gramStart"/>
      <w:r w:rsidR="00E9280D" w:rsidRPr="0032491D">
        <w:rPr>
          <w:rFonts w:ascii="楷体" w:eastAsia="楷体" w:hAnsi="楷体" w:cs="Arial" w:hint="eastAsia"/>
          <w:color w:val="000000" w:themeColor="text1"/>
          <w:sz w:val="20"/>
          <w:szCs w:val="20"/>
        </w:rPr>
        <w:t>债企业债总</w:t>
      </w:r>
      <w:proofErr w:type="gramEnd"/>
      <w:r w:rsidR="00E9280D" w:rsidRPr="0032491D">
        <w:rPr>
          <w:rFonts w:ascii="楷体" w:eastAsia="楷体" w:hAnsi="楷体" w:cs="Arial" w:hint="eastAsia"/>
          <w:color w:val="000000" w:themeColor="text1"/>
          <w:sz w:val="20"/>
          <w:szCs w:val="20"/>
        </w:rPr>
        <w:t>净价指数</w:t>
      </w:r>
      <w:r>
        <w:rPr>
          <w:rFonts w:ascii="楷体" w:eastAsia="楷体" w:hAnsi="楷体" w:cs="Arial" w:hint="eastAsia"/>
          <w:color w:val="000000" w:themeColor="text1"/>
          <w:sz w:val="20"/>
          <w:szCs w:val="20"/>
        </w:rPr>
        <w:t>上涨0.12</w:t>
      </w:r>
      <w:r w:rsidR="00E9280D" w:rsidRPr="0032491D">
        <w:rPr>
          <w:rFonts w:ascii="楷体" w:eastAsia="楷体" w:hAnsi="楷体" w:cs="Arial" w:hint="eastAsia"/>
          <w:color w:val="000000" w:themeColor="text1"/>
          <w:sz w:val="20"/>
          <w:szCs w:val="20"/>
        </w:rPr>
        <w:t>%，中债国债总净价指数跌</w:t>
      </w:r>
      <w:r>
        <w:rPr>
          <w:rFonts w:ascii="楷体" w:eastAsia="楷体" w:hAnsi="楷体" w:cs="Arial" w:hint="eastAsia"/>
          <w:color w:val="000000" w:themeColor="text1"/>
          <w:sz w:val="20"/>
          <w:szCs w:val="20"/>
        </w:rPr>
        <w:t>0.09</w:t>
      </w:r>
      <w:r w:rsidR="00E9280D" w:rsidRPr="0032491D">
        <w:rPr>
          <w:rFonts w:ascii="楷体" w:eastAsia="楷体" w:hAnsi="楷体" w:cs="Arial" w:hint="eastAsia"/>
          <w:color w:val="000000" w:themeColor="text1"/>
          <w:sz w:val="20"/>
          <w:szCs w:val="20"/>
        </w:rPr>
        <w:t>%，中</w:t>
      </w:r>
      <w:proofErr w:type="gramStart"/>
      <w:r w:rsidR="00E9280D" w:rsidRPr="0032491D">
        <w:rPr>
          <w:rFonts w:ascii="楷体" w:eastAsia="楷体" w:hAnsi="楷体" w:cs="Arial" w:hint="eastAsia"/>
          <w:color w:val="000000" w:themeColor="text1"/>
          <w:sz w:val="20"/>
          <w:szCs w:val="20"/>
        </w:rPr>
        <w:t>证转债</w:t>
      </w:r>
      <w:r w:rsidR="00606B51">
        <w:rPr>
          <w:rFonts w:ascii="楷体" w:eastAsia="楷体" w:hAnsi="楷体" w:cs="Arial" w:hint="eastAsia"/>
          <w:color w:val="000000" w:themeColor="text1"/>
          <w:sz w:val="20"/>
          <w:szCs w:val="20"/>
        </w:rPr>
        <w:t>涨</w:t>
      </w:r>
      <w:proofErr w:type="gramEnd"/>
      <w:r w:rsidR="00606B51">
        <w:rPr>
          <w:rFonts w:ascii="楷体" w:eastAsia="楷体" w:hAnsi="楷体" w:cs="Arial" w:hint="eastAsia"/>
          <w:color w:val="000000" w:themeColor="text1"/>
          <w:sz w:val="20"/>
          <w:szCs w:val="20"/>
        </w:rPr>
        <w:t>0.22</w:t>
      </w:r>
      <w:r w:rsidR="00E9280D" w:rsidRPr="0032491D">
        <w:rPr>
          <w:rFonts w:ascii="楷体" w:eastAsia="楷体" w:hAnsi="楷体" w:cs="Arial" w:hint="eastAsia"/>
          <w:color w:val="000000" w:themeColor="text1"/>
          <w:sz w:val="20"/>
          <w:szCs w:val="20"/>
        </w:rPr>
        <w:t>%。</w:t>
      </w:r>
    </w:p>
    <w:p w:rsidR="00E9280D" w:rsidRPr="0032491D" w:rsidRDefault="00E9280D" w:rsidP="00E9280D">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海外市场</w:t>
      </w:r>
    </w:p>
    <w:p w:rsidR="00E9280D" w:rsidRPr="0032491D" w:rsidRDefault="007C2420" w:rsidP="007C2420">
      <w:pPr>
        <w:pStyle w:val="a5"/>
        <w:spacing w:beforeLines="100" w:before="240" w:afterLines="100" w:after="240" w:line="260" w:lineRule="exact"/>
        <w:ind w:leftChars="1822" w:left="3826" w:rightChars="-34" w:right="-71" w:firstLineChars="212" w:firstLine="426"/>
        <w:rPr>
          <w:rFonts w:ascii="楷体" w:eastAsia="楷体" w:hAnsi="楷体" w:cs="Arial"/>
          <w:color w:val="000000" w:themeColor="text1"/>
          <w:sz w:val="20"/>
          <w:szCs w:val="20"/>
        </w:rPr>
      </w:pPr>
      <w:proofErr w:type="gramStart"/>
      <w:r>
        <w:rPr>
          <w:rFonts w:ascii="楷体" w:eastAsia="楷体" w:hAnsi="楷体" w:cs="Arial" w:hint="eastAsia"/>
          <w:b/>
          <w:color w:val="000000" w:themeColor="text1"/>
          <w:sz w:val="20"/>
          <w:szCs w:val="20"/>
        </w:rPr>
        <w:t>美指创新</w:t>
      </w:r>
      <w:proofErr w:type="gramEnd"/>
      <w:r>
        <w:rPr>
          <w:rFonts w:ascii="楷体" w:eastAsia="楷体" w:hAnsi="楷体" w:cs="Arial" w:hint="eastAsia"/>
          <w:b/>
          <w:color w:val="000000" w:themeColor="text1"/>
          <w:sz w:val="20"/>
          <w:szCs w:val="20"/>
        </w:rPr>
        <w:t>低反弹，全球股市普跌。</w:t>
      </w:r>
      <w:r w:rsidR="008A6611" w:rsidRPr="008A6611">
        <w:rPr>
          <w:rFonts w:ascii="楷体" w:eastAsia="楷体" w:hAnsi="楷体" w:cs="Arial" w:hint="eastAsia"/>
          <w:color w:val="000000" w:themeColor="text1"/>
          <w:sz w:val="20"/>
          <w:szCs w:val="20"/>
        </w:rPr>
        <w:t>上周美元指数一开始节节败退，盘中跌破92整数关口，创去年1月份来新低。</w:t>
      </w:r>
      <w:r w:rsidR="008A6611">
        <w:rPr>
          <w:rFonts w:ascii="楷体" w:eastAsia="楷体" w:hAnsi="楷体" w:cs="Arial" w:hint="eastAsia"/>
          <w:color w:val="000000" w:themeColor="text1"/>
          <w:sz w:val="20"/>
          <w:szCs w:val="20"/>
        </w:rPr>
        <w:t>后</w:t>
      </w:r>
      <w:r>
        <w:rPr>
          <w:rFonts w:ascii="楷体" w:eastAsia="楷体" w:hAnsi="楷体" w:cs="Arial" w:hint="eastAsia"/>
          <w:color w:val="000000" w:themeColor="text1"/>
          <w:sz w:val="20"/>
          <w:szCs w:val="20"/>
        </w:rPr>
        <w:t>因美国贸易和工厂订单数据部分缓和</w:t>
      </w:r>
      <w:r w:rsidR="008A6611" w:rsidRPr="008A6611">
        <w:rPr>
          <w:rFonts w:ascii="楷体" w:eastAsia="楷体" w:hAnsi="楷体" w:cs="Arial" w:hint="eastAsia"/>
          <w:color w:val="000000" w:themeColor="text1"/>
          <w:sz w:val="20"/>
          <w:szCs w:val="20"/>
        </w:rPr>
        <w:t>对美国经济成长不振的担忧</w:t>
      </w:r>
      <w:r w:rsidR="008A6611">
        <w:rPr>
          <w:rFonts w:ascii="楷体" w:eastAsia="楷体" w:hAnsi="楷体" w:cs="Arial" w:hint="eastAsia"/>
          <w:color w:val="000000" w:themeColor="text1"/>
          <w:sz w:val="20"/>
          <w:szCs w:val="20"/>
        </w:rPr>
        <w:t>以及部分美联储官员的鹰派讲话</w:t>
      </w:r>
      <w:r>
        <w:rPr>
          <w:rFonts w:ascii="楷体" w:eastAsia="楷体" w:hAnsi="楷体" w:cs="Arial" w:hint="eastAsia"/>
          <w:color w:val="000000" w:themeColor="text1"/>
          <w:sz w:val="20"/>
          <w:szCs w:val="20"/>
        </w:rPr>
        <w:t>，</w:t>
      </w:r>
      <w:r w:rsidR="008A6611">
        <w:rPr>
          <w:rFonts w:ascii="楷体" w:eastAsia="楷体" w:hAnsi="楷体" w:cs="Arial" w:hint="eastAsia"/>
          <w:color w:val="000000" w:themeColor="text1"/>
          <w:sz w:val="20"/>
          <w:szCs w:val="20"/>
        </w:rPr>
        <w:t>助</w:t>
      </w:r>
      <w:proofErr w:type="gramStart"/>
      <w:r w:rsidR="008A6611">
        <w:rPr>
          <w:rFonts w:ascii="楷体" w:eastAsia="楷体" w:hAnsi="楷体" w:cs="Arial" w:hint="eastAsia"/>
          <w:color w:val="000000" w:themeColor="text1"/>
          <w:sz w:val="20"/>
          <w:szCs w:val="20"/>
        </w:rPr>
        <w:t>推美元</w:t>
      </w:r>
      <w:proofErr w:type="gramEnd"/>
      <w:r w:rsidR="008A6611">
        <w:rPr>
          <w:rFonts w:ascii="楷体" w:eastAsia="楷体" w:hAnsi="楷体" w:cs="Arial" w:hint="eastAsia"/>
          <w:color w:val="000000" w:themeColor="text1"/>
          <w:sz w:val="20"/>
          <w:szCs w:val="20"/>
        </w:rPr>
        <w:t>连续上涨，周五公布</w:t>
      </w:r>
      <w:r w:rsidR="005A3E1E" w:rsidRPr="008A6611">
        <w:rPr>
          <w:rFonts w:ascii="楷体" w:eastAsia="楷体" w:hAnsi="楷体" w:cs="Arial" w:hint="eastAsia"/>
          <w:color w:val="000000" w:themeColor="text1"/>
          <w:sz w:val="20"/>
          <w:szCs w:val="20"/>
        </w:rPr>
        <w:t>美国4月季调后非农就业人口增16万，创2015年9月以来最疲弱增速后，</w:t>
      </w:r>
      <w:r w:rsidR="008A6611">
        <w:rPr>
          <w:rFonts w:ascii="楷体" w:eastAsia="楷体" w:hAnsi="楷体" w:cs="Arial" w:hint="eastAsia"/>
          <w:color w:val="000000" w:themeColor="text1"/>
          <w:sz w:val="20"/>
          <w:szCs w:val="20"/>
        </w:rPr>
        <w:t>美元</w:t>
      </w:r>
      <w:r>
        <w:rPr>
          <w:rFonts w:ascii="楷体" w:eastAsia="楷体" w:hAnsi="楷体" w:cs="Arial" w:hint="eastAsia"/>
          <w:color w:val="000000" w:themeColor="text1"/>
          <w:sz w:val="20"/>
          <w:szCs w:val="20"/>
        </w:rPr>
        <w:t>一度下跌但最终</w:t>
      </w:r>
      <w:r w:rsidR="008A6611">
        <w:rPr>
          <w:rFonts w:ascii="楷体" w:eastAsia="楷体" w:hAnsi="楷体" w:cs="Arial" w:hint="eastAsia"/>
          <w:color w:val="000000" w:themeColor="text1"/>
          <w:sz w:val="20"/>
          <w:szCs w:val="20"/>
        </w:rPr>
        <w:t>小幅收涨，全周上涨0.86%。全周来看</w:t>
      </w:r>
      <w:r w:rsidR="00E9280D" w:rsidRPr="0032491D">
        <w:rPr>
          <w:rFonts w:ascii="楷体" w:eastAsia="楷体" w:hAnsi="楷体" w:cs="Arial" w:hint="eastAsia"/>
          <w:color w:val="000000" w:themeColor="text1"/>
          <w:sz w:val="20"/>
          <w:szCs w:val="20"/>
        </w:rPr>
        <w:t>，美国市场，标普、道指</w:t>
      </w:r>
      <w:r w:rsidR="008A6611">
        <w:rPr>
          <w:rFonts w:ascii="楷体" w:eastAsia="楷体" w:hAnsi="楷体" w:cs="Arial" w:hint="eastAsia"/>
          <w:color w:val="000000" w:themeColor="text1"/>
          <w:sz w:val="20"/>
          <w:szCs w:val="20"/>
        </w:rPr>
        <w:t>、</w:t>
      </w:r>
      <w:r w:rsidR="008A6611" w:rsidRPr="0032491D">
        <w:rPr>
          <w:rFonts w:ascii="楷体" w:eastAsia="楷体" w:hAnsi="楷体" w:cs="Arial" w:hint="eastAsia"/>
          <w:color w:val="000000" w:themeColor="text1"/>
          <w:sz w:val="20"/>
          <w:szCs w:val="20"/>
        </w:rPr>
        <w:t>纳斯达克100</w:t>
      </w:r>
      <w:r w:rsidR="00E9280D" w:rsidRPr="0032491D">
        <w:rPr>
          <w:rFonts w:ascii="楷体" w:eastAsia="楷体" w:hAnsi="楷体" w:cs="Arial" w:hint="eastAsia"/>
          <w:color w:val="000000" w:themeColor="text1"/>
          <w:sz w:val="20"/>
          <w:szCs w:val="20"/>
        </w:rPr>
        <w:t>分</w:t>
      </w:r>
      <w:r w:rsidR="008A6611">
        <w:rPr>
          <w:rFonts w:ascii="楷体" w:eastAsia="楷体" w:hAnsi="楷体" w:cs="Arial" w:hint="eastAsia"/>
          <w:color w:val="000000" w:themeColor="text1"/>
          <w:sz w:val="20"/>
          <w:szCs w:val="20"/>
        </w:rPr>
        <w:t>别下跌</w:t>
      </w:r>
      <w:r w:rsidR="00E9280D" w:rsidRPr="0032491D">
        <w:rPr>
          <w:rFonts w:ascii="楷体" w:eastAsia="楷体" w:hAnsi="楷体" w:cs="Arial" w:hint="eastAsia"/>
          <w:color w:val="000000" w:themeColor="text1"/>
          <w:sz w:val="20"/>
          <w:szCs w:val="20"/>
        </w:rPr>
        <w:t>0.</w:t>
      </w:r>
      <w:r w:rsidR="008A6611">
        <w:rPr>
          <w:rFonts w:ascii="楷体" w:eastAsia="楷体" w:hAnsi="楷体" w:cs="Arial" w:hint="eastAsia"/>
          <w:color w:val="000000" w:themeColor="text1"/>
          <w:sz w:val="20"/>
          <w:szCs w:val="20"/>
        </w:rPr>
        <w:t>40</w:t>
      </w:r>
      <w:r w:rsidR="00E9280D" w:rsidRPr="0032491D">
        <w:rPr>
          <w:rFonts w:ascii="楷体" w:eastAsia="楷体" w:hAnsi="楷体" w:cs="Arial" w:hint="eastAsia"/>
          <w:color w:val="000000" w:themeColor="text1"/>
          <w:sz w:val="20"/>
          <w:szCs w:val="20"/>
        </w:rPr>
        <w:t>%、0.</w:t>
      </w:r>
      <w:r w:rsidR="008A6611">
        <w:rPr>
          <w:rFonts w:ascii="楷体" w:eastAsia="楷体" w:hAnsi="楷体" w:cs="Arial" w:hint="eastAsia"/>
          <w:color w:val="000000" w:themeColor="text1"/>
          <w:sz w:val="20"/>
          <w:szCs w:val="20"/>
        </w:rPr>
        <w:t>19</w:t>
      </w:r>
      <w:r w:rsidR="00E9280D" w:rsidRPr="0032491D">
        <w:rPr>
          <w:rFonts w:ascii="楷体" w:eastAsia="楷体" w:hAnsi="楷体" w:cs="Arial" w:hint="eastAsia"/>
          <w:color w:val="000000" w:themeColor="text1"/>
          <w:sz w:val="20"/>
          <w:szCs w:val="20"/>
        </w:rPr>
        <w:t>%</w:t>
      </w:r>
      <w:r w:rsidR="008A6611">
        <w:rPr>
          <w:rFonts w:ascii="楷体" w:eastAsia="楷体" w:hAnsi="楷体" w:cs="Arial" w:hint="eastAsia"/>
          <w:color w:val="000000" w:themeColor="text1"/>
          <w:sz w:val="20"/>
          <w:szCs w:val="20"/>
        </w:rPr>
        <w:t>、0.26%</w:t>
      </w:r>
      <w:r w:rsidR="00E9280D" w:rsidRPr="0032491D">
        <w:rPr>
          <w:rFonts w:ascii="楷体" w:eastAsia="楷体" w:hAnsi="楷体" w:cs="Arial" w:hint="eastAsia"/>
          <w:color w:val="000000" w:themeColor="text1"/>
          <w:sz w:val="20"/>
          <w:szCs w:val="20"/>
        </w:rPr>
        <w:t>；欧洲市场，德国DAX指数、法国CAC40指数、英国富时100指数上周涨跌幅分别为</w:t>
      </w:r>
      <w:r w:rsidR="008A6611">
        <w:rPr>
          <w:rFonts w:ascii="楷体" w:eastAsia="楷体" w:hAnsi="楷体" w:cs="Arial" w:hint="eastAsia"/>
          <w:color w:val="000000" w:themeColor="text1"/>
          <w:sz w:val="20"/>
          <w:szCs w:val="20"/>
        </w:rPr>
        <w:t>-1.68</w:t>
      </w:r>
      <w:r w:rsidR="00E9280D" w:rsidRPr="0032491D">
        <w:rPr>
          <w:rFonts w:ascii="楷体" w:eastAsia="楷体" w:hAnsi="楷体" w:cs="Arial" w:hint="eastAsia"/>
          <w:color w:val="000000" w:themeColor="text1"/>
          <w:sz w:val="20"/>
          <w:szCs w:val="20"/>
        </w:rPr>
        <w:t>%、</w:t>
      </w:r>
      <w:r w:rsidR="008A6611">
        <w:rPr>
          <w:rFonts w:ascii="楷体" w:eastAsia="楷体" w:hAnsi="楷体" w:cs="Arial" w:hint="eastAsia"/>
          <w:color w:val="000000" w:themeColor="text1"/>
          <w:sz w:val="20"/>
          <w:szCs w:val="20"/>
        </w:rPr>
        <w:t>-2.88</w:t>
      </w:r>
      <w:r w:rsidR="00E9280D" w:rsidRPr="0032491D">
        <w:rPr>
          <w:rFonts w:ascii="楷体" w:eastAsia="楷体" w:hAnsi="楷体" w:cs="Arial" w:hint="eastAsia"/>
          <w:color w:val="000000" w:themeColor="text1"/>
          <w:sz w:val="20"/>
          <w:szCs w:val="20"/>
        </w:rPr>
        <w:t>%、</w:t>
      </w:r>
      <w:r w:rsidR="008A6611">
        <w:rPr>
          <w:rFonts w:ascii="楷体" w:eastAsia="楷体" w:hAnsi="楷体" w:cs="Arial" w:hint="eastAsia"/>
          <w:color w:val="000000" w:themeColor="text1"/>
          <w:sz w:val="20"/>
          <w:szCs w:val="20"/>
        </w:rPr>
        <w:t>-1.86</w:t>
      </w:r>
      <w:r w:rsidR="00E9280D" w:rsidRPr="0032491D">
        <w:rPr>
          <w:rFonts w:ascii="楷体" w:eastAsia="楷体" w:hAnsi="楷体" w:cs="Arial" w:hint="eastAsia"/>
          <w:color w:val="000000" w:themeColor="text1"/>
          <w:sz w:val="20"/>
          <w:szCs w:val="20"/>
        </w:rPr>
        <w:t>%。</w:t>
      </w:r>
    </w:p>
    <w:p w:rsidR="00E9280D" w:rsidRPr="0032491D" w:rsidRDefault="007C2420" w:rsidP="00E9280D">
      <w:pPr>
        <w:pStyle w:val="a5"/>
        <w:spacing w:beforeLines="100" w:before="240" w:afterLines="100" w:after="240" w:line="260" w:lineRule="exact"/>
        <w:ind w:leftChars="1822" w:left="3826" w:rightChars="-34" w:right="-71" w:firstLineChars="212" w:firstLine="426"/>
        <w:rPr>
          <w:rFonts w:ascii="楷体" w:eastAsia="楷体" w:hAnsi="楷体" w:cs="Arial"/>
          <w:color w:val="000000" w:themeColor="text1"/>
          <w:sz w:val="20"/>
          <w:szCs w:val="20"/>
        </w:rPr>
      </w:pPr>
      <w:r>
        <w:rPr>
          <w:rFonts w:ascii="楷体" w:eastAsia="楷体" w:hAnsi="楷体" w:cs="Arial" w:hint="eastAsia"/>
          <w:b/>
          <w:color w:val="000000" w:themeColor="text1"/>
          <w:sz w:val="20"/>
          <w:szCs w:val="20"/>
        </w:rPr>
        <w:t>黄金石油向下调整</w:t>
      </w:r>
      <w:r w:rsidR="00E9280D" w:rsidRPr="0032491D">
        <w:rPr>
          <w:rFonts w:ascii="楷体" w:eastAsia="楷体" w:hAnsi="楷体" w:cs="Arial" w:hint="eastAsia"/>
          <w:b/>
          <w:color w:val="000000" w:themeColor="text1"/>
          <w:sz w:val="20"/>
          <w:szCs w:val="20"/>
        </w:rPr>
        <w:t>。</w:t>
      </w:r>
      <w:r w:rsidRPr="007C2420">
        <w:rPr>
          <w:rFonts w:ascii="楷体" w:eastAsia="楷体" w:hAnsi="楷体" w:cs="Arial" w:hint="eastAsia"/>
          <w:color w:val="000000" w:themeColor="text1"/>
          <w:sz w:val="20"/>
          <w:szCs w:val="20"/>
        </w:rPr>
        <w:t>受美元走势的影响，金价</w:t>
      </w:r>
      <w:r>
        <w:rPr>
          <w:rFonts w:ascii="楷体" w:eastAsia="楷体" w:hAnsi="楷体" w:cs="Arial" w:hint="eastAsia"/>
          <w:color w:val="000000" w:themeColor="text1"/>
          <w:sz w:val="20"/>
          <w:szCs w:val="20"/>
        </w:rPr>
        <w:t>尽管</w:t>
      </w:r>
      <w:r w:rsidRPr="007C2420">
        <w:rPr>
          <w:rFonts w:ascii="楷体" w:eastAsia="楷体" w:hAnsi="楷体" w:cs="Arial" w:hint="eastAsia"/>
          <w:color w:val="000000" w:themeColor="text1"/>
          <w:sz w:val="20"/>
          <w:szCs w:val="20"/>
        </w:rPr>
        <w:t>周一触及1303.6美元，创出2015年1月以来最高水平，不过此后投资者们开始获利了结，金价回落。美国贸易和工厂订单数据缓解了投资者们因ADP就业数据造成的对美国经济状况的忧虑情绪，令金价承压。</w:t>
      </w:r>
      <w:r>
        <w:rPr>
          <w:rFonts w:ascii="楷体" w:eastAsia="楷体" w:hAnsi="楷体" w:cs="Arial" w:hint="eastAsia"/>
          <w:color w:val="000000" w:themeColor="text1"/>
          <w:sz w:val="20"/>
          <w:szCs w:val="20"/>
        </w:rPr>
        <w:t>最终</w:t>
      </w:r>
      <w:proofErr w:type="gramStart"/>
      <w:r>
        <w:rPr>
          <w:rFonts w:ascii="楷体" w:eastAsia="楷体" w:hAnsi="楷体" w:cs="Arial" w:hint="eastAsia"/>
          <w:color w:val="000000" w:themeColor="text1"/>
          <w:sz w:val="20"/>
          <w:szCs w:val="20"/>
        </w:rPr>
        <w:t>金价收跌</w:t>
      </w:r>
      <w:proofErr w:type="gramEnd"/>
      <w:r>
        <w:rPr>
          <w:rFonts w:ascii="楷体" w:eastAsia="楷体" w:hAnsi="楷体" w:cs="Arial" w:hint="eastAsia"/>
          <w:color w:val="000000" w:themeColor="text1"/>
          <w:sz w:val="20"/>
          <w:szCs w:val="20"/>
        </w:rPr>
        <w:t>0.40%。原油方面，</w:t>
      </w:r>
      <w:r w:rsidRPr="007C2420">
        <w:rPr>
          <w:rFonts w:ascii="楷体" w:eastAsia="楷体" w:hAnsi="楷体" w:cs="Arial" w:hint="eastAsia"/>
          <w:color w:val="000000" w:themeColor="text1"/>
          <w:sz w:val="20"/>
          <w:szCs w:val="20"/>
        </w:rPr>
        <w:t>供应过剩担忧重燃，原油连续三日收跌。</w:t>
      </w:r>
      <w:r>
        <w:rPr>
          <w:rFonts w:ascii="楷体" w:eastAsia="楷体" w:hAnsi="楷体" w:cs="Arial" w:hint="eastAsia"/>
          <w:color w:val="000000" w:themeColor="text1"/>
          <w:sz w:val="20"/>
          <w:szCs w:val="20"/>
        </w:rPr>
        <w:t>后因</w:t>
      </w:r>
      <w:r w:rsidRPr="007C2420">
        <w:rPr>
          <w:rFonts w:ascii="楷体" w:eastAsia="楷体" w:hAnsi="楷体" w:cs="Arial" w:hint="eastAsia"/>
          <w:color w:val="000000" w:themeColor="text1"/>
          <w:sz w:val="20"/>
          <w:szCs w:val="20"/>
        </w:rPr>
        <w:t>加拿大油砂产区野火失控以及利比亚局势紧张，令原油生产受到威胁</w:t>
      </w:r>
      <w:r>
        <w:rPr>
          <w:rFonts w:ascii="楷体" w:eastAsia="楷体" w:hAnsi="楷体" w:cs="Arial" w:hint="eastAsia"/>
          <w:color w:val="000000" w:themeColor="text1"/>
          <w:sz w:val="20"/>
          <w:szCs w:val="20"/>
        </w:rPr>
        <w:t>，油价小幅</w:t>
      </w:r>
      <w:r w:rsidR="00AF4A2E">
        <w:rPr>
          <w:rFonts w:ascii="楷体" w:eastAsia="楷体" w:hAnsi="楷体" w:cs="Arial" w:hint="eastAsia"/>
          <w:color w:val="000000" w:themeColor="text1"/>
          <w:sz w:val="20"/>
          <w:szCs w:val="20"/>
        </w:rPr>
        <w:t>反弹</w:t>
      </w:r>
      <w:r>
        <w:rPr>
          <w:rFonts w:ascii="楷体" w:eastAsia="楷体" w:hAnsi="楷体" w:cs="Arial" w:hint="eastAsia"/>
          <w:color w:val="000000" w:themeColor="text1"/>
          <w:sz w:val="20"/>
          <w:szCs w:val="20"/>
        </w:rPr>
        <w:t>，全周</w:t>
      </w:r>
      <w:r w:rsidR="00E9280D" w:rsidRPr="0032491D">
        <w:rPr>
          <w:rFonts w:ascii="楷体" w:eastAsia="楷体" w:hAnsi="楷体" w:cs="Arial" w:hint="eastAsia"/>
          <w:color w:val="000000" w:themeColor="text1"/>
          <w:sz w:val="20"/>
          <w:szCs w:val="20"/>
        </w:rPr>
        <w:t>油价</w:t>
      </w:r>
      <w:r>
        <w:rPr>
          <w:rFonts w:ascii="楷体" w:eastAsia="楷体" w:hAnsi="楷体" w:cs="Arial" w:hint="eastAsia"/>
          <w:color w:val="000000" w:themeColor="text1"/>
          <w:sz w:val="20"/>
          <w:szCs w:val="20"/>
        </w:rPr>
        <w:t>下跌3.11%。</w:t>
      </w:r>
    </w:p>
    <w:tbl>
      <w:tblPr>
        <w:tblpPr w:leftFromText="180" w:rightFromText="180" w:vertAnchor="text" w:horzAnchor="margin" w:tblpY="180"/>
        <w:tblW w:w="3701" w:type="dxa"/>
        <w:tblLook w:val="04A0" w:firstRow="1" w:lastRow="0" w:firstColumn="1" w:lastColumn="0" w:noHBand="0" w:noVBand="1"/>
      </w:tblPr>
      <w:tblGrid>
        <w:gridCol w:w="2283"/>
        <w:gridCol w:w="1418"/>
      </w:tblGrid>
      <w:tr w:rsidR="00E9280D" w:rsidRPr="0032491D" w:rsidTr="00943C56">
        <w:trPr>
          <w:trHeight w:val="270"/>
        </w:trPr>
        <w:tc>
          <w:tcPr>
            <w:tcW w:w="3701" w:type="dxa"/>
            <w:gridSpan w:val="2"/>
            <w:tcBorders>
              <w:top w:val="single" w:sz="4" w:space="0" w:color="auto"/>
              <w:bottom w:val="single" w:sz="4" w:space="0" w:color="auto"/>
            </w:tcBorders>
            <w:shd w:val="clear" w:color="000000" w:fill="F79646"/>
            <w:vAlign w:val="center"/>
            <w:hideMark/>
          </w:tcPr>
          <w:p w:rsidR="00E9280D" w:rsidRPr="0032491D" w:rsidRDefault="00E9280D" w:rsidP="00943C56">
            <w:pPr>
              <w:widowControl/>
              <w:jc w:val="center"/>
              <w:rPr>
                <w:rFonts w:ascii="楷体" w:eastAsia="楷体" w:hAnsi="楷体" w:cs="宋体"/>
                <w:b/>
                <w:bCs/>
                <w:color w:val="000000" w:themeColor="text1"/>
                <w:kern w:val="0"/>
                <w:sz w:val="20"/>
                <w:szCs w:val="20"/>
              </w:rPr>
            </w:pPr>
            <w:r w:rsidRPr="0032491D">
              <w:rPr>
                <w:rFonts w:ascii="楷体" w:eastAsia="楷体" w:hAnsi="楷体" w:cs="宋体" w:hint="eastAsia"/>
                <w:b/>
                <w:bCs/>
                <w:color w:val="000000" w:themeColor="text1"/>
                <w:kern w:val="0"/>
                <w:sz w:val="20"/>
                <w:szCs w:val="20"/>
              </w:rPr>
              <w:lastRenderedPageBreak/>
              <w:t>国内经济重要数据</w:t>
            </w:r>
          </w:p>
        </w:tc>
      </w:tr>
      <w:tr w:rsidR="00E9280D" w:rsidRPr="0032491D" w:rsidTr="00943C56">
        <w:trPr>
          <w:trHeight w:val="270"/>
        </w:trPr>
        <w:tc>
          <w:tcPr>
            <w:tcW w:w="2283" w:type="dxa"/>
            <w:tcBorders>
              <w:top w:val="nil"/>
              <w:bottom w:val="single" w:sz="4" w:space="0" w:color="auto"/>
              <w:right w:val="single" w:sz="4" w:space="0" w:color="auto"/>
            </w:tcBorders>
            <w:shd w:val="clear" w:color="000000" w:fill="D9D9D9"/>
            <w:vAlign w:val="center"/>
            <w:hideMark/>
          </w:tcPr>
          <w:p w:rsidR="00E9280D" w:rsidRPr="0032491D" w:rsidRDefault="00E9280D" w:rsidP="00943C56">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项目</w:t>
            </w:r>
          </w:p>
        </w:tc>
        <w:tc>
          <w:tcPr>
            <w:tcW w:w="1418" w:type="dxa"/>
            <w:tcBorders>
              <w:top w:val="nil"/>
              <w:left w:val="nil"/>
              <w:bottom w:val="single" w:sz="4" w:space="0" w:color="auto"/>
            </w:tcBorders>
            <w:shd w:val="clear" w:color="000000" w:fill="D9D9D9"/>
            <w:vAlign w:val="center"/>
            <w:hideMark/>
          </w:tcPr>
          <w:p w:rsidR="00E9280D" w:rsidRPr="0032491D" w:rsidRDefault="00E9280D" w:rsidP="00943C56">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数据</w:t>
            </w:r>
          </w:p>
        </w:tc>
      </w:tr>
      <w:tr w:rsidR="005B23E0" w:rsidRPr="0032491D" w:rsidTr="00943C56">
        <w:trPr>
          <w:trHeight w:val="270"/>
        </w:trPr>
        <w:tc>
          <w:tcPr>
            <w:tcW w:w="2283" w:type="dxa"/>
            <w:tcBorders>
              <w:top w:val="nil"/>
              <w:bottom w:val="single" w:sz="4" w:space="0" w:color="auto"/>
              <w:right w:val="single" w:sz="4" w:space="0" w:color="auto"/>
            </w:tcBorders>
            <w:shd w:val="clear" w:color="auto" w:fill="auto"/>
            <w:noWrap/>
            <w:vAlign w:val="center"/>
          </w:tcPr>
          <w:p w:rsidR="005B23E0" w:rsidRPr="0032491D" w:rsidRDefault="005B23E0" w:rsidP="005B23E0">
            <w:pPr>
              <w:jc w:val="center"/>
              <w:rPr>
                <w:rFonts w:ascii="楷体" w:eastAsia="楷体" w:hAnsi="楷体" w:cs="宋体"/>
                <w:color w:val="000000" w:themeColor="text1"/>
                <w:sz w:val="16"/>
                <w:szCs w:val="16"/>
              </w:rPr>
            </w:pPr>
            <w:r w:rsidRPr="0032491D">
              <w:rPr>
                <w:rFonts w:ascii="楷体" w:eastAsia="楷体" w:hAnsi="楷体" w:cs="宋体" w:hint="eastAsia"/>
                <w:color w:val="000000" w:themeColor="text1"/>
                <w:sz w:val="16"/>
                <w:szCs w:val="16"/>
              </w:rPr>
              <w:t>4月官方制造业PMI</w:t>
            </w:r>
          </w:p>
        </w:tc>
        <w:tc>
          <w:tcPr>
            <w:tcW w:w="1418" w:type="dxa"/>
            <w:tcBorders>
              <w:top w:val="nil"/>
              <w:left w:val="nil"/>
              <w:bottom w:val="single" w:sz="4" w:space="0" w:color="auto"/>
            </w:tcBorders>
            <w:shd w:val="clear" w:color="auto" w:fill="auto"/>
            <w:noWrap/>
            <w:vAlign w:val="center"/>
          </w:tcPr>
          <w:p w:rsidR="005B23E0" w:rsidRPr="0032491D" w:rsidRDefault="00DF0A0F" w:rsidP="005B23E0">
            <w:pPr>
              <w:jc w:val="center"/>
              <w:rPr>
                <w:rFonts w:ascii="楷体" w:eastAsia="楷体" w:hAnsi="楷体" w:cs="宋体"/>
                <w:color w:val="000000" w:themeColor="text1"/>
                <w:sz w:val="16"/>
                <w:szCs w:val="16"/>
              </w:rPr>
            </w:pPr>
            <w:r w:rsidRPr="0032491D">
              <w:rPr>
                <w:rFonts w:ascii="楷体" w:eastAsia="楷体" w:hAnsi="楷体" w:cs="宋体" w:hint="eastAsia"/>
                <w:color w:val="000000" w:themeColor="text1"/>
                <w:sz w:val="16"/>
                <w:szCs w:val="16"/>
              </w:rPr>
              <w:t>50.1</w:t>
            </w:r>
          </w:p>
        </w:tc>
      </w:tr>
      <w:tr w:rsidR="005B23E0" w:rsidRPr="0032491D" w:rsidTr="00943C56">
        <w:trPr>
          <w:trHeight w:val="270"/>
        </w:trPr>
        <w:tc>
          <w:tcPr>
            <w:tcW w:w="2283" w:type="dxa"/>
            <w:tcBorders>
              <w:top w:val="nil"/>
              <w:bottom w:val="single" w:sz="4" w:space="0" w:color="auto"/>
              <w:right w:val="single" w:sz="4" w:space="0" w:color="auto"/>
            </w:tcBorders>
            <w:shd w:val="clear" w:color="000000" w:fill="D9D9D9"/>
            <w:noWrap/>
            <w:vAlign w:val="center"/>
          </w:tcPr>
          <w:p w:rsidR="005B23E0" w:rsidRPr="0032491D" w:rsidRDefault="005B23E0" w:rsidP="005B23E0">
            <w:pPr>
              <w:widowControl/>
              <w:jc w:val="center"/>
              <w:rPr>
                <w:rFonts w:ascii="楷体" w:eastAsia="楷体" w:hAnsi="楷体" w:cs="宋体"/>
                <w:color w:val="000000" w:themeColor="text1"/>
                <w:kern w:val="0"/>
                <w:sz w:val="16"/>
                <w:szCs w:val="16"/>
              </w:rPr>
            </w:pPr>
            <w:r w:rsidRPr="0032491D">
              <w:rPr>
                <w:rFonts w:ascii="楷体" w:eastAsia="楷体" w:hAnsi="楷体" w:cs="宋体" w:hint="eastAsia"/>
                <w:color w:val="000000" w:themeColor="text1"/>
                <w:kern w:val="0"/>
                <w:sz w:val="16"/>
                <w:szCs w:val="16"/>
              </w:rPr>
              <w:t>4月官方非制造业PMI</w:t>
            </w:r>
          </w:p>
        </w:tc>
        <w:tc>
          <w:tcPr>
            <w:tcW w:w="1418" w:type="dxa"/>
            <w:tcBorders>
              <w:top w:val="nil"/>
              <w:left w:val="nil"/>
              <w:bottom w:val="single" w:sz="4" w:space="0" w:color="auto"/>
            </w:tcBorders>
            <w:shd w:val="clear" w:color="000000" w:fill="D9D9D9"/>
            <w:noWrap/>
            <w:vAlign w:val="center"/>
          </w:tcPr>
          <w:p w:rsidR="005B23E0" w:rsidRPr="0032491D" w:rsidRDefault="00DF0A0F" w:rsidP="005B23E0">
            <w:pPr>
              <w:widowControl/>
              <w:jc w:val="center"/>
              <w:rPr>
                <w:rFonts w:ascii="楷体" w:eastAsia="楷体" w:hAnsi="楷体" w:cs="宋体"/>
                <w:color w:val="000000" w:themeColor="text1"/>
                <w:kern w:val="0"/>
                <w:sz w:val="16"/>
                <w:szCs w:val="16"/>
              </w:rPr>
            </w:pPr>
            <w:r w:rsidRPr="0032491D">
              <w:rPr>
                <w:rFonts w:ascii="楷体" w:eastAsia="楷体" w:hAnsi="楷体" w:cs="宋体" w:hint="eastAsia"/>
                <w:color w:val="000000" w:themeColor="text1"/>
                <w:kern w:val="0"/>
                <w:sz w:val="16"/>
                <w:szCs w:val="16"/>
              </w:rPr>
              <w:t>53.5</w:t>
            </w:r>
          </w:p>
        </w:tc>
      </w:tr>
      <w:tr w:rsidR="005B23E0" w:rsidRPr="0032491D" w:rsidTr="00943C56">
        <w:trPr>
          <w:trHeight w:val="270"/>
        </w:trPr>
        <w:tc>
          <w:tcPr>
            <w:tcW w:w="2283" w:type="dxa"/>
            <w:tcBorders>
              <w:top w:val="nil"/>
              <w:bottom w:val="single" w:sz="4" w:space="0" w:color="auto"/>
              <w:right w:val="single" w:sz="4" w:space="0" w:color="auto"/>
            </w:tcBorders>
            <w:shd w:val="clear" w:color="auto" w:fill="auto"/>
            <w:noWrap/>
            <w:vAlign w:val="center"/>
          </w:tcPr>
          <w:p w:rsidR="005B23E0" w:rsidRPr="0032491D" w:rsidRDefault="00196AB4" w:rsidP="005B23E0">
            <w:pPr>
              <w:jc w:val="center"/>
              <w:rPr>
                <w:rFonts w:ascii="楷体" w:eastAsia="楷体" w:hAnsi="楷体" w:cs="宋体"/>
                <w:color w:val="000000" w:themeColor="text1"/>
                <w:sz w:val="16"/>
                <w:szCs w:val="16"/>
              </w:rPr>
            </w:pPr>
            <w:proofErr w:type="gramStart"/>
            <w:r w:rsidRPr="0032491D">
              <w:rPr>
                <w:rFonts w:ascii="楷体" w:eastAsia="楷体" w:hAnsi="楷体" w:cs="宋体" w:hint="eastAsia"/>
                <w:color w:val="000000" w:themeColor="text1"/>
                <w:sz w:val="16"/>
                <w:szCs w:val="16"/>
              </w:rPr>
              <w:t>4月财新制造业</w:t>
            </w:r>
            <w:proofErr w:type="gramEnd"/>
            <w:r w:rsidRPr="0032491D">
              <w:rPr>
                <w:rFonts w:ascii="楷体" w:eastAsia="楷体" w:hAnsi="楷体" w:cs="宋体" w:hint="eastAsia"/>
                <w:color w:val="000000" w:themeColor="text1"/>
                <w:sz w:val="16"/>
                <w:szCs w:val="16"/>
              </w:rPr>
              <w:t>PMI</w:t>
            </w:r>
          </w:p>
        </w:tc>
        <w:tc>
          <w:tcPr>
            <w:tcW w:w="1418" w:type="dxa"/>
            <w:tcBorders>
              <w:top w:val="nil"/>
              <w:left w:val="nil"/>
              <w:bottom w:val="single" w:sz="4" w:space="0" w:color="auto"/>
            </w:tcBorders>
            <w:shd w:val="clear" w:color="auto" w:fill="auto"/>
            <w:noWrap/>
            <w:vAlign w:val="center"/>
          </w:tcPr>
          <w:p w:rsidR="005B23E0" w:rsidRPr="0032491D" w:rsidRDefault="00196AB4" w:rsidP="005B23E0">
            <w:pPr>
              <w:jc w:val="center"/>
              <w:rPr>
                <w:rFonts w:ascii="楷体" w:eastAsia="楷体" w:hAnsi="楷体" w:cs="宋体"/>
                <w:color w:val="000000" w:themeColor="text1"/>
                <w:sz w:val="16"/>
                <w:szCs w:val="16"/>
              </w:rPr>
            </w:pPr>
            <w:r w:rsidRPr="0032491D">
              <w:rPr>
                <w:rFonts w:ascii="楷体" w:eastAsia="楷体" w:hAnsi="楷体" w:cs="宋体" w:hint="eastAsia"/>
                <w:color w:val="000000" w:themeColor="text1"/>
                <w:sz w:val="16"/>
                <w:szCs w:val="16"/>
              </w:rPr>
              <w:t>49.4</w:t>
            </w:r>
          </w:p>
        </w:tc>
      </w:tr>
      <w:tr w:rsidR="005B23E0" w:rsidRPr="0032491D" w:rsidTr="00943C56">
        <w:trPr>
          <w:trHeight w:val="270"/>
        </w:trPr>
        <w:tc>
          <w:tcPr>
            <w:tcW w:w="2283" w:type="dxa"/>
            <w:tcBorders>
              <w:top w:val="nil"/>
              <w:bottom w:val="single" w:sz="4" w:space="0" w:color="auto"/>
              <w:right w:val="single" w:sz="4" w:space="0" w:color="auto"/>
            </w:tcBorders>
            <w:shd w:val="clear" w:color="000000" w:fill="D9D9D9"/>
            <w:noWrap/>
            <w:vAlign w:val="center"/>
          </w:tcPr>
          <w:p w:rsidR="005B23E0" w:rsidRPr="0032491D" w:rsidRDefault="00DB27A6" w:rsidP="005B23E0">
            <w:pPr>
              <w:widowControl/>
              <w:jc w:val="center"/>
              <w:rPr>
                <w:rFonts w:ascii="楷体" w:eastAsia="楷体" w:hAnsi="楷体" w:cs="宋体"/>
                <w:color w:val="000000" w:themeColor="text1"/>
                <w:kern w:val="0"/>
                <w:sz w:val="16"/>
                <w:szCs w:val="16"/>
              </w:rPr>
            </w:pPr>
            <w:proofErr w:type="gramStart"/>
            <w:r w:rsidRPr="0032491D">
              <w:rPr>
                <w:rFonts w:ascii="楷体" w:eastAsia="楷体" w:hAnsi="楷体" w:cs="宋体" w:hint="eastAsia"/>
                <w:color w:val="000000" w:themeColor="text1"/>
                <w:kern w:val="0"/>
                <w:sz w:val="16"/>
                <w:szCs w:val="16"/>
              </w:rPr>
              <w:t>4月财新服务业</w:t>
            </w:r>
            <w:proofErr w:type="gramEnd"/>
            <w:r w:rsidRPr="0032491D">
              <w:rPr>
                <w:rFonts w:ascii="楷体" w:eastAsia="楷体" w:hAnsi="楷体" w:cs="宋体" w:hint="eastAsia"/>
                <w:color w:val="000000" w:themeColor="text1"/>
                <w:kern w:val="0"/>
                <w:sz w:val="16"/>
                <w:szCs w:val="16"/>
              </w:rPr>
              <w:t>PMI</w:t>
            </w:r>
          </w:p>
        </w:tc>
        <w:tc>
          <w:tcPr>
            <w:tcW w:w="1418" w:type="dxa"/>
            <w:tcBorders>
              <w:top w:val="nil"/>
              <w:left w:val="nil"/>
              <w:bottom w:val="single" w:sz="4" w:space="0" w:color="auto"/>
            </w:tcBorders>
            <w:shd w:val="clear" w:color="000000" w:fill="D9D9D9"/>
            <w:noWrap/>
            <w:vAlign w:val="center"/>
          </w:tcPr>
          <w:p w:rsidR="005B23E0" w:rsidRPr="0032491D" w:rsidRDefault="00DB27A6" w:rsidP="005B23E0">
            <w:pPr>
              <w:widowControl/>
              <w:jc w:val="center"/>
              <w:rPr>
                <w:rFonts w:ascii="楷体" w:eastAsia="楷体" w:hAnsi="楷体" w:cs="宋体"/>
                <w:color w:val="000000" w:themeColor="text1"/>
                <w:kern w:val="0"/>
                <w:sz w:val="16"/>
                <w:szCs w:val="16"/>
              </w:rPr>
            </w:pPr>
            <w:r w:rsidRPr="0032491D">
              <w:rPr>
                <w:rFonts w:ascii="楷体" w:eastAsia="楷体" w:hAnsi="楷体" w:cs="宋体" w:hint="eastAsia"/>
                <w:color w:val="000000" w:themeColor="text1"/>
                <w:kern w:val="0"/>
                <w:sz w:val="16"/>
                <w:szCs w:val="16"/>
              </w:rPr>
              <w:t>51.8</w:t>
            </w:r>
          </w:p>
        </w:tc>
      </w:tr>
      <w:tr w:rsidR="005B23E0" w:rsidRPr="0032491D" w:rsidTr="00943C56">
        <w:trPr>
          <w:trHeight w:val="270"/>
        </w:trPr>
        <w:tc>
          <w:tcPr>
            <w:tcW w:w="2283" w:type="dxa"/>
            <w:tcBorders>
              <w:top w:val="nil"/>
              <w:bottom w:val="single" w:sz="4" w:space="0" w:color="auto"/>
              <w:right w:val="single" w:sz="4" w:space="0" w:color="auto"/>
            </w:tcBorders>
            <w:shd w:val="clear" w:color="auto" w:fill="auto"/>
            <w:noWrap/>
            <w:vAlign w:val="center"/>
          </w:tcPr>
          <w:p w:rsidR="005B23E0" w:rsidRPr="0032491D" w:rsidRDefault="005A3E1E" w:rsidP="005B23E0">
            <w:pPr>
              <w:jc w:val="center"/>
              <w:rPr>
                <w:rFonts w:ascii="楷体" w:eastAsia="楷体" w:hAnsi="楷体" w:cs="宋体"/>
                <w:color w:val="000000" w:themeColor="text1"/>
                <w:sz w:val="16"/>
                <w:szCs w:val="16"/>
              </w:rPr>
            </w:pPr>
            <w:r w:rsidRPr="005A3E1E">
              <w:rPr>
                <w:rFonts w:ascii="楷体" w:eastAsia="楷体" w:hAnsi="楷体" w:cs="宋体" w:hint="eastAsia"/>
                <w:color w:val="000000" w:themeColor="text1"/>
                <w:sz w:val="16"/>
                <w:szCs w:val="16"/>
              </w:rPr>
              <w:t>4月末外汇储备余额</w:t>
            </w:r>
          </w:p>
        </w:tc>
        <w:tc>
          <w:tcPr>
            <w:tcW w:w="1418" w:type="dxa"/>
            <w:tcBorders>
              <w:top w:val="nil"/>
              <w:left w:val="nil"/>
              <w:bottom w:val="single" w:sz="4" w:space="0" w:color="auto"/>
            </w:tcBorders>
            <w:shd w:val="clear" w:color="auto" w:fill="auto"/>
            <w:noWrap/>
            <w:vAlign w:val="center"/>
          </w:tcPr>
          <w:p w:rsidR="005B23E0" w:rsidRPr="0032491D" w:rsidRDefault="005A3E1E" w:rsidP="005B23E0">
            <w:pPr>
              <w:jc w:val="center"/>
              <w:rPr>
                <w:rFonts w:ascii="楷体" w:eastAsia="楷体" w:hAnsi="楷体" w:cs="宋体"/>
                <w:color w:val="000000" w:themeColor="text1"/>
                <w:sz w:val="16"/>
                <w:szCs w:val="16"/>
              </w:rPr>
            </w:pPr>
            <w:r w:rsidRPr="005A3E1E">
              <w:rPr>
                <w:rFonts w:ascii="楷体" w:eastAsia="楷体" w:hAnsi="楷体" w:cs="宋体" w:hint="eastAsia"/>
                <w:color w:val="000000" w:themeColor="text1"/>
                <w:sz w:val="16"/>
                <w:szCs w:val="16"/>
              </w:rPr>
              <w:t>32196.68亿美元</w:t>
            </w:r>
          </w:p>
        </w:tc>
      </w:tr>
      <w:tr w:rsidR="005B23E0" w:rsidRPr="0032491D" w:rsidTr="00943C56">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5B23E0" w:rsidRPr="0032491D" w:rsidRDefault="005B23E0" w:rsidP="005B23E0">
            <w:pPr>
              <w:widowControl/>
              <w:jc w:val="center"/>
              <w:rPr>
                <w:rFonts w:ascii="楷体" w:eastAsia="楷体" w:hAnsi="楷体" w:cs="宋体"/>
                <w:color w:val="000000" w:themeColor="text1"/>
                <w:kern w:val="0"/>
                <w:sz w:val="16"/>
                <w:szCs w:val="16"/>
              </w:rPr>
            </w:pPr>
          </w:p>
        </w:tc>
        <w:tc>
          <w:tcPr>
            <w:tcW w:w="1418" w:type="dxa"/>
            <w:tcBorders>
              <w:top w:val="nil"/>
              <w:left w:val="nil"/>
              <w:bottom w:val="single" w:sz="4" w:space="0" w:color="auto"/>
            </w:tcBorders>
            <w:shd w:val="clear" w:color="auto" w:fill="D9D9D9" w:themeFill="background1" w:themeFillShade="D9"/>
            <w:noWrap/>
            <w:vAlign w:val="center"/>
          </w:tcPr>
          <w:p w:rsidR="005B23E0" w:rsidRPr="0032491D" w:rsidRDefault="005B23E0" w:rsidP="005B23E0">
            <w:pPr>
              <w:widowControl/>
              <w:jc w:val="center"/>
              <w:rPr>
                <w:rFonts w:ascii="楷体" w:eastAsia="楷体" w:hAnsi="楷体" w:cs="宋体"/>
                <w:color w:val="000000" w:themeColor="text1"/>
                <w:kern w:val="0"/>
                <w:sz w:val="16"/>
                <w:szCs w:val="16"/>
              </w:rPr>
            </w:pPr>
          </w:p>
        </w:tc>
      </w:tr>
      <w:tr w:rsidR="005B23E0" w:rsidRPr="0032491D" w:rsidTr="00943C56">
        <w:trPr>
          <w:trHeight w:val="270"/>
        </w:trPr>
        <w:tc>
          <w:tcPr>
            <w:tcW w:w="3701" w:type="dxa"/>
            <w:gridSpan w:val="2"/>
            <w:tcBorders>
              <w:top w:val="single" w:sz="4" w:space="0" w:color="auto"/>
              <w:bottom w:val="single" w:sz="4" w:space="0" w:color="auto"/>
            </w:tcBorders>
            <w:shd w:val="clear" w:color="000000" w:fill="F79646"/>
            <w:vAlign w:val="center"/>
            <w:hideMark/>
          </w:tcPr>
          <w:p w:rsidR="005B23E0" w:rsidRPr="0032491D" w:rsidRDefault="005B23E0" w:rsidP="005B23E0">
            <w:pPr>
              <w:widowControl/>
              <w:jc w:val="center"/>
              <w:rPr>
                <w:rFonts w:ascii="楷体" w:eastAsia="楷体" w:hAnsi="楷体" w:cs="宋体"/>
                <w:b/>
                <w:bCs/>
                <w:color w:val="000000" w:themeColor="text1"/>
                <w:kern w:val="0"/>
                <w:sz w:val="20"/>
                <w:szCs w:val="20"/>
              </w:rPr>
            </w:pPr>
            <w:r w:rsidRPr="0032491D">
              <w:rPr>
                <w:rFonts w:ascii="楷体" w:eastAsia="楷体" w:hAnsi="楷体" w:cs="宋体" w:hint="eastAsia"/>
                <w:b/>
                <w:bCs/>
                <w:color w:val="000000" w:themeColor="text1"/>
                <w:kern w:val="0"/>
                <w:sz w:val="20"/>
                <w:szCs w:val="20"/>
              </w:rPr>
              <w:t>海外经济重要数据</w:t>
            </w:r>
          </w:p>
        </w:tc>
      </w:tr>
      <w:tr w:rsidR="005B23E0" w:rsidRPr="0032491D" w:rsidTr="00943C56">
        <w:trPr>
          <w:trHeight w:val="300"/>
        </w:trPr>
        <w:tc>
          <w:tcPr>
            <w:tcW w:w="2283" w:type="dxa"/>
            <w:tcBorders>
              <w:top w:val="nil"/>
              <w:bottom w:val="single" w:sz="4" w:space="0" w:color="auto"/>
              <w:right w:val="single" w:sz="4" w:space="0" w:color="auto"/>
            </w:tcBorders>
            <w:shd w:val="clear" w:color="000000" w:fill="D9D9D9"/>
            <w:vAlign w:val="center"/>
            <w:hideMark/>
          </w:tcPr>
          <w:p w:rsidR="005B23E0" w:rsidRPr="0032491D" w:rsidRDefault="005B23E0" w:rsidP="005B23E0">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项目</w:t>
            </w:r>
          </w:p>
        </w:tc>
        <w:tc>
          <w:tcPr>
            <w:tcW w:w="1418" w:type="dxa"/>
            <w:tcBorders>
              <w:top w:val="nil"/>
              <w:left w:val="nil"/>
              <w:bottom w:val="single" w:sz="4" w:space="0" w:color="auto"/>
            </w:tcBorders>
            <w:shd w:val="clear" w:color="000000" w:fill="D9D9D9"/>
            <w:vAlign w:val="center"/>
            <w:hideMark/>
          </w:tcPr>
          <w:p w:rsidR="005B23E0" w:rsidRPr="0032491D" w:rsidRDefault="005B23E0" w:rsidP="005B23E0">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数据</w:t>
            </w:r>
          </w:p>
        </w:tc>
      </w:tr>
      <w:tr w:rsidR="005B23E0" w:rsidRPr="0032491D" w:rsidTr="00943C56">
        <w:trPr>
          <w:trHeight w:val="270"/>
        </w:trPr>
        <w:tc>
          <w:tcPr>
            <w:tcW w:w="2283" w:type="dxa"/>
            <w:tcBorders>
              <w:top w:val="nil"/>
              <w:bottom w:val="single" w:sz="4" w:space="0" w:color="auto"/>
              <w:right w:val="single" w:sz="4" w:space="0" w:color="auto"/>
            </w:tcBorders>
            <w:shd w:val="clear" w:color="auto" w:fill="auto"/>
            <w:noWrap/>
            <w:vAlign w:val="center"/>
          </w:tcPr>
          <w:p w:rsidR="005B23E0" w:rsidRPr="0032491D" w:rsidRDefault="00DF0A0F" w:rsidP="005B23E0">
            <w:pPr>
              <w:widowControl/>
              <w:jc w:val="left"/>
              <w:rPr>
                <w:rFonts w:ascii="楷体" w:eastAsia="楷体" w:hAnsi="楷体"/>
                <w:color w:val="000000" w:themeColor="text1"/>
                <w:sz w:val="16"/>
                <w:szCs w:val="16"/>
              </w:rPr>
            </w:pPr>
            <w:r w:rsidRPr="0032491D">
              <w:rPr>
                <w:rFonts w:ascii="楷体" w:eastAsia="楷体" w:hAnsi="楷体" w:hint="eastAsia"/>
                <w:color w:val="000000" w:themeColor="text1"/>
                <w:sz w:val="16"/>
                <w:szCs w:val="16"/>
              </w:rPr>
              <w:t>美国：4月制造业PMI终值</w:t>
            </w:r>
          </w:p>
        </w:tc>
        <w:tc>
          <w:tcPr>
            <w:tcW w:w="1418" w:type="dxa"/>
            <w:tcBorders>
              <w:top w:val="nil"/>
              <w:left w:val="nil"/>
              <w:bottom w:val="single" w:sz="4" w:space="0" w:color="auto"/>
            </w:tcBorders>
            <w:shd w:val="clear" w:color="auto" w:fill="auto"/>
            <w:noWrap/>
            <w:vAlign w:val="center"/>
          </w:tcPr>
          <w:p w:rsidR="005B23E0" w:rsidRPr="0032491D" w:rsidRDefault="00DF0A0F" w:rsidP="005B23E0">
            <w:pPr>
              <w:widowControl/>
              <w:jc w:val="center"/>
              <w:rPr>
                <w:rFonts w:ascii="楷体" w:eastAsia="楷体" w:hAnsi="楷体"/>
                <w:color w:val="000000" w:themeColor="text1"/>
                <w:sz w:val="16"/>
                <w:szCs w:val="16"/>
              </w:rPr>
            </w:pPr>
            <w:r w:rsidRPr="0032491D">
              <w:rPr>
                <w:rFonts w:ascii="楷体" w:eastAsia="楷体" w:hAnsi="楷体" w:hint="eastAsia"/>
                <w:color w:val="000000" w:themeColor="text1"/>
                <w:sz w:val="16"/>
                <w:szCs w:val="16"/>
              </w:rPr>
              <w:t>50.8</w:t>
            </w:r>
          </w:p>
        </w:tc>
      </w:tr>
      <w:tr w:rsidR="005B23E0" w:rsidRPr="0032491D" w:rsidTr="00943C56">
        <w:trPr>
          <w:trHeight w:val="270"/>
        </w:trPr>
        <w:tc>
          <w:tcPr>
            <w:tcW w:w="2283" w:type="dxa"/>
            <w:tcBorders>
              <w:top w:val="nil"/>
              <w:bottom w:val="single" w:sz="4" w:space="0" w:color="auto"/>
              <w:right w:val="single" w:sz="4" w:space="0" w:color="auto"/>
            </w:tcBorders>
            <w:shd w:val="clear" w:color="000000" w:fill="D9D9D9"/>
            <w:noWrap/>
            <w:vAlign w:val="center"/>
          </w:tcPr>
          <w:p w:rsidR="005B23E0" w:rsidRPr="0032491D" w:rsidRDefault="00DF0A0F" w:rsidP="00DF0A0F">
            <w:pPr>
              <w:widowControl/>
              <w:jc w:val="left"/>
              <w:rPr>
                <w:rFonts w:ascii="楷体" w:eastAsia="楷体" w:hAnsi="楷体"/>
                <w:color w:val="000000" w:themeColor="text1"/>
                <w:sz w:val="16"/>
                <w:szCs w:val="16"/>
              </w:rPr>
            </w:pPr>
            <w:r w:rsidRPr="0032491D">
              <w:rPr>
                <w:rFonts w:ascii="楷体" w:eastAsia="楷体" w:hAnsi="楷体" w:hint="eastAsia"/>
                <w:color w:val="000000" w:themeColor="text1"/>
                <w:sz w:val="16"/>
                <w:szCs w:val="16"/>
              </w:rPr>
              <w:t>日本：4月制造业PMI终值</w:t>
            </w:r>
          </w:p>
        </w:tc>
        <w:tc>
          <w:tcPr>
            <w:tcW w:w="1418" w:type="dxa"/>
            <w:tcBorders>
              <w:top w:val="nil"/>
              <w:left w:val="nil"/>
              <w:bottom w:val="single" w:sz="4" w:space="0" w:color="auto"/>
            </w:tcBorders>
            <w:shd w:val="clear" w:color="000000" w:fill="D9D9D9"/>
            <w:noWrap/>
            <w:vAlign w:val="center"/>
          </w:tcPr>
          <w:p w:rsidR="005B23E0" w:rsidRPr="0032491D" w:rsidRDefault="00DF0A0F" w:rsidP="005B23E0">
            <w:pPr>
              <w:widowControl/>
              <w:jc w:val="center"/>
              <w:rPr>
                <w:rFonts w:ascii="楷体" w:eastAsia="楷体" w:hAnsi="楷体"/>
                <w:color w:val="000000" w:themeColor="text1"/>
                <w:sz w:val="16"/>
                <w:szCs w:val="16"/>
              </w:rPr>
            </w:pPr>
            <w:r w:rsidRPr="0032491D">
              <w:rPr>
                <w:rFonts w:ascii="楷体" w:eastAsia="楷体" w:hAnsi="楷体" w:hint="eastAsia"/>
                <w:color w:val="000000" w:themeColor="text1"/>
                <w:sz w:val="16"/>
                <w:szCs w:val="16"/>
              </w:rPr>
              <w:t>48.2</w:t>
            </w:r>
          </w:p>
        </w:tc>
      </w:tr>
      <w:tr w:rsidR="005B23E0" w:rsidRPr="0032491D" w:rsidTr="00943C56">
        <w:trPr>
          <w:trHeight w:val="270"/>
        </w:trPr>
        <w:tc>
          <w:tcPr>
            <w:tcW w:w="2283" w:type="dxa"/>
            <w:tcBorders>
              <w:top w:val="nil"/>
              <w:bottom w:val="single" w:sz="4" w:space="0" w:color="auto"/>
              <w:right w:val="single" w:sz="4" w:space="0" w:color="auto"/>
            </w:tcBorders>
            <w:shd w:val="clear" w:color="auto" w:fill="auto"/>
            <w:noWrap/>
            <w:vAlign w:val="center"/>
          </w:tcPr>
          <w:p w:rsidR="005B23E0" w:rsidRPr="0032491D" w:rsidRDefault="00DF0A0F" w:rsidP="005B23E0">
            <w:pPr>
              <w:widowControl/>
              <w:jc w:val="left"/>
              <w:rPr>
                <w:rFonts w:ascii="楷体" w:eastAsia="楷体" w:hAnsi="楷体"/>
                <w:color w:val="000000" w:themeColor="text1"/>
                <w:sz w:val="16"/>
                <w:szCs w:val="16"/>
              </w:rPr>
            </w:pPr>
            <w:r w:rsidRPr="0032491D">
              <w:rPr>
                <w:rFonts w:ascii="楷体" w:eastAsia="楷体" w:hAnsi="楷体" w:hint="eastAsia"/>
                <w:color w:val="000000" w:themeColor="text1"/>
                <w:sz w:val="16"/>
                <w:szCs w:val="16"/>
              </w:rPr>
              <w:t>欧元区：4月制造业PMI终值</w:t>
            </w:r>
          </w:p>
        </w:tc>
        <w:tc>
          <w:tcPr>
            <w:tcW w:w="1418" w:type="dxa"/>
            <w:tcBorders>
              <w:top w:val="nil"/>
              <w:left w:val="nil"/>
              <w:bottom w:val="single" w:sz="4" w:space="0" w:color="auto"/>
            </w:tcBorders>
            <w:shd w:val="clear" w:color="auto" w:fill="auto"/>
            <w:noWrap/>
            <w:vAlign w:val="center"/>
          </w:tcPr>
          <w:p w:rsidR="005B23E0" w:rsidRPr="0032491D" w:rsidRDefault="00DF0A0F" w:rsidP="005B23E0">
            <w:pPr>
              <w:widowControl/>
              <w:jc w:val="center"/>
              <w:rPr>
                <w:rFonts w:ascii="楷体" w:eastAsia="楷体" w:hAnsi="楷体"/>
                <w:color w:val="000000" w:themeColor="text1"/>
                <w:sz w:val="16"/>
                <w:szCs w:val="16"/>
              </w:rPr>
            </w:pPr>
            <w:r w:rsidRPr="0032491D">
              <w:rPr>
                <w:rFonts w:ascii="楷体" w:eastAsia="楷体" w:hAnsi="楷体" w:hint="eastAsia"/>
                <w:color w:val="000000" w:themeColor="text1"/>
                <w:sz w:val="16"/>
                <w:szCs w:val="16"/>
              </w:rPr>
              <w:t>51.7</w:t>
            </w:r>
          </w:p>
        </w:tc>
      </w:tr>
      <w:tr w:rsidR="005B23E0" w:rsidRPr="0032491D" w:rsidTr="00943C56">
        <w:trPr>
          <w:trHeight w:val="270"/>
        </w:trPr>
        <w:tc>
          <w:tcPr>
            <w:tcW w:w="2283" w:type="dxa"/>
            <w:tcBorders>
              <w:top w:val="nil"/>
              <w:bottom w:val="single" w:sz="4" w:space="0" w:color="auto"/>
              <w:right w:val="single" w:sz="4" w:space="0" w:color="auto"/>
            </w:tcBorders>
            <w:shd w:val="clear" w:color="000000" w:fill="D9D9D9"/>
            <w:noWrap/>
            <w:vAlign w:val="center"/>
          </w:tcPr>
          <w:p w:rsidR="005B23E0" w:rsidRPr="0032491D" w:rsidRDefault="00DB27A6" w:rsidP="005B23E0">
            <w:pPr>
              <w:widowControl/>
              <w:jc w:val="left"/>
              <w:rPr>
                <w:rFonts w:ascii="楷体" w:eastAsia="楷体" w:hAnsi="楷体"/>
                <w:color w:val="000000" w:themeColor="text1"/>
                <w:sz w:val="16"/>
                <w:szCs w:val="16"/>
              </w:rPr>
            </w:pPr>
            <w:r w:rsidRPr="0032491D">
              <w:rPr>
                <w:rFonts w:ascii="楷体" w:eastAsia="楷体" w:hAnsi="楷体"/>
                <w:color w:val="000000" w:themeColor="text1"/>
                <w:sz w:val="16"/>
                <w:szCs w:val="16"/>
              </w:rPr>
              <w:t>美国</w:t>
            </w:r>
            <w:r w:rsidRPr="0032491D">
              <w:rPr>
                <w:rFonts w:ascii="楷体" w:eastAsia="楷体" w:hAnsi="楷体" w:hint="eastAsia"/>
                <w:color w:val="000000" w:themeColor="text1"/>
                <w:sz w:val="16"/>
                <w:szCs w:val="16"/>
              </w:rPr>
              <w:t>：</w:t>
            </w:r>
            <w:r w:rsidR="005B23E0" w:rsidRPr="0032491D">
              <w:rPr>
                <w:rFonts w:ascii="楷体" w:eastAsia="楷体" w:hAnsi="楷体" w:cs="Arial"/>
                <w:b/>
                <w:bCs/>
                <w:noProof/>
                <w:color w:val="002060"/>
                <w:kern w:val="0"/>
                <w:sz w:val="24"/>
                <w:szCs w:val="13"/>
              </w:rPr>
              <mc:AlternateContent>
                <mc:Choice Requires="wps">
                  <w:drawing>
                    <wp:anchor distT="0" distB="0" distL="114300" distR="114300" simplePos="0" relativeHeight="251664384" behindDoc="0" locked="0" layoutInCell="1" allowOverlap="1" wp14:anchorId="15DF2DCA" wp14:editId="2DEC56CE">
                      <wp:simplePos x="0" y="0"/>
                      <wp:positionH relativeFrom="column">
                        <wp:posOffset>-78105</wp:posOffset>
                      </wp:positionH>
                      <wp:positionV relativeFrom="paragraph">
                        <wp:posOffset>130810</wp:posOffset>
                      </wp:positionV>
                      <wp:extent cx="2154555" cy="21463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30"/>
                              </a:xfrm>
                              <a:prstGeom prst="rect">
                                <a:avLst/>
                              </a:prstGeom>
                              <a:noFill/>
                              <a:ln w="9525">
                                <a:noFill/>
                                <a:miter lim="800000"/>
                                <a:headEnd/>
                                <a:tailEnd/>
                              </a:ln>
                            </wps:spPr>
                            <wps:txbx>
                              <w:txbxContent>
                                <w:p w:rsidR="00624619" w:rsidRPr="00B33891" w:rsidRDefault="00624619" w:rsidP="00E9280D">
                                  <w:pPr>
                                    <w:rPr>
                                      <w:rFonts w:ascii="楷体" w:eastAsia="楷体" w:hAnsi="楷体" w:cs="宋体"/>
                                      <w:b/>
                                      <w:bCs/>
                                      <w:kern w:val="0"/>
                                      <w:sz w:val="16"/>
                                      <w:szCs w:val="16"/>
                                      <w:lang w:val="en-GB"/>
                                    </w:rPr>
                                  </w:pPr>
                                  <w:r w:rsidRPr="00B33891">
                                    <w:rPr>
                                      <w:rFonts w:ascii="楷体" w:eastAsia="楷体" w:hAnsi="楷体" w:cs="宋体" w:hint="eastAsia"/>
                                      <w:b/>
                                      <w:bCs/>
                                      <w:kern w:val="0"/>
                                      <w:sz w:val="16"/>
                                      <w:szCs w:val="16"/>
                                      <w:lang w:val="en-GB"/>
                                    </w:rPr>
                                    <w:t>数据来源：</w:t>
                                  </w:r>
                                  <w:proofErr w:type="gramStart"/>
                                  <w:r w:rsidRPr="00B33891">
                                    <w:rPr>
                                      <w:rFonts w:ascii="楷体" w:eastAsia="楷体" w:hAnsi="楷体" w:cs="宋体" w:hint="eastAsia"/>
                                      <w:b/>
                                      <w:bCs/>
                                      <w:kern w:val="0"/>
                                      <w:sz w:val="16"/>
                                      <w:szCs w:val="16"/>
                                      <w:lang w:val="en-GB"/>
                                    </w:rPr>
                                    <w:t>凯</w:t>
                                  </w:r>
                                  <w:proofErr w:type="gramEnd"/>
                                  <w:r w:rsidRPr="00B33891">
                                    <w:rPr>
                                      <w:rFonts w:ascii="楷体" w:eastAsia="楷体" w:hAnsi="楷体" w:cs="宋体" w:hint="eastAsia"/>
                                      <w:b/>
                                      <w:bCs/>
                                      <w:kern w:val="0"/>
                                      <w:sz w:val="16"/>
                                      <w:szCs w:val="16"/>
                                      <w:lang w:val="en-GB"/>
                                    </w:rPr>
                                    <w:t>石、WIND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15pt;margin-top:10.3pt;width:169.65pt;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" filled="f" stroked="f">
                      <v:textbox>
                        <w:txbxContent>
                          <w:p w:rsidR="00624619" w:rsidRPr="00B33891" w:rsidRDefault="00624619" w:rsidP="00E9280D">
                            <w:pPr>
                              <w:rPr>
                                <w:rFonts w:ascii="楷体" w:eastAsia="楷体" w:hAnsi="楷体" w:cs="宋体"/>
                                <w:b/>
                                <w:bCs/>
                                <w:kern w:val="0"/>
                                <w:sz w:val="16"/>
                                <w:szCs w:val="16"/>
                                <w:lang w:val="en-GB"/>
                              </w:rPr>
                            </w:pPr>
                            <w:r w:rsidRPr="00B33891">
                              <w:rPr>
                                <w:rFonts w:ascii="楷体" w:eastAsia="楷体" w:hAnsi="楷体" w:cs="宋体" w:hint="eastAsia"/>
                                <w:b/>
                                <w:bCs/>
                                <w:kern w:val="0"/>
                                <w:sz w:val="16"/>
                                <w:szCs w:val="16"/>
                                <w:lang w:val="en-GB"/>
                              </w:rPr>
                              <w:t>数据来源：</w:t>
                            </w:r>
                            <w:proofErr w:type="gramStart"/>
                            <w:r w:rsidRPr="00B33891">
                              <w:rPr>
                                <w:rFonts w:ascii="楷体" w:eastAsia="楷体" w:hAnsi="楷体" w:cs="宋体" w:hint="eastAsia"/>
                                <w:b/>
                                <w:bCs/>
                                <w:kern w:val="0"/>
                                <w:sz w:val="16"/>
                                <w:szCs w:val="16"/>
                                <w:lang w:val="en-GB"/>
                              </w:rPr>
                              <w:t>凯</w:t>
                            </w:r>
                            <w:proofErr w:type="gramEnd"/>
                            <w:r w:rsidRPr="00B33891">
                              <w:rPr>
                                <w:rFonts w:ascii="楷体" w:eastAsia="楷体" w:hAnsi="楷体" w:cs="宋体" w:hint="eastAsia"/>
                                <w:b/>
                                <w:bCs/>
                                <w:kern w:val="0"/>
                                <w:sz w:val="16"/>
                                <w:szCs w:val="16"/>
                                <w:lang w:val="en-GB"/>
                              </w:rPr>
                              <w:t>石、WIND</w:t>
                            </w:r>
                          </w:p>
                        </w:txbxContent>
                      </v:textbox>
                    </v:shape>
                  </w:pict>
                </mc:Fallback>
              </mc:AlternateContent>
            </w:r>
            <w:r w:rsidRPr="0032491D">
              <w:rPr>
                <w:rFonts w:ascii="楷体" w:eastAsia="楷体" w:hAnsi="楷体" w:hint="eastAsia"/>
                <w:color w:val="000000" w:themeColor="text1"/>
                <w:sz w:val="16"/>
                <w:szCs w:val="16"/>
              </w:rPr>
              <w:t>ADP就业人数</w:t>
            </w:r>
          </w:p>
        </w:tc>
        <w:tc>
          <w:tcPr>
            <w:tcW w:w="1418" w:type="dxa"/>
            <w:tcBorders>
              <w:top w:val="nil"/>
              <w:left w:val="nil"/>
              <w:bottom w:val="single" w:sz="4" w:space="0" w:color="auto"/>
            </w:tcBorders>
            <w:shd w:val="clear" w:color="000000" w:fill="D9D9D9"/>
            <w:noWrap/>
            <w:vAlign w:val="center"/>
          </w:tcPr>
          <w:p w:rsidR="005B23E0" w:rsidRPr="0032491D" w:rsidRDefault="00DB27A6" w:rsidP="005B23E0">
            <w:pPr>
              <w:widowControl/>
              <w:jc w:val="center"/>
              <w:rPr>
                <w:rFonts w:ascii="楷体" w:eastAsia="楷体" w:hAnsi="楷体"/>
                <w:color w:val="000000" w:themeColor="text1"/>
                <w:sz w:val="16"/>
                <w:szCs w:val="16"/>
              </w:rPr>
            </w:pPr>
            <w:r w:rsidRPr="0032491D">
              <w:rPr>
                <w:rFonts w:ascii="楷体" w:eastAsia="楷体" w:hAnsi="楷体"/>
                <w:color w:val="000000" w:themeColor="text1"/>
                <w:sz w:val="16"/>
                <w:szCs w:val="16"/>
              </w:rPr>
              <w:t>增</w:t>
            </w:r>
            <w:r w:rsidRPr="0032491D">
              <w:rPr>
                <w:rFonts w:ascii="楷体" w:eastAsia="楷体" w:hAnsi="楷体" w:hint="eastAsia"/>
                <w:color w:val="000000" w:themeColor="text1"/>
                <w:sz w:val="16"/>
                <w:szCs w:val="16"/>
              </w:rPr>
              <w:t>15.6万</w:t>
            </w:r>
          </w:p>
        </w:tc>
      </w:tr>
    </w:tbl>
    <w:p w:rsidR="00E9280D" w:rsidRPr="0032491D" w:rsidRDefault="00E9280D" w:rsidP="00E9280D">
      <w:pPr>
        <w:pStyle w:val="a6"/>
        <w:numPr>
          <w:ilvl w:val="0"/>
          <w:numId w:val="1"/>
        </w:numPr>
        <w:ind w:left="643" w:hangingChars="200" w:hanging="643"/>
        <w:rPr>
          <w:rFonts w:ascii="楷体" w:eastAsia="楷体" w:hAnsi="楷体" w:cs="Arial"/>
          <w:b/>
          <w:color w:val="996600"/>
          <w:sz w:val="32"/>
          <w:szCs w:val="28"/>
        </w:rPr>
      </w:pPr>
      <w:r w:rsidRPr="0032491D">
        <w:rPr>
          <w:rFonts w:ascii="楷体" w:eastAsia="楷体" w:hAnsi="楷体" w:cs="Arial" w:hint="eastAsia"/>
          <w:b/>
          <w:color w:val="996600"/>
          <w:sz w:val="32"/>
          <w:szCs w:val="28"/>
        </w:rPr>
        <w:t>一周</w:t>
      </w:r>
      <w:r w:rsidRPr="0032491D">
        <w:rPr>
          <w:rFonts w:ascii="楷体" w:eastAsia="楷体" w:hAnsi="楷体" w:cs="Arial"/>
          <w:b/>
          <w:color w:val="996600"/>
          <w:sz w:val="32"/>
          <w:szCs w:val="28"/>
        </w:rPr>
        <w:t xml:space="preserve">基金表现回顾 </w:t>
      </w:r>
    </w:p>
    <w:p w:rsidR="00E9280D" w:rsidRPr="0032491D" w:rsidRDefault="00E9280D" w:rsidP="00E9280D">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股票基金</w:t>
      </w:r>
    </w:p>
    <w:p w:rsidR="00E9280D" w:rsidRPr="0032491D" w:rsidRDefault="00E9280D" w:rsidP="00E9280D">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hint="eastAsia"/>
          <w:color w:val="auto"/>
          <w:sz w:val="20"/>
          <w:szCs w:val="20"/>
        </w:rPr>
        <w:t>上月股票基金</w:t>
      </w:r>
      <w:r w:rsidRPr="0032491D">
        <w:rPr>
          <w:rFonts w:ascii="楷体" w:eastAsia="楷体" w:hAnsi="楷体" w:cs="Arial"/>
          <w:color w:val="auto"/>
          <w:sz w:val="20"/>
          <w:szCs w:val="20"/>
        </w:rPr>
        <w:t>平均收益为</w:t>
      </w:r>
      <w:r w:rsidRPr="0032491D">
        <w:rPr>
          <w:rFonts w:ascii="楷体" w:eastAsia="楷体" w:hAnsi="楷体" w:cs="Arial" w:hint="eastAsia"/>
          <w:color w:val="auto"/>
          <w:sz w:val="20"/>
          <w:szCs w:val="20"/>
        </w:rPr>
        <w:t>-</w:t>
      </w:r>
      <w:r w:rsidR="00592381">
        <w:rPr>
          <w:rFonts w:ascii="楷体" w:eastAsia="楷体" w:hAnsi="楷体" w:cs="Arial" w:hint="eastAsia"/>
          <w:color w:val="auto"/>
          <w:sz w:val="20"/>
          <w:szCs w:val="20"/>
        </w:rPr>
        <w:t>0.53</w:t>
      </w:r>
      <w:r w:rsidRPr="0032491D">
        <w:rPr>
          <w:rFonts w:ascii="楷体" w:eastAsia="楷体" w:hAnsi="楷体" w:cs="Arial"/>
          <w:color w:val="auto"/>
          <w:sz w:val="20"/>
          <w:szCs w:val="20"/>
        </w:rPr>
        <w:t>%。具体来看，普通股</w:t>
      </w:r>
      <w:proofErr w:type="gramStart"/>
      <w:r w:rsidRPr="0032491D">
        <w:rPr>
          <w:rFonts w:ascii="楷体" w:eastAsia="楷体" w:hAnsi="楷体" w:cs="Arial"/>
          <w:color w:val="auto"/>
          <w:sz w:val="20"/>
          <w:szCs w:val="20"/>
        </w:rPr>
        <w:t>基平均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-0.</w:t>
      </w:r>
      <w:r w:rsidR="00592381">
        <w:rPr>
          <w:rFonts w:ascii="楷体" w:eastAsia="楷体" w:hAnsi="楷体" w:cs="Arial" w:hint="eastAsia"/>
          <w:color w:val="auto"/>
          <w:sz w:val="20"/>
          <w:szCs w:val="20"/>
        </w:rPr>
        <w:t>27</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3</w:t>
      </w:r>
      <w:r w:rsidR="00592381">
        <w:rPr>
          <w:rFonts w:ascii="楷体" w:eastAsia="楷体" w:hAnsi="楷体" w:cs="Arial" w:hint="eastAsia"/>
          <w:color w:val="auto"/>
          <w:sz w:val="20"/>
          <w:szCs w:val="20"/>
        </w:rPr>
        <w:t>6</w:t>
      </w:r>
      <w:r w:rsidRPr="0032491D">
        <w:rPr>
          <w:rFonts w:ascii="楷体" w:eastAsia="楷体" w:hAnsi="楷体" w:cs="Arial" w:hint="eastAsia"/>
          <w:color w:val="auto"/>
          <w:sz w:val="20"/>
          <w:szCs w:val="20"/>
        </w:rPr>
        <w:t>%的产品</w:t>
      </w:r>
      <w:r w:rsidRPr="0032491D">
        <w:rPr>
          <w:rFonts w:ascii="楷体" w:eastAsia="楷体" w:hAnsi="楷体" w:cs="Arial"/>
          <w:color w:val="auto"/>
          <w:sz w:val="20"/>
          <w:szCs w:val="20"/>
        </w:rPr>
        <w:t>为</w:t>
      </w:r>
      <w:r w:rsidRPr="0032491D">
        <w:rPr>
          <w:rFonts w:ascii="楷体" w:eastAsia="楷体" w:hAnsi="楷体" w:cs="Arial" w:hint="eastAsia"/>
          <w:color w:val="auto"/>
          <w:sz w:val="20"/>
          <w:szCs w:val="20"/>
        </w:rPr>
        <w:t>正收益</w:t>
      </w:r>
      <w:proofErr w:type="gramStart"/>
      <w:r w:rsidRPr="0032491D">
        <w:rPr>
          <w:rFonts w:ascii="楷体" w:eastAsia="楷体" w:hAnsi="楷体" w:cs="Arial"/>
          <w:color w:val="auto"/>
          <w:sz w:val="20"/>
          <w:szCs w:val="20"/>
        </w:rPr>
        <w:t>收益</w:t>
      </w:r>
      <w:proofErr w:type="gramEnd"/>
      <w:r w:rsidRPr="0032491D">
        <w:rPr>
          <w:rFonts w:ascii="楷体" w:eastAsia="楷体" w:hAnsi="楷体" w:cs="Arial" w:hint="eastAsia"/>
          <w:color w:val="auto"/>
          <w:sz w:val="20"/>
          <w:szCs w:val="20"/>
        </w:rPr>
        <w:t>，</w:t>
      </w:r>
      <w:r w:rsidRPr="0032491D">
        <w:rPr>
          <w:rFonts w:ascii="楷体" w:eastAsia="楷体" w:hAnsi="楷体" w:cs="Arial"/>
          <w:color w:val="auto"/>
          <w:sz w:val="20"/>
          <w:szCs w:val="20"/>
        </w:rPr>
        <w:t>最高收益为</w:t>
      </w:r>
      <w:r w:rsidR="00624619">
        <w:rPr>
          <w:rFonts w:ascii="楷体" w:eastAsia="楷体" w:hAnsi="楷体" w:cs="Arial" w:hint="eastAsia"/>
          <w:color w:val="auto"/>
          <w:sz w:val="20"/>
          <w:szCs w:val="20"/>
        </w:rPr>
        <w:t>基金</w:t>
      </w:r>
      <w:r w:rsidR="00624619">
        <w:rPr>
          <w:rFonts w:ascii="楷体" w:eastAsia="楷体" w:hAnsi="楷体" w:cs="Arial"/>
          <w:color w:val="auto"/>
          <w:sz w:val="20"/>
          <w:szCs w:val="20"/>
        </w:rPr>
        <w:t>丰和</w:t>
      </w:r>
      <w:r w:rsidRPr="0032491D">
        <w:rPr>
          <w:rFonts w:ascii="楷体" w:eastAsia="楷体" w:hAnsi="楷体" w:cs="Arial"/>
          <w:color w:val="auto"/>
          <w:sz w:val="20"/>
          <w:szCs w:val="20"/>
        </w:rPr>
        <w:t>的</w:t>
      </w:r>
      <w:r w:rsidR="00624619">
        <w:rPr>
          <w:rFonts w:ascii="楷体" w:eastAsia="楷体" w:hAnsi="楷体" w:cs="Arial" w:hint="eastAsia"/>
          <w:color w:val="auto"/>
          <w:sz w:val="20"/>
          <w:szCs w:val="20"/>
        </w:rPr>
        <w:t>2.52</w:t>
      </w:r>
      <w:r w:rsidRPr="0032491D">
        <w:rPr>
          <w:rFonts w:ascii="楷体" w:eastAsia="楷体" w:hAnsi="楷体" w:cs="Arial"/>
          <w:color w:val="auto"/>
          <w:sz w:val="20"/>
          <w:szCs w:val="20"/>
        </w:rPr>
        <w:t>%。指数</w:t>
      </w:r>
      <w:proofErr w:type="gramStart"/>
      <w:r w:rsidRPr="0032491D">
        <w:rPr>
          <w:rFonts w:ascii="楷体" w:eastAsia="楷体" w:hAnsi="楷体" w:cs="Arial"/>
          <w:color w:val="auto"/>
          <w:sz w:val="20"/>
          <w:szCs w:val="20"/>
        </w:rPr>
        <w:t>股基平均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592381">
        <w:rPr>
          <w:rFonts w:ascii="楷体" w:eastAsia="楷体" w:hAnsi="楷体" w:cs="Arial" w:hint="eastAsia"/>
          <w:color w:val="auto"/>
          <w:sz w:val="20"/>
          <w:szCs w:val="20"/>
        </w:rPr>
        <w:t>0.63</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，仅有</w:t>
      </w:r>
      <w:r w:rsidR="00592381">
        <w:rPr>
          <w:rFonts w:ascii="楷体" w:eastAsia="楷体" w:hAnsi="楷体" w:cs="Arial" w:hint="eastAsia"/>
          <w:color w:val="auto"/>
          <w:sz w:val="20"/>
          <w:szCs w:val="20"/>
        </w:rPr>
        <w:t>14</w:t>
      </w:r>
      <w:r w:rsidRPr="0032491D">
        <w:rPr>
          <w:rFonts w:ascii="楷体" w:eastAsia="楷体" w:hAnsi="楷体" w:cs="Arial" w:hint="eastAsia"/>
          <w:color w:val="auto"/>
          <w:sz w:val="20"/>
          <w:szCs w:val="20"/>
        </w:rPr>
        <w:t>%的</w:t>
      </w:r>
      <w:r w:rsidRPr="0032491D">
        <w:rPr>
          <w:rFonts w:ascii="楷体" w:eastAsia="楷体" w:hAnsi="楷体" w:cs="Arial"/>
          <w:color w:val="auto"/>
          <w:sz w:val="20"/>
          <w:szCs w:val="20"/>
        </w:rPr>
        <w:t>产品上涨，最高收益</w:t>
      </w:r>
      <w:proofErr w:type="gramStart"/>
      <w:r w:rsidRPr="0032491D">
        <w:rPr>
          <w:rFonts w:ascii="楷体" w:eastAsia="楷体" w:hAnsi="楷体" w:cs="Arial"/>
          <w:color w:val="auto"/>
          <w:sz w:val="20"/>
          <w:szCs w:val="20"/>
        </w:rPr>
        <w:t>为</w:t>
      </w:r>
      <w:r w:rsidR="00CE3D57">
        <w:rPr>
          <w:rFonts w:ascii="楷体" w:eastAsia="楷体" w:hAnsi="楷体" w:cs="Arial" w:hint="eastAsia"/>
          <w:color w:val="auto"/>
          <w:sz w:val="20"/>
          <w:szCs w:val="20"/>
        </w:rPr>
        <w:t>中融中</w:t>
      </w:r>
      <w:proofErr w:type="gramEnd"/>
      <w:r w:rsidR="00CE3D57">
        <w:rPr>
          <w:rFonts w:ascii="楷体" w:eastAsia="楷体" w:hAnsi="楷体" w:cs="Arial" w:hint="eastAsia"/>
          <w:color w:val="auto"/>
          <w:sz w:val="20"/>
          <w:szCs w:val="20"/>
        </w:rPr>
        <w:t>证白酒</w:t>
      </w:r>
      <w:r w:rsidRPr="0032491D">
        <w:rPr>
          <w:rFonts w:ascii="楷体" w:eastAsia="楷体" w:hAnsi="楷体" w:cs="Arial"/>
          <w:color w:val="auto"/>
          <w:sz w:val="20"/>
          <w:szCs w:val="20"/>
        </w:rPr>
        <w:t>的</w:t>
      </w:r>
      <w:r w:rsidRPr="0032491D">
        <w:rPr>
          <w:rFonts w:ascii="楷体" w:eastAsia="楷体" w:hAnsi="楷体" w:cs="Arial" w:hint="eastAsia"/>
          <w:color w:val="auto"/>
          <w:sz w:val="20"/>
          <w:szCs w:val="20"/>
        </w:rPr>
        <w:t>7.</w:t>
      </w:r>
      <w:r w:rsidR="00CE3D57">
        <w:rPr>
          <w:rFonts w:ascii="楷体" w:eastAsia="楷体" w:hAnsi="楷体" w:cs="Arial" w:hint="eastAsia"/>
          <w:color w:val="auto"/>
          <w:sz w:val="20"/>
          <w:szCs w:val="20"/>
        </w:rPr>
        <w:t>34</w:t>
      </w:r>
      <w:r w:rsidRPr="0032491D">
        <w:rPr>
          <w:rFonts w:ascii="楷体" w:eastAsia="楷体" w:hAnsi="楷体" w:cs="Arial"/>
          <w:color w:val="auto"/>
          <w:sz w:val="20"/>
          <w:szCs w:val="20"/>
        </w:rPr>
        <w:t>%。</w:t>
      </w:r>
    </w:p>
    <w:p w:rsidR="00E9280D" w:rsidRPr="0032491D" w:rsidRDefault="00E9280D" w:rsidP="00E9280D">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从投资范围来看</w:t>
      </w:r>
      <w:r w:rsidRPr="0032491D">
        <w:rPr>
          <w:rFonts w:ascii="楷体" w:eastAsia="楷体" w:hAnsi="楷体" w:cs="Arial" w:hint="eastAsia"/>
          <w:color w:val="auto"/>
          <w:sz w:val="20"/>
          <w:szCs w:val="20"/>
        </w:rPr>
        <w:t>，</w:t>
      </w:r>
      <w:r w:rsidR="00CE3D57">
        <w:rPr>
          <w:rFonts w:ascii="楷体" w:eastAsia="楷体" w:hAnsi="楷体" w:cs="Arial" w:hint="eastAsia"/>
          <w:color w:val="auto"/>
          <w:sz w:val="20"/>
          <w:szCs w:val="20"/>
        </w:rPr>
        <w:t>白酒</w:t>
      </w:r>
      <w:r w:rsidRPr="0032491D">
        <w:rPr>
          <w:rFonts w:ascii="楷体" w:eastAsia="楷体" w:hAnsi="楷体" w:cs="Arial" w:hint="eastAsia"/>
          <w:color w:val="auto"/>
          <w:sz w:val="20"/>
          <w:szCs w:val="20"/>
        </w:rPr>
        <w:t>、</w:t>
      </w:r>
      <w:r w:rsidR="00CE3D57">
        <w:rPr>
          <w:rFonts w:ascii="楷体" w:eastAsia="楷体" w:hAnsi="楷体" w:cs="Arial" w:hint="eastAsia"/>
          <w:color w:val="auto"/>
          <w:sz w:val="20"/>
          <w:szCs w:val="20"/>
        </w:rPr>
        <w:t>新能源汽车</w:t>
      </w:r>
      <w:r w:rsidRPr="0032491D">
        <w:rPr>
          <w:rFonts w:ascii="楷体" w:eastAsia="楷体" w:hAnsi="楷体" w:cs="Arial" w:hint="eastAsia"/>
          <w:color w:val="auto"/>
          <w:sz w:val="20"/>
          <w:szCs w:val="20"/>
        </w:rPr>
        <w:t>主题基金表现较好</w:t>
      </w:r>
      <w:r w:rsidR="00CE3D57">
        <w:rPr>
          <w:rFonts w:ascii="楷体" w:eastAsia="楷体" w:hAnsi="楷体" w:cs="Arial"/>
          <w:color w:val="auto"/>
          <w:sz w:val="20"/>
          <w:szCs w:val="20"/>
        </w:rPr>
        <w:t>。</w:t>
      </w:r>
      <w:proofErr w:type="gramStart"/>
      <w:r w:rsidR="00CE3D57">
        <w:rPr>
          <w:rFonts w:ascii="楷体" w:eastAsia="楷体" w:hAnsi="楷体" w:cs="Arial"/>
          <w:color w:val="auto"/>
          <w:sz w:val="20"/>
          <w:szCs w:val="20"/>
        </w:rPr>
        <w:t>收益居</w:t>
      </w:r>
      <w:proofErr w:type="gramEnd"/>
      <w:r w:rsidR="00CE3D57">
        <w:rPr>
          <w:rFonts w:ascii="楷体" w:eastAsia="楷体" w:hAnsi="楷体" w:cs="Arial"/>
          <w:color w:val="auto"/>
          <w:sz w:val="20"/>
          <w:szCs w:val="20"/>
        </w:rPr>
        <w:t>前的基金</w:t>
      </w:r>
      <w:proofErr w:type="gramStart"/>
      <w:r w:rsidR="00CE3D57">
        <w:rPr>
          <w:rFonts w:ascii="楷体" w:eastAsia="楷体" w:hAnsi="楷体" w:cs="Arial"/>
          <w:color w:val="auto"/>
          <w:sz w:val="20"/>
          <w:szCs w:val="20"/>
        </w:rPr>
        <w:t>有中融中</w:t>
      </w:r>
      <w:proofErr w:type="gramEnd"/>
      <w:r w:rsidR="00CE3D57">
        <w:rPr>
          <w:rFonts w:ascii="楷体" w:eastAsia="楷体" w:hAnsi="楷体" w:cs="Arial"/>
          <w:color w:val="auto"/>
          <w:sz w:val="20"/>
          <w:szCs w:val="20"/>
        </w:rPr>
        <w:t>证白酒</w:t>
      </w:r>
      <w:r w:rsidRPr="0032491D">
        <w:rPr>
          <w:rFonts w:ascii="楷体" w:eastAsia="楷体" w:hAnsi="楷体" w:cs="Arial" w:hint="eastAsia"/>
          <w:color w:val="auto"/>
          <w:sz w:val="20"/>
          <w:szCs w:val="20"/>
        </w:rPr>
        <w:t>（</w:t>
      </w:r>
      <w:r w:rsidR="00CE3D57">
        <w:rPr>
          <w:rFonts w:ascii="楷体" w:eastAsia="楷体" w:hAnsi="楷体" w:cs="Arial" w:hint="eastAsia"/>
          <w:color w:val="auto"/>
          <w:sz w:val="20"/>
          <w:szCs w:val="20"/>
        </w:rPr>
        <w:t>7.34</w:t>
      </w:r>
      <w:r w:rsidRPr="0032491D">
        <w:rPr>
          <w:rFonts w:ascii="楷体" w:eastAsia="楷体" w:hAnsi="楷体" w:cs="Arial" w:hint="eastAsia"/>
          <w:color w:val="auto"/>
          <w:sz w:val="20"/>
          <w:szCs w:val="20"/>
        </w:rPr>
        <w:t>%</w:t>
      </w:r>
      <w:r w:rsidR="00CE3D57">
        <w:rPr>
          <w:rFonts w:ascii="楷体" w:eastAsia="楷体" w:hAnsi="楷体" w:cs="Arial" w:hint="eastAsia"/>
          <w:color w:val="auto"/>
          <w:sz w:val="20"/>
          <w:szCs w:val="20"/>
        </w:rPr>
        <w:t>），招商中证白酒</w:t>
      </w:r>
      <w:r w:rsidRPr="0032491D">
        <w:rPr>
          <w:rFonts w:ascii="楷体" w:eastAsia="楷体" w:hAnsi="楷体" w:cs="Arial" w:hint="eastAsia"/>
          <w:color w:val="auto"/>
          <w:sz w:val="20"/>
          <w:szCs w:val="20"/>
        </w:rPr>
        <w:t>（</w:t>
      </w:r>
      <w:r w:rsidR="00CE3D57">
        <w:rPr>
          <w:rFonts w:ascii="楷体" w:eastAsia="楷体" w:hAnsi="楷体" w:cs="Arial" w:hint="eastAsia"/>
          <w:color w:val="auto"/>
          <w:sz w:val="20"/>
          <w:szCs w:val="20"/>
        </w:rPr>
        <w:t>2.63</w:t>
      </w:r>
      <w:r w:rsidRPr="0032491D">
        <w:rPr>
          <w:rFonts w:ascii="楷体" w:eastAsia="楷体" w:hAnsi="楷体" w:cs="Arial" w:hint="eastAsia"/>
          <w:color w:val="auto"/>
          <w:sz w:val="20"/>
          <w:szCs w:val="20"/>
        </w:rPr>
        <w:t>%</w:t>
      </w:r>
      <w:r w:rsidR="00CE3D57">
        <w:rPr>
          <w:rFonts w:ascii="楷体" w:eastAsia="楷体" w:hAnsi="楷体" w:cs="Arial" w:hint="eastAsia"/>
          <w:color w:val="auto"/>
          <w:sz w:val="20"/>
          <w:szCs w:val="20"/>
        </w:rPr>
        <w:t>）、富国中证新能源汽车</w:t>
      </w:r>
      <w:r w:rsidRPr="0032491D">
        <w:rPr>
          <w:rFonts w:ascii="楷体" w:eastAsia="楷体" w:hAnsi="楷体" w:cs="Arial" w:hint="eastAsia"/>
          <w:color w:val="auto"/>
          <w:sz w:val="20"/>
          <w:szCs w:val="20"/>
        </w:rPr>
        <w:t>（</w:t>
      </w:r>
      <w:r w:rsidR="00CE3D57">
        <w:rPr>
          <w:rFonts w:ascii="楷体" w:eastAsia="楷体" w:hAnsi="楷体" w:cs="Arial" w:hint="eastAsia"/>
          <w:color w:val="auto"/>
          <w:sz w:val="20"/>
          <w:szCs w:val="20"/>
        </w:rPr>
        <w:t>1.79</w:t>
      </w:r>
      <w:r w:rsidRPr="0032491D">
        <w:rPr>
          <w:rFonts w:ascii="楷体" w:eastAsia="楷体" w:hAnsi="楷体" w:cs="Arial" w:hint="eastAsia"/>
          <w:color w:val="auto"/>
          <w:sz w:val="20"/>
          <w:szCs w:val="20"/>
        </w:rPr>
        <w:t>%</w:t>
      </w:r>
      <w:r w:rsidR="00CE3D57">
        <w:rPr>
          <w:rFonts w:ascii="楷体" w:eastAsia="楷体" w:hAnsi="楷体" w:cs="Arial" w:hint="eastAsia"/>
          <w:color w:val="auto"/>
          <w:sz w:val="20"/>
          <w:szCs w:val="20"/>
        </w:rPr>
        <w:t>）、国泰国证新能源汽车</w:t>
      </w:r>
      <w:r w:rsidRPr="0032491D">
        <w:rPr>
          <w:rFonts w:ascii="楷体" w:eastAsia="楷体" w:hAnsi="楷体" w:cs="Arial" w:hint="eastAsia"/>
          <w:color w:val="auto"/>
          <w:sz w:val="20"/>
          <w:szCs w:val="20"/>
        </w:rPr>
        <w:t>（</w:t>
      </w:r>
      <w:r w:rsidR="00CE3D57">
        <w:rPr>
          <w:rFonts w:ascii="楷体" w:eastAsia="楷体" w:hAnsi="楷体" w:cs="Arial" w:hint="eastAsia"/>
          <w:color w:val="auto"/>
          <w:sz w:val="20"/>
          <w:szCs w:val="20"/>
        </w:rPr>
        <w:t>1.65</w:t>
      </w:r>
      <w:r w:rsidRPr="0032491D">
        <w:rPr>
          <w:rFonts w:ascii="楷体" w:eastAsia="楷体" w:hAnsi="楷体" w:cs="Arial" w:hint="eastAsia"/>
          <w:color w:val="auto"/>
          <w:sz w:val="20"/>
          <w:szCs w:val="20"/>
        </w:rPr>
        <w:t>%）等。</w:t>
      </w:r>
    </w:p>
    <w:p w:rsidR="00E9280D" w:rsidRPr="0032491D" w:rsidRDefault="00E9280D" w:rsidP="00E9280D">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混合基金</w:t>
      </w:r>
    </w:p>
    <w:p w:rsidR="00E9280D" w:rsidRPr="0032491D" w:rsidRDefault="00E9280D" w:rsidP="00E9280D">
      <w:pPr>
        <w:pStyle w:val="a5"/>
        <w:spacing w:afterLines="100" w:after="240" w:line="260" w:lineRule="exact"/>
        <w:ind w:leftChars="1822" w:left="3826" w:rightChars="-34" w:right="-71" w:firstLineChars="200" w:firstLine="400"/>
        <w:rPr>
          <w:rFonts w:ascii="楷体" w:eastAsia="楷体" w:hAnsi="楷体" w:cs="Arial"/>
          <w:color w:val="auto"/>
          <w:sz w:val="20"/>
          <w:szCs w:val="20"/>
        </w:rPr>
      </w:pPr>
      <w:r w:rsidRPr="0032491D">
        <w:rPr>
          <w:rFonts w:ascii="楷体" w:eastAsia="楷体" w:hAnsi="楷体" w:cs="Arial" w:hint="eastAsia"/>
          <w:color w:val="auto"/>
          <w:sz w:val="20"/>
          <w:szCs w:val="20"/>
        </w:rPr>
        <w:t>混合基金得益于</w:t>
      </w:r>
      <w:proofErr w:type="gramStart"/>
      <w:r w:rsidRPr="0032491D">
        <w:rPr>
          <w:rFonts w:ascii="楷体" w:eastAsia="楷体" w:hAnsi="楷体" w:cs="Arial" w:hint="eastAsia"/>
          <w:color w:val="auto"/>
          <w:sz w:val="20"/>
          <w:szCs w:val="20"/>
        </w:rPr>
        <w:t>仓位</w:t>
      </w:r>
      <w:proofErr w:type="gramEnd"/>
      <w:r w:rsidRPr="0032491D">
        <w:rPr>
          <w:rFonts w:ascii="楷体" w:eastAsia="楷体" w:hAnsi="楷体" w:cs="Arial" w:hint="eastAsia"/>
          <w:color w:val="auto"/>
          <w:sz w:val="20"/>
          <w:szCs w:val="20"/>
        </w:rPr>
        <w:t>灵活控制其表现优于股票基金</w:t>
      </w:r>
      <w:r w:rsidRPr="0032491D">
        <w:rPr>
          <w:rFonts w:ascii="楷体" w:eastAsia="楷体" w:hAnsi="楷体" w:cs="Arial"/>
          <w:color w:val="auto"/>
          <w:sz w:val="20"/>
          <w:szCs w:val="20"/>
        </w:rPr>
        <w:t>，其平均收益为</w:t>
      </w:r>
      <w:r w:rsidRPr="0032491D">
        <w:rPr>
          <w:rFonts w:ascii="楷体" w:eastAsia="楷体" w:hAnsi="楷体" w:cs="Arial" w:hint="eastAsia"/>
          <w:color w:val="auto"/>
          <w:sz w:val="20"/>
          <w:szCs w:val="20"/>
        </w:rPr>
        <w:t>-0.</w:t>
      </w:r>
      <w:r w:rsidR="00624619">
        <w:rPr>
          <w:rFonts w:ascii="楷体" w:eastAsia="楷体" w:hAnsi="楷体" w:cs="Arial" w:hint="eastAsia"/>
          <w:color w:val="auto"/>
          <w:sz w:val="20"/>
          <w:szCs w:val="20"/>
        </w:rPr>
        <w:t>06</w:t>
      </w:r>
      <w:r w:rsidRPr="0032491D">
        <w:rPr>
          <w:rFonts w:ascii="楷体" w:eastAsia="楷体" w:hAnsi="楷体" w:cs="Arial"/>
          <w:color w:val="auto"/>
          <w:sz w:val="20"/>
          <w:szCs w:val="20"/>
        </w:rPr>
        <w:t>%。其中，</w:t>
      </w:r>
      <w:proofErr w:type="gramStart"/>
      <w:r w:rsidRPr="0032491D">
        <w:rPr>
          <w:rFonts w:ascii="楷体" w:eastAsia="楷体" w:hAnsi="楷体" w:cs="Arial"/>
          <w:color w:val="auto"/>
          <w:sz w:val="20"/>
          <w:szCs w:val="20"/>
        </w:rPr>
        <w:t>偏股型平均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624619">
        <w:rPr>
          <w:rFonts w:ascii="楷体" w:eastAsia="楷体" w:hAnsi="楷体" w:cs="Arial" w:hint="eastAsia"/>
          <w:color w:val="auto"/>
          <w:sz w:val="20"/>
          <w:szCs w:val="20"/>
        </w:rPr>
        <w:t>0.20</w:t>
      </w:r>
      <w:r w:rsidRPr="0032491D">
        <w:rPr>
          <w:rFonts w:ascii="楷体" w:eastAsia="楷体" w:hAnsi="楷体" w:cs="Arial"/>
          <w:color w:val="auto"/>
          <w:sz w:val="20"/>
          <w:szCs w:val="20"/>
        </w:rPr>
        <w:t>%，</w:t>
      </w:r>
      <w:proofErr w:type="gramStart"/>
      <w:r w:rsidRPr="0032491D">
        <w:rPr>
          <w:rFonts w:ascii="楷体" w:eastAsia="楷体" w:hAnsi="楷体" w:cs="Arial"/>
          <w:color w:val="auto"/>
          <w:sz w:val="20"/>
          <w:szCs w:val="20"/>
        </w:rPr>
        <w:t>偏债型</w:t>
      </w:r>
      <w:proofErr w:type="gramEnd"/>
      <w:r w:rsidRPr="0032491D">
        <w:rPr>
          <w:rFonts w:ascii="楷体" w:eastAsia="楷体" w:hAnsi="楷体" w:cs="Arial"/>
          <w:color w:val="auto"/>
          <w:sz w:val="20"/>
          <w:szCs w:val="20"/>
        </w:rPr>
        <w:t>产品平均收益为</w:t>
      </w:r>
      <w:r w:rsidR="00624619">
        <w:rPr>
          <w:rFonts w:ascii="楷体" w:eastAsia="楷体" w:hAnsi="楷体" w:cs="Arial" w:hint="eastAsia"/>
          <w:color w:val="auto"/>
          <w:sz w:val="20"/>
          <w:szCs w:val="20"/>
        </w:rPr>
        <w:t>0.07</w:t>
      </w:r>
      <w:r w:rsidRPr="0032491D">
        <w:rPr>
          <w:rFonts w:ascii="楷体" w:eastAsia="楷体" w:hAnsi="楷体" w:cs="Arial"/>
          <w:color w:val="auto"/>
          <w:sz w:val="20"/>
          <w:szCs w:val="20"/>
        </w:rPr>
        <w:t>%，灵活配置</w:t>
      </w:r>
      <w:proofErr w:type="gramStart"/>
      <w:r w:rsidRPr="0032491D">
        <w:rPr>
          <w:rFonts w:ascii="楷体" w:eastAsia="楷体" w:hAnsi="楷体" w:cs="Arial"/>
          <w:color w:val="auto"/>
          <w:sz w:val="20"/>
          <w:szCs w:val="20"/>
        </w:rPr>
        <w:t>型平均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-0.</w:t>
      </w:r>
      <w:r w:rsidR="00624619">
        <w:rPr>
          <w:rFonts w:ascii="楷体" w:eastAsia="楷体" w:hAnsi="楷体" w:cs="Arial" w:hint="eastAsia"/>
          <w:color w:val="auto"/>
          <w:sz w:val="20"/>
          <w:szCs w:val="20"/>
        </w:rPr>
        <w:t>02</w:t>
      </w:r>
      <w:r w:rsidRPr="0032491D">
        <w:rPr>
          <w:rFonts w:ascii="楷体" w:eastAsia="楷体" w:hAnsi="楷体" w:cs="Arial"/>
          <w:color w:val="auto"/>
          <w:sz w:val="20"/>
          <w:szCs w:val="20"/>
        </w:rPr>
        <w:t>%，平衡</w:t>
      </w:r>
      <w:proofErr w:type="gramStart"/>
      <w:r w:rsidRPr="0032491D">
        <w:rPr>
          <w:rFonts w:ascii="楷体" w:eastAsia="楷体" w:hAnsi="楷体" w:cs="Arial"/>
          <w:color w:val="auto"/>
          <w:sz w:val="20"/>
          <w:szCs w:val="20"/>
        </w:rPr>
        <w:t>型平均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624619">
        <w:rPr>
          <w:rFonts w:ascii="楷体" w:eastAsia="楷体" w:hAnsi="楷体" w:cs="Arial" w:hint="eastAsia"/>
          <w:color w:val="auto"/>
          <w:sz w:val="20"/>
          <w:szCs w:val="20"/>
        </w:rPr>
        <w:t>0.03</w:t>
      </w:r>
      <w:r w:rsidRPr="0032491D">
        <w:rPr>
          <w:rFonts w:ascii="楷体" w:eastAsia="楷体" w:hAnsi="楷体" w:cs="Arial"/>
          <w:color w:val="auto"/>
          <w:sz w:val="20"/>
          <w:szCs w:val="20"/>
        </w:rPr>
        <w:t>%。</w:t>
      </w:r>
    </w:p>
    <w:tbl>
      <w:tblPr>
        <w:tblpPr w:leftFromText="180" w:rightFromText="180" w:vertAnchor="text" w:horzAnchor="margin" w:tblpY="150"/>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E9280D" w:rsidRPr="0032491D" w:rsidTr="00943C56">
        <w:trPr>
          <w:trHeight w:val="415"/>
        </w:trPr>
        <w:tc>
          <w:tcPr>
            <w:tcW w:w="3686" w:type="dxa"/>
            <w:gridSpan w:val="4"/>
            <w:shd w:val="clear" w:color="000000" w:fill="F79646"/>
            <w:vAlign w:val="center"/>
            <w:hideMark/>
          </w:tcPr>
          <w:p w:rsidR="00E9280D" w:rsidRPr="0032491D" w:rsidRDefault="00E9280D" w:rsidP="00943C56">
            <w:pPr>
              <w:widowControl/>
              <w:jc w:val="center"/>
              <w:rPr>
                <w:rFonts w:ascii="楷体" w:eastAsia="楷体" w:hAnsi="楷体" w:cs="宋体"/>
                <w:b/>
                <w:bCs/>
                <w:color w:val="000000"/>
                <w:kern w:val="0"/>
                <w:sz w:val="20"/>
                <w:szCs w:val="20"/>
              </w:rPr>
            </w:pPr>
            <w:r w:rsidRPr="0032491D">
              <w:rPr>
                <w:rFonts w:ascii="楷体" w:eastAsia="楷体" w:hAnsi="楷体" w:cs="宋体" w:hint="eastAsia"/>
                <w:b/>
                <w:bCs/>
                <w:color w:val="000000"/>
                <w:kern w:val="0"/>
                <w:sz w:val="20"/>
                <w:szCs w:val="20"/>
              </w:rPr>
              <w:t>公</w:t>
            </w:r>
            <w:proofErr w:type="gramStart"/>
            <w:r w:rsidRPr="0032491D">
              <w:rPr>
                <w:rFonts w:ascii="楷体" w:eastAsia="楷体" w:hAnsi="楷体" w:cs="宋体" w:hint="eastAsia"/>
                <w:b/>
                <w:bCs/>
                <w:color w:val="000000"/>
                <w:kern w:val="0"/>
                <w:sz w:val="20"/>
                <w:szCs w:val="20"/>
              </w:rPr>
              <w:t>募基金</w:t>
            </w:r>
            <w:proofErr w:type="gramEnd"/>
            <w:r w:rsidRPr="0032491D">
              <w:rPr>
                <w:rFonts w:ascii="楷体" w:eastAsia="楷体" w:hAnsi="楷体" w:cs="宋体" w:hint="eastAsia"/>
                <w:b/>
                <w:bCs/>
                <w:color w:val="000000"/>
                <w:kern w:val="0"/>
                <w:sz w:val="20"/>
                <w:szCs w:val="20"/>
              </w:rPr>
              <w:t>区间收益%</w:t>
            </w:r>
          </w:p>
        </w:tc>
      </w:tr>
      <w:tr w:rsidR="005A6BEB" w:rsidRPr="0032491D" w:rsidTr="00943C56">
        <w:trPr>
          <w:trHeight w:val="285"/>
        </w:trPr>
        <w:tc>
          <w:tcPr>
            <w:tcW w:w="993" w:type="dxa"/>
            <w:vMerge w:val="restart"/>
            <w:shd w:val="clear" w:color="auto" w:fill="auto"/>
            <w:vAlign w:val="center"/>
            <w:hideMark/>
          </w:tcPr>
          <w:p w:rsidR="005A6BEB" w:rsidRPr="0032491D" w:rsidRDefault="005A6BEB"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5A6BEB" w:rsidRDefault="005A6BEB">
            <w:pPr>
              <w:jc w:val="center"/>
              <w:rPr>
                <w:rFonts w:ascii="楷体" w:eastAsia="楷体" w:hAnsi="楷体" w:cs="宋体"/>
                <w:color w:val="000000"/>
                <w:sz w:val="15"/>
                <w:szCs w:val="15"/>
              </w:rPr>
            </w:pPr>
            <w:r>
              <w:rPr>
                <w:rFonts w:ascii="楷体" w:eastAsia="楷体" w:hAnsi="楷体" w:hint="eastAsia"/>
                <w:color w:val="000000"/>
                <w:sz w:val="15"/>
                <w:szCs w:val="15"/>
              </w:rPr>
              <w:t>-0.53</w:t>
            </w:r>
          </w:p>
        </w:tc>
        <w:tc>
          <w:tcPr>
            <w:tcW w:w="992" w:type="dxa"/>
            <w:shd w:val="clear" w:color="000000" w:fill="D9D9D9"/>
            <w:vAlign w:val="center"/>
            <w:hideMark/>
          </w:tcPr>
          <w:p w:rsidR="005A6BEB" w:rsidRPr="0032491D" w:rsidRDefault="005A6BEB"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-0.27</w:t>
            </w:r>
          </w:p>
        </w:tc>
      </w:tr>
      <w:tr w:rsidR="005A6BEB" w:rsidRPr="0032491D" w:rsidTr="00943C56">
        <w:trPr>
          <w:trHeight w:val="285"/>
        </w:trPr>
        <w:tc>
          <w:tcPr>
            <w:tcW w:w="993" w:type="dxa"/>
            <w:vMerge/>
            <w:vAlign w:val="center"/>
            <w:hideMark/>
          </w:tcPr>
          <w:p w:rsidR="005A6BEB" w:rsidRPr="0032491D" w:rsidRDefault="005A6BEB" w:rsidP="00943C56">
            <w:pPr>
              <w:widowControl/>
              <w:jc w:val="left"/>
              <w:rPr>
                <w:rFonts w:ascii="楷体" w:eastAsia="楷体" w:hAnsi="楷体" w:cs="宋体"/>
                <w:color w:val="000000"/>
                <w:kern w:val="0"/>
                <w:sz w:val="16"/>
                <w:szCs w:val="16"/>
              </w:rPr>
            </w:pPr>
          </w:p>
        </w:tc>
        <w:tc>
          <w:tcPr>
            <w:tcW w:w="709" w:type="dxa"/>
            <w:vMerge/>
            <w:vAlign w:val="center"/>
            <w:hideMark/>
          </w:tcPr>
          <w:p w:rsidR="005A6BEB" w:rsidRPr="0032491D" w:rsidRDefault="005A6BEB" w:rsidP="00943C56">
            <w:pPr>
              <w:widowControl/>
              <w:jc w:val="center"/>
              <w:rPr>
                <w:rStyle w:val="textsmall2"/>
                <w:rFonts w:ascii="楷体" w:eastAsia="楷体" w:hAnsi="楷体" w:cs="Arial"/>
                <w:sz w:val="16"/>
                <w:szCs w:val="16"/>
              </w:rPr>
            </w:pPr>
          </w:p>
        </w:tc>
        <w:tc>
          <w:tcPr>
            <w:tcW w:w="992" w:type="dxa"/>
            <w:shd w:val="clear" w:color="auto" w:fill="auto"/>
            <w:vAlign w:val="center"/>
            <w:hideMark/>
          </w:tcPr>
          <w:p w:rsidR="005A6BEB" w:rsidRPr="0032491D" w:rsidRDefault="005A6BEB" w:rsidP="00943C56">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-0.63</w:t>
            </w:r>
          </w:p>
        </w:tc>
      </w:tr>
      <w:tr w:rsidR="005A6BEB" w:rsidRPr="0032491D" w:rsidTr="00943C56">
        <w:trPr>
          <w:trHeight w:val="285"/>
        </w:trPr>
        <w:tc>
          <w:tcPr>
            <w:tcW w:w="993" w:type="dxa"/>
            <w:vMerge w:val="restart"/>
            <w:shd w:val="clear" w:color="auto" w:fill="auto"/>
            <w:vAlign w:val="center"/>
            <w:hideMark/>
          </w:tcPr>
          <w:p w:rsidR="005A6BEB" w:rsidRPr="0032491D" w:rsidRDefault="005A6BEB"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5A6BEB" w:rsidRDefault="005A6BEB">
            <w:pPr>
              <w:jc w:val="center"/>
              <w:rPr>
                <w:rFonts w:ascii="楷体" w:eastAsia="楷体" w:hAnsi="楷体" w:cs="宋体"/>
                <w:color w:val="000000"/>
                <w:sz w:val="15"/>
                <w:szCs w:val="15"/>
              </w:rPr>
            </w:pPr>
            <w:r>
              <w:rPr>
                <w:rFonts w:ascii="楷体" w:eastAsia="楷体" w:hAnsi="楷体" w:hint="eastAsia"/>
                <w:color w:val="000000"/>
                <w:sz w:val="15"/>
                <w:szCs w:val="15"/>
              </w:rPr>
              <w:t>-0.06</w:t>
            </w:r>
          </w:p>
        </w:tc>
        <w:tc>
          <w:tcPr>
            <w:tcW w:w="992" w:type="dxa"/>
            <w:shd w:val="clear" w:color="000000" w:fill="D9D9D9"/>
            <w:vAlign w:val="center"/>
            <w:hideMark/>
          </w:tcPr>
          <w:p w:rsidR="005A6BEB" w:rsidRPr="0032491D" w:rsidRDefault="005A6BEB" w:rsidP="00943C56">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5A6BEB" w:rsidRPr="0032491D" w:rsidTr="00943C56">
        <w:trPr>
          <w:trHeight w:val="285"/>
        </w:trPr>
        <w:tc>
          <w:tcPr>
            <w:tcW w:w="993" w:type="dxa"/>
            <w:vMerge/>
            <w:vAlign w:val="center"/>
            <w:hideMark/>
          </w:tcPr>
          <w:p w:rsidR="005A6BEB" w:rsidRPr="0032491D" w:rsidRDefault="005A6BEB" w:rsidP="00943C56">
            <w:pPr>
              <w:widowControl/>
              <w:jc w:val="left"/>
              <w:rPr>
                <w:rFonts w:ascii="楷体" w:eastAsia="楷体" w:hAnsi="楷体" w:cs="宋体"/>
                <w:color w:val="000000"/>
                <w:kern w:val="0"/>
                <w:sz w:val="16"/>
                <w:szCs w:val="16"/>
              </w:rPr>
            </w:pPr>
          </w:p>
        </w:tc>
        <w:tc>
          <w:tcPr>
            <w:tcW w:w="709" w:type="dxa"/>
            <w:vMerge/>
            <w:vAlign w:val="center"/>
            <w:hideMark/>
          </w:tcPr>
          <w:p w:rsidR="005A6BEB" w:rsidRPr="0032491D" w:rsidRDefault="005A6BEB" w:rsidP="00943C56">
            <w:pPr>
              <w:widowControl/>
              <w:jc w:val="center"/>
              <w:rPr>
                <w:rStyle w:val="textsmall2"/>
                <w:rFonts w:ascii="楷体" w:eastAsia="楷体" w:hAnsi="楷体" w:cs="Arial"/>
                <w:sz w:val="16"/>
                <w:szCs w:val="16"/>
              </w:rPr>
            </w:pPr>
          </w:p>
        </w:tc>
        <w:tc>
          <w:tcPr>
            <w:tcW w:w="992" w:type="dxa"/>
            <w:shd w:val="clear" w:color="auto" w:fill="auto"/>
            <w:vAlign w:val="center"/>
            <w:hideMark/>
          </w:tcPr>
          <w:p w:rsidR="005A6BEB" w:rsidRPr="0032491D" w:rsidRDefault="005A6BEB" w:rsidP="00943C56">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5A6BEB" w:rsidRPr="0032491D" w:rsidTr="00943C56">
        <w:trPr>
          <w:trHeight w:val="285"/>
        </w:trPr>
        <w:tc>
          <w:tcPr>
            <w:tcW w:w="993" w:type="dxa"/>
            <w:vMerge/>
            <w:vAlign w:val="center"/>
            <w:hideMark/>
          </w:tcPr>
          <w:p w:rsidR="005A6BEB" w:rsidRPr="0032491D" w:rsidRDefault="005A6BEB" w:rsidP="00943C56">
            <w:pPr>
              <w:widowControl/>
              <w:jc w:val="left"/>
              <w:rPr>
                <w:rFonts w:ascii="楷体" w:eastAsia="楷体" w:hAnsi="楷体" w:cs="宋体"/>
                <w:color w:val="000000"/>
                <w:kern w:val="0"/>
                <w:sz w:val="16"/>
                <w:szCs w:val="16"/>
              </w:rPr>
            </w:pPr>
          </w:p>
        </w:tc>
        <w:tc>
          <w:tcPr>
            <w:tcW w:w="709" w:type="dxa"/>
            <w:vMerge/>
            <w:vAlign w:val="center"/>
            <w:hideMark/>
          </w:tcPr>
          <w:p w:rsidR="005A6BEB" w:rsidRPr="0032491D" w:rsidRDefault="005A6BEB" w:rsidP="00943C56">
            <w:pPr>
              <w:widowControl/>
              <w:jc w:val="center"/>
              <w:rPr>
                <w:rStyle w:val="textsmall2"/>
                <w:rFonts w:ascii="楷体" w:eastAsia="楷体" w:hAnsi="楷体" w:cs="Arial"/>
                <w:sz w:val="16"/>
                <w:szCs w:val="16"/>
              </w:rPr>
            </w:pPr>
          </w:p>
        </w:tc>
        <w:tc>
          <w:tcPr>
            <w:tcW w:w="992" w:type="dxa"/>
            <w:shd w:val="clear" w:color="000000" w:fill="D9D9D9"/>
            <w:vAlign w:val="center"/>
            <w:hideMark/>
          </w:tcPr>
          <w:p w:rsidR="005A6BEB" w:rsidRPr="0032491D" w:rsidRDefault="005A6BEB"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5A6BEB" w:rsidRPr="0032491D" w:rsidTr="00943C56">
        <w:trPr>
          <w:trHeight w:val="285"/>
        </w:trPr>
        <w:tc>
          <w:tcPr>
            <w:tcW w:w="993" w:type="dxa"/>
            <w:vMerge/>
            <w:vAlign w:val="center"/>
            <w:hideMark/>
          </w:tcPr>
          <w:p w:rsidR="005A6BEB" w:rsidRPr="0032491D" w:rsidRDefault="005A6BEB" w:rsidP="00943C56">
            <w:pPr>
              <w:widowControl/>
              <w:jc w:val="left"/>
              <w:rPr>
                <w:rFonts w:ascii="楷体" w:eastAsia="楷体" w:hAnsi="楷体" w:cs="宋体"/>
                <w:color w:val="000000"/>
                <w:kern w:val="0"/>
                <w:sz w:val="16"/>
                <w:szCs w:val="16"/>
              </w:rPr>
            </w:pPr>
          </w:p>
        </w:tc>
        <w:tc>
          <w:tcPr>
            <w:tcW w:w="709" w:type="dxa"/>
            <w:vMerge/>
            <w:vAlign w:val="center"/>
            <w:hideMark/>
          </w:tcPr>
          <w:p w:rsidR="005A6BEB" w:rsidRPr="0032491D" w:rsidRDefault="005A6BEB" w:rsidP="00943C56">
            <w:pPr>
              <w:widowControl/>
              <w:jc w:val="center"/>
              <w:rPr>
                <w:rStyle w:val="textsmall2"/>
                <w:rFonts w:ascii="楷体" w:eastAsia="楷体" w:hAnsi="楷体" w:cs="Arial"/>
                <w:sz w:val="16"/>
                <w:szCs w:val="16"/>
              </w:rPr>
            </w:pPr>
          </w:p>
        </w:tc>
        <w:tc>
          <w:tcPr>
            <w:tcW w:w="992" w:type="dxa"/>
            <w:shd w:val="clear" w:color="auto" w:fill="auto"/>
            <w:vAlign w:val="center"/>
            <w:hideMark/>
          </w:tcPr>
          <w:p w:rsidR="005A6BEB" w:rsidRPr="0032491D" w:rsidRDefault="005A6BEB"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混合平衡</w:t>
            </w:r>
          </w:p>
        </w:tc>
        <w:tc>
          <w:tcPr>
            <w:tcW w:w="992" w:type="dxa"/>
            <w:shd w:val="clear" w:color="auto" w:fill="auto"/>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-0.03</w:t>
            </w:r>
          </w:p>
        </w:tc>
      </w:tr>
      <w:tr w:rsidR="005A6BEB" w:rsidRPr="0032491D" w:rsidTr="00943C56">
        <w:trPr>
          <w:trHeight w:val="285"/>
        </w:trPr>
        <w:tc>
          <w:tcPr>
            <w:tcW w:w="993" w:type="dxa"/>
            <w:vMerge w:val="restart"/>
            <w:shd w:val="clear" w:color="auto" w:fill="auto"/>
            <w:vAlign w:val="center"/>
            <w:hideMark/>
          </w:tcPr>
          <w:p w:rsidR="005A6BEB" w:rsidRPr="0032491D" w:rsidRDefault="005A6BEB"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5A6BEB" w:rsidRDefault="005A6BEB">
            <w:pPr>
              <w:jc w:val="center"/>
              <w:rPr>
                <w:rFonts w:ascii="楷体" w:eastAsia="楷体" w:hAnsi="楷体" w:cs="宋体"/>
                <w:color w:val="000000"/>
                <w:sz w:val="15"/>
                <w:szCs w:val="15"/>
              </w:rPr>
            </w:pPr>
            <w:r>
              <w:rPr>
                <w:rFonts w:ascii="楷体" w:eastAsia="楷体" w:hAnsi="楷体" w:hint="eastAsia"/>
                <w:color w:val="000000"/>
                <w:sz w:val="15"/>
                <w:szCs w:val="15"/>
              </w:rPr>
              <w:t>0.13</w:t>
            </w:r>
          </w:p>
        </w:tc>
        <w:tc>
          <w:tcPr>
            <w:tcW w:w="992" w:type="dxa"/>
            <w:shd w:val="clear" w:color="000000" w:fill="D9D9D9"/>
            <w:vAlign w:val="center"/>
            <w:hideMark/>
          </w:tcPr>
          <w:p w:rsidR="005A6BEB" w:rsidRPr="0032491D" w:rsidRDefault="005A6BEB" w:rsidP="00943C56">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0.21</w:t>
            </w:r>
          </w:p>
        </w:tc>
      </w:tr>
      <w:tr w:rsidR="005A6BEB" w:rsidRPr="0032491D" w:rsidTr="00943C56">
        <w:trPr>
          <w:trHeight w:val="285"/>
        </w:trPr>
        <w:tc>
          <w:tcPr>
            <w:tcW w:w="993" w:type="dxa"/>
            <w:vMerge/>
            <w:vAlign w:val="center"/>
            <w:hideMark/>
          </w:tcPr>
          <w:p w:rsidR="005A6BEB" w:rsidRPr="0032491D" w:rsidRDefault="005A6BEB" w:rsidP="00943C56">
            <w:pPr>
              <w:widowControl/>
              <w:jc w:val="left"/>
              <w:rPr>
                <w:rFonts w:ascii="楷体" w:eastAsia="楷体" w:hAnsi="楷体" w:cs="宋体"/>
                <w:color w:val="000000"/>
                <w:kern w:val="0"/>
                <w:sz w:val="16"/>
                <w:szCs w:val="16"/>
              </w:rPr>
            </w:pPr>
          </w:p>
        </w:tc>
        <w:tc>
          <w:tcPr>
            <w:tcW w:w="709" w:type="dxa"/>
            <w:vMerge/>
            <w:vAlign w:val="center"/>
            <w:hideMark/>
          </w:tcPr>
          <w:p w:rsidR="005A6BEB" w:rsidRPr="0032491D" w:rsidRDefault="005A6BEB" w:rsidP="00943C56">
            <w:pPr>
              <w:widowControl/>
              <w:jc w:val="center"/>
              <w:rPr>
                <w:rStyle w:val="textsmall2"/>
                <w:rFonts w:ascii="楷体" w:eastAsia="楷体" w:hAnsi="楷体" w:cs="Arial"/>
                <w:sz w:val="16"/>
                <w:szCs w:val="16"/>
              </w:rPr>
            </w:pPr>
          </w:p>
        </w:tc>
        <w:tc>
          <w:tcPr>
            <w:tcW w:w="992" w:type="dxa"/>
            <w:shd w:val="clear" w:color="auto" w:fill="auto"/>
            <w:vAlign w:val="center"/>
            <w:hideMark/>
          </w:tcPr>
          <w:p w:rsidR="005A6BEB" w:rsidRPr="0032491D" w:rsidRDefault="005A6BEB" w:rsidP="00943C56">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5A6BEB" w:rsidRPr="0032491D" w:rsidTr="00943C56">
        <w:trPr>
          <w:trHeight w:val="285"/>
        </w:trPr>
        <w:tc>
          <w:tcPr>
            <w:tcW w:w="993" w:type="dxa"/>
            <w:vMerge/>
            <w:vAlign w:val="center"/>
            <w:hideMark/>
          </w:tcPr>
          <w:p w:rsidR="005A6BEB" w:rsidRPr="0032491D" w:rsidRDefault="005A6BEB" w:rsidP="00943C56">
            <w:pPr>
              <w:widowControl/>
              <w:jc w:val="left"/>
              <w:rPr>
                <w:rFonts w:ascii="楷体" w:eastAsia="楷体" w:hAnsi="楷体" w:cs="宋体"/>
                <w:color w:val="000000"/>
                <w:kern w:val="0"/>
                <w:sz w:val="16"/>
                <w:szCs w:val="16"/>
              </w:rPr>
            </w:pPr>
          </w:p>
        </w:tc>
        <w:tc>
          <w:tcPr>
            <w:tcW w:w="709" w:type="dxa"/>
            <w:vMerge/>
            <w:vAlign w:val="center"/>
            <w:hideMark/>
          </w:tcPr>
          <w:p w:rsidR="005A6BEB" w:rsidRPr="0032491D" w:rsidRDefault="005A6BEB" w:rsidP="00943C56">
            <w:pPr>
              <w:widowControl/>
              <w:jc w:val="center"/>
              <w:rPr>
                <w:rStyle w:val="textsmall2"/>
                <w:rFonts w:ascii="楷体" w:eastAsia="楷体" w:hAnsi="楷体" w:cs="Arial"/>
                <w:sz w:val="16"/>
                <w:szCs w:val="16"/>
              </w:rPr>
            </w:pPr>
          </w:p>
        </w:tc>
        <w:tc>
          <w:tcPr>
            <w:tcW w:w="992" w:type="dxa"/>
            <w:shd w:val="clear" w:color="000000" w:fill="D9D9D9"/>
            <w:vAlign w:val="center"/>
            <w:hideMark/>
          </w:tcPr>
          <w:p w:rsidR="005A6BEB" w:rsidRPr="0032491D" w:rsidRDefault="005A6BEB" w:rsidP="00943C56">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-0.01</w:t>
            </w:r>
          </w:p>
        </w:tc>
      </w:tr>
      <w:tr w:rsidR="005A6BEB" w:rsidRPr="0032491D" w:rsidTr="00943C56">
        <w:trPr>
          <w:trHeight w:val="285"/>
        </w:trPr>
        <w:tc>
          <w:tcPr>
            <w:tcW w:w="993" w:type="dxa"/>
            <w:vMerge/>
            <w:tcBorders>
              <w:bottom w:val="single" w:sz="4" w:space="0" w:color="auto"/>
            </w:tcBorders>
            <w:vAlign w:val="center"/>
            <w:hideMark/>
          </w:tcPr>
          <w:p w:rsidR="005A6BEB" w:rsidRPr="0032491D" w:rsidRDefault="005A6BEB" w:rsidP="00943C56">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5A6BEB" w:rsidRPr="0032491D" w:rsidRDefault="005A6BEB" w:rsidP="00943C56">
            <w:pPr>
              <w:widowControl/>
              <w:jc w:val="center"/>
              <w:rPr>
                <w:rStyle w:val="textsmall2"/>
                <w:rFonts w:ascii="楷体" w:eastAsia="楷体" w:hAnsi="楷体" w:cs="Arial"/>
                <w:sz w:val="16"/>
                <w:szCs w:val="16"/>
              </w:rPr>
            </w:pPr>
          </w:p>
        </w:tc>
        <w:tc>
          <w:tcPr>
            <w:tcW w:w="992" w:type="dxa"/>
            <w:shd w:val="clear" w:color="auto" w:fill="auto"/>
            <w:vAlign w:val="center"/>
            <w:hideMark/>
          </w:tcPr>
          <w:p w:rsidR="005A6BEB" w:rsidRPr="0032491D" w:rsidRDefault="005A6BEB" w:rsidP="00943C56">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5A6BEB" w:rsidRPr="0032491D" w:rsidTr="00943C56">
        <w:trPr>
          <w:trHeight w:val="285"/>
        </w:trPr>
        <w:tc>
          <w:tcPr>
            <w:tcW w:w="993" w:type="dxa"/>
            <w:shd w:val="clear" w:color="auto" w:fill="D9D9D9" w:themeFill="background1" w:themeFillShade="D9"/>
            <w:vAlign w:val="center"/>
            <w:hideMark/>
          </w:tcPr>
          <w:p w:rsidR="005A6BEB" w:rsidRPr="0032491D" w:rsidRDefault="005A6BEB"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5A6BEB" w:rsidRDefault="005A6BEB">
            <w:pPr>
              <w:jc w:val="center"/>
              <w:rPr>
                <w:rFonts w:ascii="楷体" w:eastAsia="楷体" w:hAnsi="楷体" w:cs="宋体"/>
                <w:color w:val="000000"/>
                <w:sz w:val="13"/>
                <w:szCs w:val="13"/>
              </w:rPr>
            </w:pPr>
            <w:r>
              <w:rPr>
                <w:rFonts w:ascii="楷体" w:eastAsia="楷体" w:hAnsi="楷体" w:hint="eastAsia"/>
                <w:color w:val="000000"/>
                <w:sz w:val="13"/>
                <w:szCs w:val="13"/>
              </w:rPr>
              <w:t>0.44</w:t>
            </w:r>
          </w:p>
        </w:tc>
        <w:tc>
          <w:tcPr>
            <w:tcW w:w="992" w:type="dxa"/>
            <w:shd w:val="clear" w:color="000000" w:fill="D9D9D9"/>
            <w:vAlign w:val="center"/>
            <w:hideMark/>
          </w:tcPr>
          <w:p w:rsidR="005A6BEB" w:rsidRPr="0032491D" w:rsidRDefault="005A6BEB"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5A6BEB" w:rsidRDefault="005A6BEB">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E9280D" w:rsidRPr="0032491D" w:rsidTr="00943C56">
        <w:trPr>
          <w:trHeight w:val="270"/>
        </w:trPr>
        <w:tc>
          <w:tcPr>
            <w:tcW w:w="1702" w:type="dxa"/>
            <w:gridSpan w:val="2"/>
            <w:vMerge w:val="restart"/>
            <w:shd w:val="clear" w:color="auto" w:fill="auto"/>
            <w:vAlign w:val="center"/>
            <w:hideMark/>
          </w:tcPr>
          <w:p w:rsidR="00E9280D" w:rsidRPr="0032491D" w:rsidRDefault="00E9280D"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货币基金</w:t>
            </w:r>
          </w:p>
          <w:p w:rsidR="00E9280D" w:rsidRPr="0032491D" w:rsidRDefault="00E9280D" w:rsidP="00943C56">
            <w:pPr>
              <w:widowControl/>
              <w:jc w:val="center"/>
              <w:rPr>
                <w:rFonts w:ascii="楷体" w:eastAsia="楷体" w:hAnsi="楷体" w:cs="宋体"/>
                <w:color w:val="000000"/>
                <w:kern w:val="0"/>
                <w:sz w:val="13"/>
                <w:szCs w:val="13"/>
              </w:rPr>
            </w:pPr>
            <w:proofErr w:type="gramStart"/>
            <w:r w:rsidRPr="0032491D">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E9280D" w:rsidRPr="0032491D" w:rsidRDefault="00E9280D" w:rsidP="005A6BEB">
            <w:pPr>
              <w:jc w:val="center"/>
              <w:rPr>
                <w:rFonts w:ascii="楷体" w:eastAsia="楷体" w:hAnsi="楷体"/>
                <w:color w:val="000000"/>
                <w:sz w:val="15"/>
                <w:szCs w:val="15"/>
              </w:rPr>
            </w:pPr>
            <w:r w:rsidRPr="0032491D">
              <w:rPr>
                <w:rFonts w:ascii="楷体" w:eastAsia="楷体" w:hAnsi="楷体"/>
                <w:color w:val="000000"/>
                <w:sz w:val="15"/>
                <w:szCs w:val="15"/>
              </w:rPr>
              <w:t>2.</w:t>
            </w:r>
            <w:r w:rsidR="005A6BEB">
              <w:rPr>
                <w:rFonts w:ascii="楷体" w:eastAsia="楷体" w:hAnsi="楷体" w:hint="eastAsia"/>
                <w:color w:val="000000"/>
                <w:sz w:val="15"/>
                <w:szCs w:val="15"/>
              </w:rPr>
              <w:t>42</w:t>
            </w:r>
            <w:r w:rsidRPr="0032491D">
              <w:rPr>
                <w:rFonts w:ascii="楷体" w:eastAsia="楷体" w:hAnsi="楷体"/>
                <w:color w:val="000000"/>
                <w:sz w:val="15"/>
                <w:szCs w:val="15"/>
              </w:rPr>
              <w:tab/>
            </w:r>
          </w:p>
        </w:tc>
      </w:tr>
      <w:tr w:rsidR="00E9280D" w:rsidRPr="0032491D" w:rsidTr="00943C56">
        <w:trPr>
          <w:trHeight w:val="285"/>
        </w:trPr>
        <w:tc>
          <w:tcPr>
            <w:tcW w:w="1702" w:type="dxa"/>
            <w:gridSpan w:val="2"/>
            <w:vMerge/>
            <w:vAlign w:val="center"/>
            <w:hideMark/>
          </w:tcPr>
          <w:p w:rsidR="00E9280D" w:rsidRPr="0032491D" w:rsidRDefault="00E9280D" w:rsidP="00943C56">
            <w:pPr>
              <w:widowControl/>
              <w:jc w:val="left"/>
              <w:rPr>
                <w:rFonts w:ascii="楷体" w:eastAsia="楷体" w:hAnsi="楷体" w:cs="宋体"/>
                <w:color w:val="000000"/>
                <w:kern w:val="0"/>
                <w:sz w:val="16"/>
                <w:szCs w:val="16"/>
              </w:rPr>
            </w:pPr>
          </w:p>
        </w:tc>
        <w:tc>
          <w:tcPr>
            <w:tcW w:w="1984" w:type="dxa"/>
            <w:gridSpan w:val="2"/>
            <w:vMerge/>
            <w:vAlign w:val="center"/>
            <w:hideMark/>
          </w:tcPr>
          <w:p w:rsidR="00E9280D" w:rsidRPr="0032491D" w:rsidRDefault="00E9280D" w:rsidP="00943C56">
            <w:pPr>
              <w:widowControl/>
              <w:jc w:val="left"/>
              <w:rPr>
                <w:rFonts w:ascii="楷体" w:eastAsia="楷体" w:hAnsi="楷体" w:cs="宋体"/>
                <w:color w:val="000000"/>
                <w:kern w:val="0"/>
                <w:sz w:val="16"/>
                <w:szCs w:val="16"/>
              </w:rPr>
            </w:pPr>
          </w:p>
        </w:tc>
      </w:tr>
      <w:tr w:rsidR="00592381" w:rsidRPr="0032491D" w:rsidTr="00943C56">
        <w:trPr>
          <w:trHeight w:val="285"/>
        </w:trPr>
        <w:tc>
          <w:tcPr>
            <w:tcW w:w="993" w:type="dxa"/>
            <w:vMerge w:val="restart"/>
            <w:shd w:val="clear" w:color="auto" w:fill="auto"/>
            <w:vAlign w:val="center"/>
            <w:hideMark/>
          </w:tcPr>
          <w:p w:rsidR="00592381" w:rsidRPr="0032491D" w:rsidRDefault="00592381"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592381" w:rsidRDefault="00592381" w:rsidP="00592381">
            <w:pPr>
              <w:jc w:val="center"/>
              <w:rPr>
                <w:rFonts w:ascii="楷体" w:eastAsia="楷体" w:hAnsi="楷体" w:cs="宋体"/>
                <w:color w:val="000000"/>
                <w:sz w:val="15"/>
                <w:szCs w:val="15"/>
              </w:rPr>
            </w:pPr>
            <w:r>
              <w:rPr>
                <w:rFonts w:ascii="楷体" w:eastAsia="楷体" w:hAnsi="楷体" w:hint="eastAsia"/>
                <w:color w:val="000000"/>
                <w:sz w:val="15"/>
                <w:szCs w:val="15"/>
              </w:rPr>
              <w:t>-1.34</w:t>
            </w:r>
          </w:p>
        </w:tc>
        <w:tc>
          <w:tcPr>
            <w:tcW w:w="992" w:type="dxa"/>
            <w:shd w:val="clear" w:color="000000" w:fill="D9D9D9"/>
            <w:vAlign w:val="center"/>
            <w:hideMark/>
          </w:tcPr>
          <w:p w:rsidR="00592381" w:rsidRPr="0032491D" w:rsidRDefault="00592381"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roofErr w:type="gramStart"/>
            <w:r w:rsidRPr="0032491D">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592381" w:rsidRDefault="00592381">
            <w:pPr>
              <w:jc w:val="center"/>
              <w:rPr>
                <w:rFonts w:ascii="楷体" w:eastAsia="楷体" w:hAnsi="楷体" w:cs="宋体"/>
                <w:color w:val="000000"/>
                <w:sz w:val="16"/>
                <w:szCs w:val="16"/>
              </w:rPr>
            </w:pPr>
            <w:r>
              <w:rPr>
                <w:rFonts w:ascii="楷体" w:eastAsia="楷体" w:hAnsi="楷体" w:hint="eastAsia"/>
                <w:color w:val="000000"/>
                <w:sz w:val="16"/>
                <w:szCs w:val="16"/>
              </w:rPr>
              <w:t>-2.12</w:t>
            </w:r>
          </w:p>
        </w:tc>
      </w:tr>
      <w:tr w:rsidR="00592381" w:rsidRPr="0032491D" w:rsidTr="00943C56">
        <w:trPr>
          <w:trHeight w:val="285"/>
        </w:trPr>
        <w:tc>
          <w:tcPr>
            <w:tcW w:w="993" w:type="dxa"/>
            <w:vMerge/>
            <w:vAlign w:val="center"/>
            <w:hideMark/>
          </w:tcPr>
          <w:p w:rsidR="00592381" w:rsidRPr="0032491D" w:rsidRDefault="00592381" w:rsidP="00943C56">
            <w:pPr>
              <w:widowControl/>
              <w:jc w:val="left"/>
              <w:rPr>
                <w:rFonts w:ascii="楷体" w:eastAsia="楷体" w:hAnsi="楷体" w:cs="宋体"/>
                <w:color w:val="000000"/>
                <w:kern w:val="0"/>
                <w:sz w:val="16"/>
                <w:szCs w:val="16"/>
              </w:rPr>
            </w:pPr>
          </w:p>
        </w:tc>
        <w:tc>
          <w:tcPr>
            <w:tcW w:w="709" w:type="dxa"/>
            <w:vMerge/>
            <w:vAlign w:val="center"/>
            <w:hideMark/>
          </w:tcPr>
          <w:p w:rsidR="00592381" w:rsidRPr="0032491D" w:rsidRDefault="00592381" w:rsidP="00943C56">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592381" w:rsidRPr="0032491D" w:rsidRDefault="00592381"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QDII混合</w:t>
            </w:r>
          </w:p>
        </w:tc>
        <w:tc>
          <w:tcPr>
            <w:tcW w:w="992" w:type="dxa"/>
            <w:shd w:val="clear" w:color="auto" w:fill="auto"/>
            <w:vAlign w:val="center"/>
            <w:hideMark/>
          </w:tcPr>
          <w:p w:rsidR="00592381" w:rsidRDefault="00592381">
            <w:pPr>
              <w:jc w:val="center"/>
              <w:rPr>
                <w:rFonts w:ascii="楷体" w:eastAsia="楷体" w:hAnsi="楷体" w:cs="宋体"/>
                <w:color w:val="000000"/>
                <w:sz w:val="16"/>
                <w:szCs w:val="16"/>
              </w:rPr>
            </w:pPr>
            <w:r>
              <w:rPr>
                <w:rFonts w:ascii="楷体" w:eastAsia="楷体" w:hAnsi="楷体" w:hint="eastAsia"/>
                <w:color w:val="000000"/>
                <w:sz w:val="16"/>
                <w:szCs w:val="16"/>
              </w:rPr>
              <w:t>-1.33</w:t>
            </w:r>
          </w:p>
        </w:tc>
      </w:tr>
      <w:tr w:rsidR="00592381" w:rsidRPr="0032491D" w:rsidTr="00943C56">
        <w:trPr>
          <w:trHeight w:val="285"/>
        </w:trPr>
        <w:tc>
          <w:tcPr>
            <w:tcW w:w="993" w:type="dxa"/>
            <w:vMerge/>
            <w:vAlign w:val="center"/>
            <w:hideMark/>
          </w:tcPr>
          <w:p w:rsidR="00592381" w:rsidRPr="0032491D" w:rsidRDefault="00592381" w:rsidP="00943C56">
            <w:pPr>
              <w:widowControl/>
              <w:jc w:val="left"/>
              <w:rPr>
                <w:rFonts w:ascii="楷体" w:eastAsia="楷体" w:hAnsi="楷体" w:cs="宋体"/>
                <w:color w:val="000000"/>
                <w:kern w:val="0"/>
                <w:sz w:val="16"/>
                <w:szCs w:val="16"/>
              </w:rPr>
            </w:pPr>
          </w:p>
        </w:tc>
        <w:tc>
          <w:tcPr>
            <w:tcW w:w="709" w:type="dxa"/>
            <w:vMerge/>
            <w:vAlign w:val="center"/>
            <w:hideMark/>
          </w:tcPr>
          <w:p w:rsidR="00592381" w:rsidRPr="0032491D" w:rsidRDefault="00592381" w:rsidP="00943C56">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592381" w:rsidRPr="0032491D" w:rsidRDefault="00592381"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roofErr w:type="gramStart"/>
            <w:r w:rsidRPr="0032491D">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592381" w:rsidRDefault="00592381">
            <w:pPr>
              <w:jc w:val="center"/>
              <w:rPr>
                <w:rFonts w:ascii="楷体" w:eastAsia="楷体" w:hAnsi="楷体" w:cs="宋体"/>
                <w:color w:val="000000"/>
                <w:sz w:val="16"/>
                <w:szCs w:val="16"/>
              </w:rPr>
            </w:pPr>
            <w:r>
              <w:rPr>
                <w:rFonts w:ascii="楷体" w:eastAsia="楷体" w:hAnsi="楷体" w:hint="eastAsia"/>
                <w:color w:val="000000"/>
                <w:sz w:val="16"/>
                <w:szCs w:val="16"/>
              </w:rPr>
              <w:t>0.19</w:t>
            </w:r>
          </w:p>
        </w:tc>
      </w:tr>
      <w:tr w:rsidR="00592381" w:rsidRPr="0032491D" w:rsidTr="00943C56">
        <w:trPr>
          <w:trHeight w:val="285"/>
        </w:trPr>
        <w:tc>
          <w:tcPr>
            <w:tcW w:w="993" w:type="dxa"/>
            <w:vMerge/>
            <w:vAlign w:val="center"/>
            <w:hideMark/>
          </w:tcPr>
          <w:p w:rsidR="00592381" w:rsidRPr="0032491D" w:rsidRDefault="00592381" w:rsidP="00943C56">
            <w:pPr>
              <w:widowControl/>
              <w:jc w:val="left"/>
              <w:rPr>
                <w:rFonts w:ascii="楷体" w:eastAsia="楷体" w:hAnsi="楷体" w:cs="宋体"/>
                <w:color w:val="000000"/>
                <w:kern w:val="0"/>
                <w:sz w:val="16"/>
                <w:szCs w:val="16"/>
              </w:rPr>
            </w:pPr>
          </w:p>
        </w:tc>
        <w:tc>
          <w:tcPr>
            <w:tcW w:w="709" w:type="dxa"/>
            <w:vMerge/>
            <w:vAlign w:val="center"/>
            <w:hideMark/>
          </w:tcPr>
          <w:p w:rsidR="00592381" w:rsidRPr="0032491D" w:rsidRDefault="00592381" w:rsidP="00943C56">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592381" w:rsidRPr="0032491D" w:rsidRDefault="00592381" w:rsidP="00943C56">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QDII另类</w:t>
            </w:r>
          </w:p>
        </w:tc>
        <w:tc>
          <w:tcPr>
            <w:tcW w:w="992" w:type="dxa"/>
            <w:shd w:val="clear" w:color="auto" w:fill="auto"/>
            <w:vAlign w:val="center"/>
            <w:hideMark/>
          </w:tcPr>
          <w:p w:rsidR="00592381" w:rsidRDefault="00592381">
            <w:pPr>
              <w:jc w:val="center"/>
              <w:rPr>
                <w:rFonts w:ascii="楷体" w:eastAsia="楷体" w:hAnsi="楷体" w:cs="宋体"/>
                <w:color w:val="000000"/>
                <w:sz w:val="16"/>
                <w:szCs w:val="16"/>
              </w:rPr>
            </w:pPr>
            <w:r>
              <w:rPr>
                <w:rFonts w:ascii="楷体" w:eastAsia="楷体" w:hAnsi="楷体" w:hint="eastAsia"/>
                <w:color w:val="000000"/>
                <w:sz w:val="16"/>
                <w:szCs w:val="16"/>
              </w:rPr>
              <w:t>0.62</w:t>
            </w:r>
          </w:p>
        </w:tc>
      </w:tr>
    </w:tbl>
    <w:p w:rsidR="00E9280D" w:rsidRPr="0032491D" w:rsidRDefault="00E9280D" w:rsidP="00E9280D">
      <w:pPr>
        <w:pStyle w:val="a5"/>
        <w:spacing w:beforeLines="100" w:before="240" w:afterLines="100" w:after="240" w:line="260" w:lineRule="exact"/>
        <w:ind w:leftChars="0" w:left="0" w:rightChars="-34" w:right="-71" w:firstLineChars="300" w:firstLine="600"/>
        <w:rPr>
          <w:rFonts w:ascii="楷体" w:eastAsia="楷体" w:hAnsi="楷体" w:cs="Arial"/>
          <w:color w:val="auto"/>
          <w:sz w:val="20"/>
          <w:szCs w:val="20"/>
        </w:rPr>
      </w:pPr>
      <w:proofErr w:type="gramStart"/>
      <w:r w:rsidRPr="0032491D">
        <w:rPr>
          <w:rFonts w:ascii="楷体" w:eastAsia="楷体" w:hAnsi="楷体" w:cs="Arial"/>
          <w:color w:val="auto"/>
          <w:sz w:val="20"/>
          <w:szCs w:val="20"/>
        </w:rPr>
        <w:t>偏股型</w:t>
      </w:r>
      <w:proofErr w:type="gramEnd"/>
      <w:r w:rsidRPr="0032491D">
        <w:rPr>
          <w:rFonts w:ascii="楷体" w:eastAsia="楷体" w:hAnsi="楷体" w:cs="Arial"/>
          <w:color w:val="auto"/>
          <w:sz w:val="20"/>
          <w:szCs w:val="20"/>
        </w:rPr>
        <w:t>产品</w:t>
      </w:r>
      <w:r w:rsidRPr="0032491D">
        <w:rPr>
          <w:rFonts w:ascii="楷体" w:eastAsia="楷体" w:hAnsi="楷体" w:cs="Arial" w:hint="eastAsia"/>
          <w:color w:val="auto"/>
          <w:sz w:val="20"/>
          <w:szCs w:val="20"/>
        </w:rPr>
        <w:t>中</w:t>
      </w:r>
      <w:r w:rsidR="00624619">
        <w:rPr>
          <w:rFonts w:ascii="楷体" w:eastAsia="楷体" w:hAnsi="楷体" w:cs="Arial" w:hint="eastAsia"/>
          <w:color w:val="auto"/>
          <w:sz w:val="20"/>
          <w:szCs w:val="20"/>
        </w:rPr>
        <w:t>41</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r w:rsidR="00CE3D57">
        <w:rPr>
          <w:rFonts w:ascii="楷体" w:eastAsia="楷体" w:hAnsi="楷体" w:cs="Arial" w:hint="eastAsia"/>
          <w:color w:val="auto"/>
          <w:sz w:val="20"/>
          <w:szCs w:val="20"/>
        </w:rPr>
        <w:t>金</w:t>
      </w:r>
      <w:proofErr w:type="gramStart"/>
      <w:r w:rsidR="00CE3D57">
        <w:rPr>
          <w:rFonts w:ascii="楷体" w:eastAsia="楷体" w:hAnsi="楷体" w:cs="Arial" w:hint="eastAsia"/>
          <w:color w:val="auto"/>
          <w:sz w:val="20"/>
          <w:szCs w:val="20"/>
        </w:rPr>
        <w:t>鹰</w:t>
      </w:r>
      <w:proofErr w:type="gramEnd"/>
      <w:r w:rsidR="00CE3D57">
        <w:rPr>
          <w:rFonts w:ascii="楷体" w:eastAsia="楷体" w:hAnsi="楷体" w:cs="Arial" w:hint="eastAsia"/>
          <w:color w:val="auto"/>
          <w:sz w:val="20"/>
          <w:szCs w:val="20"/>
        </w:rPr>
        <w:t>主题优势</w:t>
      </w:r>
      <w:r w:rsidRPr="0032491D">
        <w:rPr>
          <w:rFonts w:ascii="楷体" w:eastAsia="楷体" w:hAnsi="楷体" w:cs="Arial"/>
          <w:color w:val="auto"/>
          <w:sz w:val="20"/>
          <w:szCs w:val="20"/>
        </w:rPr>
        <w:t>的</w:t>
      </w:r>
      <w:r w:rsidR="00CE3D57">
        <w:rPr>
          <w:rFonts w:ascii="楷体" w:eastAsia="楷体" w:hAnsi="楷体" w:cs="Arial" w:hint="eastAsia"/>
          <w:color w:val="auto"/>
          <w:sz w:val="20"/>
          <w:szCs w:val="20"/>
        </w:rPr>
        <w:t>4.11</w:t>
      </w:r>
      <w:r w:rsidRPr="0032491D">
        <w:rPr>
          <w:rFonts w:ascii="楷体" w:eastAsia="楷体" w:hAnsi="楷体" w:cs="Arial"/>
          <w:color w:val="auto"/>
          <w:sz w:val="20"/>
          <w:szCs w:val="20"/>
        </w:rPr>
        <w:t>%。灵活型产品中，</w:t>
      </w:r>
      <w:r w:rsidR="00624619">
        <w:rPr>
          <w:rFonts w:ascii="楷体" w:eastAsia="楷体" w:hAnsi="楷体" w:cs="Arial" w:hint="eastAsia"/>
          <w:color w:val="auto"/>
          <w:sz w:val="20"/>
          <w:szCs w:val="20"/>
        </w:rPr>
        <w:t>67</w:t>
      </w:r>
      <w:r w:rsidRPr="0032491D">
        <w:rPr>
          <w:rFonts w:ascii="楷体" w:eastAsia="楷体" w:hAnsi="楷体" w:cs="Arial" w:hint="eastAsia"/>
          <w:color w:val="auto"/>
          <w:sz w:val="20"/>
          <w:szCs w:val="20"/>
        </w:rPr>
        <w:t>%产品收益为正</w:t>
      </w:r>
      <w:r w:rsidR="00CE3D57">
        <w:rPr>
          <w:rFonts w:ascii="楷体" w:eastAsia="楷体" w:hAnsi="楷体" w:cs="Arial"/>
          <w:color w:val="auto"/>
          <w:sz w:val="20"/>
          <w:szCs w:val="20"/>
        </w:rPr>
        <w:t>，最高收益为</w:t>
      </w:r>
      <w:proofErr w:type="gramStart"/>
      <w:r w:rsidR="00CE3D57">
        <w:rPr>
          <w:rFonts w:ascii="楷体" w:eastAsia="楷体" w:hAnsi="楷体" w:cs="Arial"/>
          <w:color w:val="auto"/>
          <w:sz w:val="20"/>
          <w:szCs w:val="20"/>
        </w:rPr>
        <w:t>九泰锐智定增</w:t>
      </w:r>
      <w:proofErr w:type="gramEnd"/>
      <w:r w:rsidRPr="0032491D">
        <w:rPr>
          <w:rFonts w:ascii="楷体" w:eastAsia="楷体" w:hAnsi="楷体" w:cs="Arial"/>
          <w:color w:val="auto"/>
          <w:sz w:val="20"/>
          <w:szCs w:val="20"/>
        </w:rPr>
        <w:t>的</w:t>
      </w:r>
      <w:r w:rsidR="00CE3D57">
        <w:rPr>
          <w:rFonts w:ascii="楷体" w:eastAsia="楷体" w:hAnsi="楷体" w:cs="Arial" w:hint="eastAsia"/>
          <w:color w:val="auto"/>
          <w:sz w:val="20"/>
          <w:szCs w:val="20"/>
        </w:rPr>
        <w:t>2.69</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2</w:t>
      </w:r>
      <w:r w:rsidR="00624619">
        <w:rPr>
          <w:rFonts w:ascii="楷体" w:eastAsia="楷体" w:hAnsi="楷体" w:cs="Arial" w:hint="eastAsia"/>
          <w:color w:val="auto"/>
          <w:sz w:val="20"/>
          <w:szCs w:val="20"/>
        </w:rPr>
        <w:t>2</w:t>
      </w:r>
      <w:r w:rsidRPr="0032491D">
        <w:rPr>
          <w:rFonts w:ascii="楷体" w:eastAsia="楷体" w:hAnsi="楷体" w:cs="Arial" w:hint="eastAsia"/>
          <w:color w:val="auto"/>
          <w:sz w:val="20"/>
          <w:szCs w:val="20"/>
        </w:rPr>
        <w:t>只</w:t>
      </w:r>
      <w:r w:rsidRPr="0032491D">
        <w:rPr>
          <w:rFonts w:ascii="楷体" w:eastAsia="楷体" w:hAnsi="楷体" w:cs="Arial"/>
          <w:color w:val="auto"/>
          <w:sz w:val="20"/>
          <w:szCs w:val="20"/>
        </w:rPr>
        <w:t>平衡型产品</w:t>
      </w:r>
      <w:r w:rsidR="00624619">
        <w:rPr>
          <w:rFonts w:ascii="楷体" w:eastAsia="楷体" w:hAnsi="楷体" w:cs="Arial" w:hint="eastAsia"/>
          <w:color w:val="auto"/>
          <w:sz w:val="20"/>
          <w:szCs w:val="20"/>
        </w:rPr>
        <w:t>10</w:t>
      </w:r>
      <w:r w:rsidRPr="0032491D">
        <w:rPr>
          <w:rFonts w:ascii="楷体" w:eastAsia="楷体" w:hAnsi="楷体" w:cs="Arial" w:hint="eastAsia"/>
          <w:color w:val="auto"/>
          <w:sz w:val="20"/>
          <w:szCs w:val="20"/>
        </w:rPr>
        <w:t>只收益为正</w:t>
      </w:r>
      <w:r w:rsidRPr="0032491D">
        <w:rPr>
          <w:rFonts w:ascii="楷体" w:eastAsia="楷体" w:hAnsi="楷体" w:cs="Arial"/>
          <w:color w:val="auto"/>
          <w:sz w:val="20"/>
          <w:szCs w:val="20"/>
        </w:rPr>
        <w:t>，最高收益为</w:t>
      </w:r>
      <w:r w:rsidR="00CE3D57">
        <w:rPr>
          <w:rFonts w:ascii="楷体" w:eastAsia="楷体" w:hAnsi="楷体" w:cs="Arial" w:hint="eastAsia"/>
          <w:color w:val="auto"/>
          <w:sz w:val="20"/>
          <w:szCs w:val="20"/>
        </w:rPr>
        <w:t>富国天</w:t>
      </w:r>
      <w:proofErr w:type="gramStart"/>
      <w:r w:rsidR="00CE3D57">
        <w:rPr>
          <w:rFonts w:ascii="楷体" w:eastAsia="楷体" w:hAnsi="楷体" w:cs="Arial" w:hint="eastAsia"/>
          <w:color w:val="auto"/>
          <w:sz w:val="20"/>
          <w:szCs w:val="20"/>
        </w:rPr>
        <w:t>源平衡</w:t>
      </w:r>
      <w:proofErr w:type="gramEnd"/>
      <w:r w:rsidRPr="0032491D">
        <w:rPr>
          <w:rFonts w:ascii="楷体" w:eastAsia="楷体" w:hAnsi="楷体" w:cs="Arial"/>
          <w:color w:val="auto"/>
          <w:sz w:val="20"/>
          <w:szCs w:val="20"/>
        </w:rPr>
        <w:t>的</w:t>
      </w:r>
      <w:r w:rsidRPr="0032491D">
        <w:rPr>
          <w:rFonts w:ascii="楷体" w:eastAsia="楷体" w:hAnsi="楷体" w:cs="Arial" w:hint="eastAsia"/>
          <w:color w:val="auto"/>
          <w:sz w:val="20"/>
          <w:szCs w:val="20"/>
        </w:rPr>
        <w:t>1.</w:t>
      </w:r>
      <w:r w:rsidR="00CE3D57">
        <w:rPr>
          <w:rFonts w:ascii="楷体" w:eastAsia="楷体" w:hAnsi="楷体" w:cs="Arial" w:hint="eastAsia"/>
          <w:color w:val="auto"/>
          <w:sz w:val="20"/>
          <w:szCs w:val="20"/>
        </w:rPr>
        <w:t>78</w:t>
      </w:r>
      <w:r w:rsidRPr="0032491D">
        <w:rPr>
          <w:rFonts w:ascii="楷体" w:eastAsia="楷体" w:hAnsi="楷体" w:cs="Arial"/>
          <w:color w:val="auto"/>
          <w:sz w:val="20"/>
          <w:szCs w:val="20"/>
        </w:rPr>
        <w:t>%。</w:t>
      </w:r>
      <w:proofErr w:type="gramStart"/>
      <w:r w:rsidRPr="0032491D">
        <w:rPr>
          <w:rFonts w:ascii="楷体" w:eastAsia="楷体" w:hAnsi="楷体" w:cs="Arial"/>
          <w:color w:val="auto"/>
          <w:sz w:val="20"/>
          <w:szCs w:val="20"/>
        </w:rPr>
        <w:t>偏债型</w:t>
      </w:r>
      <w:proofErr w:type="gramEnd"/>
      <w:r w:rsidRPr="0032491D">
        <w:rPr>
          <w:rFonts w:ascii="楷体" w:eastAsia="楷体" w:hAnsi="楷体" w:cs="Arial"/>
          <w:color w:val="auto"/>
          <w:sz w:val="20"/>
          <w:szCs w:val="20"/>
        </w:rPr>
        <w:t>产品中，</w:t>
      </w:r>
      <w:r w:rsidR="00624619">
        <w:rPr>
          <w:rFonts w:ascii="楷体" w:eastAsia="楷体" w:hAnsi="楷体" w:cs="Arial" w:hint="eastAsia"/>
          <w:color w:val="auto"/>
          <w:sz w:val="20"/>
          <w:szCs w:val="20"/>
        </w:rPr>
        <w:t>90</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proofErr w:type="gramStart"/>
      <w:r w:rsidR="00CE3D57">
        <w:rPr>
          <w:rFonts w:ascii="楷体" w:eastAsia="楷体" w:hAnsi="楷体" w:cs="Arial" w:hint="eastAsia"/>
          <w:color w:val="auto"/>
          <w:sz w:val="20"/>
          <w:szCs w:val="20"/>
        </w:rPr>
        <w:t>大成景益平稳</w:t>
      </w:r>
      <w:proofErr w:type="gramEnd"/>
      <w:r w:rsidR="00CE3D57">
        <w:rPr>
          <w:rFonts w:ascii="楷体" w:eastAsia="楷体" w:hAnsi="楷体" w:cs="Arial" w:hint="eastAsia"/>
          <w:color w:val="auto"/>
          <w:sz w:val="20"/>
          <w:szCs w:val="20"/>
        </w:rPr>
        <w:t>收益</w:t>
      </w:r>
      <w:r w:rsidRPr="0032491D">
        <w:rPr>
          <w:rFonts w:ascii="楷体" w:eastAsia="楷体" w:hAnsi="楷体" w:cs="Arial"/>
          <w:color w:val="auto"/>
          <w:sz w:val="20"/>
          <w:szCs w:val="20"/>
        </w:rPr>
        <w:t>的</w:t>
      </w:r>
      <w:r w:rsidR="00CE3D57">
        <w:rPr>
          <w:rFonts w:ascii="楷体" w:eastAsia="楷体" w:hAnsi="楷体" w:cs="Arial" w:hint="eastAsia"/>
          <w:color w:val="auto"/>
          <w:sz w:val="20"/>
          <w:szCs w:val="20"/>
        </w:rPr>
        <w:t>2.09</w:t>
      </w:r>
      <w:r w:rsidRPr="0032491D">
        <w:rPr>
          <w:rFonts w:ascii="楷体" w:eastAsia="楷体" w:hAnsi="楷体" w:cs="Arial"/>
          <w:color w:val="auto"/>
          <w:sz w:val="20"/>
          <w:szCs w:val="20"/>
        </w:rPr>
        <w:t>%。</w:t>
      </w:r>
    </w:p>
    <w:p w:rsidR="00E9280D" w:rsidRPr="0032491D" w:rsidRDefault="00E9280D" w:rsidP="00E9280D">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债券基金</w:t>
      </w:r>
    </w:p>
    <w:p w:rsidR="00E9280D" w:rsidRPr="0032491D" w:rsidRDefault="00E9280D" w:rsidP="00E9280D">
      <w:pPr>
        <w:pStyle w:val="a5"/>
        <w:spacing w:beforeLines="100" w:before="240" w:afterLines="100" w:after="240" w:line="260" w:lineRule="exact"/>
        <w:ind w:leftChars="1822" w:left="3826" w:rightChars="-34" w:right="-71" w:firstLineChars="212" w:firstLine="424"/>
        <w:rPr>
          <w:rFonts w:ascii="楷体" w:eastAsia="楷体" w:hAnsi="楷体" w:cs="Arial"/>
          <w:b/>
          <w:color w:val="auto"/>
          <w:sz w:val="20"/>
          <w:szCs w:val="20"/>
        </w:rPr>
      </w:pPr>
      <w:r w:rsidRPr="0032491D">
        <w:rPr>
          <w:rFonts w:ascii="楷体" w:eastAsia="楷体" w:hAnsi="楷体" w:cs="Arial" w:hint="eastAsia"/>
          <w:color w:val="auto"/>
          <w:sz w:val="20"/>
          <w:szCs w:val="20"/>
        </w:rPr>
        <w:t>债券型基金平均收益为</w:t>
      </w:r>
      <w:r w:rsidR="00624619">
        <w:rPr>
          <w:rFonts w:ascii="楷体" w:eastAsia="楷体" w:hAnsi="楷体" w:cs="Arial" w:hint="eastAsia"/>
          <w:color w:val="auto"/>
          <w:sz w:val="20"/>
          <w:szCs w:val="20"/>
        </w:rPr>
        <w:t>0.13</w:t>
      </w:r>
      <w:r w:rsidRPr="0032491D">
        <w:rPr>
          <w:rFonts w:ascii="楷体" w:eastAsia="楷体" w:hAnsi="楷体" w:cs="Arial" w:hint="eastAsia"/>
          <w:color w:val="auto"/>
          <w:sz w:val="20"/>
          <w:szCs w:val="20"/>
        </w:rPr>
        <w:t>%，二级债基表现差于一级债基</w:t>
      </w:r>
      <w:r w:rsidRPr="0032491D">
        <w:rPr>
          <w:rFonts w:ascii="楷体" w:eastAsia="楷体" w:hAnsi="楷体" w:cs="Arial"/>
          <w:color w:val="auto"/>
          <w:sz w:val="20"/>
          <w:szCs w:val="20"/>
        </w:rPr>
        <w:t>。其中，</w:t>
      </w:r>
      <w:proofErr w:type="gramStart"/>
      <w:r w:rsidRPr="0032491D">
        <w:rPr>
          <w:rFonts w:ascii="楷体" w:eastAsia="楷体" w:hAnsi="楷体" w:cs="Arial"/>
          <w:color w:val="auto"/>
          <w:sz w:val="20"/>
          <w:szCs w:val="20"/>
        </w:rPr>
        <w:t>纯债基金</w:t>
      </w:r>
      <w:proofErr w:type="gramEnd"/>
      <w:r w:rsidRPr="0032491D">
        <w:rPr>
          <w:rFonts w:ascii="楷体" w:eastAsia="楷体" w:hAnsi="楷体" w:cs="Arial"/>
          <w:color w:val="auto"/>
          <w:sz w:val="20"/>
          <w:szCs w:val="20"/>
        </w:rPr>
        <w:t>平均收益为</w:t>
      </w:r>
      <w:r w:rsidR="00624619">
        <w:rPr>
          <w:rFonts w:ascii="楷体" w:eastAsia="楷体" w:hAnsi="楷体" w:cs="Arial" w:hint="eastAsia"/>
          <w:color w:val="auto"/>
          <w:sz w:val="20"/>
          <w:szCs w:val="20"/>
        </w:rPr>
        <w:t>0.21</w:t>
      </w:r>
      <w:r w:rsidRPr="0032491D">
        <w:rPr>
          <w:rFonts w:ascii="楷体" w:eastAsia="楷体" w:hAnsi="楷体" w:cs="Arial"/>
          <w:color w:val="auto"/>
          <w:sz w:val="20"/>
          <w:szCs w:val="20"/>
        </w:rPr>
        <w:t>%，</w:t>
      </w:r>
      <w:r w:rsidR="00624619">
        <w:rPr>
          <w:rFonts w:ascii="楷体" w:eastAsia="楷体" w:hAnsi="楷体" w:cs="Arial" w:hint="eastAsia"/>
          <w:color w:val="auto"/>
          <w:sz w:val="20"/>
          <w:szCs w:val="20"/>
        </w:rPr>
        <w:t>99</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w:t>
      </w:r>
      <w:r w:rsidR="000C6D4E">
        <w:rPr>
          <w:rFonts w:ascii="楷体" w:eastAsia="楷体" w:hAnsi="楷体" w:cs="Arial" w:hint="eastAsia"/>
          <w:color w:val="auto"/>
          <w:sz w:val="20"/>
          <w:szCs w:val="20"/>
        </w:rPr>
        <w:t>嘉</w:t>
      </w:r>
      <w:proofErr w:type="gramStart"/>
      <w:r w:rsidR="000C6D4E">
        <w:rPr>
          <w:rFonts w:ascii="楷体" w:eastAsia="楷体" w:hAnsi="楷体" w:cs="Arial" w:hint="eastAsia"/>
          <w:color w:val="auto"/>
          <w:sz w:val="20"/>
          <w:szCs w:val="20"/>
        </w:rPr>
        <w:t>实稳瑞纯债</w:t>
      </w:r>
      <w:proofErr w:type="gramEnd"/>
      <w:r w:rsidRPr="0032491D">
        <w:rPr>
          <w:rFonts w:ascii="楷体" w:eastAsia="楷体" w:hAnsi="楷体" w:cs="Arial"/>
          <w:color w:val="auto"/>
          <w:sz w:val="20"/>
          <w:szCs w:val="20"/>
        </w:rPr>
        <w:t>（</w:t>
      </w:r>
      <w:r w:rsidR="000C6D4E">
        <w:rPr>
          <w:rFonts w:ascii="楷体" w:eastAsia="楷体" w:hAnsi="楷体" w:cs="Arial" w:hint="eastAsia"/>
          <w:color w:val="auto"/>
          <w:sz w:val="20"/>
          <w:szCs w:val="20"/>
        </w:rPr>
        <w:t>5.91</w:t>
      </w:r>
      <w:r w:rsidRPr="0032491D">
        <w:rPr>
          <w:rFonts w:ascii="楷体" w:eastAsia="楷体" w:hAnsi="楷体" w:cs="Arial"/>
          <w:color w:val="auto"/>
          <w:sz w:val="20"/>
          <w:szCs w:val="20"/>
        </w:rPr>
        <w:t>%）涨幅最大。一级</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00624619">
        <w:rPr>
          <w:rFonts w:ascii="楷体" w:eastAsia="楷体" w:hAnsi="楷体" w:cs="Arial" w:hint="eastAsia"/>
          <w:color w:val="auto"/>
          <w:sz w:val="20"/>
          <w:szCs w:val="20"/>
        </w:rPr>
        <w:t>0.16</w:t>
      </w:r>
      <w:r w:rsidRPr="0032491D">
        <w:rPr>
          <w:rFonts w:ascii="楷体" w:eastAsia="楷体" w:hAnsi="楷体" w:cs="Arial"/>
          <w:color w:val="auto"/>
          <w:sz w:val="20"/>
          <w:szCs w:val="20"/>
        </w:rPr>
        <w:t>%，</w:t>
      </w:r>
      <w:r w:rsidR="00624619">
        <w:rPr>
          <w:rFonts w:ascii="楷体" w:eastAsia="楷体" w:hAnsi="楷体" w:cs="Arial" w:hint="eastAsia"/>
          <w:color w:val="auto"/>
          <w:sz w:val="20"/>
          <w:szCs w:val="20"/>
        </w:rPr>
        <w:t>99</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r w:rsidR="00F8134B">
        <w:rPr>
          <w:rFonts w:ascii="楷体" w:eastAsia="楷体" w:hAnsi="楷体" w:cs="Arial" w:hint="eastAsia"/>
          <w:color w:val="auto"/>
          <w:sz w:val="20"/>
          <w:szCs w:val="20"/>
        </w:rPr>
        <w:t>博时稳健回报</w:t>
      </w:r>
      <w:r w:rsidRPr="0032491D">
        <w:rPr>
          <w:rFonts w:ascii="楷体" w:eastAsia="楷体" w:hAnsi="楷体" w:cs="Arial" w:hint="eastAsia"/>
          <w:color w:val="auto"/>
          <w:sz w:val="20"/>
          <w:szCs w:val="20"/>
        </w:rPr>
        <w:t>的0.</w:t>
      </w:r>
      <w:r w:rsidR="00F8134B">
        <w:rPr>
          <w:rFonts w:ascii="楷体" w:eastAsia="楷体" w:hAnsi="楷体" w:cs="Arial" w:hint="eastAsia"/>
          <w:color w:val="auto"/>
          <w:sz w:val="20"/>
          <w:szCs w:val="20"/>
        </w:rPr>
        <w:t>78</w:t>
      </w:r>
      <w:r w:rsidRPr="0032491D">
        <w:rPr>
          <w:rFonts w:ascii="楷体" w:eastAsia="楷体" w:hAnsi="楷体" w:cs="Arial"/>
          <w:color w:val="auto"/>
          <w:sz w:val="20"/>
          <w:szCs w:val="20"/>
        </w:rPr>
        <w:t>%。二级</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624619">
        <w:rPr>
          <w:rFonts w:ascii="楷体" w:eastAsia="楷体" w:hAnsi="楷体" w:cs="Arial" w:hint="eastAsia"/>
          <w:color w:val="auto"/>
          <w:sz w:val="20"/>
          <w:szCs w:val="20"/>
        </w:rPr>
        <w:t>0.01</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7</w:t>
      </w:r>
      <w:r w:rsidR="00624619">
        <w:rPr>
          <w:rFonts w:ascii="楷体" w:eastAsia="楷体" w:hAnsi="楷体" w:cs="Arial" w:hint="eastAsia"/>
          <w:color w:val="auto"/>
          <w:sz w:val="20"/>
          <w:szCs w:val="20"/>
        </w:rPr>
        <w:t>8</w:t>
      </w:r>
      <w:r w:rsidRPr="0032491D">
        <w:rPr>
          <w:rFonts w:ascii="楷体" w:eastAsia="楷体" w:hAnsi="楷体" w:cs="Arial" w:hint="eastAsia"/>
          <w:color w:val="auto"/>
          <w:sz w:val="20"/>
          <w:szCs w:val="20"/>
        </w:rPr>
        <w:t>%</w:t>
      </w:r>
      <w:r w:rsidRPr="0032491D">
        <w:rPr>
          <w:rFonts w:ascii="楷体" w:eastAsia="楷体" w:hAnsi="楷体" w:cs="Arial"/>
          <w:color w:val="auto"/>
          <w:sz w:val="20"/>
          <w:szCs w:val="20"/>
        </w:rPr>
        <w:t>产品收益为正，最高收益</w:t>
      </w:r>
      <w:proofErr w:type="gramStart"/>
      <w:r w:rsidRPr="0032491D">
        <w:rPr>
          <w:rFonts w:ascii="楷体" w:eastAsia="楷体" w:hAnsi="楷体" w:cs="Arial"/>
          <w:color w:val="auto"/>
          <w:sz w:val="20"/>
          <w:szCs w:val="20"/>
        </w:rPr>
        <w:t>为</w:t>
      </w:r>
      <w:r w:rsidR="00F8134B">
        <w:rPr>
          <w:rFonts w:ascii="楷体" w:eastAsia="楷体" w:hAnsi="楷体" w:cs="Arial" w:hint="eastAsia"/>
          <w:color w:val="auto"/>
          <w:sz w:val="20"/>
          <w:szCs w:val="20"/>
        </w:rPr>
        <w:t>浦银</w:t>
      </w:r>
      <w:proofErr w:type="gramEnd"/>
      <w:r w:rsidR="00F8134B">
        <w:rPr>
          <w:rFonts w:ascii="楷体" w:eastAsia="楷体" w:hAnsi="楷体" w:cs="Arial" w:hint="eastAsia"/>
          <w:color w:val="auto"/>
          <w:sz w:val="20"/>
          <w:szCs w:val="20"/>
        </w:rPr>
        <w:t>安盛优化收益A</w:t>
      </w:r>
      <w:r w:rsidRPr="0032491D">
        <w:rPr>
          <w:rFonts w:ascii="楷体" w:eastAsia="楷体" w:hAnsi="楷体" w:cs="Arial"/>
          <w:color w:val="auto"/>
          <w:sz w:val="20"/>
          <w:szCs w:val="20"/>
        </w:rPr>
        <w:t>的</w:t>
      </w:r>
      <w:r w:rsidRPr="0032491D">
        <w:rPr>
          <w:rFonts w:ascii="楷体" w:eastAsia="楷体" w:hAnsi="楷体" w:cs="Arial" w:hint="eastAsia"/>
          <w:color w:val="auto"/>
          <w:sz w:val="20"/>
          <w:szCs w:val="20"/>
        </w:rPr>
        <w:t>0.</w:t>
      </w:r>
      <w:r w:rsidR="00F8134B">
        <w:rPr>
          <w:rFonts w:ascii="楷体" w:eastAsia="楷体" w:hAnsi="楷体" w:cs="Arial" w:hint="eastAsia"/>
          <w:color w:val="auto"/>
          <w:sz w:val="20"/>
          <w:szCs w:val="20"/>
        </w:rPr>
        <w:t>72</w:t>
      </w:r>
      <w:r w:rsidRPr="0032491D">
        <w:rPr>
          <w:rFonts w:ascii="楷体" w:eastAsia="楷体" w:hAnsi="楷体" w:cs="Arial"/>
          <w:color w:val="auto"/>
          <w:sz w:val="20"/>
          <w:szCs w:val="20"/>
        </w:rPr>
        <w:t>%。指数</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00624619">
        <w:rPr>
          <w:rFonts w:ascii="楷体" w:eastAsia="楷体" w:hAnsi="楷体" w:cs="Arial" w:hint="eastAsia"/>
          <w:color w:val="auto"/>
          <w:sz w:val="20"/>
          <w:szCs w:val="20"/>
        </w:rPr>
        <w:t>0.20</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所有产品</w:t>
      </w:r>
      <w:r w:rsidRPr="0032491D">
        <w:rPr>
          <w:rFonts w:ascii="楷体" w:eastAsia="楷体" w:hAnsi="楷体" w:cs="Arial"/>
          <w:color w:val="auto"/>
          <w:sz w:val="20"/>
          <w:szCs w:val="20"/>
        </w:rPr>
        <w:t>收益均为</w:t>
      </w:r>
      <w:r w:rsidR="00624619">
        <w:rPr>
          <w:rFonts w:ascii="楷体" w:eastAsia="楷体" w:hAnsi="楷体" w:cs="Arial" w:hint="eastAsia"/>
          <w:color w:val="auto"/>
          <w:sz w:val="20"/>
          <w:szCs w:val="20"/>
        </w:rPr>
        <w:t>正</w:t>
      </w:r>
      <w:r w:rsidRPr="0032491D">
        <w:rPr>
          <w:rFonts w:ascii="楷体" w:eastAsia="楷体" w:hAnsi="楷体" w:cs="Arial" w:hint="eastAsia"/>
          <w:color w:val="auto"/>
          <w:sz w:val="20"/>
          <w:szCs w:val="20"/>
        </w:rPr>
        <w:t>，</w:t>
      </w:r>
      <w:r w:rsidRPr="0032491D">
        <w:rPr>
          <w:rFonts w:ascii="楷体" w:eastAsia="楷体" w:hAnsi="楷体" w:cs="Arial"/>
          <w:color w:val="auto"/>
          <w:sz w:val="20"/>
          <w:szCs w:val="20"/>
        </w:rPr>
        <w:t>最高收益为</w:t>
      </w:r>
      <w:r w:rsidRPr="0032491D">
        <w:rPr>
          <w:rFonts w:ascii="楷体" w:eastAsia="楷体" w:hAnsi="楷体" w:cs="Arial" w:hint="eastAsia"/>
          <w:color w:val="auto"/>
          <w:sz w:val="20"/>
          <w:szCs w:val="20"/>
        </w:rPr>
        <w:t>德</w:t>
      </w:r>
      <w:proofErr w:type="gramStart"/>
      <w:r w:rsidRPr="0032491D">
        <w:rPr>
          <w:rFonts w:ascii="楷体" w:eastAsia="楷体" w:hAnsi="楷体" w:cs="Arial" w:hint="eastAsia"/>
          <w:color w:val="auto"/>
          <w:sz w:val="20"/>
          <w:szCs w:val="20"/>
        </w:rPr>
        <w:t>邦</w:t>
      </w:r>
      <w:proofErr w:type="gramEnd"/>
      <w:r w:rsidRPr="0032491D">
        <w:rPr>
          <w:rFonts w:ascii="楷体" w:eastAsia="楷体" w:hAnsi="楷体" w:cs="Arial" w:hint="eastAsia"/>
          <w:color w:val="auto"/>
          <w:sz w:val="20"/>
          <w:szCs w:val="20"/>
        </w:rPr>
        <w:t>企债分级</w:t>
      </w:r>
      <w:r w:rsidRPr="0032491D">
        <w:rPr>
          <w:rFonts w:ascii="楷体" w:eastAsia="楷体" w:hAnsi="楷体" w:cs="Arial"/>
          <w:color w:val="auto"/>
          <w:sz w:val="20"/>
          <w:szCs w:val="20"/>
        </w:rPr>
        <w:t>的</w:t>
      </w:r>
      <w:r w:rsidR="00C50BF0">
        <w:rPr>
          <w:rFonts w:ascii="楷体" w:eastAsia="楷体" w:hAnsi="楷体" w:cs="Arial" w:hint="eastAsia"/>
          <w:color w:val="auto"/>
          <w:sz w:val="20"/>
          <w:szCs w:val="20"/>
        </w:rPr>
        <w:t>1.30</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w:t>
      </w:r>
    </w:p>
    <w:p w:rsidR="00E9280D" w:rsidRPr="0032491D" w:rsidRDefault="00E9280D" w:rsidP="00E9280D">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hint="eastAsia"/>
          <w:b/>
          <w:bCs/>
          <w:color w:val="002060"/>
          <w:kern w:val="0"/>
          <w:sz w:val="24"/>
          <w:szCs w:val="13"/>
        </w:rPr>
        <w:t>商品基金及对冲基金</w:t>
      </w:r>
    </w:p>
    <w:p w:rsidR="00E9280D" w:rsidRPr="0032491D" w:rsidRDefault="00E9280D" w:rsidP="00E9280D">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hint="eastAsia"/>
          <w:color w:val="auto"/>
          <w:sz w:val="20"/>
          <w:szCs w:val="20"/>
        </w:rPr>
        <w:t>商品基金</w:t>
      </w:r>
      <w:r w:rsidRPr="0032491D">
        <w:rPr>
          <w:rFonts w:ascii="楷体" w:eastAsia="楷体" w:hAnsi="楷体" w:cs="Arial"/>
          <w:color w:val="auto"/>
          <w:sz w:val="20"/>
          <w:szCs w:val="20"/>
        </w:rPr>
        <w:t>平均</w:t>
      </w:r>
      <w:r w:rsidRPr="0032491D">
        <w:rPr>
          <w:rFonts w:ascii="楷体" w:eastAsia="楷体" w:hAnsi="楷体" w:cs="Arial" w:hint="eastAsia"/>
          <w:color w:val="auto"/>
          <w:sz w:val="20"/>
          <w:szCs w:val="20"/>
        </w:rPr>
        <w:t>上涨</w:t>
      </w:r>
      <w:r w:rsidR="00624619">
        <w:rPr>
          <w:rFonts w:ascii="楷体" w:eastAsia="楷体" w:hAnsi="楷体" w:cs="Arial" w:hint="eastAsia"/>
          <w:color w:val="auto"/>
          <w:sz w:val="20"/>
          <w:szCs w:val="20"/>
        </w:rPr>
        <w:t>0.44</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其中</w:t>
      </w:r>
      <w:r w:rsidR="00B3422F">
        <w:rPr>
          <w:rFonts w:ascii="楷体" w:eastAsia="楷体" w:hAnsi="楷体" w:cs="Arial" w:hint="eastAsia"/>
          <w:color w:val="auto"/>
          <w:sz w:val="20"/>
          <w:szCs w:val="20"/>
        </w:rPr>
        <w:t>华安易富黄金ETF联接C</w:t>
      </w:r>
      <w:r w:rsidRPr="0032491D">
        <w:rPr>
          <w:rFonts w:ascii="楷体" w:eastAsia="楷体" w:hAnsi="楷体" w:cs="Arial" w:hint="eastAsia"/>
          <w:color w:val="auto"/>
          <w:sz w:val="20"/>
          <w:szCs w:val="20"/>
        </w:rPr>
        <w:t>涨幅最大</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涨</w:t>
      </w:r>
      <w:r w:rsidR="00B3422F">
        <w:rPr>
          <w:rFonts w:ascii="楷体" w:eastAsia="楷体" w:hAnsi="楷体" w:cs="Arial" w:hint="eastAsia"/>
          <w:color w:val="auto"/>
          <w:sz w:val="20"/>
          <w:szCs w:val="20"/>
        </w:rPr>
        <w:t>0.83</w:t>
      </w:r>
      <w:r w:rsidRPr="0032491D">
        <w:rPr>
          <w:rFonts w:ascii="楷体" w:eastAsia="楷体" w:hAnsi="楷体" w:cs="Arial"/>
          <w:color w:val="auto"/>
          <w:sz w:val="20"/>
          <w:szCs w:val="20"/>
        </w:rPr>
        <w:t>%。以绝对收益为投资目标的股票多空类产品平均收益为</w:t>
      </w:r>
      <w:r w:rsidRPr="0032491D">
        <w:rPr>
          <w:rFonts w:ascii="楷体" w:eastAsia="楷体" w:hAnsi="楷体" w:cs="Arial" w:hint="eastAsia"/>
          <w:color w:val="auto"/>
          <w:sz w:val="20"/>
          <w:szCs w:val="20"/>
        </w:rPr>
        <w:t>-0.</w:t>
      </w:r>
      <w:r w:rsidR="00624619">
        <w:rPr>
          <w:rFonts w:ascii="楷体" w:eastAsia="楷体" w:hAnsi="楷体" w:cs="Arial" w:hint="eastAsia"/>
          <w:color w:val="auto"/>
          <w:sz w:val="20"/>
          <w:szCs w:val="20"/>
        </w:rPr>
        <w:t>16</w:t>
      </w:r>
      <w:r w:rsidRPr="0032491D">
        <w:rPr>
          <w:rFonts w:ascii="楷体" w:eastAsia="楷体" w:hAnsi="楷体" w:cs="Arial"/>
          <w:color w:val="auto"/>
          <w:sz w:val="20"/>
          <w:szCs w:val="20"/>
        </w:rPr>
        <w:t>%，最高收益为</w:t>
      </w:r>
      <w:r w:rsidR="00B3422F">
        <w:rPr>
          <w:rFonts w:ascii="楷体" w:eastAsia="楷体" w:hAnsi="楷体" w:cs="Arial" w:hint="eastAsia"/>
          <w:color w:val="auto"/>
          <w:sz w:val="20"/>
          <w:szCs w:val="20"/>
        </w:rPr>
        <w:t>华宝兴业量化对冲A</w:t>
      </w:r>
      <w:r w:rsidRPr="0032491D">
        <w:rPr>
          <w:rFonts w:ascii="楷体" w:eastAsia="楷体" w:hAnsi="楷体" w:cs="Arial"/>
          <w:color w:val="auto"/>
          <w:sz w:val="20"/>
          <w:szCs w:val="20"/>
        </w:rPr>
        <w:t>的</w:t>
      </w:r>
      <w:r w:rsidR="00B3422F">
        <w:rPr>
          <w:rFonts w:ascii="楷体" w:eastAsia="楷体" w:hAnsi="楷体" w:cs="Arial" w:hint="eastAsia"/>
          <w:color w:val="auto"/>
          <w:sz w:val="20"/>
          <w:szCs w:val="20"/>
        </w:rPr>
        <w:t>0.03</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w:t>
      </w:r>
    </w:p>
    <w:p w:rsidR="00E9280D" w:rsidRPr="0032491D" w:rsidRDefault="00E9280D" w:rsidP="00E9280D">
      <w:pPr>
        <w:pStyle w:val="a5"/>
        <w:numPr>
          <w:ilvl w:val="0"/>
          <w:numId w:val="2"/>
        </w:numPr>
        <w:spacing w:beforeLines="100" w:before="240" w:afterLines="100" w:after="240" w:line="260" w:lineRule="exact"/>
        <w:ind w:leftChars="0" w:left="4395" w:rightChars="-34" w:right="-71" w:firstLine="0"/>
        <w:rPr>
          <w:rFonts w:ascii="楷体" w:eastAsia="楷体" w:hAnsi="楷体" w:cs="Arial"/>
          <w:b/>
          <w:bCs/>
          <w:color w:val="002060"/>
          <w:kern w:val="0"/>
          <w:sz w:val="24"/>
          <w:szCs w:val="13"/>
        </w:rPr>
      </w:pPr>
      <w:r w:rsidRPr="0032491D">
        <w:rPr>
          <w:rFonts w:ascii="楷体" w:eastAsia="楷体" w:hAnsi="楷体" w:cs="Arial"/>
          <w:noProof/>
          <w:sz w:val="20"/>
          <w:szCs w:val="20"/>
        </w:rPr>
        <mc:AlternateContent>
          <mc:Choice Requires="wps">
            <w:drawing>
              <wp:anchor distT="0" distB="0" distL="0" distR="0" simplePos="0" relativeHeight="251661312" behindDoc="0" locked="0" layoutInCell="1" allowOverlap="0" wp14:anchorId="5ECAEE0F" wp14:editId="2A1B8B65">
                <wp:simplePos x="0" y="0"/>
                <wp:positionH relativeFrom="page">
                  <wp:posOffset>375920</wp:posOffset>
                </wp:positionH>
                <wp:positionV relativeFrom="paragraph">
                  <wp:posOffset>152975</wp:posOffset>
                </wp:positionV>
                <wp:extent cx="2154555" cy="10725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072515"/>
                        </a:xfrm>
                        <a:prstGeom prst="rect">
                          <a:avLst/>
                        </a:prstGeom>
                        <a:noFill/>
                        <a:ln w="9525">
                          <a:noFill/>
                          <a:miter lim="800000"/>
                          <a:headEnd/>
                          <a:tailEnd/>
                        </a:ln>
                      </wps:spPr>
                      <wps:txbx>
                        <w:txbxContent>
                          <w:p w:rsidR="00624619" w:rsidRPr="00593057" w:rsidRDefault="00624619" w:rsidP="00E9280D">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6pt;margin-top:12.05pt;width:169.65pt;height:84.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" o:allowoverlap="f" filled="f" stroked="f">
                <v:textbox>
                  <w:txbxContent>
                    <w:p w:rsidR="00624619" w:rsidRPr="00593057" w:rsidRDefault="00624619" w:rsidP="00E9280D">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Pr="0032491D">
        <w:rPr>
          <w:rFonts w:ascii="楷体" w:eastAsia="楷体" w:hAnsi="楷体" w:cs="Arial"/>
          <w:b/>
          <w:bCs/>
          <w:color w:val="002060"/>
          <w:kern w:val="0"/>
          <w:sz w:val="24"/>
          <w:szCs w:val="13"/>
        </w:rPr>
        <w:t>货币基金</w:t>
      </w:r>
    </w:p>
    <w:p w:rsidR="00E9280D" w:rsidRPr="0032491D" w:rsidRDefault="00E9280D" w:rsidP="00E9280D">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货币基金</w:t>
      </w:r>
      <w:proofErr w:type="gramStart"/>
      <w:r w:rsidRPr="0032491D">
        <w:rPr>
          <w:rFonts w:ascii="楷体" w:eastAsia="楷体" w:hAnsi="楷体" w:cs="Arial"/>
          <w:color w:val="auto"/>
          <w:sz w:val="20"/>
          <w:szCs w:val="20"/>
        </w:rPr>
        <w:t>年化收益</w:t>
      </w:r>
      <w:proofErr w:type="gramEnd"/>
      <w:r w:rsidR="00624619">
        <w:rPr>
          <w:rFonts w:ascii="楷体" w:eastAsia="楷体" w:hAnsi="楷体" w:cs="Arial" w:hint="eastAsia"/>
          <w:color w:val="auto"/>
          <w:sz w:val="20"/>
          <w:szCs w:val="20"/>
        </w:rPr>
        <w:t>有所下降</w:t>
      </w:r>
      <w:r w:rsidRPr="0032491D">
        <w:rPr>
          <w:rFonts w:ascii="楷体" w:eastAsia="楷体" w:hAnsi="楷体" w:cs="Arial"/>
          <w:color w:val="auto"/>
          <w:sz w:val="20"/>
          <w:szCs w:val="20"/>
        </w:rPr>
        <w:t>。</w:t>
      </w:r>
      <w:r w:rsidR="00624619">
        <w:rPr>
          <w:rFonts w:ascii="楷体" w:eastAsia="楷体" w:hAnsi="楷体" w:cs="Arial" w:hint="eastAsia"/>
          <w:color w:val="auto"/>
          <w:sz w:val="20"/>
          <w:szCs w:val="20"/>
        </w:rPr>
        <w:t>5</w:t>
      </w:r>
      <w:r w:rsidRPr="0032491D">
        <w:rPr>
          <w:rFonts w:ascii="楷体" w:eastAsia="楷体" w:hAnsi="楷体" w:cs="Arial" w:hint="eastAsia"/>
          <w:color w:val="auto"/>
          <w:sz w:val="20"/>
          <w:szCs w:val="20"/>
        </w:rPr>
        <w:t>月</w:t>
      </w:r>
      <w:r w:rsidR="00624619">
        <w:rPr>
          <w:rFonts w:ascii="楷体" w:eastAsia="楷体" w:hAnsi="楷体" w:cs="Arial" w:hint="eastAsia"/>
          <w:color w:val="auto"/>
          <w:sz w:val="20"/>
          <w:szCs w:val="20"/>
        </w:rPr>
        <w:t>6</w:t>
      </w:r>
      <w:r w:rsidRPr="0032491D">
        <w:rPr>
          <w:rFonts w:ascii="楷体" w:eastAsia="楷体" w:hAnsi="楷体" w:cs="Arial" w:hint="eastAsia"/>
          <w:color w:val="auto"/>
          <w:sz w:val="20"/>
          <w:szCs w:val="20"/>
        </w:rPr>
        <w:t>日，</w:t>
      </w:r>
      <w:r w:rsidRPr="0032491D">
        <w:rPr>
          <w:rFonts w:ascii="楷体" w:eastAsia="楷体" w:hAnsi="楷体" w:cs="Arial"/>
          <w:color w:val="auto"/>
          <w:sz w:val="20"/>
          <w:szCs w:val="20"/>
        </w:rPr>
        <w:t>货币基金</w:t>
      </w:r>
      <w:proofErr w:type="gramStart"/>
      <w:r w:rsidRPr="0032491D">
        <w:rPr>
          <w:rFonts w:ascii="楷体" w:eastAsia="楷体" w:hAnsi="楷体" w:cs="Arial"/>
          <w:color w:val="auto"/>
          <w:sz w:val="20"/>
          <w:szCs w:val="20"/>
        </w:rPr>
        <w:t>七日年化收益率</w:t>
      </w:r>
      <w:proofErr w:type="gramEnd"/>
      <w:r w:rsidRPr="0032491D">
        <w:rPr>
          <w:rFonts w:ascii="楷体" w:eastAsia="楷体" w:hAnsi="楷体" w:cs="Arial"/>
          <w:color w:val="auto"/>
          <w:sz w:val="20"/>
          <w:szCs w:val="20"/>
        </w:rPr>
        <w:t>均值为2.</w:t>
      </w:r>
      <w:r w:rsidRPr="0032491D">
        <w:rPr>
          <w:rFonts w:ascii="楷体" w:eastAsia="楷体" w:hAnsi="楷体" w:cs="Arial" w:hint="eastAsia"/>
          <w:color w:val="auto"/>
          <w:sz w:val="20"/>
          <w:szCs w:val="20"/>
        </w:rPr>
        <w:t xml:space="preserve"> </w:t>
      </w:r>
      <w:r w:rsidR="00624619">
        <w:rPr>
          <w:rFonts w:ascii="楷体" w:eastAsia="楷体" w:hAnsi="楷体" w:cs="Arial" w:hint="eastAsia"/>
          <w:color w:val="auto"/>
          <w:sz w:val="20"/>
          <w:szCs w:val="20"/>
        </w:rPr>
        <w:t>42</w:t>
      </w:r>
      <w:r w:rsidRPr="0032491D">
        <w:rPr>
          <w:rFonts w:ascii="楷体" w:eastAsia="楷体" w:hAnsi="楷体" w:cs="Arial"/>
          <w:color w:val="auto"/>
          <w:sz w:val="20"/>
          <w:szCs w:val="20"/>
        </w:rPr>
        <w:t>%，</w:t>
      </w:r>
      <w:r w:rsidR="00B3422F">
        <w:rPr>
          <w:rFonts w:ascii="楷体" w:eastAsia="楷体" w:hAnsi="楷体" w:cs="Arial" w:hint="eastAsia"/>
          <w:color w:val="auto"/>
          <w:sz w:val="20"/>
          <w:szCs w:val="20"/>
        </w:rPr>
        <w:t>诺安</w:t>
      </w:r>
      <w:proofErr w:type="gramStart"/>
      <w:r w:rsidR="00B3422F">
        <w:rPr>
          <w:rFonts w:ascii="楷体" w:eastAsia="楷体" w:hAnsi="楷体" w:cs="Arial" w:hint="eastAsia"/>
          <w:color w:val="auto"/>
          <w:sz w:val="20"/>
          <w:szCs w:val="20"/>
        </w:rPr>
        <w:t>天</w:t>
      </w:r>
      <w:proofErr w:type="gramEnd"/>
      <w:r w:rsidR="00B3422F">
        <w:rPr>
          <w:rFonts w:ascii="楷体" w:eastAsia="楷体" w:hAnsi="楷体" w:cs="Arial" w:hint="eastAsia"/>
          <w:color w:val="auto"/>
          <w:sz w:val="20"/>
          <w:szCs w:val="20"/>
        </w:rPr>
        <w:t>天宝B</w:t>
      </w:r>
      <w:r w:rsidRPr="0032491D">
        <w:rPr>
          <w:rFonts w:ascii="楷体" w:eastAsia="楷体" w:hAnsi="楷体" w:cs="Arial"/>
          <w:color w:val="auto"/>
          <w:sz w:val="20"/>
          <w:szCs w:val="20"/>
        </w:rPr>
        <w:t>（</w:t>
      </w:r>
      <w:r w:rsidR="00B3422F">
        <w:rPr>
          <w:rFonts w:ascii="楷体" w:eastAsia="楷体" w:hAnsi="楷体" w:cs="Arial" w:hint="eastAsia"/>
          <w:color w:val="auto"/>
          <w:sz w:val="20"/>
          <w:szCs w:val="20"/>
        </w:rPr>
        <w:t>4.69</w:t>
      </w:r>
      <w:r w:rsidRPr="0032491D">
        <w:rPr>
          <w:rFonts w:ascii="楷体" w:eastAsia="楷体" w:hAnsi="楷体" w:cs="Arial"/>
          <w:color w:val="auto"/>
          <w:sz w:val="20"/>
          <w:szCs w:val="20"/>
        </w:rPr>
        <w:t>%）、</w:t>
      </w:r>
      <w:r w:rsidR="00B3422F">
        <w:rPr>
          <w:rFonts w:ascii="楷体" w:eastAsia="楷体" w:hAnsi="楷体" w:cs="Arial" w:hint="eastAsia"/>
          <w:color w:val="auto"/>
          <w:sz w:val="20"/>
          <w:szCs w:val="20"/>
        </w:rPr>
        <w:t>广发理财7天B</w:t>
      </w:r>
      <w:r w:rsidRPr="0032491D">
        <w:rPr>
          <w:rFonts w:ascii="楷体" w:eastAsia="楷体" w:hAnsi="楷体" w:cs="Arial"/>
          <w:color w:val="auto"/>
          <w:sz w:val="20"/>
          <w:szCs w:val="20"/>
        </w:rPr>
        <w:t>（</w:t>
      </w:r>
      <w:r w:rsidR="00B3422F">
        <w:rPr>
          <w:rFonts w:ascii="楷体" w:eastAsia="楷体" w:hAnsi="楷体" w:cs="Arial" w:hint="eastAsia"/>
          <w:color w:val="auto"/>
          <w:sz w:val="20"/>
          <w:szCs w:val="20"/>
        </w:rPr>
        <w:t>4.43</w:t>
      </w:r>
      <w:r w:rsidRPr="0032491D">
        <w:rPr>
          <w:rFonts w:ascii="楷体" w:eastAsia="楷体" w:hAnsi="楷体" w:cs="Arial"/>
          <w:color w:val="auto"/>
          <w:sz w:val="20"/>
          <w:szCs w:val="20"/>
        </w:rPr>
        <w:t>%）七日</w:t>
      </w:r>
      <w:proofErr w:type="gramStart"/>
      <w:r w:rsidRPr="0032491D">
        <w:rPr>
          <w:rFonts w:ascii="楷体" w:eastAsia="楷体" w:hAnsi="楷体" w:cs="Arial"/>
          <w:color w:val="auto"/>
          <w:sz w:val="20"/>
          <w:szCs w:val="20"/>
        </w:rPr>
        <w:t>年化收益</w:t>
      </w:r>
      <w:proofErr w:type="gramEnd"/>
      <w:r w:rsidRPr="0032491D">
        <w:rPr>
          <w:rFonts w:ascii="楷体" w:eastAsia="楷体" w:hAnsi="楷体" w:cs="Arial"/>
          <w:color w:val="auto"/>
          <w:sz w:val="20"/>
          <w:szCs w:val="20"/>
        </w:rPr>
        <w:t>最高。从收益区间来看，有</w:t>
      </w:r>
      <w:r w:rsidR="00624619">
        <w:rPr>
          <w:rFonts w:ascii="楷体" w:eastAsia="楷体" w:hAnsi="楷体" w:cs="Arial" w:hint="eastAsia"/>
          <w:color w:val="auto"/>
          <w:sz w:val="20"/>
          <w:szCs w:val="20"/>
        </w:rPr>
        <w:t>2</w:t>
      </w:r>
      <w:r w:rsidRPr="0032491D">
        <w:rPr>
          <w:rFonts w:ascii="楷体" w:eastAsia="楷体" w:hAnsi="楷体" w:cs="Arial"/>
          <w:color w:val="auto"/>
          <w:sz w:val="20"/>
          <w:szCs w:val="20"/>
        </w:rPr>
        <w:t>%的产品七日</w:t>
      </w:r>
      <w:proofErr w:type="gramStart"/>
      <w:r w:rsidRPr="0032491D">
        <w:rPr>
          <w:rFonts w:ascii="楷体" w:eastAsia="楷体" w:hAnsi="楷体" w:cs="Arial"/>
          <w:color w:val="auto"/>
          <w:sz w:val="20"/>
          <w:szCs w:val="20"/>
        </w:rPr>
        <w:t>年化收益</w:t>
      </w:r>
      <w:proofErr w:type="gramEnd"/>
      <w:r w:rsidRPr="0032491D">
        <w:rPr>
          <w:rFonts w:ascii="楷体" w:eastAsia="楷体" w:hAnsi="楷体" w:cs="Arial"/>
          <w:color w:val="auto"/>
          <w:sz w:val="20"/>
          <w:szCs w:val="20"/>
        </w:rPr>
        <w:t>超4%，</w:t>
      </w:r>
      <w:r w:rsidR="00624619">
        <w:rPr>
          <w:rFonts w:ascii="楷体" w:eastAsia="楷体" w:hAnsi="楷体" w:cs="Arial" w:hint="eastAsia"/>
          <w:color w:val="auto"/>
          <w:sz w:val="20"/>
          <w:szCs w:val="20"/>
        </w:rPr>
        <w:t>7</w:t>
      </w:r>
      <w:r w:rsidRPr="0032491D">
        <w:rPr>
          <w:rFonts w:ascii="楷体" w:eastAsia="楷体" w:hAnsi="楷体" w:cs="Arial"/>
          <w:color w:val="auto"/>
          <w:sz w:val="20"/>
          <w:szCs w:val="20"/>
        </w:rPr>
        <w:t>%的产品收益在3%-4%之间，</w:t>
      </w:r>
      <w:r w:rsidRPr="0032491D">
        <w:rPr>
          <w:rFonts w:ascii="楷体" w:eastAsia="楷体" w:hAnsi="楷体" w:cs="Arial" w:hint="eastAsia"/>
          <w:color w:val="auto"/>
          <w:sz w:val="20"/>
          <w:szCs w:val="20"/>
        </w:rPr>
        <w:t>7</w:t>
      </w:r>
      <w:r w:rsidR="00624619">
        <w:rPr>
          <w:rFonts w:ascii="楷体" w:eastAsia="楷体" w:hAnsi="楷体" w:cs="Arial" w:hint="eastAsia"/>
          <w:color w:val="auto"/>
          <w:sz w:val="20"/>
          <w:szCs w:val="20"/>
        </w:rPr>
        <w:t>5</w:t>
      </w:r>
      <w:r w:rsidRPr="0032491D">
        <w:rPr>
          <w:rFonts w:ascii="楷体" w:eastAsia="楷体" w:hAnsi="楷体" w:cs="Arial"/>
          <w:color w:val="auto"/>
          <w:sz w:val="20"/>
          <w:szCs w:val="20"/>
        </w:rPr>
        <w:t>%的产品收益在2%-3%之间。</w:t>
      </w:r>
    </w:p>
    <w:p w:rsidR="00E9280D" w:rsidRPr="0032491D" w:rsidRDefault="00E9280D" w:rsidP="00E9280D">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QDII基金</w:t>
      </w:r>
    </w:p>
    <w:p w:rsidR="00E9280D" w:rsidRPr="0032491D" w:rsidRDefault="00E9280D" w:rsidP="00E9280D">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QDII基金平均收益为</w:t>
      </w:r>
      <w:r w:rsidR="00624619">
        <w:rPr>
          <w:rFonts w:ascii="楷体" w:eastAsia="楷体" w:hAnsi="楷体" w:cs="Arial" w:hint="eastAsia"/>
          <w:color w:val="auto"/>
          <w:sz w:val="20"/>
          <w:szCs w:val="20"/>
        </w:rPr>
        <w:t>-1.34</w:t>
      </w:r>
      <w:r w:rsidRPr="0032491D">
        <w:rPr>
          <w:rFonts w:ascii="楷体" w:eastAsia="楷体" w:hAnsi="楷体" w:cs="Arial"/>
          <w:color w:val="auto"/>
          <w:sz w:val="20"/>
          <w:szCs w:val="20"/>
        </w:rPr>
        <w:t>%，其中</w:t>
      </w:r>
      <w:r w:rsidR="00B3422F">
        <w:rPr>
          <w:rFonts w:ascii="楷体" w:eastAsia="楷体" w:hAnsi="楷体" w:cs="Arial" w:hint="eastAsia"/>
          <w:color w:val="auto"/>
          <w:sz w:val="20"/>
          <w:szCs w:val="20"/>
        </w:rPr>
        <w:t>嘉</w:t>
      </w:r>
      <w:proofErr w:type="gramStart"/>
      <w:r w:rsidR="00B3422F">
        <w:rPr>
          <w:rFonts w:ascii="楷体" w:eastAsia="楷体" w:hAnsi="楷体" w:cs="Arial" w:hint="eastAsia"/>
          <w:color w:val="auto"/>
          <w:sz w:val="20"/>
          <w:szCs w:val="20"/>
        </w:rPr>
        <w:t>实</w:t>
      </w:r>
      <w:r w:rsidR="005E4776">
        <w:rPr>
          <w:rFonts w:ascii="楷体" w:eastAsia="楷体" w:hAnsi="楷体" w:cs="Arial" w:hint="eastAsia"/>
          <w:color w:val="auto"/>
          <w:sz w:val="20"/>
          <w:szCs w:val="20"/>
        </w:rPr>
        <w:t>全球</w:t>
      </w:r>
      <w:proofErr w:type="gramEnd"/>
      <w:r w:rsidR="00B3422F">
        <w:rPr>
          <w:rFonts w:ascii="楷体" w:eastAsia="楷体" w:hAnsi="楷体" w:cs="Arial" w:hint="eastAsia"/>
          <w:color w:val="auto"/>
          <w:sz w:val="20"/>
          <w:szCs w:val="20"/>
        </w:rPr>
        <w:t>互联网人民币</w:t>
      </w:r>
      <w:r w:rsidRPr="0032491D">
        <w:rPr>
          <w:rFonts w:ascii="楷体" w:eastAsia="楷体" w:hAnsi="楷体" w:cs="Arial"/>
          <w:color w:val="auto"/>
          <w:sz w:val="20"/>
          <w:szCs w:val="20"/>
        </w:rPr>
        <w:t>表现最好，涨</w:t>
      </w:r>
      <w:r w:rsidR="00B3422F">
        <w:rPr>
          <w:rFonts w:ascii="楷体" w:eastAsia="楷体" w:hAnsi="楷体" w:cs="Arial" w:hint="eastAsia"/>
          <w:color w:val="auto"/>
          <w:sz w:val="20"/>
          <w:szCs w:val="20"/>
        </w:rPr>
        <w:t>4.38</w:t>
      </w:r>
      <w:r w:rsidRPr="0032491D">
        <w:rPr>
          <w:rFonts w:ascii="楷体" w:eastAsia="楷体" w:hAnsi="楷体" w:cs="Arial"/>
          <w:color w:val="auto"/>
          <w:sz w:val="20"/>
          <w:szCs w:val="20"/>
        </w:rPr>
        <w:t>%。从具体品种来看，</w:t>
      </w:r>
      <w:r w:rsidR="00B3422F">
        <w:rPr>
          <w:rFonts w:ascii="楷体" w:eastAsia="楷体" w:hAnsi="楷体" w:cs="Arial" w:hint="eastAsia"/>
          <w:color w:val="auto"/>
          <w:sz w:val="20"/>
          <w:szCs w:val="20"/>
        </w:rPr>
        <w:t>互联网、房地产、黄金</w:t>
      </w:r>
      <w:r w:rsidRPr="0032491D">
        <w:rPr>
          <w:rFonts w:ascii="楷体" w:eastAsia="楷体" w:hAnsi="楷体" w:cs="Arial" w:hint="eastAsia"/>
          <w:color w:val="auto"/>
          <w:sz w:val="20"/>
          <w:szCs w:val="20"/>
        </w:rPr>
        <w:t>主题QDII</w:t>
      </w:r>
      <w:r w:rsidRPr="0032491D">
        <w:rPr>
          <w:rFonts w:ascii="楷体" w:eastAsia="楷体" w:hAnsi="楷体" w:cs="Arial"/>
          <w:color w:val="auto"/>
          <w:sz w:val="20"/>
          <w:szCs w:val="20"/>
        </w:rPr>
        <w:t>表现</w:t>
      </w:r>
      <w:r w:rsidRPr="0032491D">
        <w:rPr>
          <w:rFonts w:ascii="楷体" w:eastAsia="楷体" w:hAnsi="楷体" w:cs="Arial" w:hint="eastAsia"/>
          <w:color w:val="auto"/>
          <w:sz w:val="20"/>
          <w:szCs w:val="20"/>
        </w:rPr>
        <w:t>最</w:t>
      </w:r>
      <w:r w:rsidRPr="0032491D">
        <w:rPr>
          <w:rFonts w:ascii="楷体" w:eastAsia="楷体" w:hAnsi="楷体" w:cs="Arial"/>
          <w:color w:val="auto"/>
          <w:sz w:val="20"/>
          <w:szCs w:val="20"/>
        </w:rPr>
        <w:t>好，</w:t>
      </w:r>
      <w:r w:rsidRPr="0032491D">
        <w:rPr>
          <w:rFonts w:ascii="楷体" w:eastAsia="楷体" w:hAnsi="楷体" w:cs="Arial" w:hint="eastAsia"/>
          <w:color w:val="auto"/>
          <w:sz w:val="20"/>
          <w:szCs w:val="20"/>
        </w:rPr>
        <w:t>港股</w:t>
      </w:r>
      <w:r w:rsidR="00B3422F">
        <w:rPr>
          <w:rFonts w:ascii="楷体" w:eastAsia="楷体" w:hAnsi="楷体" w:cs="Arial" w:hint="eastAsia"/>
          <w:color w:val="auto"/>
          <w:sz w:val="20"/>
          <w:szCs w:val="20"/>
        </w:rPr>
        <w:t>、资源、能源</w:t>
      </w:r>
      <w:r w:rsidRPr="0032491D">
        <w:rPr>
          <w:rFonts w:ascii="楷体" w:eastAsia="楷体" w:hAnsi="楷体" w:cs="Arial"/>
          <w:color w:val="auto"/>
          <w:sz w:val="20"/>
          <w:szCs w:val="20"/>
        </w:rPr>
        <w:t>主题 QDII表现</w:t>
      </w:r>
      <w:r w:rsidRPr="0032491D">
        <w:rPr>
          <w:rFonts w:ascii="楷体" w:eastAsia="楷体" w:hAnsi="楷体" w:cs="Arial" w:hint="eastAsia"/>
          <w:color w:val="auto"/>
          <w:sz w:val="20"/>
          <w:szCs w:val="20"/>
        </w:rPr>
        <w:t>较差</w:t>
      </w:r>
      <w:r w:rsidRPr="0032491D">
        <w:rPr>
          <w:rFonts w:ascii="楷体" w:eastAsia="楷体" w:hAnsi="楷体" w:cs="Arial"/>
          <w:color w:val="auto"/>
          <w:sz w:val="20"/>
          <w:szCs w:val="20"/>
        </w:rPr>
        <w:t>。</w:t>
      </w:r>
    </w:p>
    <w:tbl>
      <w:tblPr>
        <w:tblpPr w:leftFromText="180" w:rightFromText="180" w:vertAnchor="text" w:horzAnchor="margin" w:tblpY="-39"/>
        <w:tblW w:w="3970" w:type="dxa"/>
        <w:tblLayout w:type="fixed"/>
        <w:tblLook w:val="04A0" w:firstRow="1" w:lastRow="0" w:firstColumn="1" w:lastColumn="0" w:noHBand="0" w:noVBand="1"/>
      </w:tblPr>
      <w:tblGrid>
        <w:gridCol w:w="709"/>
        <w:gridCol w:w="817"/>
        <w:gridCol w:w="1701"/>
        <w:gridCol w:w="743"/>
      </w:tblGrid>
      <w:tr w:rsidR="00E9280D" w:rsidRPr="0032491D" w:rsidTr="00943C56">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E9280D" w:rsidRPr="0032491D" w:rsidRDefault="00E9280D" w:rsidP="00943C56">
            <w:pPr>
              <w:widowControl/>
              <w:jc w:val="center"/>
              <w:rPr>
                <w:rFonts w:ascii="楷体" w:eastAsia="楷体" w:hAnsi="楷体" w:cs="Arial"/>
                <w:b/>
                <w:sz w:val="20"/>
                <w:szCs w:val="20"/>
              </w:rPr>
            </w:pPr>
            <w:r w:rsidRPr="0032491D">
              <w:rPr>
                <w:rFonts w:ascii="楷体" w:eastAsia="楷体" w:hAnsi="楷体" w:cs="Arial"/>
                <w:b/>
                <w:sz w:val="20"/>
                <w:szCs w:val="20"/>
              </w:rPr>
              <w:t>类型</w:t>
            </w:r>
          </w:p>
        </w:tc>
        <w:tc>
          <w:tcPr>
            <w:tcW w:w="817" w:type="dxa"/>
            <w:tcBorders>
              <w:top w:val="single" w:sz="4" w:space="0" w:color="auto"/>
              <w:left w:val="single" w:sz="4" w:space="0" w:color="auto"/>
              <w:bottom w:val="single" w:sz="4" w:space="0" w:color="auto"/>
            </w:tcBorders>
            <w:shd w:val="clear" w:color="F79646" w:fill="F79646"/>
            <w:vAlign w:val="center"/>
            <w:hideMark/>
          </w:tcPr>
          <w:p w:rsidR="00E9280D" w:rsidRPr="0032491D" w:rsidRDefault="00E9280D" w:rsidP="00943C56">
            <w:pPr>
              <w:widowControl/>
              <w:jc w:val="center"/>
              <w:rPr>
                <w:rFonts w:ascii="楷体" w:eastAsia="楷体" w:hAnsi="楷体" w:cs="Arial"/>
                <w:b/>
                <w:sz w:val="20"/>
                <w:szCs w:val="20"/>
              </w:rPr>
            </w:pPr>
            <w:r w:rsidRPr="0032491D">
              <w:rPr>
                <w:rFonts w:ascii="楷体" w:eastAsia="楷体" w:hAnsi="楷体" w:cs="Arial"/>
                <w:b/>
                <w:sz w:val="20"/>
                <w:szCs w:val="20"/>
              </w:rPr>
              <w:t>代码</w:t>
            </w:r>
          </w:p>
        </w:tc>
        <w:tc>
          <w:tcPr>
            <w:tcW w:w="1701" w:type="dxa"/>
            <w:tcBorders>
              <w:top w:val="single" w:sz="4" w:space="0" w:color="auto"/>
              <w:bottom w:val="single" w:sz="4" w:space="0" w:color="auto"/>
            </w:tcBorders>
            <w:shd w:val="clear" w:color="F79646" w:fill="F79646"/>
            <w:vAlign w:val="center"/>
            <w:hideMark/>
          </w:tcPr>
          <w:p w:rsidR="00E9280D" w:rsidRPr="0032491D" w:rsidRDefault="00E9280D" w:rsidP="00943C56">
            <w:pPr>
              <w:widowControl/>
              <w:jc w:val="center"/>
              <w:rPr>
                <w:rFonts w:ascii="楷体" w:eastAsia="楷体" w:hAnsi="楷体" w:cs="Arial"/>
                <w:b/>
                <w:sz w:val="20"/>
                <w:szCs w:val="20"/>
              </w:rPr>
            </w:pPr>
            <w:r w:rsidRPr="0032491D">
              <w:rPr>
                <w:rFonts w:ascii="楷体" w:eastAsia="楷体" w:hAnsi="楷体" w:cs="Arial"/>
                <w:b/>
                <w:sz w:val="20"/>
                <w:szCs w:val="20"/>
              </w:rPr>
              <w:t>简称</w:t>
            </w:r>
          </w:p>
        </w:tc>
        <w:tc>
          <w:tcPr>
            <w:tcW w:w="743" w:type="dxa"/>
            <w:tcBorders>
              <w:top w:val="single" w:sz="4" w:space="0" w:color="auto"/>
              <w:bottom w:val="single" w:sz="4" w:space="0" w:color="auto"/>
            </w:tcBorders>
            <w:shd w:val="clear" w:color="F79646" w:fill="F79646"/>
            <w:vAlign w:val="center"/>
            <w:hideMark/>
          </w:tcPr>
          <w:p w:rsidR="00E9280D" w:rsidRPr="0032491D" w:rsidRDefault="00E9280D" w:rsidP="00943C56">
            <w:pPr>
              <w:widowControl/>
              <w:jc w:val="left"/>
              <w:rPr>
                <w:rFonts w:ascii="楷体" w:eastAsia="楷体" w:hAnsi="楷体" w:cs="Arial"/>
                <w:b/>
                <w:sz w:val="18"/>
                <w:szCs w:val="18"/>
              </w:rPr>
            </w:pPr>
            <w:r w:rsidRPr="0032491D">
              <w:rPr>
                <w:rFonts w:ascii="楷体" w:eastAsia="楷体" w:hAnsi="楷体" w:cs="Arial"/>
                <w:b/>
                <w:sz w:val="18"/>
                <w:szCs w:val="18"/>
              </w:rPr>
              <w:t>涨跌%</w:t>
            </w:r>
          </w:p>
        </w:tc>
      </w:tr>
      <w:tr w:rsidR="00CE3D57" w:rsidRPr="0032491D" w:rsidTr="00943C56">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CE3D57" w:rsidRPr="0032491D" w:rsidRDefault="00CE3D57" w:rsidP="00943C56">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普通</w:t>
            </w:r>
            <w:r w:rsidRPr="0032491D">
              <w:rPr>
                <w:rFonts w:ascii="楷体" w:eastAsia="楷体" w:hAnsi="楷体" w:cs="Arial"/>
                <w:b/>
                <w:bCs/>
                <w:color w:val="000000"/>
                <w:kern w:val="0"/>
                <w:sz w:val="18"/>
                <w:szCs w:val="18"/>
              </w:rPr>
              <w:lastRenderedPageBreak/>
              <w:t>股基</w:t>
            </w:r>
          </w:p>
        </w:tc>
        <w:tc>
          <w:tcPr>
            <w:tcW w:w="817" w:type="dxa"/>
            <w:tcBorders>
              <w:top w:val="single" w:sz="4" w:space="0" w:color="auto"/>
              <w:left w:val="single" w:sz="4" w:space="0" w:color="auto"/>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lastRenderedPageBreak/>
              <w:t>184721.</w:t>
            </w:r>
          </w:p>
        </w:tc>
        <w:tc>
          <w:tcPr>
            <w:tcW w:w="1701" w:type="dxa"/>
            <w:tcBorders>
              <w:top w:val="single" w:sz="4" w:space="0" w:color="auto"/>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基金丰和</w:t>
            </w:r>
          </w:p>
        </w:tc>
        <w:tc>
          <w:tcPr>
            <w:tcW w:w="743" w:type="dxa"/>
            <w:tcBorders>
              <w:top w:val="single" w:sz="4" w:space="0" w:color="auto"/>
            </w:tcBorders>
            <w:shd w:val="clear" w:color="auto" w:fill="FFFFFF" w:themeFill="background1"/>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2.52</w:t>
            </w:r>
          </w:p>
        </w:tc>
      </w:tr>
      <w:tr w:rsidR="00CE3D57" w:rsidRPr="0032491D" w:rsidTr="00943C56">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E3D57" w:rsidRPr="0032491D" w:rsidRDefault="00CE3D57" w:rsidP="00943C56">
            <w:pPr>
              <w:jc w:val="left"/>
              <w:rPr>
                <w:rFonts w:ascii="楷体" w:eastAsia="楷体" w:hAnsi="楷体" w:cs="Arial"/>
                <w:b/>
                <w:bCs/>
                <w:color w:val="000000"/>
                <w:kern w:val="0"/>
                <w:sz w:val="18"/>
                <w:szCs w:val="18"/>
              </w:rPr>
            </w:pPr>
          </w:p>
        </w:tc>
        <w:tc>
          <w:tcPr>
            <w:tcW w:w="817" w:type="dxa"/>
            <w:tcBorders>
              <w:left w:val="single" w:sz="4" w:space="0" w:color="auto"/>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000411.</w:t>
            </w:r>
          </w:p>
        </w:tc>
        <w:tc>
          <w:tcPr>
            <w:tcW w:w="1701" w:type="dxa"/>
            <w:shd w:val="clear" w:color="auto" w:fill="FFFFFF" w:themeFill="background1"/>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景顺长城优质成长</w:t>
            </w:r>
          </w:p>
        </w:tc>
        <w:tc>
          <w:tcPr>
            <w:tcW w:w="743" w:type="dxa"/>
            <w:shd w:val="clear" w:color="auto" w:fill="FFFFFF" w:themeFill="background1"/>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2.30</w:t>
            </w:r>
          </w:p>
        </w:tc>
      </w:tr>
      <w:tr w:rsidR="00CE3D57" w:rsidRPr="0032491D" w:rsidTr="00943C56">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E3D57" w:rsidRPr="0032491D" w:rsidRDefault="00CE3D57" w:rsidP="00943C56">
            <w:pPr>
              <w:widowControl/>
              <w:jc w:val="left"/>
              <w:rPr>
                <w:rFonts w:ascii="楷体" w:eastAsia="楷体" w:hAnsi="楷体" w:cs="Arial"/>
                <w:b/>
                <w:bCs/>
                <w:color w:val="000000"/>
                <w:kern w:val="0"/>
                <w:sz w:val="18"/>
                <w:szCs w:val="18"/>
              </w:rPr>
            </w:pPr>
          </w:p>
        </w:tc>
        <w:tc>
          <w:tcPr>
            <w:tcW w:w="817" w:type="dxa"/>
            <w:tcBorders>
              <w:left w:val="single" w:sz="4" w:space="0" w:color="auto"/>
              <w:bottom w:val="single" w:sz="4" w:space="0" w:color="auto"/>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001313.</w:t>
            </w:r>
          </w:p>
        </w:tc>
        <w:tc>
          <w:tcPr>
            <w:tcW w:w="1701" w:type="dxa"/>
            <w:tcBorders>
              <w:bottom w:val="single" w:sz="4" w:space="0" w:color="auto"/>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上投摩根智慧互联</w:t>
            </w:r>
          </w:p>
        </w:tc>
        <w:tc>
          <w:tcPr>
            <w:tcW w:w="743" w:type="dxa"/>
            <w:tcBorders>
              <w:bottom w:val="single" w:sz="4" w:space="0" w:color="auto"/>
            </w:tcBorders>
            <w:shd w:val="clear" w:color="auto" w:fill="FFFFFF" w:themeFill="background1"/>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2.28</w:t>
            </w:r>
          </w:p>
        </w:tc>
      </w:tr>
      <w:tr w:rsidR="00CE3D57" w:rsidRPr="0032491D" w:rsidTr="00943C56">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CE3D57" w:rsidRPr="0032491D" w:rsidRDefault="00CE3D57" w:rsidP="00943C56">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指数股基</w:t>
            </w:r>
            <w:proofErr w:type="gramEnd"/>
          </w:p>
        </w:tc>
        <w:tc>
          <w:tcPr>
            <w:tcW w:w="817" w:type="dxa"/>
            <w:tcBorders>
              <w:top w:val="single" w:sz="4" w:space="0" w:color="auto"/>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168202.</w:t>
            </w:r>
          </w:p>
        </w:tc>
        <w:tc>
          <w:tcPr>
            <w:tcW w:w="1701" w:type="dxa"/>
            <w:tcBorders>
              <w:top w:val="single" w:sz="4" w:space="0" w:color="auto"/>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proofErr w:type="gramStart"/>
            <w:r w:rsidRPr="00CE3D57">
              <w:rPr>
                <w:rFonts w:ascii="楷体" w:eastAsia="楷体" w:hAnsi="楷体" w:hint="eastAsia"/>
                <w:color w:val="000000"/>
                <w:sz w:val="16"/>
                <w:szCs w:val="16"/>
              </w:rPr>
              <w:t>中融中</w:t>
            </w:r>
            <w:proofErr w:type="gramEnd"/>
            <w:r w:rsidRPr="00CE3D57">
              <w:rPr>
                <w:rFonts w:ascii="楷体" w:eastAsia="楷体" w:hAnsi="楷体" w:hint="eastAsia"/>
                <w:color w:val="000000"/>
                <w:sz w:val="16"/>
                <w:szCs w:val="16"/>
              </w:rPr>
              <w:t>证白酒</w:t>
            </w:r>
          </w:p>
        </w:tc>
        <w:tc>
          <w:tcPr>
            <w:tcW w:w="743" w:type="dxa"/>
            <w:tcBorders>
              <w:top w:val="single" w:sz="4" w:space="0" w:color="auto"/>
              <w:left w:val="nil"/>
              <w:bottom w:val="nil"/>
              <w:right w:val="nil"/>
            </w:tcBorders>
            <w:shd w:val="clear" w:color="auto" w:fill="F2F2F2" w:themeFill="background1" w:themeFillShade="F2"/>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7.34</w:t>
            </w:r>
          </w:p>
        </w:tc>
      </w:tr>
      <w:tr w:rsidR="00CE3D57" w:rsidRPr="0032491D" w:rsidTr="00943C56">
        <w:trPr>
          <w:trHeight w:val="284"/>
        </w:trPr>
        <w:tc>
          <w:tcPr>
            <w:tcW w:w="709" w:type="dxa"/>
            <w:vMerge/>
            <w:tcBorders>
              <w:left w:val="nil"/>
              <w:right w:val="single" w:sz="8" w:space="0" w:color="000000"/>
            </w:tcBorders>
            <w:shd w:val="clear" w:color="auto" w:fill="F2F2F2" w:themeFill="background1" w:themeFillShade="F2"/>
            <w:vAlign w:val="center"/>
            <w:hideMark/>
          </w:tcPr>
          <w:p w:rsidR="00CE3D57" w:rsidRPr="0032491D" w:rsidRDefault="00CE3D57"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161725.</w:t>
            </w:r>
          </w:p>
        </w:tc>
        <w:tc>
          <w:tcPr>
            <w:tcW w:w="1701"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招商中证白酒</w:t>
            </w:r>
          </w:p>
        </w:tc>
        <w:tc>
          <w:tcPr>
            <w:tcW w:w="743" w:type="dxa"/>
            <w:tcBorders>
              <w:top w:val="nil"/>
              <w:left w:val="nil"/>
              <w:bottom w:val="nil"/>
              <w:right w:val="nil"/>
            </w:tcBorders>
            <w:shd w:val="clear" w:color="auto" w:fill="F2F2F2" w:themeFill="background1" w:themeFillShade="F2"/>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2.63</w:t>
            </w:r>
          </w:p>
        </w:tc>
      </w:tr>
      <w:tr w:rsidR="00CE3D57" w:rsidRPr="0032491D" w:rsidTr="00943C5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E3D57" w:rsidRPr="0032491D" w:rsidRDefault="00CE3D57"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001554.</w:t>
            </w:r>
          </w:p>
        </w:tc>
        <w:tc>
          <w:tcPr>
            <w:tcW w:w="1701" w:type="dxa"/>
            <w:tcBorders>
              <w:top w:val="nil"/>
              <w:left w:val="nil"/>
              <w:bottom w:val="single" w:sz="8" w:space="0" w:color="000000"/>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proofErr w:type="gramStart"/>
            <w:r w:rsidRPr="00CE3D57">
              <w:rPr>
                <w:rFonts w:ascii="楷体" w:eastAsia="楷体" w:hAnsi="楷体" w:hint="eastAsia"/>
                <w:color w:val="000000"/>
                <w:sz w:val="16"/>
                <w:szCs w:val="16"/>
              </w:rPr>
              <w:t>天弘中证全指运输</w:t>
            </w:r>
            <w:proofErr w:type="gramEnd"/>
            <w:r w:rsidRPr="00CE3D57">
              <w:rPr>
                <w:rFonts w:ascii="楷体" w:eastAsia="楷体" w:hAnsi="楷体" w:hint="eastAsia"/>
                <w:color w:val="000000"/>
                <w:sz w:val="16"/>
                <w:szCs w:val="16"/>
              </w:rPr>
              <w:t>A</w:t>
            </w:r>
          </w:p>
        </w:tc>
        <w:tc>
          <w:tcPr>
            <w:tcW w:w="743" w:type="dxa"/>
            <w:tcBorders>
              <w:top w:val="nil"/>
              <w:left w:val="nil"/>
              <w:bottom w:val="single" w:sz="8" w:space="0" w:color="000000"/>
              <w:right w:val="nil"/>
            </w:tcBorders>
            <w:shd w:val="clear" w:color="auto" w:fill="F2F2F2" w:themeFill="background1" w:themeFillShade="F2"/>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1.89</w:t>
            </w:r>
          </w:p>
        </w:tc>
      </w:tr>
      <w:tr w:rsidR="00CE3D57" w:rsidRPr="0032491D" w:rsidTr="00943C5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E3D57" w:rsidRPr="0032491D" w:rsidRDefault="00CE3D57" w:rsidP="00943C56">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混合偏股</w:t>
            </w:r>
            <w:proofErr w:type="gramEnd"/>
          </w:p>
        </w:tc>
        <w:tc>
          <w:tcPr>
            <w:tcW w:w="817" w:type="dxa"/>
            <w:tcBorders>
              <w:top w:val="nil"/>
              <w:left w:val="nil"/>
              <w:bottom w:val="nil"/>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210005.</w:t>
            </w:r>
          </w:p>
        </w:tc>
        <w:tc>
          <w:tcPr>
            <w:tcW w:w="1701" w:type="dxa"/>
            <w:tcBorders>
              <w:top w:val="nil"/>
              <w:left w:val="nil"/>
              <w:bottom w:val="nil"/>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金</w:t>
            </w:r>
            <w:proofErr w:type="gramStart"/>
            <w:r w:rsidRPr="00CE3D57">
              <w:rPr>
                <w:rFonts w:ascii="楷体" w:eastAsia="楷体" w:hAnsi="楷体" w:hint="eastAsia"/>
                <w:color w:val="000000"/>
                <w:sz w:val="16"/>
                <w:szCs w:val="16"/>
              </w:rPr>
              <w:t>鹰主题</w:t>
            </w:r>
            <w:proofErr w:type="gramEnd"/>
            <w:r w:rsidRPr="00CE3D57">
              <w:rPr>
                <w:rFonts w:ascii="楷体" w:eastAsia="楷体" w:hAnsi="楷体" w:hint="eastAsia"/>
                <w:color w:val="000000"/>
                <w:sz w:val="16"/>
                <w:szCs w:val="16"/>
              </w:rPr>
              <w:t>优势</w:t>
            </w:r>
          </w:p>
        </w:tc>
        <w:tc>
          <w:tcPr>
            <w:tcW w:w="743" w:type="dxa"/>
            <w:tcBorders>
              <w:top w:val="nil"/>
              <w:left w:val="nil"/>
              <w:bottom w:val="nil"/>
              <w:right w:val="nil"/>
            </w:tcBorders>
            <w:shd w:val="clear" w:color="auto" w:fill="FFFFFF" w:themeFill="background1"/>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4.11</w:t>
            </w:r>
          </w:p>
        </w:tc>
      </w:tr>
      <w:tr w:rsidR="00CE3D57" w:rsidRPr="0032491D" w:rsidTr="00943C56">
        <w:trPr>
          <w:trHeight w:val="284"/>
        </w:trPr>
        <w:tc>
          <w:tcPr>
            <w:tcW w:w="709" w:type="dxa"/>
            <w:vMerge/>
            <w:tcBorders>
              <w:left w:val="nil"/>
              <w:right w:val="single" w:sz="8" w:space="0" w:color="000000"/>
            </w:tcBorders>
            <w:shd w:val="clear" w:color="auto" w:fill="FFFFFF" w:themeFill="background1"/>
            <w:vAlign w:val="center"/>
            <w:hideMark/>
          </w:tcPr>
          <w:p w:rsidR="00CE3D57" w:rsidRPr="0032491D" w:rsidRDefault="00CE3D57"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162214.</w:t>
            </w:r>
          </w:p>
        </w:tc>
        <w:tc>
          <w:tcPr>
            <w:tcW w:w="1701" w:type="dxa"/>
            <w:tcBorders>
              <w:top w:val="nil"/>
              <w:left w:val="nil"/>
              <w:bottom w:val="nil"/>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泰达宏利领先中小盘</w:t>
            </w:r>
          </w:p>
        </w:tc>
        <w:tc>
          <w:tcPr>
            <w:tcW w:w="743" w:type="dxa"/>
            <w:tcBorders>
              <w:top w:val="nil"/>
              <w:left w:val="nil"/>
              <w:bottom w:val="nil"/>
              <w:right w:val="nil"/>
            </w:tcBorders>
            <w:shd w:val="clear" w:color="auto" w:fill="FFFFFF" w:themeFill="background1"/>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3.35</w:t>
            </w:r>
          </w:p>
        </w:tc>
      </w:tr>
      <w:tr w:rsidR="00CE3D57" w:rsidRPr="0032491D" w:rsidTr="00943C5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E3D57" w:rsidRPr="0032491D" w:rsidRDefault="00CE3D57"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213</w:t>
            </w:r>
            <w:r>
              <w:rPr>
                <w:rFonts w:ascii="楷体" w:eastAsia="楷体" w:hAnsi="楷体" w:hint="eastAsia"/>
                <w:color w:val="000000"/>
                <w:sz w:val="16"/>
                <w:szCs w:val="16"/>
              </w:rPr>
              <w:t>002.</w:t>
            </w:r>
          </w:p>
        </w:tc>
        <w:tc>
          <w:tcPr>
            <w:tcW w:w="1701" w:type="dxa"/>
            <w:tcBorders>
              <w:top w:val="nil"/>
              <w:left w:val="nil"/>
              <w:bottom w:val="single" w:sz="8" w:space="0" w:color="000000"/>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proofErr w:type="gramStart"/>
            <w:r w:rsidRPr="00CE3D57">
              <w:rPr>
                <w:rFonts w:ascii="楷体" w:eastAsia="楷体" w:hAnsi="楷体" w:hint="eastAsia"/>
                <w:color w:val="000000"/>
                <w:sz w:val="16"/>
                <w:szCs w:val="16"/>
              </w:rPr>
              <w:t>宝盈泛沿海</w:t>
            </w:r>
            <w:proofErr w:type="gramEnd"/>
            <w:r w:rsidRPr="00CE3D57">
              <w:rPr>
                <w:rFonts w:ascii="楷体" w:eastAsia="楷体" w:hAnsi="楷体" w:hint="eastAsia"/>
                <w:color w:val="000000"/>
                <w:sz w:val="16"/>
                <w:szCs w:val="16"/>
              </w:rPr>
              <w:t>增长</w:t>
            </w:r>
          </w:p>
        </w:tc>
        <w:tc>
          <w:tcPr>
            <w:tcW w:w="743" w:type="dxa"/>
            <w:tcBorders>
              <w:top w:val="nil"/>
              <w:left w:val="nil"/>
              <w:bottom w:val="single" w:sz="8" w:space="0" w:color="000000"/>
              <w:right w:val="nil"/>
            </w:tcBorders>
            <w:shd w:val="clear" w:color="auto" w:fill="FFFFFF" w:themeFill="background1"/>
            <w:vAlign w:val="center"/>
            <w:hideMark/>
          </w:tcPr>
          <w:p w:rsidR="00CE3D57" w:rsidRPr="00CE3D57" w:rsidRDefault="00CE3D57" w:rsidP="00CE3D57">
            <w:pPr>
              <w:jc w:val="right"/>
              <w:rPr>
                <w:rFonts w:ascii="楷体" w:eastAsia="楷体" w:hAnsi="楷体"/>
                <w:color w:val="000000"/>
                <w:sz w:val="16"/>
                <w:szCs w:val="16"/>
              </w:rPr>
            </w:pPr>
            <w:r w:rsidRPr="00CE3D57">
              <w:rPr>
                <w:rFonts w:ascii="楷体" w:eastAsia="楷体" w:hAnsi="楷体" w:hint="eastAsia"/>
                <w:color w:val="000000"/>
                <w:sz w:val="16"/>
                <w:szCs w:val="16"/>
              </w:rPr>
              <w:t>3.08</w:t>
            </w:r>
          </w:p>
        </w:tc>
      </w:tr>
      <w:tr w:rsidR="00CE3D57" w:rsidRPr="0032491D" w:rsidTr="00943C56">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E3D57" w:rsidRPr="0032491D" w:rsidRDefault="00CE3D57" w:rsidP="00943C56">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混合偏债</w:t>
            </w:r>
            <w:proofErr w:type="gramEnd"/>
          </w:p>
        </w:tc>
        <w:tc>
          <w:tcPr>
            <w:tcW w:w="817"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000695.</w:t>
            </w:r>
          </w:p>
        </w:tc>
        <w:tc>
          <w:tcPr>
            <w:tcW w:w="1701"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proofErr w:type="gramStart"/>
            <w:r w:rsidRPr="00CE3D57">
              <w:rPr>
                <w:rFonts w:ascii="楷体" w:eastAsia="楷体" w:hAnsi="楷体" w:hint="eastAsia"/>
                <w:color w:val="000000"/>
                <w:sz w:val="16"/>
                <w:szCs w:val="16"/>
              </w:rPr>
              <w:t>大成景益平稳</w:t>
            </w:r>
            <w:proofErr w:type="gramEnd"/>
            <w:r w:rsidRPr="00CE3D57">
              <w:rPr>
                <w:rFonts w:ascii="楷体" w:eastAsia="楷体" w:hAnsi="楷体" w:hint="eastAsia"/>
                <w:color w:val="000000"/>
                <w:sz w:val="16"/>
                <w:szCs w:val="16"/>
              </w:rPr>
              <w:t>收益</w:t>
            </w:r>
          </w:p>
        </w:tc>
        <w:tc>
          <w:tcPr>
            <w:tcW w:w="743" w:type="dxa"/>
            <w:tcBorders>
              <w:top w:val="nil"/>
              <w:left w:val="nil"/>
              <w:bottom w:val="nil"/>
              <w:right w:val="nil"/>
            </w:tcBorders>
            <w:shd w:val="clear" w:color="auto" w:fill="F2F2F2" w:themeFill="background1" w:themeFillShade="F2"/>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2.09</w:t>
            </w:r>
          </w:p>
        </w:tc>
      </w:tr>
      <w:tr w:rsidR="00CE3D57" w:rsidRPr="0032491D" w:rsidTr="00943C56">
        <w:trPr>
          <w:trHeight w:val="284"/>
        </w:trPr>
        <w:tc>
          <w:tcPr>
            <w:tcW w:w="709" w:type="dxa"/>
            <w:vMerge/>
            <w:tcBorders>
              <w:left w:val="nil"/>
              <w:right w:val="single" w:sz="8" w:space="0" w:color="000000"/>
            </w:tcBorders>
            <w:shd w:val="clear" w:color="auto" w:fill="F2F2F2" w:themeFill="background1" w:themeFillShade="F2"/>
            <w:vAlign w:val="center"/>
            <w:hideMark/>
          </w:tcPr>
          <w:p w:rsidR="00CE3D57" w:rsidRPr="0032491D" w:rsidRDefault="00CE3D57"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001448.</w:t>
            </w:r>
          </w:p>
        </w:tc>
        <w:tc>
          <w:tcPr>
            <w:tcW w:w="1701"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华商双翼</w:t>
            </w:r>
          </w:p>
        </w:tc>
        <w:tc>
          <w:tcPr>
            <w:tcW w:w="743" w:type="dxa"/>
            <w:tcBorders>
              <w:top w:val="nil"/>
              <w:left w:val="nil"/>
              <w:bottom w:val="nil"/>
              <w:right w:val="nil"/>
            </w:tcBorders>
            <w:shd w:val="clear" w:color="auto" w:fill="F2F2F2" w:themeFill="background1" w:themeFillShade="F2"/>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0.92</w:t>
            </w:r>
          </w:p>
        </w:tc>
      </w:tr>
      <w:tr w:rsidR="00CE3D57" w:rsidRPr="0032491D" w:rsidTr="00943C5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E3D57" w:rsidRPr="0032491D" w:rsidRDefault="00CE3D57"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206013.</w:t>
            </w:r>
          </w:p>
        </w:tc>
        <w:tc>
          <w:tcPr>
            <w:tcW w:w="1701" w:type="dxa"/>
            <w:tcBorders>
              <w:top w:val="nil"/>
              <w:left w:val="nil"/>
              <w:bottom w:val="single" w:sz="8" w:space="0" w:color="000000"/>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鹏华金刚保本</w:t>
            </w:r>
          </w:p>
        </w:tc>
        <w:tc>
          <w:tcPr>
            <w:tcW w:w="743" w:type="dxa"/>
            <w:tcBorders>
              <w:top w:val="nil"/>
              <w:left w:val="nil"/>
              <w:bottom w:val="single" w:sz="8" w:space="0" w:color="000000"/>
              <w:right w:val="nil"/>
            </w:tcBorders>
            <w:shd w:val="clear" w:color="auto" w:fill="F2F2F2" w:themeFill="background1" w:themeFillShade="F2"/>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0.79</w:t>
            </w:r>
          </w:p>
        </w:tc>
      </w:tr>
      <w:tr w:rsidR="00CE3D57" w:rsidRPr="0032491D" w:rsidTr="00943C5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E3D57" w:rsidRPr="0032491D" w:rsidRDefault="00CE3D57" w:rsidP="00943C56">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混合灵活</w:t>
            </w:r>
          </w:p>
        </w:tc>
        <w:tc>
          <w:tcPr>
            <w:tcW w:w="817" w:type="dxa"/>
            <w:tcBorders>
              <w:top w:val="nil"/>
              <w:left w:val="nil"/>
              <w:bottom w:val="nil"/>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168101.</w:t>
            </w:r>
          </w:p>
        </w:tc>
        <w:tc>
          <w:tcPr>
            <w:tcW w:w="1701" w:type="dxa"/>
            <w:tcBorders>
              <w:top w:val="nil"/>
              <w:left w:val="nil"/>
              <w:bottom w:val="nil"/>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proofErr w:type="gramStart"/>
            <w:r w:rsidRPr="00CE3D57">
              <w:rPr>
                <w:rFonts w:ascii="楷体" w:eastAsia="楷体" w:hAnsi="楷体" w:hint="eastAsia"/>
                <w:color w:val="000000"/>
                <w:sz w:val="16"/>
                <w:szCs w:val="16"/>
              </w:rPr>
              <w:t>九泰锐智定增</w:t>
            </w:r>
            <w:proofErr w:type="gramEnd"/>
          </w:p>
        </w:tc>
        <w:tc>
          <w:tcPr>
            <w:tcW w:w="743" w:type="dxa"/>
            <w:tcBorders>
              <w:top w:val="nil"/>
              <w:left w:val="nil"/>
              <w:bottom w:val="nil"/>
              <w:right w:val="nil"/>
            </w:tcBorders>
            <w:shd w:val="clear" w:color="auto" w:fill="FFFFFF" w:themeFill="background1"/>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2.69</w:t>
            </w:r>
          </w:p>
        </w:tc>
      </w:tr>
      <w:tr w:rsidR="00CE3D57" w:rsidRPr="0032491D" w:rsidTr="00943C56">
        <w:trPr>
          <w:trHeight w:val="284"/>
        </w:trPr>
        <w:tc>
          <w:tcPr>
            <w:tcW w:w="709" w:type="dxa"/>
            <w:vMerge/>
            <w:tcBorders>
              <w:left w:val="nil"/>
              <w:right w:val="single" w:sz="8" w:space="0" w:color="000000"/>
            </w:tcBorders>
            <w:shd w:val="clear" w:color="auto" w:fill="FFFFFF" w:themeFill="background1"/>
            <w:vAlign w:val="center"/>
            <w:hideMark/>
          </w:tcPr>
          <w:p w:rsidR="00CE3D57" w:rsidRPr="0032491D" w:rsidRDefault="00CE3D57"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001128.</w:t>
            </w:r>
          </w:p>
        </w:tc>
        <w:tc>
          <w:tcPr>
            <w:tcW w:w="1701" w:type="dxa"/>
            <w:tcBorders>
              <w:top w:val="nil"/>
              <w:left w:val="nil"/>
              <w:bottom w:val="nil"/>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宝盈新兴产业</w:t>
            </w:r>
          </w:p>
        </w:tc>
        <w:tc>
          <w:tcPr>
            <w:tcW w:w="743" w:type="dxa"/>
            <w:tcBorders>
              <w:top w:val="nil"/>
              <w:left w:val="nil"/>
              <w:bottom w:val="nil"/>
              <w:right w:val="nil"/>
            </w:tcBorders>
            <w:shd w:val="clear" w:color="auto" w:fill="FFFFFF" w:themeFill="background1"/>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2.56</w:t>
            </w:r>
          </w:p>
        </w:tc>
      </w:tr>
      <w:tr w:rsidR="00CE3D57" w:rsidRPr="0032491D" w:rsidTr="00943C5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E3D57" w:rsidRPr="0032491D" w:rsidRDefault="00CE3D57"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000404.</w:t>
            </w:r>
          </w:p>
        </w:tc>
        <w:tc>
          <w:tcPr>
            <w:tcW w:w="1701" w:type="dxa"/>
            <w:tcBorders>
              <w:top w:val="nil"/>
              <w:left w:val="nil"/>
              <w:bottom w:val="single" w:sz="8" w:space="0" w:color="000000"/>
              <w:right w:val="nil"/>
            </w:tcBorders>
            <w:shd w:val="clear" w:color="auto" w:fill="FFFFFF" w:themeFill="background1"/>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易方达新兴成长</w:t>
            </w:r>
          </w:p>
        </w:tc>
        <w:tc>
          <w:tcPr>
            <w:tcW w:w="743" w:type="dxa"/>
            <w:tcBorders>
              <w:top w:val="nil"/>
              <w:left w:val="nil"/>
              <w:bottom w:val="single" w:sz="8" w:space="0" w:color="000000"/>
              <w:right w:val="nil"/>
            </w:tcBorders>
            <w:shd w:val="clear" w:color="auto" w:fill="FFFFFF" w:themeFill="background1"/>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2.45</w:t>
            </w:r>
          </w:p>
        </w:tc>
      </w:tr>
      <w:tr w:rsidR="00CE3D57" w:rsidRPr="0032491D" w:rsidTr="00943C56">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E3D57" w:rsidRPr="0032491D" w:rsidRDefault="00CE3D57" w:rsidP="00943C56">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混合平衡</w:t>
            </w:r>
          </w:p>
        </w:tc>
        <w:tc>
          <w:tcPr>
            <w:tcW w:w="817"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100016.</w:t>
            </w:r>
          </w:p>
        </w:tc>
        <w:tc>
          <w:tcPr>
            <w:tcW w:w="1701"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富国天</w:t>
            </w:r>
            <w:proofErr w:type="gramStart"/>
            <w:r w:rsidRPr="00CE3D57">
              <w:rPr>
                <w:rFonts w:ascii="楷体" w:eastAsia="楷体" w:hAnsi="楷体" w:hint="eastAsia"/>
                <w:color w:val="000000"/>
                <w:sz w:val="16"/>
                <w:szCs w:val="16"/>
              </w:rPr>
              <w:t>源平衡</w:t>
            </w:r>
            <w:proofErr w:type="gramEnd"/>
          </w:p>
        </w:tc>
        <w:tc>
          <w:tcPr>
            <w:tcW w:w="743" w:type="dxa"/>
            <w:tcBorders>
              <w:top w:val="nil"/>
              <w:left w:val="nil"/>
              <w:bottom w:val="nil"/>
              <w:right w:val="nil"/>
            </w:tcBorders>
            <w:shd w:val="clear" w:color="auto" w:fill="F2F2F2" w:themeFill="background1" w:themeFillShade="F2"/>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1.78</w:t>
            </w:r>
          </w:p>
        </w:tc>
      </w:tr>
      <w:tr w:rsidR="00CE3D57" w:rsidRPr="0032491D" w:rsidTr="00943C56">
        <w:trPr>
          <w:trHeight w:val="284"/>
        </w:trPr>
        <w:tc>
          <w:tcPr>
            <w:tcW w:w="709" w:type="dxa"/>
            <w:vMerge/>
            <w:tcBorders>
              <w:left w:val="nil"/>
              <w:right w:val="single" w:sz="8" w:space="0" w:color="000000"/>
            </w:tcBorders>
            <w:shd w:val="clear" w:color="auto" w:fill="F2F2F2" w:themeFill="background1" w:themeFillShade="F2"/>
            <w:vAlign w:val="center"/>
            <w:hideMark/>
          </w:tcPr>
          <w:p w:rsidR="00CE3D57" w:rsidRPr="0032491D" w:rsidRDefault="00CE3D57"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040004.</w:t>
            </w:r>
          </w:p>
        </w:tc>
        <w:tc>
          <w:tcPr>
            <w:tcW w:w="1701" w:type="dxa"/>
            <w:tcBorders>
              <w:top w:val="nil"/>
              <w:left w:val="nil"/>
              <w:bottom w:val="nil"/>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华安宝利配置</w:t>
            </w:r>
          </w:p>
        </w:tc>
        <w:tc>
          <w:tcPr>
            <w:tcW w:w="743" w:type="dxa"/>
            <w:tcBorders>
              <w:top w:val="nil"/>
              <w:left w:val="nil"/>
              <w:bottom w:val="nil"/>
              <w:right w:val="nil"/>
            </w:tcBorders>
            <w:shd w:val="clear" w:color="auto" w:fill="F2F2F2" w:themeFill="background1" w:themeFillShade="F2"/>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1.23</w:t>
            </w:r>
          </w:p>
        </w:tc>
      </w:tr>
      <w:tr w:rsidR="00CE3D57" w:rsidRPr="0032491D" w:rsidTr="00943C5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E3D57" w:rsidRPr="0032491D" w:rsidRDefault="00CE3D57"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Pr>
                <w:rFonts w:ascii="楷体" w:eastAsia="楷体" w:hAnsi="楷体" w:hint="eastAsia"/>
                <w:color w:val="000000"/>
                <w:sz w:val="16"/>
                <w:szCs w:val="16"/>
              </w:rPr>
              <w:t>373010.</w:t>
            </w:r>
          </w:p>
        </w:tc>
        <w:tc>
          <w:tcPr>
            <w:tcW w:w="1701" w:type="dxa"/>
            <w:tcBorders>
              <w:top w:val="nil"/>
              <w:left w:val="nil"/>
              <w:bottom w:val="single" w:sz="8" w:space="0" w:color="000000"/>
              <w:right w:val="nil"/>
            </w:tcBorders>
            <w:shd w:val="clear" w:color="auto" w:fill="F2F2F2" w:themeFill="background1" w:themeFillShade="F2"/>
            <w:vAlign w:val="center"/>
            <w:hideMark/>
          </w:tcPr>
          <w:p w:rsidR="00CE3D57" w:rsidRPr="00CE3D57" w:rsidRDefault="00CE3D57">
            <w:pPr>
              <w:rPr>
                <w:rFonts w:ascii="楷体" w:eastAsia="楷体" w:hAnsi="楷体"/>
                <w:color w:val="000000"/>
                <w:sz w:val="16"/>
                <w:szCs w:val="16"/>
              </w:rPr>
            </w:pPr>
            <w:r w:rsidRPr="00CE3D57">
              <w:rPr>
                <w:rFonts w:ascii="楷体" w:eastAsia="楷体" w:hAnsi="楷体" w:hint="eastAsia"/>
                <w:color w:val="000000"/>
                <w:sz w:val="16"/>
                <w:szCs w:val="16"/>
              </w:rPr>
              <w:t>上投摩根双</w:t>
            </w:r>
            <w:proofErr w:type="gramStart"/>
            <w:r w:rsidRPr="00CE3D57">
              <w:rPr>
                <w:rFonts w:ascii="楷体" w:eastAsia="楷体" w:hAnsi="楷体" w:hint="eastAsia"/>
                <w:color w:val="000000"/>
                <w:sz w:val="16"/>
                <w:szCs w:val="16"/>
              </w:rPr>
              <w:t>息平衡</w:t>
            </w:r>
            <w:proofErr w:type="gramEnd"/>
          </w:p>
        </w:tc>
        <w:tc>
          <w:tcPr>
            <w:tcW w:w="743" w:type="dxa"/>
            <w:tcBorders>
              <w:top w:val="nil"/>
              <w:left w:val="nil"/>
              <w:bottom w:val="single" w:sz="8" w:space="0" w:color="000000"/>
              <w:right w:val="nil"/>
            </w:tcBorders>
            <w:shd w:val="clear" w:color="auto" w:fill="F2F2F2" w:themeFill="background1" w:themeFillShade="F2"/>
            <w:vAlign w:val="center"/>
            <w:hideMark/>
          </w:tcPr>
          <w:p w:rsidR="00CE3D57" w:rsidRPr="00CE3D57" w:rsidRDefault="00CE3D57">
            <w:pPr>
              <w:jc w:val="right"/>
              <w:rPr>
                <w:rFonts w:ascii="楷体" w:eastAsia="楷体" w:hAnsi="楷体"/>
                <w:color w:val="000000"/>
                <w:sz w:val="16"/>
                <w:szCs w:val="16"/>
              </w:rPr>
            </w:pPr>
            <w:r w:rsidRPr="00CE3D57">
              <w:rPr>
                <w:rFonts w:ascii="楷体" w:eastAsia="楷体" w:hAnsi="楷体" w:hint="eastAsia"/>
                <w:color w:val="000000"/>
                <w:sz w:val="16"/>
                <w:szCs w:val="16"/>
              </w:rPr>
              <w:t>0.61</w:t>
            </w:r>
          </w:p>
        </w:tc>
      </w:tr>
      <w:tr w:rsidR="000C6D4E" w:rsidRPr="0032491D" w:rsidTr="001378CD">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0C6D4E" w:rsidRPr="0032491D" w:rsidRDefault="000C6D4E" w:rsidP="00943C56">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纯债基金</w:t>
            </w:r>
            <w:proofErr w:type="gramEnd"/>
          </w:p>
        </w:tc>
        <w:tc>
          <w:tcPr>
            <w:tcW w:w="817" w:type="dxa"/>
            <w:tcBorders>
              <w:top w:val="nil"/>
              <w:left w:val="nil"/>
              <w:bottom w:val="nil"/>
              <w:right w:val="nil"/>
            </w:tcBorders>
            <w:shd w:val="clear" w:color="auto" w:fill="FFFFFF" w:themeFill="background1"/>
            <w:hideMark/>
          </w:tcPr>
          <w:p w:rsidR="000C6D4E" w:rsidRPr="000C6D4E" w:rsidRDefault="000C6D4E">
            <w:pPr>
              <w:rPr>
                <w:rFonts w:ascii="楷体" w:eastAsia="楷体" w:hAnsi="楷体"/>
                <w:color w:val="000000"/>
                <w:sz w:val="16"/>
                <w:szCs w:val="16"/>
              </w:rPr>
            </w:pPr>
            <w:r>
              <w:rPr>
                <w:rFonts w:ascii="楷体" w:eastAsia="楷体" w:hAnsi="楷体" w:hint="eastAsia"/>
                <w:color w:val="000000"/>
                <w:sz w:val="16"/>
                <w:szCs w:val="16"/>
              </w:rPr>
              <w:t>002548.</w:t>
            </w:r>
          </w:p>
        </w:tc>
        <w:tc>
          <w:tcPr>
            <w:tcW w:w="1701" w:type="dxa"/>
            <w:tcBorders>
              <w:top w:val="nil"/>
              <w:left w:val="nil"/>
              <w:bottom w:val="nil"/>
              <w:right w:val="nil"/>
            </w:tcBorders>
            <w:shd w:val="clear" w:color="auto" w:fill="FFFFFF" w:themeFill="background1"/>
            <w:hideMark/>
          </w:tcPr>
          <w:p w:rsidR="000C6D4E" w:rsidRPr="000C6D4E" w:rsidRDefault="000C6D4E">
            <w:pPr>
              <w:rPr>
                <w:rFonts w:ascii="楷体" w:eastAsia="楷体" w:hAnsi="楷体"/>
                <w:color w:val="000000"/>
                <w:sz w:val="16"/>
                <w:szCs w:val="16"/>
              </w:rPr>
            </w:pPr>
            <w:r w:rsidRPr="000C6D4E">
              <w:rPr>
                <w:rFonts w:ascii="楷体" w:eastAsia="楷体" w:hAnsi="楷体" w:hint="eastAsia"/>
                <w:color w:val="000000"/>
                <w:sz w:val="16"/>
                <w:szCs w:val="16"/>
              </w:rPr>
              <w:t>嘉</w:t>
            </w:r>
            <w:proofErr w:type="gramStart"/>
            <w:r w:rsidRPr="000C6D4E">
              <w:rPr>
                <w:rFonts w:ascii="楷体" w:eastAsia="楷体" w:hAnsi="楷体" w:hint="eastAsia"/>
                <w:color w:val="000000"/>
                <w:sz w:val="16"/>
                <w:szCs w:val="16"/>
              </w:rPr>
              <w:t>实稳瑞纯债</w:t>
            </w:r>
            <w:proofErr w:type="gramEnd"/>
          </w:p>
        </w:tc>
        <w:tc>
          <w:tcPr>
            <w:tcW w:w="743" w:type="dxa"/>
            <w:tcBorders>
              <w:top w:val="nil"/>
              <w:left w:val="nil"/>
              <w:bottom w:val="nil"/>
              <w:right w:val="nil"/>
            </w:tcBorders>
            <w:shd w:val="clear" w:color="auto" w:fill="FFFFFF" w:themeFill="background1"/>
            <w:vAlign w:val="center"/>
            <w:hideMark/>
          </w:tcPr>
          <w:p w:rsidR="000C6D4E" w:rsidRPr="000C6D4E" w:rsidRDefault="000C6D4E">
            <w:pPr>
              <w:jc w:val="right"/>
              <w:rPr>
                <w:rFonts w:ascii="楷体" w:eastAsia="楷体" w:hAnsi="楷体"/>
                <w:color w:val="000000"/>
                <w:sz w:val="16"/>
                <w:szCs w:val="16"/>
              </w:rPr>
            </w:pPr>
            <w:r w:rsidRPr="000C6D4E">
              <w:rPr>
                <w:rFonts w:ascii="楷体" w:eastAsia="楷体" w:hAnsi="楷体" w:hint="eastAsia"/>
                <w:color w:val="000000"/>
                <w:sz w:val="16"/>
                <w:szCs w:val="16"/>
              </w:rPr>
              <w:t>5.91</w:t>
            </w:r>
          </w:p>
        </w:tc>
      </w:tr>
      <w:tr w:rsidR="000C6D4E" w:rsidRPr="0032491D" w:rsidTr="00943C56">
        <w:trPr>
          <w:trHeight w:val="284"/>
        </w:trPr>
        <w:tc>
          <w:tcPr>
            <w:tcW w:w="709" w:type="dxa"/>
            <w:vMerge/>
            <w:tcBorders>
              <w:left w:val="nil"/>
              <w:right w:val="single" w:sz="8" w:space="0" w:color="000000"/>
            </w:tcBorders>
            <w:shd w:val="clear" w:color="auto" w:fill="FFFFFF" w:themeFill="background1"/>
            <w:vAlign w:val="center"/>
            <w:hideMark/>
          </w:tcPr>
          <w:p w:rsidR="000C6D4E" w:rsidRPr="0032491D" w:rsidRDefault="000C6D4E"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0C6D4E" w:rsidRPr="000C6D4E" w:rsidRDefault="000C6D4E">
            <w:pPr>
              <w:rPr>
                <w:rFonts w:ascii="楷体" w:eastAsia="楷体" w:hAnsi="楷体"/>
                <w:color w:val="000000"/>
                <w:sz w:val="16"/>
                <w:szCs w:val="16"/>
              </w:rPr>
            </w:pPr>
            <w:r>
              <w:rPr>
                <w:rFonts w:ascii="楷体" w:eastAsia="楷体" w:hAnsi="楷体" w:hint="eastAsia"/>
                <w:color w:val="000000"/>
                <w:sz w:val="16"/>
                <w:szCs w:val="16"/>
              </w:rPr>
              <w:t>164703.</w:t>
            </w:r>
          </w:p>
        </w:tc>
        <w:tc>
          <w:tcPr>
            <w:tcW w:w="1701" w:type="dxa"/>
            <w:tcBorders>
              <w:top w:val="nil"/>
              <w:left w:val="nil"/>
              <w:bottom w:val="nil"/>
              <w:right w:val="nil"/>
            </w:tcBorders>
            <w:shd w:val="clear" w:color="auto" w:fill="FFFFFF" w:themeFill="background1"/>
            <w:vAlign w:val="center"/>
            <w:hideMark/>
          </w:tcPr>
          <w:p w:rsidR="000C6D4E" w:rsidRPr="000C6D4E" w:rsidRDefault="000C6D4E">
            <w:pPr>
              <w:rPr>
                <w:rFonts w:ascii="楷体" w:eastAsia="楷体" w:hAnsi="楷体"/>
                <w:color w:val="000000"/>
                <w:sz w:val="16"/>
                <w:szCs w:val="16"/>
              </w:rPr>
            </w:pPr>
            <w:proofErr w:type="gramStart"/>
            <w:r w:rsidRPr="000C6D4E">
              <w:rPr>
                <w:rFonts w:ascii="楷体" w:eastAsia="楷体" w:hAnsi="楷体" w:hint="eastAsia"/>
                <w:color w:val="000000"/>
                <w:sz w:val="16"/>
                <w:szCs w:val="16"/>
              </w:rPr>
              <w:t>汇添富</w:t>
            </w:r>
            <w:proofErr w:type="gramEnd"/>
            <w:r w:rsidRPr="000C6D4E">
              <w:rPr>
                <w:rFonts w:ascii="楷体" w:eastAsia="楷体" w:hAnsi="楷体" w:hint="eastAsia"/>
                <w:color w:val="000000"/>
                <w:sz w:val="16"/>
                <w:szCs w:val="16"/>
              </w:rPr>
              <w:t>互利分级</w:t>
            </w:r>
          </w:p>
        </w:tc>
        <w:tc>
          <w:tcPr>
            <w:tcW w:w="743" w:type="dxa"/>
            <w:tcBorders>
              <w:top w:val="nil"/>
              <w:left w:val="nil"/>
              <w:bottom w:val="nil"/>
              <w:right w:val="nil"/>
            </w:tcBorders>
            <w:shd w:val="clear" w:color="auto" w:fill="FFFFFF" w:themeFill="background1"/>
            <w:vAlign w:val="center"/>
            <w:hideMark/>
          </w:tcPr>
          <w:p w:rsidR="000C6D4E" w:rsidRPr="000C6D4E" w:rsidRDefault="000C6D4E">
            <w:pPr>
              <w:jc w:val="right"/>
              <w:rPr>
                <w:rFonts w:ascii="楷体" w:eastAsia="楷体" w:hAnsi="楷体"/>
                <w:color w:val="000000"/>
                <w:sz w:val="16"/>
                <w:szCs w:val="16"/>
              </w:rPr>
            </w:pPr>
            <w:r w:rsidRPr="000C6D4E">
              <w:rPr>
                <w:rFonts w:ascii="楷体" w:eastAsia="楷体" w:hAnsi="楷体" w:hint="eastAsia"/>
                <w:color w:val="000000"/>
                <w:sz w:val="16"/>
                <w:szCs w:val="16"/>
              </w:rPr>
              <w:t>0.91</w:t>
            </w:r>
          </w:p>
        </w:tc>
      </w:tr>
      <w:tr w:rsidR="000C6D4E" w:rsidRPr="0032491D" w:rsidTr="00943C5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0C6D4E" w:rsidRPr="0032491D" w:rsidRDefault="000C6D4E"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0C6D4E" w:rsidRPr="000C6D4E" w:rsidRDefault="000C6D4E">
            <w:pPr>
              <w:rPr>
                <w:rFonts w:ascii="楷体" w:eastAsia="楷体" w:hAnsi="楷体"/>
                <w:color w:val="000000"/>
                <w:sz w:val="16"/>
                <w:szCs w:val="16"/>
              </w:rPr>
            </w:pPr>
            <w:r>
              <w:rPr>
                <w:rFonts w:ascii="楷体" w:eastAsia="楷体" w:hAnsi="楷体" w:hint="eastAsia"/>
                <w:color w:val="000000"/>
                <w:sz w:val="16"/>
                <w:szCs w:val="16"/>
              </w:rPr>
              <w:t>000284.</w:t>
            </w:r>
          </w:p>
        </w:tc>
        <w:tc>
          <w:tcPr>
            <w:tcW w:w="1701" w:type="dxa"/>
            <w:tcBorders>
              <w:top w:val="nil"/>
              <w:left w:val="nil"/>
              <w:bottom w:val="single" w:sz="8" w:space="0" w:color="000000"/>
              <w:right w:val="nil"/>
            </w:tcBorders>
            <w:shd w:val="clear" w:color="auto" w:fill="FFFFFF" w:themeFill="background1"/>
            <w:vAlign w:val="center"/>
            <w:hideMark/>
          </w:tcPr>
          <w:p w:rsidR="000C6D4E" w:rsidRPr="000C6D4E" w:rsidRDefault="000C6D4E">
            <w:pPr>
              <w:rPr>
                <w:rFonts w:ascii="楷体" w:eastAsia="楷体" w:hAnsi="楷体"/>
                <w:color w:val="000000"/>
                <w:sz w:val="16"/>
                <w:szCs w:val="16"/>
              </w:rPr>
            </w:pPr>
            <w:r w:rsidRPr="000C6D4E">
              <w:rPr>
                <w:rFonts w:ascii="楷体" w:eastAsia="楷体" w:hAnsi="楷体" w:hint="eastAsia"/>
                <w:color w:val="000000"/>
                <w:sz w:val="16"/>
                <w:szCs w:val="16"/>
              </w:rPr>
              <w:t>富安达信用主题轮动A</w:t>
            </w:r>
          </w:p>
        </w:tc>
        <w:tc>
          <w:tcPr>
            <w:tcW w:w="743" w:type="dxa"/>
            <w:tcBorders>
              <w:top w:val="nil"/>
              <w:left w:val="nil"/>
              <w:bottom w:val="single" w:sz="8" w:space="0" w:color="000000"/>
              <w:right w:val="nil"/>
            </w:tcBorders>
            <w:shd w:val="clear" w:color="auto" w:fill="FFFFFF" w:themeFill="background1"/>
            <w:vAlign w:val="center"/>
            <w:hideMark/>
          </w:tcPr>
          <w:p w:rsidR="000C6D4E" w:rsidRPr="000C6D4E" w:rsidRDefault="000C6D4E">
            <w:pPr>
              <w:jc w:val="right"/>
              <w:rPr>
                <w:rFonts w:ascii="楷体" w:eastAsia="楷体" w:hAnsi="楷体"/>
                <w:color w:val="000000"/>
                <w:sz w:val="16"/>
                <w:szCs w:val="16"/>
              </w:rPr>
            </w:pPr>
            <w:r w:rsidRPr="000C6D4E">
              <w:rPr>
                <w:rFonts w:ascii="楷体" w:eastAsia="楷体" w:hAnsi="楷体" w:hint="eastAsia"/>
                <w:color w:val="000000"/>
                <w:sz w:val="16"/>
                <w:szCs w:val="16"/>
              </w:rPr>
              <w:t>0.83</w:t>
            </w:r>
          </w:p>
        </w:tc>
      </w:tr>
      <w:tr w:rsidR="000C6D4E" w:rsidRPr="0032491D" w:rsidTr="00943C56">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0C6D4E" w:rsidRPr="0032491D" w:rsidRDefault="000C6D4E" w:rsidP="00943C56">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一级债基</w:t>
            </w:r>
            <w:proofErr w:type="gramEnd"/>
          </w:p>
        </w:tc>
        <w:tc>
          <w:tcPr>
            <w:tcW w:w="817" w:type="dxa"/>
            <w:tcBorders>
              <w:top w:val="nil"/>
              <w:left w:val="nil"/>
              <w:bottom w:val="nil"/>
              <w:right w:val="nil"/>
            </w:tcBorders>
            <w:shd w:val="clear" w:color="auto" w:fill="F2F2F2" w:themeFill="background1" w:themeFillShade="F2"/>
            <w:vAlign w:val="center"/>
            <w:hideMark/>
          </w:tcPr>
          <w:p w:rsidR="000C6D4E" w:rsidRPr="000C6D4E" w:rsidRDefault="000C6D4E">
            <w:pPr>
              <w:rPr>
                <w:rFonts w:ascii="楷体" w:eastAsia="楷体" w:hAnsi="楷体"/>
                <w:color w:val="000000"/>
                <w:sz w:val="16"/>
                <w:szCs w:val="16"/>
              </w:rPr>
            </w:pPr>
            <w:r>
              <w:rPr>
                <w:rFonts w:ascii="楷体" w:eastAsia="楷体" w:hAnsi="楷体" w:hint="eastAsia"/>
                <w:color w:val="000000"/>
                <w:sz w:val="16"/>
                <w:szCs w:val="16"/>
              </w:rPr>
              <w:t>160513.</w:t>
            </w:r>
          </w:p>
        </w:tc>
        <w:tc>
          <w:tcPr>
            <w:tcW w:w="1701" w:type="dxa"/>
            <w:tcBorders>
              <w:top w:val="nil"/>
              <w:left w:val="nil"/>
              <w:bottom w:val="nil"/>
              <w:right w:val="nil"/>
            </w:tcBorders>
            <w:shd w:val="clear" w:color="auto" w:fill="F2F2F2" w:themeFill="background1" w:themeFillShade="F2"/>
            <w:vAlign w:val="center"/>
            <w:hideMark/>
          </w:tcPr>
          <w:p w:rsidR="000C6D4E" w:rsidRPr="000C6D4E" w:rsidRDefault="000C6D4E">
            <w:pPr>
              <w:rPr>
                <w:rFonts w:ascii="楷体" w:eastAsia="楷体" w:hAnsi="楷体"/>
                <w:color w:val="000000"/>
                <w:sz w:val="16"/>
                <w:szCs w:val="16"/>
              </w:rPr>
            </w:pPr>
            <w:r w:rsidRPr="000C6D4E">
              <w:rPr>
                <w:rFonts w:ascii="楷体" w:eastAsia="楷体" w:hAnsi="楷体" w:hint="eastAsia"/>
                <w:color w:val="000000"/>
                <w:sz w:val="16"/>
                <w:szCs w:val="16"/>
              </w:rPr>
              <w:t>博时稳健回报A</w:t>
            </w:r>
          </w:p>
        </w:tc>
        <w:tc>
          <w:tcPr>
            <w:tcW w:w="743" w:type="dxa"/>
            <w:tcBorders>
              <w:top w:val="nil"/>
              <w:left w:val="nil"/>
              <w:bottom w:val="nil"/>
              <w:right w:val="nil"/>
            </w:tcBorders>
            <w:shd w:val="clear" w:color="auto" w:fill="F2F2F2" w:themeFill="background1" w:themeFillShade="F2"/>
            <w:vAlign w:val="center"/>
            <w:hideMark/>
          </w:tcPr>
          <w:p w:rsidR="000C6D4E" w:rsidRPr="000C6D4E" w:rsidRDefault="000C6D4E">
            <w:pPr>
              <w:jc w:val="right"/>
              <w:rPr>
                <w:rFonts w:ascii="楷体" w:eastAsia="楷体" w:hAnsi="楷体"/>
                <w:color w:val="000000"/>
                <w:sz w:val="16"/>
                <w:szCs w:val="16"/>
              </w:rPr>
            </w:pPr>
            <w:r w:rsidRPr="000C6D4E">
              <w:rPr>
                <w:rFonts w:ascii="楷体" w:eastAsia="楷体" w:hAnsi="楷体" w:hint="eastAsia"/>
                <w:color w:val="000000"/>
                <w:sz w:val="16"/>
                <w:szCs w:val="16"/>
              </w:rPr>
              <w:t>0.78</w:t>
            </w:r>
          </w:p>
        </w:tc>
      </w:tr>
      <w:tr w:rsidR="000C6D4E" w:rsidRPr="0032491D" w:rsidTr="00943C56">
        <w:trPr>
          <w:trHeight w:val="284"/>
        </w:trPr>
        <w:tc>
          <w:tcPr>
            <w:tcW w:w="709" w:type="dxa"/>
            <w:vMerge/>
            <w:tcBorders>
              <w:left w:val="nil"/>
              <w:right w:val="single" w:sz="8" w:space="0" w:color="000000"/>
            </w:tcBorders>
            <w:shd w:val="clear" w:color="auto" w:fill="F2F2F2" w:themeFill="background1" w:themeFillShade="F2"/>
            <w:vAlign w:val="center"/>
            <w:hideMark/>
          </w:tcPr>
          <w:p w:rsidR="000C6D4E" w:rsidRPr="0032491D" w:rsidRDefault="000C6D4E"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0C6D4E" w:rsidRPr="000C6D4E" w:rsidRDefault="000C6D4E">
            <w:pPr>
              <w:rPr>
                <w:rFonts w:ascii="楷体" w:eastAsia="楷体" w:hAnsi="楷体"/>
                <w:color w:val="000000"/>
                <w:sz w:val="16"/>
                <w:szCs w:val="16"/>
              </w:rPr>
            </w:pPr>
            <w:r>
              <w:rPr>
                <w:rFonts w:ascii="楷体" w:eastAsia="楷体" w:hAnsi="楷体" w:hint="eastAsia"/>
                <w:color w:val="000000"/>
                <w:sz w:val="16"/>
                <w:szCs w:val="16"/>
              </w:rPr>
              <w:t>160132.</w:t>
            </w:r>
          </w:p>
        </w:tc>
        <w:tc>
          <w:tcPr>
            <w:tcW w:w="1701" w:type="dxa"/>
            <w:tcBorders>
              <w:top w:val="nil"/>
              <w:left w:val="nil"/>
              <w:bottom w:val="nil"/>
              <w:right w:val="nil"/>
            </w:tcBorders>
            <w:shd w:val="clear" w:color="auto" w:fill="F2F2F2" w:themeFill="background1" w:themeFillShade="F2"/>
            <w:vAlign w:val="center"/>
            <w:hideMark/>
          </w:tcPr>
          <w:p w:rsidR="000C6D4E" w:rsidRPr="000C6D4E" w:rsidRDefault="000C6D4E">
            <w:pPr>
              <w:rPr>
                <w:rFonts w:ascii="楷体" w:eastAsia="楷体" w:hAnsi="楷体"/>
                <w:color w:val="000000"/>
                <w:sz w:val="16"/>
                <w:szCs w:val="16"/>
              </w:rPr>
            </w:pPr>
            <w:r w:rsidRPr="000C6D4E">
              <w:rPr>
                <w:rFonts w:ascii="楷体" w:eastAsia="楷体" w:hAnsi="楷体" w:hint="eastAsia"/>
                <w:color w:val="000000"/>
                <w:sz w:val="16"/>
                <w:szCs w:val="16"/>
              </w:rPr>
              <w:t>南方永利1年C</w:t>
            </w:r>
          </w:p>
        </w:tc>
        <w:tc>
          <w:tcPr>
            <w:tcW w:w="743" w:type="dxa"/>
            <w:tcBorders>
              <w:top w:val="nil"/>
              <w:left w:val="nil"/>
              <w:bottom w:val="nil"/>
              <w:right w:val="nil"/>
            </w:tcBorders>
            <w:shd w:val="clear" w:color="auto" w:fill="F2F2F2" w:themeFill="background1" w:themeFillShade="F2"/>
            <w:vAlign w:val="center"/>
            <w:hideMark/>
          </w:tcPr>
          <w:p w:rsidR="000C6D4E" w:rsidRPr="000C6D4E" w:rsidRDefault="000C6D4E">
            <w:pPr>
              <w:jc w:val="right"/>
              <w:rPr>
                <w:rFonts w:ascii="楷体" w:eastAsia="楷体" w:hAnsi="楷体"/>
                <w:color w:val="000000"/>
                <w:sz w:val="16"/>
                <w:szCs w:val="16"/>
              </w:rPr>
            </w:pPr>
            <w:r w:rsidRPr="000C6D4E">
              <w:rPr>
                <w:rFonts w:ascii="楷体" w:eastAsia="楷体" w:hAnsi="楷体" w:hint="eastAsia"/>
                <w:color w:val="000000"/>
                <w:sz w:val="16"/>
                <w:szCs w:val="16"/>
              </w:rPr>
              <w:t>0.75</w:t>
            </w:r>
          </w:p>
        </w:tc>
      </w:tr>
      <w:tr w:rsidR="000C6D4E" w:rsidRPr="0032491D" w:rsidTr="00943C5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0C6D4E" w:rsidRPr="0032491D" w:rsidRDefault="000C6D4E"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0C6D4E" w:rsidRPr="000C6D4E" w:rsidRDefault="000C6D4E">
            <w:pPr>
              <w:rPr>
                <w:rFonts w:ascii="楷体" w:eastAsia="楷体" w:hAnsi="楷体"/>
                <w:color w:val="000000"/>
                <w:sz w:val="16"/>
                <w:szCs w:val="16"/>
              </w:rPr>
            </w:pPr>
            <w:r>
              <w:rPr>
                <w:rFonts w:ascii="楷体" w:eastAsia="楷体" w:hAnsi="楷体" w:hint="eastAsia"/>
                <w:color w:val="000000"/>
                <w:sz w:val="16"/>
                <w:szCs w:val="16"/>
              </w:rPr>
              <w:t>160514.</w:t>
            </w:r>
          </w:p>
        </w:tc>
        <w:tc>
          <w:tcPr>
            <w:tcW w:w="1701" w:type="dxa"/>
            <w:tcBorders>
              <w:top w:val="nil"/>
              <w:left w:val="nil"/>
              <w:bottom w:val="single" w:sz="8" w:space="0" w:color="000000"/>
              <w:right w:val="nil"/>
            </w:tcBorders>
            <w:shd w:val="clear" w:color="auto" w:fill="F2F2F2" w:themeFill="background1" w:themeFillShade="F2"/>
            <w:vAlign w:val="center"/>
            <w:hideMark/>
          </w:tcPr>
          <w:p w:rsidR="000C6D4E" w:rsidRPr="000C6D4E" w:rsidRDefault="000C6D4E">
            <w:pPr>
              <w:rPr>
                <w:rFonts w:ascii="楷体" w:eastAsia="楷体" w:hAnsi="楷体"/>
                <w:color w:val="000000"/>
                <w:sz w:val="16"/>
                <w:szCs w:val="16"/>
              </w:rPr>
            </w:pPr>
            <w:r w:rsidRPr="000C6D4E">
              <w:rPr>
                <w:rFonts w:ascii="楷体" w:eastAsia="楷体" w:hAnsi="楷体" w:hint="eastAsia"/>
                <w:color w:val="000000"/>
                <w:sz w:val="16"/>
                <w:szCs w:val="16"/>
              </w:rPr>
              <w:t>博时稳健回报C</w:t>
            </w:r>
          </w:p>
        </w:tc>
        <w:tc>
          <w:tcPr>
            <w:tcW w:w="743" w:type="dxa"/>
            <w:tcBorders>
              <w:top w:val="nil"/>
              <w:left w:val="nil"/>
              <w:bottom w:val="single" w:sz="8" w:space="0" w:color="000000"/>
              <w:right w:val="nil"/>
            </w:tcBorders>
            <w:shd w:val="clear" w:color="auto" w:fill="F2F2F2" w:themeFill="background1" w:themeFillShade="F2"/>
            <w:vAlign w:val="center"/>
            <w:hideMark/>
          </w:tcPr>
          <w:p w:rsidR="000C6D4E" w:rsidRPr="000C6D4E" w:rsidRDefault="000C6D4E">
            <w:pPr>
              <w:jc w:val="right"/>
              <w:rPr>
                <w:rFonts w:ascii="楷体" w:eastAsia="楷体" w:hAnsi="楷体"/>
                <w:color w:val="000000"/>
                <w:sz w:val="16"/>
                <w:szCs w:val="16"/>
              </w:rPr>
            </w:pPr>
            <w:r w:rsidRPr="000C6D4E">
              <w:rPr>
                <w:rFonts w:ascii="楷体" w:eastAsia="楷体" w:hAnsi="楷体" w:hint="eastAsia"/>
                <w:color w:val="000000"/>
                <w:sz w:val="16"/>
                <w:szCs w:val="16"/>
              </w:rPr>
              <w:t>0.72</w:t>
            </w:r>
          </w:p>
        </w:tc>
      </w:tr>
      <w:tr w:rsidR="00F8134B" w:rsidRPr="0032491D" w:rsidTr="00943C5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8134B" w:rsidRPr="0032491D" w:rsidRDefault="00F8134B" w:rsidP="00943C56">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二级债基</w:t>
            </w:r>
            <w:proofErr w:type="gramEnd"/>
          </w:p>
        </w:tc>
        <w:tc>
          <w:tcPr>
            <w:tcW w:w="817" w:type="dxa"/>
            <w:tcBorders>
              <w:top w:val="nil"/>
              <w:left w:val="nil"/>
              <w:bottom w:val="nil"/>
              <w:right w:val="nil"/>
            </w:tcBorders>
            <w:shd w:val="clear" w:color="auto" w:fill="FFFFFF" w:themeFill="background1"/>
            <w:vAlign w:val="center"/>
            <w:hideMark/>
          </w:tcPr>
          <w:p w:rsidR="00F8134B" w:rsidRPr="00F8134B" w:rsidRDefault="00F8134B">
            <w:pPr>
              <w:rPr>
                <w:rFonts w:ascii="楷体" w:eastAsia="楷体" w:hAnsi="楷体"/>
                <w:color w:val="000000"/>
                <w:sz w:val="16"/>
                <w:szCs w:val="16"/>
              </w:rPr>
            </w:pPr>
            <w:r>
              <w:rPr>
                <w:rFonts w:ascii="楷体" w:eastAsia="楷体" w:hAnsi="楷体" w:hint="eastAsia"/>
                <w:color w:val="000000"/>
                <w:sz w:val="16"/>
                <w:szCs w:val="16"/>
              </w:rPr>
              <w:t>519111.</w:t>
            </w:r>
          </w:p>
        </w:tc>
        <w:tc>
          <w:tcPr>
            <w:tcW w:w="1701" w:type="dxa"/>
            <w:tcBorders>
              <w:top w:val="nil"/>
              <w:left w:val="nil"/>
              <w:bottom w:val="nil"/>
              <w:right w:val="nil"/>
            </w:tcBorders>
            <w:shd w:val="clear" w:color="auto" w:fill="FFFFFF" w:themeFill="background1"/>
            <w:vAlign w:val="center"/>
            <w:hideMark/>
          </w:tcPr>
          <w:p w:rsidR="00F8134B" w:rsidRPr="00F8134B" w:rsidRDefault="00F8134B">
            <w:pPr>
              <w:rPr>
                <w:rFonts w:ascii="楷体" w:eastAsia="楷体" w:hAnsi="楷体"/>
                <w:color w:val="000000"/>
                <w:sz w:val="16"/>
                <w:szCs w:val="16"/>
              </w:rPr>
            </w:pPr>
            <w:proofErr w:type="gramStart"/>
            <w:r w:rsidRPr="00F8134B">
              <w:rPr>
                <w:rFonts w:ascii="楷体" w:eastAsia="楷体" w:hAnsi="楷体" w:hint="eastAsia"/>
                <w:color w:val="000000"/>
                <w:sz w:val="16"/>
                <w:szCs w:val="16"/>
              </w:rPr>
              <w:t>浦银安</w:t>
            </w:r>
            <w:proofErr w:type="gramEnd"/>
            <w:r w:rsidRPr="00F8134B">
              <w:rPr>
                <w:rFonts w:ascii="楷体" w:eastAsia="楷体" w:hAnsi="楷体" w:hint="eastAsia"/>
                <w:color w:val="000000"/>
                <w:sz w:val="16"/>
                <w:szCs w:val="16"/>
              </w:rPr>
              <w:t>盛优化收益A</w:t>
            </w:r>
          </w:p>
        </w:tc>
        <w:tc>
          <w:tcPr>
            <w:tcW w:w="743" w:type="dxa"/>
            <w:tcBorders>
              <w:top w:val="nil"/>
              <w:left w:val="nil"/>
              <w:bottom w:val="nil"/>
              <w:right w:val="nil"/>
            </w:tcBorders>
            <w:shd w:val="clear" w:color="auto" w:fill="FFFFFF" w:themeFill="background1"/>
            <w:vAlign w:val="center"/>
            <w:hideMark/>
          </w:tcPr>
          <w:p w:rsidR="00F8134B" w:rsidRPr="00F8134B" w:rsidRDefault="00F8134B">
            <w:pPr>
              <w:jc w:val="right"/>
              <w:rPr>
                <w:rFonts w:ascii="楷体" w:eastAsia="楷体" w:hAnsi="楷体"/>
                <w:color w:val="000000"/>
                <w:sz w:val="16"/>
                <w:szCs w:val="16"/>
              </w:rPr>
            </w:pPr>
            <w:r w:rsidRPr="00F8134B">
              <w:rPr>
                <w:rFonts w:ascii="楷体" w:eastAsia="楷体" w:hAnsi="楷体" w:hint="eastAsia"/>
                <w:color w:val="000000"/>
                <w:sz w:val="16"/>
                <w:szCs w:val="16"/>
              </w:rPr>
              <w:t>0.72</w:t>
            </w:r>
          </w:p>
        </w:tc>
      </w:tr>
      <w:tr w:rsidR="00F8134B" w:rsidRPr="0032491D" w:rsidTr="00943C56">
        <w:trPr>
          <w:trHeight w:val="284"/>
        </w:trPr>
        <w:tc>
          <w:tcPr>
            <w:tcW w:w="709" w:type="dxa"/>
            <w:vMerge/>
            <w:tcBorders>
              <w:left w:val="nil"/>
              <w:right w:val="single" w:sz="8" w:space="0" w:color="000000"/>
            </w:tcBorders>
            <w:shd w:val="clear" w:color="auto" w:fill="FFFFFF" w:themeFill="background1"/>
            <w:vAlign w:val="center"/>
            <w:hideMark/>
          </w:tcPr>
          <w:p w:rsidR="00F8134B" w:rsidRPr="0032491D" w:rsidRDefault="00F8134B"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F8134B" w:rsidRPr="00F8134B" w:rsidRDefault="00F8134B">
            <w:pPr>
              <w:rPr>
                <w:rFonts w:ascii="楷体" w:eastAsia="楷体" w:hAnsi="楷体"/>
                <w:color w:val="000000"/>
                <w:sz w:val="16"/>
                <w:szCs w:val="16"/>
              </w:rPr>
            </w:pPr>
            <w:r>
              <w:rPr>
                <w:rFonts w:ascii="楷体" w:eastAsia="楷体" w:hAnsi="楷体" w:hint="eastAsia"/>
                <w:color w:val="000000"/>
                <w:sz w:val="16"/>
                <w:szCs w:val="16"/>
              </w:rPr>
              <w:t>040023.</w:t>
            </w:r>
          </w:p>
        </w:tc>
        <w:tc>
          <w:tcPr>
            <w:tcW w:w="1701" w:type="dxa"/>
            <w:tcBorders>
              <w:top w:val="nil"/>
              <w:left w:val="nil"/>
              <w:bottom w:val="nil"/>
              <w:right w:val="nil"/>
            </w:tcBorders>
            <w:shd w:val="clear" w:color="auto" w:fill="FFFFFF" w:themeFill="background1"/>
            <w:vAlign w:val="center"/>
            <w:hideMark/>
          </w:tcPr>
          <w:p w:rsidR="00F8134B" w:rsidRPr="00F8134B" w:rsidRDefault="00F8134B">
            <w:pPr>
              <w:rPr>
                <w:rFonts w:ascii="楷体" w:eastAsia="楷体" w:hAnsi="楷体"/>
                <w:color w:val="000000"/>
                <w:sz w:val="16"/>
                <w:szCs w:val="16"/>
              </w:rPr>
            </w:pPr>
            <w:r w:rsidRPr="00F8134B">
              <w:rPr>
                <w:rFonts w:ascii="楷体" w:eastAsia="楷体" w:hAnsi="楷体" w:hint="eastAsia"/>
                <w:color w:val="000000"/>
                <w:sz w:val="16"/>
                <w:szCs w:val="16"/>
              </w:rPr>
              <w:t>华安可转债B</w:t>
            </w:r>
          </w:p>
        </w:tc>
        <w:tc>
          <w:tcPr>
            <w:tcW w:w="743" w:type="dxa"/>
            <w:tcBorders>
              <w:top w:val="nil"/>
              <w:left w:val="nil"/>
              <w:bottom w:val="nil"/>
              <w:right w:val="nil"/>
            </w:tcBorders>
            <w:shd w:val="clear" w:color="auto" w:fill="FFFFFF" w:themeFill="background1"/>
            <w:vAlign w:val="center"/>
            <w:hideMark/>
          </w:tcPr>
          <w:p w:rsidR="00F8134B" w:rsidRPr="00F8134B" w:rsidRDefault="00F8134B">
            <w:pPr>
              <w:jc w:val="right"/>
              <w:rPr>
                <w:rFonts w:ascii="楷体" w:eastAsia="楷体" w:hAnsi="楷体"/>
                <w:color w:val="000000"/>
                <w:sz w:val="16"/>
                <w:szCs w:val="16"/>
              </w:rPr>
            </w:pPr>
            <w:r w:rsidRPr="00F8134B">
              <w:rPr>
                <w:rFonts w:ascii="楷体" w:eastAsia="楷体" w:hAnsi="楷体" w:hint="eastAsia"/>
                <w:color w:val="000000"/>
                <w:sz w:val="16"/>
                <w:szCs w:val="16"/>
              </w:rPr>
              <w:t>0.70</w:t>
            </w:r>
          </w:p>
        </w:tc>
      </w:tr>
      <w:tr w:rsidR="00F8134B" w:rsidRPr="0032491D" w:rsidTr="00943C5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8134B" w:rsidRPr="0032491D" w:rsidRDefault="00F8134B"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F8134B" w:rsidRPr="00F8134B" w:rsidRDefault="00F8134B">
            <w:pPr>
              <w:rPr>
                <w:rFonts w:ascii="楷体" w:eastAsia="楷体" w:hAnsi="楷体"/>
                <w:color w:val="000000"/>
                <w:sz w:val="16"/>
                <w:szCs w:val="16"/>
              </w:rPr>
            </w:pPr>
            <w:r>
              <w:rPr>
                <w:rFonts w:ascii="楷体" w:eastAsia="楷体" w:hAnsi="楷体" w:hint="eastAsia"/>
                <w:color w:val="000000"/>
                <w:sz w:val="16"/>
                <w:szCs w:val="16"/>
              </w:rPr>
              <w:t>000510.</w:t>
            </w:r>
          </w:p>
        </w:tc>
        <w:tc>
          <w:tcPr>
            <w:tcW w:w="1701" w:type="dxa"/>
            <w:tcBorders>
              <w:top w:val="nil"/>
              <w:left w:val="nil"/>
              <w:bottom w:val="single" w:sz="8" w:space="0" w:color="000000"/>
              <w:right w:val="nil"/>
            </w:tcBorders>
            <w:shd w:val="clear" w:color="auto" w:fill="FFFFFF" w:themeFill="background1"/>
            <w:vAlign w:val="center"/>
            <w:hideMark/>
          </w:tcPr>
          <w:p w:rsidR="00F8134B" w:rsidRPr="00F8134B" w:rsidRDefault="00F8134B">
            <w:pPr>
              <w:rPr>
                <w:rFonts w:ascii="楷体" w:eastAsia="楷体" w:hAnsi="楷体"/>
                <w:color w:val="000000"/>
                <w:sz w:val="16"/>
                <w:szCs w:val="16"/>
              </w:rPr>
            </w:pPr>
            <w:r w:rsidRPr="00F8134B">
              <w:rPr>
                <w:rFonts w:ascii="楷体" w:eastAsia="楷体" w:hAnsi="楷体" w:hint="eastAsia"/>
                <w:color w:val="000000"/>
                <w:sz w:val="16"/>
                <w:szCs w:val="16"/>
              </w:rPr>
              <w:t>诺安永鑫收益一年</w:t>
            </w:r>
          </w:p>
        </w:tc>
        <w:tc>
          <w:tcPr>
            <w:tcW w:w="743" w:type="dxa"/>
            <w:tcBorders>
              <w:top w:val="nil"/>
              <w:left w:val="nil"/>
              <w:bottom w:val="single" w:sz="8" w:space="0" w:color="000000"/>
              <w:right w:val="nil"/>
            </w:tcBorders>
            <w:shd w:val="clear" w:color="auto" w:fill="FFFFFF" w:themeFill="background1"/>
            <w:vAlign w:val="center"/>
            <w:hideMark/>
          </w:tcPr>
          <w:p w:rsidR="00F8134B" w:rsidRPr="00F8134B" w:rsidRDefault="00F8134B">
            <w:pPr>
              <w:jc w:val="right"/>
              <w:rPr>
                <w:rFonts w:ascii="楷体" w:eastAsia="楷体" w:hAnsi="楷体"/>
                <w:color w:val="000000"/>
                <w:sz w:val="16"/>
                <w:szCs w:val="16"/>
              </w:rPr>
            </w:pPr>
            <w:r w:rsidRPr="00F8134B">
              <w:rPr>
                <w:rFonts w:ascii="楷体" w:eastAsia="楷体" w:hAnsi="楷体" w:hint="eastAsia"/>
                <w:color w:val="000000"/>
                <w:sz w:val="16"/>
                <w:szCs w:val="16"/>
              </w:rPr>
              <w:t>0.67</w:t>
            </w:r>
          </w:p>
        </w:tc>
      </w:tr>
      <w:tr w:rsidR="00F8134B" w:rsidRPr="0032491D" w:rsidTr="00943C56">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F8134B" w:rsidRPr="0032491D" w:rsidRDefault="00F8134B" w:rsidP="00943C56">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指数债基</w:t>
            </w:r>
            <w:proofErr w:type="gramEnd"/>
          </w:p>
        </w:tc>
        <w:tc>
          <w:tcPr>
            <w:tcW w:w="817" w:type="dxa"/>
            <w:tcBorders>
              <w:top w:val="nil"/>
              <w:left w:val="nil"/>
              <w:bottom w:val="nil"/>
              <w:right w:val="nil"/>
            </w:tcBorders>
            <w:shd w:val="clear" w:color="auto" w:fill="F2F2F2" w:themeFill="background1" w:themeFillShade="F2"/>
            <w:vAlign w:val="center"/>
            <w:hideMark/>
          </w:tcPr>
          <w:p w:rsidR="00F8134B" w:rsidRPr="00F8134B" w:rsidRDefault="00F8134B">
            <w:pPr>
              <w:rPr>
                <w:rFonts w:ascii="楷体" w:eastAsia="楷体" w:hAnsi="楷体"/>
                <w:color w:val="000000"/>
                <w:sz w:val="16"/>
                <w:szCs w:val="16"/>
              </w:rPr>
            </w:pPr>
            <w:r>
              <w:rPr>
                <w:rFonts w:ascii="楷体" w:eastAsia="楷体" w:hAnsi="楷体" w:hint="eastAsia"/>
                <w:color w:val="000000"/>
                <w:sz w:val="16"/>
                <w:szCs w:val="16"/>
              </w:rPr>
              <w:t>167701.</w:t>
            </w:r>
          </w:p>
        </w:tc>
        <w:tc>
          <w:tcPr>
            <w:tcW w:w="1701" w:type="dxa"/>
            <w:tcBorders>
              <w:top w:val="nil"/>
              <w:left w:val="nil"/>
              <w:bottom w:val="nil"/>
              <w:right w:val="nil"/>
            </w:tcBorders>
            <w:shd w:val="clear" w:color="auto" w:fill="F2F2F2" w:themeFill="background1" w:themeFillShade="F2"/>
            <w:vAlign w:val="center"/>
            <w:hideMark/>
          </w:tcPr>
          <w:p w:rsidR="00F8134B" w:rsidRPr="00F8134B" w:rsidRDefault="00F8134B">
            <w:pPr>
              <w:rPr>
                <w:rFonts w:ascii="楷体" w:eastAsia="楷体" w:hAnsi="楷体"/>
                <w:color w:val="000000"/>
                <w:sz w:val="16"/>
                <w:szCs w:val="16"/>
              </w:rPr>
            </w:pPr>
            <w:r w:rsidRPr="00F8134B">
              <w:rPr>
                <w:rFonts w:ascii="楷体" w:eastAsia="楷体" w:hAnsi="楷体" w:hint="eastAsia"/>
                <w:color w:val="000000"/>
                <w:sz w:val="16"/>
                <w:szCs w:val="16"/>
              </w:rPr>
              <w:t>德</w:t>
            </w:r>
            <w:proofErr w:type="gramStart"/>
            <w:r w:rsidRPr="00F8134B">
              <w:rPr>
                <w:rFonts w:ascii="楷体" w:eastAsia="楷体" w:hAnsi="楷体" w:hint="eastAsia"/>
                <w:color w:val="000000"/>
                <w:sz w:val="16"/>
                <w:szCs w:val="16"/>
              </w:rPr>
              <w:t>邦</w:t>
            </w:r>
            <w:proofErr w:type="gramEnd"/>
            <w:r w:rsidRPr="00F8134B">
              <w:rPr>
                <w:rFonts w:ascii="楷体" w:eastAsia="楷体" w:hAnsi="楷体" w:hint="eastAsia"/>
                <w:color w:val="000000"/>
                <w:sz w:val="16"/>
                <w:szCs w:val="16"/>
              </w:rPr>
              <w:t>企债分级</w:t>
            </w:r>
          </w:p>
        </w:tc>
        <w:tc>
          <w:tcPr>
            <w:tcW w:w="743" w:type="dxa"/>
            <w:tcBorders>
              <w:top w:val="nil"/>
              <w:left w:val="nil"/>
              <w:bottom w:val="nil"/>
              <w:right w:val="nil"/>
            </w:tcBorders>
            <w:shd w:val="clear" w:color="auto" w:fill="F2F2F2" w:themeFill="background1" w:themeFillShade="F2"/>
            <w:vAlign w:val="center"/>
            <w:hideMark/>
          </w:tcPr>
          <w:p w:rsidR="00F8134B" w:rsidRPr="00F8134B" w:rsidRDefault="00F8134B">
            <w:pPr>
              <w:jc w:val="right"/>
              <w:rPr>
                <w:rFonts w:ascii="楷体" w:eastAsia="楷体" w:hAnsi="楷体"/>
                <w:color w:val="000000"/>
                <w:sz w:val="16"/>
                <w:szCs w:val="16"/>
              </w:rPr>
            </w:pPr>
            <w:r w:rsidRPr="00F8134B">
              <w:rPr>
                <w:rFonts w:ascii="楷体" w:eastAsia="楷体" w:hAnsi="楷体" w:hint="eastAsia"/>
                <w:color w:val="000000"/>
                <w:sz w:val="16"/>
                <w:szCs w:val="16"/>
              </w:rPr>
              <w:t>1.30</w:t>
            </w:r>
          </w:p>
        </w:tc>
      </w:tr>
      <w:tr w:rsidR="00F8134B" w:rsidRPr="0032491D" w:rsidTr="00F8134B">
        <w:trPr>
          <w:trHeight w:val="74"/>
        </w:trPr>
        <w:tc>
          <w:tcPr>
            <w:tcW w:w="709" w:type="dxa"/>
            <w:vMerge/>
            <w:tcBorders>
              <w:left w:val="nil"/>
              <w:right w:val="single" w:sz="8" w:space="0" w:color="000000"/>
            </w:tcBorders>
            <w:shd w:val="clear" w:color="auto" w:fill="F2F2F2" w:themeFill="background1" w:themeFillShade="F2"/>
            <w:vAlign w:val="center"/>
            <w:hideMark/>
          </w:tcPr>
          <w:p w:rsidR="00F8134B" w:rsidRPr="0032491D" w:rsidRDefault="00F8134B"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F8134B" w:rsidRPr="00F8134B" w:rsidRDefault="00F8134B">
            <w:pPr>
              <w:rPr>
                <w:rFonts w:ascii="楷体" w:eastAsia="楷体" w:hAnsi="楷体"/>
                <w:color w:val="000000"/>
                <w:sz w:val="16"/>
                <w:szCs w:val="16"/>
              </w:rPr>
            </w:pPr>
            <w:r>
              <w:rPr>
                <w:rFonts w:ascii="楷体" w:eastAsia="楷体" w:hAnsi="楷体" w:hint="eastAsia"/>
                <w:color w:val="000000"/>
                <w:sz w:val="16"/>
                <w:szCs w:val="16"/>
              </w:rPr>
              <w:t>161822.</w:t>
            </w:r>
          </w:p>
        </w:tc>
        <w:tc>
          <w:tcPr>
            <w:tcW w:w="1701" w:type="dxa"/>
            <w:tcBorders>
              <w:top w:val="nil"/>
              <w:left w:val="nil"/>
              <w:bottom w:val="nil"/>
              <w:right w:val="nil"/>
            </w:tcBorders>
            <w:shd w:val="clear" w:color="auto" w:fill="F2F2F2" w:themeFill="background1" w:themeFillShade="F2"/>
            <w:vAlign w:val="center"/>
            <w:hideMark/>
          </w:tcPr>
          <w:p w:rsidR="00F8134B" w:rsidRPr="00F8134B" w:rsidRDefault="00F8134B">
            <w:pPr>
              <w:rPr>
                <w:rFonts w:ascii="楷体" w:eastAsia="楷体" w:hAnsi="楷体"/>
                <w:color w:val="000000"/>
                <w:sz w:val="16"/>
                <w:szCs w:val="16"/>
              </w:rPr>
            </w:pPr>
            <w:r w:rsidRPr="00F8134B">
              <w:rPr>
                <w:rFonts w:ascii="楷体" w:eastAsia="楷体" w:hAnsi="楷体" w:hint="eastAsia"/>
                <w:color w:val="000000"/>
                <w:sz w:val="16"/>
                <w:szCs w:val="16"/>
              </w:rPr>
              <w:t>银华中证中票50C</w:t>
            </w:r>
          </w:p>
        </w:tc>
        <w:tc>
          <w:tcPr>
            <w:tcW w:w="743" w:type="dxa"/>
            <w:tcBorders>
              <w:top w:val="nil"/>
              <w:left w:val="nil"/>
              <w:bottom w:val="nil"/>
              <w:right w:val="nil"/>
            </w:tcBorders>
            <w:shd w:val="clear" w:color="auto" w:fill="F2F2F2" w:themeFill="background1" w:themeFillShade="F2"/>
            <w:vAlign w:val="center"/>
            <w:hideMark/>
          </w:tcPr>
          <w:p w:rsidR="00F8134B" w:rsidRPr="00F8134B" w:rsidRDefault="00F8134B">
            <w:pPr>
              <w:jc w:val="right"/>
              <w:rPr>
                <w:rFonts w:ascii="楷体" w:eastAsia="楷体" w:hAnsi="楷体"/>
                <w:color w:val="000000"/>
                <w:sz w:val="16"/>
                <w:szCs w:val="16"/>
              </w:rPr>
            </w:pPr>
            <w:r w:rsidRPr="00F8134B">
              <w:rPr>
                <w:rFonts w:ascii="楷体" w:eastAsia="楷体" w:hAnsi="楷体" w:hint="eastAsia"/>
                <w:color w:val="000000"/>
                <w:sz w:val="16"/>
                <w:szCs w:val="16"/>
              </w:rPr>
              <w:t>0.34</w:t>
            </w:r>
          </w:p>
        </w:tc>
      </w:tr>
      <w:tr w:rsidR="00F8134B" w:rsidRPr="0032491D" w:rsidTr="00943C56">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8134B" w:rsidRPr="0032491D" w:rsidRDefault="00F8134B"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F8134B" w:rsidRPr="00F8134B" w:rsidRDefault="00F8134B">
            <w:pPr>
              <w:rPr>
                <w:rFonts w:ascii="楷体" w:eastAsia="楷体" w:hAnsi="楷体"/>
                <w:color w:val="000000"/>
                <w:sz w:val="16"/>
                <w:szCs w:val="16"/>
              </w:rPr>
            </w:pPr>
            <w:r>
              <w:rPr>
                <w:rFonts w:ascii="楷体" w:eastAsia="楷体" w:hAnsi="楷体" w:hint="eastAsia"/>
                <w:color w:val="000000"/>
                <w:sz w:val="16"/>
                <w:szCs w:val="16"/>
              </w:rPr>
              <w:t>511220.</w:t>
            </w:r>
          </w:p>
        </w:tc>
        <w:tc>
          <w:tcPr>
            <w:tcW w:w="1701" w:type="dxa"/>
            <w:tcBorders>
              <w:top w:val="nil"/>
              <w:left w:val="nil"/>
              <w:bottom w:val="single" w:sz="8" w:space="0" w:color="000000"/>
              <w:right w:val="nil"/>
            </w:tcBorders>
            <w:shd w:val="clear" w:color="auto" w:fill="F2F2F2" w:themeFill="background1" w:themeFillShade="F2"/>
            <w:vAlign w:val="center"/>
            <w:hideMark/>
          </w:tcPr>
          <w:p w:rsidR="00F8134B" w:rsidRPr="00F8134B" w:rsidRDefault="00F8134B">
            <w:pPr>
              <w:rPr>
                <w:rFonts w:ascii="楷体" w:eastAsia="楷体" w:hAnsi="楷体"/>
                <w:color w:val="000000"/>
                <w:sz w:val="16"/>
                <w:szCs w:val="16"/>
              </w:rPr>
            </w:pPr>
            <w:r w:rsidRPr="00F8134B">
              <w:rPr>
                <w:rFonts w:ascii="楷体" w:eastAsia="楷体" w:hAnsi="楷体" w:hint="eastAsia"/>
                <w:color w:val="000000"/>
                <w:sz w:val="16"/>
                <w:szCs w:val="16"/>
              </w:rPr>
              <w:t>海富通上证可质押</w:t>
            </w:r>
            <w:proofErr w:type="gramStart"/>
            <w:r w:rsidRPr="00F8134B">
              <w:rPr>
                <w:rFonts w:ascii="楷体" w:eastAsia="楷体" w:hAnsi="楷体" w:hint="eastAsia"/>
                <w:color w:val="000000"/>
                <w:sz w:val="16"/>
                <w:szCs w:val="16"/>
              </w:rPr>
              <w:t>城投债</w:t>
            </w:r>
            <w:proofErr w:type="gramEnd"/>
            <w:r w:rsidRPr="00F8134B">
              <w:rPr>
                <w:rFonts w:ascii="楷体" w:eastAsia="楷体" w:hAnsi="楷体" w:hint="eastAsia"/>
                <w:color w:val="000000"/>
                <w:sz w:val="16"/>
                <w:szCs w:val="16"/>
              </w:rPr>
              <w:t>ETF</w:t>
            </w:r>
          </w:p>
        </w:tc>
        <w:tc>
          <w:tcPr>
            <w:tcW w:w="743" w:type="dxa"/>
            <w:tcBorders>
              <w:top w:val="nil"/>
              <w:left w:val="nil"/>
              <w:bottom w:val="single" w:sz="8" w:space="0" w:color="000000"/>
              <w:right w:val="nil"/>
            </w:tcBorders>
            <w:shd w:val="clear" w:color="auto" w:fill="F2F2F2" w:themeFill="background1" w:themeFillShade="F2"/>
            <w:vAlign w:val="center"/>
            <w:hideMark/>
          </w:tcPr>
          <w:p w:rsidR="00F8134B" w:rsidRPr="00F8134B" w:rsidRDefault="00F8134B">
            <w:pPr>
              <w:jc w:val="right"/>
              <w:rPr>
                <w:rFonts w:ascii="楷体" w:eastAsia="楷体" w:hAnsi="楷体"/>
                <w:color w:val="000000"/>
                <w:sz w:val="16"/>
                <w:szCs w:val="16"/>
              </w:rPr>
            </w:pPr>
            <w:r w:rsidRPr="00F8134B">
              <w:rPr>
                <w:rFonts w:ascii="楷体" w:eastAsia="楷体" w:hAnsi="楷体" w:hint="eastAsia"/>
                <w:color w:val="000000"/>
                <w:sz w:val="16"/>
                <w:szCs w:val="16"/>
              </w:rPr>
              <w:t>0.29</w:t>
            </w:r>
          </w:p>
        </w:tc>
      </w:tr>
      <w:tr w:rsidR="00B3422F" w:rsidRPr="0032491D" w:rsidTr="00943C5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B3422F" w:rsidRPr="0032491D" w:rsidRDefault="00B3422F" w:rsidP="00943C56">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货币基金</w:t>
            </w:r>
            <w:r w:rsidRPr="0032491D">
              <w:rPr>
                <w:rFonts w:ascii="楷体" w:eastAsia="楷体" w:hAnsi="楷体" w:cs="Arial"/>
                <w:color w:val="000000"/>
                <w:kern w:val="0"/>
                <w:sz w:val="13"/>
                <w:szCs w:val="13"/>
              </w:rPr>
              <w:t>（七日年化）</w:t>
            </w:r>
          </w:p>
        </w:tc>
        <w:tc>
          <w:tcPr>
            <w:tcW w:w="817" w:type="dxa"/>
            <w:tcBorders>
              <w:top w:val="nil"/>
              <w:left w:val="nil"/>
              <w:bottom w:val="nil"/>
              <w:right w:val="nil"/>
            </w:tcBorders>
            <w:shd w:val="clear" w:color="auto" w:fill="FFFFFF" w:themeFill="background1"/>
            <w:vAlign w:val="center"/>
            <w:hideMark/>
          </w:tcPr>
          <w:p w:rsidR="00B3422F" w:rsidRPr="00B3422F" w:rsidRDefault="00B3422F">
            <w:pPr>
              <w:rPr>
                <w:rFonts w:ascii="楷体" w:eastAsia="楷体" w:hAnsi="楷体"/>
                <w:color w:val="000000"/>
                <w:sz w:val="16"/>
                <w:szCs w:val="16"/>
              </w:rPr>
            </w:pPr>
            <w:r>
              <w:rPr>
                <w:rFonts w:ascii="楷体" w:eastAsia="楷体" w:hAnsi="楷体" w:hint="eastAsia"/>
                <w:color w:val="000000"/>
                <w:sz w:val="16"/>
                <w:szCs w:val="16"/>
              </w:rPr>
              <w:t>000625.</w:t>
            </w:r>
          </w:p>
        </w:tc>
        <w:tc>
          <w:tcPr>
            <w:tcW w:w="1701" w:type="dxa"/>
            <w:tcBorders>
              <w:top w:val="nil"/>
              <w:left w:val="nil"/>
              <w:bottom w:val="nil"/>
              <w:right w:val="nil"/>
            </w:tcBorders>
            <w:shd w:val="clear" w:color="auto" w:fill="FFFFFF" w:themeFill="background1"/>
            <w:vAlign w:val="center"/>
            <w:hideMark/>
          </w:tcPr>
          <w:p w:rsidR="00B3422F" w:rsidRPr="00B3422F" w:rsidRDefault="00B3422F">
            <w:pPr>
              <w:rPr>
                <w:rFonts w:ascii="楷体" w:eastAsia="楷体" w:hAnsi="楷体"/>
                <w:color w:val="000000"/>
                <w:sz w:val="16"/>
                <w:szCs w:val="16"/>
              </w:rPr>
            </w:pPr>
            <w:r w:rsidRPr="00B3422F">
              <w:rPr>
                <w:rFonts w:ascii="楷体" w:eastAsia="楷体" w:hAnsi="楷体" w:hint="eastAsia"/>
                <w:color w:val="000000"/>
                <w:sz w:val="16"/>
                <w:szCs w:val="16"/>
              </w:rPr>
              <w:t>诺安</w:t>
            </w:r>
            <w:proofErr w:type="gramStart"/>
            <w:r w:rsidRPr="00B3422F">
              <w:rPr>
                <w:rFonts w:ascii="楷体" w:eastAsia="楷体" w:hAnsi="楷体" w:hint="eastAsia"/>
                <w:color w:val="000000"/>
                <w:sz w:val="16"/>
                <w:szCs w:val="16"/>
              </w:rPr>
              <w:t>天</w:t>
            </w:r>
            <w:proofErr w:type="gramEnd"/>
            <w:r w:rsidRPr="00B3422F">
              <w:rPr>
                <w:rFonts w:ascii="楷体" w:eastAsia="楷体" w:hAnsi="楷体" w:hint="eastAsia"/>
                <w:color w:val="000000"/>
                <w:sz w:val="16"/>
                <w:szCs w:val="16"/>
              </w:rPr>
              <w:t>天宝B</w:t>
            </w:r>
          </w:p>
        </w:tc>
        <w:tc>
          <w:tcPr>
            <w:tcW w:w="743" w:type="dxa"/>
            <w:tcBorders>
              <w:top w:val="nil"/>
              <w:left w:val="nil"/>
              <w:bottom w:val="nil"/>
              <w:right w:val="nil"/>
            </w:tcBorders>
            <w:shd w:val="clear" w:color="auto" w:fill="FFFFFF" w:themeFill="background1"/>
            <w:vAlign w:val="center"/>
            <w:hideMark/>
          </w:tcPr>
          <w:p w:rsidR="00B3422F" w:rsidRPr="00B3422F" w:rsidRDefault="00B3422F">
            <w:pPr>
              <w:jc w:val="right"/>
              <w:rPr>
                <w:rFonts w:ascii="楷体" w:eastAsia="楷体" w:hAnsi="楷体"/>
                <w:color w:val="000000"/>
                <w:sz w:val="16"/>
                <w:szCs w:val="16"/>
              </w:rPr>
            </w:pPr>
            <w:r w:rsidRPr="00B3422F">
              <w:rPr>
                <w:rFonts w:ascii="楷体" w:eastAsia="楷体" w:hAnsi="楷体" w:hint="eastAsia"/>
                <w:color w:val="000000"/>
                <w:sz w:val="16"/>
                <w:szCs w:val="16"/>
              </w:rPr>
              <w:t>4.69</w:t>
            </w:r>
          </w:p>
        </w:tc>
      </w:tr>
      <w:tr w:rsidR="00B3422F" w:rsidRPr="0032491D" w:rsidTr="00943C56">
        <w:trPr>
          <w:trHeight w:val="284"/>
        </w:trPr>
        <w:tc>
          <w:tcPr>
            <w:tcW w:w="709" w:type="dxa"/>
            <w:vMerge/>
            <w:tcBorders>
              <w:left w:val="nil"/>
              <w:right w:val="single" w:sz="8" w:space="0" w:color="000000"/>
            </w:tcBorders>
            <w:shd w:val="clear" w:color="auto" w:fill="FFFFFF" w:themeFill="background1"/>
            <w:vAlign w:val="center"/>
            <w:hideMark/>
          </w:tcPr>
          <w:p w:rsidR="00B3422F" w:rsidRPr="0032491D" w:rsidRDefault="00B3422F"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B3422F" w:rsidRPr="00B3422F" w:rsidRDefault="00B3422F">
            <w:pPr>
              <w:rPr>
                <w:rFonts w:ascii="楷体" w:eastAsia="楷体" w:hAnsi="楷体"/>
                <w:color w:val="000000"/>
                <w:sz w:val="16"/>
                <w:szCs w:val="16"/>
              </w:rPr>
            </w:pPr>
            <w:r>
              <w:rPr>
                <w:rFonts w:ascii="楷体" w:eastAsia="楷体" w:hAnsi="楷体" w:hint="eastAsia"/>
                <w:color w:val="000000"/>
                <w:sz w:val="16"/>
                <w:szCs w:val="16"/>
              </w:rPr>
              <w:t>000038.</w:t>
            </w:r>
          </w:p>
        </w:tc>
        <w:tc>
          <w:tcPr>
            <w:tcW w:w="1701" w:type="dxa"/>
            <w:tcBorders>
              <w:top w:val="nil"/>
              <w:left w:val="nil"/>
              <w:bottom w:val="nil"/>
              <w:right w:val="nil"/>
            </w:tcBorders>
            <w:shd w:val="clear" w:color="auto" w:fill="FFFFFF" w:themeFill="background1"/>
            <w:vAlign w:val="center"/>
            <w:hideMark/>
          </w:tcPr>
          <w:p w:rsidR="00B3422F" w:rsidRPr="00B3422F" w:rsidRDefault="00B3422F">
            <w:pPr>
              <w:rPr>
                <w:rFonts w:ascii="楷体" w:eastAsia="楷体" w:hAnsi="楷体"/>
                <w:color w:val="000000"/>
                <w:sz w:val="16"/>
                <w:szCs w:val="16"/>
              </w:rPr>
            </w:pPr>
            <w:r w:rsidRPr="00B3422F">
              <w:rPr>
                <w:rFonts w:ascii="楷体" w:eastAsia="楷体" w:hAnsi="楷体" w:hint="eastAsia"/>
                <w:color w:val="000000"/>
                <w:sz w:val="16"/>
                <w:szCs w:val="16"/>
              </w:rPr>
              <w:t>广发理财7天B</w:t>
            </w:r>
          </w:p>
        </w:tc>
        <w:tc>
          <w:tcPr>
            <w:tcW w:w="743" w:type="dxa"/>
            <w:tcBorders>
              <w:top w:val="nil"/>
              <w:left w:val="nil"/>
              <w:bottom w:val="nil"/>
              <w:right w:val="nil"/>
            </w:tcBorders>
            <w:shd w:val="clear" w:color="auto" w:fill="FFFFFF" w:themeFill="background1"/>
            <w:vAlign w:val="center"/>
            <w:hideMark/>
          </w:tcPr>
          <w:p w:rsidR="00B3422F" w:rsidRPr="00B3422F" w:rsidRDefault="00B3422F">
            <w:pPr>
              <w:jc w:val="right"/>
              <w:rPr>
                <w:rFonts w:ascii="楷体" w:eastAsia="楷体" w:hAnsi="楷体"/>
                <w:color w:val="000000"/>
                <w:sz w:val="16"/>
                <w:szCs w:val="16"/>
              </w:rPr>
            </w:pPr>
            <w:r w:rsidRPr="00B3422F">
              <w:rPr>
                <w:rFonts w:ascii="楷体" w:eastAsia="楷体" w:hAnsi="楷体" w:hint="eastAsia"/>
                <w:color w:val="000000"/>
                <w:sz w:val="16"/>
                <w:szCs w:val="16"/>
              </w:rPr>
              <w:t>4.43</w:t>
            </w:r>
          </w:p>
        </w:tc>
      </w:tr>
      <w:tr w:rsidR="00B3422F" w:rsidRPr="0032491D" w:rsidTr="00943C56">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B3422F" w:rsidRPr="0032491D" w:rsidRDefault="00B3422F"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B3422F" w:rsidRPr="00B3422F" w:rsidRDefault="00B3422F">
            <w:pPr>
              <w:rPr>
                <w:rFonts w:ascii="楷体" w:eastAsia="楷体" w:hAnsi="楷体"/>
                <w:color w:val="000000"/>
                <w:sz w:val="16"/>
                <w:szCs w:val="16"/>
              </w:rPr>
            </w:pPr>
            <w:r>
              <w:rPr>
                <w:rFonts w:ascii="楷体" w:eastAsia="楷体" w:hAnsi="楷体" w:hint="eastAsia"/>
                <w:color w:val="000000"/>
                <w:sz w:val="16"/>
                <w:szCs w:val="16"/>
              </w:rPr>
              <w:t>000923.</w:t>
            </w:r>
          </w:p>
        </w:tc>
        <w:tc>
          <w:tcPr>
            <w:tcW w:w="1701" w:type="dxa"/>
            <w:tcBorders>
              <w:top w:val="nil"/>
              <w:left w:val="nil"/>
              <w:bottom w:val="single" w:sz="8" w:space="0" w:color="000000"/>
              <w:right w:val="nil"/>
            </w:tcBorders>
            <w:shd w:val="clear" w:color="auto" w:fill="FFFFFF" w:themeFill="background1"/>
            <w:vAlign w:val="center"/>
            <w:hideMark/>
          </w:tcPr>
          <w:p w:rsidR="00B3422F" w:rsidRPr="00B3422F" w:rsidRDefault="00B3422F">
            <w:pPr>
              <w:rPr>
                <w:rFonts w:ascii="楷体" w:eastAsia="楷体" w:hAnsi="楷体"/>
                <w:color w:val="000000"/>
                <w:sz w:val="16"/>
                <w:szCs w:val="16"/>
              </w:rPr>
            </w:pPr>
            <w:r w:rsidRPr="00B3422F">
              <w:rPr>
                <w:rFonts w:ascii="楷体" w:eastAsia="楷体" w:hAnsi="楷体" w:hint="eastAsia"/>
                <w:color w:val="000000"/>
                <w:sz w:val="16"/>
                <w:szCs w:val="16"/>
              </w:rPr>
              <w:t>中邮现金驿站C</w:t>
            </w:r>
          </w:p>
        </w:tc>
        <w:tc>
          <w:tcPr>
            <w:tcW w:w="743" w:type="dxa"/>
            <w:tcBorders>
              <w:top w:val="nil"/>
              <w:left w:val="nil"/>
              <w:bottom w:val="single" w:sz="8" w:space="0" w:color="000000"/>
              <w:right w:val="nil"/>
            </w:tcBorders>
            <w:shd w:val="clear" w:color="auto" w:fill="FFFFFF" w:themeFill="background1"/>
            <w:vAlign w:val="center"/>
            <w:hideMark/>
          </w:tcPr>
          <w:p w:rsidR="00B3422F" w:rsidRPr="00B3422F" w:rsidRDefault="00B3422F">
            <w:pPr>
              <w:jc w:val="right"/>
              <w:rPr>
                <w:rFonts w:ascii="楷体" w:eastAsia="楷体" w:hAnsi="楷体"/>
                <w:color w:val="000000"/>
                <w:sz w:val="16"/>
                <w:szCs w:val="16"/>
              </w:rPr>
            </w:pPr>
            <w:r w:rsidRPr="00B3422F">
              <w:rPr>
                <w:rFonts w:ascii="楷体" w:eastAsia="楷体" w:hAnsi="楷体" w:hint="eastAsia"/>
                <w:color w:val="000000"/>
                <w:sz w:val="16"/>
                <w:szCs w:val="16"/>
              </w:rPr>
              <w:t>4.39</w:t>
            </w:r>
          </w:p>
        </w:tc>
      </w:tr>
      <w:tr w:rsidR="00B3422F" w:rsidRPr="0032491D" w:rsidTr="00943C56">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B3422F" w:rsidRPr="0032491D" w:rsidRDefault="00B3422F" w:rsidP="00943C56">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商品基金</w:t>
            </w:r>
          </w:p>
        </w:tc>
        <w:tc>
          <w:tcPr>
            <w:tcW w:w="817" w:type="dxa"/>
            <w:tcBorders>
              <w:top w:val="nil"/>
              <w:left w:val="nil"/>
              <w:bottom w:val="single" w:sz="8" w:space="0" w:color="000000"/>
              <w:right w:val="nil"/>
            </w:tcBorders>
            <w:shd w:val="clear" w:color="auto" w:fill="F2F2F2" w:themeFill="background1" w:themeFillShade="F2"/>
            <w:vAlign w:val="center"/>
            <w:hideMark/>
          </w:tcPr>
          <w:p w:rsidR="00B3422F" w:rsidRPr="00B3422F" w:rsidRDefault="00B3422F">
            <w:pPr>
              <w:rPr>
                <w:rFonts w:ascii="楷体" w:eastAsia="楷体" w:hAnsi="楷体"/>
                <w:color w:val="000000"/>
                <w:sz w:val="16"/>
                <w:szCs w:val="16"/>
              </w:rPr>
            </w:pPr>
            <w:r>
              <w:rPr>
                <w:rFonts w:ascii="楷体" w:eastAsia="楷体" w:hAnsi="楷体" w:hint="eastAsia"/>
                <w:color w:val="000000"/>
                <w:sz w:val="16"/>
                <w:szCs w:val="16"/>
              </w:rPr>
              <w:t>000217.</w:t>
            </w:r>
          </w:p>
        </w:tc>
        <w:tc>
          <w:tcPr>
            <w:tcW w:w="1701" w:type="dxa"/>
            <w:tcBorders>
              <w:top w:val="nil"/>
              <w:left w:val="nil"/>
              <w:bottom w:val="single" w:sz="8" w:space="0" w:color="000000"/>
              <w:right w:val="nil"/>
            </w:tcBorders>
            <w:shd w:val="clear" w:color="auto" w:fill="F2F2F2" w:themeFill="background1" w:themeFillShade="F2"/>
            <w:vAlign w:val="center"/>
            <w:hideMark/>
          </w:tcPr>
          <w:p w:rsidR="00B3422F" w:rsidRPr="00B3422F" w:rsidRDefault="00B3422F">
            <w:pPr>
              <w:rPr>
                <w:rFonts w:ascii="楷体" w:eastAsia="楷体" w:hAnsi="楷体"/>
                <w:color w:val="000000"/>
                <w:sz w:val="16"/>
                <w:szCs w:val="16"/>
              </w:rPr>
            </w:pPr>
            <w:r w:rsidRPr="00B3422F">
              <w:rPr>
                <w:rFonts w:ascii="楷体" w:eastAsia="楷体" w:hAnsi="楷体" w:hint="eastAsia"/>
                <w:color w:val="000000"/>
                <w:sz w:val="16"/>
                <w:szCs w:val="16"/>
              </w:rPr>
              <w:t>华安易富黄金ETF联接C</w:t>
            </w:r>
          </w:p>
        </w:tc>
        <w:tc>
          <w:tcPr>
            <w:tcW w:w="743" w:type="dxa"/>
            <w:tcBorders>
              <w:top w:val="nil"/>
              <w:left w:val="nil"/>
              <w:bottom w:val="single" w:sz="8" w:space="0" w:color="000000"/>
              <w:right w:val="nil"/>
            </w:tcBorders>
            <w:shd w:val="clear" w:color="auto" w:fill="F2F2F2" w:themeFill="background1" w:themeFillShade="F2"/>
            <w:vAlign w:val="center"/>
            <w:hideMark/>
          </w:tcPr>
          <w:p w:rsidR="00B3422F" w:rsidRPr="00B3422F" w:rsidRDefault="00B3422F">
            <w:pPr>
              <w:jc w:val="right"/>
              <w:rPr>
                <w:rFonts w:ascii="楷体" w:eastAsia="楷体" w:hAnsi="楷体"/>
                <w:color w:val="000000"/>
                <w:sz w:val="16"/>
                <w:szCs w:val="16"/>
              </w:rPr>
            </w:pPr>
            <w:r w:rsidRPr="00B3422F">
              <w:rPr>
                <w:rFonts w:ascii="楷体" w:eastAsia="楷体" w:hAnsi="楷体" w:hint="eastAsia"/>
                <w:color w:val="000000"/>
                <w:sz w:val="16"/>
                <w:szCs w:val="16"/>
              </w:rPr>
              <w:t>0.83</w:t>
            </w:r>
          </w:p>
        </w:tc>
      </w:tr>
      <w:tr w:rsidR="00E9280D" w:rsidRPr="0032491D" w:rsidTr="00943C56">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9280D" w:rsidRPr="0032491D" w:rsidRDefault="00E9280D" w:rsidP="00943C56">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QDII</w:t>
            </w:r>
          </w:p>
        </w:tc>
        <w:tc>
          <w:tcPr>
            <w:tcW w:w="817" w:type="dxa"/>
            <w:tcBorders>
              <w:top w:val="nil"/>
              <w:left w:val="nil"/>
              <w:bottom w:val="nil"/>
              <w:right w:val="nil"/>
            </w:tcBorders>
            <w:shd w:val="clear" w:color="auto" w:fill="FFFFFF" w:themeFill="background1"/>
            <w:vAlign w:val="center"/>
            <w:hideMark/>
          </w:tcPr>
          <w:p w:rsidR="00E9280D" w:rsidRPr="0032491D" w:rsidRDefault="00E9280D" w:rsidP="00943C56">
            <w:pPr>
              <w:rPr>
                <w:rFonts w:ascii="楷体" w:eastAsia="楷体" w:hAnsi="楷体"/>
                <w:color w:val="000000"/>
                <w:sz w:val="16"/>
                <w:szCs w:val="16"/>
              </w:rPr>
            </w:pPr>
            <w:r w:rsidRPr="0032491D">
              <w:rPr>
                <w:rFonts w:ascii="楷体" w:eastAsia="楷体" w:hAnsi="楷体" w:hint="eastAsia"/>
                <w:color w:val="000000"/>
                <w:sz w:val="16"/>
                <w:szCs w:val="16"/>
              </w:rPr>
              <w:t>162411.</w:t>
            </w:r>
          </w:p>
        </w:tc>
        <w:tc>
          <w:tcPr>
            <w:tcW w:w="1701" w:type="dxa"/>
            <w:tcBorders>
              <w:top w:val="nil"/>
              <w:left w:val="nil"/>
              <w:bottom w:val="nil"/>
              <w:right w:val="nil"/>
            </w:tcBorders>
            <w:shd w:val="clear" w:color="auto" w:fill="FFFFFF" w:themeFill="background1"/>
            <w:vAlign w:val="center"/>
            <w:hideMark/>
          </w:tcPr>
          <w:p w:rsidR="00E9280D" w:rsidRPr="0032491D" w:rsidRDefault="00E9280D" w:rsidP="00943C56">
            <w:pPr>
              <w:rPr>
                <w:rFonts w:ascii="楷体" w:eastAsia="楷体" w:hAnsi="楷体"/>
                <w:color w:val="000000"/>
                <w:sz w:val="16"/>
                <w:szCs w:val="16"/>
              </w:rPr>
            </w:pPr>
            <w:r w:rsidRPr="0032491D">
              <w:rPr>
                <w:rFonts w:ascii="楷体" w:eastAsia="楷体" w:hAnsi="楷体" w:hint="eastAsia"/>
                <w:color w:val="000000"/>
                <w:sz w:val="16"/>
                <w:szCs w:val="16"/>
              </w:rPr>
              <w:t>华</w:t>
            </w:r>
            <w:proofErr w:type="gramStart"/>
            <w:r w:rsidRPr="0032491D">
              <w:rPr>
                <w:rFonts w:ascii="楷体" w:eastAsia="楷体" w:hAnsi="楷体" w:hint="eastAsia"/>
                <w:color w:val="000000"/>
                <w:sz w:val="16"/>
                <w:szCs w:val="16"/>
              </w:rPr>
              <w:t>宝兴业标普油气</w:t>
            </w:r>
            <w:proofErr w:type="gramEnd"/>
            <w:r w:rsidRPr="0032491D">
              <w:rPr>
                <w:rFonts w:ascii="楷体" w:eastAsia="楷体" w:hAnsi="楷体" w:hint="eastAsia"/>
                <w:color w:val="000000"/>
                <w:sz w:val="16"/>
                <w:szCs w:val="16"/>
              </w:rPr>
              <w:t>人民币</w:t>
            </w:r>
          </w:p>
        </w:tc>
        <w:tc>
          <w:tcPr>
            <w:tcW w:w="743" w:type="dxa"/>
            <w:tcBorders>
              <w:top w:val="nil"/>
              <w:left w:val="nil"/>
              <w:bottom w:val="nil"/>
              <w:right w:val="nil"/>
            </w:tcBorders>
            <w:shd w:val="clear" w:color="auto" w:fill="FFFFFF" w:themeFill="background1"/>
            <w:vAlign w:val="center"/>
            <w:hideMark/>
          </w:tcPr>
          <w:p w:rsidR="00E9280D" w:rsidRPr="0032491D" w:rsidRDefault="00E9280D" w:rsidP="00943C56">
            <w:pPr>
              <w:jc w:val="right"/>
              <w:rPr>
                <w:rFonts w:ascii="楷体" w:eastAsia="楷体" w:hAnsi="楷体"/>
                <w:color w:val="000000"/>
                <w:sz w:val="16"/>
                <w:szCs w:val="16"/>
              </w:rPr>
            </w:pPr>
            <w:r w:rsidRPr="0032491D">
              <w:rPr>
                <w:rFonts w:ascii="楷体" w:eastAsia="楷体" w:hAnsi="楷体" w:hint="eastAsia"/>
                <w:color w:val="000000"/>
                <w:sz w:val="16"/>
                <w:szCs w:val="16"/>
              </w:rPr>
              <w:t>17.98</w:t>
            </w:r>
          </w:p>
        </w:tc>
      </w:tr>
      <w:tr w:rsidR="00E9280D" w:rsidRPr="0032491D" w:rsidTr="00943C56">
        <w:trPr>
          <w:trHeight w:val="284"/>
        </w:trPr>
        <w:tc>
          <w:tcPr>
            <w:tcW w:w="709" w:type="dxa"/>
            <w:vMerge/>
            <w:tcBorders>
              <w:left w:val="nil"/>
              <w:right w:val="single" w:sz="8" w:space="0" w:color="000000"/>
            </w:tcBorders>
            <w:shd w:val="clear" w:color="auto" w:fill="FFFFFF" w:themeFill="background1"/>
            <w:vAlign w:val="center"/>
            <w:hideMark/>
          </w:tcPr>
          <w:p w:rsidR="00E9280D" w:rsidRPr="0032491D" w:rsidRDefault="00E9280D" w:rsidP="00943C56">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E9280D" w:rsidRPr="0032491D" w:rsidRDefault="00E9280D" w:rsidP="00943C56">
            <w:pPr>
              <w:rPr>
                <w:rFonts w:ascii="楷体" w:eastAsia="楷体" w:hAnsi="楷体"/>
                <w:color w:val="000000"/>
                <w:sz w:val="16"/>
                <w:szCs w:val="16"/>
              </w:rPr>
            </w:pPr>
            <w:r w:rsidRPr="0032491D">
              <w:rPr>
                <w:rFonts w:ascii="楷体" w:eastAsia="楷体" w:hAnsi="楷体" w:hint="eastAsia"/>
                <w:color w:val="000000"/>
                <w:sz w:val="16"/>
                <w:szCs w:val="16"/>
              </w:rPr>
              <w:t>160216.</w:t>
            </w:r>
          </w:p>
        </w:tc>
        <w:tc>
          <w:tcPr>
            <w:tcW w:w="1701" w:type="dxa"/>
            <w:tcBorders>
              <w:top w:val="nil"/>
              <w:left w:val="nil"/>
              <w:bottom w:val="nil"/>
              <w:right w:val="nil"/>
            </w:tcBorders>
            <w:shd w:val="clear" w:color="auto" w:fill="FFFFFF" w:themeFill="background1"/>
            <w:vAlign w:val="center"/>
            <w:hideMark/>
          </w:tcPr>
          <w:p w:rsidR="00E9280D" w:rsidRPr="0032491D" w:rsidRDefault="00E9280D" w:rsidP="00943C56">
            <w:pPr>
              <w:rPr>
                <w:rFonts w:ascii="楷体" w:eastAsia="楷体" w:hAnsi="楷体"/>
                <w:color w:val="000000"/>
                <w:sz w:val="16"/>
                <w:szCs w:val="16"/>
              </w:rPr>
            </w:pPr>
            <w:r w:rsidRPr="0032491D">
              <w:rPr>
                <w:rFonts w:ascii="楷体" w:eastAsia="楷体" w:hAnsi="楷体" w:hint="eastAsia"/>
                <w:color w:val="000000"/>
                <w:sz w:val="16"/>
                <w:szCs w:val="16"/>
              </w:rPr>
              <w:t>国泰大宗商品</w:t>
            </w:r>
          </w:p>
        </w:tc>
        <w:tc>
          <w:tcPr>
            <w:tcW w:w="743" w:type="dxa"/>
            <w:tcBorders>
              <w:top w:val="nil"/>
              <w:left w:val="nil"/>
              <w:bottom w:val="nil"/>
              <w:right w:val="nil"/>
            </w:tcBorders>
            <w:shd w:val="clear" w:color="auto" w:fill="FFFFFF" w:themeFill="background1"/>
            <w:vAlign w:val="center"/>
            <w:hideMark/>
          </w:tcPr>
          <w:p w:rsidR="00E9280D" w:rsidRPr="0032491D" w:rsidRDefault="00E9280D" w:rsidP="00943C56">
            <w:pPr>
              <w:jc w:val="right"/>
              <w:rPr>
                <w:rFonts w:ascii="楷体" w:eastAsia="楷体" w:hAnsi="楷体"/>
                <w:color w:val="000000"/>
                <w:sz w:val="16"/>
                <w:szCs w:val="16"/>
              </w:rPr>
            </w:pPr>
            <w:r w:rsidRPr="0032491D">
              <w:rPr>
                <w:rFonts w:ascii="楷体" w:eastAsia="楷体" w:hAnsi="楷体" w:hint="eastAsia"/>
                <w:color w:val="000000"/>
                <w:sz w:val="16"/>
                <w:szCs w:val="16"/>
              </w:rPr>
              <w:t>15.93</w:t>
            </w:r>
          </w:p>
        </w:tc>
      </w:tr>
      <w:tr w:rsidR="00E9280D" w:rsidRPr="0032491D" w:rsidTr="00943C56">
        <w:trPr>
          <w:trHeight w:val="284"/>
        </w:trPr>
        <w:tc>
          <w:tcPr>
            <w:tcW w:w="709" w:type="dxa"/>
            <w:vMerge/>
            <w:tcBorders>
              <w:left w:val="nil"/>
              <w:bottom w:val="single" w:sz="12" w:space="0" w:color="auto"/>
              <w:right w:val="single" w:sz="8" w:space="0" w:color="000000"/>
            </w:tcBorders>
            <w:shd w:val="clear" w:color="auto" w:fill="FFFFFF" w:themeFill="background1"/>
            <w:vAlign w:val="center"/>
            <w:hideMark/>
          </w:tcPr>
          <w:p w:rsidR="00E9280D" w:rsidRPr="0032491D" w:rsidRDefault="00E9280D" w:rsidP="00943C56">
            <w:pPr>
              <w:widowControl/>
              <w:jc w:val="left"/>
              <w:rPr>
                <w:rFonts w:ascii="楷体" w:eastAsia="楷体" w:hAnsi="楷体" w:cs="Arial"/>
                <w:b/>
                <w:bCs/>
                <w:color w:val="000000"/>
                <w:kern w:val="0"/>
                <w:sz w:val="18"/>
                <w:szCs w:val="18"/>
              </w:rPr>
            </w:pPr>
          </w:p>
        </w:tc>
        <w:tc>
          <w:tcPr>
            <w:tcW w:w="817" w:type="dxa"/>
            <w:tcBorders>
              <w:top w:val="nil"/>
              <w:left w:val="nil"/>
              <w:bottom w:val="single" w:sz="12" w:space="0" w:color="auto"/>
              <w:right w:val="nil"/>
            </w:tcBorders>
            <w:shd w:val="clear" w:color="auto" w:fill="FFFFFF" w:themeFill="background1"/>
            <w:vAlign w:val="center"/>
            <w:hideMark/>
          </w:tcPr>
          <w:p w:rsidR="00E9280D" w:rsidRPr="0032491D" w:rsidRDefault="00E9280D" w:rsidP="00943C56">
            <w:pPr>
              <w:rPr>
                <w:rFonts w:ascii="楷体" w:eastAsia="楷体" w:hAnsi="楷体"/>
                <w:color w:val="000000"/>
                <w:sz w:val="16"/>
                <w:szCs w:val="16"/>
              </w:rPr>
            </w:pPr>
            <w:r w:rsidRPr="0032491D">
              <w:rPr>
                <w:rFonts w:ascii="楷体" w:eastAsia="楷体" w:hAnsi="楷体" w:hint="eastAsia"/>
                <w:color w:val="000000"/>
                <w:sz w:val="16"/>
                <w:szCs w:val="16"/>
              </w:rPr>
              <w:t>000049.</w:t>
            </w:r>
          </w:p>
        </w:tc>
        <w:tc>
          <w:tcPr>
            <w:tcW w:w="1701" w:type="dxa"/>
            <w:tcBorders>
              <w:top w:val="nil"/>
              <w:left w:val="nil"/>
              <w:bottom w:val="single" w:sz="12" w:space="0" w:color="auto"/>
              <w:right w:val="nil"/>
            </w:tcBorders>
            <w:shd w:val="clear" w:color="auto" w:fill="FFFFFF" w:themeFill="background1"/>
            <w:vAlign w:val="center"/>
            <w:hideMark/>
          </w:tcPr>
          <w:p w:rsidR="00E9280D" w:rsidRPr="0032491D" w:rsidRDefault="00E9280D" w:rsidP="00943C56">
            <w:pPr>
              <w:rPr>
                <w:rFonts w:ascii="楷体" w:eastAsia="楷体" w:hAnsi="楷体"/>
                <w:color w:val="000000"/>
                <w:sz w:val="16"/>
                <w:szCs w:val="16"/>
              </w:rPr>
            </w:pPr>
            <w:r w:rsidRPr="0032491D">
              <w:rPr>
                <w:rFonts w:ascii="楷体" w:eastAsia="楷体" w:hAnsi="楷体" w:hint="eastAsia"/>
                <w:color w:val="000000"/>
                <w:sz w:val="16"/>
                <w:szCs w:val="16"/>
              </w:rPr>
              <w:t>中银</w:t>
            </w:r>
            <w:proofErr w:type="gramStart"/>
            <w:r w:rsidRPr="0032491D">
              <w:rPr>
                <w:rFonts w:ascii="楷体" w:eastAsia="楷体" w:hAnsi="楷体" w:hint="eastAsia"/>
                <w:color w:val="000000"/>
                <w:sz w:val="16"/>
                <w:szCs w:val="16"/>
              </w:rPr>
              <w:t>标普全球</w:t>
            </w:r>
            <w:proofErr w:type="gramEnd"/>
            <w:r w:rsidRPr="0032491D">
              <w:rPr>
                <w:rFonts w:ascii="楷体" w:eastAsia="楷体" w:hAnsi="楷体" w:hint="eastAsia"/>
                <w:color w:val="000000"/>
                <w:sz w:val="16"/>
                <w:szCs w:val="16"/>
              </w:rPr>
              <w:t>精选</w:t>
            </w:r>
          </w:p>
        </w:tc>
        <w:tc>
          <w:tcPr>
            <w:tcW w:w="743" w:type="dxa"/>
            <w:tcBorders>
              <w:top w:val="nil"/>
              <w:left w:val="nil"/>
              <w:bottom w:val="single" w:sz="12" w:space="0" w:color="auto"/>
              <w:right w:val="nil"/>
            </w:tcBorders>
            <w:shd w:val="clear" w:color="auto" w:fill="FFFFFF" w:themeFill="background1"/>
            <w:vAlign w:val="center"/>
            <w:hideMark/>
          </w:tcPr>
          <w:p w:rsidR="00E9280D" w:rsidRPr="0032491D" w:rsidRDefault="00E9280D" w:rsidP="00943C56">
            <w:pPr>
              <w:jc w:val="right"/>
              <w:rPr>
                <w:rFonts w:ascii="楷体" w:eastAsia="楷体" w:hAnsi="楷体"/>
                <w:color w:val="000000"/>
                <w:sz w:val="16"/>
                <w:szCs w:val="16"/>
              </w:rPr>
            </w:pPr>
            <w:r w:rsidRPr="0032491D">
              <w:rPr>
                <w:rFonts w:ascii="楷体" w:eastAsia="楷体" w:hAnsi="楷体" w:hint="eastAsia"/>
                <w:color w:val="000000"/>
                <w:sz w:val="16"/>
                <w:szCs w:val="16"/>
              </w:rPr>
              <w:t>11.90</w:t>
            </w:r>
          </w:p>
        </w:tc>
      </w:tr>
      <w:tr w:rsidR="00E9280D" w:rsidRPr="0032491D" w:rsidTr="00943C56">
        <w:trPr>
          <w:trHeight w:val="284"/>
        </w:trPr>
        <w:tc>
          <w:tcPr>
            <w:tcW w:w="3970" w:type="dxa"/>
            <w:gridSpan w:val="4"/>
            <w:tcBorders>
              <w:top w:val="single" w:sz="12" w:space="0" w:color="auto"/>
              <w:left w:val="nil"/>
            </w:tcBorders>
            <w:shd w:val="clear" w:color="auto" w:fill="FFFFFF" w:themeFill="background1"/>
            <w:vAlign w:val="center"/>
          </w:tcPr>
          <w:p w:rsidR="00E9280D" w:rsidRPr="0032491D" w:rsidRDefault="00E9280D" w:rsidP="00943C56">
            <w:pPr>
              <w:rPr>
                <w:rFonts w:ascii="楷体" w:eastAsia="楷体" w:hAnsi="楷体" w:cs="宋体"/>
                <w:b/>
                <w:bCs/>
                <w:color w:val="000000"/>
                <w:kern w:val="0"/>
                <w:sz w:val="16"/>
                <w:szCs w:val="16"/>
                <w:lang w:val="en-GB"/>
              </w:rPr>
            </w:pPr>
            <w:r w:rsidRPr="0032491D">
              <w:rPr>
                <w:rFonts w:ascii="楷体" w:eastAsia="楷体" w:hAnsi="楷体" w:cs="宋体" w:hint="eastAsia"/>
                <w:b/>
                <w:bCs/>
                <w:color w:val="000000"/>
                <w:kern w:val="0"/>
                <w:sz w:val="16"/>
                <w:szCs w:val="16"/>
                <w:lang w:val="en-GB"/>
              </w:rPr>
              <w:t>数据来源：</w:t>
            </w:r>
            <w:proofErr w:type="gramStart"/>
            <w:r w:rsidRPr="0032491D">
              <w:rPr>
                <w:rFonts w:ascii="楷体" w:eastAsia="楷体" w:hAnsi="楷体" w:cs="宋体" w:hint="eastAsia"/>
                <w:b/>
                <w:bCs/>
                <w:color w:val="000000"/>
                <w:kern w:val="0"/>
                <w:sz w:val="16"/>
                <w:szCs w:val="16"/>
                <w:lang w:val="en-GB"/>
              </w:rPr>
              <w:t>凯</w:t>
            </w:r>
            <w:proofErr w:type="gramEnd"/>
            <w:r w:rsidRPr="0032491D">
              <w:rPr>
                <w:rFonts w:ascii="楷体" w:eastAsia="楷体" w:hAnsi="楷体" w:cs="宋体" w:hint="eastAsia"/>
                <w:b/>
                <w:bCs/>
                <w:color w:val="000000"/>
                <w:kern w:val="0"/>
                <w:sz w:val="16"/>
                <w:szCs w:val="16"/>
                <w:lang w:val="en-GB"/>
              </w:rPr>
              <w:t>石、WIND</w:t>
            </w:r>
          </w:p>
        </w:tc>
      </w:tr>
    </w:tbl>
    <w:p w:rsidR="00E9280D" w:rsidRPr="0032491D" w:rsidRDefault="00E9280D" w:rsidP="00E9280D">
      <w:pPr>
        <w:pStyle w:val="a6"/>
        <w:numPr>
          <w:ilvl w:val="0"/>
          <w:numId w:val="1"/>
        </w:numPr>
        <w:ind w:left="643" w:hangingChars="200" w:hanging="643"/>
        <w:rPr>
          <w:rFonts w:ascii="楷体" w:eastAsia="楷体" w:hAnsi="楷体" w:cs="Arial"/>
          <w:b/>
          <w:color w:val="996600"/>
          <w:sz w:val="32"/>
          <w:szCs w:val="28"/>
        </w:rPr>
      </w:pPr>
      <w:r w:rsidRPr="0032491D">
        <w:rPr>
          <w:rFonts w:ascii="楷体" w:eastAsia="楷体" w:hAnsi="楷体" w:cs="Arial"/>
          <w:b/>
          <w:color w:val="996600"/>
          <w:sz w:val="32"/>
          <w:szCs w:val="28"/>
        </w:rPr>
        <w:t>未来基金投资策略</w:t>
      </w:r>
    </w:p>
    <w:p w:rsidR="00E9280D" w:rsidRPr="0032491D" w:rsidRDefault="00E9280D" w:rsidP="00BE3229">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proofErr w:type="gramStart"/>
      <w:r w:rsidRPr="00BE3229">
        <w:rPr>
          <w:rFonts w:ascii="楷体" w:eastAsia="楷体" w:hAnsi="楷体" w:cs="Arial"/>
          <w:b/>
          <w:color w:val="auto"/>
          <w:sz w:val="20"/>
          <w:szCs w:val="20"/>
        </w:rPr>
        <w:t>股混基金</w:t>
      </w:r>
      <w:proofErr w:type="gramEnd"/>
      <w:r w:rsidRPr="00BE3229">
        <w:rPr>
          <w:rFonts w:ascii="楷体" w:eastAsia="楷体" w:hAnsi="楷体" w:cs="Arial"/>
          <w:b/>
          <w:color w:val="auto"/>
          <w:sz w:val="20"/>
          <w:szCs w:val="20"/>
        </w:rPr>
        <w:t>投资</w:t>
      </w:r>
      <w:r w:rsidR="00BE3229" w:rsidRPr="00BE3229">
        <w:rPr>
          <w:rFonts w:ascii="楷体" w:eastAsia="楷体" w:hAnsi="楷体" w:cs="Arial" w:hint="eastAsia"/>
          <w:b/>
          <w:color w:val="auto"/>
          <w:sz w:val="20"/>
          <w:szCs w:val="20"/>
        </w:rPr>
        <w:t>中低</w:t>
      </w:r>
      <w:proofErr w:type="gramStart"/>
      <w:r w:rsidR="00BE3229" w:rsidRPr="00BE3229">
        <w:rPr>
          <w:rFonts w:ascii="楷体" w:eastAsia="楷体" w:hAnsi="楷体" w:cs="Arial" w:hint="eastAsia"/>
          <w:b/>
          <w:color w:val="auto"/>
          <w:sz w:val="20"/>
          <w:szCs w:val="20"/>
        </w:rPr>
        <w:t>仓位</w:t>
      </w:r>
      <w:proofErr w:type="gramEnd"/>
      <w:r w:rsidR="00BE3229" w:rsidRPr="00BE3229">
        <w:rPr>
          <w:rFonts w:ascii="楷体" w:eastAsia="楷体" w:hAnsi="楷体" w:cs="Arial" w:hint="eastAsia"/>
          <w:b/>
          <w:color w:val="auto"/>
          <w:sz w:val="20"/>
          <w:szCs w:val="20"/>
        </w:rPr>
        <w:t>，精选业绩为王的稳健成长风格。</w:t>
      </w:r>
      <w:r w:rsidR="008B6027" w:rsidRPr="00BE3229">
        <w:rPr>
          <w:rFonts w:ascii="楷体" w:eastAsia="楷体" w:hAnsi="楷体" w:cs="Arial" w:hint="eastAsia"/>
          <w:color w:val="auto"/>
          <w:sz w:val="20"/>
          <w:szCs w:val="20"/>
        </w:rPr>
        <w:t>从</w:t>
      </w:r>
      <w:proofErr w:type="gramStart"/>
      <w:r w:rsidR="00BE3229" w:rsidRPr="00BE3229">
        <w:rPr>
          <w:rFonts w:ascii="楷体" w:eastAsia="楷体" w:hAnsi="楷体" w:cs="Arial" w:hint="eastAsia"/>
          <w:color w:val="auto"/>
          <w:sz w:val="20"/>
          <w:szCs w:val="20"/>
        </w:rPr>
        <w:t>凯</w:t>
      </w:r>
      <w:proofErr w:type="gramEnd"/>
      <w:r w:rsidR="00BE3229" w:rsidRPr="00BE3229">
        <w:rPr>
          <w:rFonts w:ascii="楷体" w:eastAsia="楷体" w:hAnsi="楷体" w:cs="Arial" w:hint="eastAsia"/>
          <w:color w:val="auto"/>
          <w:sz w:val="20"/>
          <w:szCs w:val="20"/>
        </w:rPr>
        <w:t>石6+1的分析框架看，</w:t>
      </w:r>
      <w:r w:rsidR="00BE3229">
        <w:rPr>
          <w:rFonts w:ascii="Arial" w:eastAsia="楷体_GB2312" w:hAnsi="Arial" w:cs="Arial" w:hint="eastAsia"/>
          <w:color w:val="auto"/>
          <w:sz w:val="20"/>
          <w:szCs w:val="20"/>
        </w:rPr>
        <w:t>经济基本面上，正面，</w:t>
      </w:r>
      <w:r w:rsidR="00BE3229" w:rsidRPr="00BD7434">
        <w:rPr>
          <w:rFonts w:ascii="Arial" w:eastAsia="楷体_GB2312" w:hAnsi="Arial" w:cs="Arial" w:hint="eastAsia"/>
          <w:color w:val="auto"/>
          <w:sz w:val="20"/>
          <w:szCs w:val="20"/>
        </w:rPr>
        <w:t>经济增长放缓，外汇储备连续两个月回升</w:t>
      </w:r>
      <w:r w:rsidR="00BE3229" w:rsidRPr="00BE6A72">
        <w:rPr>
          <w:rFonts w:ascii="Arial" w:eastAsia="楷体_GB2312" w:hAnsi="Arial" w:cs="Arial" w:hint="eastAsia"/>
          <w:color w:val="auto"/>
          <w:sz w:val="20"/>
          <w:szCs w:val="20"/>
        </w:rPr>
        <w:t>，</w:t>
      </w:r>
      <w:r w:rsidR="00BE3229">
        <w:rPr>
          <w:rFonts w:ascii="Arial" w:eastAsia="楷体_GB2312" w:hAnsi="Arial" w:cs="Arial" w:hint="eastAsia"/>
          <w:color w:val="auto"/>
          <w:sz w:val="20"/>
          <w:szCs w:val="20"/>
        </w:rPr>
        <w:t>但对于经济增长的持续性应该密切观察；资金面上，中性，近期受到信用债违约影响，</w:t>
      </w:r>
      <w:r w:rsidR="00BE3229" w:rsidRPr="00BD7434">
        <w:rPr>
          <w:rFonts w:ascii="Arial" w:eastAsia="楷体_GB2312" w:hAnsi="Arial" w:cs="Arial" w:hint="eastAsia"/>
          <w:color w:val="auto"/>
          <w:sz w:val="20"/>
          <w:szCs w:val="20"/>
        </w:rPr>
        <w:t>利率</w:t>
      </w:r>
      <w:proofErr w:type="gramStart"/>
      <w:r w:rsidR="00BE3229" w:rsidRPr="00BD7434">
        <w:rPr>
          <w:rFonts w:ascii="Arial" w:eastAsia="楷体_GB2312" w:hAnsi="Arial" w:cs="Arial" w:hint="eastAsia"/>
          <w:color w:val="auto"/>
          <w:sz w:val="20"/>
          <w:szCs w:val="20"/>
        </w:rPr>
        <w:t>短降长</w:t>
      </w:r>
      <w:proofErr w:type="gramEnd"/>
      <w:r w:rsidR="00BE3229" w:rsidRPr="00BD7434">
        <w:rPr>
          <w:rFonts w:ascii="Arial" w:eastAsia="楷体_GB2312" w:hAnsi="Arial" w:cs="Arial" w:hint="eastAsia"/>
          <w:color w:val="auto"/>
          <w:sz w:val="20"/>
          <w:szCs w:val="20"/>
        </w:rPr>
        <w:t>升，股市资金底部徘徊</w:t>
      </w:r>
      <w:r w:rsidR="00BE3229">
        <w:rPr>
          <w:rFonts w:ascii="Arial" w:eastAsia="楷体_GB2312" w:hAnsi="Arial" w:cs="Arial" w:hint="eastAsia"/>
          <w:color w:val="auto"/>
          <w:sz w:val="20"/>
          <w:szCs w:val="20"/>
        </w:rPr>
        <w:t>，并没有明显的增量资金进入；政策面上，偏负面，货币面依旧稳健，财政政策上，对</w:t>
      </w:r>
      <w:proofErr w:type="gramStart"/>
      <w:r w:rsidR="00BE3229">
        <w:rPr>
          <w:rFonts w:ascii="Arial" w:eastAsia="楷体_GB2312" w:hAnsi="Arial" w:cs="Arial" w:hint="eastAsia"/>
          <w:color w:val="auto"/>
          <w:sz w:val="20"/>
          <w:szCs w:val="20"/>
        </w:rPr>
        <w:t>中概股</w:t>
      </w:r>
      <w:proofErr w:type="gramEnd"/>
      <w:r w:rsidR="00BE3229">
        <w:rPr>
          <w:rFonts w:ascii="Arial" w:eastAsia="楷体_GB2312" w:hAnsi="Arial" w:cs="Arial" w:hint="eastAsia"/>
          <w:color w:val="auto"/>
          <w:sz w:val="20"/>
          <w:szCs w:val="20"/>
        </w:rPr>
        <w:t>回归、壳资源的炒作或对中小创的高估值带来较大影响；国际面上，中性，</w:t>
      </w:r>
      <w:r w:rsidR="00BE3229" w:rsidRPr="00BE6A72">
        <w:rPr>
          <w:rFonts w:ascii="Arial" w:eastAsia="楷体_GB2312" w:hAnsi="Arial" w:cs="Arial" w:hint="eastAsia"/>
          <w:color w:val="auto"/>
          <w:sz w:val="20"/>
          <w:szCs w:val="20"/>
        </w:rPr>
        <w:t>海外普</w:t>
      </w:r>
      <w:r w:rsidR="00BE3229">
        <w:rPr>
          <w:rFonts w:ascii="Arial" w:eastAsia="楷体_GB2312" w:hAnsi="Arial" w:cs="Arial" w:hint="eastAsia"/>
          <w:color w:val="auto"/>
          <w:sz w:val="20"/>
          <w:szCs w:val="20"/>
        </w:rPr>
        <w:t>遍微</w:t>
      </w:r>
      <w:r w:rsidR="00BE3229" w:rsidRPr="00BE6A72">
        <w:rPr>
          <w:rFonts w:ascii="Arial" w:eastAsia="楷体_GB2312" w:hAnsi="Arial" w:cs="Arial" w:hint="eastAsia"/>
          <w:color w:val="auto"/>
          <w:sz w:val="20"/>
          <w:szCs w:val="20"/>
        </w:rPr>
        <w:t>跌，</w:t>
      </w:r>
      <w:r w:rsidR="00BE3229">
        <w:rPr>
          <w:rFonts w:ascii="Arial" w:eastAsia="楷体_GB2312" w:hAnsi="Arial" w:cs="Arial" w:hint="eastAsia"/>
          <w:color w:val="auto"/>
          <w:sz w:val="20"/>
          <w:szCs w:val="20"/>
        </w:rPr>
        <w:t>原油黄金暴涨后回落；汇率方面，偏正面，在美国经济</w:t>
      </w:r>
      <w:r w:rsidR="00BE3229" w:rsidRPr="00D5641D">
        <w:rPr>
          <w:rFonts w:ascii="Arial" w:eastAsia="楷体_GB2312" w:hAnsi="Arial" w:cs="Arial"/>
          <w:color w:val="auto"/>
          <w:sz w:val="20"/>
          <w:szCs w:val="20"/>
        </w:rPr>
        <w:t>基本面表现疲弱</w:t>
      </w:r>
      <w:r w:rsidR="00BE3229">
        <w:rPr>
          <w:rFonts w:ascii="Arial" w:eastAsia="楷体_GB2312" w:hAnsi="Arial" w:cs="Arial" w:hint="eastAsia"/>
          <w:color w:val="auto"/>
          <w:sz w:val="20"/>
          <w:szCs w:val="20"/>
        </w:rPr>
        <w:t>的背景下，美元大概率较难走强，人民币汇率近期有望继续保持稳定；市场面上，负面，</w:t>
      </w:r>
      <w:r w:rsidR="00BE3229" w:rsidRPr="003C4A2E">
        <w:rPr>
          <w:rFonts w:ascii="Arial" w:eastAsia="楷体_GB2312" w:hAnsi="Arial" w:cs="Arial" w:hint="eastAsia"/>
          <w:color w:val="auto"/>
          <w:sz w:val="20"/>
          <w:szCs w:val="20"/>
        </w:rPr>
        <w:t>市场</w:t>
      </w:r>
      <w:r w:rsidR="00BE3229">
        <w:rPr>
          <w:rFonts w:ascii="Arial" w:eastAsia="楷体_GB2312" w:hAnsi="Arial" w:cs="Arial" w:hint="eastAsia"/>
          <w:color w:val="auto"/>
          <w:sz w:val="20"/>
          <w:szCs w:val="20"/>
        </w:rPr>
        <w:t>受控制壳资源传闻影响周五暴跌</w:t>
      </w:r>
      <w:r w:rsidR="00BE3229" w:rsidRPr="003C4A2E">
        <w:rPr>
          <w:rFonts w:ascii="Arial" w:eastAsia="楷体_GB2312" w:hAnsi="Arial" w:cs="Arial" w:hint="eastAsia"/>
          <w:color w:val="auto"/>
          <w:sz w:val="20"/>
          <w:szCs w:val="20"/>
        </w:rPr>
        <w:t>。</w:t>
      </w:r>
      <w:r w:rsidR="00BE3229">
        <w:rPr>
          <w:rFonts w:ascii="Arial" w:eastAsia="楷体_GB2312" w:hAnsi="Arial" w:cs="Arial" w:hint="eastAsia"/>
          <w:color w:val="auto"/>
          <w:sz w:val="20"/>
          <w:szCs w:val="20"/>
        </w:rPr>
        <w:t>总体而言，目前</w:t>
      </w:r>
      <w:r w:rsidR="00BE3229" w:rsidRPr="008C4C14">
        <w:rPr>
          <w:rFonts w:ascii="Arial" w:eastAsia="楷体_GB2312" w:hAnsi="Arial" w:cs="Arial" w:hint="eastAsia"/>
          <w:color w:val="auto"/>
          <w:sz w:val="20"/>
          <w:szCs w:val="20"/>
        </w:rPr>
        <w:t>股市缺乏新的上行逻</w:t>
      </w:r>
      <w:r w:rsidR="00BE3229">
        <w:rPr>
          <w:rFonts w:ascii="Arial" w:eastAsia="楷体_GB2312" w:hAnsi="Arial" w:cs="Arial" w:hint="eastAsia"/>
          <w:color w:val="auto"/>
          <w:sz w:val="20"/>
          <w:szCs w:val="20"/>
        </w:rPr>
        <w:t>辑，加上债市风险频发和政策面的打压，维持对</w:t>
      </w:r>
      <w:r w:rsidR="00BE3229" w:rsidRPr="00C2480C">
        <w:rPr>
          <w:rFonts w:ascii="Arial" w:eastAsia="楷体_GB2312" w:hAnsi="Arial" w:cs="Arial" w:hint="eastAsia"/>
          <w:color w:val="auto"/>
          <w:sz w:val="20"/>
          <w:szCs w:val="20"/>
        </w:rPr>
        <w:t>近期股市</w:t>
      </w:r>
      <w:r w:rsidR="00BE3229">
        <w:rPr>
          <w:rFonts w:ascii="Arial" w:eastAsia="楷体_GB2312" w:hAnsi="Arial" w:cs="Arial" w:hint="eastAsia"/>
          <w:color w:val="auto"/>
          <w:sz w:val="20"/>
          <w:szCs w:val="20"/>
        </w:rPr>
        <w:t>以防守为主的观点。强调时刻对政府</w:t>
      </w:r>
      <w:proofErr w:type="gramStart"/>
      <w:r w:rsidR="00BE3229">
        <w:rPr>
          <w:rFonts w:ascii="Arial" w:eastAsia="楷体_GB2312" w:hAnsi="Arial" w:cs="Arial" w:hint="eastAsia"/>
          <w:color w:val="auto"/>
          <w:sz w:val="20"/>
          <w:szCs w:val="20"/>
        </w:rPr>
        <w:t>关于壳</w:t>
      </w:r>
      <w:proofErr w:type="gramEnd"/>
      <w:r w:rsidR="00BE3229">
        <w:rPr>
          <w:rFonts w:ascii="Arial" w:eastAsia="楷体_GB2312" w:hAnsi="Arial" w:cs="Arial" w:hint="eastAsia"/>
          <w:color w:val="auto"/>
          <w:sz w:val="20"/>
          <w:szCs w:val="20"/>
        </w:rPr>
        <w:t>资源</w:t>
      </w:r>
      <w:proofErr w:type="gramStart"/>
      <w:r w:rsidR="00BE3229">
        <w:rPr>
          <w:rFonts w:ascii="Arial" w:eastAsia="楷体_GB2312" w:hAnsi="Arial" w:cs="Arial" w:hint="eastAsia"/>
          <w:color w:val="auto"/>
          <w:sz w:val="20"/>
          <w:szCs w:val="20"/>
        </w:rPr>
        <w:t>和中概股回归</w:t>
      </w:r>
      <w:proofErr w:type="gramEnd"/>
      <w:r w:rsidR="00BE3229">
        <w:rPr>
          <w:rFonts w:ascii="Arial" w:eastAsia="楷体_GB2312" w:hAnsi="Arial" w:cs="Arial" w:hint="eastAsia"/>
          <w:color w:val="auto"/>
          <w:sz w:val="20"/>
          <w:szCs w:val="20"/>
        </w:rPr>
        <w:t>的相关发言或者政策保持关注，或将会对中小创等估值较高个股产生负面影响。市场情绪依旧较</w:t>
      </w:r>
      <w:r w:rsidR="00BE3229">
        <w:rPr>
          <w:rFonts w:ascii="Arial" w:eastAsia="楷体_GB2312" w:hAnsi="Arial" w:cs="Arial" w:hint="eastAsia"/>
          <w:color w:val="auto"/>
          <w:sz w:val="20"/>
          <w:szCs w:val="20"/>
        </w:rPr>
        <w:t>弱，股市并没有明显的增量资金进入，投资上建议保持中等偏下的</w:t>
      </w:r>
      <w:proofErr w:type="gramStart"/>
      <w:r w:rsidR="00BE3229">
        <w:rPr>
          <w:rFonts w:ascii="Arial" w:eastAsia="楷体_GB2312" w:hAnsi="Arial" w:cs="Arial" w:hint="eastAsia"/>
          <w:color w:val="auto"/>
          <w:sz w:val="20"/>
          <w:szCs w:val="20"/>
        </w:rPr>
        <w:t>仓位</w:t>
      </w:r>
      <w:proofErr w:type="gramEnd"/>
      <w:r w:rsidR="00BE3229">
        <w:rPr>
          <w:rFonts w:ascii="Arial" w:eastAsia="楷体_GB2312" w:hAnsi="Arial" w:cs="Arial" w:hint="eastAsia"/>
          <w:color w:val="auto"/>
          <w:sz w:val="20"/>
          <w:szCs w:val="20"/>
        </w:rPr>
        <w:t>。</w:t>
      </w:r>
      <w:proofErr w:type="gramStart"/>
      <w:r w:rsidRPr="0032491D">
        <w:rPr>
          <w:rFonts w:ascii="楷体" w:eastAsia="楷体" w:hAnsi="楷体" w:cs="Arial" w:hint="eastAsia"/>
          <w:color w:val="000000" w:themeColor="text1"/>
          <w:sz w:val="20"/>
          <w:szCs w:val="20"/>
        </w:rPr>
        <w:t>股混基金</w:t>
      </w:r>
      <w:proofErr w:type="gramEnd"/>
      <w:r w:rsidRPr="0032491D">
        <w:rPr>
          <w:rFonts w:ascii="楷体" w:eastAsia="楷体" w:hAnsi="楷体" w:cs="Arial" w:hint="eastAsia"/>
          <w:color w:val="000000" w:themeColor="text1"/>
          <w:sz w:val="20"/>
          <w:szCs w:val="20"/>
        </w:rPr>
        <w:t>投资上，短期我们建议投资者保持中等偏低的</w:t>
      </w:r>
      <w:proofErr w:type="gramStart"/>
      <w:r w:rsidRPr="0032491D">
        <w:rPr>
          <w:rFonts w:ascii="楷体" w:eastAsia="楷体" w:hAnsi="楷体" w:cs="Arial" w:hint="eastAsia"/>
          <w:color w:val="000000" w:themeColor="text1"/>
          <w:sz w:val="20"/>
          <w:szCs w:val="20"/>
        </w:rPr>
        <w:t>仓位</w:t>
      </w:r>
      <w:proofErr w:type="gramEnd"/>
      <w:r w:rsidRPr="0032491D">
        <w:rPr>
          <w:rFonts w:ascii="楷体" w:eastAsia="楷体" w:hAnsi="楷体" w:cs="Arial" w:hint="eastAsia"/>
          <w:color w:val="000000" w:themeColor="text1"/>
          <w:sz w:val="20"/>
          <w:szCs w:val="20"/>
        </w:rPr>
        <w:t>，结构性机会将是主基调，但由于当前的结构性机会呈现快速轮动持续性差的特点，</w:t>
      </w:r>
      <w:r w:rsidRPr="0032491D">
        <w:rPr>
          <w:rFonts w:ascii="楷体" w:eastAsia="楷体" w:hAnsi="楷体" w:cs="Arial" w:hint="eastAsia"/>
          <w:color w:val="auto"/>
          <w:sz w:val="20"/>
          <w:szCs w:val="20"/>
        </w:rPr>
        <w:t>建议投资者在风格上成长、周期均衡配置为好，价值周期将受益于供给</w:t>
      </w:r>
      <w:proofErr w:type="gramStart"/>
      <w:r w:rsidRPr="0032491D">
        <w:rPr>
          <w:rFonts w:ascii="楷体" w:eastAsia="楷体" w:hAnsi="楷体" w:cs="Arial" w:hint="eastAsia"/>
          <w:color w:val="auto"/>
          <w:sz w:val="20"/>
          <w:szCs w:val="20"/>
        </w:rPr>
        <w:t>侧改革</w:t>
      </w:r>
      <w:proofErr w:type="gramEnd"/>
      <w:r w:rsidRPr="0032491D">
        <w:rPr>
          <w:rFonts w:ascii="楷体" w:eastAsia="楷体" w:hAnsi="楷体" w:cs="Arial" w:hint="eastAsia"/>
          <w:color w:val="auto"/>
          <w:sz w:val="20"/>
          <w:szCs w:val="20"/>
        </w:rPr>
        <w:t>和经济企稳，而成长风格代表的新兴产业依然是未来中国经济的希望所在，同时从今年市场实际表现看，风格切换和轮</w:t>
      </w:r>
      <w:proofErr w:type="gramStart"/>
      <w:r w:rsidRPr="0032491D">
        <w:rPr>
          <w:rFonts w:ascii="楷体" w:eastAsia="楷体" w:hAnsi="楷体" w:cs="Arial" w:hint="eastAsia"/>
          <w:color w:val="auto"/>
          <w:sz w:val="20"/>
          <w:szCs w:val="20"/>
        </w:rPr>
        <w:t>动更加</w:t>
      </w:r>
      <w:proofErr w:type="gramEnd"/>
      <w:r w:rsidRPr="0032491D">
        <w:rPr>
          <w:rFonts w:ascii="楷体" w:eastAsia="楷体" w:hAnsi="楷体" w:cs="Arial" w:hint="eastAsia"/>
          <w:color w:val="auto"/>
          <w:sz w:val="20"/>
          <w:szCs w:val="20"/>
        </w:rPr>
        <w:t>频繁，捕捉难度不断加大不如进行相对均衡的配置。在弱市市场中投资者对业绩的关注</w:t>
      </w:r>
      <w:proofErr w:type="gramStart"/>
      <w:r w:rsidRPr="0032491D">
        <w:rPr>
          <w:rFonts w:ascii="楷体" w:eastAsia="楷体" w:hAnsi="楷体" w:cs="Arial" w:hint="eastAsia"/>
          <w:color w:val="auto"/>
          <w:sz w:val="20"/>
          <w:szCs w:val="20"/>
        </w:rPr>
        <w:t>度显著</w:t>
      </w:r>
      <w:proofErr w:type="gramEnd"/>
      <w:r w:rsidRPr="0032491D">
        <w:rPr>
          <w:rFonts w:ascii="楷体" w:eastAsia="楷体" w:hAnsi="楷体" w:cs="Arial" w:hint="eastAsia"/>
          <w:color w:val="auto"/>
          <w:sz w:val="20"/>
          <w:szCs w:val="20"/>
        </w:rPr>
        <w:t>提高，我们建议当前以稳健成长风格基金配置为主，这类基金主要投资业绩平稳增长的大消费、医药、中游机械制造等板块，优选重视个股估值和业绩稳定性的基金经理。长期而言，我们维持A股处在底部区域的判断，经济筑底回升的过程相当漫长，长周期看货币政策依然处在降息周期内，相比于债市、房地产、海外股市等，A股依然是性价比较高的资产。长线投资者尤其</w:t>
      </w:r>
      <w:proofErr w:type="gramStart"/>
      <w:r w:rsidRPr="0032491D">
        <w:rPr>
          <w:rFonts w:ascii="楷体" w:eastAsia="楷体" w:hAnsi="楷体" w:cs="Arial" w:hint="eastAsia"/>
          <w:color w:val="auto"/>
          <w:sz w:val="20"/>
          <w:szCs w:val="20"/>
        </w:rPr>
        <w:t>是定投投资者</w:t>
      </w:r>
      <w:proofErr w:type="gramEnd"/>
      <w:r w:rsidRPr="0032491D">
        <w:rPr>
          <w:rFonts w:ascii="楷体" w:eastAsia="楷体" w:hAnsi="楷体" w:cs="Arial" w:hint="eastAsia"/>
          <w:color w:val="auto"/>
          <w:sz w:val="20"/>
          <w:szCs w:val="20"/>
        </w:rPr>
        <w:t>可以分批介入布局。</w:t>
      </w:r>
    </w:p>
    <w:p w:rsidR="00E9280D" w:rsidRPr="0032491D" w:rsidRDefault="00E9280D" w:rsidP="00CF3D84">
      <w:pPr>
        <w:pStyle w:val="a5"/>
        <w:spacing w:beforeLines="100" w:before="240" w:afterLines="100" w:after="240" w:line="260" w:lineRule="exact"/>
        <w:ind w:leftChars="1957" w:left="4110" w:rightChars="-34" w:right="-71" w:firstLineChars="212" w:firstLine="426"/>
        <w:rPr>
          <w:rFonts w:ascii="楷体" w:eastAsia="楷体" w:hAnsi="楷体" w:cs="Arial"/>
          <w:b/>
          <w:color w:val="auto"/>
          <w:sz w:val="20"/>
          <w:szCs w:val="20"/>
        </w:rPr>
      </w:pPr>
      <w:r w:rsidRPr="0032491D">
        <w:rPr>
          <w:rFonts w:ascii="楷体" w:eastAsia="楷体" w:hAnsi="楷体" w:cs="Arial"/>
          <w:b/>
          <w:color w:val="auto"/>
          <w:sz w:val="20"/>
          <w:szCs w:val="20"/>
        </w:rPr>
        <w:t>固定收益基金投资</w:t>
      </w:r>
      <w:r w:rsidR="00DA2FDD">
        <w:rPr>
          <w:rFonts w:ascii="楷体" w:eastAsia="楷体" w:hAnsi="楷体" w:cs="Arial" w:hint="eastAsia"/>
          <w:b/>
          <w:color w:val="auto"/>
          <w:sz w:val="20"/>
          <w:szCs w:val="20"/>
        </w:rPr>
        <w:t>风险</w:t>
      </w:r>
      <w:r w:rsidR="00DA2FDD">
        <w:rPr>
          <w:rFonts w:ascii="楷体" w:eastAsia="楷体" w:hAnsi="楷体" w:cs="Arial"/>
          <w:b/>
          <w:color w:val="auto"/>
          <w:sz w:val="20"/>
          <w:szCs w:val="20"/>
        </w:rPr>
        <w:t>仍在</w:t>
      </w:r>
      <w:r w:rsidR="00DA2FDD">
        <w:rPr>
          <w:rFonts w:ascii="楷体" w:eastAsia="楷体" w:hAnsi="楷体" w:cs="Arial" w:hint="eastAsia"/>
          <w:b/>
          <w:color w:val="auto"/>
          <w:sz w:val="20"/>
          <w:szCs w:val="20"/>
        </w:rPr>
        <w:t>，</w:t>
      </w:r>
      <w:r w:rsidR="00DA2FDD">
        <w:rPr>
          <w:rFonts w:ascii="楷体" w:eastAsia="楷体" w:hAnsi="楷体" w:cs="Arial"/>
          <w:b/>
          <w:color w:val="auto"/>
          <w:sz w:val="20"/>
          <w:szCs w:val="20"/>
        </w:rPr>
        <w:t>需谨慎操作</w:t>
      </w:r>
      <w:r w:rsidRPr="0032491D">
        <w:rPr>
          <w:rFonts w:ascii="楷体" w:eastAsia="楷体" w:hAnsi="楷体" w:cs="Arial" w:hint="eastAsia"/>
          <w:b/>
          <w:color w:val="auto"/>
          <w:sz w:val="20"/>
          <w:szCs w:val="20"/>
        </w:rPr>
        <w:t>。</w:t>
      </w:r>
      <w:r w:rsidR="00DA2FDD" w:rsidRPr="00BE3229">
        <w:rPr>
          <w:rFonts w:ascii="楷体" w:eastAsia="楷体" w:hAnsi="楷体" w:cs="Arial" w:hint="eastAsia"/>
          <w:color w:val="auto"/>
          <w:sz w:val="20"/>
          <w:szCs w:val="20"/>
        </w:rPr>
        <w:t>延续</w:t>
      </w:r>
      <w:r w:rsidRPr="00BE3229">
        <w:rPr>
          <w:rFonts w:ascii="楷体" w:eastAsia="楷体" w:hAnsi="楷体" w:cs="Arial" w:hint="eastAsia"/>
          <w:color w:val="auto"/>
          <w:sz w:val="20"/>
          <w:szCs w:val="20"/>
        </w:rPr>
        <w:t>4月最</w:t>
      </w:r>
      <w:r w:rsidR="00DA2FDD" w:rsidRPr="00BE3229">
        <w:rPr>
          <w:rFonts w:ascii="楷体" w:eastAsia="楷体" w:hAnsi="楷体" w:cs="Arial" w:hint="eastAsia"/>
          <w:color w:val="auto"/>
          <w:sz w:val="20"/>
          <w:szCs w:val="20"/>
        </w:rPr>
        <w:t>后一周债券市场企稳的现象</w:t>
      </w:r>
      <w:r w:rsidRPr="00BE3229">
        <w:rPr>
          <w:rFonts w:ascii="楷体" w:eastAsia="楷体" w:hAnsi="楷体" w:cs="Arial" w:hint="eastAsia"/>
          <w:color w:val="auto"/>
          <w:sz w:val="20"/>
          <w:szCs w:val="20"/>
        </w:rPr>
        <w:t>，</w:t>
      </w:r>
      <w:r w:rsidR="00DA2FDD" w:rsidRPr="00BE3229">
        <w:rPr>
          <w:rFonts w:ascii="楷体" w:eastAsia="楷体" w:hAnsi="楷体" w:cs="Arial" w:hint="eastAsia"/>
          <w:color w:val="auto"/>
          <w:sz w:val="20"/>
          <w:szCs w:val="20"/>
        </w:rPr>
        <w:t>本周由于</w:t>
      </w:r>
      <w:proofErr w:type="gramStart"/>
      <w:r w:rsidR="00DA2FDD" w:rsidRPr="00BE3229">
        <w:rPr>
          <w:rFonts w:ascii="楷体" w:eastAsia="楷体" w:hAnsi="楷体" w:cs="Arial" w:hint="eastAsia"/>
          <w:color w:val="auto"/>
          <w:sz w:val="20"/>
          <w:szCs w:val="20"/>
        </w:rPr>
        <w:t>营改增</w:t>
      </w:r>
      <w:proofErr w:type="gramEnd"/>
      <w:r w:rsidR="00DA2FDD" w:rsidRPr="00BE3229">
        <w:rPr>
          <w:rFonts w:ascii="楷体" w:eastAsia="楷体" w:hAnsi="楷体" w:cs="Arial" w:hint="eastAsia"/>
          <w:color w:val="auto"/>
          <w:sz w:val="20"/>
          <w:szCs w:val="20"/>
        </w:rPr>
        <w:t>的明确规定和宣布从5月起常态</w:t>
      </w:r>
      <w:proofErr w:type="gramStart"/>
      <w:r w:rsidR="00DA2FDD" w:rsidRPr="00BE3229">
        <w:rPr>
          <w:rFonts w:ascii="楷体" w:eastAsia="楷体" w:hAnsi="楷体" w:cs="Arial" w:hint="eastAsia"/>
          <w:color w:val="auto"/>
          <w:sz w:val="20"/>
          <w:szCs w:val="20"/>
        </w:rPr>
        <w:t>化开展</w:t>
      </w:r>
      <w:proofErr w:type="gramEnd"/>
      <w:r w:rsidR="00DA2FDD" w:rsidRPr="00BE3229">
        <w:rPr>
          <w:rFonts w:ascii="楷体" w:eastAsia="楷体" w:hAnsi="楷体" w:cs="Arial" w:hint="eastAsia"/>
          <w:color w:val="auto"/>
          <w:sz w:val="20"/>
          <w:szCs w:val="20"/>
        </w:rPr>
        <w:t>抵押补充贷款（PSL）操作，市场资金面和流动性预期均有所稳定。利率债和</w:t>
      </w:r>
      <w:r w:rsidRPr="00BE3229">
        <w:rPr>
          <w:rFonts w:ascii="楷体" w:eastAsia="楷体" w:hAnsi="楷体" w:cs="Arial" w:hint="eastAsia"/>
          <w:color w:val="auto"/>
          <w:sz w:val="20"/>
          <w:szCs w:val="20"/>
        </w:rPr>
        <w:t>信用债收益率</w:t>
      </w:r>
      <w:r w:rsidR="00DA2FDD" w:rsidRPr="00BE3229">
        <w:rPr>
          <w:rFonts w:ascii="楷体" w:eastAsia="楷体" w:hAnsi="楷体" w:cs="Arial" w:hint="eastAsia"/>
          <w:color w:val="auto"/>
          <w:sz w:val="20"/>
          <w:szCs w:val="20"/>
        </w:rPr>
        <w:t>均出现一定程度上的下行</w:t>
      </w:r>
      <w:r w:rsidRPr="00BE3229">
        <w:rPr>
          <w:rFonts w:ascii="楷体" w:eastAsia="楷体" w:hAnsi="楷体" w:cs="Arial" w:hint="eastAsia"/>
          <w:color w:val="auto"/>
          <w:sz w:val="20"/>
          <w:szCs w:val="20"/>
        </w:rPr>
        <w:t>，</w:t>
      </w:r>
      <w:r w:rsidR="00BE3229">
        <w:rPr>
          <w:rFonts w:ascii="楷体" w:eastAsia="楷体" w:hAnsi="楷体" w:cs="Arial" w:hint="eastAsia"/>
          <w:color w:val="auto"/>
          <w:sz w:val="20"/>
          <w:szCs w:val="20"/>
        </w:rPr>
        <w:t>4</w:t>
      </w:r>
      <w:r w:rsidRPr="00BE3229">
        <w:rPr>
          <w:rFonts w:ascii="楷体" w:eastAsia="楷体" w:hAnsi="楷体" w:cs="Arial" w:hint="eastAsia"/>
          <w:color w:val="auto"/>
          <w:sz w:val="20"/>
          <w:szCs w:val="20"/>
        </w:rPr>
        <w:t>月份开始的这一波市场调整势头出现了一些放缓迹象，但是投资者对于入场时机以及投资选择上仍需谨慎</w:t>
      </w:r>
      <w:r w:rsidR="00CF3D84">
        <w:rPr>
          <w:rFonts w:ascii="楷体" w:eastAsia="楷体" w:hAnsi="楷体" w:cs="Arial" w:hint="eastAsia"/>
          <w:color w:val="auto"/>
          <w:sz w:val="20"/>
          <w:szCs w:val="20"/>
        </w:rPr>
        <w:t>，主要原因在于</w:t>
      </w:r>
      <w:r w:rsidR="00DA2FDD" w:rsidRPr="00BE3229">
        <w:rPr>
          <w:rFonts w:ascii="楷体" w:eastAsia="楷体" w:hAnsi="楷体" w:cs="Arial" w:hint="eastAsia"/>
          <w:color w:val="auto"/>
          <w:sz w:val="20"/>
          <w:szCs w:val="20"/>
        </w:rPr>
        <w:t>近期公开市场操作可以看出央行对于流动性的态度是并不希望资金过于宽松，而是维持一种紧平衡状态。中期看，5月再次面临缴税因素，6 月则面临二季度末的MPA考核。</w:t>
      </w:r>
      <w:r w:rsidRPr="00BE3229">
        <w:rPr>
          <w:rFonts w:ascii="楷体" w:eastAsia="楷体" w:hAnsi="楷体" w:cs="Arial" w:hint="eastAsia"/>
          <w:color w:val="auto"/>
          <w:sz w:val="20"/>
          <w:szCs w:val="20"/>
        </w:rPr>
        <w:t>债券内部券种选择上，利率债方面，虽然通胀压力随着</w:t>
      </w:r>
      <w:r w:rsidR="00DA2FDD" w:rsidRPr="00BE3229">
        <w:rPr>
          <w:rFonts w:ascii="楷体" w:eastAsia="楷体" w:hAnsi="楷体" w:cs="Arial" w:hint="eastAsia"/>
          <w:color w:val="auto"/>
          <w:sz w:val="20"/>
          <w:szCs w:val="20"/>
        </w:rPr>
        <w:t>一季度</w:t>
      </w:r>
      <w:r w:rsidRPr="00BE3229">
        <w:rPr>
          <w:rFonts w:ascii="楷体" w:eastAsia="楷体" w:hAnsi="楷体" w:cs="Arial" w:hint="eastAsia"/>
          <w:color w:val="auto"/>
          <w:sz w:val="20"/>
          <w:szCs w:val="20"/>
        </w:rPr>
        <w:t>CPI的公布暂时消减，但经济走稳和供给冲击给债市带来的压力仍在，调整仍将延续，尤其是长</w:t>
      </w:r>
      <w:proofErr w:type="gramStart"/>
      <w:r w:rsidRPr="00BE3229">
        <w:rPr>
          <w:rFonts w:ascii="楷体" w:eastAsia="楷体" w:hAnsi="楷体" w:cs="Arial" w:hint="eastAsia"/>
          <w:color w:val="auto"/>
          <w:sz w:val="20"/>
          <w:szCs w:val="20"/>
        </w:rPr>
        <w:t>债压力</w:t>
      </w:r>
      <w:proofErr w:type="gramEnd"/>
      <w:r w:rsidRPr="00BE3229">
        <w:rPr>
          <w:rFonts w:ascii="楷体" w:eastAsia="楷体" w:hAnsi="楷体" w:cs="Arial" w:hint="eastAsia"/>
          <w:color w:val="auto"/>
          <w:sz w:val="20"/>
          <w:szCs w:val="20"/>
        </w:rPr>
        <w:t>较大，因此</w:t>
      </w:r>
      <w:proofErr w:type="gramStart"/>
      <w:r w:rsidRPr="00BE3229">
        <w:rPr>
          <w:rFonts w:ascii="楷体" w:eastAsia="楷体" w:hAnsi="楷体" w:cs="Arial" w:hint="eastAsia"/>
          <w:color w:val="auto"/>
          <w:sz w:val="20"/>
          <w:szCs w:val="20"/>
        </w:rPr>
        <w:t>控制久期和</w:t>
      </w:r>
      <w:proofErr w:type="gramEnd"/>
      <w:r w:rsidRPr="00BE3229">
        <w:rPr>
          <w:rFonts w:ascii="楷体" w:eastAsia="楷体" w:hAnsi="楷体" w:cs="Arial" w:hint="eastAsia"/>
          <w:color w:val="auto"/>
          <w:sz w:val="20"/>
          <w:szCs w:val="20"/>
        </w:rPr>
        <w:t>杠杆防守为上。信用债方面，</w:t>
      </w:r>
      <w:r w:rsidR="002D391D" w:rsidRPr="00BE3229">
        <w:rPr>
          <w:rFonts w:ascii="楷体" w:eastAsia="楷体" w:hAnsi="楷体" w:cs="Arial" w:hint="eastAsia"/>
          <w:color w:val="auto"/>
          <w:sz w:val="20"/>
          <w:szCs w:val="20"/>
        </w:rPr>
        <w:t>中国企业到今年年底将有大量在岸债券到期，而这些债券集中到期的企业大多处于目前缺乏资金的行业，更多的企业违约可能正在路上。</w:t>
      </w:r>
      <w:r w:rsidRPr="00BE3229">
        <w:rPr>
          <w:rFonts w:ascii="楷体" w:eastAsia="楷体" w:hAnsi="楷体" w:cs="Arial" w:hint="eastAsia"/>
          <w:color w:val="auto"/>
          <w:sz w:val="20"/>
          <w:szCs w:val="20"/>
        </w:rPr>
        <w:t>因此当前谨慎选择投中高信用等级、经营业绩良好的公司债券作为配置对象，避免“踩雷”为上。</w:t>
      </w:r>
      <w:r w:rsidRPr="0032491D">
        <w:rPr>
          <w:rFonts w:ascii="楷体" w:eastAsia="楷体" w:hAnsi="楷体" w:cs="Arial" w:hint="eastAsia"/>
          <w:color w:val="auto"/>
          <w:sz w:val="20"/>
          <w:szCs w:val="20"/>
        </w:rPr>
        <w:t>对于有债券基金刚性配置需求的投资者，当前在</w:t>
      </w:r>
      <w:proofErr w:type="gramStart"/>
      <w:r w:rsidRPr="0032491D">
        <w:rPr>
          <w:rFonts w:ascii="楷体" w:eastAsia="楷体" w:hAnsi="楷体" w:cs="Arial" w:hint="eastAsia"/>
          <w:color w:val="auto"/>
          <w:sz w:val="20"/>
          <w:szCs w:val="20"/>
        </w:rPr>
        <w:t>债基产品</w:t>
      </w:r>
      <w:proofErr w:type="gramEnd"/>
      <w:r w:rsidRPr="0032491D">
        <w:rPr>
          <w:rFonts w:ascii="楷体" w:eastAsia="楷体" w:hAnsi="楷体" w:cs="Arial" w:hint="eastAsia"/>
          <w:color w:val="auto"/>
          <w:sz w:val="20"/>
          <w:szCs w:val="20"/>
        </w:rPr>
        <w:t>上要强调风险控制，建议</w:t>
      </w:r>
      <w:proofErr w:type="gramStart"/>
      <w:r w:rsidRPr="0032491D">
        <w:rPr>
          <w:rFonts w:ascii="楷体" w:eastAsia="楷体" w:hAnsi="楷体" w:cs="Arial" w:hint="eastAsia"/>
          <w:color w:val="auto"/>
          <w:sz w:val="20"/>
          <w:szCs w:val="20"/>
        </w:rPr>
        <w:t>精选久期短</w:t>
      </w:r>
      <w:proofErr w:type="gramEnd"/>
      <w:r w:rsidRPr="0032491D">
        <w:rPr>
          <w:rFonts w:ascii="楷体" w:eastAsia="楷体" w:hAnsi="楷体" w:cs="Arial" w:hint="eastAsia"/>
          <w:color w:val="auto"/>
          <w:sz w:val="20"/>
          <w:szCs w:val="20"/>
        </w:rPr>
        <w:t>、杠杆较低和持券信用等级较高的基金，例如以短融为主要投资标的</w:t>
      </w:r>
      <w:proofErr w:type="gramStart"/>
      <w:r w:rsidRPr="0032491D">
        <w:rPr>
          <w:rFonts w:ascii="楷体" w:eastAsia="楷体" w:hAnsi="楷体" w:cs="Arial" w:hint="eastAsia"/>
          <w:color w:val="auto"/>
          <w:sz w:val="20"/>
          <w:szCs w:val="20"/>
        </w:rPr>
        <w:t>的短融基金</w:t>
      </w:r>
      <w:proofErr w:type="gramEnd"/>
      <w:r w:rsidRPr="0032491D">
        <w:rPr>
          <w:rFonts w:ascii="楷体" w:eastAsia="楷体" w:hAnsi="楷体" w:cs="Arial" w:hint="eastAsia"/>
          <w:color w:val="auto"/>
          <w:sz w:val="20"/>
          <w:szCs w:val="20"/>
        </w:rPr>
        <w:t>是当前防守较好的品种</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此外，参与股市和转债</w:t>
      </w:r>
      <w:proofErr w:type="gramStart"/>
      <w:r w:rsidRPr="0032491D">
        <w:rPr>
          <w:rFonts w:ascii="楷体" w:eastAsia="楷体" w:hAnsi="楷体" w:cs="Arial" w:hint="eastAsia"/>
          <w:color w:val="auto"/>
          <w:sz w:val="20"/>
          <w:szCs w:val="20"/>
        </w:rPr>
        <w:t>的债基也</w:t>
      </w:r>
      <w:proofErr w:type="gramEnd"/>
      <w:r w:rsidRPr="0032491D">
        <w:rPr>
          <w:rFonts w:ascii="楷体" w:eastAsia="楷体" w:hAnsi="楷体" w:cs="Arial" w:hint="eastAsia"/>
          <w:color w:val="auto"/>
          <w:sz w:val="20"/>
          <w:szCs w:val="20"/>
        </w:rPr>
        <w:t>可以适当关注，尤其是基金经理大类资产配置能力较强的，在股</w:t>
      </w:r>
      <w:proofErr w:type="gramStart"/>
      <w:r w:rsidRPr="0032491D">
        <w:rPr>
          <w:rFonts w:ascii="楷体" w:eastAsia="楷体" w:hAnsi="楷体" w:cs="Arial" w:hint="eastAsia"/>
          <w:color w:val="auto"/>
          <w:sz w:val="20"/>
          <w:szCs w:val="20"/>
        </w:rPr>
        <w:t>债之间</w:t>
      </w:r>
      <w:proofErr w:type="gramEnd"/>
      <w:r w:rsidRPr="0032491D">
        <w:rPr>
          <w:rFonts w:ascii="楷体" w:eastAsia="楷体" w:hAnsi="楷体" w:cs="Arial" w:hint="eastAsia"/>
          <w:color w:val="auto"/>
          <w:sz w:val="20"/>
          <w:szCs w:val="20"/>
        </w:rPr>
        <w:t>进行切换可以适当降低单一债市风险。</w:t>
      </w:r>
    </w:p>
    <w:p w:rsidR="00E9280D" w:rsidRPr="0032491D" w:rsidRDefault="00E9280D" w:rsidP="00E9280D">
      <w:pPr>
        <w:pStyle w:val="a5"/>
        <w:spacing w:beforeLines="100" w:before="240" w:afterLines="100" w:after="240" w:line="260" w:lineRule="exact"/>
        <w:ind w:leftChars="1957" w:left="4110" w:rightChars="-34" w:right="-71" w:firstLineChars="169" w:firstLine="339"/>
        <w:rPr>
          <w:rFonts w:ascii="楷体" w:eastAsia="楷体" w:hAnsi="楷体" w:cs="Arial"/>
          <w:sz w:val="36"/>
          <w:szCs w:val="34"/>
        </w:rPr>
      </w:pPr>
      <w:r w:rsidRPr="0032491D">
        <w:rPr>
          <w:rFonts w:ascii="楷体" w:eastAsia="楷体" w:hAnsi="楷体" w:cs="Arial" w:hint="eastAsia"/>
          <w:b/>
          <w:color w:val="auto"/>
          <w:sz w:val="20"/>
          <w:szCs w:val="20"/>
        </w:rPr>
        <w:t xml:space="preserve"> </w:t>
      </w:r>
      <w:r w:rsidRPr="0032491D">
        <w:rPr>
          <w:rFonts w:ascii="楷体" w:eastAsia="楷体" w:hAnsi="楷体" w:cs="Arial"/>
          <w:b/>
          <w:color w:val="auto"/>
          <w:sz w:val="20"/>
          <w:szCs w:val="20"/>
        </w:rPr>
        <w:t>建</w:t>
      </w:r>
      <w:r w:rsidRPr="0032491D">
        <w:rPr>
          <w:rFonts w:ascii="楷体" w:eastAsia="楷体" w:hAnsi="楷体" w:cs="Arial" w:hint="eastAsia"/>
          <w:b/>
          <w:color w:val="auto"/>
          <w:sz w:val="20"/>
          <w:szCs w:val="20"/>
        </w:rPr>
        <w:t>议关注黄金和大宗商品类QDII。</w:t>
      </w:r>
      <w:r w:rsidRPr="0032491D">
        <w:rPr>
          <w:rFonts w:ascii="楷体" w:eastAsia="楷体" w:hAnsi="楷体" w:cs="Arial" w:hint="eastAsia"/>
          <w:color w:val="auto"/>
          <w:sz w:val="20"/>
          <w:szCs w:val="20"/>
        </w:rPr>
        <w:t>QDII中投资大宗商品和商品基金的</w:t>
      </w:r>
      <w:r w:rsidR="003E307A">
        <w:rPr>
          <w:rFonts w:ascii="楷体" w:eastAsia="楷体" w:hAnsi="楷体" w:cs="Arial" w:hint="eastAsia"/>
          <w:color w:val="auto"/>
          <w:sz w:val="20"/>
          <w:szCs w:val="20"/>
        </w:rPr>
        <w:t>投资</w:t>
      </w:r>
      <w:r w:rsidRPr="0032491D">
        <w:rPr>
          <w:rFonts w:ascii="楷体" w:eastAsia="楷体" w:hAnsi="楷体" w:cs="Arial" w:hint="eastAsia"/>
          <w:color w:val="auto"/>
          <w:sz w:val="20"/>
          <w:szCs w:val="20"/>
        </w:rPr>
        <w:t>逻辑在5月有望延续。2016年以来虽然黄金已经经历了大幅上涨，但在全球经济低迷和货币超发的大背景下，黄金的保值和抗通胀价值显现。油气能源等大宗商品主题基金方面，全球货币超发带来的</w:t>
      </w:r>
      <w:proofErr w:type="gramStart"/>
      <w:r w:rsidRPr="0032491D">
        <w:rPr>
          <w:rFonts w:ascii="楷体" w:eastAsia="楷体" w:hAnsi="楷体" w:cs="Arial" w:hint="eastAsia"/>
          <w:color w:val="auto"/>
          <w:sz w:val="20"/>
          <w:szCs w:val="20"/>
        </w:rPr>
        <w:t>通胀担忧</w:t>
      </w:r>
      <w:proofErr w:type="gramEnd"/>
      <w:r w:rsidRPr="0032491D">
        <w:rPr>
          <w:rFonts w:ascii="楷体" w:eastAsia="楷体" w:hAnsi="楷体" w:cs="Arial" w:hint="eastAsia"/>
          <w:color w:val="auto"/>
          <w:sz w:val="20"/>
          <w:szCs w:val="20"/>
        </w:rPr>
        <w:t>和中国经济回暖带来的需求</w:t>
      </w:r>
      <w:proofErr w:type="gramStart"/>
      <w:r w:rsidRPr="0032491D">
        <w:rPr>
          <w:rFonts w:ascii="楷体" w:eastAsia="楷体" w:hAnsi="楷体" w:cs="Arial" w:hint="eastAsia"/>
          <w:color w:val="auto"/>
          <w:sz w:val="20"/>
          <w:szCs w:val="20"/>
        </w:rPr>
        <w:t>端改善</w:t>
      </w:r>
      <w:proofErr w:type="gramEnd"/>
      <w:r w:rsidRPr="0032491D">
        <w:rPr>
          <w:rFonts w:ascii="楷体" w:eastAsia="楷体" w:hAnsi="楷体" w:cs="Arial" w:hint="eastAsia"/>
          <w:color w:val="auto"/>
          <w:sz w:val="20"/>
          <w:szCs w:val="20"/>
        </w:rPr>
        <w:t>等都有利于推升大宗商品价格。</w:t>
      </w:r>
      <w:r w:rsidRPr="0032491D">
        <w:rPr>
          <w:rFonts w:ascii="楷体" w:eastAsia="楷体" w:hAnsi="楷体" w:cs="Arial"/>
          <w:sz w:val="36"/>
          <w:szCs w:val="34"/>
        </w:rPr>
        <w:br w:type="page"/>
      </w:r>
    </w:p>
    <w:p w:rsidR="00E9280D" w:rsidRPr="0032491D" w:rsidRDefault="00E9280D" w:rsidP="00E9280D">
      <w:pPr>
        <w:widowControl/>
        <w:jc w:val="left"/>
        <w:rPr>
          <w:rFonts w:ascii="楷体" w:eastAsia="楷体" w:hAnsi="楷体" w:cs="Arial"/>
          <w:b/>
          <w:color w:val="000080"/>
          <w:kern w:val="0"/>
          <w:sz w:val="32"/>
          <w:szCs w:val="20"/>
        </w:rPr>
      </w:pPr>
      <w:r w:rsidRPr="0032491D">
        <w:rPr>
          <w:rFonts w:ascii="楷体" w:eastAsia="楷体" w:hAnsi="楷体" w:cs="Arial"/>
          <w:b/>
          <w:color w:val="000080"/>
          <w:kern w:val="0"/>
          <w:sz w:val="32"/>
          <w:szCs w:val="20"/>
        </w:rPr>
        <w:lastRenderedPageBreak/>
        <w:t>免责声明</w:t>
      </w:r>
    </w:p>
    <w:p w:rsidR="00E9280D" w:rsidRPr="0032491D" w:rsidRDefault="00E9280D" w:rsidP="00E9280D">
      <w:pPr>
        <w:rPr>
          <w:rFonts w:ascii="楷体" w:eastAsia="楷体" w:hAnsi="楷体" w:cs="Arial"/>
          <w:b/>
          <w:color w:val="000080"/>
          <w:kern w:val="0"/>
          <w:sz w:val="20"/>
          <w:szCs w:val="20"/>
        </w:rPr>
      </w:pPr>
    </w:p>
    <w:p w:rsidR="00E9280D" w:rsidRPr="0032491D" w:rsidRDefault="00E9280D" w:rsidP="00E9280D">
      <w:pPr>
        <w:rPr>
          <w:rFonts w:ascii="楷体" w:eastAsia="楷体" w:hAnsi="楷体" w:cs="Arial"/>
          <w:sz w:val="20"/>
          <w:szCs w:val="20"/>
        </w:rPr>
      </w:pPr>
      <w:r w:rsidRPr="0032491D">
        <w:rPr>
          <w:rFonts w:ascii="楷体" w:eastAsia="楷体" w:hAnsi="楷体" w:cs="Arial"/>
          <w:sz w:val="20"/>
          <w:szCs w:val="20"/>
        </w:rPr>
        <w:t>本报告中的所有内容版权均属上海</w:t>
      </w:r>
      <w:proofErr w:type="gramStart"/>
      <w:r w:rsidRPr="0032491D">
        <w:rPr>
          <w:rFonts w:ascii="楷体" w:eastAsia="楷体" w:hAnsi="楷体" w:cs="Arial"/>
          <w:sz w:val="20"/>
          <w:szCs w:val="20"/>
        </w:rPr>
        <w:t>凯</w:t>
      </w:r>
      <w:proofErr w:type="gramEnd"/>
      <w:r w:rsidRPr="0032491D">
        <w:rPr>
          <w:rFonts w:ascii="楷体" w:eastAsia="楷体" w:hAnsi="楷体" w:cs="Arial"/>
          <w:sz w:val="20"/>
          <w:szCs w:val="20"/>
        </w:rPr>
        <w:t>石财富基金销售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32491D">
        <w:rPr>
          <w:rFonts w:ascii="楷体" w:eastAsia="楷体" w:hAnsi="楷体" w:cs="Arial"/>
          <w:sz w:val="20"/>
          <w:szCs w:val="20"/>
        </w:rPr>
        <w:t>凯</w:t>
      </w:r>
      <w:proofErr w:type="gramEnd"/>
      <w:r w:rsidRPr="0032491D">
        <w:rPr>
          <w:rFonts w:ascii="楷体" w:eastAsia="楷体" w:hAnsi="楷体" w:cs="Arial"/>
          <w:sz w:val="20"/>
          <w:szCs w:val="20"/>
        </w:rPr>
        <w:t>石财富基金销售有限公司研究中心，且不得对本文进行任何有悖原意的引用和删改。</w:t>
      </w:r>
    </w:p>
    <w:p w:rsidR="00E9280D" w:rsidRPr="0032491D" w:rsidRDefault="00E9280D" w:rsidP="00E9280D">
      <w:pPr>
        <w:rPr>
          <w:rFonts w:ascii="楷体" w:eastAsia="楷体" w:hAnsi="楷体" w:cs="Arial"/>
          <w:sz w:val="20"/>
          <w:szCs w:val="20"/>
        </w:rPr>
      </w:pPr>
    </w:p>
    <w:p w:rsidR="00E9280D" w:rsidRPr="0032491D" w:rsidRDefault="00E9280D" w:rsidP="00E9280D">
      <w:pPr>
        <w:rPr>
          <w:rFonts w:ascii="楷体" w:eastAsia="楷体" w:hAnsi="楷体" w:cs="Arial"/>
          <w:sz w:val="20"/>
          <w:szCs w:val="20"/>
        </w:rPr>
      </w:pPr>
      <w:r w:rsidRPr="0032491D">
        <w:rPr>
          <w:rFonts w:ascii="楷体" w:eastAsia="楷体" w:hAnsi="楷体"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E9280D" w:rsidRPr="0032491D" w:rsidRDefault="00E9280D" w:rsidP="00E9280D">
      <w:pPr>
        <w:rPr>
          <w:rFonts w:ascii="楷体" w:eastAsia="楷体" w:hAnsi="楷体" w:cs="Arial"/>
          <w:sz w:val="20"/>
          <w:szCs w:val="20"/>
        </w:rPr>
      </w:pPr>
    </w:p>
    <w:p w:rsidR="00E9280D" w:rsidRPr="0032491D" w:rsidRDefault="00E9280D" w:rsidP="00E9280D">
      <w:pPr>
        <w:rPr>
          <w:rFonts w:ascii="楷体" w:eastAsia="楷体" w:hAnsi="楷体" w:cs="Arial"/>
          <w:sz w:val="20"/>
          <w:szCs w:val="20"/>
        </w:rPr>
      </w:pPr>
      <w:r w:rsidRPr="0032491D">
        <w:rPr>
          <w:rFonts w:ascii="楷体" w:eastAsia="楷体" w:hAnsi="楷体"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E9280D" w:rsidRPr="0032491D" w:rsidRDefault="00E9280D" w:rsidP="00E9280D">
      <w:pPr>
        <w:ind w:rightChars="26" w:right="55"/>
        <w:rPr>
          <w:rFonts w:ascii="楷体" w:eastAsia="楷体" w:hAnsi="楷体" w:cs="Arial"/>
          <w:sz w:val="13"/>
        </w:rPr>
      </w:pPr>
    </w:p>
    <w:p w:rsidR="00E9280D" w:rsidRPr="0032491D" w:rsidRDefault="00E9280D" w:rsidP="00E9280D">
      <w:pPr>
        <w:rPr>
          <w:rFonts w:ascii="楷体" w:eastAsia="楷体" w:hAnsi="楷体"/>
        </w:rPr>
      </w:pPr>
    </w:p>
    <w:p w:rsidR="00E9280D" w:rsidRPr="0032491D" w:rsidRDefault="00E9280D" w:rsidP="00E9280D">
      <w:pPr>
        <w:rPr>
          <w:rFonts w:ascii="楷体" w:eastAsia="楷体" w:hAnsi="楷体"/>
        </w:rPr>
      </w:pPr>
    </w:p>
    <w:p w:rsidR="00E9280D" w:rsidRPr="0032491D" w:rsidRDefault="00E9280D" w:rsidP="00E9280D">
      <w:pPr>
        <w:rPr>
          <w:rFonts w:ascii="楷体" w:eastAsia="楷体" w:hAnsi="楷体"/>
        </w:rPr>
      </w:pPr>
    </w:p>
    <w:p w:rsidR="00BB1652" w:rsidRPr="0032491D" w:rsidRDefault="00BB1652">
      <w:pPr>
        <w:rPr>
          <w:rFonts w:ascii="楷体" w:eastAsia="楷体" w:hAnsi="楷体"/>
        </w:rPr>
      </w:pPr>
    </w:p>
    <w:sectPr w:rsidR="00BB1652" w:rsidRPr="0032491D" w:rsidSect="00943C56">
      <w:headerReference w:type="default" r:id="rId11"/>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BF3" w:rsidRDefault="00F51BF3">
      <w:r>
        <w:separator/>
      </w:r>
    </w:p>
  </w:endnote>
  <w:endnote w:type="continuationSeparator" w:id="0">
    <w:p w:rsidR="00F51BF3" w:rsidRDefault="00F5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大黑简">
    <w:altName w:val="宋体"/>
    <w:charset w:val="86"/>
    <w:family w:val="modern"/>
    <w:pitch w:val="fixed"/>
    <w:sig w:usb0="00000001" w:usb1="080E0800" w:usb2="00000012"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19" w:rsidRPr="00D52111" w:rsidRDefault="00624619" w:rsidP="00943C56">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56192" behindDoc="0" locked="0" layoutInCell="1" allowOverlap="1" wp14:anchorId="0697B34A" wp14:editId="04C5E1EC">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58240" behindDoc="0" locked="0" layoutInCell="1" allowOverlap="1" wp14:anchorId="3678CB83" wp14:editId="532443F2">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CF3D84" w:rsidRPr="00CF3D84">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CF3D84" w:rsidRPr="00CF3D84">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624619" w:rsidRDefault="00624619">
    <w:pPr>
      <w:pStyle w:val="a4"/>
      <w:rPr>
        <w:sz w:val="4"/>
        <w:szCs w:val="4"/>
      </w:rPr>
    </w:pPr>
  </w:p>
  <w:p w:rsidR="00624619" w:rsidRDefault="00624619">
    <w:pPr>
      <w:pStyle w:val="a4"/>
      <w:rPr>
        <w:rFonts w:ascii="楷体_GB2312"/>
        <w:sz w:val="4"/>
        <w:szCs w:val="4"/>
      </w:rPr>
    </w:pPr>
  </w:p>
  <w:p w:rsidR="00624619" w:rsidRPr="00F957FD" w:rsidRDefault="00624619" w:rsidP="00943C56">
    <w:pPr>
      <w:pStyle w:val="a4"/>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BF3" w:rsidRDefault="00F51BF3">
      <w:r>
        <w:separator/>
      </w:r>
    </w:p>
  </w:footnote>
  <w:footnote w:type="continuationSeparator" w:id="0">
    <w:p w:rsidR="00F51BF3" w:rsidRDefault="00F51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19" w:rsidRDefault="00624619">
    <w:pPr>
      <w:pStyle w:val="a3"/>
      <w:pBdr>
        <w:bottom w:val="none" w:sz="0" w:space="0" w:color="auto"/>
      </w:pBdr>
    </w:pPr>
    <w:r>
      <w:rPr>
        <w:rFonts w:ascii="Arial" w:hAnsi="Arial" w:cs="Arial"/>
        <w:noProof/>
      </w:rPr>
      <w:drawing>
        <wp:anchor distT="0" distB="0" distL="114300" distR="114300" simplePos="0" relativeHeight="251654144" behindDoc="0" locked="0" layoutInCell="1" allowOverlap="1" wp14:anchorId="24A73C80" wp14:editId="3EC8CEF2">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619" w:rsidRDefault="00624619">
    <w:r>
      <w:rPr>
        <w:noProof/>
      </w:rPr>
      <mc:AlternateContent>
        <mc:Choice Requires="wps">
          <w:drawing>
            <wp:anchor distT="0" distB="0" distL="114300" distR="114300" simplePos="0" relativeHeight="251661312" behindDoc="0" locked="0" layoutInCell="1" allowOverlap="1" wp14:anchorId="38B7E897" wp14:editId="0262B80F">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619" w:rsidRPr="00880D7C" w:rsidRDefault="00624619" w:rsidP="00943C56">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624619" w:rsidRPr="00880D7C" w:rsidRDefault="00624619" w:rsidP="00943C56">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03BCAB4" wp14:editId="30DC1829">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19" w:rsidRDefault="00624619">
    <w:pPr>
      <w:pStyle w:val="a3"/>
      <w:pBdr>
        <w:bottom w:val="none" w:sz="0" w:space="0" w:color="auto"/>
      </w:pBdr>
      <w:jc w:val="both"/>
    </w:pPr>
    <w:r>
      <w:rPr>
        <w:noProof/>
      </w:rPr>
      <mc:AlternateContent>
        <mc:Choice Requires="wps">
          <w:drawing>
            <wp:anchor distT="0" distB="0" distL="114300" distR="114300" simplePos="0" relativeHeight="251655168" behindDoc="0" locked="0" layoutInCell="1" allowOverlap="1" wp14:anchorId="68AAD0B3" wp14:editId="7C154C4C">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619" w:rsidRPr="00880D7C" w:rsidRDefault="00624619" w:rsidP="00943C56">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624619" w:rsidRPr="00880D7C" w:rsidRDefault="00624619" w:rsidP="00943C56">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59264" behindDoc="0" locked="0" layoutInCell="1" allowOverlap="1" wp14:anchorId="581D07AE" wp14:editId="6CBC72A7">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624619" w:rsidRDefault="00624619">
    <w:pPr>
      <w:pStyle w:val="a3"/>
      <w:pBdr>
        <w:bottom w:val="none" w:sz="0" w:space="0" w:color="auto"/>
      </w:pBdr>
      <w:spacing w:line="120" w:lineRule="exact"/>
      <w:jc w:val="both"/>
    </w:pPr>
    <w:r>
      <w:rPr>
        <w:noProof/>
      </w:rPr>
      <mc:AlternateContent>
        <mc:Choice Requires="wps">
          <w:drawing>
            <wp:anchor distT="0" distB="0" distL="114300" distR="114300" simplePos="0" relativeHeight="251657216" behindDoc="0" locked="0" layoutInCell="1" allowOverlap="1" wp14:anchorId="148765B5" wp14:editId="29559FF4">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1.4pt" o:bullet="t">
        <v:imagedata r:id="rId1" o:title="msoDF97"/>
      </v:shape>
    </w:pict>
  </w:numPicBullet>
  <w:numPicBullet w:numPicBulletId="1">
    <w:pict>
      <v:shape id="_x0000_i1042" type="#_x0000_t75" style="width:11.4pt;height:11.4pt" o:bullet="t">
        <v:imagedata r:id="rId2" o:title="msoA66A"/>
      </v:shape>
    </w:pict>
  </w:numPicBullet>
  <w:abstractNum w:abstractNumId="0">
    <w:nsid w:val="0AB744F3"/>
    <w:multiLevelType w:val="hybridMultilevel"/>
    <w:tmpl w:val="B2A6FCCA"/>
    <w:lvl w:ilvl="0" w:tplc="04090007">
      <w:start w:val="1"/>
      <w:numFmt w:val="bullet"/>
      <w:lvlText w:val=""/>
      <w:lvlPicBulletId w:val="1"/>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05A4E40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0D"/>
    <w:rsid w:val="000C6D4E"/>
    <w:rsid w:val="000E6B21"/>
    <w:rsid w:val="00153B73"/>
    <w:rsid w:val="001822A7"/>
    <w:rsid w:val="00196AB4"/>
    <w:rsid w:val="001B096F"/>
    <w:rsid w:val="00284744"/>
    <w:rsid w:val="002D391D"/>
    <w:rsid w:val="0032491D"/>
    <w:rsid w:val="003E307A"/>
    <w:rsid w:val="00592381"/>
    <w:rsid w:val="005A3E1E"/>
    <w:rsid w:val="005A6BEB"/>
    <w:rsid w:val="005B1081"/>
    <w:rsid w:val="005B23E0"/>
    <w:rsid w:val="005B45CC"/>
    <w:rsid w:val="005E4776"/>
    <w:rsid w:val="00606B51"/>
    <w:rsid w:val="00624619"/>
    <w:rsid w:val="00683B98"/>
    <w:rsid w:val="00695F7B"/>
    <w:rsid w:val="00725D45"/>
    <w:rsid w:val="0075040A"/>
    <w:rsid w:val="007C2420"/>
    <w:rsid w:val="007E5EFB"/>
    <w:rsid w:val="0080752A"/>
    <w:rsid w:val="008A6611"/>
    <w:rsid w:val="008B6027"/>
    <w:rsid w:val="00943C56"/>
    <w:rsid w:val="00996EE6"/>
    <w:rsid w:val="00AF4A2E"/>
    <w:rsid w:val="00B3422F"/>
    <w:rsid w:val="00BB1652"/>
    <w:rsid w:val="00BE3229"/>
    <w:rsid w:val="00BF3E90"/>
    <w:rsid w:val="00C50BF0"/>
    <w:rsid w:val="00CB7D61"/>
    <w:rsid w:val="00CE3D57"/>
    <w:rsid w:val="00CF3D84"/>
    <w:rsid w:val="00DA2FDD"/>
    <w:rsid w:val="00DB27A6"/>
    <w:rsid w:val="00DE73DA"/>
    <w:rsid w:val="00DF0A0F"/>
    <w:rsid w:val="00E9280D"/>
    <w:rsid w:val="00F068E2"/>
    <w:rsid w:val="00F06D0B"/>
    <w:rsid w:val="00F51BF3"/>
    <w:rsid w:val="00F81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280D"/>
    <w:pPr>
      <w:pBdr>
        <w:bottom w:val="single" w:sz="6" w:space="1" w:color="auto"/>
      </w:pBdr>
      <w:tabs>
        <w:tab w:val="center" w:pos="4153"/>
        <w:tab w:val="right" w:pos="8306"/>
      </w:tabs>
      <w:snapToGrid w:val="0"/>
      <w:jc w:val="center"/>
    </w:pPr>
    <w:rPr>
      <w:rFonts w:ascii="Times New Roman" w:eastAsia="楷体_GB2312" w:hAnsi="Times New Roman" w:cs="Times New Roman"/>
      <w:sz w:val="18"/>
      <w:szCs w:val="18"/>
    </w:rPr>
  </w:style>
  <w:style w:type="character" w:customStyle="1" w:styleId="Char">
    <w:name w:val="页眉 Char"/>
    <w:basedOn w:val="a0"/>
    <w:link w:val="a3"/>
    <w:rsid w:val="00E9280D"/>
    <w:rPr>
      <w:rFonts w:ascii="Times New Roman" w:eastAsia="楷体_GB2312" w:hAnsi="Times New Roman" w:cs="Times New Roman"/>
      <w:sz w:val="18"/>
      <w:szCs w:val="18"/>
    </w:rPr>
  </w:style>
  <w:style w:type="paragraph" w:styleId="a4">
    <w:name w:val="footer"/>
    <w:basedOn w:val="a"/>
    <w:link w:val="Char0"/>
    <w:rsid w:val="00E9280D"/>
    <w:pPr>
      <w:tabs>
        <w:tab w:val="center" w:pos="4153"/>
        <w:tab w:val="right" w:pos="8306"/>
      </w:tabs>
      <w:snapToGrid w:val="0"/>
      <w:jc w:val="left"/>
    </w:pPr>
    <w:rPr>
      <w:rFonts w:ascii="Times New Roman" w:eastAsia="楷体_GB2312" w:hAnsi="Times New Roman" w:cs="Times New Roman"/>
      <w:sz w:val="18"/>
      <w:szCs w:val="18"/>
    </w:rPr>
  </w:style>
  <w:style w:type="character" w:customStyle="1" w:styleId="Char0">
    <w:name w:val="页脚 Char"/>
    <w:basedOn w:val="a0"/>
    <w:link w:val="a4"/>
    <w:rsid w:val="00E9280D"/>
    <w:rPr>
      <w:rFonts w:ascii="Times New Roman" w:eastAsia="楷体_GB2312" w:hAnsi="Times New Roman" w:cs="Times New Roman"/>
      <w:sz w:val="18"/>
      <w:szCs w:val="18"/>
    </w:rPr>
  </w:style>
  <w:style w:type="paragraph" w:styleId="a5">
    <w:name w:val="Block Text"/>
    <w:basedOn w:val="a"/>
    <w:rsid w:val="00E9280D"/>
    <w:pPr>
      <w:ind w:leftChars="1553" w:left="3261" w:rightChars="26" w:right="55" w:firstLine="1"/>
      <w:jc w:val="left"/>
    </w:pPr>
    <w:rPr>
      <w:rFonts w:ascii="Times New Roman" w:eastAsia="汉仪大黑简" w:hAnsi="Times New Roman" w:cs="Times New Roman"/>
      <w:color w:val="000000"/>
      <w:sz w:val="18"/>
      <w:szCs w:val="24"/>
    </w:rPr>
  </w:style>
  <w:style w:type="paragraph" w:styleId="a6">
    <w:name w:val="List Paragraph"/>
    <w:basedOn w:val="a"/>
    <w:uiPriority w:val="99"/>
    <w:qFormat/>
    <w:rsid w:val="00E9280D"/>
    <w:pPr>
      <w:ind w:firstLineChars="200" w:firstLine="420"/>
    </w:pPr>
    <w:rPr>
      <w:rFonts w:ascii="Times New Roman" w:eastAsia="楷体_GB2312" w:hAnsi="Times New Roman" w:cs="Times New Roman"/>
      <w:szCs w:val="24"/>
    </w:rPr>
  </w:style>
  <w:style w:type="character" w:customStyle="1" w:styleId="textsmall2">
    <w:name w:val="text_small2"/>
    <w:basedOn w:val="a0"/>
    <w:rsid w:val="00E9280D"/>
  </w:style>
  <w:style w:type="paragraph" w:styleId="a7">
    <w:name w:val="Balloon Text"/>
    <w:basedOn w:val="a"/>
    <w:link w:val="Char1"/>
    <w:uiPriority w:val="99"/>
    <w:semiHidden/>
    <w:unhideWhenUsed/>
    <w:rsid w:val="00E9280D"/>
    <w:rPr>
      <w:sz w:val="18"/>
      <w:szCs w:val="18"/>
    </w:rPr>
  </w:style>
  <w:style w:type="character" w:customStyle="1" w:styleId="Char1">
    <w:name w:val="批注框文本 Char"/>
    <w:basedOn w:val="a0"/>
    <w:link w:val="a7"/>
    <w:uiPriority w:val="99"/>
    <w:semiHidden/>
    <w:rsid w:val="00E928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280D"/>
    <w:pPr>
      <w:pBdr>
        <w:bottom w:val="single" w:sz="6" w:space="1" w:color="auto"/>
      </w:pBdr>
      <w:tabs>
        <w:tab w:val="center" w:pos="4153"/>
        <w:tab w:val="right" w:pos="8306"/>
      </w:tabs>
      <w:snapToGrid w:val="0"/>
      <w:jc w:val="center"/>
    </w:pPr>
    <w:rPr>
      <w:rFonts w:ascii="Times New Roman" w:eastAsia="楷体_GB2312" w:hAnsi="Times New Roman" w:cs="Times New Roman"/>
      <w:sz w:val="18"/>
      <w:szCs w:val="18"/>
    </w:rPr>
  </w:style>
  <w:style w:type="character" w:customStyle="1" w:styleId="Char">
    <w:name w:val="页眉 Char"/>
    <w:basedOn w:val="a0"/>
    <w:link w:val="a3"/>
    <w:rsid w:val="00E9280D"/>
    <w:rPr>
      <w:rFonts w:ascii="Times New Roman" w:eastAsia="楷体_GB2312" w:hAnsi="Times New Roman" w:cs="Times New Roman"/>
      <w:sz w:val="18"/>
      <w:szCs w:val="18"/>
    </w:rPr>
  </w:style>
  <w:style w:type="paragraph" w:styleId="a4">
    <w:name w:val="footer"/>
    <w:basedOn w:val="a"/>
    <w:link w:val="Char0"/>
    <w:rsid w:val="00E9280D"/>
    <w:pPr>
      <w:tabs>
        <w:tab w:val="center" w:pos="4153"/>
        <w:tab w:val="right" w:pos="8306"/>
      </w:tabs>
      <w:snapToGrid w:val="0"/>
      <w:jc w:val="left"/>
    </w:pPr>
    <w:rPr>
      <w:rFonts w:ascii="Times New Roman" w:eastAsia="楷体_GB2312" w:hAnsi="Times New Roman" w:cs="Times New Roman"/>
      <w:sz w:val="18"/>
      <w:szCs w:val="18"/>
    </w:rPr>
  </w:style>
  <w:style w:type="character" w:customStyle="1" w:styleId="Char0">
    <w:name w:val="页脚 Char"/>
    <w:basedOn w:val="a0"/>
    <w:link w:val="a4"/>
    <w:rsid w:val="00E9280D"/>
    <w:rPr>
      <w:rFonts w:ascii="Times New Roman" w:eastAsia="楷体_GB2312" w:hAnsi="Times New Roman" w:cs="Times New Roman"/>
      <w:sz w:val="18"/>
      <w:szCs w:val="18"/>
    </w:rPr>
  </w:style>
  <w:style w:type="paragraph" w:styleId="a5">
    <w:name w:val="Block Text"/>
    <w:basedOn w:val="a"/>
    <w:rsid w:val="00E9280D"/>
    <w:pPr>
      <w:ind w:leftChars="1553" w:left="3261" w:rightChars="26" w:right="55" w:firstLine="1"/>
      <w:jc w:val="left"/>
    </w:pPr>
    <w:rPr>
      <w:rFonts w:ascii="Times New Roman" w:eastAsia="汉仪大黑简" w:hAnsi="Times New Roman" w:cs="Times New Roman"/>
      <w:color w:val="000000"/>
      <w:sz w:val="18"/>
      <w:szCs w:val="24"/>
    </w:rPr>
  </w:style>
  <w:style w:type="paragraph" w:styleId="a6">
    <w:name w:val="List Paragraph"/>
    <w:basedOn w:val="a"/>
    <w:uiPriority w:val="99"/>
    <w:qFormat/>
    <w:rsid w:val="00E9280D"/>
    <w:pPr>
      <w:ind w:firstLineChars="200" w:firstLine="420"/>
    </w:pPr>
    <w:rPr>
      <w:rFonts w:ascii="Times New Roman" w:eastAsia="楷体_GB2312" w:hAnsi="Times New Roman" w:cs="Times New Roman"/>
      <w:szCs w:val="24"/>
    </w:rPr>
  </w:style>
  <w:style w:type="character" w:customStyle="1" w:styleId="textsmall2">
    <w:name w:val="text_small2"/>
    <w:basedOn w:val="a0"/>
    <w:rsid w:val="00E9280D"/>
  </w:style>
  <w:style w:type="paragraph" w:styleId="a7">
    <w:name w:val="Balloon Text"/>
    <w:basedOn w:val="a"/>
    <w:link w:val="Char1"/>
    <w:uiPriority w:val="99"/>
    <w:semiHidden/>
    <w:unhideWhenUsed/>
    <w:rsid w:val="00E9280D"/>
    <w:rPr>
      <w:sz w:val="18"/>
      <w:szCs w:val="18"/>
    </w:rPr>
  </w:style>
  <w:style w:type="character" w:customStyle="1" w:styleId="Char1">
    <w:name w:val="批注框文本 Char"/>
    <w:basedOn w:val="a0"/>
    <w:link w:val="a7"/>
    <w:uiPriority w:val="99"/>
    <w:semiHidden/>
    <w:rsid w:val="00E928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报告图表!$B$29</c:f>
              <c:strCache>
                <c:ptCount val="1"/>
                <c:pt idx="0">
                  <c:v>涨跌</c:v>
                </c:pt>
              </c:strCache>
            </c:strRef>
          </c:tx>
          <c:invertIfNegative val="0"/>
          <c:cat>
            <c:strRef>
              <c:f>报告图表!$A$30:$A$58</c:f>
              <c:strCache>
                <c:ptCount val="29"/>
                <c:pt idx="0">
                  <c:v>煤炭</c:v>
                </c:pt>
                <c:pt idx="1">
                  <c:v>钢铁</c:v>
                </c:pt>
                <c:pt idx="2">
                  <c:v>综合</c:v>
                </c:pt>
                <c:pt idx="3">
                  <c:v>石油石化</c:v>
                </c:pt>
                <c:pt idx="4">
                  <c:v>非银行金融</c:v>
                </c:pt>
                <c:pt idx="5">
                  <c:v>建材</c:v>
                </c:pt>
                <c:pt idx="6">
                  <c:v>国防军工</c:v>
                </c:pt>
                <c:pt idx="7">
                  <c:v>轻工制造</c:v>
                </c:pt>
                <c:pt idx="8">
                  <c:v>餐饮旅游</c:v>
                </c:pt>
                <c:pt idx="9">
                  <c:v>通信</c:v>
                </c:pt>
                <c:pt idx="10">
                  <c:v>商贸零售</c:v>
                </c:pt>
                <c:pt idx="11">
                  <c:v>电力设备</c:v>
                </c:pt>
                <c:pt idx="12">
                  <c:v>电力及公用事业</c:v>
                </c:pt>
                <c:pt idx="13">
                  <c:v>银行</c:v>
                </c:pt>
                <c:pt idx="14">
                  <c:v>基础化工</c:v>
                </c:pt>
                <c:pt idx="15">
                  <c:v>汽车</c:v>
                </c:pt>
                <c:pt idx="16">
                  <c:v>房地产</c:v>
                </c:pt>
                <c:pt idx="17">
                  <c:v>建筑</c:v>
                </c:pt>
                <c:pt idx="18">
                  <c:v>机械</c:v>
                </c:pt>
                <c:pt idx="19">
                  <c:v>家电</c:v>
                </c:pt>
                <c:pt idx="20">
                  <c:v>医药</c:v>
                </c:pt>
                <c:pt idx="21">
                  <c:v>农林牧渔</c:v>
                </c:pt>
                <c:pt idx="22">
                  <c:v>计算机</c:v>
                </c:pt>
                <c:pt idx="23">
                  <c:v>有色金属</c:v>
                </c:pt>
                <c:pt idx="24">
                  <c:v>传媒</c:v>
                </c:pt>
                <c:pt idx="25">
                  <c:v>纺织服装</c:v>
                </c:pt>
                <c:pt idx="26">
                  <c:v>电子元器件</c:v>
                </c:pt>
                <c:pt idx="27">
                  <c:v>食品饮料</c:v>
                </c:pt>
                <c:pt idx="28">
                  <c:v>交通运输</c:v>
                </c:pt>
              </c:strCache>
            </c:strRef>
          </c:cat>
          <c:val>
            <c:numRef>
              <c:f>报告图表!$B$30:$B$58</c:f>
              <c:numCache>
                <c:formatCode>0.00%</c:formatCode>
                <c:ptCount val="29"/>
                <c:pt idx="0">
                  <c:v>-5.7103466973196786E-2</c:v>
                </c:pt>
                <c:pt idx="1">
                  <c:v>-2.8753207314569207E-2</c:v>
                </c:pt>
                <c:pt idx="2">
                  <c:v>-2.8260884006937936E-2</c:v>
                </c:pt>
                <c:pt idx="3">
                  <c:v>-2.4830134533855963E-2</c:v>
                </c:pt>
                <c:pt idx="4">
                  <c:v>-2.2908796388767527E-2</c:v>
                </c:pt>
                <c:pt idx="5">
                  <c:v>-1.4146976298643588E-2</c:v>
                </c:pt>
                <c:pt idx="6">
                  <c:v>-1.2309464027268402E-2</c:v>
                </c:pt>
                <c:pt idx="7">
                  <c:v>-1.1836561158982128E-2</c:v>
                </c:pt>
                <c:pt idx="8">
                  <c:v>-1.1395259952653558E-2</c:v>
                </c:pt>
                <c:pt idx="9">
                  <c:v>-1.1201869958679445E-2</c:v>
                </c:pt>
                <c:pt idx="10">
                  <c:v>-9.5587808829814547E-3</c:v>
                </c:pt>
                <c:pt idx="11">
                  <c:v>-8.1888897815682871E-3</c:v>
                </c:pt>
                <c:pt idx="12">
                  <c:v>-7.8255202478615393E-3</c:v>
                </c:pt>
                <c:pt idx="13">
                  <c:v>-7.4716103686953694E-3</c:v>
                </c:pt>
                <c:pt idx="14">
                  <c:v>-6.6748723383398545E-3</c:v>
                </c:pt>
                <c:pt idx="15">
                  <c:v>-5.8033740860803373E-3</c:v>
                </c:pt>
                <c:pt idx="16">
                  <c:v>-3.9947543198641799E-3</c:v>
                </c:pt>
                <c:pt idx="17">
                  <c:v>-3.912076102126405E-3</c:v>
                </c:pt>
                <c:pt idx="18">
                  <c:v>-2.3266657788902911E-3</c:v>
                </c:pt>
                <c:pt idx="19">
                  <c:v>-1.2252356536891496E-3</c:v>
                </c:pt>
                <c:pt idx="20">
                  <c:v>-1.7388270582763266E-4</c:v>
                </c:pt>
                <c:pt idx="21">
                  <c:v>1.7554521144265145E-3</c:v>
                </c:pt>
                <c:pt idx="22">
                  <c:v>3.4858785918507884E-3</c:v>
                </c:pt>
                <c:pt idx="23">
                  <c:v>4.2219820666475893E-3</c:v>
                </c:pt>
                <c:pt idx="24">
                  <c:v>4.7941386996706026E-3</c:v>
                </c:pt>
                <c:pt idx="25">
                  <c:v>6.2801666270000389E-3</c:v>
                </c:pt>
                <c:pt idx="26">
                  <c:v>7.2694029384210435E-3</c:v>
                </c:pt>
                <c:pt idx="27">
                  <c:v>8.8378903260646346E-3</c:v>
                </c:pt>
                <c:pt idx="28">
                  <c:v>1.4775500697119526E-2</c:v>
                </c:pt>
              </c:numCache>
            </c:numRef>
          </c:val>
        </c:ser>
        <c:dLbls>
          <c:showLegendKey val="0"/>
          <c:showVal val="0"/>
          <c:showCatName val="0"/>
          <c:showSerName val="0"/>
          <c:showPercent val="0"/>
          <c:showBubbleSize val="0"/>
        </c:dLbls>
        <c:gapWidth val="150"/>
        <c:axId val="239226368"/>
        <c:axId val="449669952"/>
      </c:barChart>
      <c:catAx>
        <c:axId val="239226368"/>
        <c:scaling>
          <c:orientation val="minMax"/>
        </c:scaling>
        <c:delete val="0"/>
        <c:axPos val="l"/>
        <c:majorTickMark val="out"/>
        <c:minorTickMark val="none"/>
        <c:tickLblPos val="low"/>
        <c:txPr>
          <a:bodyPr/>
          <a:lstStyle/>
          <a:p>
            <a:pPr>
              <a:defRPr sz="700"/>
            </a:pPr>
            <a:endParaRPr lang="zh-CN"/>
          </a:p>
        </c:txPr>
        <c:crossAx val="449669952"/>
        <c:crosses val="autoZero"/>
        <c:auto val="1"/>
        <c:lblAlgn val="ctr"/>
        <c:lblOffset val="100"/>
        <c:noMultiLvlLbl val="0"/>
      </c:catAx>
      <c:valAx>
        <c:axId val="449669952"/>
        <c:scaling>
          <c:orientation val="minMax"/>
        </c:scaling>
        <c:delete val="0"/>
        <c:axPos val="b"/>
        <c:majorGridlines/>
        <c:numFmt formatCode="0%" sourceLinked="0"/>
        <c:majorTickMark val="out"/>
        <c:minorTickMark val="none"/>
        <c:tickLblPos val="nextTo"/>
        <c:txPr>
          <a:bodyPr/>
          <a:lstStyle/>
          <a:p>
            <a:pPr>
              <a:defRPr sz="800"/>
            </a:pPr>
            <a:endParaRPr lang="zh-CN"/>
          </a:p>
        </c:txPr>
        <c:crossAx val="23922636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471</TotalTime>
  <Pages>5</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俞辰瑶</dc:creator>
  <cp:lastModifiedBy>sangliuyu@hotmail.com</cp:lastModifiedBy>
  <cp:revision>26</cp:revision>
  <dcterms:created xsi:type="dcterms:W3CDTF">2016-05-03T02:12:00Z</dcterms:created>
  <dcterms:modified xsi:type="dcterms:W3CDTF">2016-05-09T02:19:00Z</dcterms:modified>
</cp:coreProperties>
</file>